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440001-2025-43489</w:t>
      </w:r>
    </w:p>
    <w:p>
      <w:pPr>
        <w:pStyle w:val="null3"/>
        <w:jc w:val="center"/>
        <w:outlineLvl w:val="3"/>
      </w:pPr>
      <w:r>
        <w:rPr>
          <w:sz w:val="24"/>
          <w:b/>
        </w:rPr>
        <w:t>采购项目编号：</w:t>
      </w:r>
      <w:r>
        <w:rPr>
          <w:sz w:val="24"/>
          <w:b/>
        </w:rPr>
        <w:t>HXGZ202510A226</w:t>
      </w:r>
    </w:p>
    <w:p>
      <w:pPr>
        <w:pStyle w:val="null3"/>
        <w:jc w:val="center"/>
        <w:outlineLvl w:val="3"/>
      </w:pPr>
      <w:r>
        <w:rPr>
          <w:sz w:val="24"/>
          <w:b/>
        </w:rPr>
        <w:t>项目名称：</w:t>
      </w:r>
      <w:r>
        <w:rPr>
          <w:sz w:val="24"/>
          <w:b/>
        </w:rPr>
        <w:t>2025HWZB014测试中心2025年中央财政支持地方高校改革发展专项</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广东华信招标有限公司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广东华信招标有限公司</w:t>
      </w:r>
      <w:r>
        <w:rPr/>
        <w:t>受</w:t>
      </w:r>
      <w:r>
        <w:rPr/>
        <w:t>华南农业大学</w:t>
      </w:r>
      <w:r>
        <w:rPr/>
        <w:t>的委托，采用</w:t>
      </w:r>
      <w:r>
        <w:rPr/>
        <w:t>公开招标</w:t>
      </w:r>
      <w:r>
        <w:rPr/>
        <w:t>方式组织采购</w:t>
      </w:r>
      <w:r>
        <w:rPr/>
        <w:t>2025HWZB014测试中心2025年中央财政支持地方高校改革发展专项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2025HWZB014测试中心2025年中央财政支持地方高校改革发展专项</w:t>
      </w:r>
    </w:p>
    <w:p>
      <w:pPr>
        <w:pStyle w:val="null3"/>
        <w:ind w:firstLine="480"/>
      </w:pPr>
      <w:r>
        <w:rPr/>
        <w:t>采购计划编号：</w:t>
      </w:r>
      <w:r>
        <w:rPr/>
        <w:t>440001-2025-43489</w:t>
      </w:r>
    </w:p>
    <w:p>
      <w:pPr>
        <w:pStyle w:val="null3"/>
        <w:ind w:firstLine="480"/>
      </w:pPr>
      <w:r>
        <w:rPr/>
        <w:t>采购项目编号：</w:t>
      </w:r>
      <w:r>
        <w:rPr/>
        <w:t>HXGZ202510A226</w:t>
      </w:r>
    </w:p>
    <w:p>
      <w:pPr>
        <w:pStyle w:val="null3"/>
        <w:ind w:firstLine="480"/>
      </w:pPr>
      <w:r>
        <w:rPr/>
        <w:t>采购方式：</w:t>
      </w:r>
      <w:r>
        <w:rPr/>
        <w:t>公开招标</w:t>
      </w:r>
    </w:p>
    <w:p>
      <w:pPr>
        <w:pStyle w:val="null3"/>
        <w:ind w:firstLine="480"/>
      </w:pPr>
      <w:r>
        <w:rPr/>
        <w:t>预算金额：</w:t>
      </w:r>
      <w:r>
        <w:rPr/>
        <w:t>4,790,000.00</w:t>
      </w:r>
      <w:r>
        <w:rPr/>
        <w:t>元</w:t>
      </w:r>
    </w:p>
    <w:p>
      <w:pPr>
        <w:pStyle w:val="null3"/>
        <w:outlineLvl w:val="3"/>
      </w:pPr>
      <w:r>
        <w:rPr>
          <w:sz w:val="24"/>
          <w:b/>
        </w:rPr>
        <w:t>2.项目内容及需求情况（采购项目技术规格、参数及要求）</w:t>
      </w:r>
    </w:p>
    <w:p>
      <w:pPr>
        <w:pStyle w:val="null3"/>
      </w:pPr>
      <w:r>
        <w:rPr/>
        <w:t>采购包1(超薄切片机等设备采购):</w:t>
      </w:r>
    </w:p>
    <w:p>
      <w:pPr>
        <w:pStyle w:val="null3"/>
      </w:pPr>
      <w:r>
        <w:rPr/>
        <w:t>采购包预算金额：4,790,000.00元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超薄切片机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1,640,000.00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冷冻电镜样品制备系统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1,095,000.00</w:t>
            </w:r>
          </w:p>
        </w:tc>
        <w:tc>
          <w:tcPr>
            <w:tcW w:type="dxa" w:w="977"/>
          </w:tcPr>
          <w:p>
            <w:pPr>
              <w:pStyle w:val="null3"/>
            </w:pPr>
            <w:r>
              <w:rPr/>
              <w:t>是</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扫描电镜前处理系统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1,400,000.00</w:t>
            </w:r>
          </w:p>
        </w:tc>
        <w:tc>
          <w:tcPr>
            <w:tcW w:type="dxa" w:w="977"/>
          </w:tcPr>
          <w:p>
            <w:pPr>
              <w:pStyle w:val="null3"/>
            </w:pPr>
            <w:r>
              <w:rPr/>
              <w:t>是</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高频红外碳硫元素分析仪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655,000.00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3）具有良好的商业信誉和健全的财务会计制度：投标人提供2024年的年度财务状况报告复印件；或银行出具的资信证明材料复印件；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5）参加采购活动前3年内，在经营活动中没有重大违法记录：参照投标（报价）函相关承诺格式内容。 重大违法记录，是指投标人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采购包1（超薄切片机等设备采购）：</w:t>
      </w:r>
      <w:r>
        <w:rPr/>
        <w:t>无。</w:t>
      </w:r>
    </w:p>
    <w:p>
      <w:pPr>
        <w:pStyle w:val="null3"/>
        <w:outlineLvl w:val="3"/>
      </w:pPr>
      <w:r>
        <w:rPr>
          <w:sz w:val="24"/>
          <w:b/>
        </w:rPr>
        <w:t>3.本项目特定的资格要求：</w:t>
      </w:r>
    </w:p>
    <w:p>
      <w:pPr>
        <w:pStyle w:val="null3"/>
      </w:pPr>
      <w:r>
        <w:rPr/>
        <w:t>采购包1（超薄切片机等设备采购）：</w:t>
      </w:r>
    </w:p>
    <w:p>
      <w:pPr>
        <w:pStyle w:val="null3"/>
      </w:pPr>
      <w:r>
        <w:rPr/>
        <w:t>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华南农业大学</w:t>
      </w:r>
    </w:p>
    <w:p>
      <w:pPr>
        <w:pStyle w:val="null3"/>
        <w:ind w:firstLine="480"/>
      </w:pPr>
      <w:r>
        <w:rPr/>
        <w:t xml:space="preserve"> 地址：</w:t>
      </w:r>
      <w:r>
        <w:rPr/>
        <w:t>广州市天河区五山路483号</w:t>
      </w:r>
    </w:p>
    <w:p>
      <w:pPr>
        <w:pStyle w:val="null3"/>
        <w:ind w:firstLine="480"/>
      </w:pPr>
      <w:r>
        <w:rPr/>
        <w:t xml:space="preserve"> 联系方式：</w:t>
      </w:r>
      <w:r>
        <w:rPr/>
        <w:t>85280079</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1.采购内容：采购超薄切片机等设备一批。（详见2.技术标准与要求）</w:t>
      </w:r>
    </w:p>
    <w:p>
      <w:pPr>
        <w:pStyle w:val="null3"/>
        <w:ind w:firstLine="420"/>
        <w:jc w:val="both"/>
      </w:pPr>
      <w:r>
        <w:rPr>
          <w:sz w:val="21"/>
          <w:color w:val="000000"/>
        </w:rPr>
        <w:t>★</w:t>
      </w:r>
      <w:r>
        <w:rPr>
          <w:sz w:val="21"/>
        </w:rPr>
        <w:t>2.如投标人所投设备为进口产品，若投标人不是制造商，须按以下要求提供授权文件：若投标人为制造商指定的代理商（经销商），须提交制造商指定的代理商（经销商）的资格证书（或代理协议）。若投标人不是制造商或制造商指定的代理商（经销商），则须提交以下文件中的其中一种：①制造商的授权文件；②制造商指定的代理商（经销商）的资格证书（或代理协议）及代理商（经销商）对投标人的授权文件。若投标产品原产地为美国且在中国国务院关税税则委员会公告要求加征关税清单范围内的，加征的税费由中标人承担。</w:t>
      </w:r>
    </w:p>
    <w:p>
      <w:pPr>
        <w:pStyle w:val="null3"/>
        <w:ind w:firstLine="420"/>
        <w:jc w:val="both"/>
      </w:pPr>
      <w:r>
        <w:rPr>
          <w:sz w:val="21"/>
          <w:color w:val="000000"/>
        </w:rPr>
        <w:t>★</w:t>
      </w:r>
      <w:r>
        <w:rPr>
          <w:sz w:val="21"/>
        </w:rPr>
        <w:t>3.凡属于《中华人民共和国实施强制性产品认证的产品目录》内的产品或纳入《政府采购节能产品品目清单》内的产品，请供应商在投标文件中承诺在交货时提供该产品的“中国强制性产品认证”（CCC认证）证书或“节能产品认证”证书。（投标时提供承诺函）</w:t>
      </w:r>
    </w:p>
    <w:p>
      <w:pPr>
        <w:pStyle w:val="null3"/>
      </w:pPr>
      <w:r>
        <w:rPr/>
        <w:t>采购包1（超薄切片机等设备采购）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本国设备：合同签订后60日内完成供货、安装调试和验收并交付采购人使用。 进口设备：“中华人民共和国海关进出口货物征免税确认通知书”发证日期后90日内。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1期：支付比例100%,国内设备：签订合同后，中标人缴纳合同款的5%作为履约保证金给采购人。在中标人无违法违约的情况下, 货到安装调试验收合格，采购人收到中标人缴纳的履约保证金和中标人开具的等额合法有效发票后10个工作日内向中标人支付合同总价的100%。如因中标人未能及时提供前述发票而造成付款延误，不属采购人违约。（如作为中小企业中标，签订合同后，中标人缴纳合同款的5%作为履约保证金给采购人。采购人在合同签订后5个工作日内预付款合同金额的30%，货到安装调试验收合格，采购人收到中标人开具的等额合法有效发票后10个工作日内向中标人支付合同金额的70%。） 进口设备：签订合同后，中标人缴纳合同总价的5%作为履约保证金给采购人。在中标人无违法违约的情况下，采购人收到履约保证金后，按如下方式付款。 国外采购并需办理进口免税部分货物的收款人为采购人、中标人双方认定的外贸公司，所支付货款为货物的免税价格。双方约定采用以下第___种付款方式： (1)采购人支付100%货款给采购人指定的外贸代理公司的监管账户上。由采购人指定的外贸代理公司收到货物款及办理好免税手续（中华人民共和国海关进出口货物征免税确认通知书）后7个工作日内开立80%信用证（L/C），见提单、装箱单以及L/C规定的其它单证付款给中标人指定的外商；剩余20％验收合格后10个工作日内T/T支付。 (2)货到采购人验收合格后10个工作日内100%T/T支付。凭中标人、外贸代理公司、采购人最终用户三方共同签署交付货物齐全的开箱单（须有签字并加盖公章）以及验收报告（结果须为合格）支付。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1期：1.合同设备安装调试完成正常工作满15个工作日后进行验收，验收应在采购人中标人双方共同参加下进行。（如中小企业中标的，履约后，采购人收到验收申请后7日内组织履约验收。） 2.验收按采购人所在国家有关的规定、规范进行。验收时如发现所交付的设备有短装、次品、损坏或其它不符合本合同规定之情形者，采购人和中标人应共同做出详尽的现场记录，或由采购人中标人双方签署备忘录。此现场记录或备忘录可用作补充缺失和更换损坏部件、更换不合格设备、退货退费等的有效证据。由此产生的所有费用由中标人承担。 3.如果合同设备运输和安装调试过程中因事故造成货物短缺、损坏，中标人应及时安排换装，以保证合同设备安装调试的成功完成。换装的所有费用由中标人承担。 4.国内产品或合资厂的产品必须具备出厂合格证。 5.进口产品必须具有“中华人民共和国海关进口货物报关单”证明及其他采购人所在国家海关监管部门要求的证明文件。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账号：3602002609000310520</w:t>
            </w:r>
          </w:p>
          <w:p>
            <w:pPr>
              <w:pStyle w:val="null3"/>
            </w:pPr>
            <w:r>
              <w:rPr/>
              <w:t>户名：华南农业大学</w:t>
            </w:r>
          </w:p>
          <w:p>
            <w:pPr>
              <w:pStyle w:val="null3"/>
            </w:pPr>
            <w:r>
              <w:rPr/>
              <w:t>开户行：广州工行五山支行</w:t>
            </w:r>
          </w:p>
          <w:p>
            <w:pPr>
              <w:pStyle w:val="null3"/>
            </w:pPr>
            <w:r>
              <w:rPr/>
              <w:t>支票提交方式：签订合同后提供支票原件给采购人</w:t>
            </w:r>
          </w:p>
          <w:p>
            <w:pPr>
              <w:pStyle w:val="null3"/>
            </w:pPr>
            <w:r>
              <w:rPr/>
              <w:t>汇票、本票提交方式：签订合同后提供汇票、本票原件给采购人</w:t>
            </w:r>
          </w:p>
          <w:p>
            <w:pPr>
              <w:pStyle w:val="null3"/>
            </w:pPr>
            <w:r>
              <w:rPr/>
              <w:t>说明：签订合同后5个工作日内，中标人缴纳合同总价的5%作为履约保证金给采购人。在中标人按合同约定全部履行完成合同义务，并按采购人要求办理相关履约保证金退还手续后10个工作日内，采购人将履约保证金无息退回中标人，否则，采购人有权不予退回履约保证金。采购人未按照合同约定及时向中标人退回履约保证金的，应按照全国银行间同业拆借中心公布的贷款市场报价利率标准支付利息。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所报价格为广州华南农业大学交货价，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采购人无需支付任何额外费用和承担任何额外义务。 1、国产及进口含税设备： （1）关境内制造的货物：投标人须报含税价，投标总价包括：①货物价格：货到项目现场价（华南农业大学指定地点）；②向中华人民共和国政府缴纳的增值税和其他税；③货物在制造或组装时使用的部件和原材料是从关境外进口的已交纳或应交纳的全部关税、增值税和其他税；④货物运至最终目的地的关境内运输、保险和伴随货物交运的有关费用；⑤验收费、到达安装地点的保险费、安装费、调试费、培训费、技术服务费等。 （2）投标截止时间前已经进口的货物：投标人必须报含税价，投标总价包括：①货物价格：货到项目现场价（华南农业大学指定地点）；②从关境外进口时已交纳或应交纳的全部关税、增值税和其他税；③向中华人民共和国政府缴纳的增值税和其他税；④货物运至最终目的地的关境内运输、保险和伴随货物交运的有关费用；⑤验收费、到达安装地点的保险费、安装费、调试费、培训费、技术服务费等。 2、进口免税设备： （1）投标人报价须为人民币CIP广州华南农业大学交货价，投标总价包括：①合同价格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②招标文件规定的人员培训和售后服务的相关费用；③外贸代理服务费包含外贸代理服务机构负责进口设备免税报关等所发生的所有费用（国家规定的计量检测费、特殊检测费除外），包含但不限于办理免税手续费、银行手续费、海关监管手续费、报关、商检、申办机电批文等，外贸代理服务费每单最低收费标准为3500元人民币，如特殊情况，经采购人同意，增加一次报关就另外增加1800元人民币。内贸协议特殊说明T/T付款的，每单最低收费标准为2500元人民币；其它按合同货款总价0.925%收取；④项目中标后，采购人除该项目中标人民币总价外，不再支付其他费用给中标人。（2）采购单位为教育部门，享受海关的进口科教用品免税优惠政策，投标人可报设备免税价（海关规定不能免税的设备除外）。（3）进口产品的交货价以人民币进行结算，采购人不承担本项目执行过程中因汇率波动产生的风险。</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设备包装、交货、安装、调试</w:t>
            </w:r>
          </w:p>
        </w:tc>
        <w:tc>
          <w:tcPr>
            <w:tcW w:type="dxa" w:w="2076"/>
          </w:tcPr>
          <w:p>
            <w:pPr>
              <w:pStyle w:val="null3"/>
              <w:jc w:val="left"/>
            </w:pPr>
            <w:r>
              <w:rPr/>
              <w:t>1.合同设备的包装： 设备的包装均应有良好的防湿、防锈、防潮、防雨、防腐及防碰撞等的措施，符合《商品包装政府采购需求标准（试行）》及《快递包装政府采购需求标准（试行）》的要求。凡由于包装不良或未能起到有效防护效用造成的损失和由此产生的费用均由中标人承担。 2.设备的交货： （1）中标人交货时间：国内设备：签订合同后60天内；进口设备：“中华人民共和国海关进出口货物征免税确认通知书”发证日期后90日内。 （2）中标人交货地点：广州市内采购人指定地点，以采购人具体书面通知为准。 （3）交货方式：中标人送货上门。 3.合同设备的安装调试： （1）中标人负责合同项下货物的安装调试工作，一切费用由中标人负责。 （2）中标人安装时须对各安装场地内的其它设备、设施有良好保护措施。 4.中标人保证其合同项下提供的货物和服务不侵犯任何第三人的合法权益，否则，由中标人承担因此导致的一切法律后果，并赔偿采购人因此遭受的全部损失，包括但不限于直接经济损失、预期收益损失、名誉损失、维护权益的成本、向第三人承担的经济责任等。</w:t>
            </w:r>
          </w:p>
        </w:tc>
      </w:tr>
      <w:tr>
        <w:tc>
          <w:tcPr>
            <w:tcW w:type="dxa" w:w="2076"/>
          </w:tcPr>
          <w:p/>
        </w:tc>
        <w:tc>
          <w:tcPr>
            <w:tcW w:type="dxa" w:w="2076"/>
          </w:tcPr>
          <w:p>
            <w:pPr>
              <w:pStyle w:val="null3"/>
              <w:jc w:val="center"/>
            </w:pPr>
            <w:r>
              <w:rPr/>
              <w:t>2</w:t>
            </w:r>
          </w:p>
        </w:tc>
        <w:tc>
          <w:tcPr>
            <w:tcW w:type="dxa" w:w="2076"/>
          </w:tcPr>
          <w:p>
            <w:pPr>
              <w:pStyle w:val="null3"/>
              <w:jc w:val="left"/>
            </w:pPr>
            <w:r>
              <w:rPr/>
              <w:t>质量保证及售后服务</w:t>
            </w:r>
          </w:p>
        </w:tc>
        <w:tc>
          <w:tcPr>
            <w:tcW w:type="dxa" w:w="2076"/>
          </w:tcPr>
          <w:p>
            <w:pPr>
              <w:pStyle w:val="null3"/>
              <w:jc w:val="left"/>
            </w:pPr>
            <w:r>
              <w:rPr/>
              <w:t>1.中标人保证其合同项下提供的全部设备是在中国范围内合法销售的，原制造商制造的全新、未曾使用过的产品，整机无污染、无侵权行为、表面无划损、无任何缺陷隐患，其质量、规格及技术特征符合合同附件的要求，并且符合国家标准、行业标准以及该产品的出厂标准，可依常规安全合法使用。 2.合同设备除了采购人有特别规定外,保质保用期按生产厂家的标准执行，保修期分别为1年、2年、3年、5年，详见附表1-4具体技术（参数）要求（自采购人单位书面验收合格之日起计算，另有要求的按其规定）。保质保用期内因非采购人过错原因而出现产品质量问题或安装问题，由中标人负责包修、包换或包退，并承担因此而产生的一切费用。中标人应在收到采购人通知后24小时内派员到现场维修，若在48小时内仍未能有效解决，中标人须提供同等备件予采购人临时使用，因此产生费用均由中标人负责，采购人不再另行支付。质保期内，如设备或零部件因非采购人过错因素出现故障而造成短期停用时，则质保期相应顺延，如停用时间累计超过60天则质保期重新计算。下列情况中标人不负责免费保修： （1）采购人不按照中标人提供的正确使用方法而引致设备故障损坏； （2）采购人擅自改装设备； （3）各种因采购人人为因素或天灾等外来因素造成的损坏。 3.因设备的质量问题而发生争议，任何一方均可提起质量鉴定，由广东省或广州市质检部门进行质量鉴定。设备符合质量标准的，鉴定费用由采购人承担；设备不符合质量标准的，鉴定费用由中标人承担。 4.中标人为采购人提供操作及维护培训，主要内容为设备的基本结构、性能、主要部件的构造及原理，日常使用操作、保养与管理，常见故障的排除，紧急情况的处理等，培训地点主要在设备安装现场或按采购人中标人双方协商安排。</w:t>
            </w:r>
          </w:p>
        </w:tc>
      </w:tr>
      <w:tr>
        <w:tc>
          <w:tcPr>
            <w:tcW w:type="dxa" w:w="2076"/>
          </w:tcPr>
          <w:p/>
        </w:tc>
        <w:tc>
          <w:tcPr>
            <w:tcW w:type="dxa" w:w="2076"/>
          </w:tcPr>
          <w:p>
            <w:pPr>
              <w:pStyle w:val="null3"/>
              <w:jc w:val="center"/>
            </w:pPr>
            <w:r>
              <w:rPr/>
              <w:t>3</w:t>
            </w:r>
          </w:p>
        </w:tc>
        <w:tc>
          <w:tcPr>
            <w:tcW w:type="dxa" w:w="2076"/>
          </w:tcPr>
          <w:p>
            <w:pPr>
              <w:pStyle w:val="null3"/>
              <w:jc w:val="left"/>
            </w:pPr>
            <w:r>
              <w:rPr/>
              <w:t>技术服务</w:t>
            </w:r>
          </w:p>
        </w:tc>
        <w:tc>
          <w:tcPr>
            <w:tcW w:type="dxa" w:w="2076"/>
          </w:tcPr>
          <w:p>
            <w:pPr>
              <w:pStyle w:val="null3"/>
              <w:jc w:val="left"/>
            </w:pPr>
            <w:r>
              <w:rPr/>
              <w:t>1.中标人应派员到采购人指定地点配合工作。 2.中标人按采购人提供的合同执行进度计划，再配合采购人及有关单位，以此做好合同执行进度上的配合工作。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超薄切片机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1,640,000.00</w:t>
            </w:r>
          </w:p>
        </w:tc>
        <w:tc>
          <w:tcPr>
            <w:tcW w:type="dxa" w:w="831"/>
          </w:tcPr>
          <w:p>
            <w:pPr>
              <w:pStyle w:val="null3"/>
              <w:jc w:val="right"/>
            </w:pPr>
            <w:r>
              <w:rPr/>
              <w:t>1,640,000.00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冷冻电镜样品制备系统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1,095,000.00</w:t>
            </w:r>
          </w:p>
        </w:tc>
        <w:tc>
          <w:tcPr>
            <w:tcW w:type="dxa" w:w="831"/>
          </w:tcPr>
          <w:p>
            <w:pPr>
              <w:pStyle w:val="null3"/>
              <w:jc w:val="right"/>
            </w:pPr>
            <w:r>
              <w:rPr/>
              <w:t>1,095,000.00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扫描电镜前处理系统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高频红外碳硫元素分析仪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655,000.00</w:t>
            </w:r>
          </w:p>
        </w:tc>
        <w:tc>
          <w:tcPr>
            <w:tcW w:type="dxa" w:w="831"/>
          </w:tcPr>
          <w:p>
            <w:pPr>
              <w:pStyle w:val="null3"/>
              <w:jc w:val="right"/>
            </w:pPr>
            <w:r>
              <w:rPr/>
              <w:t>655,000.00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超薄切片机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1、样品臂运动</w:t>
            </w:r>
          </w:p>
          <w:p>
            <w:pPr>
              <w:pStyle w:val="null3"/>
              <w:jc w:val="both"/>
            </w:pPr>
            <w:r>
              <w:rPr>
                <w:sz w:val="21"/>
              </w:rPr>
              <w:t>1.1 切片速度控制范围：0.04~100mm/s。</w:t>
            </w:r>
          </w:p>
        </w:tc>
      </w:tr>
      <w:tr>
        <w:tc>
          <w:tcPr>
            <w:tcW w:type="dxa" w:w="2076"/>
          </w:tcPr>
          <w:p/>
        </w:tc>
        <w:tc>
          <w:tcPr>
            <w:tcW w:type="dxa" w:w="415"/>
          </w:tcPr>
          <w:p>
            <w:pPr>
              <w:pStyle w:val="null3"/>
            </w:pPr>
            <w:r>
              <w:rPr/>
              <w:t>2</w:t>
            </w:r>
          </w:p>
        </w:tc>
        <w:tc>
          <w:tcPr>
            <w:tcW w:type="dxa" w:w="5814"/>
          </w:tcPr>
          <w:p>
            <w:pPr>
              <w:pStyle w:val="null3"/>
              <w:jc w:val="both"/>
            </w:pPr>
            <w:r>
              <w:rPr>
                <w:sz w:val="21"/>
              </w:rPr>
              <w:t>1.2 样品前进范围：0~100nm（步进1nm），100~2500nm（步进10nm）</w:t>
            </w:r>
            <w:r>
              <w:rPr>
                <w:sz w:val="21"/>
              </w:rPr>
              <w:t>，</w:t>
            </w:r>
            <w:r>
              <w:rPr>
                <w:sz w:val="21"/>
              </w:rPr>
              <w:t>2500~50000nm</w:t>
            </w:r>
            <w:r>
              <w:rPr>
                <w:sz w:val="21"/>
              </w:rPr>
              <w:t>（步进</w:t>
            </w:r>
            <w:r>
              <w:rPr>
                <w:sz w:val="21"/>
              </w:rPr>
              <w:t>500nm）。</w:t>
            </w:r>
          </w:p>
        </w:tc>
      </w:tr>
      <w:tr>
        <w:tc>
          <w:tcPr>
            <w:tcW w:type="dxa" w:w="2076"/>
          </w:tcPr>
          <w:p/>
        </w:tc>
        <w:tc>
          <w:tcPr>
            <w:tcW w:type="dxa" w:w="415"/>
          </w:tcPr>
          <w:p>
            <w:pPr>
              <w:pStyle w:val="null3"/>
            </w:pPr>
            <w:r>
              <w:rPr/>
              <w:t>3</w:t>
            </w:r>
          </w:p>
        </w:tc>
        <w:tc>
          <w:tcPr>
            <w:tcW w:type="dxa" w:w="5814"/>
          </w:tcPr>
          <w:p>
            <w:pPr>
              <w:pStyle w:val="null3"/>
              <w:jc w:val="both"/>
            </w:pPr>
            <w:r>
              <w:rPr>
                <w:sz w:val="21"/>
              </w:rPr>
              <w:t>1.3 回程速度：至少三档可选。</w:t>
            </w:r>
          </w:p>
        </w:tc>
      </w:tr>
      <w:tr>
        <w:tc>
          <w:tcPr>
            <w:tcW w:type="dxa" w:w="2076"/>
          </w:tcPr>
          <w:p/>
        </w:tc>
        <w:tc>
          <w:tcPr>
            <w:tcW w:type="dxa" w:w="415"/>
          </w:tcPr>
          <w:p>
            <w:pPr>
              <w:pStyle w:val="null3"/>
            </w:pPr>
            <w:r>
              <w:rPr/>
              <w:t>4</w:t>
            </w:r>
          </w:p>
        </w:tc>
        <w:tc>
          <w:tcPr>
            <w:tcW w:type="dxa" w:w="5814"/>
          </w:tcPr>
          <w:p>
            <w:pPr>
              <w:pStyle w:val="null3"/>
              <w:jc w:val="both"/>
            </w:pPr>
            <w:r>
              <w:rPr>
                <w:sz w:val="21"/>
              </w:rPr>
              <w:t>1.4 样品臂总行程：≥200μm。</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▲1.5切片原理(变速器)：重力切片（与重力耦合）。</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rPr>
              <w:t>2、独立控制的照明系统：亮度可控的LED背光，亮度可控的LED顶照光，亮度可控的LED样品透射光。</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3、刀座运动</w:t>
            </w:r>
          </w:p>
          <w:p>
            <w:pPr>
              <w:pStyle w:val="null3"/>
              <w:jc w:val="both"/>
            </w:pPr>
            <w:r>
              <w:rPr>
                <w:sz w:val="21"/>
              </w:rPr>
              <w:t>▲3.1 E-W运动（马达驱动）：≥25mm，按钮连续性控制。</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▲3.2 N-S运动（马达驱动）：≥10mm，按钮连续性控制，可调节步进（0.1-15μm ）。</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9</w:t>
            </w:r>
          </w:p>
        </w:tc>
        <w:tc>
          <w:tcPr>
            <w:tcW w:type="dxa" w:w="5814"/>
          </w:tcPr>
          <w:p>
            <w:pPr>
              <w:pStyle w:val="null3"/>
              <w:jc w:val="both"/>
            </w:pPr>
            <w:r>
              <w:rPr>
                <w:sz w:val="21"/>
              </w:rPr>
              <w:t>3.3 刀座控制样品切片前进范围： ≥100~2500nm（步进100nm），2500~50000nm（步进500nm）。</w:t>
            </w:r>
          </w:p>
        </w:tc>
      </w:tr>
      <w:tr>
        <w:tc>
          <w:tcPr>
            <w:tcW w:type="dxa" w:w="2076"/>
          </w:tcPr>
          <w:p/>
        </w:tc>
        <w:tc>
          <w:tcPr>
            <w:tcW w:type="dxa" w:w="415"/>
          </w:tcPr>
          <w:p>
            <w:pPr>
              <w:pStyle w:val="null3"/>
            </w:pPr>
            <w:r>
              <w:rPr/>
              <w:t>10</w:t>
            </w:r>
          </w:p>
        </w:tc>
        <w:tc>
          <w:tcPr>
            <w:tcW w:type="dxa" w:w="5814"/>
          </w:tcPr>
          <w:p>
            <w:pPr>
              <w:pStyle w:val="null3"/>
              <w:jc w:val="left"/>
            </w:pPr>
            <w:r>
              <w:rPr>
                <w:sz w:val="21"/>
              </w:rPr>
              <w:t>4、弧形样品架运动</w:t>
            </w:r>
          </w:p>
          <w:p>
            <w:pPr>
              <w:pStyle w:val="null3"/>
              <w:jc w:val="both"/>
            </w:pPr>
            <w:r>
              <w:rPr>
                <w:sz w:val="21"/>
              </w:rPr>
              <w:t>4.1 马达驱动弧形样品架，优中心运动≤±22°共心倾转，精度≤0.05°。</w:t>
            </w:r>
          </w:p>
        </w:tc>
      </w:tr>
      <w:tr>
        <w:tc>
          <w:tcPr>
            <w:tcW w:type="dxa" w:w="2076"/>
          </w:tcPr>
          <w:p/>
        </w:tc>
        <w:tc>
          <w:tcPr>
            <w:tcW w:type="dxa" w:w="415"/>
          </w:tcPr>
          <w:p>
            <w:pPr>
              <w:pStyle w:val="null3"/>
            </w:pPr>
            <w:r>
              <w:rPr/>
              <w:t>11</w:t>
            </w:r>
          </w:p>
        </w:tc>
        <w:tc>
          <w:tcPr>
            <w:tcW w:type="dxa" w:w="5814"/>
          </w:tcPr>
          <w:p>
            <w:pPr>
              <w:pStyle w:val="null3"/>
              <w:jc w:val="both"/>
            </w:pPr>
            <w:r>
              <w:rPr>
                <w:sz w:val="21"/>
              </w:rPr>
              <w:t>4.2 样品夹具旋转≥360°，精度≤0.1。</w:t>
            </w:r>
          </w:p>
        </w:tc>
      </w:tr>
      <w:tr>
        <w:tc>
          <w:tcPr>
            <w:tcW w:type="dxa" w:w="2076"/>
          </w:tcPr>
          <w:p/>
        </w:tc>
        <w:tc>
          <w:tcPr>
            <w:tcW w:type="dxa" w:w="415"/>
          </w:tcPr>
          <w:p>
            <w:pPr>
              <w:pStyle w:val="null3"/>
            </w:pPr>
            <w:r>
              <w:rPr/>
              <w:t>12</w:t>
            </w:r>
          </w:p>
        </w:tc>
        <w:tc>
          <w:tcPr>
            <w:tcW w:type="dxa" w:w="5814"/>
          </w:tcPr>
          <w:p>
            <w:pPr>
              <w:pStyle w:val="null3"/>
              <w:jc w:val="left"/>
            </w:pPr>
            <w:r>
              <w:rPr>
                <w:sz w:val="21"/>
              </w:rPr>
              <w:t>5、刀架运动</w:t>
            </w:r>
          </w:p>
          <w:p>
            <w:pPr>
              <w:pStyle w:val="null3"/>
              <w:jc w:val="both"/>
            </w:pPr>
            <w:r>
              <w:rPr>
                <w:sz w:val="21"/>
              </w:rPr>
              <w:t>5.1 马达驱动刀架：－30°~+30°，精度≤0.05°。</w:t>
            </w:r>
          </w:p>
        </w:tc>
      </w:tr>
      <w:tr>
        <w:tc>
          <w:tcPr>
            <w:tcW w:type="dxa" w:w="2076"/>
          </w:tcPr>
          <w:p/>
        </w:tc>
        <w:tc>
          <w:tcPr>
            <w:tcW w:type="dxa" w:w="415"/>
          </w:tcPr>
          <w:p>
            <w:pPr>
              <w:pStyle w:val="null3"/>
            </w:pPr>
            <w:r>
              <w:rPr/>
              <w:t>13</w:t>
            </w:r>
          </w:p>
        </w:tc>
        <w:tc>
          <w:tcPr>
            <w:tcW w:type="dxa" w:w="5814"/>
          </w:tcPr>
          <w:p>
            <w:pPr>
              <w:pStyle w:val="null3"/>
              <w:jc w:val="both"/>
            </w:pPr>
            <w:r>
              <w:rPr>
                <w:sz w:val="21"/>
              </w:rPr>
              <w:t>5.2 刀的角度可调：-2°~14°（刻度≤1°）。</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▲6、光学系统：体视镜，放大倍数10至76倍，整合的≥1200万像素成像系统，无需三目镜筒。</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15</w:t>
            </w:r>
          </w:p>
        </w:tc>
        <w:tc>
          <w:tcPr>
            <w:tcW w:type="dxa" w:w="5814"/>
          </w:tcPr>
          <w:p>
            <w:pPr>
              <w:pStyle w:val="null3"/>
              <w:jc w:val="left"/>
            </w:pPr>
            <w:r>
              <w:rPr>
                <w:sz w:val="21"/>
              </w:rPr>
              <w:t>7、自动化模块：2D自动修块以及自动对刀模块</w:t>
            </w:r>
          </w:p>
          <w:p>
            <w:pPr>
              <w:pStyle w:val="null3"/>
              <w:jc w:val="both"/>
            </w:pPr>
            <w:r>
              <w:rPr>
                <w:sz w:val="21"/>
              </w:rPr>
              <w:t>7.1自动修块功能：定义样本块的边界后，会自动切掉边界外的部分。</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▲7.2自动对刀功能：可自动将样品块面与刀锋对齐。</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17</w:t>
            </w:r>
          </w:p>
        </w:tc>
        <w:tc>
          <w:tcPr>
            <w:tcW w:type="dxa" w:w="5814"/>
          </w:tcPr>
          <w:p>
            <w:pPr>
              <w:pStyle w:val="null3"/>
              <w:jc w:val="left"/>
            </w:pPr>
            <w:r>
              <w:rPr>
                <w:sz w:val="21"/>
              </w:rPr>
              <w:t>8、连续切片控制</w:t>
            </w:r>
          </w:p>
          <w:p>
            <w:pPr>
              <w:pStyle w:val="null3"/>
              <w:jc w:val="both"/>
            </w:pPr>
            <w:r>
              <w:rPr>
                <w:sz w:val="21"/>
              </w:rPr>
              <w:t>8.1 可对连续切片钻石刀自动对刀。</w:t>
            </w:r>
          </w:p>
        </w:tc>
      </w:tr>
      <w:tr>
        <w:tc>
          <w:tcPr>
            <w:tcW w:type="dxa" w:w="2076"/>
          </w:tcPr>
          <w:p/>
        </w:tc>
        <w:tc>
          <w:tcPr>
            <w:tcW w:type="dxa" w:w="415"/>
          </w:tcPr>
          <w:p>
            <w:pPr>
              <w:pStyle w:val="null3"/>
            </w:pPr>
            <w:r>
              <w:rPr/>
              <w:t>18</w:t>
            </w:r>
          </w:p>
        </w:tc>
        <w:tc>
          <w:tcPr>
            <w:tcW w:type="dxa" w:w="5814"/>
          </w:tcPr>
          <w:p>
            <w:pPr>
              <w:pStyle w:val="null3"/>
              <w:jc w:val="both"/>
            </w:pPr>
            <w:r>
              <w:rPr>
                <w:sz w:val="21"/>
              </w:rPr>
              <w:t>8.2 可对切片条带数和收集切片张数预编程控制，满足多样性包埋块切面自动切片。</w:t>
            </w:r>
          </w:p>
        </w:tc>
      </w:tr>
      <w:tr>
        <w:tc>
          <w:tcPr>
            <w:tcW w:type="dxa" w:w="2076"/>
          </w:tcPr>
          <w:p/>
        </w:tc>
        <w:tc>
          <w:tcPr>
            <w:tcW w:type="dxa" w:w="415"/>
          </w:tcPr>
          <w:p>
            <w:pPr>
              <w:pStyle w:val="null3"/>
            </w:pPr>
            <w:r>
              <w:rPr/>
              <w:t>19</w:t>
            </w:r>
          </w:p>
        </w:tc>
        <w:tc>
          <w:tcPr>
            <w:tcW w:type="dxa" w:w="5814"/>
          </w:tcPr>
          <w:p>
            <w:pPr>
              <w:pStyle w:val="null3"/>
              <w:jc w:val="both"/>
            </w:pPr>
            <w:r>
              <w:rPr>
                <w:sz w:val="21"/>
                <w:color w:val="000000"/>
              </w:rPr>
              <w:t>8.3 专为连续切片设计钻石刀，钻石刀宽度≥4mm，内置斜坡和固定点，倾斜角优化，用于放置硅片。</w:t>
            </w:r>
          </w:p>
        </w:tc>
      </w:tr>
      <w:tr>
        <w:tc>
          <w:tcPr>
            <w:tcW w:type="dxa" w:w="2076"/>
          </w:tcPr>
          <w:p/>
        </w:tc>
        <w:tc>
          <w:tcPr>
            <w:tcW w:type="dxa" w:w="415"/>
          </w:tcPr>
          <w:p>
            <w:pPr>
              <w:pStyle w:val="null3"/>
            </w:pPr>
            <w:r>
              <w:rPr/>
              <w:t>20</w:t>
            </w:r>
          </w:p>
        </w:tc>
        <w:tc>
          <w:tcPr>
            <w:tcW w:type="dxa" w:w="5814"/>
          </w:tcPr>
          <w:p>
            <w:pPr>
              <w:pStyle w:val="null3"/>
              <w:jc w:val="both"/>
            </w:pPr>
            <w:r>
              <w:rPr>
                <w:sz w:val="21"/>
                <w:color w:val="000000"/>
              </w:rPr>
              <w:t>8.4钻石刀水槽尺寸，可放置≥长25mm×宽50mm 硅片或玻片。</w:t>
            </w:r>
          </w:p>
        </w:tc>
      </w:tr>
      <w:tr>
        <w:tc>
          <w:tcPr>
            <w:tcW w:type="dxa" w:w="2076"/>
          </w:tcPr>
          <w:p/>
        </w:tc>
        <w:tc>
          <w:tcPr>
            <w:tcW w:type="dxa" w:w="415"/>
          </w:tcPr>
          <w:p>
            <w:pPr>
              <w:pStyle w:val="null3"/>
            </w:pPr>
            <w:r>
              <w:rPr/>
              <w:t>21</w:t>
            </w:r>
          </w:p>
        </w:tc>
        <w:tc>
          <w:tcPr>
            <w:tcW w:type="dxa" w:w="5814"/>
          </w:tcPr>
          <w:p>
            <w:pPr>
              <w:pStyle w:val="null3"/>
              <w:jc w:val="both"/>
            </w:pPr>
            <w:r>
              <w:rPr>
                <w:sz w:val="21"/>
              </w:rPr>
              <w:t>8.5 可在整个工作流程中均使用小切片托架，实现从切片到成像的顺畅转换。</w:t>
            </w:r>
          </w:p>
        </w:tc>
      </w:tr>
      <w:tr>
        <w:tc>
          <w:tcPr>
            <w:tcW w:type="dxa" w:w="2076"/>
          </w:tcPr>
          <w:p/>
        </w:tc>
        <w:tc>
          <w:tcPr>
            <w:tcW w:type="dxa" w:w="415"/>
          </w:tcPr>
          <w:p>
            <w:pPr>
              <w:pStyle w:val="null3"/>
            </w:pPr>
            <w:r>
              <w:rPr/>
              <w:t>22</w:t>
            </w:r>
          </w:p>
        </w:tc>
        <w:tc>
          <w:tcPr>
            <w:tcW w:type="dxa" w:w="5814"/>
          </w:tcPr>
          <w:p>
            <w:pPr>
              <w:pStyle w:val="null3"/>
              <w:jc w:val="both"/>
            </w:pPr>
            <w:r>
              <w:rPr>
                <w:sz w:val="21"/>
              </w:rPr>
              <w:t>8.6 内置切片-切片带直接收集系统，可有效避免手动切片和操作造成的伪像。</w:t>
            </w:r>
          </w:p>
        </w:tc>
      </w:tr>
      <w:tr>
        <w:tc>
          <w:tcPr>
            <w:tcW w:type="dxa" w:w="2076"/>
          </w:tcPr>
          <w:p/>
        </w:tc>
        <w:tc>
          <w:tcPr>
            <w:tcW w:type="dxa" w:w="415"/>
          </w:tcPr>
          <w:p>
            <w:pPr>
              <w:pStyle w:val="null3"/>
            </w:pPr>
            <w:r>
              <w:rPr/>
              <w:t>23</w:t>
            </w:r>
          </w:p>
        </w:tc>
        <w:tc>
          <w:tcPr>
            <w:tcW w:type="dxa" w:w="5814"/>
          </w:tcPr>
          <w:p>
            <w:pPr>
              <w:pStyle w:val="null3"/>
              <w:jc w:val="both"/>
            </w:pPr>
            <w:r>
              <w:rPr>
                <w:sz w:val="21"/>
              </w:rPr>
              <w:t>8.7 可轻松调节前阀门的水流，在不起皱的情况下收集超薄切片带。</w:t>
            </w:r>
          </w:p>
        </w:tc>
      </w:tr>
      <w:tr>
        <w:tc>
          <w:tcPr>
            <w:tcW w:type="dxa" w:w="2076"/>
          </w:tcPr>
          <w:p/>
        </w:tc>
        <w:tc>
          <w:tcPr>
            <w:tcW w:type="dxa" w:w="415"/>
          </w:tcPr>
          <w:p>
            <w:pPr>
              <w:pStyle w:val="null3"/>
            </w:pPr>
            <w:r>
              <w:rPr/>
              <w:t>24</w:t>
            </w:r>
          </w:p>
        </w:tc>
        <w:tc>
          <w:tcPr>
            <w:tcW w:type="dxa" w:w="5814"/>
          </w:tcPr>
          <w:p>
            <w:pPr>
              <w:pStyle w:val="null3"/>
              <w:jc w:val="both"/>
            </w:pPr>
            <w:r>
              <w:rPr>
                <w:sz w:val="21"/>
              </w:rPr>
              <w:t>9、软件：计数功能，N-S、E-W距离测量功能。</w:t>
            </w:r>
          </w:p>
        </w:tc>
      </w:tr>
      <w:tr>
        <w:tc>
          <w:tcPr>
            <w:tcW w:type="dxa" w:w="2076"/>
          </w:tcPr>
          <w:p/>
        </w:tc>
        <w:tc>
          <w:tcPr>
            <w:tcW w:type="dxa" w:w="415"/>
          </w:tcPr>
          <w:p>
            <w:pPr>
              <w:pStyle w:val="null3"/>
            </w:pPr>
            <w:r>
              <w:rPr/>
              <w:t>25</w:t>
            </w:r>
          </w:p>
        </w:tc>
        <w:tc>
          <w:tcPr>
            <w:tcW w:type="dxa" w:w="5814"/>
          </w:tcPr>
          <w:p>
            <w:pPr>
              <w:pStyle w:val="null3"/>
              <w:jc w:val="both"/>
            </w:pPr>
            <w:r>
              <w:rPr>
                <w:sz w:val="21"/>
              </w:rPr>
              <w:t>10、处理器：PC主机。</w:t>
            </w:r>
          </w:p>
        </w:tc>
      </w:tr>
      <w:tr>
        <w:tc>
          <w:tcPr>
            <w:tcW w:type="dxa" w:w="2076"/>
          </w:tcPr>
          <w:p/>
        </w:tc>
        <w:tc>
          <w:tcPr>
            <w:tcW w:type="dxa" w:w="415"/>
          </w:tcPr>
          <w:p>
            <w:pPr>
              <w:pStyle w:val="null3"/>
            </w:pPr>
            <w:r>
              <w:rPr/>
              <w:t>26</w:t>
            </w:r>
          </w:p>
        </w:tc>
        <w:tc>
          <w:tcPr>
            <w:tcW w:type="dxa" w:w="5814"/>
          </w:tcPr>
          <w:p>
            <w:pPr>
              <w:pStyle w:val="null3"/>
              <w:jc w:val="both"/>
            </w:pPr>
            <w:r>
              <w:rPr>
                <w:sz w:val="21"/>
              </w:rPr>
              <w:t>11、主动防震台：不锈钢材质，主动隔振范围为0.7-100HZ，长40cmx 宽45cm。</w:t>
            </w:r>
          </w:p>
        </w:tc>
      </w:tr>
      <w:tr>
        <w:tc>
          <w:tcPr>
            <w:tcW w:type="dxa" w:w="2076"/>
          </w:tcPr>
          <w:p/>
        </w:tc>
        <w:tc>
          <w:tcPr>
            <w:tcW w:type="dxa" w:w="415"/>
          </w:tcPr>
          <w:p>
            <w:pPr>
              <w:pStyle w:val="null3"/>
            </w:pPr>
            <w:r>
              <w:rPr/>
              <w:t>27</w:t>
            </w:r>
          </w:p>
        </w:tc>
        <w:tc>
          <w:tcPr>
            <w:tcW w:type="dxa" w:w="5814"/>
          </w:tcPr>
          <w:p>
            <w:pPr>
              <w:pStyle w:val="null3"/>
              <w:jc w:val="both"/>
            </w:pPr>
            <w:r>
              <w:rPr>
                <w:sz w:val="21"/>
              </w:rPr>
              <w:t>12、配置清单：主机 1台；体视显微镜 1台；防风罩 1个；连续切片套装 1套；35度连续切片钻石刀 1把；</w:t>
            </w:r>
            <w:r>
              <w:rPr>
                <w:sz w:val="21"/>
              </w:rPr>
              <w:t>35度冷冻超薄钻石切片2把；45度常温钻石切片刀1把；6mm组织钻石切片刀2把；</w:t>
            </w:r>
            <w:r>
              <w:rPr>
                <w:sz w:val="21"/>
              </w:rPr>
              <w:t>主动减震台</w:t>
            </w:r>
            <w:r>
              <w:rPr>
                <w:sz w:val="21"/>
              </w:rPr>
              <w:t>1个；工作台 1个；修块接口 1个；捞片圈套件 1个。</w:t>
            </w:r>
          </w:p>
        </w:tc>
      </w:tr>
      <w:tr>
        <w:tc>
          <w:tcPr>
            <w:tcW w:type="dxa" w:w="2076"/>
          </w:tcPr>
          <w:p/>
        </w:tc>
        <w:tc>
          <w:tcPr>
            <w:tcW w:type="dxa" w:w="415"/>
          </w:tcPr>
          <w:p>
            <w:pPr>
              <w:pStyle w:val="null3"/>
            </w:pPr>
            <w:r>
              <w:rPr/>
              <w:t>28</w:t>
            </w:r>
          </w:p>
        </w:tc>
        <w:tc>
          <w:tcPr>
            <w:tcW w:type="dxa" w:w="5814"/>
          </w:tcPr>
          <w:p>
            <w:pPr>
              <w:pStyle w:val="null3"/>
              <w:jc w:val="both"/>
            </w:pPr>
            <w:r>
              <w:rPr>
                <w:sz w:val="21"/>
                <w:color w:val="000000"/>
              </w:rPr>
              <w:t>保质期</w:t>
            </w:r>
            <w:r>
              <w:rPr>
                <w:sz w:val="21"/>
                <w:color w:val="000000"/>
              </w:rPr>
              <w:t>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冷冻电镜样品制备系统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1、投入式快速冷冻仪</w:t>
            </w:r>
            <w:r>
              <w:br/>
            </w:r>
            <w:r>
              <w:rPr>
                <w:sz w:val="21"/>
                <w:color w:val="000000"/>
              </w:rPr>
              <w:t>1.1 要求环境温度在18~25℃时，工作温度可达4~60℃，且精准控温，每次0.5℃可调。</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b/>
              </w:rPr>
              <w:t>★</w:t>
            </w:r>
            <w:r>
              <w:rPr>
                <w:sz w:val="21"/>
                <w:color w:val="000000"/>
              </w:rPr>
              <w:t>1.2 腔室湿度控制范围:设备可通过超声波控制加湿，最大可保持100%的相对湿度。（投标文件中提交响应或承诺文件，格式自拟）</w:t>
            </w:r>
          </w:p>
        </w:tc>
      </w:tr>
      <w:tr>
        <w:tc>
          <w:tcPr>
            <w:tcW w:type="dxa" w:w="2076"/>
          </w:tcPr>
          <w:p/>
        </w:tc>
        <w:tc>
          <w:tcPr>
            <w:tcW w:type="dxa" w:w="415"/>
          </w:tcPr>
          <w:p>
            <w:pPr>
              <w:pStyle w:val="null3"/>
            </w:pPr>
            <w:r>
              <w:rPr/>
              <w:t>3</w:t>
            </w:r>
          </w:p>
        </w:tc>
        <w:tc>
          <w:tcPr>
            <w:tcW w:type="dxa" w:w="5814"/>
          </w:tcPr>
          <w:p>
            <w:pPr>
              <w:pStyle w:val="null3"/>
              <w:jc w:val="both"/>
            </w:pPr>
            <w:r>
              <w:rPr>
                <w:sz w:val="21"/>
                <w:color w:val="000000"/>
              </w:rPr>
              <w:t>1.3 支持小体积样品制备（2~10ul），腔室左右两侧分别有注样入口。</w:t>
            </w:r>
          </w:p>
        </w:tc>
      </w:tr>
      <w:tr>
        <w:tc>
          <w:tcPr>
            <w:tcW w:type="dxa" w:w="2076"/>
          </w:tcPr>
          <w:p/>
        </w:tc>
        <w:tc>
          <w:tcPr>
            <w:tcW w:type="dxa" w:w="415"/>
          </w:tcPr>
          <w:p>
            <w:pPr>
              <w:pStyle w:val="null3"/>
            </w:pPr>
            <w:r>
              <w:rPr/>
              <w:t>4</w:t>
            </w:r>
          </w:p>
        </w:tc>
        <w:tc>
          <w:tcPr>
            <w:tcW w:type="dxa" w:w="5814"/>
          </w:tcPr>
          <w:p>
            <w:pPr>
              <w:pStyle w:val="null3"/>
              <w:jc w:val="both"/>
            </w:pPr>
            <w:r>
              <w:rPr>
                <w:sz w:val="21"/>
                <w:color w:val="000000"/>
              </w:rPr>
              <w:t>1.4 配有脚踏板，可利用脚部控制。</w:t>
            </w:r>
          </w:p>
        </w:tc>
      </w:tr>
      <w:tr>
        <w:tc>
          <w:tcPr>
            <w:tcW w:type="dxa" w:w="2076"/>
          </w:tcPr>
          <w:p/>
        </w:tc>
        <w:tc>
          <w:tcPr>
            <w:tcW w:type="dxa" w:w="415"/>
          </w:tcPr>
          <w:p>
            <w:pPr>
              <w:pStyle w:val="null3"/>
            </w:pPr>
            <w:r>
              <w:rPr/>
              <w:t>5</w:t>
            </w:r>
          </w:p>
        </w:tc>
        <w:tc>
          <w:tcPr>
            <w:tcW w:type="dxa" w:w="5814"/>
          </w:tcPr>
          <w:p>
            <w:pPr>
              <w:pStyle w:val="null3"/>
              <w:jc w:val="both"/>
            </w:pPr>
            <w:r>
              <w:rPr>
                <w:sz w:val="21"/>
                <w:color w:val="000000"/>
              </w:rPr>
              <w:t>1.5 腔室内配有照明。</w:t>
            </w:r>
          </w:p>
        </w:tc>
      </w:tr>
      <w:tr>
        <w:tc>
          <w:tcPr>
            <w:tcW w:type="dxa" w:w="2076"/>
          </w:tcPr>
          <w:p/>
        </w:tc>
        <w:tc>
          <w:tcPr>
            <w:tcW w:type="dxa" w:w="415"/>
          </w:tcPr>
          <w:p>
            <w:pPr>
              <w:pStyle w:val="null3"/>
            </w:pPr>
            <w:r>
              <w:rPr/>
              <w:t>6</w:t>
            </w:r>
          </w:p>
        </w:tc>
        <w:tc>
          <w:tcPr>
            <w:tcW w:type="dxa" w:w="5814"/>
          </w:tcPr>
          <w:p>
            <w:pPr>
              <w:pStyle w:val="null3"/>
              <w:jc w:val="both"/>
            </w:pPr>
            <w:r>
              <w:rPr>
                <w:sz w:val="21"/>
                <w:color w:val="000000"/>
              </w:rPr>
              <w:t>1.6 样品下落速度 ≤1秒，快速将样品玻璃化。</w:t>
            </w:r>
          </w:p>
        </w:tc>
      </w:tr>
      <w:tr>
        <w:tc>
          <w:tcPr>
            <w:tcW w:type="dxa" w:w="2076"/>
          </w:tcPr>
          <w:p/>
        </w:tc>
        <w:tc>
          <w:tcPr>
            <w:tcW w:type="dxa" w:w="415"/>
          </w:tcPr>
          <w:p>
            <w:pPr>
              <w:pStyle w:val="null3"/>
            </w:pPr>
            <w:r>
              <w:rPr/>
              <w:t>7</w:t>
            </w:r>
          </w:p>
        </w:tc>
        <w:tc>
          <w:tcPr>
            <w:tcW w:type="dxa" w:w="5814"/>
          </w:tcPr>
          <w:p>
            <w:pPr>
              <w:pStyle w:val="null3"/>
              <w:jc w:val="both"/>
            </w:pPr>
            <w:r>
              <w:rPr>
                <w:sz w:val="21"/>
                <w:color w:val="000000"/>
              </w:rPr>
              <w:t>1.7 单次吸附时间可调，每0.5s可调。</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b/>
              </w:rPr>
              <w:t>▲</w:t>
            </w:r>
            <w:r>
              <w:rPr>
                <w:sz w:val="21"/>
                <w:color w:val="000000"/>
              </w:rPr>
              <w:t>1.8 吸附次数0 ~16次间可调。</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9</w:t>
            </w:r>
          </w:p>
        </w:tc>
        <w:tc>
          <w:tcPr>
            <w:tcW w:type="dxa" w:w="5814"/>
          </w:tcPr>
          <w:p>
            <w:pPr>
              <w:pStyle w:val="null3"/>
              <w:jc w:val="both"/>
            </w:pPr>
            <w:r>
              <w:rPr>
                <w:sz w:val="21"/>
                <w:color w:val="000000"/>
              </w:rPr>
              <w:t>1.9 吸附力度在-25 ~ 25档间可调。</w:t>
            </w:r>
          </w:p>
        </w:tc>
      </w:tr>
      <w:tr>
        <w:tc>
          <w:tcPr>
            <w:tcW w:type="dxa" w:w="2076"/>
          </w:tcPr>
          <w:p/>
        </w:tc>
        <w:tc>
          <w:tcPr>
            <w:tcW w:type="dxa" w:w="415"/>
          </w:tcPr>
          <w:p>
            <w:pPr>
              <w:pStyle w:val="null3"/>
            </w:pPr>
            <w:r>
              <w:rPr/>
              <w:t>10</w:t>
            </w:r>
          </w:p>
        </w:tc>
        <w:tc>
          <w:tcPr>
            <w:tcW w:type="dxa" w:w="5814"/>
          </w:tcPr>
          <w:p>
            <w:pPr>
              <w:pStyle w:val="null3"/>
              <w:jc w:val="both"/>
            </w:pPr>
            <w:r>
              <w:rPr>
                <w:sz w:val="21"/>
                <w:color w:val="000000"/>
              </w:rPr>
              <w:t>1.10 吸附驻留时间每0.5s可调，吸附排液时间每0.5s可调。</w:t>
            </w:r>
          </w:p>
        </w:tc>
      </w:tr>
      <w:tr>
        <w:tc>
          <w:tcPr>
            <w:tcW w:type="dxa" w:w="2076"/>
          </w:tcPr>
          <w:p/>
        </w:tc>
        <w:tc>
          <w:tcPr>
            <w:tcW w:type="dxa" w:w="415"/>
          </w:tcPr>
          <w:p>
            <w:pPr>
              <w:pStyle w:val="null3"/>
            </w:pPr>
            <w:r>
              <w:rPr/>
              <w:t>11</w:t>
            </w:r>
          </w:p>
        </w:tc>
        <w:tc>
          <w:tcPr>
            <w:tcW w:type="dxa" w:w="5814"/>
          </w:tcPr>
          <w:p>
            <w:pPr>
              <w:pStyle w:val="null3"/>
              <w:jc w:val="both"/>
            </w:pPr>
            <w:r>
              <w:rPr>
                <w:sz w:val="21"/>
                <w:color w:val="000000"/>
              </w:rPr>
              <w:t>1.11 样品吸干方式：滤纸吸附。</w:t>
            </w:r>
          </w:p>
        </w:tc>
      </w:tr>
      <w:tr>
        <w:tc>
          <w:tcPr>
            <w:tcW w:type="dxa" w:w="2076"/>
          </w:tcPr>
          <w:p/>
        </w:tc>
        <w:tc>
          <w:tcPr>
            <w:tcW w:type="dxa" w:w="415"/>
          </w:tcPr>
          <w:p>
            <w:pPr>
              <w:pStyle w:val="null3"/>
            </w:pPr>
            <w:r>
              <w:rPr/>
              <w:t>12</w:t>
            </w:r>
          </w:p>
        </w:tc>
        <w:tc>
          <w:tcPr>
            <w:tcW w:type="dxa" w:w="5814"/>
          </w:tcPr>
          <w:p>
            <w:pPr>
              <w:pStyle w:val="null3"/>
              <w:jc w:val="both"/>
            </w:pPr>
            <w:r>
              <w:rPr>
                <w:sz w:val="21"/>
                <w:color w:val="000000"/>
              </w:rPr>
              <w:t>1.12 乙烷罐容量 ≤10ml。</w:t>
            </w:r>
          </w:p>
        </w:tc>
      </w:tr>
      <w:tr>
        <w:tc>
          <w:tcPr>
            <w:tcW w:type="dxa" w:w="2076"/>
          </w:tcPr>
          <w:p/>
        </w:tc>
        <w:tc>
          <w:tcPr>
            <w:tcW w:type="dxa" w:w="415"/>
          </w:tcPr>
          <w:p>
            <w:pPr>
              <w:pStyle w:val="null3"/>
            </w:pPr>
            <w:r>
              <w:rPr/>
              <w:t>13</w:t>
            </w:r>
          </w:p>
        </w:tc>
        <w:tc>
          <w:tcPr>
            <w:tcW w:type="dxa" w:w="5814"/>
          </w:tcPr>
          <w:p>
            <w:pPr>
              <w:pStyle w:val="null3"/>
              <w:jc w:val="both"/>
            </w:pPr>
            <w:r>
              <w:rPr>
                <w:sz w:val="21"/>
                <w:color w:val="000000"/>
              </w:rPr>
              <w:t>2、辉光放电仪</w:t>
            </w:r>
            <w:r>
              <w:br/>
            </w:r>
            <w:r>
              <w:rPr>
                <w:sz w:val="21"/>
                <w:color w:val="000000"/>
              </w:rPr>
              <w:t>2.1 真空泵组：无油干泵。</w:t>
            </w:r>
          </w:p>
        </w:tc>
      </w:tr>
      <w:tr>
        <w:tc>
          <w:tcPr>
            <w:tcW w:type="dxa" w:w="2076"/>
          </w:tcPr>
          <w:p/>
        </w:tc>
        <w:tc>
          <w:tcPr>
            <w:tcW w:type="dxa" w:w="415"/>
          </w:tcPr>
          <w:p>
            <w:pPr>
              <w:pStyle w:val="null3"/>
            </w:pPr>
            <w:r>
              <w:rPr/>
              <w:t>14</w:t>
            </w:r>
          </w:p>
        </w:tc>
        <w:tc>
          <w:tcPr>
            <w:tcW w:type="dxa" w:w="5814"/>
          </w:tcPr>
          <w:p>
            <w:pPr>
              <w:pStyle w:val="null3"/>
              <w:jc w:val="both"/>
            </w:pPr>
            <w:r>
              <w:rPr>
                <w:sz w:val="21"/>
                <w:color w:val="000000"/>
              </w:rPr>
              <w:t>2.2抽真空时间≤2min。</w:t>
            </w:r>
          </w:p>
        </w:tc>
      </w:tr>
      <w:tr>
        <w:tc>
          <w:tcPr>
            <w:tcW w:type="dxa" w:w="2076"/>
          </w:tcPr>
          <w:p/>
        </w:tc>
        <w:tc>
          <w:tcPr>
            <w:tcW w:type="dxa" w:w="415"/>
          </w:tcPr>
          <w:p>
            <w:pPr>
              <w:pStyle w:val="null3"/>
            </w:pPr>
            <w:r>
              <w:rPr/>
              <w:t>15</w:t>
            </w:r>
          </w:p>
        </w:tc>
        <w:tc>
          <w:tcPr>
            <w:tcW w:type="dxa" w:w="5814"/>
          </w:tcPr>
          <w:p>
            <w:pPr>
              <w:pStyle w:val="null3"/>
              <w:jc w:val="both"/>
            </w:pPr>
            <w:r>
              <w:rPr>
                <w:sz w:val="21"/>
                <w:color w:val="000000"/>
              </w:rPr>
              <w:t>2.3极限真空≤50Pa。</w:t>
            </w:r>
          </w:p>
        </w:tc>
      </w:tr>
      <w:tr>
        <w:tc>
          <w:tcPr>
            <w:tcW w:type="dxa" w:w="2076"/>
          </w:tcPr>
          <w:p/>
        </w:tc>
        <w:tc>
          <w:tcPr>
            <w:tcW w:type="dxa" w:w="415"/>
          </w:tcPr>
          <w:p>
            <w:pPr>
              <w:pStyle w:val="null3"/>
            </w:pPr>
            <w:r>
              <w:rPr/>
              <w:t>16</w:t>
            </w:r>
          </w:p>
        </w:tc>
        <w:tc>
          <w:tcPr>
            <w:tcW w:type="dxa" w:w="5814"/>
          </w:tcPr>
          <w:p>
            <w:pPr>
              <w:pStyle w:val="null3"/>
              <w:jc w:val="both"/>
            </w:pPr>
            <w:r>
              <w:rPr>
                <w:sz w:val="21"/>
                <w:color w:val="000000"/>
              </w:rPr>
              <w:t>2.4可选适用于各品牌透射电镜样品杆转接</w:t>
            </w:r>
            <w:r>
              <w:rPr>
                <w:sz w:val="21"/>
              </w:rPr>
              <w:t>。</w:t>
            </w:r>
          </w:p>
        </w:tc>
      </w:tr>
      <w:tr>
        <w:tc>
          <w:tcPr>
            <w:tcW w:type="dxa" w:w="2076"/>
          </w:tcPr>
          <w:p/>
        </w:tc>
        <w:tc>
          <w:tcPr>
            <w:tcW w:type="dxa" w:w="415"/>
          </w:tcPr>
          <w:p>
            <w:pPr>
              <w:pStyle w:val="null3"/>
            </w:pPr>
            <w:r>
              <w:rPr/>
              <w:t>17</w:t>
            </w:r>
          </w:p>
        </w:tc>
        <w:tc>
          <w:tcPr>
            <w:tcW w:type="dxa" w:w="5814"/>
          </w:tcPr>
          <w:p>
            <w:pPr>
              <w:pStyle w:val="null3"/>
              <w:jc w:val="both"/>
            </w:pPr>
            <w:r>
              <w:rPr>
                <w:sz w:val="21"/>
                <w:color w:val="000000"/>
              </w:rPr>
              <w:t>2.5 操作方式：触摸屏控制。</w:t>
            </w:r>
          </w:p>
        </w:tc>
      </w:tr>
      <w:tr>
        <w:tc>
          <w:tcPr>
            <w:tcW w:type="dxa" w:w="2076"/>
          </w:tcPr>
          <w:p/>
        </w:tc>
        <w:tc>
          <w:tcPr>
            <w:tcW w:type="dxa" w:w="415"/>
          </w:tcPr>
          <w:p>
            <w:pPr>
              <w:pStyle w:val="null3"/>
            </w:pPr>
            <w:r>
              <w:rPr/>
              <w:t>18</w:t>
            </w:r>
          </w:p>
        </w:tc>
        <w:tc>
          <w:tcPr>
            <w:tcW w:type="dxa" w:w="5814"/>
          </w:tcPr>
          <w:p>
            <w:pPr>
              <w:pStyle w:val="null3"/>
              <w:jc w:val="both"/>
            </w:pPr>
            <w:r>
              <w:rPr>
                <w:sz w:val="21"/>
                <w:color w:val="000000"/>
              </w:rPr>
              <w:t>2.6 工作压强范围：60~150Pa。</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b/>
              </w:rPr>
              <w:t>▲</w:t>
            </w:r>
            <w:r>
              <w:rPr>
                <w:sz w:val="21"/>
                <w:color w:val="000000"/>
              </w:rPr>
              <w:t>2.7 气体控制：恒定压强闭环控制。</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20</w:t>
            </w:r>
          </w:p>
        </w:tc>
        <w:tc>
          <w:tcPr>
            <w:tcW w:type="dxa" w:w="5814"/>
          </w:tcPr>
          <w:p>
            <w:pPr>
              <w:pStyle w:val="null3"/>
              <w:jc w:val="both"/>
            </w:pPr>
            <w:r>
              <w:rPr>
                <w:sz w:val="21"/>
                <w:color w:val="000000"/>
              </w:rPr>
              <w:t>2.8射频源：靶源尺寸≥φ80mm。</w:t>
            </w:r>
          </w:p>
        </w:tc>
      </w:tr>
      <w:tr>
        <w:tc>
          <w:tcPr>
            <w:tcW w:type="dxa" w:w="2076"/>
          </w:tcPr>
          <w:p/>
        </w:tc>
        <w:tc>
          <w:tcPr>
            <w:tcW w:type="dxa" w:w="415"/>
          </w:tcPr>
          <w:p>
            <w:pPr>
              <w:pStyle w:val="null3"/>
            </w:pPr>
            <w:r>
              <w:rPr/>
              <w:t>21</w:t>
            </w:r>
          </w:p>
        </w:tc>
        <w:tc>
          <w:tcPr>
            <w:tcW w:type="dxa" w:w="5814"/>
          </w:tcPr>
          <w:p>
            <w:pPr>
              <w:pStyle w:val="null3"/>
              <w:jc w:val="both"/>
            </w:pPr>
            <w:r>
              <w:rPr>
                <w:sz w:val="21"/>
                <w:color w:val="000000"/>
              </w:rPr>
              <w:t>2.9可调射频功率工作范围：10~50W。</w:t>
            </w:r>
          </w:p>
        </w:tc>
      </w:tr>
      <w:tr>
        <w:tc>
          <w:tcPr>
            <w:tcW w:type="dxa" w:w="2076"/>
          </w:tcPr>
          <w:p/>
        </w:tc>
        <w:tc>
          <w:tcPr>
            <w:tcW w:type="dxa" w:w="415"/>
          </w:tcPr>
          <w:p>
            <w:pPr>
              <w:pStyle w:val="null3"/>
            </w:pPr>
            <w:r>
              <w:rPr/>
              <w:t>22</w:t>
            </w:r>
          </w:p>
        </w:tc>
        <w:tc>
          <w:tcPr>
            <w:tcW w:type="dxa" w:w="5814"/>
          </w:tcPr>
          <w:p>
            <w:pPr>
              <w:pStyle w:val="null3"/>
              <w:jc w:val="both"/>
            </w:pPr>
            <w:r>
              <w:rPr>
                <w:sz w:val="21"/>
                <w:color w:val="000000"/>
              </w:rPr>
              <w:t>2.10功耗：≤300W。</w:t>
            </w:r>
          </w:p>
        </w:tc>
      </w:tr>
      <w:tr>
        <w:tc>
          <w:tcPr>
            <w:tcW w:type="dxa" w:w="2076"/>
          </w:tcPr>
          <w:p/>
        </w:tc>
        <w:tc>
          <w:tcPr>
            <w:tcW w:type="dxa" w:w="415"/>
          </w:tcPr>
          <w:p>
            <w:pPr>
              <w:pStyle w:val="null3"/>
            </w:pPr>
            <w:r>
              <w:rPr/>
              <w:t>23</w:t>
            </w:r>
          </w:p>
        </w:tc>
        <w:tc>
          <w:tcPr>
            <w:tcW w:type="dxa" w:w="5814"/>
          </w:tcPr>
          <w:p>
            <w:pPr>
              <w:pStyle w:val="null3"/>
              <w:jc w:val="both"/>
            </w:pPr>
            <w:r>
              <w:rPr>
                <w:sz w:val="21"/>
                <w:color w:val="000000"/>
              </w:rPr>
              <w:t>3、配置清单：</w:t>
            </w:r>
            <w:r>
              <w:br/>
            </w:r>
            <w:r>
              <w:rPr>
                <w:sz w:val="21"/>
                <w:color w:val="000000"/>
              </w:rPr>
              <w:t>投入式快速冷冻仪主机</w:t>
            </w:r>
            <w:r>
              <w:rPr>
                <w:sz w:val="21"/>
                <w:color w:val="000000"/>
              </w:rPr>
              <w:t>1台；冷冻专用镊子1把；乙烷杯 1个；辉光放电仪主机一台</w:t>
            </w:r>
            <w:r>
              <w:rPr>
                <w:sz w:val="21"/>
              </w:rPr>
              <w:t>。</w:t>
            </w:r>
          </w:p>
        </w:tc>
      </w:tr>
      <w:tr>
        <w:tc>
          <w:tcPr>
            <w:tcW w:type="dxa" w:w="2076"/>
          </w:tcPr>
          <w:p/>
        </w:tc>
        <w:tc>
          <w:tcPr>
            <w:tcW w:type="dxa" w:w="415"/>
          </w:tcPr>
          <w:p>
            <w:pPr>
              <w:pStyle w:val="null3"/>
            </w:pPr>
            <w:r>
              <w:rPr/>
              <w:t>24</w:t>
            </w:r>
          </w:p>
        </w:tc>
        <w:tc>
          <w:tcPr>
            <w:tcW w:type="dxa" w:w="5814"/>
          </w:tcPr>
          <w:p>
            <w:pPr>
              <w:pStyle w:val="null3"/>
              <w:jc w:val="both"/>
            </w:pPr>
            <w:r>
              <w:rPr>
                <w:sz w:val="21"/>
                <w:color w:val="000000"/>
              </w:rPr>
              <w:t>保质期</w:t>
            </w:r>
            <w:r>
              <w:rPr>
                <w:sz w:val="21"/>
                <w:color w:val="000000"/>
              </w:rPr>
              <w:t>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扫描电镜前处理系统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（一）：高真空镀膜仪</w:t>
            </w:r>
            <w:r>
              <w:br/>
            </w:r>
            <w:r>
              <w:rPr>
                <w:sz w:val="21"/>
                <w:color w:val="000000"/>
              </w:rPr>
              <w:t>1、操作参数：</w:t>
            </w:r>
            <w:r>
              <w:br/>
            </w:r>
            <w:r>
              <w:rPr>
                <w:sz w:val="21"/>
                <w:color w:val="000000"/>
              </w:rPr>
              <w:t>1.1 溅射镀膜的电流：涵盖范围不小于15～150(mA)，可调。</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1.2 溅射镀膜的时间：涵盖范围不小于1～1800(s)，可调。</w:t>
            </w:r>
          </w:p>
        </w:tc>
      </w:tr>
      <w:tr>
        <w:tc>
          <w:tcPr>
            <w:tcW w:type="dxa" w:w="2076"/>
          </w:tcPr>
          <w:p/>
        </w:tc>
        <w:tc>
          <w:tcPr>
            <w:tcW w:type="dxa" w:w="415"/>
          </w:tcPr>
          <w:p>
            <w:pPr>
              <w:pStyle w:val="null3"/>
            </w:pPr>
            <w:r>
              <w:rPr/>
              <w:t>3</w:t>
            </w:r>
          </w:p>
        </w:tc>
        <w:tc>
          <w:tcPr>
            <w:tcW w:type="dxa" w:w="5814"/>
          </w:tcPr>
          <w:p>
            <w:pPr>
              <w:pStyle w:val="null3"/>
              <w:jc w:val="both"/>
            </w:pPr>
            <w:r>
              <w:rPr>
                <w:sz w:val="21"/>
                <w:color w:val="000000"/>
              </w:rPr>
              <w:t>1.3 镀膜终止：同时具备按时间终止和按设定膜厚终止两个功能，二者在操作上可选。</w:t>
            </w:r>
          </w:p>
        </w:tc>
      </w:tr>
      <w:tr>
        <w:tc>
          <w:tcPr>
            <w:tcW w:type="dxa" w:w="2076"/>
          </w:tcPr>
          <w:p/>
        </w:tc>
        <w:tc>
          <w:tcPr>
            <w:tcW w:type="dxa" w:w="415"/>
          </w:tcPr>
          <w:p>
            <w:pPr>
              <w:pStyle w:val="null3"/>
            </w:pPr>
            <w:r>
              <w:rPr/>
              <w:t>4</w:t>
            </w:r>
          </w:p>
        </w:tc>
        <w:tc>
          <w:tcPr>
            <w:tcW w:type="dxa" w:w="5814"/>
          </w:tcPr>
          <w:p>
            <w:pPr>
              <w:pStyle w:val="null3"/>
              <w:jc w:val="both"/>
            </w:pPr>
            <w:r>
              <w:rPr>
                <w:sz w:val="21"/>
                <w:color w:val="000000"/>
              </w:rPr>
              <w:t>1.4 工作气体：高纯氩气</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b/>
              </w:rPr>
              <w:t>▲</w:t>
            </w:r>
            <w:r>
              <w:rPr>
                <w:sz w:val="21"/>
                <w:color w:val="000000"/>
              </w:rPr>
              <w:t>1.5 溅射镀膜的氩气压力值：涵盖范围不小于8×10</w:t>
            </w:r>
            <w:r>
              <w:rPr>
                <w:sz w:val="21"/>
                <w:color w:val="000000"/>
                <w:vertAlign w:val="superscript"/>
              </w:rPr>
              <w:t>－</w:t>
            </w:r>
            <w:r>
              <w:rPr>
                <w:sz w:val="21"/>
                <w:color w:val="000000"/>
                <w:vertAlign w:val="superscript"/>
              </w:rPr>
              <w:t>3</w:t>
            </w:r>
            <w:r>
              <w:rPr>
                <w:sz w:val="21"/>
                <w:color w:val="000000"/>
              </w:rPr>
              <w:t>（</w:t>
            </w:r>
            <w:r>
              <w:rPr>
                <w:sz w:val="21"/>
                <w:color w:val="000000"/>
              </w:rPr>
              <w:t>mbar）～1×10</w:t>
            </w:r>
            <w:r>
              <w:rPr>
                <w:sz w:val="21"/>
                <w:color w:val="000000"/>
                <w:vertAlign w:val="superscript"/>
              </w:rPr>
              <w:t>－</w:t>
            </w:r>
            <w:r>
              <w:rPr>
                <w:sz w:val="21"/>
                <w:color w:val="000000"/>
                <w:vertAlign w:val="superscript"/>
              </w:rPr>
              <w:t>1</w:t>
            </w:r>
            <w:r>
              <w:rPr>
                <w:sz w:val="21"/>
                <w:color w:val="000000"/>
              </w:rPr>
              <w:t>（</w:t>
            </w:r>
            <w:r>
              <w:rPr>
                <w:sz w:val="21"/>
                <w:color w:val="000000"/>
              </w:rPr>
              <w:t>mbar），可调；镀膜前的预抽真空度需≤5×10</w:t>
            </w:r>
            <w:r>
              <w:rPr>
                <w:sz w:val="21"/>
                <w:color w:val="000000"/>
                <w:vertAlign w:val="superscript"/>
              </w:rPr>
              <w:t>－</w:t>
            </w:r>
            <w:r>
              <w:rPr>
                <w:sz w:val="21"/>
                <w:color w:val="000000"/>
                <w:vertAlign w:val="superscript"/>
              </w:rPr>
              <w:t>5</w:t>
            </w:r>
            <w:r>
              <w:rPr>
                <w:sz w:val="21"/>
                <w:color w:val="000000"/>
              </w:rPr>
              <w:t>（</w:t>
            </w:r>
            <w:r>
              <w:rPr>
                <w:sz w:val="21"/>
                <w:color w:val="000000"/>
              </w:rPr>
              <w:t>mbar）。</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color w:val="000000"/>
              </w:rPr>
              <w:t>2、 控制系统</w:t>
            </w:r>
            <w:r>
              <w:br/>
            </w:r>
            <w:r>
              <w:rPr>
                <w:sz w:val="21"/>
                <w:color w:val="000000"/>
              </w:rPr>
              <w:t>2.1 控制器：内置式触摸屏控制面板</w:t>
            </w:r>
            <w:r>
              <w:rPr>
                <w:sz w:val="21"/>
                <w:color w:val="000000"/>
              </w:rPr>
              <w:t>。</w:t>
            </w:r>
          </w:p>
        </w:tc>
      </w:tr>
      <w:tr>
        <w:tc>
          <w:tcPr>
            <w:tcW w:type="dxa" w:w="2076"/>
          </w:tcPr>
          <w:p/>
        </w:tc>
        <w:tc>
          <w:tcPr>
            <w:tcW w:type="dxa" w:w="415"/>
          </w:tcPr>
          <w:p>
            <w:pPr>
              <w:pStyle w:val="null3"/>
            </w:pPr>
            <w:r>
              <w:rPr/>
              <w:t>7</w:t>
            </w:r>
          </w:p>
        </w:tc>
        <w:tc>
          <w:tcPr>
            <w:tcW w:type="dxa" w:w="5814"/>
          </w:tcPr>
          <w:p>
            <w:pPr>
              <w:pStyle w:val="null3"/>
              <w:jc w:val="both"/>
            </w:pPr>
            <w:r>
              <w:rPr>
                <w:sz w:val="21"/>
                <w:color w:val="000000"/>
              </w:rPr>
              <w:t>2.2 镀膜过程控制：自动镀膜</w:t>
            </w:r>
            <w:r>
              <w:rPr>
                <w:sz w:val="21"/>
                <w:color w:val="000000"/>
              </w:rPr>
              <w:t>。</w:t>
            </w:r>
          </w:p>
        </w:tc>
      </w:tr>
      <w:tr>
        <w:tc>
          <w:tcPr>
            <w:tcW w:type="dxa" w:w="2076"/>
          </w:tcPr>
          <w:p/>
        </w:tc>
        <w:tc>
          <w:tcPr>
            <w:tcW w:type="dxa" w:w="415"/>
          </w:tcPr>
          <w:p>
            <w:pPr>
              <w:pStyle w:val="null3"/>
            </w:pPr>
            <w:r>
              <w:rPr/>
              <w:t>8</w:t>
            </w:r>
          </w:p>
        </w:tc>
        <w:tc>
          <w:tcPr>
            <w:tcW w:type="dxa" w:w="5814"/>
          </w:tcPr>
          <w:p>
            <w:pPr>
              <w:pStyle w:val="null3"/>
              <w:jc w:val="both"/>
            </w:pPr>
            <w:r>
              <w:rPr>
                <w:sz w:val="21"/>
                <w:color w:val="000000"/>
              </w:rPr>
              <w:t>3、 镀膜仪功能</w:t>
            </w:r>
            <w:r>
              <w:br/>
            </w:r>
            <w:r>
              <w:rPr>
                <w:sz w:val="21"/>
                <w:color w:val="000000"/>
              </w:rPr>
              <w:t>3.1 镀膜靶源采用倾角式设计，带有预溅射功能，金属靶带有挡板保护。</w:t>
            </w:r>
          </w:p>
        </w:tc>
      </w:tr>
      <w:tr>
        <w:tc>
          <w:tcPr>
            <w:tcW w:type="dxa" w:w="2076"/>
          </w:tcPr>
          <w:p/>
        </w:tc>
        <w:tc>
          <w:tcPr>
            <w:tcW w:type="dxa" w:w="415"/>
          </w:tcPr>
          <w:p>
            <w:pPr>
              <w:pStyle w:val="null3"/>
            </w:pPr>
            <w:r>
              <w:rPr/>
              <w:t>9</w:t>
            </w:r>
          </w:p>
        </w:tc>
        <w:tc>
          <w:tcPr>
            <w:tcW w:type="dxa" w:w="5814"/>
          </w:tcPr>
          <w:p>
            <w:pPr>
              <w:pStyle w:val="null3"/>
              <w:jc w:val="both"/>
            </w:pPr>
            <w:r>
              <w:rPr>
                <w:sz w:val="21"/>
                <w:color w:val="000000"/>
              </w:rPr>
              <w:t>3.2 金属溅射镀膜标配靶材：铂金靶≥1块。</w:t>
            </w:r>
          </w:p>
        </w:tc>
      </w:tr>
      <w:tr>
        <w:tc>
          <w:tcPr>
            <w:tcW w:type="dxa" w:w="2076"/>
          </w:tcPr>
          <w:p/>
        </w:tc>
        <w:tc>
          <w:tcPr>
            <w:tcW w:type="dxa" w:w="415"/>
          </w:tcPr>
          <w:p>
            <w:pPr>
              <w:pStyle w:val="null3"/>
            </w:pPr>
            <w:r>
              <w:rPr/>
              <w:t>10</w:t>
            </w:r>
          </w:p>
        </w:tc>
        <w:tc>
          <w:tcPr>
            <w:tcW w:type="dxa" w:w="5814"/>
          </w:tcPr>
          <w:p>
            <w:pPr>
              <w:pStyle w:val="null3"/>
              <w:jc w:val="both"/>
            </w:pPr>
            <w:r>
              <w:rPr>
                <w:sz w:val="21"/>
                <w:color w:val="000000"/>
              </w:rPr>
              <w:t>3.3 碳丝蒸发镀膜，同时具备闪光式和脉冲式二种蒸发功能，二者在操作上可选。</w:t>
            </w:r>
          </w:p>
        </w:tc>
      </w:tr>
      <w:tr>
        <w:tc>
          <w:tcPr>
            <w:tcW w:type="dxa" w:w="2076"/>
          </w:tcPr>
          <w:p/>
        </w:tc>
        <w:tc>
          <w:tcPr>
            <w:tcW w:type="dxa" w:w="415"/>
          </w:tcPr>
          <w:p>
            <w:pPr>
              <w:pStyle w:val="null3"/>
            </w:pPr>
            <w:r>
              <w:rPr/>
              <w:t>11</w:t>
            </w:r>
          </w:p>
        </w:tc>
        <w:tc>
          <w:tcPr>
            <w:tcW w:type="dxa" w:w="5814"/>
          </w:tcPr>
          <w:p>
            <w:pPr>
              <w:pStyle w:val="null3"/>
              <w:jc w:val="both"/>
            </w:pPr>
            <w:r>
              <w:rPr>
                <w:sz w:val="21"/>
                <w:color w:val="000000"/>
              </w:rPr>
              <w:t>3.4 带有晶振片膜厚监控器，可根据设定膜厚自动终止镀膜，实现镀膜厚度的精确控制，控制显示精度≤0.1（nm）。</w:t>
            </w:r>
          </w:p>
        </w:tc>
      </w:tr>
      <w:tr>
        <w:tc>
          <w:tcPr>
            <w:tcW w:type="dxa" w:w="2076"/>
          </w:tcPr>
          <w:p/>
        </w:tc>
        <w:tc>
          <w:tcPr>
            <w:tcW w:type="dxa" w:w="415"/>
          </w:tcPr>
          <w:p>
            <w:pPr>
              <w:pStyle w:val="null3"/>
            </w:pPr>
            <w:r>
              <w:rPr/>
              <w:t>12</w:t>
            </w:r>
          </w:p>
        </w:tc>
        <w:tc>
          <w:tcPr>
            <w:tcW w:type="dxa" w:w="5814"/>
          </w:tcPr>
          <w:p>
            <w:pPr>
              <w:pStyle w:val="null3"/>
              <w:jc w:val="both"/>
            </w:pPr>
            <w:r>
              <w:rPr>
                <w:sz w:val="21"/>
                <w:color w:val="000000"/>
              </w:rPr>
              <w:t>3.5 带有氩气灌洗管路和样品室的功能。</w:t>
            </w:r>
          </w:p>
        </w:tc>
      </w:tr>
      <w:tr>
        <w:tc>
          <w:tcPr>
            <w:tcW w:type="dxa" w:w="2076"/>
          </w:tcPr>
          <w:p/>
        </w:tc>
        <w:tc>
          <w:tcPr>
            <w:tcW w:type="dxa" w:w="415"/>
          </w:tcPr>
          <w:p>
            <w:pPr>
              <w:pStyle w:val="null3"/>
            </w:pPr>
            <w:r>
              <w:rPr/>
              <w:t>13</w:t>
            </w:r>
          </w:p>
        </w:tc>
        <w:tc>
          <w:tcPr>
            <w:tcW w:type="dxa" w:w="5814"/>
          </w:tcPr>
          <w:p>
            <w:pPr>
              <w:pStyle w:val="null3"/>
              <w:jc w:val="both"/>
            </w:pPr>
            <w:r>
              <w:rPr>
                <w:sz w:val="21"/>
                <w:color w:val="000000"/>
              </w:rPr>
              <w:t>4、 样品室</w:t>
            </w:r>
            <w:r>
              <w:br/>
            </w:r>
            <w:r>
              <w:rPr>
                <w:sz w:val="21"/>
                <w:color w:val="000000"/>
              </w:rPr>
              <w:t>4.1 样品室内径（宽×深×高）：≥200 × 150 × 195 (mm)</w:t>
            </w:r>
            <w:r>
              <w:rPr>
                <w:sz w:val="21"/>
                <w:color w:val="000000"/>
              </w:rPr>
              <w:t>。</w:t>
            </w:r>
          </w:p>
          <w:p>
            <w:pPr>
              <w:pStyle w:val="null3"/>
              <w:jc w:val="both"/>
            </w:pPr>
          </w:p>
        </w:tc>
      </w:tr>
      <w:tr>
        <w:tc>
          <w:tcPr>
            <w:tcW w:type="dxa" w:w="2076"/>
          </w:tcPr>
          <w:p/>
        </w:tc>
        <w:tc>
          <w:tcPr>
            <w:tcW w:type="dxa" w:w="415"/>
          </w:tcPr>
          <w:p>
            <w:pPr>
              <w:pStyle w:val="null3"/>
            </w:pPr>
            <w:r>
              <w:rPr/>
              <w:t>14</w:t>
            </w:r>
          </w:p>
        </w:tc>
        <w:tc>
          <w:tcPr>
            <w:tcW w:type="dxa" w:w="5814"/>
          </w:tcPr>
          <w:p>
            <w:pPr>
              <w:pStyle w:val="null3"/>
              <w:jc w:val="both"/>
            </w:pPr>
            <w:r>
              <w:rPr>
                <w:sz w:val="21"/>
                <w:color w:val="000000"/>
              </w:rPr>
              <w:t>4.2 工作距离：涵盖范围不小于30～100(mm)，可调。</w:t>
            </w:r>
          </w:p>
        </w:tc>
      </w:tr>
      <w:tr>
        <w:tc>
          <w:tcPr>
            <w:tcW w:type="dxa" w:w="2076"/>
          </w:tcPr>
          <w:p/>
        </w:tc>
        <w:tc>
          <w:tcPr>
            <w:tcW w:type="dxa" w:w="415"/>
          </w:tcPr>
          <w:p>
            <w:pPr>
              <w:pStyle w:val="null3"/>
            </w:pPr>
            <w:r>
              <w:rPr/>
              <w:t>15</w:t>
            </w:r>
          </w:p>
        </w:tc>
        <w:tc>
          <w:tcPr>
            <w:tcW w:type="dxa" w:w="5814"/>
          </w:tcPr>
          <w:p>
            <w:pPr>
              <w:pStyle w:val="null3"/>
              <w:jc w:val="both"/>
            </w:pPr>
            <w:r>
              <w:rPr>
                <w:sz w:val="21"/>
                <w:color w:val="000000"/>
              </w:rPr>
              <w:t>4.3 工作台控制：配置具有旋转功能的样品台，转速≤20（rpm）。</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b/>
              </w:rPr>
              <w:t>▲</w:t>
            </w:r>
            <w:r>
              <w:rPr>
                <w:sz w:val="21"/>
                <w:color w:val="000000"/>
              </w:rPr>
              <w:t>4.4 工作台：标准工作台直径≥104（mm），可插入至少25个φ12.7（mm） 的标准SEM样品座</w:t>
            </w:r>
            <w:r>
              <w:rPr>
                <w:sz w:val="21"/>
                <w:color w:val="000000"/>
              </w:rPr>
              <w:t>。</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17</w:t>
            </w:r>
          </w:p>
        </w:tc>
        <w:tc>
          <w:tcPr>
            <w:tcW w:type="dxa" w:w="5814"/>
          </w:tcPr>
          <w:p>
            <w:pPr>
              <w:pStyle w:val="null3"/>
              <w:jc w:val="both"/>
            </w:pPr>
            <w:r>
              <w:rPr>
                <w:sz w:val="21"/>
                <w:color w:val="000000"/>
              </w:rPr>
              <w:t>5、 真空系统</w:t>
            </w:r>
            <w:r>
              <w:br/>
            </w:r>
            <w:r>
              <w:rPr>
                <w:sz w:val="21"/>
                <w:color w:val="000000"/>
              </w:rPr>
              <w:t>5.1 全无油真空系统：隔膜泵×1（流量≥13（L/min））+分子泵×1（流量≥67（L/s））。</w:t>
            </w:r>
          </w:p>
          <w:p>
            <w:pPr>
              <w:pStyle w:val="null3"/>
              <w:jc w:val="both"/>
            </w:pP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b/>
                <w:color w:val="000000"/>
              </w:rPr>
              <w:t>▲</w:t>
            </w:r>
            <w:r>
              <w:rPr>
                <w:sz w:val="21"/>
                <w:color w:val="000000"/>
              </w:rPr>
              <w:t>5.2 最优真空度：≤2×10</w:t>
            </w:r>
            <w:r>
              <w:rPr>
                <w:sz w:val="21"/>
                <w:color w:val="000000"/>
                <w:vertAlign w:val="superscript"/>
              </w:rPr>
              <w:t>-6</w:t>
            </w:r>
            <w:r>
              <w:rPr>
                <w:sz w:val="21"/>
                <w:color w:val="000000"/>
              </w:rPr>
              <w:t>（</w:t>
            </w:r>
            <w:r>
              <w:rPr>
                <w:sz w:val="21"/>
                <w:color w:val="000000"/>
              </w:rPr>
              <w:t>mbar）。</w:t>
            </w:r>
            <w:r>
              <w:rPr>
                <w:sz w:val="21"/>
                <w:color w:val="000000"/>
              </w:rPr>
              <w:t>（</w:t>
            </w:r>
            <w:r>
              <w:rPr>
                <w:sz w:val="21"/>
                <w:b/>
                <w:color w:val="000000"/>
              </w:rPr>
              <w:t>提供产品说明书或产品彩页</w:t>
            </w:r>
            <w:r>
              <w:rPr>
                <w:sz w:val="21"/>
                <w:b/>
                <w:color w:val="000000"/>
              </w:rPr>
              <w:t>或相应技术参数的厂家技术白皮书或</w:t>
            </w:r>
            <w:r>
              <w:rPr>
                <w:sz w:val="21"/>
                <w:b/>
                <w:color w:val="000000"/>
              </w:rPr>
              <w:t>第三方检测机构出具的具有</w:t>
            </w:r>
            <w:r>
              <w:rPr>
                <w:sz w:val="21"/>
                <w:b/>
                <w:color w:val="000000"/>
              </w:rPr>
              <w:t>CMA认证标识的检测报告复印件并加盖投标人公章</w:t>
            </w:r>
            <w:r>
              <w:rPr>
                <w:sz w:val="21"/>
                <w:color w:val="000000"/>
              </w:rPr>
              <w:t>）</w:t>
            </w:r>
          </w:p>
        </w:tc>
      </w:tr>
      <w:tr>
        <w:tc>
          <w:tcPr>
            <w:tcW w:type="dxa" w:w="2076"/>
          </w:tcPr>
          <w:p/>
        </w:tc>
        <w:tc>
          <w:tcPr>
            <w:tcW w:type="dxa" w:w="415"/>
          </w:tcPr>
          <w:p>
            <w:pPr>
              <w:pStyle w:val="null3"/>
            </w:pPr>
            <w:r>
              <w:rPr/>
              <w:t>19</w:t>
            </w:r>
          </w:p>
        </w:tc>
        <w:tc>
          <w:tcPr>
            <w:tcW w:type="dxa" w:w="5814"/>
          </w:tcPr>
          <w:p>
            <w:pPr>
              <w:pStyle w:val="null3"/>
              <w:jc w:val="both"/>
            </w:pPr>
            <w:r>
              <w:rPr>
                <w:sz w:val="21"/>
                <w:color w:val="000000"/>
              </w:rPr>
              <w:t>6、系统维护与清洁：样品室舱门、样品室内壁金属保护罩、镀膜挡板、靶材、样品台都可简易拆卸，清洁。</w:t>
            </w:r>
          </w:p>
        </w:tc>
      </w:tr>
      <w:tr>
        <w:tc>
          <w:tcPr>
            <w:tcW w:type="dxa" w:w="2076"/>
          </w:tcPr>
          <w:p/>
        </w:tc>
        <w:tc>
          <w:tcPr>
            <w:tcW w:type="dxa" w:w="415"/>
          </w:tcPr>
          <w:p>
            <w:pPr>
              <w:pStyle w:val="null3"/>
            </w:pPr>
            <w:r>
              <w:rPr/>
              <w:t>20</w:t>
            </w:r>
          </w:p>
        </w:tc>
        <w:tc>
          <w:tcPr>
            <w:tcW w:type="dxa" w:w="5814"/>
          </w:tcPr>
          <w:p>
            <w:pPr>
              <w:pStyle w:val="null3"/>
              <w:jc w:val="both"/>
            </w:pPr>
            <w:r>
              <w:rPr>
                <w:sz w:val="21"/>
                <w:color w:val="000000"/>
              </w:rPr>
              <w:t>7、配置清单：主机1台；除标配外，另配铂金靶2块；碳丝25（m）以上；测厚晶振片3盒，每盒不少于10片。</w:t>
            </w:r>
          </w:p>
        </w:tc>
      </w:tr>
      <w:tr>
        <w:tc>
          <w:tcPr>
            <w:tcW w:type="dxa" w:w="2076"/>
          </w:tcPr>
          <w:p/>
        </w:tc>
        <w:tc>
          <w:tcPr>
            <w:tcW w:type="dxa" w:w="415"/>
          </w:tcPr>
          <w:p>
            <w:pPr>
              <w:pStyle w:val="null3"/>
            </w:pPr>
            <w:r>
              <w:rPr/>
              <w:t>21</w:t>
            </w:r>
          </w:p>
        </w:tc>
        <w:tc>
          <w:tcPr>
            <w:tcW w:type="dxa" w:w="5814"/>
          </w:tcPr>
          <w:p>
            <w:pPr>
              <w:pStyle w:val="null3"/>
              <w:jc w:val="both"/>
            </w:pPr>
            <w:r>
              <w:rPr>
                <w:sz w:val="21"/>
                <w:color w:val="000000"/>
              </w:rPr>
              <w:t>8、质保要求：整机全保不少于5年。</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1"/>
                <w:color w:val="000000"/>
              </w:rPr>
              <w:t>（二）：临界点干燥仪</w:t>
            </w:r>
          </w:p>
          <w:p>
            <w:pPr>
              <w:pStyle w:val="null3"/>
              <w:jc w:val="both"/>
            </w:pPr>
            <w:r>
              <w:rPr>
                <w:sz w:val="21"/>
                <w:b/>
              </w:rPr>
              <w:t>▲</w:t>
            </w:r>
            <w:r>
              <w:rPr>
                <w:sz w:val="21"/>
                <w:color w:val="000000"/>
              </w:rPr>
              <w:t>1、样品室：尺寸≥φ60×62(mm)，容积≥175（ml）,配置填充板。</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b/>
              </w:rPr>
              <w:t>▲</w:t>
            </w:r>
            <w:r>
              <w:rPr>
                <w:sz w:val="21"/>
                <w:color w:val="000000"/>
              </w:rPr>
              <w:t>2、样品室设计：视窗设置不少于顶部和前部两个位置，带有密封性探测器，如样品室未关牢，系统会自动报警。</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24</w:t>
            </w:r>
          </w:p>
        </w:tc>
        <w:tc>
          <w:tcPr>
            <w:tcW w:type="dxa" w:w="5814"/>
          </w:tcPr>
          <w:p>
            <w:pPr>
              <w:pStyle w:val="null3"/>
              <w:jc w:val="both"/>
            </w:pPr>
            <w:r>
              <w:rPr>
                <w:sz w:val="21"/>
                <w:color w:val="000000"/>
              </w:rPr>
              <w:t>3、样品室照明：LED照明，亮度可调。</w:t>
            </w:r>
          </w:p>
        </w:tc>
      </w:tr>
      <w:tr>
        <w:tc>
          <w:tcPr>
            <w:tcW w:type="dxa" w:w="2076"/>
          </w:tcPr>
          <w:p/>
        </w:tc>
        <w:tc>
          <w:tcPr>
            <w:tcW w:type="dxa" w:w="415"/>
          </w:tcPr>
          <w:p>
            <w:pPr>
              <w:pStyle w:val="null3"/>
            </w:pPr>
            <w:r>
              <w:rPr/>
              <w:t>25</w:t>
            </w:r>
          </w:p>
        </w:tc>
        <w:tc>
          <w:tcPr>
            <w:tcW w:type="dxa" w:w="5814"/>
          </w:tcPr>
          <w:p>
            <w:pPr>
              <w:pStyle w:val="null3"/>
              <w:jc w:val="both"/>
            </w:pPr>
            <w:r>
              <w:rPr>
                <w:sz w:val="21"/>
                <w:color w:val="000000"/>
              </w:rPr>
              <w:t>4、操作控制：</w:t>
            </w:r>
            <w:r>
              <w:br/>
            </w:r>
            <w:r>
              <w:rPr>
                <w:sz w:val="21"/>
                <w:color w:val="000000"/>
              </w:rPr>
              <w:t>4.1 触摸屏设计，屏幕≥7(in)。</w:t>
            </w:r>
          </w:p>
        </w:tc>
      </w:tr>
      <w:tr>
        <w:tc>
          <w:tcPr>
            <w:tcW w:type="dxa" w:w="2076"/>
          </w:tcPr>
          <w:p>
            <w:pPr>
              <w:pStyle w:val="null3"/>
            </w:pPr>
            <w:r>
              <w:rPr/>
              <w:t>▲</w:t>
            </w:r>
          </w:p>
        </w:tc>
        <w:tc>
          <w:tcPr>
            <w:tcW w:type="dxa" w:w="415"/>
          </w:tcPr>
          <w:p>
            <w:pPr>
              <w:pStyle w:val="null3"/>
            </w:pPr>
            <w:r>
              <w:rPr/>
              <w:t>26</w:t>
            </w:r>
          </w:p>
        </w:tc>
        <w:tc>
          <w:tcPr>
            <w:tcW w:type="dxa" w:w="5814"/>
          </w:tcPr>
          <w:p>
            <w:pPr>
              <w:pStyle w:val="null3"/>
              <w:jc w:val="both"/>
            </w:pPr>
            <w:r>
              <w:rPr>
                <w:sz w:val="21"/>
                <w:b/>
              </w:rPr>
              <w:t>▲</w:t>
            </w:r>
            <w:r>
              <w:rPr>
                <w:sz w:val="21"/>
                <w:color w:val="000000"/>
              </w:rPr>
              <w:t>4.2 自动控制：样品室温度、CO</w:t>
            </w:r>
            <w:r>
              <w:rPr>
                <w:sz w:val="21"/>
                <w:color w:val="000000"/>
                <w:vertAlign w:val="subscript"/>
              </w:rPr>
              <w:t>2</w:t>
            </w:r>
            <w:r>
              <w:rPr>
                <w:sz w:val="21"/>
                <w:color w:val="000000"/>
              </w:rPr>
              <w:t>灌注速率、置换速率、样品室加热速率、</w:t>
            </w:r>
            <w:r>
              <w:rPr>
                <w:sz w:val="21"/>
                <w:color w:val="000000"/>
              </w:rPr>
              <w:t>CO</w:t>
            </w:r>
            <w:r>
              <w:rPr>
                <w:sz w:val="21"/>
                <w:color w:val="000000"/>
                <w:vertAlign w:val="subscript"/>
              </w:rPr>
              <w:t>2</w:t>
            </w:r>
            <w:r>
              <w:rPr>
                <w:sz w:val="21"/>
                <w:color w:val="000000"/>
              </w:rPr>
              <w:t>出气速率都可由用户预先设定，并且全流程按设定自动完成。用户可编程存储流程设置。</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27</w:t>
            </w:r>
          </w:p>
        </w:tc>
        <w:tc>
          <w:tcPr>
            <w:tcW w:type="dxa" w:w="5814"/>
          </w:tcPr>
          <w:p>
            <w:pPr>
              <w:pStyle w:val="null3"/>
              <w:jc w:val="both"/>
            </w:pPr>
            <w:r>
              <w:rPr>
                <w:sz w:val="21"/>
                <w:color w:val="000000"/>
              </w:rPr>
              <w:t>4.2.1 温度控制范围：制冷5～25（℃）可调，加热33～43（℃）可调，最大允许45（℃）。</w:t>
            </w:r>
          </w:p>
        </w:tc>
      </w:tr>
      <w:tr>
        <w:tc>
          <w:tcPr>
            <w:tcW w:type="dxa" w:w="2076"/>
          </w:tcPr>
          <w:p/>
        </w:tc>
        <w:tc>
          <w:tcPr>
            <w:tcW w:type="dxa" w:w="415"/>
          </w:tcPr>
          <w:p>
            <w:pPr>
              <w:pStyle w:val="null3"/>
            </w:pPr>
            <w:r>
              <w:rPr/>
              <w:t>28</w:t>
            </w:r>
          </w:p>
        </w:tc>
        <w:tc>
          <w:tcPr>
            <w:tcW w:type="dxa" w:w="5814"/>
          </w:tcPr>
          <w:p>
            <w:pPr>
              <w:pStyle w:val="null3"/>
              <w:jc w:val="both"/>
            </w:pPr>
            <w:r>
              <w:rPr>
                <w:sz w:val="21"/>
                <w:color w:val="000000"/>
              </w:rPr>
              <w:t>4.2.2 压强范围：涵盖范围不小于1～80（bar），具有压力安全保护泄压阀，最大安全压强≥150（bar）。</w:t>
            </w:r>
          </w:p>
        </w:tc>
      </w:tr>
      <w:tr>
        <w:tc>
          <w:tcPr>
            <w:tcW w:type="dxa" w:w="2076"/>
          </w:tcPr>
          <w:p/>
        </w:tc>
        <w:tc>
          <w:tcPr>
            <w:tcW w:type="dxa" w:w="415"/>
          </w:tcPr>
          <w:p>
            <w:pPr>
              <w:pStyle w:val="null3"/>
            </w:pPr>
            <w:r>
              <w:rPr/>
              <w:t>29</w:t>
            </w:r>
          </w:p>
        </w:tc>
        <w:tc>
          <w:tcPr>
            <w:tcW w:type="dxa" w:w="5814"/>
          </w:tcPr>
          <w:p>
            <w:pPr>
              <w:pStyle w:val="null3"/>
              <w:jc w:val="both"/>
            </w:pPr>
            <w:r>
              <w:rPr>
                <w:sz w:val="21"/>
                <w:color w:val="000000"/>
              </w:rPr>
              <w:t>4.2.3 CO</w:t>
            </w:r>
            <w:r>
              <w:rPr>
                <w:sz w:val="21"/>
                <w:color w:val="000000"/>
                <w:vertAlign w:val="subscript"/>
              </w:rPr>
              <w:t>2</w:t>
            </w:r>
            <w:r>
              <w:rPr>
                <w:sz w:val="21"/>
                <w:color w:val="000000"/>
              </w:rPr>
              <w:t>灌注速率：</w:t>
            </w:r>
            <w:r>
              <w:rPr>
                <w:sz w:val="21"/>
                <w:color w:val="000000"/>
              </w:rPr>
              <w:t>≥</w:t>
            </w:r>
            <w:r>
              <w:rPr>
                <w:sz w:val="21"/>
                <w:color w:val="000000"/>
              </w:rPr>
              <w:t>三档可调。</w:t>
            </w:r>
          </w:p>
        </w:tc>
      </w:tr>
      <w:tr>
        <w:tc>
          <w:tcPr>
            <w:tcW w:type="dxa" w:w="2076"/>
          </w:tcPr>
          <w:p/>
        </w:tc>
        <w:tc>
          <w:tcPr>
            <w:tcW w:type="dxa" w:w="415"/>
          </w:tcPr>
          <w:p>
            <w:pPr>
              <w:pStyle w:val="null3"/>
            </w:pPr>
            <w:r>
              <w:rPr/>
              <w:t>30</w:t>
            </w:r>
          </w:p>
        </w:tc>
        <w:tc>
          <w:tcPr>
            <w:tcW w:type="dxa" w:w="5814"/>
          </w:tcPr>
          <w:p>
            <w:pPr>
              <w:pStyle w:val="null3"/>
              <w:jc w:val="both"/>
            </w:pPr>
            <w:r>
              <w:rPr>
                <w:sz w:val="21"/>
                <w:color w:val="000000"/>
              </w:rPr>
              <w:t>4.2.4 CO</w:t>
            </w:r>
            <w:r>
              <w:rPr>
                <w:sz w:val="21"/>
                <w:color w:val="000000"/>
                <w:vertAlign w:val="subscript"/>
              </w:rPr>
              <w:t>2</w:t>
            </w:r>
            <w:r>
              <w:rPr>
                <w:sz w:val="21"/>
                <w:color w:val="000000"/>
              </w:rPr>
              <w:t>置换速率：</w:t>
            </w:r>
            <w:r>
              <w:rPr>
                <w:sz w:val="21"/>
                <w:color w:val="000000"/>
              </w:rPr>
              <w:t>≥</w:t>
            </w:r>
            <w:r>
              <w:rPr>
                <w:sz w:val="21"/>
                <w:color w:val="000000"/>
              </w:rPr>
              <w:t>十</w:t>
            </w:r>
            <w:r>
              <w:rPr>
                <w:sz w:val="21"/>
                <w:color w:val="000000"/>
              </w:rPr>
              <w:t>档可调。</w:t>
            </w:r>
          </w:p>
        </w:tc>
      </w:tr>
      <w:tr>
        <w:tc>
          <w:tcPr>
            <w:tcW w:type="dxa" w:w="2076"/>
          </w:tcPr>
          <w:p/>
        </w:tc>
        <w:tc>
          <w:tcPr>
            <w:tcW w:type="dxa" w:w="415"/>
          </w:tcPr>
          <w:p>
            <w:pPr>
              <w:pStyle w:val="null3"/>
            </w:pPr>
            <w:r>
              <w:rPr/>
              <w:t>31</w:t>
            </w:r>
          </w:p>
        </w:tc>
        <w:tc>
          <w:tcPr>
            <w:tcW w:type="dxa" w:w="5814"/>
          </w:tcPr>
          <w:p>
            <w:pPr>
              <w:pStyle w:val="null3"/>
              <w:jc w:val="both"/>
            </w:pPr>
            <w:r>
              <w:rPr>
                <w:sz w:val="21"/>
                <w:color w:val="000000"/>
              </w:rPr>
              <w:t>4.2.5 加热速率：</w:t>
            </w:r>
            <w:r>
              <w:rPr>
                <w:sz w:val="21"/>
                <w:color w:val="000000"/>
              </w:rPr>
              <w:t>≥</w:t>
            </w:r>
            <w:r>
              <w:rPr>
                <w:sz w:val="21"/>
                <w:color w:val="000000"/>
              </w:rPr>
              <w:t>三档可调</w:t>
            </w:r>
            <w:r>
              <w:rPr>
                <w:sz w:val="21"/>
              </w:rPr>
              <w:t>。</w:t>
            </w:r>
          </w:p>
        </w:tc>
      </w:tr>
      <w:tr>
        <w:tc>
          <w:tcPr>
            <w:tcW w:type="dxa" w:w="2076"/>
          </w:tcPr>
          <w:p/>
        </w:tc>
        <w:tc>
          <w:tcPr>
            <w:tcW w:type="dxa" w:w="415"/>
          </w:tcPr>
          <w:p>
            <w:pPr>
              <w:pStyle w:val="null3"/>
            </w:pPr>
            <w:r>
              <w:rPr/>
              <w:t>32</w:t>
            </w:r>
          </w:p>
        </w:tc>
        <w:tc>
          <w:tcPr>
            <w:tcW w:type="dxa" w:w="5814"/>
          </w:tcPr>
          <w:p>
            <w:pPr>
              <w:pStyle w:val="null3"/>
              <w:jc w:val="both"/>
            </w:pPr>
            <w:r>
              <w:rPr>
                <w:sz w:val="21"/>
                <w:color w:val="000000"/>
              </w:rPr>
              <w:t>4.2.6 CO</w:t>
            </w:r>
            <w:r>
              <w:rPr>
                <w:sz w:val="21"/>
                <w:color w:val="000000"/>
                <w:vertAlign w:val="subscript"/>
              </w:rPr>
              <w:t>2</w:t>
            </w:r>
            <w:r>
              <w:rPr>
                <w:sz w:val="21"/>
                <w:color w:val="000000"/>
              </w:rPr>
              <w:t>出气速率：</w:t>
            </w:r>
            <w:r>
              <w:rPr>
                <w:sz w:val="21"/>
                <w:color w:val="000000"/>
              </w:rPr>
              <w:t>≥</w:t>
            </w:r>
            <w:r>
              <w:rPr>
                <w:sz w:val="21"/>
                <w:color w:val="000000"/>
              </w:rPr>
              <w:t>三档可调。慢档具有高级模式，可选极慢速，</w:t>
            </w:r>
            <w:r>
              <w:rPr>
                <w:sz w:val="21"/>
                <w:color w:val="000000"/>
              </w:rPr>
              <w:t>20～100(%)可调。</w:t>
            </w:r>
          </w:p>
        </w:tc>
      </w:tr>
      <w:tr>
        <w:tc>
          <w:tcPr>
            <w:tcW w:type="dxa" w:w="2076"/>
          </w:tcPr>
          <w:p/>
        </w:tc>
        <w:tc>
          <w:tcPr>
            <w:tcW w:type="dxa" w:w="415"/>
          </w:tcPr>
          <w:p>
            <w:pPr>
              <w:pStyle w:val="null3"/>
            </w:pPr>
            <w:r>
              <w:rPr/>
              <w:t>33</w:t>
            </w:r>
          </w:p>
        </w:tc>
        <w:tc>
          <w:tcPr>
            <w:tcW w:type="dxa" w:w="5814"/>
          </w:tcPr>
          <w:p>
            <w:pPr>
              <w:pStyle w:val="null3"/>
              <w:jc w:val="both"/>
            </w:pPr>
            <w:r>
              <w:rPr>
                <w:sz w:val="21"/>
                <w:color w:val="000000"/>
              </w:rPr>
              <w:t>4.3 具有延时预约功能。</w:t>
            </w:r>
          </w:p>
        </w:tc>
      </w:tr>
      <w:tr>
        <w:tc>
          <w:tcPr>
            <w:tcW w:type="dxa" w:w="2076"/>
          </w:tcPr>
          <w:p/>
        </w:tc>
        <w:tc>
          <w:tcPr>
            <w:tcW w:type="dxa" w:w="415"/>
          </w:tcPr>
          <w:p>
            <w:pPr>
              <w:pStyle w:val="null3"/>
            </w:pPr>
            <w:r>
              <w:rPr/>
              <w:t>34</w:t>
            </w:r>
          </w:p>
        </w:tc>
        <w:tc>
          <w:tcPr>
            <w:tcW w:type="dxa" w:w="5814"/>
          </w:tcPr>
          <w:p>
            <w:pPr>
              <w:pStyle w:val="null3"/>
              <w:jc w:val="both"/>
            </w:pPr>
            <w:r>
              <w:rPr>
                <w:sz w:val="21"/>
                <w:color w:val="000000"/>
              </w:rPr>
              <w:t>4.4 系统自动计算所需时间，程序完成后报警提示。</w:t>
            </w:r>
          </w:p>
        </w:tc>
      </w:tr>
      <w:tr>
        <w:tc>
          <w:tcPr>
            <w:tcW w:type="dxa" w:w="2076"/>
          </w:tcPr>
          <w:p/>
        </w:tc>
        <w:tc>
          <w:tcPr>
            <w:tcW w:type="dxa" w:w="415"/>
          </w:tcPr>
          <w:p>
            <w:pPr>
              <w:pStyle w:val="null3"/>
            </w:pPr>
            <w:r>
              <w:rPr/>
              <w:t>35</w:t>
            </w:r>
          </w:p>
        </w:tc>
        <w:tc>
          <w:tcPr>
            <w:tcW w:type="dxa" w:w="5814"/>
          </w:tcPr>
          <w:p>
            <w:pPr>
              <w:pStyle w:val="null3"/>
              <w:jc w:val="both"/>
            </w:pPr>
            <w:r>
              <w:rPr>
                <w:sz w:val="21"/>
                <w:color w:val="000000"/>
              </w:rPr>
              <w:t>4.5 CO</w:t>
            </w:r>
            <w:r>
              <w:rPr>
                <w:sz w:val="21"/>
                <w:color w:val="000000"/>
                <w:vertAlign w:val="subscript"/>
              </w:rPr>
              <w:t>2</w:t>
            </w:r>
            <w:r>
              <w:rPr>
                <w:sz w:val="21"/>
                <w:color w:val="000000"/>
              </w:rPr>
              <w:t>气瓶内气体用完，系统会自动报警提示，关闭阀门</w:t>
            </w:r>
            <w:r>
              <w:rPr>
                <w:sz w:val="21"/>
                <w:color w:val="000000"/>
              </w:rPr>
              <w:t>。</w:t>
            </w:r>
          </w:p>
        </w:tc>
      </w:tr>
      <w:tr>
        <w:tc>
          <w:tcPr>
            <w:tcW w:type="dxa" w:w="2076"/>
          </w:tcPr>
          <w:p>
            <w:pPr>
              <w:pStyle w:val="null3"/>
            </w:pPr>
            <w:r>
              <w:rPr/>
              <w:t>▲</w:t>
            </w:r>
          </w:p>
        </w:tc>
        <w:tc>
          <w:tcPr>
            <w:tcW w:type="dxa" w:w="415"/>
          </w:tcPr>
          <w:p>
            <w:pPr>
              <w:pStyle w:val="null3"/>
            </w:pPr>
            <w:r>
              <w:rPr/>
              <w:t>36</w:t>
            </w:r>
          </w:p>
        </w:tc>
        <w:tc>
          <w:tcPr>
            <w:tcW w:type="dxa" w:w="5814"/>
          </w:tcPr>
          <w:p>
            <w:pPr>
              <w:pStyle w:val="null3"/>
              <w:jc w:val="both"/>
            </w:pPr>
            <w:r>
              <w:rPr>
                <w:sz w:val="21"/>
                <w:b/>
              </w:rPr>
              <w:t>▲</w:t>
            </w:r>
            <w:r>
              <w:rPr>
                <w:sz w:val="21"/>
                <w:color w:val="000000"/>
              </w:rPr>
              <w:t>5、废气处理：带有废气分离装置，容积≥2（L）。</w:t>
            </w:r>
            <w:r>
              <w:rPr>
                <w:sz w:val="21"/>
              </w:rPr>
              <w:t>（</w:t>
            </w:r>
            <w:r>
              <w:rPr>
                <w:sz w:val="21"/>
                <w:b/>
              </w:rPr>
              <w:t>提供产品说明书或产品彩页</w:t>
            </w:r>
            <w:r>
              <w:rPr>
                <w:sz w:val="21"/>
                <w:b/>
              </w:rPr>
              <w:t>或相应技术参数的厂家技术白皮书或</w:t>
            </w:r>
            <w:r>
              <w:rPr>
                <w:sz w:val="21"/>
                <w:b/>
              </w:rPr>
              <w:t>第三方检测机构出具的具有</w:t>
            </w:r>
            <w:r>
              <w:rPr>
                <w:sz w:val="21"/>
                <w:b/>
              </w:rPr>
              <w:t>CMA认证标识的检测报告复印件并加盖投标人公章</w:t>
            </w:r>
            <w:r>
              <w:rPr>
                <w:sz w:val="21"/>
              </w:rPr>
              <w:t>）</w:t>
            </w:r>
          </w:p>
        </w:tc>
      </w:tr>
      <w:tr>
        <w:tc>
          <w:tcPr>
            <w:tcW w:type="dxa" w:w="2076"/>
          </w:tcPr>
          <w:p/>
        </w:tc>
        <w:tc>
          <w:tcPr>
            <w:tcW w:type="dxa" w:w="415"/>
          </w:tcPr>
          <w:p>
            <w:pPr>
              <w:pStyle w:val="null3"/>
            </w:pPr>
            <w:r>
              <w:rPr/>
              <w:t>37</w:t>
            </w:r>
          </w:p>
        </w:tc>
        <w:tc>
          <w:tcPr>
            <w:tcW w:type="dxa" w:w="5814"/>
          </w:tcPr>
          <w:p>
            <w:pPr>
              <w:pStyle w:val="null3"/>
              <w:jc w:val="both"/>
            </w:pPr>
            <w:r>
              <w:rPr>
                <w:sz w:val="21"/>
                <w:color w:val="000000"/>
              </w:rPr>
              <w:t>6、配置清单：主机一台；小样品样品载篮2套；盖玻片载篮1套</w:t>
            </w:r>
            <w:r>
              <w:rPr>
                <w:sz w:val="21"/>
                <w:color w:val="000000"/>
              </w:rPr>
              <w:t>。</w:t>
            </w:r>
          </w:p>
        </w:tc>
      </w:tr>
      <w:tr>
        <w:tc>
          <w:tcPr>
            <w:tcW w:type="dxa" w:w="2076"/>
          </w:tcPr>
          <w:p/>
        </w:tc>
        <w:tc>
          <w:tcPr>
            <w:tcW w:type="dxa" w:w="415"/>
          </w:tcPr>
          <w:p>
            <w:pPr>
              <w:pStyle w:val="null3"/>
            </w:pPr>
            <w:r>
              <w:rPr/>
              <w:t>38</w:t>
            </w:r>
          </w:p>
        </w:tc>
        <w:tc>
          <w:tcPr>
            <w:tcW w:type="dxa" w:w="5814"/>
          </w:tcPr>
          <w:p>
            <w:pPr>
              <w:pStyle w:val="null3"/>
              <w:jc w:val="both"/>
            </w:pPr>
            <w:r>
              <w:rPr>
                <w:sz w:val="21"/>
                <w:color w:val="000000"/>
              </w:rPr>
              <w:t>7、质保要求：整机全保不少于5年。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高频红外碳硫元素分析仪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分析范围：（基于</w:t>
            </w:r>
            <w:r>
              <w:rPr>
                <w:sz w:val="21"/>
                <w:color w:val="000000"/>
              </w:rPr>
              <w:t>1g样品）</w:t>
            </w:r>
            <w:r>
              <w:br/>
            </w:r>
            <w:r>
              <w:rPr>
                <w:sz w:val="21"/>
                <w:color w:val="000000"/>
              </w:rPr>
              <w:t>碳：</w:t>
            </w:r>
            <w:r>
              <w:rPr>
                <w:sz w:val="21"/>
                <w:color w:val="000000"/>
              </w:rPr>
              <w:t>2ppm—6%</w:t>
            </w:r>
            <w:r>
              <w:br/>
            </w:r>
            <w:r>
              <w:rPr>
                <w:sz w:val="21"/>
                <w:color w:val="000000"/>
              </w:rPr>
              <w:t>硫：</w:t>
            </w:r>
            <w:r>
              <w:rPr>
                <w:sz w:val="21"/>
                <w:color w:val="000000"/>
              </w:rPr>
              <w:t>2</w:t>
            </w:r>
            <w:r>
              <w:rPr>
                <w:sz w:val="21"/>
                <w:color w:val="000000"/>
              </w:rPr>
              <w:t>ppm—1</w:t>
            </w:r>
            <w:r>
              <w:rPr>
                <w:sz w:val="21"/>
                <w:color w:val="000000"/>
              </w:rPr>
              <w:t>.5</w:t>
            </w:r>
            <w:r>
              <w:rPr>
                <w:sz w:val="21"/>
                <w:color w:val="000000"/>
              </w:rPr>
              <w:t>%</w:t>
            </w:r>
            <w:r>
              <w:br/>
            </w:r>
            <w:r>
              <w:rPr>
                <w:sz w:val="21"/>
                <w:color w:val="000000"/>
              </w:rPr>
              <w:t>（减少样品称重可以扩大分析范围）</w:t>
            </w:r>
          </w:p>
        </w:tc>
      </w:tr>
      <w:tr>
        <w:tc>
          <w:tcPr>
            <w:tcW w:type="dxa" w:w="2076"/>
          </w:tcPr>
          <w:p/>
        </w:tc>
        <w:tc>
          <w:tcPr>
            <w:tcW w:type="dxa" w:w="415"/>
          </w:tcPr>
          <w:p>
            <w:pPr>
              <w:pStyle w:val="null3"/>
            </w:pPr>
            <w:r>
              <w:rPr/>
              <w:t>2</w:t>
            </w:r>
          </w:p>
        </w:tc>
        <w:tc>
          <w:tcPr>
            <w:tcW w:type="dxa" w:w="5814"/>
          </w:tcPr>
          <w:p>
            <w:pPr>
              <w:pStyle w:val="null3"/>
              <w:jc w:val="left"/>
            </w:pPr>
            <w:r>
              <w:rPr>
                <w:sz w:val="21"/>
                <w:color w:val="000000"/>
              </w:rPr>
              <w:t>分析精度</w:t>
            </w:r>
            <w:r>
              <w:rPr>
                <w:sz w:val="21"/>
                <w:color w:val="000000"/>
              </w:rPr>
              <w:t>（</w:t>
            </w:r>
            <w:r>
              <w:rPr>
                <w:sz w:val="21"/>
                <w:color w:val="000000"/>
              </w:rPr>
              <w:t>标样测定</w:t>
            </w:r>
            <w:r>
              <w:rPr>
                <w:sz w:val="21"/>
                <w:color w:val="000000"/>
              </w:rPr>
              <w:t>）</w:t>
            </w:r>
            <w:r>
              <w:rPr>
                <w:sz w:val="21"/>
                <w:color w:val="000000"/>
              </w:rPr>
              <w:t>：</w:t>
            </w:r>
            <w:r>
              <w:br/>
            </w:r>
            <w:r>
              <w:rPr>
                <w:sz w:val="21"/>
                <w:color w:val="000000"/>
              </w:rPr>
              <w:t>碳</w:t>
            </w:r>
            <w:r>
              <w:rPr>
                <w:sz w:val="21"/>
                <w:color w:val="000000"/>
              </w:rPr>
              <w:t>：</w:t>
            </w:r>
            <w:r>
              <w:rPr/>
              <w:t xml:space="preserve"> </w:t>
            </w:r>
            <w:r>
              <w:rPr>
                <w:sz w:val="21"/>
                <w:color w:val="000000"/>
              </w:rPr>
              <w:t>含量范围</w:t>
            </w:r>
            <w:r>
              <w:rPr>
                <w:sz w:val="21"/>
                <w:color w:val="000000"/>
              </w:rPr>
              <w:t>2-10ppm</w:t>
            </w:r>
            <w:r>
              <w:rPr>
                <w:sz w:val="21"/>
                <w:color w:val="000000"/>
              </w:rPr>
              <w:t>时</w:t>
            </w:r>
            <w:r>
              <w:rPr>
                <w:sz w:val="21"/>
                <w:color w:val="000000"/>
              </w:rPr>
              <w:t>SD≤1ppm，</w:t>
            </w:r>
          </w:p>
          <w:p>
            <w:pPr>
              <w:pStyle w:val="null3"/>
              <w:ind w:firstLine="420"/>
              <w:jc w:val="left"/>
            </w:pPr>
            <w:r>
              <w:rPr>
                <w:sz w:val="21"/>
                <w:color w:val="000000"/>
              </w:rPr>
              <w:t>含量范围</w:t>
            </w:r>
            <w:r>
              <w:rPr>
                <w:sz w:val="21"/>
                <w:color w:val="000000"/>
              </w:rPr>
              <w:t>10</w:t>
            </w:r>
            <w:r>
              <w:rPr>
                <w:sz w:val="21"/>
                <w:color w:val="000000"/>
              </w:rPr>
              <w:t>-</w:t>
            </w:r>
            <w:r>
              <w:rPr>
                <w:sz w:val="21"/>
                <w:color w:val="000000"/>
              </w:rPr>
              <w:t>20</w:t>
            </w:r>
            <w:r>
              <w:rPr>
                <w:sz w:val="21"/>
                <w:color w:val="000000"/>
              </w:rPr>
              <w:t>0ppm</w:t>
            </w:r>
            <w:r>
              <w:rPr>
                <w:sz w:val="21"/>
                <w:color w:val="000000"/>
              </w:rPr>
              <w:t>时</w:t>
            </w:r>
            <w:r>
              <w:rPr>
                <w:sz w:val="21"/>
                <w:color w:val="000000"/>
              </w:rPr>
              <w:t>SD≤</w:t>
            </w:r>
            <w:r>
              <w:rPr>
                <w:sz w:val="21"/>
                <w:color w:val="000000"/>
              </w:rPr>
              <w:t>2</w:t>
            </w:r>
            <w:r>
              <w:rPr>
                <w:sz w:val="21"/>
                <w:color w:val="000000"/>
              </w:rPr>
              <w:t>ppm</w:t>
            </w:r>
            <w:r>
              <w:rPr>
                <w:sz w:val="21"/>
                <w:color w:val="000000"/>
              </w:rPr>
              <w:t>或</w:t>
            </w:r>
            <w:r>
              <w:rPr>
                <w:sz w:val="21"/>
                <w:color w:val="000000"/>
              </w:rPr>
              <w:t>RSD≤0.5%</w:t>
            </w:r>
          </w:p>
          <w:p>
            <w:pPr>
              <w:pStyle w:val="null3"/>
              <w:ind w:firstLine="420"/>
              <w:jc w:val="left"/>
            </w:pPr>
            <w:r>
              <w:rPr>
                <w:sz w:val="21"/>
                <w:color w:val="000000"/>
              </w:rPr>
              <w:t>含量范围</w:t>
            </w:r>
            <w:r>
              <w:rPr>
                <w:sz w:val="21"/>
                <w:color w:val="000000"/>
              </w:rPr>
              <w:t>≥20</w:t>
            </w:r>
            <w:r>
              <w:rPr>
                <w:sz w:val="21"/>
                <w:color w:val="000000"/>
              </w:rPr>
              <w:t>0ppm</w:t>
            </w:r>
            <w:r>
              <w:rPr>
                <w:sz w:val="21"/>
                <w:color w:val="000000"/>
              </w:rPr>
              <w:t>时</w:t>
            </w:r>
            <w:r>
              <w:rPr>
                <w:sz w:val="21"/>
                <w:color w:val="000000"/>
              </w:rPr>
              <w:t>RSD≤0.5%，</w:t>
            </w:r>
            <w:r>
              <w:br/>
            </w:r>
            <w:r>
              <w:rPr>
                <w:sz w:val="21"/>
                <w:color w:val="000000"/>
              </w:rPr>
              <w:t>硫：</w:t>
            </w:r>
            <w:r>
              <w:rPr/>
              <w:t xml:space="preserve"> </w:t>
            </w:r>
            <w:r>
              <w:rPr>
                <w:sz w:val="21"/>
                <w:color w:val="000000"/>
              </w:rPr>
              <w:t>含量范围</w:t>
            </w:r>
            <w:r>
              <w:rPr>
                <w:sz w:val="21"/>
                <w:color w:val="000000"/>
              </w:rPr>
              <w:t>2-10ppm</w:t>
            </w:r>
            <w:r>
              <w:rPr>
                <w:sz w:val="21"/>
                <w:color w:val="000000"/>
              </w:rPr>
              <w:t>时</w:t>
            </w:r>
            <w:r>
              <w:rPr>
                <w:sz w:val="21"/>
                <w:color w:val="000000"/>
              </w:rPr>
              <w:t>SD≤1ppm</w:t>
            </w:r>
          </w:p>
          <w:p>
            <w:pPr>
              <w:pStyle w:val="null3"/>
              <w:ind w:firstLine="420"/>
              <w:jc w:val="left"/>
            </w:pPr>
            <w:r>
              <w:rPr>
                <w:sz w:val="21"/>
                <w:color w:val="000000"/>
              </w:rPr>
              <w:t>含量范围</w:t>
            </w:r>
            <w:r>
              <w:rPr>
                <w:sz w:val="21"/>
                <w:color w:val="000000"/>
              </w:rPr>
              <w:t>10</w:t>
            </w:r>
            <w:r>
              <w:rPr>
                <w:sz w:val="21"/>
                <w:color w:val="000000"/>
              </w:rPr>
              <w:t>-10</w:t>
            </w:r>
            <w:r>
              <w:rPr>
                <w:sz w:val="21"/>
                <w:color w:val="000000"/>
              </w:rPr>
              <w:t>0</w:t>
            </w:r>
            <w:r>
              <w:rPr>
                <w:sz w:val="21"/>
                <w:color w:val="000000"/>
              </w:rPr>
              <w:t>ppm</w:t>
            </w:r>
            <w:r>
              <w:rPr>
                <w:sz w:val="21"/>
                <w:color w:val="000000"/>
              </w:rPr>
              <w:t>时</w:t>
            </w:r>
            <w:r>
              <w:rPr>
                <w:sz w:val="21"/>
                <w:color w:val="000000"/>
              </w:rPr>
              <w:t>SD≤</w:t>
            </w:r>
            <w:r>
              <w:rPr>
                <w:sz w:val="21"/>
                <w:color w:val="000000"/>
              </w:rPr>
              <w:t>2</w:t>
            </w:r>
            <w:r>
              <w:rPr>
                <w:sz w:val="21"/>
                <w:color w:val="000000"/>
              </w:rPr>
              <w:t>ppm</w:t>
            </w:r>
            <w:r>
              <w:rPr>
                <w:sz w:val="21"/>
                <w:color w:val="000000"/>
              </w:rPr>
              <w:t>或</w:t>
            </w:r>
            <w:r>
              <w:rPr>
                <w:sz w:val="21"/>
                <w:color w:val="000000"/>
              </w:rPr>
              <w:t>RSD≤0.5%</w:t>
            </w:r>
          </w:p>
          <w:p>
            <w:pPr>
              <w:pStyle w:val="null3"/>
              <w:ind w:firstLine="420"/>
              <w:jc w:val="left"/>
            </w:pPr>
            <w:r>
              <w:rPr>
                <w:sz w:val="21"/>
                <w:color w:val="000000"/>
              </w:rPr>
              <w:t>含量范围</w:t>
            </w:r>
            <w:r>
              <w:rPr>
                <w:sz w:val="21"/>
                <w:color w:val="000000"/>
              </w:rPr>
              <w:t>≥20</w:t>
            </w:r>
            <w:r>
              <w:rPr>
                <w:sz w:val="21"/>
                <w:color w:val="000000"/>
              </w:rPr>
              <w:t>0ppm</w:t>
            </w:r>
            <w:r>
              <w:rPr>
                <w:sz w:val="21"/>
                <w:color w:val="000000"/>
              </w:rPr>
              <w:t>时</w:t>
            </w:r>
            <w:r>
              <w:rPr>
                <w:sz w:val="21"/>
                <w:color w:val="000000"/>
              </w:rPr>
              <w:t>RSD≤</w:t>
            </w:r>
            <w:r>
              <w:rPr>
                <w:sz w:val="21"/>
                <w:color w:val="000000"/>
              </w:rPr>
              <w:t>1.0%。</w:t>
            </w:r>
            <w:r>
              <w:br/>
            </w:r>
            <w:r>
              <w:rPr>
                <w:sz w:val="21"/>
                <w:color w:val="000000"/>
              </w:rPr>
              <w:t>重现性：满足</w:t>
            </w:r>
            <w:r>
              <w:rPr>
                <w:sz w:val="21"/>
                <w:color w:val="000000"/>
              </w:rPr>
              <w:t>GB/T20123-2006/ ISO 15350:2000的要求</w:t>
            </w:r>
          </w:p>
          <w:p>
            <w:pPr>
              <w:pStyle w:val="null3"/>
              <w:jc w:val="both"/>
            </w:pPr>
            <w:r>
              <w:rPr>
                <w:sz w:val="21"/>
                <w:color w:val="000000"/>
              </w:rPr>
              <w:t>验收用标样由中标人提供。</w:t>
            </w:r>
          </w:p>
        </w:tc>
      </w:tr>
      <w:tr>
        <w:tc>
          <w:tcPr>
            <w:tcW w:type="dxa" w:w="2076"/>
          </w:tcPr>
          <w:p/>
        </w:tc>
        <w:tc>
          <w:tcPr>
            <w:tcW w:type="dxa" w:w="415"/>
          </w:tcPr>
          <w:p>
            <w:pPr>
              <w:pStyle w:val="null3"/>
            </w:pPr>
            <w:r>
              <w:rPr/>
              <w:t>3</w:t>
            </w:r>
          </w:p>
        </w:tc>
        <w:tc>
          <w:tcPr>
            <w:tcW w:type="dxa" w:w="5814"/>
          </w:tcPr>
          <w:p>
            <w:pPr>
              <w:pStyle w:val="null3"/>
              <w:jc w:val="both"/>
            </w:pPr>
            <w:r>
              <w:rPr>
                <w:sz w:val="21"/>
                <w:color w:val="000000"/>
              </w:rPr>
              <w:t>检测器</w:t>
            </w:r>
            <w:r>
              <w:br/>
            </w:r>
            <w:r>
              <w:rPr>
                <w:sz w:val="21"/>
                <w:color w:val="000000"/>
              </w:rPr>
              <w:t>碳：</w:t>
            </w:r>
            <w:r>
              <w:rPr>
                <w:sz w:val="21"/>
                <w:color w:val="000000"/>
              </w:rPr>
              <w:t>CO</w:t>
            </w:r>
            <w:r>
              <w:rPr>
                <w:sz w:val="21"/>
                <w:vertAlign w:val="subscript"/>
              </w:rPr>
              <w:t>2</w:t>
            </w:r>
            <w:r>
              <w:rPr>
                <w:sz w:val="21"/>
                <w:color w:val="000000"/>
              </w:rPr>
              <w:t>红外检测器</w:t>
            </w:r>
            <w:r>
              <w:br/>
            </w:r>
            <w:r>
              <w:rPr>
                <w:sz w:val="21"/>
                <w:color w:val="000000"/>
              </w:rPr>
              <w:t>硫：</w:t>
            </w:r>
            <w:r>
              <w:rPr>
                <w:sz w:val="21"/>
                <w:color w:val="000000"/>
              </w:rPr>
              <w:t>SO</w:t>
            </w:r>
            <w:r>
              <w:rPr>
                <w:sz w:val="21"/>
                <w:color w:val="000000"/>
                <w:vertAlign w:val="subscript"/>
              </w:rPr>
              <w:t>2</w:t>
            </w:r>
            <w:r>
              <w:rPr>
                <w:sz w:val="21"/>
                <w:color w:val="000000"/>
              </w:rPr>
              <w:t>红外检</w:t>
            </w:r>
            <w:r>
              <w:rPr>
                <w:sz w:val="21"/>
                <w:color w:val="000000"/>
              </w:rPr>
              <w:t>测器</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color w:val="000000"/>
              </w:rPr>
              <w:t>▲</w:t>
            </w:r>
            <w:r>
              <w:rPr>
                <w:sz w:val="21"/>
                <w:color w:val="000000"/>
              </w:rPr>
              <w:t>各检测器为独立红外检测器，</w:t>
            </w:r>
            <w:r>
              <w:rPr>
                <w:sz w:val="21"/>
                <w:color w:val="000000"/>
              </w:rPr>
              <w:t>均</w:t>
            </w:r>
            <w:r>
              <w:rPr>
                <w:sz w:val="21"/>
                <w:color w:val="000000"/>
              </w:rPr>
              <w:t>具备升温及控温功能。分析软件界面需实时显示各检测器的升温曲线及温度数据（</w:t>
            </w:r>
            <w:r>
              <w:rPr>
                <w:sz w:val="21"/>
                <w:b/>
                <w:color w:val="000000"/>
              </w:rPr>
              <w:t>投标人须在投标文件中提供分析仪的分析软件所显示的各检测器的温度曲线以证明所投产品是否满足招标文件的要求</w:t>
            </w:r>
            <w:r>
              <w:rPr>
                <w:sz w:val="21"/>
                <w:color w:val="000000"/>
              </w:rPr>
              <w:t>）</w:t>
            </w:r>
            <w:r>
              <w:rPr>
                <w:sz w:val="21"/>
              </w:rPr>
              <w:t>。</w:t>
            </w:r>
          </w:p>
        </w:tc>
      </w:tr>
      <w:tr>
        <w:tc>
          <w:tcPr>
            <w:tcW w:type="dxa" w:w="2076"/>
          </w:tcPr>
          <w:p/>
        </w:tc>
        <w:tc>
          <w:tcPr>
            <w:tcW w:type="dxa" w:w="415"/>
          </w:tcPr>
          <w:p>
            <w:pPr>
              <w:pStyle w:val="null3"/>
            </w:pPr>
            <w:r>
              <w:rPr/>
              <w:t>5</w:t>
            </w:r>
          </w:p>
        </w:tc>
        <w:tc>
          <w:tcPr>
            <w:tcW w:type="dxa" w:w="5814"/>
          </w:tcPr>
          <w:p>
            <w:pPr>
              <w:pStyle w:val="null3"/>
              <w:jc w:val="both"/>
            </w:pPr>
            <w:r>
              <w:rPr>
                <w:sz w:val="21"/>
                <w:color w:val="000000"/>
              </w:rPr>
              <w:t>加热炉类型：高频感应炉，功率</w:t>
            </w:r>
            <w:r>
              <w:rPr>
                <w:sz w:val="21"/>
                <w:color w:val="000000"/>
              </w:rPr>
              <w:t>≥2.2KW，有无级程序升温功能，速率可调节，具有自动检测电磁阀</w:t>
            </w:r>
            <w:r>
              <w:rPr>
                <w:sz w:val="21"/>
                <w:color w:val="000000"/>
              </w:rPr>
              <w:t>、</w:t>
            </w:r>
            <w:r>
              <w:rPr>
                <w:sz w:val="21"/>
                <w:color w:val="000000"/>
              </w:rPr>
              <w:t>自动感应气缸状态，且</w:t>
            </w:r>
            <w:r>
              <w:rPr>
                <w:sz w:val="21"/>
                <w:color w:val="000000"/>
              </w:rPr>
              <w:t>具有</w:t>
            </w:r>
            <w:r>
              <w:rPr>
                <w:sz w:val="21"/>
                <w:color w:val="000000"/>
              </w:rPr>
              <w:t>过流、过温报警功能，炉头有恒温设计。</w:t>
            </w:r>
          </w:p>
        </w:tc>
      </w:tr>
      <w:tr>
        <w:tc>
          <w:tcPr>
            <w:tcW w:type="dxa" w:w="2076"/>
          </w:tcPr>
          <w:p/>
        </w:tc>
        <w:tc>
          <w:tcPr>
            <w:tcW w:type="dxa" w:w="415"/>
          </w:tcPr>
          <w:p>
            <w:pPr>
              <w:pStyle w:val="null3"/>
            </w:pPr>
            <w:r>
              <w:rPr/>
              <w:t>6</w:t>
            </w:r>
          </w:p>
        </w:tc>
        <w:tc>
          <w:tcPr>
            <w:tcW w:type="dxa" w:w="5814"/>
          </w:tcPr>
          <w:p>
            <w:pPr>
              <w:pStyle w:val="null3"/>
              <w:jc w:val="both"/>
            </w:pPr>
            <w:r>
              <w:rPr>
                <w:sz w:val="21"/>
                <w:color w:val="000000"/>
              </w:rPr>
              <w:t>自动清扫：采用软件程序控制的全自动双区域金属清扫刷及真空除尘装置。金属清扫刷须具备同时进行燃烧管和金属过滤网的清扫功能。</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color w:val="000000"/>
              </w:rPr>
              <w:t>▲</w:t>
            </w:r>
            <w:r>
              <w:rPr>
                <w:sz w:val="21"/>
                <w:color w:val="000000"/>
              </w:rPr>
              <w:t>尾气处理：在线</w:t>
            </w:r>
            <w:r>
              <w:rPr>
                <w:sz w:val="21"/>
                <w:color w:val="000000"/>
              </w:rPr>
              <w:t>CO-CO</w:t>
            </w:r>
            <w:r>
              <w:rPr>
                <w:sz w:val="21"/>
                <w:color w:val="000000"/>
                <w:vertAlign w:val="subscript"/>
              </w:rPr>
              <w:t>2</w:t>
            </w:r>
            <w:r>
              <w:rPr>
                <w:sz w:val="21"/>
                <w:color w:val="000000"/>
              </w:rPr>
              <w:t>，</w:t>
            </w:r>
            <w:r>
              <w:rPr>
                <w:sz w:val="21"/>
                <w:color w:val="000000"/>
              </w:rPr>
              <w:t>SO</w:t>
            </w:r>
            <w:r>
              <w:rPr>
                <w:sz w:val="21"/>
                <w:color w:val="000000"/>
                <w:vertAlign w:val="subscript"/>
              </w:rPr>
              <w:t>2</w:t>
            </w:r>
            <w:r>
              <w:rPr>
                <w:sz w:val="21"/>
                <w:color w:val="000000"/>
              </w:rPr>
              <w:t>-SO</w:t>
            </w:r>
            <w:r>
              <w:rPr>
                <w:sz w:val="21"/>
                <w:color w:val="000000"/>
                <w:vertAlign w:val="subscript"/>
              </w:rPr>
              <w:t>3</w:t>
            </w:r>
            <w:r>
              <w:rPr>
                <w:sz w:val="21"/>
                <w:color w:val="000000"/>
              </w:rPr>
              <w:t>催化装置，</w:t>
            </w:r>
            <w:r>
              <w:rPr>
                <w:sz w:val="21"/>
                <w:color w:val="000000"/>
              </w:rPr>
              <w:t>SO</w:t>
            </w:r>
            <w:r>
              <w:rPr>
                <w:sz w:val="21"/>
                <w:color w:val="000000"/>
                <w:vertAlign w:val="subscript"/>
              </w:rPr>
              <w:t>3</w:t>
            </w:r>
            <w:r>
              <w:rPr>
                <w:sz w:val="21"/>
                <w:color w:val="000000"/>
              </w:rPr>
              <w:t>吸收装置，二氧化硫浓度</w:t>
            </w:r>
            <w:r>
              <w:rPr>
                <w:sz w:val="21"/>
                <w:color w:val="000000"/>
              </w:rPr>
              <w:t>≤200mg/m³。（</w:t>
            </w:r>
            <w:r>
              <w:rPr>
                <w:sz w:val="21"/>
                <w:b/>
                <w:color w:val="000000"/>
              </w:rPr>
              <w:t>投标人须在投标文件中提供该装置的运行视频截屏以证明所投产品是否满足招标文件的要求</w:t>
            </w:r>
            <w:r>
              <w:rPr>
                <w:sz w:val="21"/>
                <w:color w:val="000000"/>
              </w:rPr>
              <w:t>）</w:t>
            </w:r>
            <w:r>
              <w:rPr>
                <w:sz w:val="21"/>
              </w:rPr>
              <w:t>。</w:t>
            </w:r>
          </w:p>
        </w:tc>
      </w:tr>
      <w:tr>
        <w:tc>
          <w:tcPr>
            <w:tcW w:type="dxa" w:w="2076"/>
          </w:tcPr>
          <w:p/>
        </w:tc>
        <w:tc>
          <w:tcPr>
            <w:tcW w:type="dxa" w:w="415"/>
          </w:tcPr>
          <w:p>
            <w:pPr>
              <w:pStyle w:val="null3"/>
            </w:pPr>
            <w:r>
              <w:rPr/>
              <w:t>8</w:t>
            </w:r>
          </w:p>
        </w:tc>
        <w:tc>
          <w:tcPr>
            <w:tcW w:type="dxa" w:w="5814"/>
          </w:tcPr>
          <w:p>
            <w:pPr>
              <w:pStyle w:val="null3"/>
              <w:jc w:val="both"/>
            </w:pPr>
            <w:r>
              <w:rPr>
                <w:sz w:val="21"/>
                <w:color w:val="000000"/>
              </w:rPr>
              <w:t>红外检测器采用电子调制光源或磁感应切光式光源，采用无漂移电路设计杜绝电子干扰。</w:t>
            </w:r>
          </w:p>
        </w:tc>
      </w:tr>
      <w:tr>
        <w:tc>
          <w:tcPr>
            <w:tcW w:type="dxa" w:w="2076"/>
          </w:tcPr>
          <w:p/>
        </w:tc>
        <w:tc>
          <w:tcPr>
            <w:tcW w:type="dxa" w:w="415"/>
          </w:tcPr>
          <w:p>
            <w:pPr>
              <w:pStyle w:val="null3"/>
            </w:pPr>
            <w:r>
              <w:rPr/>
              <w:t>9</w:t>
            </w:r>
          </w:p>
        </w:tc>
        <w:tc>
          <w:tcPr>
            <w:tcW w:type="dxa" w:w="5814"/>
          </w:tcPr>
          <w:p>
            <w:pPr>
              <w:pStyle w:val="null3"/>
              <w:jc w:val="both"/>
            </w:pPr>
            <w:r>
              <w:rPr>
                <w:sz w:val="21"/>
                <w:color w:val="000000"/>
              </w:rPr>
              <w:t>分析方法：预</w:t>
            </w:r>
            <w:r>
              <w:rPr>
                <w:sz w:val="21"/>
                <w:color w:val="000000"/>
              </w:rPr>
              <w:t>置</w:t>
            </w:r>
            <w:r>
              <w:rPr>
                <w:sz w:val="21"/>
                <w:color w:val="000000"/>
              </w:rPr>
              <w:t>的应用分析方法，可根据用户分析需要，设置多种分析方法并保存，随时调用数量不受限制。</w:t>
            </w:r>
          </w:p>
        </w:tc>
      </w:tr>
      <w:tr>
        <w:tc>
          <w:tcPr>
            <w:tcW w:type="dxa" w:w="2076"/>
          </w:tcPr>
          <w:p/>
        </w:tc>
        <w:tc>
          <w:tcPr>
            <w:tcW w:type="dxa" w:w="415"/>
          </w:tcPr>
          <w:p>
            <w:pPr>
              <w:pStyle w:val="null3"/>
            </w:pPr>
            <w:r>
              <w:rPr/>
              <w:t>10</w:t>
            </w:r>
          </w:p>
        </w:tc>
        <w:tc>
          <w:tcPr>
            <w:tcW w:type="dxa" w:w="5814"/>
          </w:tcPr>
          <w:p>
            <w:pPr>
              <w:pStyle w:val="null3"/>
              <w:jc w:val="both"/>
            </w:pPr>
            <w:r>
              <w:rPr>
                <w:sz w:val="21"/>
                <w:color w:val="000000"/>
              </w:rPr>
              <w:t>气路采用不锈钢</w:t>
            </w:r>
            <w:r>
              <w:rPr>
                <w:sz w:val="21"/>
                <w:color w:val="000000"/>
              </w:rPr>
              <w:t>材质</w:t>
            </w:r>
            <w:r>
              <w:rPr>
                <w:sz w:val="21"/>
                <w:color w:val="000000"/>
              </w:rPr>
              <w:t>或防腐防卤素材料，</w:t>
            </w:r>
            <w:r>
              <w:rPr>
                <w:sz w:val="21"/>
                <w:color w:val="000000"/>
              </w:rPr>
              <w:t>延长使用寿命，</w:t>
            </w:r>
            <w:r>
              <w:rPr>
                <w:sz w:val="21"/>
                <w:color w:val="000000"/>
              </w:rPr>
              <w:t>各分支气路由独立电磁流量阀控制，可以实现分段独自检漏或全部检漏。</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color w:val="000000"/>
              </w:rPr>
              <w:t>▲</w:t>
            </w:r>
            <w:r>
              <w:rPr>
                <w:sz w:val="21"/>
                <w:color w:val="000000"/>
              </w:rPr>
              <w:t>燃烧管</w:t>
            </w:r>
            <w:r>
              <w:rPr>
                <w:sz w:val="21"/>
                <w:color w:val="000000"/>
              </w:rPr>
              <w:t>配有自动加载和拆卸装置。自动加载拆卸装置可减少维护的所花费的时间，同时减少人工拆装可能造成的部件的损坏（</w:t>
            </w:r>
            <w:r>
              <w:rPr>
                <w:sz w:val="21"/>
                <w:b/>
                <w:color w:val="000000"/>
              </w:rPr>
              <w:t>投标人须在投标文件中提供该装置的运行视频截屏以证明所投产品是否满足招标文件的要求</w:t>
            </w:r>
            <w:r>
              <w:rPr>
                <w:sz w:val="21"/>
                <w:color w:val="000000"/>
              </w:rPr>
              <w:t>）</w:t>
            </w:r>
            <w:r>
              <w:rPr>
                <w:sz w:val="21"/>
              </w:rPr>
              <w:t>。</w:t>
            </w:r>
          </w:p>
        </w:tc>
      </w:tr>
      <w:tr>
        <w:tc>
          <w:tcPr>
            <w:tcW w:type="dxa" w:w="2076"/>
          </w:tcPr>
          <w:p/>
        </w:tc>
        <w:tc>
          <w:tcPr>
            <w:tcW w:type="dxa" w:w="415"/>
          </w:tcPr>
          <w:p>
            <w:pPr>
              <w:pStyle w:val="null3"/>
            </w:pPr>
            <w:r>
              <w:rPr/>
              <w:t>12</w:t>
            </w:r>
          </w:p>
        </w:tc>
        <w:tc>
          <w:tcPr>
            <w:tcW w:type="dxa" w:w="5814"/>
          </w:tcPr>
          <w:p>
            <w:pPr>
              <w:pStyle w:val="null3"/>
              <w:jc w:val="both"/>
            </w:pPr>
            <w:r>
              <w:rPr>
                <w:sz w:val="21"/>
                <w:color w:val="000000"/>
              </w:rPr>
              <w:t>分析软件可连接到各类移动客户端，可以在手机等移动客户端随时查看分析数据</w:t>
            </w:r>
            <w:r>
              <w:rPr>
                <w:sz w:val="21"/>
                <w:color w:val="000000"/>
              </w:rPr>
              <w:t>。</w:t>
            </w:r>
          </w:p>
        </w:tc>
      </w:tr>
      <w:tr>
        <w:tc>
          <w:tcPr>
            <w:tcW w:type="dxa" w:w="2076"/>
          </w:tcPr>
          <w:p/>
        </w:tc>
        <w:tc>
          <w:tcPr>
            <w:tcW w:type="dxa" w:w="415"/>
          </w:tcPr>
          <w:p>
            <w:pPr>
              <w:pStyle w:val="null3"/>
            </w:pPr>
            <w:r>
              <w:rPr/>
              <w:t>13</w:t>
            </w:r>
          </w:p>
        </w:tc>
        <w:tc>
          <w:tcPr>
            <w:tcW w:type="dxa" w:w="5814"/>
          </w:tcPr>
          <w:p>
            <w:pPr>
              <w:pStyle w:val="null3"/>
              <w:jc w:val="both"/>
            </w:pPr>
            <w:r>
              <w:rPr>
                <w:sz w:val="21"/>
                <w:color w:val="000000"/>
              </w:rPr>
              <w:t>操作系统：智能分析软件，提供实时环境参数监测、实时在线气路监控、在线手册、维护演示、自动多段检漏，实时故障检测等功能，</w:t>
            </w:r>
            <w:r>
              <w:rPr>
                <w:sz w:val="21"/>
                <w:color w:val="000000"/>
              </w:rPr>
              <w:t>具</w:t>
            </w:r>
            <w:r>
              <w:rPr>
                <w:sz w:val="21"/>
                <w:color w:val="000000"/>
              </w:rPr>
              <w:t>有中</w:t>
            </w:r>
            <w:r>
              <w:rPr>
                <w:sz w:val="21"/>
                <w:color w:val="000000"/>
              </w:rPr>
              <w:t>英</w:t>
            </w:r>
            <w:r>
              <w:rPr>
                <w:sz w:val="21"/>
                <w:color w:val="000000"/>
              </w:rPr>
              <w:t>文操作</w:t>
            </w:r>
            <w:r>
              <w:rPr>
                <w:sz w:val="21"/>
                <w:color w:val="000000"/>
              </w:rPr>
              <w:t>界面</w:t>
            </w:r>
            <w:r>
              <w:rPr>
                <w:sz w:val="21"/>
                <w:color w:val="000000"/>
              </w:rPr>
              <w:t>。</w:t>
            </w:r>
          </w:p>
        </w:tc>
      </w:tr>
      <w:tr>
        <w:tc>
          <w:tcPr>
            <w:tcW w:type="dxa" w:w="2076"/>
          </w:tcPr>
          <w:p/>
        </w:tc>
        <w:tc>
          <w:tcPr>
            <w:tcW w:type="dxa" w:w="415"/>
          </w:tcPr>
          <w:p>
            <w:pPr>
              <w:pStyle w:val="null3"/>
            </w:pPr>
            <w:r>
              <w:rPr/>
              <w:t>14</w:t>
            </w:r>
          </w:p>
        </w:tc>
        <w:tc>
          <w:tcPr>
            <w:tcW w:type="dxa" w:w="5814"/>
          </w:tcPr>
          <w:p>
            <w:pPr>
              <w:pStyle w:val="null3"/>
              <w:jc w:val="both"/>
            </w:pPr>
            <w:r>
              <w:rPr>
                <w:sz w:val="21"/>
                <w:color w:val="000000"/>
              </w:rPr>
              <w:t>配置清单</w:t>
            </w:r>
            <w:r>
              <w:br/>
            </w:r>
            <w:r>
              <w:rPr>
                <w:sz w:val="21"/>
                <w:color w:val="000000"/>
              </w:rPr>
              <w:t>电子天平</w:t>
            </w:r>
            <w:r>
              <w:rPr>
                <w:sz w:val="21"/>
                <w:color w:val="000000"/>
              </w:rPr>
              <w:t>1台：精度：0.0001g(万分之一)，与主机无缝联动，自动或手动读取重量并参与计算</w:t>
            </w:r>
            <w:r>
              <w:rPr>
                <w:sz w:val="21"/>
                <w:color w:val="000000"/>
              </w:rPr>
              <w:t>；</w:t>
            </w:r>
            <w:r>
              <w:br/>
            </w:r>
            <w:r>
              <w:rPr>
                <w:sz w:val="21"/>
                <w:color w:val="000000"/>
              </w:rPr>
              <w:t>稳压电源：交流电</w:t>
            </w:r>
            <w:r>
              <w:rPr>
                <w:sz w:val="21"/>
                <w:color w:val="000000"/>
              </w:rPr>
              <w:t>220V±10%，总容量≥5kvA</w:t>
            </w:r>
            <w:r>
              <w:rPr>
                <w:sz w:val="21"/>
                <w:color w:val="000000"/>
              </w:rPr>
              <w:t>；</w:t>
            </w:r>
            <w:r>
              <w:br/>
            </w:r>
            <w:r>
              <w:rPr>
                <w:sz w:val="21"/>
                <w:color w:val="000000"/>
              </w:rPr>
              <w:t>控制器</w:t>
            </w:r>
            <w:r>
              <w:rPr>
                <w:sz w:val="21"/>
                <w:color w:val="000000"/>
              </w:rPr>
              <w:t>1套：≥16G内存，≥512G硬盘、22寸或以上显示器，键盘、鼠标、激光打印机</w:t>
            </w:r>
            <w:r>
              <w:rPr>
                <w:sz w:val="21"/>
                <w:color w:val="000000"/>
              </w:rPr>
              <w:t>；</w:t>
            </w:r>
            <w:r>
              <w:br/>
            </w:r>
            <w:r>
              <w:rPr>
                <w:sz w:val="21"/>
                <w:color w:val="000000"/>
              </w:rPr>
              <w:t>试剂及耗材：载气减压阀</w:t>
            </w:r>
            <w:r>
              <w:rPr>
                <w:sz w:val="21"/>
                <w:color w:val="000000"/>
              </w:rPr>
              <w:t>1个、动力气减压阀1个、进口高氯酸镁1瓶、进口碱石棉1瓶、进口石英棉1瓶、石英燃烧管2根、陶瓷坩埚≥500只、钨锡助溶剂2瓶、铁助溶剂1瓶、铜助溶剂1瓶、颗粒过滤器1只、燃烧管清洁刷1把、标准物质3-5瓶（碳（1ppm~6.0%）硫(1ppm~1%)含量呈梯度分布）</w:t>
            </w:r>
            <w:r>
              <w:rPr>
                <w:sz w:val="21"/>
                <w:color w:val="000000"/>
              </w:rPr>
              <w:t>。</w:t>
            </w:r>
          </w:p>
        </w:tc>
      </w:tr>
      <w:tr>
        <w:tc>
          <w:tcPr>
            <w:tcW w:type="dxa" w:w="2076"/>
          </w:tcPr>
          <w:p/>
        </w:tc>
        <w:tc>
          <w:tcPr>
            <w:tcW w:type="dxa" w:w="415"/>
          </w:tcPr>
          <w:p>
            <w:pPr>
              <w:pStyle w:val="null3"/>
            </w:pPr>
            <w:r>
              <w:rPr/>
              <w:t>15</w:t>
            </w:r>
          </w:p>
        </w:tc>
        <w:tc>
          <w:tcPr>
            <w:tcW w:type="dxa" w:w="5814"/>
          </w:tcPr>
          <w:p>
            <w:pPr>
              <w:pStyle w:val="null3"/>
              <w:jc w:val="both"/>
            </w:pPr>
            <w:r>
              <w:rPr>
                <w:sz w:val="21"/>
                <w:color w:val="000000"/>
              </w:rPr>
              <w:t>质保要求：整机全保</w:t>
            </w:r>
            <w:r>
              <w:rPr>
                <w:sz w:val="21"/>
                <w:color w:val="000000"/>
              </w:rPr>
              <w:t>2</w:t>
            </w:r>
            <w:r>
              <w:rPr>
                <w:sz w:val="21"/>
                <w:color w:val="000000"/>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（1）以项目预算总金额作为招标代理服务费的计算基数； （2）招标服务费按照《广东省发展改革委关于规范公共资源交易服务收费及有关问题的通知》(粤发改价格函[2017]5069号)规定执行，收费标准参照《广东省物价局粤价函(2013)1233号》规定的标准费率下浮20%。 （3）招标服务费不足人民币 4000元按 4000元计取。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广东华信招标有限公司（www.gdhxzb.cn/）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采购包1(超薄切片机等设备采购)：综合评分法,是指投标文件满足招标文件全部实质性要求，且按照评审因素的量化指标评审得分最高的投标人为中标候选人的评标方法。（最低报价不是中标的唯一依据。）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采购包1（超薄切片机等设备采购）：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采购包1（超薄切片机等设备采购）：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投标人提供2024年的年度财务状况报告复印件；或银行出具的资信证明材料复印件；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投标人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采购包1（超薄切片机等设备采购）：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采购包1(超薄切片机等设备采购):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(25.5分)</w:t>
            </w:r>
          </w:p>
        </w:tc>
        <w:tc>
          <w:tcPr>
            <w:tcW w:type="dxa" w:w="5076"/>
          </w:tcPr>
          <w:p>
            <w:pPr>
              <w:pStyle w:val="null3"/>
              <w:jc w:val="left"/>
            </w:pPr>
            <w:r>
              <w:rPr/>
              <w:t>根据投标人对“第二章 采购需求”中的重要技术参数条款（带“▲”符号，共17条）的响应情况进行评审： 每完全响应一项得1.5分，满分25.5分。 注：项目技术参数里要求提供证明材料的，按要求提供相关证明材料，未按要求提供证明材料的不得分；其余条款以投标人提供的《投标响应与招标文件条款差异一览表》的响应情况进行评审。</w:t>
            </w:r>
          </w:p>
        </w:tc>
      </w:tr>
      <w:tr>
        <w:tc>
          <w:tcPr>
            <w:tcW w:type="dxa" w:w="922"/>
            <w:gridSpan w:val="2"/>
            <w:vMerge/>
          </w:tcPr>
          <w:p/>
        </w:tc>
        <w:tc>
          <w:tcPr>
            <w:tcW w:type="dxa" w:w="2307"/>
          </w:tcPr>
          <w:p>
            <w:pPr>
              <w:pStyle w:val="null3"/>
              <w:jc w:val="left"/>
            </w:pPr>
            <w:r>
              <w:rPr/>
              <w:t>一般技术参数响应情况 (17.4分)</w:t>
            </w:r>
          </w:p>
        </w:tc>
        <w:tc>
          <w:tcPr>
            <w:tcW w:type="dxa" w:w="5076"/>
          </w:tcPr>
          <w:p>
            <w:pPr>
              <w:pStyle w:val="null3"/>
              <w:jc w:val="left"/>
            </w:pPr>
            <w:r>
              <w:rPr/>
              <w:t>根据投标人对“第二章 采购需求”的一般技术参数（非带“▲”“★”技术参数）的响应程度进行评审： 本项目一般技术参数共计87项，全部响应的得17.4分，每有一条负偏离的扣0.2分，扣完为止。 注：如采购需求中有明确要提供证明材料的，必须按照采购需求要求提供相关证明材料，未按要求提供有效证明材料的不得分。如采购需求中无明确要求提供证明材料的，以投标人提供的《投标响应与招标文件条款差异一览表》的响应情况进行评审。</w:t>
            </w:r>
          </w:p>
        </w:tc>
      </w:tr>
      <w:tr>
        <w:tc>
          <w:tcPr>
            <w:tcW w:type="dxa" w:w="922"/>
            <w:gridSpan w:val="2"/>
            <w:vMerge/>
          </w:tcPr>
          <w:p/>
        </w:tc>
        <w:tc>
          <w:tcPr>
            <w:tcW w:type="dxa" w:w="2307"/>
          </w:tcPr>
          <w:p>
            <w:pPr>
              <w:pStyle w:val="null3"/>
              <w:jc w:val="left"/>
            </w:pPr>
            <w:r>
              <w:rPr/>
              <w:t>质量保证措施 (4.1分)</w:t>
            </w:r>
          </w:p>
        </w:tc>
        <w:tc>
          <w:tcPr>
            <w:tcW w:type="dxa" w:w="5076"/>
          </w:tcPr>
          <w:p>
            <w:pPr>
              <w:pStyle w:val="null3"/>
              <w:jc w:val="left"/>
            </w:pPr>
            <w:r>
              <w:rPr/>
              <w:t>根据投标人围绕“第二章 采购需求”中【质量保证及售后服务】提供的质量保证措施进行评审： （1）质量保证措施详细具体，重点明确，针对性强，可行性高，完全满足且优于采购需求的，得4.1分； （2）质量保证措施较详细具体，有重点，针对性较强，可行性较高，完全满足采购需求的，得2分； （3）质量保证措施不详细具体，无重点，针对性弱，可行性低，不完全满足采购需求的，得1分； （4）不提供相关表述不得分。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根据投标人围绕“第二章 采购需求”中【质量保证及售后服务】提供的培训方案进行评审： （1）培训方案合理可行，培训内容清晰详细，完全满足且优于采购需求的，得4分； （2）培训方案基本合理可行，培训内容较清晰详细，完全满足采购需求的，得2分； （3）培训方案不合理，培训内容不清晰，部分满足采购需求的，得1分； （4）不提供相关表述不得分。</w:t>
            </w:r>
          </w:p>
        </w:tc>
      </w:tr>
      <w:tr>
        <w:tc>
          <w:tcPr>
            <w:tcW w:type="dxa" w:w="922"/>
            <w:gridSpan w:val="2"/>
            <w:vMerge/>
          </w:tcPr>
          <w:p/>
        </w:tc>
        <w:tc>
          <w:tcPr>
            <w:tcW w:type="dxa" w:w="2307"/>
          </w:tcPr>
          <w:p>
            <w:pPr>
              <w:pStyle w:val="null3"/>
              <w:jc w:val="left"/>
            </w:pPr>
            <w:r>
              <w:rPr/>
              <w:t>包装运输及安装调试方案 (4.0分)</w:t>
            </w:r>
          </w:p>
        </w:tc>
        <w:tc>
          <w:tcPr>
            <w:tcW w:type="dxa" w:w="5076"/>
          </w:tcPr>
          <w:p>
            <w:pPr>
              <w:pStyle w:val="null3"/>
              <w:jc w:val="left"/>
            </w:pPr>
            <w:r>
              <w:rPr/>
              <w:t>根据投标人围绕“第二章 采购需求”中【设备包装、交货、安装、调试】提供的包装运输及安装调试方案进行评审： （1）方案详细具体，重点明确，针对性强，可行性高，完全满足且优于采购需求的，得4分； （2）方案较详细具体，有重点，针对性较强，可行性较高，完全满足采购需求的，得2分； （3）方案不详细具体，无重点，针对性弱，可行性低，不完全满足采购需求的，得1分；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自2022年1月1日至本项目投标截止日前（以合同签订的时间为准），投标人承担过同类项目业绩（含本项目核心产品）的，每提供一个得2分，满分6分。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用户满意度评价 (4.5分)</w:t>
            </w:r>
          </w:p>
        </w:tc>
        <w:tc>
          <w:tcPr>
            <w:tcW w:type="dxa" w:w="5076"/>
          </w:tcPr>
          <w:p>
            <w:pPr>
              <w:pStyle w:val="null3"/>
              <w:jc w:val="left"/>
            </w:pPr>
            <w:r>
              <w:rPr/>
              <w:t>对投标人提供自2022年1月1日至本项目投标截止之日所完成的同类项目业绩用户满意度评价证明材料进行评审。上述材料须包含类似“优、优秀、好评、满意、90分以上”等表述，每提供一份满意评价证明材料得1.5分，本项满分为4.5分。 注：评价证明材料须盖有业主单位公章，不提供材料或资料要件不全者不得分。同一项目的评价证明材料不重复得分。</w:t>
            </w:r>
          </w:p>
        </w:tc>
      </w:tr>
      <w:tr>
        <w:tc>
          <w:tcPr>
            <w:tcW w:type="dxa" w:w="922"/>
            <w:gridSpan w:val="2"/>
            <w:vMerge/>
          </w:tcPr>
          <w:p/>
        </w:tc>
        <w:tc>
          <w:tcPr>
            <w:tcW w:type="dxa" w:w="2307"/>
          </w:tcPr>
          <w:p>
            <w:pPr>
              <w:pStyle w:val="null3"/>
              <w:jc w:val="left"/>
            </w:pPr>
            <w:r>
              <w:rPr/>
              <w:t>售后服务方案 (4.5分)</w:t>
            </w:r>
          </w:p>
        </w:tc>
        <w:tc>
          <w:tcPr>
            <w:tcW w:type="dxa" w:w="5076"/>
          </w:tcPr>
          <w:p>
            <w:pPr>
              <w:pStyle w:val="null3"/>
              <w:jc w:val="left"/>
            </w:pPr>
            <w:r>
              <w:rPr/>
              <w:t>根据投标人围绕“第二章 采购需求”中【质量保证及售后服务】提供的售后服务方案进行评审： （1）售后服务方案全面详细、完善合理、可操作性强、完全满足且优于采购需求的，得4.5分； （2）售后服务方案较全面详细、较完善合理、可操作性较强、完全满足采购需求的，得3分； （3）售后服务方案不全面详细、不完善合理、可操作性不强、不满足采购需求的，得1分； （4）不提供相关表述不得分。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spacing w:after="105"/>
        <w:jc w:val="center"/>
      </w:pPr>
      <w:r>
        <w:rPr>
          <w:sz w:val="48"/>
          <w:b/>
          <w:color w:val="000000"/>
        </w:rPr>
        <w:t>合同书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rPr>
        <w:t>注：合同格式仅作为参考，最终以双方签订的合同为准。</w:t>
      </w:r>
    </w:p>
    <w:p>
      <w:pPr>
        <w:pStyle w:val="null3"/>
      </w:pPr>
      <w:r>
        <w:rPr/>
        <w:t xml:space="preserve"> </w:t>
      </w:r>
    </w:p>
    <w:p>
      <w:pPr>
        <w:pStyle w:val="null3"/>
        <w:jc w:val="center"/>
      </w:pPr>
      <w:r>
        <w:rPr>
          <w:sz w:val="44"/>
          <w:b/>
        </w:rPr>
        <w:t>华南农业大学国内仪器采购合同</w:t>
      </w:r>
    </w:p>
    <w:p>
      <w:pPr>
        <w:pStyle w:val="null3"/>
        <w:ind w:firstLine="420"/>
        <w:jc w:val="center"/>
      </w:pPr>
      <w:r>
        <w:rPr>
          <w:sz w:val="21"/>
          <w:color w:val="000000"/>
        </w:rPr>
        <w:t>甲方：华南农业大学</w:t>
      </w:r>
    </w:p>
    <w:p>
      <w:pPr>
        <w:pStyle w:val="null3"/>
        <w:jc w:val="left"/>
      </w:pPr>
      <w:r>
        <w:rPr>
          <w:sz w:val="21"/>
          <w:color w:val="000000"/>
        </w:rPr>
        <w:t>法定代表人：</w:t>
      </w:r>
      <w:r>
        <w:rPr>
          <w:sz w:val="21"/>
          <w:color w:val="000000"/>
        </w:rPr>
        <w:t xml:space="preserve">   </w:t>
      </w:r>
    </w:p>
    <w:p>
      <w:pPr>
        <w:pStyle w:val="null3"/>
        <w:jc w:val="left"/>
      </w:pPr>
      <w:r>
        <w:rPr>
          <w:sz w:val="21"/>
          <w:color w:val="000000"/>
        </w:rPr>
        <w:t>乙方：</w:t>
      </w:r>
      <w:r>
        <w:rPr>
          <w:sz w:val="21"/>
          <w:color w:val="000000"/>
        </w:rPr>
        <w:t xml:space="preserve">   </w:t>
      </w:r>
    </w:p>
    <w:p>
      <w:pPr>
        <w:pStyle w:val="null3"/>
        <w:jc w:val="left"/>
      </w:pPr>
      <w:r>
        <w:rPr>
          <w:sz w:val="21"/>
          <w:color w:val="000000"/>
        </w:rPr>
        <w:t>法定代表人：</w:t>
      </w:r>
      <w:r>
        <w:rPr>
          <w:sz w:val="21"/>
          <w:color w:val="000000"/>
        </w:rPr>
        <w:t xml:space="preserve">   </w:t>
      </w:r>
    </w:p>
    <w:p>
      <w:pPr>
        <w:pStyle w:val="null3"/>
        <w:ind w:left="240" w:firstLine="210"/>
        <w:jc w:val="both"/>
      </w:pPr>
      <w:r>
        <w:rPr>
          <w:sz w:val="21"/>
          <w:color w:val="000000"/>
        </w:rPr>
        <w:t>根据《中华人民共和国政府采购法》、《中华人民共和国民法典》及</w:t>
      </w:r>
    </w:p>
    <w:p>
      <w:pPr>
        <w:pStyle w:val="null3"/>
        <w:jc w:val="both"/>
      </w:pPr>
      <w:r>
        <w:rPr>
          <w:sz w:val="21"/>
          <w:color w:val="000000"/>
        </w:rPr>
        <w:t>年</w:t>
      </w:r>
      <w:r>
        <w:rPr>
          <w:sz w:val="21"/>
          <w:color w:val="000000"/>
        </w:rPr>
        <w:t>月</w:t>
      </w:r>
      <w:r>
        <w:rPr>
          <w:sz w:val="21"/>
          <w:color w:val="000000"/>
        </w:rPr>
        <w:t xml:space="preserve">  </w:t>
      </w:r>
      <w:r>
        <w:rPr>
          <w:sz w:val="21"/>
          <w:color w:val="000000"/>
        </w:rPr>
        <w:t>日（开标时间）招标文件（招标编号：，招标项目名称：，采购代理机构：</w:t>
      </w:r>
      <w:r>
        <w:rPr>
          <w:sz w:val="21"/>
          <w:color w:val="000000"/>
        </w:rPr>
        <w:t xml:space="preserve">  </w:t>
      </w:r>
      <w:r>
        <w:rPr>
          <w:sz w:val="21"/>
          <w:color w:val="000000"/>
        </w:rPr>
        <w:t>）、投标文件、中标通知书、采购计划表（</w:t>
      </w:r>
      <w:r>
        <w:rPr>
          <w:sz w:val="21"/>
          <w:color w:val="000000"/>
        </w:rPr>
        <w:t>SQ：  ）的要求，经双方协商一致，签订本合同。</w:t>
      </w:r>
    </w:p>
    <w:p>
      <w:pPr>
        <w:pStyle w:val="null3"/>
        <w:jc w:val="both"/>
      </w:pPr>
      <w:r>
        <w:rPr>
          <w:sz w:val="21"/>
          <w:color w:val="000000"/>
        </w:rPr>
        <w:t>1.1 乙方负责向甲方提供下表中所列货物和相关的安装调试服务。</w:t>
      </w:r>
    </w:p>
    <w:tbl>
      <w:tblPr>
        <w:tblW w:w="0" w:type="auto"/>
        <w:tblBorders>
          <w:top w:val="none" w:color="000000" w:sz="4"/>
          <w:left w:val="none" w:color="000000" w:sz="4"/>
          <w:bottom w:val="none" w:color="000000" w:sz="4"/>
          <w:right w:val="none" w:color="000000" w:sz="4"/>
          <w:insideH w:val="none"/>
          <w:insideV w:val="none"/>
        </w:tblBorders>
      </w:tblPr>
      <w:tblGrid>
        <w:gridCol w:w="845"/>
        <w:gridCol w:w="917"/>
        <w:gridCol w:w="1134"/>
        <w:gridCol w:w="531"/>
        <w:gridCol w:w="555"/>
        <w:gridCol w:w="1038"/>
        <w:gridCol w:w="1050"/>
        <w:gridCol w:w="1002"/>
        <w:gridCol w:w="1158"/>
      </w:tblGrid>
      <w:tr>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品牌、型号、规格、配置（性能参数）</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p>
          <w:p>
            <w:pPr>
              <w:pStyle w:val="null3"/>
              <w:jc w:val="center"/>
            </w:pPr>
            <w:r>
              <w:rPr>
                <w:sz w:val="21"/>
                <w:color w:val="000000"/>
              </w:rPr>
              <w:t>(元)</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分项金额</w:t>
            </w:r>
          </w:p>
          <w:p>
            <w:pPr>
              <w:pStyle w:val="null3"/>
              <w:jc w:val="center"/>
            </w:pPr>
            <w:r>
              <w:rPr>
                <w:sz w:val="21"/>
                <w:color w:val="000000"/>
              </w:rPr>
              <w:t>（元）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r>
              <w:rPr>
                <w:sz w:val="21"/>
                <w:color w:val="000000"/>
              </w:rPr>
              <w:t>时间</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按附件配置清单</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签订合同后</w:t>
            </w:r>
          </w:p>
          <w:p>
            <w:pPr>
              <w:pStyle w:val="null3"/>
              <w:jc w:val="both"/>
            </w:pPr>
            <w:r>
              <w:rPr>
                <w:sz w:val="21"/>
                <w:color w:val="000000"/>
              </w:rPr>
              <w:t xml:space="preserve">    </w:t>
            </w:r>
            <w:r>
              <w:rPr>
                <w:sz w:val="21"/>
                <w:color w:val="000000"/>
              </w:rPr>
              <w:t>天内</w:t>
            </w:r>
          </w:p>
        </w:tc>
      </w:tr>
    </w:tbl>
    <w:p>
      <w:pPr>
        <w:pStyle w:val="null3"/>
        <w:jc w:val="left"/>
      </w:pPr>
      <w:r>
        <w:rPr>
          <w:sz w:val="21"/>
          <w:color w:val="000000"/>
        </w:rPr>
        <w:t>合计含税人民币：</w:t>
      </w:r>
      <w:r>
        <w:rPr>
          <w:sz w:val="21"/>
          <w:color w:val="000000"/>
        </w:rPr>
        <w:t xml:space="preserve">¥ </w:t>
      </w:r>
      <w:r>
        <w:rPr>
          <w:sz w:val="21"/>
          <w:color w:val="000000"/>
        </w:rPr>
        <w:t>**.**</w:t>
      </w:r>
      <w:r>
        <w:rPr>
          <w:sz w:val="21"/>
          <w:color w:val="000000"/>
        </w:rPr>
        <w:t>元（大写：</w:t>
      </w:r>
      <w:r>
        <w:rPr>
          <w:sz w:val="21"/>
          <w:color w:val="000000"/>
        </w:rPr>
        <w:t xml:space="preserve">   </w:t>
      </w:r>
      <w:r>
        <w:rPr>
          <w:sz w:val="21"/>
          <w:color w:val="000000"/>
        </w:rPr>
        <w:t>元）</w:t>
      </w:r>
    </w:p>
    <w:p>
      <w:pPr>
        <w:pStyle w:val="null3"/>
        <w:jc w:val="left"/>
      </w:pPr>
      <w:r>
        <w:rPr>
          <w:sz w:val="21"/>
          <w:color w:val="000000"/>
        </w:rPr>
        <w:t>1.2 合同总价（含单价）见上表。</w:t>
      </w:r>
    </w:p>
    <w:p>
      <w:pPr>
        <w:pStyle w:val="null3"/>
        <w:jc w:val="both"/>
      </w:pPr>
      <w:r>
        <w:rPr>
          <w:sz w:val="21"/>
          <w:color w:val="000000"/>
        </w:rPr>
        <w:t>合同总额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1"/>
          <w:b/>
          <w:color w:val="000000"/>
        </w:rPr>
        <w:t>2、结算方式</w:t>
      </w:r>
    </w:p>
    <w:p>
      <w:pPr>
        <w:pStyle w:val="null3"/>
        <w:ind w:left="555"/>
      </w:pPr>
      <w:r>
        <w:rPr>
          <w:sz w:val="21"/>
          <w:color w:val="000000"/>
        </w:rPr>
        <w:t xml:space="preserve">2.1支付方式：  </w:t>
      </w:r>
    </w:p>
    <w:p>
      <w:pPr>
        <w:pStyle w:val="null3"/>
        <w:ind w:left="630"/>
      </w:pPr>
      <w:r>
        <w:rPr>
          <w:sz w:val="21"/>
          <w:color w:val="000000"/>
        </w:rPr>
        <w:t>2.1.1  结算方式：按合同约定，乙方凭甲方验收合格单按合同价格以普通购货发票(或增值税发票)用银行汇票（商业汇票、银行本票、支票汇兑、委托收款）等方式结算。</w:t>
      </w:r>
    </w:p>
    <w:p>
      <w:pPr>
        <w:pStyle w:val="null3"/>
        <w:ind w:left="555"/>
      </w:pPr>
      <w:r>
        <w:rPr>
          <w:sz w:val="21"/>
          <w:color w:val="000000"/>
        </w:rPr>
        <w:t>2.1.2  付款方式：</w:t>
      </w:r>
    </w:p>
    <w:p>
      <w:pPr>
        <w:pStyle w:val="null3"/>
      </w:pPr>
      <w:r>
        <w:rPr>
          <w:sz w:val="21"/>
          <w:color w:val="000000"/>
        </w:rPr>
        <w:t xml:space="preserve">    </w:t>
      </w:r>
      <w:r>
        <w:rPr>
          <w:sz w:val="21"/>
          <w:color w:val="000000"/>
        </w:rPr>
        <w:t>签订合同后</w:t>
      </w:r>
      <w:r>
        <w:rPr>
          <w:sz w:val="21"/>
          <w:color w:val="000000"/>
        </w:rPr>
        <w:t>5个工作日内，乙方缴纳合同款的5%作为履约保证金给甲方。在乙方无违法违约的情况下, 货到安装调试验收合格，甲方收到乙方缴纳的履约保证金和乙方开具的等额合法有效发票后</w:t>
      </w:r>
      <w:r>
        <w:rPr>
          <w:sz w:val="21"/>
          <w:color w:val="000000"/>
        </w:rPr>
        <w:t>10个工作日内</w:t>
      </w:r>
      <w:r>
        <w:rPr>
          <w:sz w:val="21"/>
          <w:color w:val="000000"/>
        </w:rPr>
        <w:t>向乙方支付合同总价的</w:t>
      </w:r>
      <w:r>
        <w:rPr>
          <w:sz w:val="21"/>
          <w:color w:val="000000"/>
        </w:rPr>
        <w:t>100%。如因乙方未能及时提供前述发票而造成付款延误，不属甲方违约。</w:t>
      </w:r>
      <w:r>
        <w:rPr>
          <w:sz w:val="21"/>
          <w:color w:val="111111"/>
          <w:shd w:fill="FFFFFF" w:val="clear"/>
        </w:rPr>
        <w:t>（如作为中小企业中标，签订合同后，乙方缴纳合同款的</w:t>
      </w:r>
      <w:r>
        <w:rPr>
          <w:sz w:val="21"/>
          <w:color w:val="111111"/>
          <w:shd w:fill="FFFFFF" w:val="clear"/>
        </w:rPr>
        <w:t>5%作为履约保证金给甲方。甲方在合同签订后5个工作日内预付款合同金额的30%，货到安装调试验收合格，甲方收到乙方开具的等额合法有效发票后10</w:t>
      </w:r>
      <w:r>
        <w:rPr>
          <w:sz w:val="21"/>
          <w:color w:val="000000"/>
          <w:shd w:fill="FFFFFF" w:val="clear"/>
        </w:rPr>
        <w:t>个工作日</w:t>
      </w:r>
      <w:r>
        <w:rPr>
          <w:sz w:val="21"/>
          <w:color w:val="111111"/>
          <w:shd w:fill="FFFFFF" w:val="clear"/>
        </w:rPr>
        <w:t>内向乙方支付合同金额的</w:t>
      </w:r>
      <w:r>
        <w:rPr>
          <w:sz w:val="21"/>
          <w:color w:val="111111"/>
          <w:shd w:fill="FFFFFF" w:val="clear"/>
        </w:rPr>
        <w:t>70%。）</w:t>
      </w:r>
      <w:r>
        <w:rPr>
          <w:sz w:val="21"/>
        </w:rPr>
        <w:t>在乙方</w:t>
      </w:r>
      <w:r>
        <w:rPr>
          <w:sz w:val="21"/>
          <w:color w:val="000000"/>
        </w:rPr>
        <w:t>按合同约定</w:t>
      </w:r>
      <w:r>
        <w:rPr>
          <w:sz w:val="21"/>
        </w:rPr>
        <w:t>全部履行完成合同义务，</w:t>
      </w:r>
      <w:r>
        <w:rPr>
          <w:sz w:val="21"/>
          <w:color w:val="000000"/>
        </w:rPr>
        <w:t>并按甲方要求</w:t>
      </w:r>
      <w:r>
        <w:rPr>
          <w:sz w:val="21"/>
        </w:rPr>
        <w:t>办理相关履约保证金退还手续后</w:t>
      </w:r>
      <w:r>
        <w:rPr>
          <w:sz w:val="21"/>
        </w:rPr>
        <w:t>10个工作日内，甲方将履约保证金无息退回乙方，否则，甲方有权不予退回履约保证金。甲方</w:t>
      </w:r>
      <w:r>
        <w:rPr>
          <w:sz w:val="21"/>
          <w:color w:val="000000"/>
        </w:rPr>
        <w:t>因自身原因</w:t>
      </w:r>
      <w:r>
        <w:rPr>
          <w:sz w:val="21"/>
        </w:rPr>
        <w:t>未按照合同约定及时向乙方退回履约保证金的，应按照全国银行间同业拆借中心公布的贷款市场报价利率标准支付利息</w:t>
      </w:r>
      <w:r>
        <w:rPr>
          <w:sz w:val="21"/>
        </w:rPr>
        <w:t>。</w:t>
      </w:r>
    </w:p>
    <w:p>
      <w:pPr>
        <w:pStyle w:val="null3"/>
      </w:pPr>
      <w:r>
        <w:rPr>
          <w:sz w:val="21"/>
          <w:color w:val="000000"/>
        </w:rPr>
        <w:t>2.1.3  甲方因本采购事项发生的银行费用由甲方承担，其余的银行费用由乙方承担。</w:t>
      </w:r>
    </w:p>
    <w:p>
      <w:pPr>
        <w:pStyle w:val="null3"/>
        <w:ind w:left="630"/>
        <w:jc w:val="both"/>
      </w:pPr>
      <w:r>
        <w:rPr>
          <w:sz w:val="21"/>
          <w:color w:val="000000"/>
        </w:rPr>
        <w:t>2.1.4  若乙方所投货物及其零部件或制作材料的原产地为中华人民共和国境外地区，乙方必须自行办妥货物进口有关的所有事项（甲方可提供与其享受免关税待遇相关的证明文件资料，协助乙方办理进口免税相关事项）；所有进口设备的报价为CIP报价(包括交货给甲方验收合格后交付使用及与货物进口有关的一切费用)，并按中国银行公布的外汇牌价折人民币报价(投标总价的货币单位必须为人民币元)，并在投标文件中注明折算汇率。</w:t>
      </w:r>
      <w:r>
        <w:rPr>
          <w:sz w:val="21"/>
          <w:color w:val="000000"/>
        </w:rPr>
        <w:t>乙方</w:t>
      </w:r>
      <w:r>
        <w:rPr>
          <w:sz w:val="21"/>
          <w:color w:val="000000"/>
        </w:rPr>
        <w:t>不得以本项目中标通知书办理进口批文。</w:t>
      </w:r>
    </w:p>
    <w:p>
      <w:pPr>
        <w:pStyle w:val="null3"/>
        <w:ind w:left="420"/>
        <w:jc w:val="both"/>
      </w:pPr>
      <w:r>
        <w:rPr>
          <w:sz w:val="21"/>
          <w:color w:val="000000"/>
        </w:rPr>
        <w:t>2.2 乙方向甲方申请支付货款前需提供：（1）合同；（2）乙方开具正式全额发票；（3）验收调试合格报告；（4）中标通知书。如因乙方未能及时提供前述材料而造成付款延误，不属甲方违约。</w:t>
      </w:r>
    </w:p>
    <w:p>
      <w:pPr>
        <w:pStyle w:val="null3"/>
        <w:jc w:val="both"/>
      </w:pPr>
      <w:r>
        <w:rPr>
          <w:sz w:val="21"/>
          <w:color w:val="000000"/>
        </w:rPr>
        <w:t>2.3甲方支付乙方的费用均通过银行转账方式汇入乙方指定的如下账户：</w:t>
      </w:r>
    </w:p>
    <w:p>
      <w:pPr>
        <w:pStyle w:val="null3"/>
        <w:jc w:val="both"/>
      </w:pPr>
      <w:r>
        <w:rPr>
          <w:sz w:val="21"/>
          <w:color w:val="000000"/>
        </w:rPr>
        <w:t>开户行：</w:t>
      </w:r>
      <w:r>
        <w:rPr>
          <w:sz w:val="21"/>
          <w:color w:val="000000"/>
        </w:rPr>
        <w:t xml:space="preserve">   </w:t>
      </w:r>
    </w:p>
    <w:p>
      <w:pPr>
        <w:pStyle w:val="null3"/>
        <w:jc w:val="both"/>
      </w:pPr>
      <w:r>
        <w:rPr>
          <w:sz w:val="21"/>
          <w:color w:val="000000"/>
        </w:rPr>
        <w:t>开户名：</w:t>
      </w:r>
      <w:r>
        <w:rPr>
          <w:sz w:val="21"/>
          <w:color w:val="000000"/>
        </w:rPr>
        <w:t xml:space="preserve">  </w:t>
      </w:r>
    </w:p>
    <w:p>
      <w:pPr>
        <w:pStyle w:val="null3"/>
        <w:jc w:val="both"/>
      </w:pPr>
      <w:r>
        <w:rPr>
          <w:sz w:val="21"/>
          <w:color w:val="000000"/>
        </w:rPr>
        <w:t>账</w:t>
      </w:r>
      <w:r>
        <w:rPr>
          <w:sz w:val="21"/>
          <w:color w:val="000000"/>
        </w:rPr>
        <w:t xml:space="preserve">  </w:t>
      </w:r>
      <w:r>
        <w:rPr>
          <w:sz w:val="21"/>
          <w:color w:val="000000"/>
        </w:rPr>
        <w:t>号：</w:t>
      </w:r>
      <w:r>
        <w:rPr>
          <w:sz w:val="21"/>
          <w:color w:val="000000"/>
        </w:rPr>
        <w:t xml:space="preserve">   </w:t>
      </w:r>
    </w:p>
    <w:p>
      <w:pPr>
        <w:pStyle w:val="null3"/>
        <w:jc w:val="both"/>
      </w:pPr>
      <w:r>
        <w:rPr>
          <w:sz w:val="21"/>
          <w:color w:val="000000"/>
        </w:rPr>
        <w:t>甲方向上述账户汇出款项即为已经向乙方履行合同约定的付款义务，如因乙方账户被查封、冻结、注销等非甲方原因导致乙方未能收到款项的，责任由乙方自行承担。</w:t>
      </w:r>
    </w:p>
    <w:p>
      <w:pPr>
        <w:pStyle w:val="null3"/>
        <w:jc w:val="both"/>
      </w:pPr>
      <w:r>
        <w:rPr>
          <w:sz w:val="21"/>
          <w:b/>
          <w:color w:val="000000"/>
        </w:rPr>
        <w:t>3、 合同组成</w:t>
      </w:r>
    </w:p>
    <w:p>
      <w:pPr>
        <w:pStyle w:val="null3"/>
        <w:jc w:val="both"/>
      </w:pPr>
      <w:r>
        <w:rPr>
          <w:sz w:val="21"/>
          <w:color w:val="000000"/>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1"/>
          <w:b/>
          <w:color w:val="000000"/>
        </w:rPr>
        <w:t>4、 技术要求</w:t>
      </w:r>
    </w:p>
    <w:p>
      <w:pPr>
        <w:pStyle w:val="null3"/>
        <w:jc w:val="both"/>
      </w:pPr>
      <w:r>
        <w:rPr>
          <w:sz w:val="21"/>
          <w:color w:val="000000"/>
        </w:rPr>
        <w:t>乙方所提供设备，必须符合国家有关规范及环保要求，技术指标应与乙方投标文件所陈述的指标保持一致。</w:t>
      </w:r>
    </w:p>
    <w:p>
      <w:pPr>
        <w:pStyle w:val="null3"/>
        <w:jc w:val="both"/>
      </w:pPr>
      <w:r>
        <w:rPr>
          <w:sz w:val="21"/>
          <w:b/>
          <w:color w:val="000000"/>
        </w:rPr>
        <w:t>5、 设备包装、交货、安装、调试及验收</w:t>
      </w:r>
    </w:p>
    <w:p>
      <w:pPr>
        <w:pStyle w:val="null3"/>
        <w:jc w:val="both"/>
      </w:pPr>
      <w:r>
        <w:rPr>
          <w:sz w:val="21"/>
          <w:color w:val="000000"/>
        </w:rPr>
        <w:t>5.1  合同设备的包装：</w:t>
      </w:r>
    </w:p>
    <w:p>
      <w:pPr>
        <w:pStyle w:val="null3"/>
        <w:jc w:val="both"/>
      </w:pPr>
      <w:r>
        <w:rPr>
          <w:sz w:val="21"/>
          <w:color w:val="000000"/>
        </w:rPr>
        <w:t>设备的包装均应有良好的防湿、防锈、防潮、防雨、防腐及防碰撞等的措施，符合《商品包装政府采购需求标准（试行）》及《快递包装政府采购需求标准（试行）》的要求</w:t>
      </w:r>
      <w:r>
        <w:rPr>
          <w:sz w:val="21"/>
        </w:rPr>
        <w:t>。</w:t>
      </w:r>
      <w:r>
        <w:rPr>
          <w:sz w:val="21"/>
          <w:color w:val="000000"/>
        </w:rPr>
        <w:t>凡由于包装不良造成的损失和由此产生的费用均由乙方承担。</w:t>
      </w:r>
    </w:p>
    <w:p>
      <w:pPr>
        <w:pStyle w:val="null3"/>
        <w:jc w:val="both"/>
      </w:pPr>
      <w:r>
        <w:rPr>
          <w:sz w:val="21"/>
          <w:color w:val="000000"/>
        </w:rPr>
        <w:t>5.2  设备的交货：</w:t>
      </w:r>
    </w:p>
    <w:p>
      <w:pPr>
        <w:pStyle w:val="null3"/>
        <w:jc w:val="both"/>
      </w:pPr>
      <w:r>
        <w:rPr>
          <w:sz w:val="21"/>
          <w:color w:val="000000"/>
        </w:rPr>
        <w:t>1）乙方交货时间：签订合同后</w:t>
      </w:r>
      <w:r>
        <w:rPr>
          <w:sz w:val="21"/>
          <w:color w:val="000000"/>
        </w:rPr>
        <w:t>60</w:t>
      </w:r>
      <w:r>
        <w:rPr>
          <w:sz w:val="21"/>
          <w:color w:val="000000"/>
        </w:rPr>
        <w:t>天内（以投标内容为准）。</w:t>
      </w:r>
    </w:p>
    <w:p>
      <w:pPr>
        <w:pStyle w:val="null3"/>
        <w:ind w:left="360"/>
        <w:jc w:val="both"/>
      </w:pPr>
      <w:r>
        <w:rPr>
          <w:sz w:val="21"/>
          <w:color w:val="000000"/>
        </w:rPr>
        <w:t>2）</w:t>
      </w:r>
      <w:r>
        <w:rPr>
          <w:sz w:val="21"/>
          <w:color w:val="000000"/>
        </w:rPr>
        <w:t>乙方交货地点：广州市内用户指定地点。</w:t>
      </w:r>
    </w:p>
    <w:p>
      <w:pPr>
        <w:pStyle w:val="null3"/>
        <w:ind w:left="360"/>
        <w:jc w:val="both"/>
      </w:pPr>
      <w:r>
        <w:rPr>
          <w:sz w:val="21"/>
          <w:color w:val="000000"/>
        </w:rPr>
        <w:t>3）</w:t>
      </w:r>
      <w:r>
        <w:rPr>
          <w:sz w:val="21"/>
          <w:color w:val="000000"/>
        </w:rPr>
        <w:t>交货方式：乙方送货上门</w:t>
      </w:r>
    </w:p>
    <w:p>
      <w:pPr>
        <w:pStyle w:val="null3"/>
        <w:jc w:val="both"/>
      </w:pPr>
      <w:r>
        <w:rPr>
          <w:sz w:val="21"/>
          <w:color w:val="000000"/>
        </w:rPr>
        <w:t>5.3 合同设备的安装调试：</w:t>
      </w:r>
    </w:p>
    <w:p>
      <w:pPr>
        <w:pStyle w:val="null3"/>
        <w:ind w:left="1215"/>
        <w:jc w:val="both"/>
      </w:pPr>
      <w:r>
        <w:rPr>
          <w:sz w:val="21"/>
          <w:color w:val="000000"/>
        </w:rPr>
        <w:t>1)</w:t>
      </w:r>
      <w:r>
        <w:rPr>
          <w:sz w:val="21"/>
          <w:color w:val="000000"/>
        </w:rPr>
        <w:t>乙方负责合同项下货物的安装调试工作，一切费用由乙方负责。</w:t>
      </w:r>
    </w:p>
    <w:p>
      <w:pPr>
        <w:pStyle w:val="null3"/>
        <w:ind w:left="1215"/>
        <w:jc w:val="both"/>
      </w:pPr>
      <w:r>
        <w:rPr>
          <w:sz w:val="21"/>
          <w:color w:val="000000"/>
        </w:rPr>
        <w:t>2)</w:t>
      </w:r>
      <w:r>
        <w:rPr>
          <w:sz w:val="21"/>
          <w:color w:val="000000"/>
        </w:rPr>
        <w:t>乙方安装时须对各安装场地内的其它设备、设施有良好保护措施。</w:t>
      </w:r>
    </w:p>
    <w:p>
      <w:pPr>
        <w:pStyle w:val="null3"/>
        <w:jc w:val="both"/>
      </w:pPr>
      <w:r>
        <w:rPr>
          <w:sz w:val="21"/>
          <w:color w:val="000000"/>
        </w:rPr>
        <w:t>5.4 设备的验收：</w:t>
      </w:r>
    </w:p>
    <w:p>
      <w:pPr>
        <w:pStyle w:val="null3"/>
        <w:ind w:left="945" w:right="-420"/>
        <w:jc w:val="both"/>
      </w:pPr>
      <w:r>
        <w:rPr>
          <w:sz w:val="21"/>
        </w:rPr>
        <w:t>1)</w:t>
      </w:r>
      <w:r>
        <w:rPr>
          <w:sz w:val="21"/>
          <w:color w:val="000000"/>
        </w:rPr>
        <w:t>合同设备安装调试完成正常工作满</w:t>
      </w:r>
      <w:r>
        <w:rPr>
          <w:sz w:val="21"/>
          <w:color w:val="000000"/>
        </w:rPr>
        <w:t>15个工作日，验收应在甲乙双方共同参加下进行。</w:t>
      </w:r>
      <w:r>
        <w:rPr>
          <w:sz w:val="21"/>
        </w:rPr>
        <w:t>（如中小企业中标的，履约后，甲方收到验收申请后</w:t>
      </w:r>
      <w:r>
        <w:rPr>
          <w:sz w:val="21"/>
        </w:rPr>
        <w:t>7日内组织履约验收。）</w:t>
      </w:r>
    </w:p>
    <w:p>
      <w:pPr>
        <w:pStyle w:val="null3"/>
        <w:ind w:left="945" w:right="-420"/>
        <w:jc w:val="both"/>
      </w:pPr>
      <w:r>
        <w:rPr>
          <w:sz w:val="21"/>
        </w:rPr>
        <w:t>2)</w:t>
      </w:r>
      <w:r>
        <w:rPr>
          <w:sz w:val="21"/>
          <w:color w:val="000000"/>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更换不合格设备等的有效证据。由此产生的有关费用由乙方承担。</w:t>
      </w:r>
    </w:p>
    <w:p>
      <w:pPr>
        <w:pStyle w:val="null3"/>
        <w:ind w:left="945"/>
        <w:jc w:val="both"/>
      </w:pPr>
      <w:r>
        <w:rPr>
          <w:sz w:val="21"/>
        </w:rPr>
        <w:t>3)</w:t>
      </w:r>
      <w:r>
        <w:rPr>
          <w:sz w:val="21"/>
          <w:color w:val="000000"/>
        </w:rPr>
        <w:t>如果合同设备运输和安装调试过程中因事故造成货物短缺、损坏，乙方应及时安排换装，以保证合同设备安装调试的成功完成。换装的相关费用由乙方承担。</w:t>
      </w:r>
    </w:p>
    <w:p>
      <w:pPr>
        <w:pStyle w:val="null3"/>
        <w:ind w:left="945"/>
        <w:jc w:val="both"/>
      </w:pPr>
      <w:r>
        <w:rPr>
          <w:sz w:val="21"/>
        </w:rPr>
        <w:t>4)</w:t>
      </w:r>
      <w:r>
        <w:rPr>
          <w:sz w:val="21"/>
          <w:color w:val="000000"/>
        </w:rPr>
        <w:t>国内产品或合资厂的产品必须具备出厂合格证。</w:t>
      </w:r>
    </w:p>
    <w:p>
      <w:pPr>
        <w:pStyle w:val="null3"/>
        <w:ind w:left="945"/>
        <w:jc w:val="both"/>
      </w:pPr>
      <w:r>
        <w:rPr>
          <w:sz w:val="21"/>
        </w:rPr>
        <w:t>5)</w:t>
      </w:r>
      <w:r>
        <w:rPr>
          <w:sz w:val="21"/>
        </w:rPr>
        <w:t>进口产品必须具有</w:t>
      </w:r>
      <w:r>
        <w:rPr>
          <w:sz w:val="21"/>
        </w:rPr>
        <w:t>“中华人民共和国海关进口货物报关单”证明及其他甲方所在国家海关监管部门要求的证明文件</w:t>
      </w:r>
    </w:p>
    <w:p>
      <w:pPr>
        <w:pStyle w:val="null3"/>
        <w:ind w:left="465"/>
        <w:jc w:val="both"/>
      </w:pPr>
      <w:r>
        <w:rPr>
          <w:sz w:val="21"/>
          <w:color w:val="000000"/>
        </w:rPr>
        <w:t>5.5  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ind w:left="465"/>
        <w:jc w:val="both"/>
      </w:pPr>
      <w:r>
        <w:rPr>
          <w:sz w:val="21"/>
          <w:b/>
          <w:color w:val="000000"/>
        </w:rPr>
        <w:t>6、 质量保证及售后服务</w:t>
      </w:r>
    </w:p>
    <w:p>
      <w:pPr>
        <w:pStyle w:val="null3"/>
        <w:ind w:left="420"/>
        <w:jc w:val="both"/>
      </w:pPr>
      <w:r>
        <w:rPr>
          <w:sz w:val="21"/>
          <w:color w:val="000000"/>
        </w:rPr>
        <w:t>6.1 乙方保证其合同项下提供的全部设备是</w:t>
      </w:r>
      <w:r>
        <w:rPr>
          <w:sz w:val="21"/>
          <w:color w:val="000000"/>
        </w:rPr>
        <w:t>在中国范围内合法销售的</w:t>
      </w:r>
      <w:r>
        <w:rPr>
          <w:sz w:val="21"/>
          <w:color w:val="000000"/>
        </w:rPr>
        <w:t>，</w:t>
      </w:r>
      <w:r>
        <w:rPr>
          <w:sz w:val="21"/>
          <w:color w:val="000000"/>
        </w:rPr>
        <w:t>原制造商制造的全新、未曾使用过的产品，整机无污染、无侵权行为、表面无划损、无任何缺陷隐患，其质量、规格及技术特征符合合同的要求，</w:t>
      </w:r>
      <w:r>
        <w:rPr>
          <w:sz w:val="21"/>
          <w:color w:val="000000"/>
        </w:rPr>
        <w:t>并且符合国家标准、行业标准以及该产品的出厂标准，</w:t>
      </w:r>
      <w:r>
        <w:rPr>
          <w:sz w:val="21"/>
          <w:color w:val="000000"/>
        </w:rPr>
        <w:t>可依常规安全合法使用。</w:t>
      </w:r>
    </w:p>
    <w:p>
      <w:pPr>
        <w:pStyle w:val="null3"/>
        <w:ind w:left="450"/>
        <w:jc w:val="both"/>
      </w:pPr>
      <w:r>
        <w:rPr>
          <w:sz w:val="21"/>
          <w:color w:val="000000"/>
        </w:rPr>
        <w:t>6.2 合同设备除了甲方有特别规定外,保质保用期按生产厂家的标准执行，期</w:t>
      </w:r>
      <w:r>
        <w:rPr>
          <w:sz w:val="21"/>
          <w:color w:val="000000"/>
        </w:rPr>
        <w:t>限分别</w:t>
      </w:r>
      <w:r>
        <w:rPr>
          <w:sz w:val="21"/>
          <w:color w:val="000000"/>
        </w:rPr>
        <w:t>为</w:t>
      </w:r>
      <w:r>
        <w:rPr>
          <w:sz w:val="21"/>
          <w:color w:val="000000"/>
        </w:rPr>
        <w:t>1</w:t>
      </w:r>
      <w:r>
        <w:rPr>
          <w:sz w:val="21"/>
          <w:color w:val="000000"/>
        </w:rPr>
        <w:t>年</w:t>
      </w:r>
      <w:r>
        <w:rPr>
          <w:sz w:val="21"/>
          <w:color w:val="000000"/>
        </w:rPr>
        <w:t>、</w:t>
      </w:r>
      <w:r>
        <w:rPr>
          <w:sz w:val="21"/>
          <w:color w:val="000000"/>
        </w:rPr>
        <w:t>2年、3年、5年，详见招标文件附表1-4具体技术（参数）要求</w:t>
      </w:r>
      <w:r>
        <w:rPr>
          <w:sz w:val="21"/>
          <w:color w:val="000000"/>
        </w:rPr>
        <w:t>（自用户单位书面验收合格之日起计算，</w:t>
      </w:r>
      <w:r>
        <w:rPr>
          <w:sz w:val="21"/>
          <w:color w:val="000000"/>
        </w:rPr>
        <w:t>另有要求的按其规定</w:t>
      </w:r>
      <w:r>
        <w:rPr>
          <w:sz w:val="21"/>
          <w:color w:val="000000"/>
        </w:rPr>
        <w:t>）。保质保用期内因非甲方过错原因而出现产品质量问题或安装问题，由乙方负责包修、包换或包退，并承担因此而产生的一切费用。乙方应在收到甲方通知后</w:t>
      </w:r>
      <w:r>
        <w:rPr>
          <w:sz w:val="21"/>
          <w:color w:val="000000"/>
        </w:rPr>
        <w:t>24小时内派员到现场维修，若在48小时内仍未能有效解决，乙方须提供</w:t>
      </w:r>
      <w:r>
        <w:rPr>
          <w:sz w:val="21"/>
          <w:color w:val="000000"/>
        </w:rPr>
        <w:t>同等备件</w:t>
      </w:r>
      <w:r>
        <w:rPr>
          <w:sz w:val="21"/>
          <w:color w:val="000000"/>
        </w:rPr>
        <w:t>予甲方临时使用，因此产生费用均由乙方负责，甲方不再另行支付。质保期内，如设备或零部件因非人为因素出现故障而造成短期停用时，则质保期相应顺延，如停用时间累计超过</w:t>
      </w:r>
      <w:r>
        <w:rPr>
          <w:sz w:val="21"/>
          <w:color w:val="000000"/>
        </w:rPr>
        <w:t>60天则质保期重新计算。</w:t>
      </w:r>
    </w:p>
    <w:p>
      <w:pPr>
        <w:pStyle w:val="null3"/>
        <w:ind w:firstLine="420"/>
        <w:jc w:val="both"/>
      </w:pPr>
      <w:r>
        <w:rPr>
          <w:sz w:val="21"/>
          <w:color w:val="000000"/>
        </w:rPr>
        <w:t>下列情况乙方不负责免费保修：</w:t>
      </w:r>
    </w:p>
    <w:p>
      <w:pPr>
        <w:pStyle w:val="null3"/>
        <w:ind w:left="975"/>
        <w:jc w:val="both"/>
      </w:pPr>
      <w:r>
        <w:rPr>
          <w:sz w:val="21"/>
          <w:color w:val="000000"/>
        </w:rPr>
        <w:t>1）甲方不按照乙方提供的正确使用方法而引致设备故障损坏；</w:t>
      </w:r>
    </w:p>
    <w:p>
      <w:pPr>
        <w:pStyle w:val="null3"/>
        <w:ind w:left="975"/>
        <w:jc w:val="both"/>
      </w:pPr>
      <w:r>
        <w:rPr>
          <w:sz w:val="21"/>
          <w:color w:val="000000"/>
        </w:rPr>
        <w:t>2）甲方擅自改装设备；</w:t>
      </w:r>
    </w:p>
    <w:p>
      <w:pPr>
        <w:pStyle w:val="null3"/>
        <w:ind w:left="975"/>
        <w:jc w:val="both"/>
      </w:pPr>
      <w:r>
        <w:rPr>
          <w:sz w:val="21"/>
          <w:color w:val="000000"/>
        </w:rPr>
        <w:t>3）各种人为因素或天灾等外来因素造成的损坏。</w:t>
      </w:r>
    </w:p>
    <w:p>
      <w:pPr>
        <w:pStyle w:val="null3"/>
        <w:ind w:left="420"/>
        <w:jc w:val="both"/>
      </w:pPr>
      <w:r>
        <w:rPr>
          <w:sz w:val="21"/>
          <w:color w:val="000000"/>
        </w:rPr>
        <w:t>6.3 因设备的质量问题而发生争议，由广东省或广州市质检部门进行质量鉴定。设备符合质量标准的，鉴定费用由甲方承担；设备不符合质量标准的，鉴定费用由乙方承担。</w:t>
      </w:r>
    </w:p>
    <w:p>
      <w:pPr>
        <w:pStyle w:val="null3"/>
        <w:ind w:left="420"/>
        <w:jc w:val="both"/>
      </w:pPr>
      <w:r>
        <w:rPr>
          <w:sz w:val="21"/>
          <w:color w:val="000000"/>
        </w:rPr>
        <w:t>6.4 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b/>
          <w:color w:val="000000"/>
        </w:rPr>
        <w:t>7、 技术服务</w:t>
      </w:r>
    </w:p>
    <w:p>
      <w:pPr>
        <w:pStyle w:val="null3"/>
        <w:jc w:val="both"/>
      </w:pPr>
      <w:r>
        <w:rPr>
          <w:sz w:val="21"/>
          <w:color w:val="000000"/>
        </w:rPr>
        <w:t>7.1 乙方应派员到甲方指定地点配合工作。</w:t>
      </w:r>
    </w:p>
    <w:p>
      <w:pPr>
        <w:pStyle w:val="null3"/>
        <w:ind w:left="420"/>
        <w:jc w:val="both"/>
      </w:pPr>
      <w:r>
        <w:rPr>
          <w:sz w:val="21"/>
          <w:color w:val="000000"/>
        </w:rPr>
        <w:t>7.2 乙方按甲方提供的合同执行进度计划，再配合甲方及有关单位，以此做好合同执行进度上的配合工作。</w:t>
      </w:r>
    </w:p>
    <w:p>
      <w:pPr>
        <w:pStyle w:val="null3"/>
        <w:jc w:val="both"/>
      </w:pPr>
      <w:r>
        <w:rPr>
          <w:sz w:val="21"/>
          <w:b/>
          <w:color w:val="000000"/>
        </w:rPr>
        <w:t>8、 不可抗力</w:t>
      </w:r>
    </w:p>
    <w:p>
      <w:pPr>
        <w:pStyle w:val="null3"/>
        <w:jc w:val="both"/>
      </w:pPr>
      <w:r>
        <w:rPr>
          <w:sz w:val="21"/>
          <w:color w:val="000000"/>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1"/>
          <w:color w:val="000000"/>
        </w:rPr>
        <w:t>15日内将有关机构出具的不可抗力事件的证明寄交对方。未提供以上证明的，不能免除违约责任。</w:t>
      </w:r>
    </w:p>
    <w:p>
      <w:pPr>
        <w:pStyle w:val="null3"/>
        <w:jc w:val="both"/>
      </w:pPr>
      <w:r>
        <w:rPr>
          <w:sz w:val="21"/>
          <w:b/>
          <w:color w:val="000000"/>
        </w:rPr>
        <w:t>9、 索赔</w:t>
      </w:r>
    </w:p>
    <w:p>
      <w:pPr>
        <w:pStyle w:val="null3"/>
        <w:jc w:val="both"/>
      </w:pPr>
      <w:r>
        <w:rPr>
          <w:sz w:val="21"/>
          <w:color w:val="000000"/>
        </w:rPr>
        <w:t>9.1 如有异议，甲方有权根据有关政府部门的检验结果向乙方提出索赔。</w:t>
      </w:r>
    </w:p>
    <w:p>
      <w:pPr>
        <w:pStyle w:val="null3"/>
        <w:ind w:left="420"/>
        <w:jc w:val="both"/>
      </w:pPr>
      <w:r>
        <w:rPr>
          <w:sz w:val="21"/>
          <w:color w:val="000000"/>
        </w:rPr>
        <w:t>9.2 在合同执行期间，如果乙方对甲方提出的索赔和差异负有责任，乙方应按照甲方同意的下列一种或多种方式解决索赔事宜：</w:t>
      </w:r>
    </w:p>
    <w:p>
      <w:pPr>
        <w:pStyle w:val="null3"/>
        <w:ind w:left="840"/>
        <w:jc w:val="both"/>
      </w:pPr>
      <w:r>
        <w:rPr>
          <w:sz w:val="21"/>
          <w:color w:val="000000"/>
        </w:rPr>
        <w:t>1)</w:t>
      </w:r>
      <w:r>
        <w:rPr>
          <w:sz w:val="21"/>
          <w:color w:val="000000"/>
        </w:rPr>
        <w:t>乙方同意退货，并按合同规定的同种货币将货款退还给甲方，并承担由此发生的一切损失和费用。</w:t>
      </w:r>
    </w:p>
    <w:p>
      <w:pPr>
        <w:pStyle w:val="null3"/>
        <w:ind w:left="840"/>
        <w:jc w:val="both"/>
      </w:pPr>
      <w:r>
        <w:rPr>
          <w:sz w:val="21"/>
          <w:color w:val="000000"/>
        </w:rPr>
        <w:t>2)</w:t>
      </w:r>
      <w:r>
        <w:rPr>
          <w:sz w:val="21"/>
          <w:color w:val="000000"/>
        </w:rPr>
        <w:t>根据货物低劣程度、损坏程度以及甲方所遭受损失的数额甲乙双方商定降低货物的价格。</w:t>
      </w:r>
    </w:p>
    <w:p>
      <w:pPr>
        <w:pStyle w:val="null3"/>
        <w:ind w:left="840"/>
        <w:jc w:val="both"/>
      </w:pPr>
      <w:r>
        <w:rPr>
          <w:sz w:val="21"/>
          <w:color w:val="000000"/>
        </w:rPr>
        <w:t>3)</w:t>
      </w:r>
      <w:r>
        <w:rPr>
          <w:sz w:val="21"/>
          <w:color w:val="000000"/>
        </w:rPr>
        <w:t>用符合规格、质量和性能要求的新零件、部件或货物来更换有缺陷的部分或修补缺陷的部分，乙方应承担一切费用和风险并负责赔偿甲方所发生的一切直接费用。同时，相应延长质量保证期。</w:t>
      </w:r>
    </w:p>
    <w:p>
      <w:pPr>
        <w:pStyle w:val="null3"/>
        <w:ind w:left="465"/>
        <w:jc w:val="both"/>
      </w:pPr>
      <w:r>
        <w:rPr>
          <w:sz w:val="21"/>
          <w:color w:val="000000"/>
        </w:rPr>
        <w:t>9.3 如果在甲方发出索赔通知后</w:t>
      </w:r>
      <w:r>
        <w:rPr>
          <w:sz w:val="21"/>
          <w:color w:val="000000"/>
          <w:shd w:fill="FFFFFF" w:val="clear"/>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ind w:left="450"/>
        <w:jc w:val="both"/>
      </w:pPr>
      <w:r>
        <w:rPr>
          <w:sz w:val="21"/>
          <w:b/>
          <w:color w:val="000000"/>
        </w:rPr>
        <w:t>10、 违约责任</w:t>
      </w:r>
    </w:p>
    <w:p>
      <w:pPr>
        <w:pStyle w:val="null3"/>
        <w:ind w:left="555"/>
        <w:jc w:val="both"/>
      </w:pPr>
      <w:r>
        <w:rPr>
          <w:sz w:val="21"/>
          <w:color w:val="000000"/>
        </w:rPr>
        <w:t>10.1  甲方应依合同规定时间内，向乙方支付货款，每拖延一天乙方可向甲方加收合同总金额的</w:t>
      </w:r>
      <w:r>
        <w:rPr>
          <w:sz w:val="21"/>
          <w:color w:val="000000"/>
          <w:shd w:fill="FFFFFF" w:val="clear"/>
        </w:rPr>
        <w:t>万分之四</w:t>
      </w:r>
      <w:r>
        <w:rPr>
          <w:sz w:val="21"/>
          <w:color w:val="000000"/>
        </w:rPr>
        <w:t>的违约金。</w:t>
      </w:r>
    </w:p>
    <w:p>
      <w:pPr>
        <w:pStyle w:val="null3"/>
        <w:ind w:left="450"/>
        <w:jc w:val="both"/>
      </w:pPr>
      <w:r>
        <w:rPr>
          <w:sz w:val="21"/>
          <w:color w:val="000000"/>
        </w:rPr>
        <w:t>10.2  乙方未能按时交货，每拖延一天，须向甲方支付合同总金额的</w:t>
      </w:r>
      <w:r>
        <w:rPr>
          <w:sz w:val="21"/>
          <w:color w:val="000000"/>
          <w:shd w:fill="FFFFFF" w:val="clear"/>
        </w:rPr>
        <w:t>万分之四</w:t>
      </w:r>
      <w:r>
        <w:rPr>
          <w:sz w:val="21"/>
          <w:color w:val="000000"/>
        </w:rPr>
        <w:t>的违约金，逾期</w:t>
      </w:r>
      <w:r>
        <w:rPr>
          <w:sz w:val="21"/>
          <w:color w:val="000000"/>
        </w:rPr>
        <w:t>15日以上的，除了应按前述标准向甲方加付违约金之外，甲方有权终止合同，</w:t>
      </w:r>
      <w:r>
        <w:rPr>
          <w:sz w:val="21"/>
          <w:color w:val="000000"/>
        </w:rPr>
        <w:t>乙方应当向甲方支付合同总金额的</w:t>
      </w:r>
      <w:r>
        <w:rPr>
          <w:sz w:val="21"/>
          <w:color w:val="000000"/>
          <w:shd w:fill="FFFFFF" w:val="clear"/>
        </w:rPr>
        <w:t>7.5%</w:t>
      </w:r>
      <w:r>
        <w:rPr>
          <w:sz w:val="21"/>
          <w:color w:val="000000"/>
        </w:rPr>
        <w:t>的违约金，且</w:t>
      </w:r>
      <w:r>
        <w:rPr>
          <w:sz w:val="21"/>
          <w:color w:val="000000"/>
        </w:rPr>
        <w:t>因此造成的甲方经济损失由乙方承担。</w:t>
      </w:r>
    </w:p>
    <w:p>
      <w:pPr>
        <w:pStyle w:val="null3"/>
        <w:ind w:left="555"/>
        <w:jc w:val="both"/>
      </w:pPr>
      <w:r>
        <w:rPr>
          <w:sz w:val="21"/>
          <w:color w:val="000000"/>
        </w:rPr>
        <w:t>10.3  乙方交付的货物不符合合同规定的，甲方有权拒收，乙方应向甲方支付合同总金额的</w:t>
      </w:r>
      <w:r>
        <w:rPr>
          <w:sz w:val="21"/>
          <w:color w:val="000000"/>
          <w:shd w:fill="FFFFFF" w:val="clear"/>
        </w:rPr>
        <w:t>5%</w:t>
      </w:r>
      <w:r>
        <w:rPr>
          <w:sz w:val="21"/>
          <w:color w:val="000000"/>
        </w:rPr>
        <w:t>的违约金。</w:t>
      </w:r>
    </w:p>
    <w:p>
      <w:pPr>
        <w:pStyle w:val="null3"/>
        <w:ind w:left="450"/>
        <w:jc w:val="both"/>
      </w:pPr>
      <w:r>
        <w:rPr>
          <w:sz w:val="21"/>
          <w:color w:val="000000"/>
        </w:rPr>
        <w:t>10.4 甲方无正当理由拒收货物的，甲方向乙方支付合同总金额的</w:t>
      </w:r>
      <w:r>
        <w:rPr>
          <w:sz w:val="21"/>
          <w:color w:val="000000"/>
          <w:shd w:fill="FFFFFF" w:val="clear"/>
        </w:rPr>
        <w:t>5%</w:t>
      </w:r>
      <w:r>
        <w:rPr>
          <w:sz w:val="21"/>
          <w:color w:val="000000"/>
        </w:rPr>
        <w:t>的违约金。</w:t>
      </w:r>
    </w:p>
    <w:p>
      <w:pPr>
        <w:pStyle w:val="null3"/>
        <w:ind w:left="450"/>
        <w:jc w:val="both"/>
      </w:pPr>
      <w:r>
        <w:rPr>
          <w:sz w:val="21"/>
          <w:color w:val="000000"/>
        </w:rPr>
        <w:t>10.5所有乙方应当承担的违约金、赔偿金等责任，甲方均有权在应支付给乙方的款项中直接扣除，不足以扣除的，甲方有权继续要求乙方支付或赔偿。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ind w:left="450"/>
        <w:jc w:val="both"/>
      </w:pPr>
      <w:r>
        <w:rPr>
          <w:sz w:val="21"/>
          <w:color w:val="000000"/>
        </w:rPr>
        <w:t>10.6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ind w:left="450"/>
        <w:jc w:val="both"/>
      </w:pPr>
      <w:r>
        <w:rPr>
          <w:sz w:val="21"/>
          <w:color w:val="000000"/>
        </w:rPr>
        <w:t>10.7其它违约责任按《中华人民共和国民法典》处理。</w:t>
      </w:r>
    </w:p>
    <w:p>
      <w:pPr>
        <w:pStyle w:val="null3"/>
        <w:jc w:val="both"/>
      </w:pPr>
      <w:r>
        <w:rPr>
          <w:sz w:val="21"/>
          <w:b/>
          <w:color w:val="000000"/>
        </w:rPr>
        <w:t>11、合同终止</w:t>
      </w:r>
    </w:p>
    <w:p>
      <w:pPr>
        <w:pStyle w:val="null3"/>
        <w:ind w:left="525" w:firstLine="12"/>
        <w:jc w:val="both"/>
      </w:pPr>
      <w:r>
        <w:rPr>
          <w:sz w:val="21"/>
          <w:color w:val="000000"/>
        </w:rPr>
        <w:t>如果一方严重违反合同，并在收到对方违约通知书后在</w:t>
      </w:r>
      <w:r>
        <w:rPr>
          <w:sz w:val="21"/>
          <w:color w:val="000000"/>
          <w:shd w:fill="FFFFFF" w:val="clear"/>
        </w:rPr>
        <w:t>30</w:t>
      </w:r>
      <w:r>
        <w:rPr>
          <w:sz w:val="21"/>
          <w:color w:val="000000"/>
        </w:rPr>
        <w:t>天内仍未能改正违约的，另一方可立即终止本合同。</w:t>
      </w:r>
    </w:p>
    <w:p>
      <w:pPr>
        <w:pStyle w:val="null3"/>
        <w:jc w:val="both"/>
      </w:pPr>
      <w:r>
        <w:rPr>
          <w:sz w:val="21"/>
          <w:b/>
          <w:color w:val="000000"/>
        </w:rPr>
        <w:t>12、 法律诉讼</w:t>
      </w:r>
    </w:p>
    <w:p>
      <w:pPr>
        <w:pStyle w:val="null3"/>
        <w:ind w:left="630"/>
        <w:jc w:val="both"/>
      </w:pPr>
      <w:r>
        <w:rPr>
          <w:sz w:val="21"/>
          <w:color w:val="000000"/>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1"/>
          <w:b/>
          <w:color w:val="000000"/>
        </w:rPr>
        <w:t>13、 其它</w:t>
      </w:r>
    </w:p>
    <w:p>
      <w:pPr>
        <w:pStyle w:val="null3"/>
        <w:ind w:left="525"/>
        <w:jc w:val="both"/>
      </w:pPr>
      <w:r>
        <w:rPr>
          <w:sz w:val="21"/>
          <w:color w:val="000000"/>
        </w:rPr>
        <w:t xml:space="preserve">13.1 </w:t>
      </w:r>
      <w:r>
        <w:rPr>
          <w:sz w:val="21"/>
        </w:rPr>
        <w:t>本合同正本四份，具有同等法律效力，甲方执三份、乙方执一份</w:t>
      </w:r>
      <w:r>
        <w:rPr>
          <w:sz w:val="21"/>
          <w:color w:val="000000"/>
        </w:rPr>
        <w:t>。合同自甲乙双方法定代表人或授权代表签字并盖双方公章或合同专用章后生效。</w:t>
      </w:r>
    </w:p>
    <w:p>
      <w:pPr>
        <w:pStyle w:val="null3"/>
        <w:ind w:left="525"/>
        <w:jc w:val="both"/>
      </w:pPr>
      <w:r>
        <w:rPr>
          <w:sz w:val="21"/>
          <w:color w:val="000000"/>
        </w:rPr>
        <w:t xml:space="preserve">13.2未经甲方书面同意，乙方不得将其合同项下应履行的义务部分或全部转包给任何第三方。如乙方违反本条约定，甲方有权单方解除合同，乙方应退还甲方已支付款项，并向甲方支付相当于合同金额（20%）的违约金。  </w:t>
      </w:r>
    </w:p>
    <w:p>
      <w:pPr>
        <w:pStyle w:val="null3"/>
        <w:ind w:left="525"/>
        <w:jc w:val="both"/>
      </w:pPr>
      <w:r>
        <w:rPr>
          <w:sz w:val="21"/>
          <w:color w:val="000000"/>
        </w:rPr>
        <w:t>13.3 下列文件是本合同的一部分，与本合同具有同等法律效力，并与本合同一起阅读和解释</w:t>
      </w:r>
    </w:p>
    <w:p>
      <w:pPr>
        <w:pStyle w:val="null3"/>
        <w:ind w:left="1215"/>
        <w:jc w:val="both"/>
      </w:pPr>
      <w:r>
        <w:rPr>
          <w:sz w:val="21"/>
          <w:color w:val="000000"/>
        </w:rPr>
        <w:t>1)</w:t>
      </w:r>
      <w:r>
        <w:rPr>
          <w:sz w:val="21"/>
          <w:color w:val="000000"/>
        </w:rPr>
        <w:t>乙方提交的投标函和投标一览表；</w:t>
      </w:r>
    </w:p>
    <w:p>
      <w:pPr>
        <w:pStyle w:val="null3"/>
        <w:ind w:left="1215"/>
        <w:jc w:val="both"/>
      </w:pPr>
      <w:r>
        <w:rPr>
          <w:sz w:val="21"/>
          <w:color w:val="000000"/>
        </w:rPr>
        <w:t>2)</w:t>
      </w:r>
      <w:r>
        <w:rPr>
          <w:sz w:val="21"/>
          <w:color w:val="000000"/>
        </w:rPr>
        <w:t>资格声明函；</w:t>
      </w:r>
    </w:p>
    <w:p>
      <w:pPr>
        <w:pStyle w:val="null3"/>
        <w:ind w:left="1215"/>
        <w:jc w:val="both"/>
      </w:pPr>
      <w:r>
        <w:rPr>
          <w:sz w:val="21"/>
          <w:color w:val="000000"/>
        </w:rPr>
        <w:t>3)</w:t>
      </w:r>
      <w:r>
        <w:rPr>
          <w:sz w:val="21"/>
          <w:color w:val="000000"/>
        </w:rPr>
        <w:t>中标通知书；</w:t>
      </w:r>
    </w:p>
    <w:p>
      <w:pPr>
        <w:pStyle w:val="null3"/>
        <w:ind w:left="1215"/>
        <w:jc w:val="both"/>
      </w:pPr>
      <w:r>
        <w:rPr>
          <w:sz w:val="21"/>
          <w:color w:val="000000"/>
        </w:rPr>
        <w:t>4)</w:t>
      </w:r>
      <w:r>
        <w:rPr>
          <w:sz w:val="21"/>
          <w:color w:val="000000"/>
        </w:rPr>
        <w:t>其他相关招标文件、投标文件。</w:t>
      </w:r>
    </w:p>
    <w:p>
      <w:pPr>
        <w:pStyle w:val="null3"/>
        <w:ind w:left="630"/>
        <w:jc w:val="left"/>
      </w:pPr>
      <w:r>
        <w:rPr>
          <w:sz w:val="21"/>
          <w:color w:val="000000"/>
        </w:rPr>
        <w:t>13.4  本合同未尽事宜，由双方协商处理。有关本合同的修改、补充和变更，均应以书面形式进行，经双方签字并盖章后生效，否则无效。本合同未尽事宜，  遵照《中华人民共和国民法典》有关条文执行。</w:t>
      </w:r>
    </w:p>
    <w:p>
      <w:pPr>
        <w:pStyle w:val="null3"/>
        <w:ind w:left="630"/>
        <w:jc w:val="both"/>
      </w:pPr>
      <w:r>
        <w:rPr>
          <w:sz w:val="21"/>
          <w:color w:val="000000"/>
        </w:rPr>
        <w:t>13.5  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w:t>
      </w:r>
      <w:r>
        <w:rPr>
          <w:sz w:val="21"/>
        </w:rPr>
        <w:t>送达地址还可作为法院送达诉讼文书的地址，因载明的地址有误或未及时告知变更后的地址，导致相关文书及诉讼文书未能实际被接收的、邮寄送达的，相关文书及诉讼文书退回之日即视为送达之日。</w:t>
      </w:r>
    </w:p>
    <w:p>
      <w:pPr>
        <w:pStyle w:val="null3"/>
        <w:ind w:left="630"/>
        <w:jc w:val="both"/>
      </w:pPr>
      <w:r>
        <w:rPr>
          <w:sz w:val="21"/>
          <w:color w:val="000000"/>
        </w:rPr>
        <w:t>13.6  甲方向乙方发出的验收通知、合同变更通知、款项结算通知等相关要求确认的文件，乙方应当在收到文件之日起15天内予以书面回复，逾期将视为乙方已同意甲方要求确认的事项（包括但不限于确认验收已通过、确认变更、确认甲方主张的款项明细等）。</w:t>
      </w:r>
    </w:p>
    <w:p>
      <w:pPr>
        <w:pStyle w:val="null3"/>
        <w:ind w:left="630"/>
        <w:jc w:val="both"/>
      </w:pPr>
      <w:r>
        <w:rPr>
          <w:sz w:val="21"/>
          <w:color w:val="000000"/>
        </w:rPr>
        <w:t>13.7  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ind w:left="630"/>
        <w:jc w:val="both"/>
      </w:pPr>
      <w:r>
        <w:rPr>
          <w:sz w:val="21"/>
          <w:color w:val="000000"/>
        </w:rPr>
        <w:t>13.8  合作协议期内，双方应当严格遵守国家法律法规。未经另一方同意，任何一方不得使用对方的名称、商标作为商业用途，任何一方不得借此利用对方名义或对方代理人名义对外经营损害消费者的利益及商誉，否则，如一方违约给对方造成损失的，违约方应赔偿守约方的一切损失。</w:t>
      </w:r>
    </w:p>
    <w:p>
      <w:pPr>
        <w:pStyle w:val="null3"/>
        <w:ind w:left="630"/>
        <w:jc w:val="both"/>
      </w:pPr>
      <w:r>
        <w:rPr>
          <w:sz w:val="21"/>
          <w:color w:val="000000"/>
        </w:rPr>
        <w:t>13.9  双方应保守通过签订和履行本合同而获取的对方之商业及技术秘密，包括但不限于本合同文本，相关技术文件、相关数据，以及其他有关信息。未经双方全体书面同意，任何一方不得提供、透露予任何第三方或许可第三方使用，亦不得将相关资料用于本合作项目以外的任何用途。双方并应负管理的责任使其全体雇用人员或其他执行本协议相关业务的人员，均遵守此项保密义务。任何一方违反上述约定的，应赔偿合同守约方的损失。本保密条款不因合同终止而终止。</w:t>
      </w:r>
    </w:p>
    <w:p>
      <w:pPr>
        <w:pStyle w:val="null3"/>
        <w:jc w:val="both"/>
      </w:pPr>
      <w:r>
        <w:rPr>
          <w:sz w:val="21"/>
          <w:color w:val="000000"/>
        </w:rPr>
        <w:t>13.10  甲乙双方对于合同内容的补充约定：（请根据实际情况填写或写“无”）。</w:t>
      </w:r>
    </w:p>
    <w:p>
      <w:pPr>
        <w:pStyle w:val="null3"/>
        <w:ind w:firstLine="630"/>
        <w:jc w:val="both"/>
      </w:pPr>
      <w:r>
        <w:rPr>
          <w:sz w:val="21"/>
          <w:color w:val="000000"/>
        </w:rPr>
        <w:t>附件一：《技术参数及配置清单》</w:t>
      </w:r>
    </w:p>
    <w:p>
      <w:pPr>
        <w:pStyle w:val="null3"/>
        <w:jc w:val="both"/>
      </w:pPr>
      <w:r>
        <w:rPr>
          <w:sz w:val="21"/>
          <w:color w:val="000000"/>
        </w:rPr>
        <w:t>（以下无正文）</w:t>
      </w:r>
      <w:r>
        <w:rPr>
          <w:sz w:val="21"/>
          <w:color w:val="000000"/>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甲方单位（盖章）：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乙方单位（盖章）：</w:t>
            </w:r>
            <w:r>
              <w:rPr>
                <w:sz w:val="21"/>
                <w:color w:val="000000"/>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授权代表（签字）：</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授权代表（签字）：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联系人：</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联系人：</w:t>
            </w:r>
            <w:r>
              <w:rPr>
                <w:sz w:val="21"/>
                <w:color w:val="000000"/>
              </w:rPr>
              <w:t xml:space="preserve">   </w:t>
            </w:r>
            <w:r>
              <w:rPr>
                <w:sz w:val="21"/>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联系地址：</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联系地址：</w:t>
            </w:r>
            <w:r>
              <w:rPr>
                <w:sz w:val="21"/>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联系电话：</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联系电话：</w:t>
            </w:r>
            <w:r>
              <w:rPr>
                <w:sz w:val="21"/>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电子邮件：</w:t>
            </w:r>
            <w:r>
              <w:rPr>
                <w:sz w:val="21"/>
                <w:color w:val="000000"/>
              </w:rPr>
              <w:t xml:space="preserve">    </w:t>
            </w:r>
            <w:r>
              <w:rPr>
                <w:sz w:val="21"/>
                <w:color w:val="000000"/>
              </w:rPr>
              <w:t>（请填写）</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电子邮件：</w:t>
            </w:r>
            <w:r>
              <w:rPr>
                <w:sz w:val="21"/>
                <w:color w:val="000000"/>
              </w:rPr>
              <w:t>（请填写）</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签订日期</w:t>
            </w:r>
            <w:r>
              <w:rPr>
                <w:sz w:val="21"/>
                <w:color w:val="000000"/>
              </w:rPr>
              <w:t>: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color w:val="000000"/>
              </w:rPr>
              <w:t>签订日期</w:t>
            </w:r>
            <w:r>
              <w:rPr>
                <w:sz w:val="21"/>
                <w:color w:val="000000"/>
              </w:rPr>
              <w:t>:    年    月    日</w:t>
            </w:r>
          </w:p>
        </w:tc>
      </w:tr>
    </w:tbl>
    <w:p>
      <w:pPr>
        <w:pStyle w:val="null3"/>
        <w:jc w:val="both"/>
      </w:pPr>
      <w:r>
        <w:rPr>
          <w:sz w:val="21"/>
          <w:color w:val="000000"/>
        </w:rPr>
        <w:t>附件：技术参数及配置清单：</w:t>
      </w:r>
    </w:p>
    <w:p>
      <w:pPr>
        <w:pStyle w:val="null3"/>
        <w:jc w:val="both"/>
      </w:pPr>
      <w:r>
        <w:rPr>
          <w:sz w:val="21"/>
          <w:b/>
          <w:color w:val="000000"/>
        </w:rPr>
        <w:t>提示：请务必确保清单内容填写准确。</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17"/>
        <w:gridCol w:w="864"/>
        <w:gridCol w:w="3676"/>
        <w:gridCol w:w="3032"/>
      </w:tblGrid>
      <w:tr>
        <w:tc>
          <w:tcPr>
            <w:tcW w:type="dxa" w:w="717"/>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64"/>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367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主要技术参数</w:t>
            </w:r>
          </w:p>
        </w:tc>
        <w:tc>
          <w:tcPr>
            <w:tcW w:type="dxa" w:w="303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配置清单</w:t>
            </w:r>
          </w:p>
        </w:tc>
      </w:tr>
      <w:tr>
        <w:tc>
          <w:tcPr>
            <w:tcW w:type="dxa" w:w="717"/>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864"/>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tc>
        <w:tc>
          <w:tcPr>
            <w:tcW w:type="dxa" w:w="367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tc>
        <w:tc>
          <w:tcPr>
            <w:tcW w:type="dxa" w:w="3032"/>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pPr>
      <w:r>
        <w:rPr>
          <w:sz w:val="44"/>
          <w:b/>
        </w:rPr>
        <w:t>华南农业大学进口货物采购合同</w:t>
      </w:r>
    </w:p>
    <w:p>
      <w:pPr>
        <w:pStyle w:val="null3"/>
        <w:ind w:left="420"/>
        <w:jc w:val="center"/>
      </w:pPr>
      <w:r>
        <w:rPr>
          <w:sz w:val="21"/>
        </w:rPr>
        <w:t>甲方：华南农业大学</w:t>
      </w:r>
    </w:p>
    <w:p>
      <w:pPr>
        <w:pStyle w:val="null3"/>
        <w:jc w:val="left"/>
      </w:pPr>
      <w:r>
        <w:rPr>
          <w:sz w:val="21"/>
        </w:rPr>
        <w:t>法定代表人：</w:t>
      </w:r>
      <w:r>
        <w:rPr>
          <w:sz w:val="21"/>
        </w:rPr>
        <w:t xml:space="preserve">  </w:t>
      </w:r>
    </w:p>
    <w:p>
      <w:pPr>
        <w:pStyle w:val="null3"/>
        <w:jc w:val="left"/>
      </w:pPr>
      <w:r>
        <w:rPr>
          <w:sz w:val="21"/>
        </w:rPr>
        <w:t>乙方：</w:t>
      </w:r>
      <w:r>
        <w:rPr>
          <w:sz w:val="21"/>
        </w:rPr>
        <w:t xml:space="preserve">  </w:t>
      </w:r>
    </w:p>
    <w:p>
      <w:pPr>
        <w:pStyle w:val="null3"/>
        <w:jc w:val="left"/>
      </w:pPr>
      <w:r>
        <w:rPr>
          <w:sz w:val="21"/>
        </w:rPr>
        <w:t>法定代表人：</w:t>
      </w:r>
      <w:r>
        <w:rPr>
          <w:sz w:val="21"/>
        </w:rPr>
        <w:t xml:space="preserve">  </w:t>
      </w:r>
    </w:p>
    <w:p>
      <w:pPr>
        <w:pStyle w:val="null3"/>
        <w:ind w:firstLine="420"/>
        <w:jc w:val="both"/>
      </w:pPr>
      <w:r>
        <w:rPr>
          <w:sz w:val="21"/>
        </w:rPr>
        <w:t>根据《中华人民共和国政府采购法》、《中华人民共和国民法典》及</w:t>
      </w:r>
    </w:p>
    <w:p>
      <w:pPr>
        <w:pStyle w:val="null3"/>
        <w:ind w:left="240" w:firstLine="105"/>
        <w:jc w:val="both"/>
      </w:pPr>
      <w:r>
        <w:rPr>
          <w:sz w:val="21"/>
        </w:rPr>
        <w:t>年月日</w:t>
      </w:r>
      <w:r>
        <w:rPr>
          <w:sz w:val="21"/>
        </w:rPr>
        <w:t>(开标时间）招标文件（招标编号：，招标项目名称：，采购招标机构：）、投标文件、中标通知书、采购计划表（SQ:）的要求，经双方协商一致，签订本合同。</w:t>
      </w:r>
    </w:p>
    <w:p>
      <w:pPr>
        <w:pStyle w:val="null3"/>
        <w:ind w:firstLine="420"/>
        <w:jc w:val="both"/>
      </w:pPr>
      <w:r>
        <w:rPr>
          <w:sz w:val="21"/>
        </w:rPr>
        <w:t>本项目采购方式为第种。（</w:t>
      </w:r>
      <w:r>
        <w:rPr>
          <w:sz w:val="21"/>
        </w:rPr>
        <w:t>1）政府采购、校内集中 （2）校内分散（3）小零易购 （4）其他：（请填写具体采购方式名称）</w:t>
      </w:r>
    </w:p>
    <w:p>
      <w:pPr>
        <w:pStyle w:val="null3"/>
        <w:jc w:val="both"/>
      </w:pPr>
      <w:r>
        <w:rPr>
          <w:sz w:val="21"/>
        </w:rPr>
        <w:t xml:space="preserve">1. </w:t>
      </w:r>
      <w:r>
        <w:rPr>
          <w:sz w:val="21"/>
          <w:b/>
        </w:rPr>
        <w:t>货物明细</w:t>
      </w:r>
    </w:p>
    <w:p>
      <w:pPr>
        <w:pStyle w:val="null3"/>
        <w:ind w:firstLine="420"/>
        <w:jc w:val="both"/>
      </w:pPr>
      <w:r>
        <w:rPr>
          <w:sz w:val="21"/>
        </w:rPr>
        <w:t>1.1 乙方负责向甲方提供下表中所列货物和相关的安装调试服务，详细参数及配置见附件。</w:t>
      </w:r>
    </w:p>
    <w:tbl>
      <w:tblPr>
        <w:tblW w:w="0" w:type="auto"/>
        <w:tblBorders>
          <w:top w:val="none" w:color="000000" w:sz="4"/>
          <w:left w:val="none" w:color="000000" w:sz="4"/>
          <w:bottom w:val="none" w:color="000000" w:sz="4"/>
          <w:right w:val="none" w:color="000000" w:sz="4"/>
          <w:insideH w:val="none"/>
          <w:insideV w:val="none"/>
        </w:tblBorders>
      </w:tblPr>
      <w:tblGrid>
        <w:gridCol w:w="570"/>
        <w:gridCol w:w="1031"/>
        <w:gridCol w:w="977"/>
        <w:gridCol w:w="1465"/>
        <w:gridCol w:w="1397"/>
        <w:gridCol w:w="407"/>
        <w:gridCol w:w="610"/>
        <w:gridCol w:w="760"/>
        <w:gridCol w:w="1017"/>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厂家</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p>
            <w:pPr>
              <w:pStyle w:val="null3"/>
              <w:jc w:val="center"/>
            </w:pPr>
            <w:r>
              <w:rPr>
                <w:sz w:val="21"/>
              </w:rPr>
              <w:t>（元）</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小计</w:t>
            </w:r>
          </w:p>
        </w:tc>
        <w:tc>
          <w:tcPr>
            <w:tcW w:type="dxa" w:w="76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元</w:t>
            </w:r>
          </w:p>
        </w:tc>
      </w:tr>
    </w:tbl>
    <w:p>
      <w:pPr>
        <w:pStyle w:val="null3"/>
        <w:jc w:val="left"/>
      </w:pPr>
      <w:r>
        <w:rPr>
          <w:sz w:val="21"/>
        </w:rPr>
        <w:t>合计人民币：</w:t>
      </w:r>
      <w:r>
        <w:rPr>
          <w:sz w:val="21"/>
          <w:b/>
        </w:rPr>
        <w:t xml:space="preserve">¥ </w:t>
      </w:r>
      <w:r>
        <w:rPr>
          <w:sz w:val="21"/>
        </w:rPr>
        <w:t>元（大写</w:t>
      </w:r>
      <w:r>
        <w:rPr>
          <w:sz w:val="21"/>
          <w:b/>
        </w:rPr>
        <w:t>：</w:t>
      </w:r>
      <w:r>
        <w:rPr>
          <w:sz w:val="21"/>
          <w:b/>
        </w:rPr>
        <w:t xml:space="preserve">  </w:t>
      </w:r>
      <w:r>
        <w:rPr>
          <w:sz w:val="21"/>
        </w:rPr>
        <w:t xml:space="preserve"> </w:t>
      </w:r>
      <w:r>
        <w:rPr>
          <w:sz w:val="21"/>
        </w:rPr>
        <w:t>元整）</w:t>
      </w:r>
    </w:p>
    <w:p>
      <w:pPr>
        <w:pStyle w:val="null3"/>
        <w:jc w:val="left"/>
      </w:pPr>
      <w:r>
        <w:rPr>
          <w:sz w:val="21"/>
        </w:rPr>
        <w:t>合同总价格为人民币</w:t>
      </w:r>
      <w:r>
        <w:rPr>
          <w:sz w:val="21"/>
        </w:rPr>
        <w:t>CIP广州华南农业大学交货价。</w:t>
      </w:r>
    </w:p>
    <w:p>
      <w:pPr>
        <w:pStyle w:val="null3"/>
        <w:ind w:firstLine="420"/>
        <w:jc w:val="both"/>
      </w:pPr>
      <w:r>
        <w:rPr>
          <w:sz w:val="21"/>
        </w:rPr>
        <w:t>1.2 设备合同总价（含单价）见上表。</w:t>
      </w:r>
    </w:p>
    <w:p>
      <w:pPr>
        <w:pStyle w:val="null3"/>
        <w:ind w:firstLine="420"/>
        <w:jc w:val="both"/>
      </w:pPr>
      <w:r>
        <w:rPr>
          <w:sz w:val="21"/>
        </w:rPr>
        <w:t>合同价格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1"/>
          <w:b/>
        </w:rPr>
        <w:t>2.</w:t>
      </w:r>
      <w:r>
        <w:rPr>
          <w:sz w:val="21"/>
          <w:b/>
        </w:rPr>
        <w:t>付款方式</w:t>
      </w:r>
    </w:p>
    <w:p>
      <w:pPr>
        <w:pStyle w:val="null3"/>
        <w:ind w:firstLine="420"/>
      </w:pPr>
      <w:r>
        <w:rPr>
          <w:sz w:val="21"/>
        </w:rPr>
        <w:t>2.1结算方式：本合同以人民币进行结算，合同履行过程中货币汇率变化的风险由乙方承担。按合同约定，乙方凭甲方验收合格单、外商形式发票的原件、付汇水单的复印件，按合同总价用银行汇票（商业汇票、银行本票、委托收款）等方式结算。</w:t>
      </w:r>
    </w:p>
    <w:p>
      <w:pPr>
        <w:pStyle w:val="null3"/>
        <w:ind w:firstLine="420"/>
      </w:pPr>
      <w:r>
        <w:rPr>
          <w:sz w:val="21"/>
        </w:rPr>
        <w:t>2.2 支付方式: 签订合同后5个工作日内，乙方缴纳合同总价的5%作为履约保证金给甲方。在乙方无违法违约的情况下，甲方收到履约保证金后，按如下方式付款。</w:t>
      </w:r>
    </w:p>
    <w:p>
      <w:pPr>
        <w:pStyle w:val="null3"/>
        <w:ind w:firstLine="420"/>
      </w:pPr>
      <w:r>
        <w:rPr>
          <w:sz w:val="21"/>
        </w:rPr>
        <w:t>国外采购并需办理进口免税部分货物的收款人为甲、乙双方认定的外贸公司，所支付货款为货物的免税价格。双方约定采用以下第</w:t>
      </w:r>
      <w:r>
        <w:rPr>
          <w:sz w:val="21"/>
        </w:rPr>
        <w:t>种付款方式</w:t>
      </w:r>
      <w:r>
        <w:rPr>
          <w:sz w:val="21"/>
        </w:rPr>
        <w:t>:</w:t>
      </w:r>
    </w:p>
    <w:p>
      <w:pPr>
        <w:pStyle w:val="null3"/>
        <w:ind w:firstLine="420"/>
      </w:pPr>
      <w:r>
        <w:rPr>
          <w:sz w:val="21"/>
        </w:rPr>
        <w:t xml:space="preserve"> </w:t>
      </w:r>
      <w:r>
        <w:rPr>
          <w:sz w:val="21"/>
        </w:rPr>
        <w:t>(1)甲方支付100%货款给甲方指定的外贸代理公司的监管账户上。由甲方指定的外贸代理公司收到货物款及办理好免税手续（中华人民共和国海关进出口货物征免税确认通知书）后7个工作日内开立80%信用证（L/C），见提单、装箱单以及L/C规定的其它单证付款给乙方指定的外商；剩余20％验收合格后10个工作日内T/T支付。</w:t>
      </w:r>
    </w:p>
    <w:p>
      <w:pPr>
        <w:pStyle w:val="null3"/>
        <w:ind w:firstLine="420"/>
        <w:jc w:val="both"/>
      </w:pPr>
      <w:r>
        <w:rPr>
          <w:sz w:val="21"/>
        </w:rPr>
        <w:t>(2)货到甲方验收合格后10个工作日内100%T/T支付。凭乙方、外贸代理公司、甲方最终用户三方共同签署交付货物齐全的开箱单（须有签字并加盖公章）以及验收报告（结果须为合格）支付。</w:t>
      </w:r>
    </w:p>
    <w:p>
      <w:pPr>
        <w:pStyle w:val="null3"/>
        <w:ind w:firstLine="420"/>
        <w:jc w:val="both"/>
      </w:pPr>
      <w:r>
        <w:rPr>
          <w:sz w:val="21"/>
        </w:rPr>
        <w:t>2.3 甲方支付乙方的费用均通过银行转账方式汇入乙方指定的账户，但本合同另有约定的除外：</w:t>
      </w:r>
    </w:p>
    <w:tbl>
      <w:tblPr>
        <w:tblW w:w="0" w:type="auto"/>
        <w:tblBorders>
          <w:top w:val="none" w:color="000000" w:sz="4"/>
          <w:left w:val="none" w:color="000000" w:sz="4"/>
          <w:bottom w:val="none" w:color="000000" w:sz="4"/>
          <w:right w:val="none" w:color="000000" w:sz="4"/>
          <w:insideH w:val="none"/>
          <w:insideV w:val="none"/>
        </w:tblBorders>
      </w:tblPr>
      <w:tblGrid>
        <w:gridCol w:w="1339"/>
        <w:gridCol w:w="6967"/>
      </w:tblGrid>
      <w:tr>
        <w:tc>
          <w:tcPr>
            <w:tcW w:type="dxa" w:w="1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开户行</w:t>
            </w:r>
          </w:p>
        </w:tc>
        <w:tc>
          <w:tcPr>
            <w:tcW w:type="dxa" w:w="6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w:t>
            </w:r>
          </w:p>
        </w:tc>
        <w:tc>
          <w:tcPr>
            <w:tcW w:type="dxa" w:w="6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账</w:t>
            </w:r>
            <w:r>
              <w:rPr>
                <w:sz w:val="21"/>
              </w:rPr>
              <w:t xml:space="preserve">  </w:t>
            </w:r>
            <w:r>
              <w:rPr>
                <w:sz w:val="21"/>
              </w:rPr>
              <w:t>号</w:t>
            </w:r>
          </w:p>
        </w:tc>
        <w:tc>
          <w:tcPr>
            <w:tcW w:type="dxa" w:w="6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ind w:firstLine="420"/>
        <w:jc w:val="both"/>
      </w:pPr>
      <w:r>
        <w:rPr>
          <w:sz w:val="21"/>
        </w:rPr>
        <w:t>甲方向上述账户汇出款项即为已经向乙方履行合同约定的付款义务，如因乙方账户被查封、冻结、注销等非甲方原因导致乙方未能收到款项的，责任由乙方自行承担。</w:t>
      </w:r>
    </w:p>
    <w:p>
      <w:pPr>
        <w:pStyle w:val="null3"/>
        <w:ind w:firstLine="420"/>
        <w:jc w:val="both"/>
      </w:pPr>
      <w:r>
        <w:rPr>
          <w:sz w:val="21"/>
        </w:rPr>
        <w:t>2.4</w:t>
      </w:r>
      <w:r>
        <w:rPr>
          <w:sz w:val="21"/>
        </w:rPr>
        <w:t>在乙方</w:t>
      </w:r>
      <w:r>
        <w:rPr>
          <w:sz w:val="21"/>
          <w:color w:val="000000"/>
        </w:rPr>
        <w:t>按合同约定</w:t>
      </w:r>
      <w:r>
        <w:rPr>
          <w:sz w:val="21"/>
        </w:rPr>
        <w:t>全部履行完成合同义务，并按甲方要求办理相关履约保证金退还手续后</w:t>
      </w:r>
      <w:r>
        <w:rPr>
          <w:sz w:val="21"/>
        </w:rPr>
        <w:t>10个工作日内，甲方将履约保证金无息退回乙方，否则，甲方有权不予退回履约保证金。甲方未按照合同约定及时向乙方退回履约保证金的，应按照全国银行间同业拆借中心公布的贷款市场报价利率标准支付利息</w:t>
      </w:r>
      <w:r>
        <w:rPr>
          <w:sz w:val="21"/>
        </w:rPr>
        <w:t>。</w:t>
      </w:r>
    </w:p>
    <w:p>
      <w:pPr>
        <w:pStyle w:val="null3"/>
        <w:ind w:firstLine="420"/>
        <w:jc w:val="both"/>
      </w:pPr>
      <w:r>
        <w:rPr>
          <w:sz w:val="21"/>
          <w:color w:val="000000"/>
        </w:rPr>
        <w:t>2.5若乙方所投货物及零部件或制作材料的原产地为中华人民共和国境外地区，乙方必须自行办妥货物进口有关的所有事项（甲方可提供与其享受免关税待遇相关的证明文件资料，协助乙方办理进口免税相关事项）；所有进口设备的报价为人民币CIP报价(包括交货给甲方验收合格后交付使用及与货物进口有关的一切费用)。乙方不得以本项目中标通知书办理进口批文。</w:t>
      </w:r>
    </w:p>
    <w:p>
      <w:pPr>
        <w:pStyle w:val="null3"/>
        <w:jc w:val="both"/>
      </w:pPr>
      <w:r>
        <w:rPr>
          <w:sz w:val="21"/>
          <w:b/>
        </w:rPr>
        <w:t>3. 合同组成</w:t>
      </w:r>
    </w:p>
    <w:p>
      <w:pPr>
        <w:pStyle w:val="null3"/>
        <w:ind w:firstLine="420"/>
        <w:jc w:val="both"/>
      </w:pPr>
      <w:r>
        <w:rPr>
          <w:sz w:val="21"/>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1"/>
          <w:b/>
        </w:rPr>
        <w:t>4. 技术要求</w:t>
      </w:r>
    </w:p>
    <w:p>
      <w:pPr>
        <w:pStyle w:val="null3"/>
        <w:ind w:firstLine="420"/>
        <w:jc w:val="both"/>
      </w:pPr>
      <w:r>
        <w:rPr>
          <w:sz w:val="21"/>
        </w:rPr>
        <w:t>乙方所提供设备，必须符合甲方所在国家有关规范及环保要求，技术指标应与乙方投标文件所陈述的指标保持一致。</w:t>
      </w:r>
    </w:p>
    <w:p>
      <w:pPr>
        <w:pStyle w:val="null3"/>
        <w:jc w:val="both"/>
      </w:pPr>
      <w:r>
        <w:rPr>
          <w:sz w:val="21"/>
          <w:b/>
        </w:rPr>
        <w:t>5. 设备包装、交货、安装、调试及验收</w:t>
      </w:r>
    </w:p>
    <w:p>
      <w:pPr>
        <w:pStyle w:val="null3"/>
        <w:ind w:firstLine="420"/>
        <w:jc w:val="both"/>
      </w:pPr>
      <w:r>
        <w:rPr>
          <w:sz w:val="21"/>
        </w:rPr>
        <w:t>5.1 合同设备的包装：</w:t>
      </w:r>
    </w:p>
    <w:p>
      <w:pPr>
        <w:pStyle w:val="null3"/>
        <w:jc w:val="both"/>
      </w:pPr>
      <w:r>
        <w:rPr>
          <w:sz w:val="21"/>
        </w:rPr>
        <w:t>设备的包装均应有良好的防湿、防锈、防潮、防雨、防腐及防碰撞等的措施，</w:t>
      </w:r>
      <w:r>
        <w:rPr>
          <w:sz w:val="21"/>
          <w:color w:val="000000"/>
        </w:rPr>
        <w:t>符合《商品包装政府采购需求标准（试行）》及《快递包装政府采购需求标准（试行）》的要求</w:t>
      </w:r>
      <w:r>
        <w:rPr>
          <w:sz w:val="21"/>
        </w:rPr>
        <w:t>。凡由于包装不良或未能起到有效防护效用造成的损失和由此产生的费用均由乙方承担。</w:t>
      </w:r>
    </w:p>
    <w:p>
      <w:pPr>
        <w:pStyle w:val="null3"/>
        <w:ind w:firstLine="420"/>
        <w:jc w:val="both"/>
      </w:pPr>
      <w:r>
        <w:rPr>
          <w:sz w:val="21"/>
        </w:rPr>
        <w:t>5.2  设备的交货：</w:t>
      </w:r>
    </w:p>
    <w:p>
      <w:pPr>
        <w:pStyle w:val="null3"/>
        <w:ind w:firstLine="420"/>
        <w:jc w:val="both"/>
      </w:pPr>
      <w:r>
        <w:rPr>
          <w:sz w:val="21"/>
        </w:rPr>
        <w:t>5.2.1乙方交货时间：“</w:t>
      </w:r>
      <w:r>
        <w:rPr>
          <w:sz w:val="21"/>
        </w:rPr>
        <w:t>中华人民共和国海关进出口货物征免税确认通知书</w:t>
      </w:r>
      <w:r>
        <w:rPr>
          <w:sz w:val="21"/>
        </w:rPr>
        <w:t>”发证日期后</w:t>
      </w:r>
      <w:r>
        <w:rPr>
          <w:sz w:val="21"/>
        </w:rPr>
        <w:t>90</w:t>
      </w:r>
      <w:r>
        <w:rPr>
          <w:sz w:val="21"/>
        </w:rPr>
        <w:t>日内。</w:t>
      </w:r>
    </w:p>
    <w:p>
      <w:pPr>
        <w:pStyle w:val="null3"/>
        <w:ind w:firstLine="420"/>
        <w:jc w:val="both"/>
      </w:pPr>
      <w:r>
        <w:rPr>
          <w:sz w:val="21"/>
        </w:rPr>
        <w:t>5.2.2乙方交货地点：广州市内甲方指定地点，以甲方具体书面通知为准。</w:t>
      </w:r>
    </w:p>
    <w:p>
      <w:pPr>
        <w:pStyle w:val="null3"/>
        <w:ind w:firstLine="420"/>
        <w:jc w:val="both"/>
      </w:pPr>
      <w:r>
        <w:rPr>
          <w:sz w:val="21"/>
        </w:rPr>
        <w:t>5.2.3交货方式：乙方送货上门。</w:t>
      </w:r>
    </w:p>
    <w:p>
      <w:pPr>
        <w:pStyle w:val="null3"/>
        <w:ind w:firstLine="420"/>
        <w:jc w:val="both"/>
      </w:pPr>
      <w:r>
        <w:rPr>
          <w:sz w:val="21"/>
        </w:rPr>
        <w:t>5.3 合同设备的安装调试：</w:t>
      </w:r>
    </w:p>
    <w:p>
      <w:pPr>
        <w:pStyle w:val="null3"/>
        <w:ind w:firstLine="420"/>
        <w:jc w:val="both"/>
      </w:pPr>
      <w:r>
        <w:rPr>
          <w:sz w:val="21"/>
        </w:rPr>
        <w:t>5.3.1 乙方负责合同项下货物的安装调试工作，一切费用由乙方负责。</w:t>
      </w:r>
    </w:p>
    <w:p>
      <w:pPr>
        <w:pStyle w:val="null3"/>
        <w:ind w:firstLine="420"/>
        <w:jc w:val="both"/>
      </w:pPr>
      <w:r>
        <w:rPr>
          <w:sz w:val="21"/>
        </w:rPr>
        <w:t>5.3.2 乙方安装时须对各安装场地内的其它设备、设施有良好保护措施。</w:t>
      </w:r>
    </w:p>
    <w:p>
      <w:pPr>
        <w:pStyle w:val="null3"/>
        <w:ind w:firstLine="420"/>
        <w:jc w:val="both"/>
      </w:pPr>
      <w:r>
        <w:rPr>
          <w:sz w:val="21"/>
        </w:rPr>
        <w:t>5.4 设备的验收：</w:t>
      </w:r>
    </w:p>
    <w:p>
      <w:pPr>
        <w:pStyle w:val="null3"/>
        <w:ind w:right="-420" w:firstLine="420"/>
        <w:jc w:val="both"/>
      </w:pPr>
      <w:r>
        <w:rPr>
          <w:sz w:val="21"/>
        </w:rPr>
        <w:t>5.4.1 合同设备安装调试完成正常工作满15个工作日后进行验收，验收应在甲乙双方共同参加下进行。</w:t>
      </w:r>
    </w:p>
    <w:p>
      <w:pPr>
        <w:pStyle w:val="null3"/>
        <w:ind w:right="-420" w:firstLine="420"/>
        <w:jc w:val="both"/>
      </w:pPr>
      <w:r>
        <w:rPr>
          <w:sz w:val="21"/>
        </w:rPr>
        <w:t>5.4.2 验收按甲方所在国家有关的规定、规范进行。验收时如发现所交付的设备有短装、次品、损坏或其它不符合本合同规定之情形者，甲方和乙方应共同做出详尽的现场记录，或由甲乙双方签署备忘录。此现场记录或备忘录可用作补充缺失和更换损坏部件、更换不合格设备、退货退费等的有效证据。由此产生的所有费用由乙方承担。</w:t>
      </w:r>
    </w:p>
    <w:p>
      <w:pPr>
        <w:pStyle w:val="null3"/>
        <w:ind w:firstLine="420"/>
        <w:jc w:val="both"/>
      </w:pPr>
      <w:r>
        <w:rPr>
          <w:sz w:val="21"/>
        </w:rPr>
        <w:t>5.4.3 如果合同设备运输和安装调试过程中因事故造成货物短缺、损坏，乙方应及时安排换装，以保证合同设备安装调试的成功完成。换装的所有费用由乙方承担。</w:t>
      </w:r>
    </w:p>
    <w:p>
      <w:pPr>
        <w:pStyle w:val="null3"/>
        <w:ind w:firstLine="420"/>
        <w:jc w:val="both"/>
      </w:pPr>
      <w:r>
        <w:rPr>
          <w:sz w:val="21"/>
        </w:rPr>
        <w:t>5.4.4 国内</w:t>
      </w:r>
      <w:r>
        <w:rPr>
          <w:sz w:val="21"/>
        </w:rPr>
        <w:t>产品或合资厂的产品必须具备出厂合格证。</w:t>
      </w:r>
    </w:p>
    <w:p>
      <w:pPr>
        <w:pStyle w:val="null3"/>
        <w:ind w:firstLine="420"/>
        <w:jc w:val="both"/>
      </w:pPr>
      <w:r>
        <w:rPr>
          <w:sz w:val="21"/>
        </w:rPr>
        <w:t>5.4.5 进口产品必须具有“中华人民共和国海关进口货物报关单”</w:t>
      </w:r>
      <w:r>
        <w:rPr>
          <w:sz w:val="21"/>
        </w:rPr>
        <w:t>证明及其他甲方所在国家海关监管部门要求的证明文件。</w:t>
      </w:r>
    </w:p>
    <w:p>
      <w:pPr>
        <w:pStyle w:val="null3"/>
        <w:ind w:firstLine="420"/>
        <w:jc w:val="both"/>
      </w:pPr>
      <w:r>
        <w:rPr>
          <w:sz w:val="21"/>
        </w:rPr>
        <w:t>5.5 乙方保证其合同项下提供的货物和服务不侵犯任何第三人的合法权益，否则，由乙方承担因此导致的一切法律后果，并赔偿甲方因此遭受的全部损失，包括但不限于直接经济损失、预期收益损失、名誉损失、维护权益的成本、向第三人承担的经济责任等。</w:t>
      </w:r>
    </w:p>
    <w:p>
      <w:pPr>
        <w:pStyle w:val="null3"/>
        <w:jc w:val="both"/>
      </w:pPr>
      <w:r>
        <w:rPr>
          <w:sz w:val="21"/>
          <w:b/>
        </w:rPr>
        <w:t>6. 质量保证及售后服务</w:t>
      </w:r>
    </w:p>
    <w:p>
      <w:pPr>
        <w:pStyle w:val="null3"/>
        <w:ind w:firstLine="420"/>
        <w:jc w:val="both"/>
      </w:pPr>
      <w:r>
        <w:rPr>
          <w:sz w:val="21"/>
        </w:rPr>
        <w:t>6.1乙方保证其合同项下提供的全部设备是</w:t>
      </w:r>
      <w:r>
        <w:rPr>
          <w:sz w:val="21"/>
          <w:color w:val="000000"/>
        </w:rPr>
        <w:t>在中国范围内合法销售的，</w:t>
      </w:r>
      <w:r>
        <w:rPr>
          <w:sz w:val="21"/>
        </w:rPr>
        <w:t>原制造商制造的全新、未曾使用过的产品，整机无污染、无侵权行为、表面无划损、无任何缺陷隐患，其质量、规格及技术特征符合合同附件的要求，</w:t>
      </w:r>
      <w:r>
        <w:rPr>
          <w:sz w:val="21"/>
          <w:color w:val="000000"/>
        </w:rPr>
        <w:t>并且符合国家标准、行业标准以及该产品的出厂标准</w:t>
      </w:r>
      <w:r>
        <w:rPr>
          <w:sz w:val="21"/>
        </w:rPr>
        <w:t>，可依常规安全合法使用。</w:t>
      </w:r>
    </w:p>
    <w:p>
      <w:pPr>
        <w:pStyle w:val="null3"/>
        <w:jc w:val="both"/>
      </w:pPr>
      <w:r>
        <w:rPr>
          <w:sz w:val="21"/>
        </w:rPr>
        <w:t>6.2 合同设备除了甲方有特别规定外,保质保用期按生产厂家的标准执行，</w:t>
      </w:r>
      <w:r>
        <w:rPr>
          <w:sz w:val="21"/>
        </w:rPr>
        <w:t>期限分别</w:t>
      </w:r>
      <w:r>
        <w:rPr>
          <w:sz w:val="21"/>
        </w:rPr>
        <w:t>为</w:t>
      </w:r>
      <w:r>
        <w:rPr>
          <w:sz w:val="21"/>
        </w:rPr>
        <w:t>1</w:t>
      </w:r>
      <w:r>
        <w:rPr>
          <w:sz w:val="21"/>
        </w:rPr>
        <w:t>年</w:t>
      </w:r>
      <w:r>
        <w:rPr>
          <w:sz w:val="21"/>
        </w:rPr>
        <w:t>、</w:t>
      </w:r>
      <w:r>
        <w:rPr>
          <w:sz w:val="21"/>
        </w:rPr>
        <w:t>2年、3年、5年，详见招标文件附表1-4具体技术（参数）要求</w:t>
      </w:r>
      <w:r>
        <w:rPr>
          <w:sz w:val="21"/>
        </w:rPr>
        <w:t>（自采购人单位书面验收合格之日起计算，另有要求的按其规定）。</w:t>
      </w:r>
      <w:r>
        <w:rPr>
          <w:sz w:val="21"/>
        </w:rPr>
        <w:t>保质保用期内因非甲方过错原因而出现产品质量问题或安装问题，由乙方负责包修、包换或包退，并承担因此而产生的一切费用。乙方应在收到甲方通知后</w:t>
      </w:r>
      <w:r>
        <w:rPr>
          <w:sz w:val="21"/>
        </w:rPr>
        <w:t>24小时内派员到现场维修，若在48小时内仍未能有效解决，乙方须提供同等备件予甲方临时使用，</w:t>
      </w:r>
      <w:r>
        <w:rPr>
          <w:sz w:val="21"/>
          <w:color w:val="000000"/>
        </w:rPr>
        <w:t>因此产生费用均由乙方负责，甲方不再另行支付。</w:t>
      </w:r>
      <w:r>
        <w:rPr>
          <w:sz w:val="21"/>
        </w:rPr>
        <w:t>质保期内，如设备或零部件因非甲方过错因素出现故障而造成短期停用时，则质保期相应顺延，如停用时间累计超过</w:t>
      </w:r>
      <w:r>
        <w:rPr>
          <w:sz w:val="21"/>
        </w:rPr>
        <w:t>60天则质保期重新计算。下列情况乙方不负责免费保修：</w:t>
      </w:r>
    </w:p>
    <w:p>
      <w:pPr>
        <w:pStyle w:val="null3"/>
        <w:ind w:firstLine="420"/>
        <w:jc w:val="both"/>
      </w:pPr>
      <w:r>
        <w:rPr>
          <w:sz w:val="21"/>
        </w:rPr>
        <w:t>6.2.1 甲方不按照乙方提供的正确使用方法而引致设备故障损坏；</w:t>
      </w:r>
    </w:p>
    <w:p>
      <w:pPr>
        <w:pStyle w:val="null3"/>
        <w:ind w:firstLine="420"/>
        <w:jc w:val="both"/>
      </w:pPr>
      <w:r>
        <w:rPr>
          <w:sz w:val="21"/>
        </w:rPr>
        <w:t>6.2.2 甲方擅自改装设备；</w:t>
      </w:r>
    </w:p>
    <w:p>
      <w:pPr>
        <w:pStyle w:val="null3"/>
        <w:ind w:firstLine="420"/>
        <w:jc w:val="both"/>
      </w:pPr>
      <w:r>
        <w:rPr>
          <w:sz w:val="21"/>
        </w:rPr>
        <w:t>6.2.3 各种因甲方人为因素或天灾等外来因素造成的损坏。</w:t>
      </w:r>
    </w:p>
    <w:p>
      <w:pPr>
        <w:pStyle w:val="null3"/>
        <w:ind w:firstLine="420"/>
        <w:jc w:val="both"/>
      </w:pPr>
      <w:r>
        <w:rPr>
          <w:sz w:val="21"/>
        </w:rPr>
        <w:t>6.3 因设备的质量问题而发生争议，任何一方均可提起质量鉴定，由广东省或广州市质检部门进行质量鉴定。设备符合质量标准的，鉴定费用由甲方承担；设备不符合质量标准的，鉴定费用由乙方承担。</w:t>
      </w:r>
    </w:p>
    <w:p>
      <w:pPr>
        <w:pStyle w:val="null3"/>
        <w:ind w:firstLine="420"/>
        <w:jc w:val="both"/>
      </w:pPr>
      <w:r>
        <w:rPr>
          <w:sz w:val="21"/>
        </w:rPr>
        <w:t>6.4 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b/>
        </w:rPr>
        <w:t>7.  技术服务</w:t>
      </w:r>
    </w:p>
    <w:p>
      <w:pPr>
        <w:pStyle w:val="null3"/>
        <w:ind w:firstLine="420"/>
        <w:jc w:val="both"/>
      </w:pPr>
      <w:r>
        <w:rPr>
          <w:sz w:val="21"/>
        </w:rPr>
        <w:t>7.1 乙方应派员到甲方指定地点配合工作。</w:t>
      </w:r>
    </w:p>
    <w:p>
      <w:pPr>
        <w:pStyle w:val="null3"/>
        <w:ind w:firstLine="420"/>
        <w:jc w:val="both"/>
      </w:pPr>
      <w:r>
        <w:rPr>
          <w:sz w:val="21"/>
        </w:rPr>
        <w:t>7.2 乙方按甲方提供的合同执行进度计划，再配合甲方及有关单位，以此做好合同执行进度上的配合工作。</w:t>
      </w:r>
    </w:p>
    <w:p>
      <w:pPr>
        <w:pStyle w:val="null3"/>
        <w:jc w:val="both"/>
      </w:pPr>
      <w:r>
        <w:rPr>
          <w:sz w:val="21"/>
          <w:b/>
        </w:rPr>
        <w:t>8. 不可抗力</w:t>
      </w:r>
    </w:p>
    <w:p>
      <w:pPr>
        <w:pStyle w:val="null3"/>
        <w:ind w:firstLine="420"/>
        <w:jc w:val="both"/>
      </w:pPr>
      <w:r>
        <w:rPr>
          <w:sz w:val="21"/>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1"/>
        </w:rPr>
        <w:t>15日内将有关机构出具的不可抗力事件的证明寄交对方。未提供以上证明的，不能免除违约责任。</w:t>
      </w:r>
    </w:p>
    <w:p>
      <w:pPr>
        <w:pStyle w:val="null3"/>
        <w:jc w:val="both"/>
      </w:pPr>
      <w:r>
        <w:rPr>
          <w:sz w:val="21"/>
          <w:b/>
        </w:rPr>
        <w:t>9. 索赔</w:t>
      </w:r>
    </w:p>
    <w:p>
      <w:pPr>
        <w:pStyle w:val="null3"/>
        <w:ind w:firstLine="420"/>
        <w:jc w:val="both"/>
      </w:pPr>
      <w:r>
        <w:rPr>
          <w:sz w:val="21"/>
        </w:rPr>
        <w:t>9.1 如有异议，甲方有权根据有关政府部门的检验结果向乙方提出索赔。</w:t>
      </w:r>
    </w:p>
    <w:p>
      <w:pPr>
        <w:pStyle w:val="null3"/>
        <w:ind w:firstLine="420"/>
        <w:jc w:val="both"/>
      </w:pPr>
      <w:r>
        <w:rPr>
          <w:sz w:val="21"/>
        </w:rPr>
        <w:t>9.2 在合同执行期间，如果乙方对甲方提出的索赔和差异负有责任，乙方应按照甲方同意的下列一种或多种方式解决索赔事宜：</w:t>
      </w:r>
    </w:p>
    <w:p>
      <w:pPr>
        <w:pStyle w:val="null3"/>
        <w:ind w:firstLine="420"/>
        <w:jc w:val="both"/>
      </w:pPr>
      <w:r>
        <w:rPr>
          <w:sz w:val="21"/>
        </w:rPr>
        <w:t>9.2.1 乙方同意退货，承担退货的全部费用并按合同约定的同种货币在同意退货之日起30天内将货款退还给甲方，并承担由此发生的一切损失和费用。</w:t>
      </w:r>
    </w:p>
    <w:p>
      <w:pPr>
        <w:pStyle w:val="null3"/>
        <w:ind w:firstLine="420"/>
        <w:jc w:val="both"/>
      </w:pPr>
      <w:r>
        <w:rPr>
          <w:sz w:val="21"/>
        </w:rPr>
        <w:t>9.2.2 根据货物低劣程度、损坏程度以及甲方所遭受损失的数额甲乙双方商定降低货物的价格。</w:t>
      </w:r>
    </w:p>
    <w:p>
      <w:pPr>
        <w:pStyle w:val="null3"/>
        <w:ind w:firstLine="420"/>
        <w:jc w:val="both"/>
      </w:pPr>
      <w:r>
        <w:rPr>
          <w:sz w:val="21"/>
        </w:rPr>
        <w:t>9.2.3 用符合规格、质量和性能要求的新零件、部件或货物来更换有缺陷的部分或修补缺陷的部分，乙方应承担一切费用和风险并负责赔偿甲方所发生的一切直接费用。同时，相应延长质量保证期。</w:t>
      </w:r>
    </w:p>
    <w:p>
      <w:pPr>
        <w:pStyle w:val="null3"/>
        <w:ind w:firstLine="420"/>
        <w:jc w:val="both"/>
      </w:pPr>
      <w:r>
        <w:rPr>
          <w:sz w:val="21"/>
        </w:rPr>
        <w:t>9.3 如果在甲方发出索赔通知后</w:t>
      </w:r>
      <w:r>
        <w:rPr>
          <w:sz w:val="21"/>
          <w:shd w:fill="FFFFFF" w:val="clear"/>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left="450"/>
        <w:jc w:val="both"/>
      </w:pPr>
      <w:r>
        <w:rPr>
          <w:sz w:val="21"/>
          <w:b/>
        </w:rPr>
        <w:t>10.  违约责任</w:t>
      </w:r>
    </w:p>
    <w:p>
      <w:pPr>
        <w:pStyle w:val="null3"/>
        <w:ind w:firstLine="420"/>
        <w:jc w:val="both"/>
      </w:pPr>
      <w:r>
        <w:rPr>
          <w:sz w:val="21"/>
        </w:rPr>
        <w:t>10.1  甲方应依合同规定时间内，向乙方支付货款，每拖延一天乙方可向甲方加收合同总金额的</w:t>
      </w:r>
      <w:r>
        <w:rPr>
          <w:sz w:val="21"/>
          <w:shd w:fill="FFFFFF" w:val="clear"/>
        </w:rPr>
        <w:t>万分之四</w:t>
      </w:r>
      <w:r>
        <w:rPr>
          <w:sz w:val="21"/>
        </w:rPr>
        <w:t>的违约金。</w:t>
      </w:r>
    </w:p>
    <w:p>
      <w:pPr>
        <w:pStyle w:val="null3"/>
        <w:ind w:firstLine="420"/>
        <w:jc w:val="both"/>
      </w:pPr>
      <w:r>
        <w:rPr>
          <w:sz w:val="21"/>
        </w:rPr>
        <w:t>10.2  乙方未能按时交货，每拖延一天，须向甲方支付合同总金额的</w:t>
      </w:r>
      <w:r>
        <w:rPr>
          <w:sz w:val="21"/>
          <w:shd w:fill="FFFFFF" w:val="clear"/>
        </w:rPr>
        <w:t>万分之四</w:t>
      </w:r>
      <w:r>
        <w:rPr>
          <w:sz w:val="21"/>
        </w:rPr>
        <w:t>的违约金，逾期</w:t>
      </w:r>
      <w:r>
        <w:rPr>
          <w:sz w:val="21"/>
        </w:rPr>
        <w:t>15日以上的，视为乙方根本违约，甲方有权选择终止合同。终止合同的，乙方除了应按前述标准向甲方加付违约金之外，乙方还需另行向甲方支付合同总金额的</w:t>
      </w:r>
      <w:r>
        <w:rPr>
          <w:sz w:val="21"/>
          <w:shd w:fill="FFFFFF" w:val="clear"/>
        </w:rPr>
        <w:t>7.5%</w:t>
      </w:r>
      <w:r>
        <w:rPr>
          <w:sz w:val="21"/>
        </w:rPr>
        <w:t>的违约金。违约金不足以弥补甲方损失的，乙方承担赔偿责任。</w:t>
      </w:r>
    </w:p>
    <w:p>
      <w:pPr>
        <w:pStyle w:val="null3"/>
        <w:ind w:firstLine="420"/>
        <w:jc w:val="both"/>
      </w:pPr>
      <w:r>
        <w:rPr>
          <w:sz w:val="21"/>
        </w:rPr>
        <w:t>10.3  乙方交付的货物不符合合同规定的，甲方有权拒收，乙方应向甲方支付合同总金额的</w:t>
      </w:r>
      <w:r>
        <w:rPr>
          <w:sz w:val="21"/>
          <w:shd w:fill="FFFFFF" w:val="clear"/>
        </w:rPr>
        <w:t>5%</w:t>
      </w:r>
      <w:r>
        <w:rPr>
          <w:sz w:val="21"/>
        </w:rPr>
        <w:t>的违约金。</w:t>
      </w:r>
    </w:p>
    <w:p>
      <w:pPr>
        <w:pStyle w:val="null3"/>
        <w:ind w:firstLine="420"/>
        <w:jc w:val="both"/>
      </w:pPr>
      <w:r>
        <w:rPr>
          <w:sz w:val="21"/>
        </w:rPr>
        <w:t>10.4 甲方无正当理由拒收货物的，甲方向乙方支付合同总金额的</w:t>
      </w:r>
      <w:r>
        <w:rPr>
          <w:sz w:val="21"/>
          <w:shd w:fill="FFFFFF" w:val="clear"/>
        </w:rPr>
        <w:t>5%</w:t>
      </w:r>
      <w:r>
        <w:rPr>
          <w:sz w:val="21"/>
        </w:rPr>
        <w:t>的违约金。</w:t>
      </w:r>
    </w:p>
    <w:p>
      <w:pPr>
        <w:pStyle w:val="null3"/>
        <w:ind w:firstLine="420"/>
        <w:jc w:val="both"/>
      </w:pPr>
      <w:r>
        <w:rPr>
          <w:sz w:val="21"/>
        </w:rPr>
        <w:t>10.5 所有乙方应当承担的违约金、赔偿金等责任，甲方均有权在应支付给乙方的款项中直接扣除，不足以扣除的，甲方有权继续要求乙方支付或赔偿。甲方未扣除的，不视为对乙方违约责任的豁免。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ind w:firstLine="420"/>
        <w:jc w:val="both"/>
      </w:pPr>
      <w:r>
        <w:rPr>
          <w:sz w:val="21"/>
        </w:rPr>
        <w:t>10.6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ind w:left="510"/>
        <w:jc w:val="both"/>
      </w:pPr>
      <w:r>
        <w:rPr>
          <w:sz w:val="21"/>
        </w:rPr>
        <w:t>10.7其它违约责任按《中华人民共和国民法典》处理。</w:t>
      </w:r>
    </w:p>
    <w:p>
      <w:pPr>
        <w:pStyle w:val="null3"/>
        <w:jc w:val="both"/>
      </w:pPr>
      <w:r>
        <w:rPr>
          <w:sz w:val="21"/>
          <w:b/>
        </w:rPr>
        <w:t>11. 合同终止</w:t>
      </w:r>
    </w:p>
    <w:p>
      <w:pPr>
        <w:pStyle w:val="null3"/>
        <w:ind w:firstLine="420"/>
        <w:jc w:val="both"/>
      </w:pPr>
      <w:r>
        <w:rPr>
          <w:sz w:val="21"/>
        </w:rPr>
        <w:t>如果一方严重违反合同，并在收到对方违约通知书后在</w:t>
      </w:r>
      <w:r>
        <w:rPr>
          <w:sz w:val="21"/>
          <w:shd w:fill="FFFFFF" w:val="clear"/>
        </w:rPr>
        <w:t>30</w:t>
      </w:r>
      <w:r>
        <w:rPr>
          <w:sz w:val="21"/>
        </w:rPr>
        <w:t>天内仍未能改正违约的，另一方可立即终止本合同。</w:t>
      </w:r>
    </w:p>
    <w:p>
      <w:pPr>
        <w:pStyle w:val="null3"/>
        <w:jc w:val="both"/>
      </w:pPr>
      <w:r>
        <w:rPr>
          <w:sz w:val="21"/>
          <w:b/>
        </w:rPr>
        <w:t>12. 法律诉讼</w:t>
      </w:r>
    </w:p>
    <w:p>
      <w:pPr>
        <w:pStyle w:val="null3"/>
        <w:ind w:firstLine="420"/>
        <w:jc w:val="both"/>
      </w:pPr>
      <w:r>
        <w:rPr>
          <w:sz w:val="21"/>
        </w:rPr>
        <w:t>本合同的订立、解释、履行和争议的解决均适用中华人民共和国大陆地区的法律。</w:t>
      </w:r>
    </w:p>
    <w:p>
      <w:pPr>
        <w:pStyle w:val="null3"/>
        <w:ind w:firstLine="420"/>
        <w:jc w:val="both"/>
      </w:pPr>
      <w:r>
        <w:rPr>
          <w:sz w:val="21"/>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1"/>
          <w:b/>
        </w:rPr>
        <w:t>13. 其它事宜</w:t>
      </w:r>
    </w:p>
    <w:p>
      <w:pPr>
        <w:pStyle w:val="null3"/>
        <w:ind w:firstLine="420"/>
        <w:jc w:val="both"/>
      </w:pPr>
      <w:r>
        <w:rPr>
          <w:sz w:val="21"/>
        </w:rPr>
        <w:t>13.1 本合同正本四份，具有同等法律效力，甲方执三份、乙方执一份。合同自甲乙双方法定代表人或授权代表签字并盖双方公章或合同专用章后生效。</w:t>
      </w:r>
    </w:p>
    <w:p>
      <w:pPr>
        <w:pStyle w:val="null3"/>
        <w:ind w:firstLine="420"/>
        <w:jc w:val="both"/>
      </w:pPr>
      <w:r>
        <w:rPr>
          <w:sz w:val="21"/>
        </w:rPr>
        <w:t>13.2 未经甲方书面同意，乙方不得将其合同项下应履行的义务部分或全部转包给任何第三方。如乙方违反本条约定，甲方有权单方解除合同，乙方应退还甲方已支付款项，并向甲方支付相当于合同金额（20%）的违约金。</w:t>
      </w:r>
    </w:p>
    <w:p>
      <w:pPr>
        <w:pStyle w:val="null3"/>
        <w:ind w:firstLine="420"/>
        <w:jc w:val="both"/>
      </w:pPr>
      <w:r>
        <w:rPr>
          <w:sz w:val="21"/>
        </w:rPr>
        <w:t>13.3 下列文件是本合同的有效组成部分，与本合同具有同等法律效力。其文件效力按照以下顺序执行：</w:t>
      </w:r>
    </w:p>
    <w:p>
      <w:pPr>
        <w:pStyle w:val="null3"/>
        <w:ind w:firstLine="480"/>
        <w:jc w:val="both"/>
      </w:pPr>
      <w:r>
        <w:rPr>
          <w:sz w:val="21"/>
        </w:rPr>
        <w:t>13.3.1 履行本合同的相关补充协议（含会议纪要）；</w:t>
      </w:r>
    </w:p>
    <w:p>
      <w:pPr>
        <w:pStyle w:val="null3"/>
        <w:ind w:firstLine="420"/>
        <w:jc w:val="both"/>
      </w:pPr>
      <w:r>
        <w:rPr>
          <w:sz w:val="21"/>
        </w:rPr>
        <w:t>13.3.2 本合同及变更合同；</w:t>
      </w:r>
    </w:p>
    <w:p>
      <w:pPr>
        <w:pStyle w:val="null3"/>
        <w:ind w:firstLine="420"/>
        <w:jc w:val="both"/>
      </w:pPr>
      <w:r>
        <w:rPr>
          <w:sz w:val="21"/>
        </w:rPr>
        <w:t>13.3.3 中标通知书（如有）；</w:t>
      </w:r>
    </w:p>
    <w:p>
      <w:pPr>
        <w:pStyle w:val="null3"/>
        <w:ind w:firstLine="420"/>
        <w:jc w:val="both"/>
      </w:pPr>
      <w:r>
        <w:rPr>
          <w:sz w:val="21"/>
        </w:rPr>
        <w:t>13.3.4 招标文件（如有）；</w:t>
      </w:r>
    </w:p>
    <w:p>
      <w:pPr>
        <w:pStyle w:val="null3"/>
        <w:ind w:firstLine="420"/>
        <w:jc w:val="both"/>
      </w:pPr>
      <w:r>
        <w:rPr>
          <w:sz w:val="21"/>
        </w:rPr>
        <w:t>13.3.5 投标文件（如有）。</w:t>
      </w:r>
    </w:p>
    <w:p>
      <w:pPr>
        <w:pStyle w:val="null3"/>
        <w:ind w:firstLine="420"/>
        <w:jc w:val="both"/>
      </w:pPr>
      <w:r>
        <w:rPr>
          <w:sz w:val="21"/>
        </w:rPr>
        <w:t>13.4 本合同未尽事宜，由双方协商处理。有关本合同的修改、补充和变更，均应以书面形式进行，经双方签字并盖章后生效，否则无效。本合同未尽事宜，遵照《中华人民共和国民法典》有关条文执行。</w:t>
      </w:r>
    </w:p>
    <w:p>
      <w:pPr>
        <w:pStyle w:val="null3"/>
        <w:ind w:firstLine="420"/>
        <w:jc w:val="both"/>
      </w:pPr>
      <w:r>
        <w:rPr>
          <w:sz w:val="21"/>
        </w:rPr>
        <w:t>13.5  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以电子邮件方式通知的，电子邮件到达收件人服务器即视为送达。送达地址还可作为法院送达诉讼文书的地址，因载明的地址有误或未及时告知变更后的地址，导致相关文书及诉讼文书未能实际被接收的、邮寄送达的，相关文书及诉讼文书退回之日即视为送达之日。</w:t>
      </w:r>
    </w:p>
    <w:p>
      <w:pPr>
        <w:pStyle w:val="null3"/>
        <w:ind w:firstLine="420"/>
        <w:jc w:val="both"/>
      </w:pPr>
      <w:r>
        <w:rPr>
          <w:sz w:val="21"/>
        </w:rPr>
        <w:t xml:space="preserve">13.6 </w:t>
      </w:r>
      <w:r>
        <w:rPr>
          <w:sz w:val="21"/>
          <w:color w:val="000000"/>
        </w:rPr>
        <w:t>甲方向乙方发出的验收通知、合同变更通知、款项结算通知等相关要求确认的文件，乙方应当在收到文件之日起</w:t>
      </w:r>
      <w:r>
        <w:rPr>
          <w:sz w:val="21"/>
          <w:color w:val="000000"/>
        </w:rPr>
        <w:t>15天内予以书面回复，逾期将视为乙方已同意甲方要求确认的事项（包括但不限于确认验收已通过、确认变更、确认甲方主张的款项明细等）。</w:t>
      </w:r>
    </w:p>
    <w:p>
      <w:pPr>
        <w:pStyle w:val="null3"/>
        <w:ind w:firstLine="420"/>
        <w:jc w:val="both"/>
      </w:pPr>
      <w:r>
        <w:rPr>
          <w:sz w:val="21"/>
        </w:rPr>
        <w:t>13.7 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ind w:firstLine="420"/>
        <w:jc w:val="both"/>
      </w:pPr>
      <w:r>
        <w:rPr>
          <w:sz w:val="21"/>
        </w:rPr>
        <w:t>13.8 合作协议期内，双方应当严格遵守国家法律法规。未经另一方同意，任何一方不得使用对方的名称、商标作为商业用途，任何一方不得借此利用对方名义或对方代理人名义对外经营损害消费者的利益及商誉，否则，如一方违约给对方造成损失的，违约方应赔偿守约方的一切损失。</w:t>
      </w:r>
    </w:p>
    <w:p>
      <w:pPr>
        <w:pStyle w:val="null3"/>
        <w:ind w:firstLine="420"/>
        <w:jc w:val="both"/>
      </w:pPr>
      <w:r>
        <w:rPr>
          <w:sz w:val="21"/>
          <w:color w:val="000000"/>
        </w:rPr>
        <w:t>13.9  双方应保守通过签订和履行本合同而获取的对方之商业及技术秘密，包括但不限于本合同文本，相关技术文件、相关数据，以及其他有关信息。未经双方全体书面同意，任何一方不得提供、透露予任何第三方或许可第三方使用，亦不得将相关资料用于本合作项目以外的任何用途。双方并应负管理的责任使其全体雇用人员或其他执行本协议相关业务的人员，均遵守此项保密义务。任何一方违反上述约定的，应赔偿合同守约方的损失。本保密条款不因合同终止而终止。</w:t>
      </w:r>
    </w:p>
    <w:p>
      <w:pPr>
        <w:pStyle w:val="null3"/>
        <w:ind w:firstLine="420"/>
        <w:jc w:val="both"/>
      </w:pPr>
      <w:r>
        <w:rPr>
          <w:sz w:val="21"/>
        </w:rPr>
        <w:t>13.10 甲乙双方对于合同内容的补充约定：（请根据实际情况填写或写“无”）。</w:t>
      </w:r>
    </w:p>
    <w:p>
      <w:pPr>
        <w:pStyle w:val="null3"/>
        <w:jc w:val="both"/>
      </w:pPr>
      <w:r>
        <w:rPr>
          <w:sz w:val="21"/>
        </w:rPr>
        <w:t>附件一：《技术参数及配置清单》</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09"/>
        <w:gridCol w:w="4196"/>
      </w:tblGrid>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甲方单位（盖章）：</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乙方单位（盖章）：</w:t>
            </w:r>
            <w:r>
              <w:rPr>
                <w:sz w:val="21"/>
                <w:b/>
              </w:rPr>
              <w:t xml:space="preserve">     </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授权代表（签字）：</w:t>
            </w:r>
            <w:r>
              <w:rPr>
                <w:sz w:val="21"/>
                <w:b/>
              </w:rPr>
              <w:t xml:space="preserve">  </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授权代表（签字）：</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联系人：</w:t>
            </w:r>
            <w:r>
              <w:rPr>
                <w:sz w:val="21"/>
                <w:b/>
              </w:rPr>
              <w:t xml:space="preserve">      </w:t>
            </w:r>
            <w:r>
              <w:rPr>
                <w:sz w:val="21"/>
                <w:b/>
              </w:rPr>
              <w:t>（请填写）</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联系人：</w:t>
            </w:r>
            <w:r>
              <w:rPr>
                <w:sz w:val="21"/>
                <w:b/>
              </w:rPr>
              <w:t xml:space="preserve">   </w:t>
            </w:r>
            <w:r>
              <w:rPr>
                <w:sz w:val="21"/>
                <w:b/>
              </w:rPr>
              <w:t>（请填写）</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联系地址：</w:t>
            </w:r>
            <w:r>
              <w:rPr>
                <w:sz w:val="21"/>
                <w:b/>
              </w:rPr>
              <w:t xml:space="preserve">    </w:t>
            </w:r>
            <w:r>
              <w:rPr>
                <w:sz w:val="21"/>
                <w:b/>
              </w:rPr>
              <w:t>（请填写）</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联系地址：</w:t>
            </w:r>
            <w:r>
              <w:rPr>
                <w:sz w:val="21"/>
                <w:b/>
              </w:rPr>
              <w:t>（请填写）</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联系电话：</w:t>
            </w:r>
            <w:r>
              <w:rPr>
                <w:sz w:val="21"/>
                <w:b/>
              </w:rPr>
              <w:t xml:space="preserve">    </w:t>
            </w:r>
            <w:r>
              <w:rPr>
                <w:sz w:val="21"/>
                <w:b/>
              </w:rPr>
              <w:t>（请填写）</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联系电话：</w:t>
            </w:r>
            <w:r>
              <w:rPr>
                <w:sz w:val="21"/>
                <w:b/>
              </w:rPr>
              <w:t>（请填写）</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电子邮件：</w:t>
            </w:r>
            <w:r>
              <w:rPr>
                <w:sz w:val="21"/>
                <w:b/>
              </w:rPr>
              <w:t xml:space="preserve">    </w:t>
            </w:r>
            <w:r>
              <w:rPr>
                <w:sz w:val="21"/>
                <w:b/>
              </w:rPr>
              <w:t>（请填写）</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电子邮件：</w:t>
            </w:r>
            <w:r>
              <w:rPr>
                <w:sz w:val="21"/>
                <w:b/>
              </w:rPr>
              <w:t>（请填写）</w:t>
            </w:r>
          </w:p>
        </w:tc>
      </w:tr>
      <w:tr>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签订日期</w:t>
            </w:r>
            <w:r>
              <w:rPr>
                <w:sz w:val="21"/>
                <w:b/>
              </w:rPr>
              <w:t>:    年    月    日</w:t>
            </w:r>
          </w:p>
        </w:tc>
        <w:tc>
          <w:tcPr>
            <w:tcW w:type="dxa" w:w="4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840"/>
              <w:jc w:val="both"/>
            </w:pPr>
            <w:r>
              <w:rPr>
                <w:sz w:val="21"/>
                <w:b/>
              </w:rPr>
              <w:t>签订日期</w:t>
            </w:r>
            <w:r>
              <w:rPr>
                <w:sz w:val="21"/>
                <w:b/>
              </w:rPr>
              <w:t>:    年    月    日</w:t>
            </w:r>
          </w:p>
        </w:tc>
      </w:tr>
    </w:tbl>
    <w:p>
      <w:pPr>
        <w:pStyle w:val="null3"/>
        <w:jc w:val="both"/>
      </w:pPr>
      <w:r>
        <w:rPr>
          <w:sz w:val="21"/>
        </w:rPr>
        <w:t>附件：技术参数及配置清单：</w:t>
      </w:r>
    </w:p>
    <w:p>
      <w:pPr>
        <w:pStyle w:val="null3"/>
        <w:jc w:val="both"/>
      </w:pPr>
      <w:r>
        <w:rPr>
          <w:sz w:val="21"/>
        </w:rPr>
        <w:t>提示：请务必确保清单内容填写准确。</w:t>
      </w:r>
    </w:p>
    <w:tbl>
      <w:tblPr>
        <w:tblW w:w="0" w:type="auto"/>
        <w:tblBorders>
          <w:top w:val="none" w:color="000000" w:sz="4"/>
          <w:left w:val="none" w:color="000000" w:sz="4"/>
          <w:bottom w:val="none" w:color="000000" w:sz="4"/>
          <w:right w:val="none" w:color="000000" w:sz="4"/>
          <w:insideH w:val="none"/>
          <w:insideV w:val="none"/>
        </w:tblBorders>
      </w:tblPr>
      <w:tblGrid>
        <w:gridCol w:w="714"/>
        <w:gridCol w:w="1250"/>
        <w:gridCol w:w="3170"/>
        <w:gridCol w:w="3155"/>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货物名称</w:t>
            </w:r>
          </w:p>
        </w:tc>
        <w:tc>
          <w:tcPr>
            <w:tcW w:type="dxa" w:w="3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主要技术参数</w:t>
            </w:r>
          </w:p>
        </w:tc>
        <w:tc>
          <w:tcPr>
            <w:tcW w:type="dxa" w:w="3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配置清单</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注：此为合同草案，可根据实际情况进行变更！</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440001-2025-43489</w:t>
      </w:r>
    </w:p>
    <w:p>
      <w:pPr>
        <w:pStyle w:val="null3"/>
        <w:jc w:val="center"/>
        <w:outlineLvl w:val="3"/>
      </w:pPr>
      <w:r>
        <w:rPr>
          <w:sz w:val="24"/>
          <w:b/>
        </w:rPr>
        <w:t>采购项目编号：</w:t>
      </w:r>
      <w:r>
        <w:rPr>
          <w:sz w:val="24"/>
          <w:b/>
        </w:rPr>
        <w:t>HXGZ202510A226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2025HWZB014测试中心2025年中央财政支持地方高校改革发展专项</w:t>
      </w:r>
      <w:r>
        <w:rPr>
          <w:u w:val="single"/>
        </w:rPr>
        <w:t>”</w:t>
      </w:r>
      <w:r>
        <w:rPr/>
        <w:t>项目的招标[采购项目编号为：</w:t>
      </w:r>
      <w:r>
        <w:rPr>
          <w:u w:val="single"/>
        </w:rPr>
        <w:t>HXGZ202510A226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2025HWZB014测试中心2025年中央财政支持地方高校改革发展专项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2025HWZB014测试中心2025年中央财政支持地方高校改革发展专项</w:t>
      </w:r>
      <w:r>
        <w:rPr/>
        <w:t>”项目采购[采购项目编号为</w:t>
      </w:r>
      <w:r>
        <w:rPr/>
        <w:t>HXGZ202510A226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2025HWZB014测试中心2025年中央财政支持地方高校改革发展专项</w:t>
      </w:r>
      <w:r>
        <w:rPr/>
        <w:t>招标中获中标（采购项目编号：</w:t>
      </w:r>
      <w:r>
        <w:rPr/>
        <w:t>HXGZ202510A226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2025HWZB014测试中心2025年中央财政支持地方高校改革发展专项</w:t>
      </w:r>
      <w:r>
        <w:rPr/>
        <w:t>”项目（采购项目编号：</w:t>
      </w:r>
      <w:r>
        <w:rPr/>
        <w:t>HXGZ202510A226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