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ED940C">
      <w:pPr>
        <w:adjustRightInd w:val="0"/>
        <w:snapToGrid w:val="0"/>
        <w:spacing w:before="936" w:beforeLines="300"/>
        <w:jc w:val="center"/>
        <w:rPr>
          <w:rFonts w:ascii="黑体" w:eastAsia="黑体"/>
          <w:b/>
          <w:kern w:val="44"/>
          <w:sz w:val="48"/>
          <w:szCs w:val="20"/>
        </w:rPr>
      </w:pPr>
      <w:r>
        <w:rPr>
          <w:rFonts w:hint="eastAsia" w:ascii="黑体" w:eastAsia="黑体"/>
          <w:b/>
          <w:kern w:val="44"/>
          <w:sz w:val="48"/>
          <w:szCs w:val="20"/>
        </w:rPr>
        <w:t>第八部分  采购需求</w:t>
      </w:r>
      <w:r>
        <w:rPr>
          <w:rFonts w:ascii="黑体" w:eastAsia="黑体"/>
          <w:b/>
          <w:kern w:val="44"/>
          <w:sz w:val="48"/>
          <w:szCs w:val="20"/>
        </w:rPr>
        <w:br w:type="page"/>
      </w:r>
    </w:p>
    <w:p w14:paraId="3FFA2C35">
      <w:pPr>
        <w:numPr>
          <w:ilvl w:val="2"/>
          <w:numId w:val="1"/>
        </w:numPr>
        <w:adjustRightInd w:val="0"/>
        <w:snapToGrid w:val="0"/>
        <w:jc w:val="center"/>
        <w:rPr>
          <w:rFonts w:hint="eastAsia" w:ascii="宋体" w:hAnsi="宋体"/>
          <w:b/>
          <w:sz w:val="30"/>
          <w:szCs w:val="30"/>
        </w:rPr>
      </w:pPr>
      <w:r>
        <w:rPr>
          <w:rFonts w:hint="eastAsia" w:ascii="宋体" w:hAnsi="宋体"/>
          <w:b/>
          <w:sz w:val="30"/>
          <w:szCs w:val="30"/>
        </w:rPr>
        <w:t>货物需求一览表</w:t>
      </w:r>
    </w:p>
    <w:p w14:paraId="25D4C482">
      <w:pPr>
        <w:adjustRightInd w:val="0"/>
        <w:snapToGrid w:val="0"/>
        <w:jc w:val="center"/>
        <w:rPr>
          <w:rFonts w:hint="eastAsia" w:ascii="宋体" w:hAnsi="宋体"/>
          <w:b/>
          <w:sz w:val="30"/>
          <w:szCs w:val="30"/>
        </w:rPr>
      </w:pPr>
    </w:p>
    <w:tbl>
      <w:tblPr>
        <w:tblStyle w:val="7"/>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14:paraId="3002E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vAlign w:val="center"/>
          </w:tcPr>
          <w:p w14:paraId="73303896">
            <w:pPr>
              <w:jc w:val="center"/>
              <w:rPr>
                <w:rFonts w:ascii="宋体" w:hAnsi="Bookman Old Style"/>
                <w:sz w:val="24"/>
              </w:rPr>
            </w:pPr>
            <w:r>
              <w:rPr>
                <w:rFonts w:hint="eastAsia" w:ascii="宋体" w:hAnsi="Bookman Old Style"/>
                <w:sz w:val="24"/>
              </w:rPr>
              <w:t>包号</w:t>
            </w:r>
          </w:p>
        </w:tc>
        <w:tc>
          <w:tcPr>
            <w:tcW w:w="2640" w:type="dxa"/>
            <w:vAlign w:val="center"/>
          </w:tcPr>
          <w:p w14:paraId="24154FB5">
            <w:pPr>
              <w:jc w:val="center"/>
              <w:rPr>
                <w:rFonts w:ascii="宋体" w:hAnsi="Bookman Old Style"/>
                <w:sz w:val="24"/>
              </w:rPr>
            </w:pPr>
            <w:r>
              <w:rPr>
                <w:rFonts w:hint="eastAsia" w:ascii="宋体" w:hAnsi="Bookman Old Style"/>
                <w:sz w:val="24"/>
              </w:rPr>
              <w:t>货物名称</w:t>
            </w:r>
          </w:p>
        </w:tc>
        <w:tc>
          <w:tcPr>
            <w:tcW w:w="635" w:type="dxa"/>
            <w:vAlign w:val="center"/>
          </w:tcPr>
          <w:p w14:paraId="01C4D2D2">
            <w:pPr>
              <w:jc w:val="center"/>
              <w:rPr>
                <w:sz w:val="24"/>
              </w:rPr>
            </w:pPr>
            <w:r>
              <w:rPr>
                <w:sz w:val="24"/>
              </w:rPr>
              <w:t>数量</w:t>
            </w:r>
          </w:p>
          <w:p w14:paraId="575079E5">
            <w:pPr>
              <w:jc w:val="center"/>
              <w:rPr>
                <w:rFonts w:ascii="宋体" w:hAnsi="Bookman Old Style"/>
                <w:sz w:val="24"/>
              </w:rPr>
            </w:pPr>
            <w:r>
              <w:rPr>
                <w:sz w:val="24"/>
              </w:rPr>
              <w:t>（台/套）</w:t>
            </w:r>
          </w:p>
        </w:tc>
        <w:tc>
          <w:tcPr>
            <w:tcW w:w="1320" w:type="dxa"/>
            <w:vAlign w:val="center"/>
          </w:tcPr>
          <w:p w14:paraId="1042D10A">
            <w:pPr>
              <w:jc w:val="center"/>
              <w:rPr>
                <w:rFonts w:ascii="宋体" w:hAnsi="Bookman Old Style"/>
                <w:sz w:val="24"/>
              </w:rPr>
            </w:pPr>
            <w:r>
              <w:rPr>
                <w:sz w:val="24"/>
              </w:rPr>
              <w:t>交货期</w:t>
            </w:r>
          </w:p>
        </w:tc>
        <w:tc>
          <w:tcPr>
            <w:tcW w:w="1765" w:type="dxa"/>
            <w:vAlign w:val="center"/>
          </w:tcPr>
          <w:p w14:paraId="2971CFF8">
            <w:pPr>
              <w:jc w:val="center"/>
              <w:rPr>
                <w:rFonts w:ascii="宋体" w:hAnsi="Bookman Old Style"/>
                <w:sz w:val="24"/>
              </w:rPr>
            </w:pPr>
            <w:r>
              <w:rPr>
                <w:rFonts w:hint="eastAsia" w:ascii="宋体" w:hAnsi="Bookman Old Style"/>
                <w:sz w:val="24"/>
              </w:rPr>
              <w:t>指定到货港</w:t>
            </w:r>
          </w:p>
        </w:tc>
        <w:tc>
          <w:tcPr>
            <w:tcW w:w="2520" w:type="dxa"/>
            <w:vAlign w:val="center"/>
          </w:tcPr>
          <w:p w14:paraId="5E92DC89">
            <w:pPr>
              <w:jc w:val="center"/>
              <w:rPr>
                <w:rFonts w:ascii="宋体" w:hAnsi="Bookman Old Style"/>
                <w:sz w:val="24"/>
                <w:shd w:val="pct10" w:color="auto" w:fill="FFFFFF"/>
              </w:rPr>
            </w:pPr>
            <w:r>
              <w:rPr>
                <w:rFonts w:hint="eastAsia" w:ascii="宋体" w:hAnsi="Bookman Old Style"/>
                <w:sz w:val="24"/>
              </w:rPr>
              <w:t>项目现场（交货地点）</w:t>
            </w:r>
          </w:p>
        </w:tc>
      </w:tr>
      <w:tr w14:paraId="0198A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Align w:val="center"/>
          </w:tcPr>
          <w:p w14:paraId="19F22EF0">
            <w:pPr>
              <w:jc w:val="center"/>
              <w:rPr>
                <w:rFonts w:ascii="宋体"/>
                <w:sz w:val="24"/>
              </w:rPr>
            </w:pPr>
            <w:r>
              <w:rPr>
                <w:rFonts w:hint="eastAsia" w:ascii="宋体"/>
                <w:sz w:val="24"/>
              </w:rPr>
              <w:t>1</w:t>
            </w:r>
          </w:p>
        </w:tc>
        <w:tc>
          <w:tcPr>
            <w:tcW w:w="2640" w:type="dxa"/>
            <w:vAlign w:val="center"/>
          </w:tcPr>
          <w:p w14:paraId="1077CA48">
            <w:pPr>
              <w:jc w:val="center"/>
              <w:rPr>
                <w:rFonts w:ascii="宋体" w:hAnsi="Bookman Old Style"/>
                <w:sz w:val="24"/>
              </w:rPr>
            </w:pPr>
            <w:r>
              <w:rPr>
                <w:rFonts w:hint="eastAsia" w:ascii="宋体" w:hAnsi="Bookman Old Style"/>
                <w:sz w:val="24"/>
              </w:rPr>
              <w:t>单纳米形态元素分析电感耦合串接质谱仪</w:t>
            </w:r>
          </w:p>
        </w:tc>
        <w:tc>
          <w:tcPr>
            <w:tcW w:w="635" w:type="dxa"/>
            <w:vAlign w:val="center"/>
          </w:tcPr>
          <w:p w14:paraId="6713E081">
            <w:pPr>
              <w:jc w:val="center"/>
              <w:rPr>
                <w:rFonts w:ascii="宋体" w:hAnsi="Bookman Old Style"/>
                <w:sz w:val="24"/>
              </w:rPr>
            </w:pPr>
            <w:r>
              <w:rPr>
                <w:sz w:val="24"/>
              </w:rPr>
              <w:t>1</w:t>
            </w:r>
          </w:p>
        </w:tc>
        <w:tc>
          <w:tcPr>
            <w:tcW w:w="1320" w:type="dxa"/>
            <w:vAlign w:val="center"/>
          </w:tcPr>
          <w:p w14:paraId="1EE1D396">
            <w:pPr>
              <w:jc w:val="center"/>
              <w:rPr>
                <w:rFonts w:ascii="宋体" w:hAnsi="Bookman Old Style"/>
                <w:sz w:val="24"/>
              </w:rPr>
            </w:pPr>
            <w:r>
              <w:rPr>
                <w:rFonts w:hint="eastAsia"/>
                <w:sz w:val="24"/>
              </w:rPr>
              <w:t>签订合同后3个月内交付</w:t>
            </w:r>
          </w:p>
        </w:tc>
        <w:tc>
          <w:tcPr>
            <w:tcW w:w="1765" w:type="dxa"/>
            <w:vAlign w:val="center"/>
          </w:tcPr>
          <w:p w14:paraId="24478362">
            <w:pPr>
              <w:jc w:val="center"/>
              <w:rPr>
                <w:sz w:val="24"/>
              </w:rPr>
            </w:pPr>
            <w:r>
              <w:rPr>
                <w:rFonts w:hint="eastAsia"/>
                <w:sz w:val="24"/>
              </w:rPr>
              <w:t>北京</w:t>
            </w:r>
          </w:p>
        </w:tc>
        <w:tc>
          <w:tcPr>
            <w:tcW w:w="2520" w:type="dxa"/>
            <w:vAlign w:val="center"/>
          </w:tcPr>
          <w:p w14:paraId="327B8D10">
            <w:pPr>
              <w:jc w:val="center"/>
              <w:rPr>
                <w:rFonts w:ascii="宋体" w:hAnsi="Bookman Old Style"/>
                <w:sz w:val="24"/>
              </w:rPr>
            </w:pPr>
            <w:r>
              <w:rPr>
                <w:rFonts w:hint="eastAsia"/>
                <w:sz w:val="24"/>
              </w:rPr>
              <w:t>中国科学院大学</w:t>
            </w:r>
          </w:p>
        </w:tc>
      </w:tr>
    </w:tbl>
    <w:p w14:paraId="70A08BDF">
      <w:pPr>
        <w:adjustRightInd w:val="0"/>
        <w:snapToGrid w:val="0"/>
        <w:rPr>
          <w:rFonts w:hint="eastAsia" w:ascii="宋体" w:hAnsi="宋体"/>
          <w:b/>
          <w:sz w:val="30"/>
          <w:szCs w:val="30"/>
        </w:rPr>
      </w:pPr>
    </w:p>
    <w:p w14:paraId="46496068">
      <w:pPr>
        <w:rPr>
          <w:rFonts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14:paraId="53781D58">
      <w:pPr>
        <w:adjustRightInd w:val="0"/>
        <w:snapToGrid w:val="0"/>
        <w:rPr>
          <w:rFonts w:hint="eastAsia" w:ascii="宋体" w:hAnsi="宋体"/>
          <w:szCs w:val="21"/>
        </w:rPr>
      </w:pPr>
    </w:p>
    <w:p w14:paraId="22C9EBAB">
      <w:pPr>
        <w:adjustRightInd w:val="0"/>
        <w:snapToGrid w:val="0"/>
        <w:rPr>
          <w:rFonts w:hint="eastAsia" w:ascii="宋体" w:hAnsi="宋体"/>
          <w:szCs w:val="21"/>
        </w:rPr>
      </w:pPr>
    </w:p>
    <w:p w14:paraId="5A8DCC05">
      <w:pPr>
        <w:adjustRightInd w:val="0"/>
        <w:snapToGrid w:val="0"/>
        <w:rPr>
          <w:rFonts w:hint="eastAsia" w:ascii="宋体" w:hAnsi="宋体"/>
          <w:szCs w:val="21"/>
        </w:rPr>
      </w:pPr>
    </w:p>
    <w:p w14:paraId="0CE541EC">
      <w:pPr>
        <w:adjustRightInd w:val="0"/>
        <w:snapToGrid w:val="0"/>
        <w:rPr>
          <w:rFonts w:hint="eastAsia" w:ascii="宋体" w:hAnsi="宋体"/>
          <w:szCs w:val="21"/>
        </w:rPr>
      </w:pPr>
    </w:p>
    <w:p w14:paraId="644727C2">
      <w:pPr>
        <w:adjustRightInd w:val="0"/>
        <w:snapToGrid w:val="0"/>
        <w:rPr>
          <w:rFonts w:hint="eastAsia" w:ascii="宋体" w:hAnsi="宋体"/>
          <w:szCs w:val="21"/>
        </w:rPr>
      </w:pPr>
    </w:p>
    <w:p w14:paraId="577E7725">
      <w:pPr>
        <w:adjustRightInd w:val="0"/>
        <w:snapToGrid w:val="0"/>
        <w:rPr>
          <w:rFonts w:hint="eastAsia" w:ascii="宋体" w:hAnsi="宋体"/>
          <w:szCs w:val="21"/>
        </w:rPr>
      </w:pPr>
    </w:p>
    <w:p w14:paraId="125A08AA">
      <w:pPr>
        <w:adjustRightInd w:val="0"/>
        <w:snapToGrid w:val="0"/>
        <w:rPr>
          <w:rFonts w:hint="eastAsia" w:ascii="宋体" w:hAnsi="宋体"/>
          <w:szCs w:val="21"/>
        </w:rPr>
      </w:pPr>
    </w:p>
    <w:p w14:paraId="6530C35D">
      <w:pPr>
        <w:adjustRightInd w:val="0"/>
        <w:snapToGrid w:val="0"/>
        <w:rPr>
          <w:rFonts w:hint="eastAsia" w:ascii="宋体" w:hAnsi="宋体"/>
          <w:szCs w:val="21"/>
        </w:rPr>
      </w:pPr>
    </w:p>
    <w:p w14:paraId="339D9E99">
      <w:pPr>
        <w:adjustRightInd w:val="0"/>
        <w:snapToGrid w:val="0"/>
        <w:rPr>
          <w:rFonts w:hint="eastAsia" w:ascii="宋体" w:hAnsi="宋体"/>
          <w:szCs w:val="21"/>
        </w:rPr>
      </w:pPr>
    </w:p>
    <w:p w14:paraId="290FC3D4">
      <w:pPr>
        <w:adjustRightInd w:val="0"/>
        <w:snapToGrid w:val="0"/>
        <w:rPr>
          <w:rFonts w:hint="eastAsia" w:ascii="宋体" w:hAnsi="宋体"/>
          <w:szCs w:val="21"/>
        </w:rPr>
      </w:pPr>
    </w:p>
    <w:p w14:paraId="5DEFA6D2">
      <w:pPr>
        <w:adjustRightInd w:val="0"/>
        <w:snapToGrid w:val="0"/>
        <w:rPr>
          <w:rFonts w:hint="eastAsia" w:ascii="宋体" w:hAnsi="宋体"/>
          <w:szCs w:val="21"/>
        </w:rPr>
      </w:pPr>
    </w:p>
    <w:p w14:paraId="3052119B">
      <w:pPr>
        <w:adjustRightInd w:val="0"/>
        <w:snapToGrid w:val="0"/>
        <w:rPr>
          <w:rFonts w:hint="eastAsia" w:ascii="宋体" w:hAnsi="宋体"/>
          <w:szCs w:val="21"/>
        </w:rPr>
      </w:pPr>
    </w:p>
    <w:p w14:paraId="3467BF09">
      <w:pPr>
        <w:adjustRightInd w:val="0"/>
        <w:snapToGrid w:val="0"/>
        <w:rPr>
          <w:rFonts w:hint="eastAsia" w:ascii="宋体" w:hAnsi="宋体"/>
          <w:b/>
          <w:sz w:val="30"/>
          <w:szCs w:val="30"/>
        </w:rPr>
      </w:pPr>
      <w:r>
        <w:rPr>
          <w:rFonts w:ascii="宋体" w:hAnsi="宋体"/>
          <w:b/>
          <w:sz w:val="30"/>
          <w:szCs w:val="30"/>
        </w:rPr>
        <w:br w:type="page"/>
      </w:r>
    </w:p>
    <w:p w14:paraId="75EC0A7C">
      <w:pPr>
        <w:numPr>
          <w:ilvl w:val="2"/>
          <w:numId w:val="1"/>
        </w:numPr>
        <w:tabs>
          <w:tab w:val="left" w:pos="720"/>
          <w:tab w:val="clear" w:pos="1560"/>
        </w:tabs>
        <w:adjustRightInd w:val="0"/>
        <w:snapToGrid w:val="0"/>
        <w:ind w:hanging="1560"/>
        <w:jc w:val="center"/>
        <w:rPr>
          <w:rFonts w:hint="eastAsia" w:ascii="宋体" w:hAnsi="宋体"/>
          <w:b/>
          <w:sz w:val="30"/>
          <w:szCs w:val="30"/>
        </w:rPr>
      </w:pPr>
      <w:r>
        <w:rPr>
          <w:rFonts w:hint="eastAsia" w:ascii="宋体" w:hAnsi="宋体"/>
          <w:b/>
          <w:sz w:val="30"/>
          <w:szCs w:val="30"/>
        </w:rPr>
        <w:t>总则</w:t>
      </w:r>
    </w:p>
    <w:p w14:paraId="313A9E91">
      <w:pPr>
        <w:spacing w:before="156" w:beforeLines="50" w:after="156" w:afterLines="50" w:line="360" w:lineRule="auto"/>
        <w:ind w:left="601" w:hanging="601"/>
        <w:rPr>
          <w:rFonts w:hint="eastAsia" w:ascii="宋体" w:hAnsi="宋体"/>
          <w:b/>
          <w:sz w:val="28"/>
        </w:rPr>
      </w:pPr>
      <w:r>
        <w:rPr>
          <w:rFonts w:ascii="宋体" w:hAnsi="宋体"/>
          <w:b/>
          <w:sz w:val="28"/>
        </w:rPr>
        <w:t>1</w:t>
      </w:r>
      <w:r>
        <w:rPr>
          <w:rFonts w:hint="eastAsia" w:ascii="宋体" w:hAnsi="宋体"/>
          <w:b/>
          <w:sz w:val="28"/>
        </w:rPr>
        <w:t>、投标要求</w:t>
      </w:r>
    </w:p>
    <w:p w14:paraId="33AF9F87">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3E4651F7">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539A3C39">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33805798">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1697B2E2">
      <w:pPr>
        <w:spacing w:before="156" w:beforeLines="50" w:after="156" w:afterLines="50" w:line="360" w:lineRule="auto"/>
        <w:ind w:left="601" w:hanging="601"/>
        <w:rPr>
          <w:rFonts w:hint="eastAsia" w:ascii="宋体" w:hAnsi="宋体"/>
          <w:b/>
          <w:sz w:val="28"/>
        </w:rPr>
      </w:pPr>
      <w:r>
        <w:rPr>
          <w:rFonts w:hint="eastAsia" w:ascii="宋体" w:hAnsi="宋体"/>
          <w:b/>
          <w:sz w:val="28"/>
        </w:rPr>
        <w:t>2、评标标准</w:t>
      </w:r>
    </w:p>
    <w:p w14:paraId="6631067D">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4500F7F1">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548271EE">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5E3E182A">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39D131BD">
      <w:pPr>
        <w:spacing w:line="360" w:lineRule="auto"/>
        <w:ind w:left="554" w:hanging="554" w:hangingChars="231"/>
        <w:rPr>
          <w:rFonts w:hint="eastAsia" w:ascii="宋体" w:hAnsi="宋体"/>
          <w:color w:val="FF0000"/>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0C4B7A93">
      <w:pPr>
        <w:spacing w:before="156" w:beforeLines="50" w:after="156" w:afterLines="50" w:line="360" w:lineRule="auto"/>
        <w:ind w:left="601" w:hanging="601"/>
        <w:rPr>
          <w:rFonts w:hint="eastAsia" w:ascii="宋体" w:hAnsi="宋体"/>
          <w:b/>
          <w:sz w:val="28"/>
        </w:rPr>
      </w:pPr>
      <w:r>
        <w:rPr>
          <w:rFonts w:hint="eastAsia" w:ascii="宋体" w:hAnsi="宋体"/>
          <w:b/>
          <w:sz w:val="28"/>
        </w:rPr>
        <w:t>3、工作条件</w:t>
      </w:r>
    </w:p>
    <w:p w14:paraId="286F2630">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21CEEE6F">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1AEABD1A">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134B4991">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535DB96E">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5DD7F64C">
      <w:pPr>
        <w:spacing w:before="156" w:beforeLines="50" w:after="156" w:afterLines="50" w:line="360" w:lineRule="auto"/>
        <w:ind w:left="601" w:hanging="601"/>
        <w:rPr>
          <w:rFonts w:hint="eastAsia" w:ascii="宋体" w:hAnsi="宋体"/>
          <w:b/>
          <w:sz w:val="28"/>
        </w:rPr>
      </w:pPr>
      <w:r>
        <w:rPr>
          <w:rFonts w:hint="eastAsia" w:ascii="宋体" w:hAnsi="宋体"/>
          <w:b/>
          <w:sz w:val="28"/>
        </w:rPr>
        <w:t>4、验收标准</w:t>
      </w:r>
    </w:p>
    <w:p w14:paraId="1868A549">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4E321486">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6CA2C314">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481E9413">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4D171AD7">
      <w:pPr>
        <w:pStyle w:val="3"/>
        <w:spacing w:before="156" w:beforeLines="50" w:line="360" w:lineRule="auto"/>
        <w:ind w:left="410" w:hanging="410" w:hangingChars="170"/>
        <w:rPr>
          <w:rFonts w:hint="eastAsia" w:hAnsi="宋体"/>
          <w:b/>
          <w:sz w:val="24"/>
          <w:szCs w:val="24"/>
        </w:rPr>
      </w:pPr>
      <w:r>
        <w:rPr>
          <w:rFonts w:hint="eastAsia" w:hAnsi="宋体"/>
          <w:b/>
          <w:sz w:val="24"/>
          <w:szCs w:val="24"/>
        </w:rPr>
        <w:t>5、本技术规格书中标注“★”号的为实质性要求，不满足其投标将被拒绝。</w:t>
      </w:r>
    </w:p>
    <w:p w14:paraId="0AC75076">
      <w:pPr>
        <w:pStyle w:val="3"/>
        <w:spacing w:line="360" w:lineRule="auto"/>
        <w:rPr>
          <w:rFonts w:hint="eastAsia" w:hAnsi="宋体"/>
          <w:b/>
          <w:sz w:val="24"/>
          <w:szCs w:val="24"/>
        </w:rPr>
      </w:pPr>
      <w:r>
        <w:rPr>
          <w:rFonts w:hint="eastAsia" w:hAnsi="宋体"/>
          <w:b/>
          <w:sz w:val="24"/>
          <w:szCs w:val="24"/>
        </w:rPr>
        <w:t>6、如在具体技术规格中有本总则不一致之处，以具体技术规格中的要求为准。</w:t>
      </w:r>
    </w:p>
    <w:p w14:paraId="3727E39E">
      <w:pPr>
        <w:spacing w:after="156" w:afterLines="50"/>
        <w:ind w:left="601" w:hanging="601"/>
        <w:rPr>
          <w:b/>
          <w:sz w:val="28"/>
        </w:rPr>
      </w:pPr>
      <w:r>
        <w:rPr>
          <w:rFonts w:ascii="宋体" w:hAnsi="宋体"/>
          <w:b/>
          <w:sz w:val="28"/>
        </w:rPr>
        <w:br w:type="page"/>
      </w:r>
      <w:r>
        <w:rPr>
          <w:rFonts w:hint="eastAsia" w:ascii="宋体" w:hAnsi="宋体"/>
          <w:b/>
          <w:sz w:val="28"/>
        </w:rPr>
        <w:t>三、具体技术规格</w:t>
      </w:r>
    </w:p>
    <w:p w14:paraId="000EE17F">
      <w:pPr>
        <w:jc w:val="center"/>
        <w:rPr>
          <w:b/>
          <w:sz w:val="24"/>
        </w:rPr>
      </w:pPr>
      <w:r>
        <w:rPr>
          <w:rFonts w:hint="eastAsia"/>
          <w:b/>
          <w:sz w:val="24"/>
        </w:rPr>
        <w:t>采购货物名称：单纳米形态元素分析电感耦合串接质谱仪购置项目</w:t>
      </w:r>
    </w:p>
    <w:p w14:paraId="7838BF0A">
      <w:pPr>
        <w:rPr>
          <w:b/>
          <w:sz w:val="24"/>
        </w:rPr>
      </w:pPr>
    </w:p>
    <w:p w14:paraId="26DDFD61">
      <w:pPr>
        <w:numPr>
          <w:ilvl w:val="0"/>
          <w:numId w:val="2"/>
        </w:numPr>
        <w:rPr>
          <w:b/>
          <w:sz w:val="24"/>
        </w:rPr>
      </w:pPr>
      <w:r>
        <w:rPr>
          <w:rFonts w:hint="eastAsia"/>
          <w:b/>
          <w:sz w:val="24"/>
        </w:rPr>
        <w:t>技术要求：</w:t>
      </w:r>
    </w:p>
    <w:p w14:paraId="10EFAD9A">
      <w:pPr>
        <w:rPr>
          <w:b/>
          <w:sz w:val="24"/>
        </w:rPr>
      </w:pPr>
    </w:p>
    <w:p w14:paraId="21131A5A">
      <w:pPr>
        <w:numPr>
          <w:ilvl w:val="0"/>
          <w:numId w:val="3"/>
        </w:numPr>
        <w:spacing w:line="360" w:lineRule="auto"/>
        <w:rPr>
          <w:b/>
          <w:sz w:val="24"/>
        </w:rPr>
      </w:pPr>
      <w:r>
        <w:rPr>
          <w:rFonts w:hint="eastAsia"/>
          <w:b/>
          <w:sz w:val="24"/>
        </w:rPr>
        <w:t>工作条件：</w:t>
      </w:r>
    </w:p>
    <w:p w14:paraId="31B693BF">
      <w:pPr>
        <w:spacing w:line="360" w:lineRule="auto"/>
        <w:rPr>
          <w:rFonts w:hint="eastAsia" w:ascii="宋体" w:hAnsi="宋体" w:cs="宋体"/>
          <w:sz w:val="24"/>
        </w:rPr>
      </w:pPr>
      <w:r>
        <w:rPr>
          <w:rFonts w:hint="eastAsia" w:ascii="宋体" w:hAnsi="宋体" w:cs="宋体"/>
          <w:sz w:val="24"/>
        </w:rPr>
        <w:t>1.1工作电压：220 ± 5% V</w:t>
      </w:r>
    </w:p>
    <w:p w14:paraId="19CBC01B">
      <w:pPr>
        <w:spacing w:line="360" w:lineRule="auto"/>
        <w:rPr>
          <w:rFonts w:hint="eastAsia" w:ascii="宋体" w:hAnsi="宋体" w:cs="宋体"/>
          <w:sz w:val="24"/>
        </w:rPr>
      </w:pPr>
      <w:r>
        <w:rPr>
          <w:rFonts w:hint="eastAsia" w:ascii="宋体" w:hAnsi="宋体" w:cs="宋体"/>
          <w:sz w:val="24"/>
        </w:rPr>
        <w:t>1.2操作温度：15 – 27 ℃</w:t>
      </w:r>
    </w:p>
    <w:p w14:paraId="30A552A4">
      <w:pPr>
        <w:spacing w:line="360" w:lineRule="auto"/>
        <w:rPr>
          <w:rFonts w:hint="eastAsia" w:ascii="宋体" w:hAnsi="宋体" w:cs="宋体"/>
          <w:sz w:val="24"/>
        </w:rPr>
      </w:pPr>
      <w:r>
        <w:rPr>
          <w:rFonts w:hint="eastAsia" w:ascii="宋体" w:hAnsi="宋体" w:cs="宋体"/>
          <w:sz w:val="24"/>
        </w:rPr>
        <w:t>1.3湿度：&lt; 85 %</w:t>
      </w:r>
    </w:p>
    <w:p w14:paraId="065673E2">
      <w:pPr>
        <w:numPr>
          <w:ilvl w:val="0"/>
          <w:numId w:val="3"/>
        </w:numPr>
        <w:spacing w:line="360" w:lineRule="auto"/>
        <w:rPr>
          <w:b/>
          <w:sz w:val="24"/>
        </w:rPr>
      </w:pPr>
      <w:r>
        <w:rPr>
          <w:rFonts w:hint="eastAsia"/>
          <w:b/>
          <w:sz w:val="24"/>
        </w:rPr>
        <w:t>设备用途：</w:t>
      </w:r>
    </w:p>
    <w:p w14:paraId="58C7B036">
      <w:pPr>
        <w:spacing w:line="360" w:lineRule="auto"/>
        <w:rPr>
          <w:sz w:val="24"/>
        </w:rPr>
      </w:pPr>
      <w:r>
        <w:rPr>
          <w:rFonts w:hint="eastAsia"/>
          <w:sz w:val="24"/>
        </w:rPr>
        <w:t xml:space="preserve">   单纳米形态元素分析电感耦合串接质谱仪具有</w:t>
      </w:r>
      <w:r>
        <w:rPr>
          <w:sz w:val="24"/>
        </w:rPr>
        <w:t>通过离子的荷质比以及同位素比指纹进行定性分析的能力</w:t>
      </w:r>
      <w:r>
        <w:rPr>
          <w:rFonts w:hint="eastAsia"/>
          <w:sz w:val="24"/>
        </w:rPr>
        <w:t>，可选择特定母离子进入碰撞反应池，再进行子离子扫描，杜绝副反应对分析结果的影响，无视基体的</w:t>
      </w:r>
      <w:r>
        <w:rPr>
          <w:sz w:val="24"/>
        </w:rPr>
        <w:t>多元素准确定量分析能力</w:t>
      </w:r>
      <w:r>
        <w:rPr>
          <w:rFonts w:hint="eastAsia"/>
          <w:sz w:val="24"/>
        </w:rPr>
        <w:t>，可与液相联机使用。</w:t>
      </w:r>
    </w:p>
    <w:p w14:paraId="13F031F2">
      <w:pPr>
        <w:numPr>
          <w:ilvl w:val="0"/>
          <w:numId w:val="3"/>
        </w:numPr>
        <w:spacing w:line="360" w:lineRule="auto"/>
        <w:rPr>
          <w:b/>
          <w:sz w:val="24"/>
        </w:rPr>
      </w:pPr>
      <w:r>
        <w:rPr>
          <w:rFonts w:hint="eastAsia"/>
          <w:b/>
          <w:sz w:val="24"/>
        </w:rPr>
        <w:t>技术规格：</w:t>
      </w:r>
    </w:p>
    <w:p w14:paraId="00621E5F">
      <w:pPr>
        <w:pStyle w:val="2"/>
        <w:widowControl/>
        <w:tabs>
          <w:tab w:val="clear" w:pos="567"/>
        </w:tabs>
        <w:spacing w:before="0" w:line="360" w:lineRule="auto"/>
        <w:jc w:val="left"/>
        <w:rPr>
          <w:rFonts w:hint="eastAsia" w:ascii="宋体" w:hAnsi="宋体" w:cs="宋体"/>
        </w:rPr>
      </w:pPr>
      <w:r>
        <w:rPr>
          <w:rFonts w:hint="eastAsia" w:ascii="宋体" w:hAnsi="宋体" w:cs="宋体"/>
        </w:rPr>
        <w:t>3.1雾化室: 配置半导体控温的石英雾化室，降低溶剂挥发，使氧化物干扰产率降低至：CeO/Ce不大于2.0%。</w:t>
      </w:r>
    </w:p>
    <w:p w14:paraId="26F70624">
      <w:pPr>
        <w:pStyle w:val="2"/>
        <w:widowControl/>
        <w:tabs>
          <w:tab w:val="clear" w:pos="567"/>
        </w:tabs>
        <w:spacing w:before="0" w:line="360" w:lineRule="auto"/>
        <w:jc w:val="left"/>
        <w:rPr>
          <w:rFonts w:hint="eastAsia" w:ascii="宋体" w:hAnsi="宋体" w:cs="宋体"/>
        </w:rPr>
      </w:pPr>
      <w:r>
        <w:rPr>
          <w:rFonts w:hint="eastAsia" w:cs="宋体"/>
        </w:rPr>
        <w:t>★</w:t>
      </w:r>
      <w:r>
        <w:rPr>
          <w:rFonts w:hint="eastAsia" w:ascii="宋体" w:hAnsi="宋体" w:cs="宋体"/>
        </w:rPr>
        <w:t>3.2离子源：数控式固态射频发生器，射频频率不高于27.12 MHz，最高功率不小于1600W。纯有机溶剂可以直接点火，具有有机溶剂专用点火模式。</w:t>
      </w:r>
    </w:p>
    <w:p w14:paraId="6CACEA1E">
      <w:pPr>
        <w:pStyle w:val="2"/>
        <w:widowControl/>
        <w:tabs>
          <w:tab w:val="clear" w:pos="567"/>
        </w:tabs>
        <w:spacing w:before="0" w:line="360" w:lineRule="auto"/>
        <w:jc w:val="left"/>
        <w:rPr>
          <w:rFonts w:hint="eastAsia" w:ascii="宋体" w:hAnsi="宋体" w:cs="宋体"/>
        </w:rPr>
      </w:pPr>
      <w:r>
        <w:rPr>
          <w:rFonts w:hint="eastAsia" w:ascii="宋体" w:hAnsi="宋体" w:cs="宋体"/>
        </w:rPr>
        <w:t>3.3接口：采样锥孔径≤1.0mm，截取锥孔径≤0.45mm ；</w:t>
      </w:r>
    </w:p>
    <w:p w14:paraId="5E464B51">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#3.4</w:t>
      </w:r>
      <w:r>
        <w:rPr>
          <w:rFonts w:hint="eastAsia" w:ascii="宋体" w:hAnsi="宋体" w:eastAsia="宋体" w:cs="宋体"/>
          <w:kern w:val="2"/>
        </w:rPr>
        <w:t>炬管可进行沿中心轴方向的采样深度调节，自动范围5-28mm, 能够适配冷焰模式18mm以上采样深度。</w:t>
      </w:r>
    </w:p>
    <w:p w14:paraId="40E65045">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3.5</w:t>
      </w:r>
      <w:r>
        <w:rPr>
          <w:rFonts w:hint="eastAsia" w:ascii="宋体" w:hAnsi="宋体" w:eastAsia="宋体" w:cs="宋体"/>
          <w:kern w:val="2"/>
        </w:rPr>
        <w:t>离子提取和噪音去除系统：</w:t>
      </w:r>
    </w:p>
    <w:p w14:paraId="13486056">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3.5.1</w:t>
      </w:r>
      <w:r>
        <w:rPr>
          <w:rFonts w:hint="eastAsia" w:ascii="宋体" w:hAnsi="宋体" w:eastAsia="宋体" w:cs="宋体"/>
          <w:kern w:val="2"/>
        </w:rPr>
        <w:t>离子偏转透镜可不卸真空情况下，进行拆卸和更换</w:t>
      </w:r>
    </w:p>
    <w:p w14:paraId="00D701EF">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3.5.2</w:t>
      </w:r>
      <w:r>
        <w:rPr>
          <w:rFonts w:hint="eastAsia" w:ascii="宋体" w:hAnsi="宋体" w:eastAsia="宋体" w:cs="宋体"/>
          <w:kern w:val="2"/>
        </w:rPr>
        <w:t>在接口和第一级四极杆质量分析器之间配备90度或离轴偏转离子透镜；在碰撞反应池后和第二级四极杆质量分析器之间配备离轴偏转透镜；2次偏转以消除中性噪音，在JJF-1159校准规范要求的质量数位置噪音：9Be&lt;0.20cps</w:t>
      </w:r>
    </w:p>
    <w:p w14:paraId="6D694191">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3.6</w:t>
      </w:r>
      <w:r>
        <w:rPr>
          <w:rFonts w:hint="eastAsia" w:ascii="宋体" w:hAnsi="宋体" w:eastAsia="宋体" w:cs="宋体"/>
          <w:kern w:val="2"/>
        </w:rPr>
        <w:t>配备独立的有机加氧混合气引入气路：具有不与稀释气公用的独立有机加氧混合气质量流量计，加氧气和稀释气可同时通入。</w:t>
      </w:r>
    </w:p>
    <w:p w14:paraId="2EDDD2B3">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#3.7</w:t>
      </w:r>
      <w:r>
        <w:rPr>
          <w:rFonts w:hint="eastAsia" w:ascii="宋体" w:hAnsi="宋体" w:eastAsia="宋体" w:cs="宋体"/>
          <w:kern w:val="2"/>
        </w:rPr>
        <w:t>工作气体控制：仪器配置由仪器软件控制的高精度气体质量流量控制器控制各个工作气体，可计算机控制的质量流量控制气体流路不少于9路，至少包括：4路氩气等离子体气、辅助气、载气、氩气稀释气、氩氧混合气；4路碰撞反应池气体,配备气体净化捕集阱。</w:t>
      </w:r>
    </w:p>
    <w:p w14:paraId="2F87260A">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3.8</w:t>
      </w:r>
      <w:r>
        <w:rPr>
          <w:rFonts w:hint="eastAsia" w:ascii="宋体" w:hAnsi="宋体" w:eastAsia="宋体" w:cs="宋体"/>
          <w:kern w:val="2"/>
        </w:rPr>
        <w:t xml:space="preserve">碰撞反应池： </w:t>
      </w:r>
    </w:p>
    <w:p w14:paraId="6F65DB1F">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#3.8.1</w:t>
      </w:r>
      <w:r>
        <w:rPr>
          <w:rFonts w:hint="eastAsia" w:ascii="宋体" w:hAnsi="宋体" w:eastAsia="宋体" w:cs="宋体"/>
          <w:kern w:val="2"/>
        </w:rPr>
        <w:t>配置多极杆碰撞反应池。碰撞反应池驱动频率≥12MHz。（需提供软件界面碰撞反应池驱动频率调谐至12MHz或以上的截图证明）</w:t>
      </w:r>
    </w:p>
    <w:p w14:paraId="4ABA1164">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w:t>
      </w:r>
      <w:r>
        <w:rPr>
          <w:rFonts w:hint="eastAsia" w:ascii="宋体" w:hAnsi="宋体" w:eastAsia="宋体" w:cs="宋体"/>
        </w:rPr>
        <w:t>3.8.2</w:t>
      </w:r>
      <w:r>
        <w:rPr>
          <w:rFonts w:hint="eastAsia" w:ascii="宋体" w:hAnsi="宋体" w:eastAsia="宋体" w:cs="宋体"/>
          <w:kern w:val="2"/>
        </w:rPr>
        <w:t>碰撞反应池具有独立涡轮分子泵支持的真空系统，不同气体模式切换，抽空和平衡所需切换时间小于5秒。</w:t>
      </w:r>
    </w:p>
    <w:p w14:paraId="7FB95C2A">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3.9</w:t>
      </w:r>
      <w:r>
        <w:rPr>
          <w:rFonts w:hint="eastAsia" w:ascii="宋体" w:hAnsi="宋体" w:eastAsia="宋体" w:cs="宋体"/>
          <w:kern w:val="2"/>
        </w:rPr>
        <w:t>耐受腐蚀性气体，氧气及氨气气体流量可设定至≥1.5 mL/min；</w:t>
      </w:r>
    </w:p>
    <w:p w14:paraId="620D3D43">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w:t>
      </w:r>
      <w:r>
        <w:rPr>
          <w:rFonts w:hint="eastAsia" w:ascii="宋体" w:hAnsi="宋体" w:eastAsia="宋体" w:cs="宋体"/>
        </w:rPr>
        <w:t>3.10</w:t>
      </w:r>
      <w:r>
        <w:rPr>
          <w:rFonts w:hint="eastAsia" w:ascii="宋体" w:hAnsi="宋体" w:eastAsia="宋体" w:cs="宋体"/>
          <w:kern w:val="2"/>
        </w:rPr>
        <w:t>碰撞反应池恒温加热至不低于80摄氏度。（需提供软件界面碰撞反应池温度功能设定的截图证明）</w:t>
      </w:r>
    </w:p>
    <w:p w14:paraId="44CE81E9">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3.11</w:t>
      </w:r>
      <w:r>
        <w:rPr>
          <w:rFonts w:hint="eastAsia" w:ascii="宋体" w:hAnsi="宋体" w:eastAsia="宋体" w:cs="宋体"/>
          <w:kern w:val="2"/>
        </w:rPr>
        <w:t>串联四极杆精确质量分析器：</w:t>
      </w:r>
    </w:p>
    <w:p w14:paraId="15D85A98">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3.11.1</w:t>
      </w:r>
      <w:r>
        <w:rPr>
          <w:rFonts w:hint="eastAsia" w:ascii="宋体" w:hAnsi="宋体" w:eastAsia="宋体" w:cs="宋体"/>
          <w:kern w:val="2"/>
        </w:rPr>
        <w:t>具有2个独立的相同尺寸、相同驱动频率、同轴设置的共轭双曲面形状四极杆，分别位于碰撞反应池之前和碰撞反应池之后，从而进行一级和二级质谱分析。</w:t>
      </w:r>
    </w:p>
    <w:p w14:paraId="7BFDDC41">
      <w:pPr>
        <w:pStyle w:val="6"/>
        <w:spacing w:before="0" w:beforeAutospacing="0" w:after="0" w:afterAutospacing="0" w:line="360" w:lineRule="auto"/>
        <w:rPr>
          <w:rFonts w:hint="eastAsia" w:ascii="宋体" w:hAnsi="宋体" w:eastAsia="宋体" w:cs="宋体"/>
          <w:kern w:val="2"/>
        </w:rPr>
      </w:pPr>
      <w:bookmarkStart w:id="0" w:name="_Hlk46517870"/>
      <w:r>
        <w:rPr>
          <w:rFonts w:hint="eastAsia" w:ascii="宋体" w:hAnsi="宋体" w:eastAsia="宋体" w:cs="宋体"/>
        </w:rPr>
        <w:t>3.11.2</w:t>
      </w:r>
      <w:r>
        <w:rPr>
          <w:rFonts w:hint="eastAsia" w:ascii="宋体" w:hAnsi="宋体" w:eastAsia="宋体" w:cs="宋体"/>
          <w:kern w:val="2"/>
        </w:rPr>
        <w:t>碰撞反应池前和池后两级四极杆质量分析器</w:t>
      </w:r>
      <w:bookmarkEnd w:id="0"/>
      <w:r>
        <w:rPr>
          <w:rFonts w:hint="eastAsia" w:ascii="宋体" w:hAnsi="宋体" w:eastAsia="宋体" w:cs="宋体"/>
          <w:kern w:val="2"/>
        </w:rPr>
        <w:t>：均可以进行分辨率不低于0.3 amu的精确单位质量数筛选。</w:t>
      </w:r>
    </w:p>
    <w:p w14:paraId="37A66CD1">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3.11.3</w:t>
      </w:r>
      <w:r>
        <w:rPr>
          <w:rFonts w:hint="eastAsia" w:ascii="宋体" w:hAnsi="宋体" w:eastAsia="宋体" w:cs="宋体"/>
          <w:kern w:val="2"/>
        </w:rPr>
        <w:t>碰撞反应池前和池后两级四极杆质量分析器：均为共轭双曲面物理形状四极杆，驱动频率不低于2.8MHz。</w:t>
      </w:r>
    </w:p>
    <w:p w14:paraId="37C6F703">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★3.11.4</w:t>
      </w:r>
      <w:r>
        <w:rPr>
          <w:rFonts w:hint="eastAsia" w:ascii="宋体" w:hAnsi="宋体" w:eastAsia="宋体" w:cs="宋体"/>
          <w:kern w:val="2"/>
        </w:rPr>
        <w:t>质量数范围：第一级、第二级四极杆质量分析器的质量上限均不低于</w:t>
      </w:r>
      <w:r>
        <w:rPr>
          <w:rFonts w:hint="eastAsia" w:ascii="宋体" w:hAnsi="宋体" w:eastAsia="宋体" w:cs="宋体"/>
          <w:kern w:val="2"/>
          <w:vertAlign w:val="superscript"/>
        </w:rPr>
        <w:t>238</w:t>
      </w:r>
      <w:r>
        <w:rPr>
          <w:rFonts w:hint="eastAsia" w:ascii="宋体" w:hAnsi="宋体" w:eastAsia="宋体" w:cs="宋体"/>
          <w:kern w:val="2"/>
        </w:rPr>
        <w:t>U</w:t>
      </w:r>
      <w:r>
        <w:rPr>
          <w:rFonts w:hint="eastAsia" w:ascii="宋体" w:hAnsi="宋体" w:eastAsia="宋体" w:cs="宋体"/>
          <w:kern w:val="2"/>
          <w:vertAlign w:val="superscript"/>
        </w:rPr>
        <w:t>16</w:t>
      </w:r>
      <w:r>
        <w:rPr>
          <w:rFonts w:hint="eastAsia" w:ascii="宋体" w:hAnsi="宋体" w:eastAsia="宋体" w:cs="宋体"/>
          <w:kern w:val="2"/>
        </w:rPr>
        <w:t>O+离子的质量数254amu；（需提供软件界面内两级四极杆设定至254amu以上的截图作为证明）</w:t>
      </w:r>
    </w:p>
    <w:p w14:paraId="0949999F">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3.11.5</w:t>
      </w:r>
      <w:r>
        <w:rPr>
          <w:rFonts w:hint="eastAsia" w:ascii="宋体" w:hAnsi="宋体" w:eastAsia="宋体" w:cs="宋体"/>
          <w:kern w:val="2"/>
        </w:rPr>
        <w:t>第一级、第二级四极杆质均有预四极杆。</w:t>
      </w:r>
    </w:p>
    <w:p w14:paraId="79058963">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3.11.6</w:t>
      </w:r>
      <w:r>
        <w:rPr>
          <w:rFonts w:hint="eastAsia" w:ascii="宋体" w:hAnsi="宋体" w:eastAsia="宋体" w:cs="宋体"/>
          <w:kern w:val="2"/>
        </w:rPr>
        <w:t xml:space="preserve">两组四极杆质量分析器组合的总丰度灵敏度：高、低质量端: </w:t>
      </w:r>
      <w:r>
        <w:rPr>
          <w:rFonts w:hint="eastAsia" w:ascii="宋体" w:hAnsi="宋体" w:eastAsia="宋体" w:cs="宋体"/>
          <w:kern w:val="2"/>
        </w:rPr>
        <w:sym w:font="Symbol" w:char="F0A3"/>
      </w:r>
      <w:r>
        <w:rPr>
          <w:rFonts w:hint="eastAsia" w:ascii="宋体" w:hAnsi="宋体" w:eastAsia="宋体" w:cs="宋体"/>
          <w:kern w:val="2"/>
        </w:rPr>
        <w:t xml:space="preserve"> 1 x 10</w:t>
      </w:r>
      <w:r>
        <w:rPr>
          <w:rFonts w:hint="eastAsia" w:ascii="宋体" w:hAnsi="宋体" w:eastAsia="宋体" w:cs="宋体"/>
          <w:kern w:val="2"/>
          <w:vertAlign w:val="superscript"/>
        </w:rPr>
        <w:t>-14</w:t>
      </w:r>
      <w:r>
        <w:rPr>
          <w:rFonts w:hint="eastAsia" w:ascii="宋体" w:hAnsi="宋体" w:eastAsia="宋体" w:cs="宋体"/>
          <w:kern w:val="2"/>
        </w:rPr>
        <w:t xml:space="preserve">；检测器线性范围内可演示丰度灵敏度：高、低质量端: </w:t>
      </w:r>
      <w:r>
        <w:rPr>
          <w:rFonts w:hint="eastAsia" w:ascii="宋体" w:hAnsi="宋体" w:eastAsia="宋体" w:cs="宋体"/>
          <w:kern w:val="2"/>
        </w:rPr>
        <w:sym w:font="Symbol" w:char="F0A3"/>
      </w:r>
      <w:r>
        <w:rPr>
          <w:rFonts w:hint="eastAsia" w:ascii="宋体" w:hAnsi="宋体" w:eastAsia="宋体" w:cs="宋体"/>
          <w:kern w:val="2"/>
        </w:rPr>
        <w:t xml:space="preserve"> 1 x 10</w:t>
      </w:r>
      <w:r>
        <w:rPr>
          <w:rFonts w:hint="eastAsia" w:ascii="宋体" w:hAnsi="宋体" w:eastAsia="宋体" w:cs="宋体"/>
          <w:kern w:val="2"/>
          <w:vertAlign w:val="superscript"/>
        </w:rPr>
        <w:t>-10</w:t>
      </w:r>
    </w:p>
    <w:p w14:paraId="4FD1BCCF">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 xml:space="preserve">3.11.7 </w:t>
      </w:r>
      <w:r>
        <w:rPr>
          <w:rFonts w:hint="eastAsia" w:ascii="宋体" w:hAnsi="宋体" w:eastAsia="宋体" w:cs="宋体"/>
          <w:kern w:val="2"/>
        </w:rPr>
        <w:t>Q1,Q2四极杆质量分析器可进行高速扫描，扫描速度不低于4500amu/s（Li-U之间40个质量数）。</w:t>
      </w:r>
    </w:p>
    <w:p w14:paraId="6D4BB86A">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w:t>
      </w:r>
      <w:r>
        <w:rPr>
          <w:rFonts w:hint="eastAsia" w:ascii="宋体" w:hAnsi="宋体" w:eastAsia="宋体" w:cs="宋体"/>
          <w:kern w:val="2"/>
        </w:rPr>
        <w:t>3.12检测器：电子倍增器本体计数范围不小于11个数量级，检测器最短积分时间≤0.1ms。</w:t>
      </w:r>
    </w:p>
    <w:p w14:paraId="13B3779F">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3.13真空系统：</w:t>
      </w:r>
    </w:p>
    <w:p w14:paraId="19BD42C3">
      <w:pPr>
        <w:pStyle w:val="6"/>
        <w:numPr>
          <w:ilvl w:val="2"/>
          <w:numId w:val="4"/>
        </w:numPr>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Q1, 碰撞反应池，Q2三部分别位于独立的真空腔体。</w:t>
      </w:r>
    </w:p>
    <w:p w14:paraId="052C0E00">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rPr>
        <w:t>★</w:t>
      </w:r>
      <w:r>
        <w:rPr>
          <w:rFonts w:hint="eastAsia" w:ascii="宋体" w:hAnsi="宋体" w:eastAsia="宋体" w:cs="宋体"/>
          <w:kern w:val="2"/>
        </w:rPr>
        <w:t>3.13.2碰撞反应池和四极杆腔分别有独立的涡轮分子泵支持，仪器主机内应设置有2个或以上独立的涡轮分子泵。</w:t>
      </w:r>
    </w:p>
    <w:p w14:paraId="764751BA">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#3.14具有色谱联机扩展能力，ICP-MS软件可以扩展直接控制气相、离子色谱、毛细管电泳四种设备（提供四种软件截图证明）。</w:t>
      </w:r>
    </w:p>
    <w:p w14:paraId="551E3DCA">
      <w:pPr>
        <w:pStyle w:val="6"/>
        <w:numPr>
          <w:ilvl w:val="1"/>
          <w:numId w:val="5"/>
        </w:numPr>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ICP-MS/MS性能指标</w:t>
      </w:r>
    </w:p>
    <w:p w14:paraId="1576DBB8">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3.15.1背景噪音 Be9&lt;0.20cps</w:t>
      </w:r>
    </w:p>
    <w:p w14:paraId="65F5D637">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3.15.2灵敏度，在CeO+/Ce+≤2 %条件下测定：</w:t>
      </w:r>
    </w:p>
    <w:p w14:paraId="1F902053">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 xml:space="preserve">       低质量数: </w:t>
      </w:r>
      <w:r>
        <w:rPr>
          <w:rFonts w:hint="eastAsia" w:ascii="宋体" w:hAnsi="宋体" w:eastAsia="宋体" w:cs="宋体"/>
          <w:kern w:val="2"/>
          <w:vertAlign w:val="superscript"/>
        </w:rPr>
        <w:t>7</w:t>
      </w:r>
      <w:r>
        <w:rPr>
          <w:rFonts w:hint="eastAsia" w:ascii="宋体" w:hAnsi="宋体" w:eastAsia="宋体" w:cs="宋体"/>
          <w:kern w:val="2"/>
        </w:rPr>
        <w:t>Li</w:t>
      </w:r>
      <w:r>
        <w:rPr>
          <w:rFonts w:hint="eastAsia" w:ascii="宋体" w:hAnsi="宋体" w:eastAsia="宋体" w:cs="宋体"/>
          <w:kern w:val="2"/>
        </w:rPr>
        <w:sym w:font="Symbol" w:char="F0B3"/>
      </w:r>
      <w:r>
        <w:rPr>
          <w:rFonts w:hint="eastAsia" w:ascii="宋体" w:hAnsi="宋体" w:eastAsia="宋体" w:cs="宋体"/>
          <w:kern w:val="2"/>
        </w:rPr>
        <w:t xml:space="preserve"> 280 Mcps/ppm</w:t>
      </w:r>
    </w:p>
    <w:p w14:paraId="3FCB0A6F">
      <w:pPr>
        <w:pStyle w:val="6"/>
        <w:spacing w:before="0" w:beforeAutospacing="0" w:after="0" w:afterAutospacing="0" w:line="360" w:lineRule="auto"/>
        <w:ind w:left="600"/>
        <w:rPr>
          <w:rFonts w:hint="eastAsia" w:ascii="宋体" w:hAnsi="宋体" w:eastAsia="宋体" w:cs="宋体"/>
          <w:kern w:val="2"/>
        </w:rPr>
      </w:pPr>
      <w:r>
        <w:rPr>
          <w:rFonts w:hint="eastAsia" w:ascii="宋体" w:hAnsi="宋体" w:eastAsia="宋体" w:cs="宋体"/>
          <w:kern w:val="2"/>
        </w:rPr>
        <w:t xml:space="preserve">  中质量数: </w:t>
      </w:r>
      <w:r>
        <w:rPr>
          <w:rFonts w:hint="eastAsia" w:ascii="宋体" w:hAnsi="宋体" w:eastAsia="宋体" w:cs="宋体"/>
          <w:kern w:val="2"/>
          <w:vertAlign w:val="superscript"/>
        </w:rPr>
        <w:t>115</w:t>
      </w:r>
      <w:r>
        <w:rPr>
          <w:rFonts w:hint="eastAsia" w:ascii="宋体" w:hAnsi="宋体" w:eastAsia="宋体" w:cs="宋体"/>
          <w:kern w:val="2"/>
        </w:rPr>
        <w:t>In</w:t>
      </w:r>
      <w:r>
        <w:rPr>
          <w:rFonts w:hint="eastAsia" w:ascii="宋体" w:hAnsi="宋体" w:eastAsia="宋体" w:cs="宋体"/>
          <w:kern w:val="2"/>
        </w:rPr>
        <w:sym w:font="Symbol" w:char="F0B3"/>
      </w:r>
      <w:r>
        <w:rPr>
          <w:rFonts w:hint="eastAsia" w:ascii="宋体" w:hAnsi="宋体" w:eastAsia="宋体" w:cs="宋体"/>
          <w:kern w:val="2"/>
        </w:rPr>
        <w:t xml:space="preserve"> 960 Mcps/ppm</w:t>
      </w:r>
    </w:p>
    <w:p w14:paraId="0E230A77">
      <w:pPr>
        <w:pStyle w:val="6"/>
        <w:spacing w:before="0" w:beforeAutospacing="0" w:after="0" w:afterAutospacing="0" w:line="360" w:lineRule="auto"/>
        <w:ind w:left="600"/>
        <w:rPr>
          <w:rFonts w:hint="eastAsia" w:ascii="宋体" w:hAnsi="宋体" w:eastAsia="宋体" w:cs="宋体"/>
          <w:kern w:val="2"/>
        </w:rPr>
      </w:pPr>
      <w:r>
        <w:rPr>
          <w:rFonts w:hint="eastAsia" w:ascii="宋体" w:hAnsi="宋体" w:eastAsia="宋体" w:cs="宋体"/>
          <w:kern w:val="2"/>
        </w:rPr>
        <w:t xml:space="preserve">  高质量数: </w:t>
      </w:r>
      <w:r>
        <w:rPr>
          <w:rFonts w:hint="eastAsia" w:ascii="宋体" w:hAnsi="宋体" w:eastAsia="宋体" w:cs="宋体"/>
          <w:kern w:val="2"/>
          <w:vertAlign w:val="superscript"/>
        </w:rPr>
        <w:t>238</w:t>
      </w:r>
      <w:r>
        <w:rPr>
          <w:rFonts w:hint="eastAsia" w:ascii="宋体" w:hAnsi="宋体" w:eastAsia="宋体" w:cs="宋体"/>
          <w:kern w:val="2"/>
        </w:rPr>
        <w:t>U</w:t>
      </w:r>
      <w:r>
        <w:rPr>
          <w:rFonts w:hint="eastAsia" w:ascii="宋体" w:hAnsi="宋体" w:eastAsia="宋体" w:cs="宋体"/>
          <w:kern w:val="2"/>
        </w:rPr>
        <w:sym w:font="Symbol" w:char="F0B3"/>
      </w:r>
      <w:r>
        <w:rPr>
          <w:rFonts w:hint="eastAsia" w:ascii="宋体" w:hAnsi="宋体" w:eastAsia="宋体" w:cs="宋体"/>
          <w:kern w:val="2"/>
        </w:rPr>
        <w:t xml:space="preserve"> 640 Mcps/ppm</w:t>
      </w:r>
    </w:p>
    <w:p w14:paraId="08675FBB">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 xml:space="preserve">3.15.3氧化物干扰产率：CeO+/Ce+: </w:t>
      </w:r>
      <w:r>
        <w:rPr>
          <w:rFonts w:hint="eastAsia" w:ascii="宋体" w:hAnsi="宋体" w:eastAsia="宋体" w:cs="宋体"/>
          <w:kern w:val="2"/>
        </w:rPr>
        <w:sym w:font="Symbol" w:char="F0A3"/>
      </w:r>
      <w:r>
        <w:rPr>
          <w:rFonts w:hint="eastAsia" w:ascii="宋体" w:hAnsi="宋体" w:eastAsia="宋体" w:cs="宋体"/>
          <w:kern w:val="2"/>
        </w:rPr>
        <w:t xml:space="preserve"> 2.0 %  </w:t>
      </w:r>
    </w:p>
    <w:p w14:paraId="6BC32989">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3.15.4单杆模式检测限：</w:t>
      </w:r>
    </w:p>
    <w:p w14:paraId="7337590F">
      <w:pPr>
        <w:pStyle w:val="6"/>
        <w:spacing w:before="0" w:beforeAutospacing="0" w:after="0" w:afterAutospacing="0" w:line="360" w:lineRule="auto"/>
        <w:ind w:left="600"/>
        <w:rPr>
          <w:rFonts w:hint="eastAsia" w:ascii="宋体" w:hAnsi="宋体" w:eastAsia="宋体" w:cs="宋体"/>
          <w:kern w:val="2"/>
        </w:rPr>
      </w:pPr>
      <w:r>
        <w:rPr>
          <w:rFonts w:hint="eastAsia" w:ascii="宋体" w:hAnsi="宋体" w:eastAsia="宋体" w:cs="宋体"/>
          <w:kern w:val="2"/>
        </w:rPr>
        <w:t>Be(9):</w:t>
      </w:r>
      <w:r>
        <w:rPr>
          <w:rFonts w:hint="eastAsia" w:ascii="宋体" w:hAnsi="宋体" w:eastAsia="宋体" w:cs="宋体"/>
          <w:kern w:val="2"/>
        </w:rPr>
        <w:tab/>
      </w:r>
      <w:r>
        <w:rPr>
          <w:rFonts w:hint="eastAsia" w:ascii="宋体" w:hAnsi="宋体" w:eastAsia="宋体" w:cs="宋体"/>
          <w:kern w:val="2"/>
        </w:rPr>
        <w:sym w:font="Symbol" w:char="F0A3"/>
      </w:r>
      <w:r>
        <w:rPr>
          <w:rFonts w:hint="eastAsia" w:ascii="宋体" w:hAnsi="宋体" w:eastAsia="宋体" w:cs="宋体"/>
          <w:kern w:val="2"/>
        </w:rPr>
        <w:t xml:space="preserve"> 0.04 ppt</w:t>
      </w:r>
    </w:p>
    <w:p w14:paraId="4B3D7363">
      <w:pPr>
        <w:pStyle w:val="6"/>
        <w:spacing w:before="0" w:beforeAutospacing="0" w:after="0" w:afterAutospacing="0" w:line="360" w:lineRule="auto"/>
        <w:ind w:left="600"/>
        <w:rPr>
          <w:rFonts w:hint="eastAsia" w:ascii="宋体" w:hAnsi="宋体" w:eastAsia="宋体" w:cs="宋体"/>
          <w:kern w:val="2"/>
        </w:rPr>
      </w:pPr>
      <w:r>
        <w:rPr>
          <w:rFonts w:hint="eastAsia" w:ascii="宋体" w:hAnsi="宋体" w:eastAsia="宋体" w:cs="宋体"/>
          <w:kern w:val="2"/>
        </w:rPr>
        <w:t xml:space="preserve">In(115): </w:t>
      </w:r>
      <w:r>
        <w:rPr>
          <w:rFonts w:hint="eastAsia" w:ascii="宋体" w:hAnsi="宋体" w:eastAsia="宋体" w:cs="宋体"/>
          <w:kern w:val="2"/>
        </w:rPr>
        <w:sym w:font="Symbol" w:char="F0A3"/>
      </w:r>
      <w:r>
        <w:rPr>
          <w:rFonts w:hint="eastAsia" w:ascii="宋体" w:hAnsi="宋体" w:eastAsia="宋体" w:cs="宋体"/>
          <w:kern w:val="2"/>
        </w:rPr>
        <w:t xml:space="preserve"> 0.01 ppt</w:t>
      </w:r>
    </w:p>
    <w:p w14:paraId="36E03387">
      <w:pPr>
        <w:pStyle w:val="6"/>
        <w:spacing w:before="0" w:beforeAutospacing="0" w:after="0" w:afterAutospacing="0" w:line="360" w:lineRule="auto"/>
        <w:ind w:left="600"/>
        <w:rPr>
          <w:rFonts w:hint="eastAsia" w:ascii="宋体" w:hAnsi="宋体" w:eastAsia="宋体" w:cs="宋体"/>
          <w:kern w:val="2"/>
        </w:rPr>
      </w:pPr>
      <w:r>
        <w:rPr>
          <w:rFonts w:hint="eastAsia" w:ascii="宋体" w:hAnsi="宋体" w:eastAsia="宋体" w:cs="宋体"/>
          <w:kern w:val="2"/>
        </w:rPr>
        <w:t xml:space="preserve">U(238): </w:t>
      </w:r>
      <w:r>
        <w:rPr>
          <w:rFonts w:hint="eastAsia" w:ascii="宋体" w:hAnsi="宋体" w:eastAsia="宋体" w:cs="宋体"/>
          <w:kern w:val="2"/>
        </w:rPr>
        <w:sym w:font="Symbol" w:char="F0A3"/>
      </w:r>
      <w:r>
        <w:rPr>
          <w:rFonts w:hint="eastAsia" w:ascii="宋体" w:hAnsi="宋体" w:eastAsia="宋体" w:cs="宋体"/>
          <w:kern w:val="2"/>
        </w:rPr>
        <w:t xml:space="preserve"> 0.01 ppt</w:t>
      </w:r>
    </w:p>
    <w:p w14:paraId="7A2EC73C">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3.15.5串接模式检测限：</w:t>
      </w:r>
    </w:p>
    <w:p w14:paraId="1A725B0C">
      <w:pPr>
        <w:pStyle w:val="6"/>
        <w:spacing w:before="0" w:beforeAutospacing="0" w:after="0" w:afterAutospacing="0" w:line="360" w:lineRule="auto"/>
        <w:ind w:left="600"/>
        <w:rPr>
          <w:rFonts w:hint="eastAsia" w:ascii="宋体" w:hAnsi="宋体" w:eastAsia="宋体" w:cs="宋体"/>
          <w:kern w:val="2"/>
        </w:rPr>
      </w:pPr>
      <w:r>
        <w:rPr>
          <w:rFonts w:hint="eastAsia" w:ascii="宋体" w:hAnsi="宋体" w:eastAsia="宋体" w:cs="宋体"/>
          <w:kern w:val="2"/>
        </w:rPr>
        <w:t xml:space="preserve">  S(SO+)检出限</w:t>
      </w:r>
      <w:r>
        <w:rPr>
          <w:rFonts w:hint="eastAsia" w:ascii="宋体" w:hAnsi="宋体" w:eastAsia="宋体" w:cs="宋体"/>
          <w:kern w:val="2"/>
        </w:rPr>
        <w:sym w:font="Symbol" w:char="F0A3"/>
      </w:r>
      <w:r>
        <w:rPr>
          <w:rFonts w:hint="eastAsia" w:ascii="宋体" w:hAnsi="宋体" w:eastAsia="宋体" w:cs="宋体"/>
          <w:kern w:val="2"/>
        </w:rPr>
        <w:t>40 ppt</w:t>
      </w:r>
    </w:p>
    <w:p w14:paraId="0796B7F5">
      <w:pPr>
        <w:pStyle w:val="6"/>
        <w:spacing w:before="0" w:beforeAutospacing="0" w:after="0" w:afterAutospacing="0" w:line="360" w:lineRule="auto"/>
        <w:ind w:left="600"/>
        <w:rPr>
          <w:rFonts w:hint="eastAsia" w:ascii="宋体" w:hAnsi="宋体" w:eastAsia="宋体" w:cs="宋体"/>
          <w:kern w:val="2"/>
        </w:rPr>
      </w:pPr>
      <w:r>
        <w:rPr>
          <w:rFonts w:hint="eastAsia" w:ascii="宋体" w:hAnsi="宋体" w:eastAsia="宋体" w:cs="宋体"/>
          <w:kern w:val="2"/>
        </w:rPr>
        <w:t xml:space="preserve"> P(PO+)检出限</w:t>
      </w:r>
      <w:r>
        <w:rPr>
          <w:rFonts w:hint="eastAsia" w:ascii="宋体" w:hAnsi="宋体" w:eastAsia="宋体" w:cs="宋体"/>
          <w:kern w:val="2"/>
        </w:rPr>
        <w:sym w:font="Symbol" w:char="F0A3"/>
      </w:r>
      <w:r>
        <w:rPr>
          <w:rFonts w:hint="eastAsia" w:ascii="宋体" w:hAnsi="宋体" w:eastAsia="宋体" w:cs="宋体"/>
          <w:kern w:val="2"/>
        </w:rPr>
        <w:t>20 ppt</w:t>
      </w:r>
    </w:p>
    <w:p w14:paraId="0547F033">
      <w:pPr>
        <w:pStyle w:val="6"/>
        <w:spacing w:before="0" w:beforeAutospacing="0" w:after="0" w:afterAutospacing="0" w:line="360" w:lineRule="auto"/>
        <w:ind w:left="600"/>
        <w:rPr>
          <w:rFonts w:hint="eastAsia" w:ascii="宋体" w:hAnsi="宋体" w:eastAsia="宋体" w:cs="宋体"/>
          <w:kern w:val="2"/>
        </w:rPr>
      </w:pPr>
      <w:r>
        <w:rPr>
          <w:rFonts w:hint="eastAsia" w:ascii="宋体" w:hAnsi="宋体" w:eastAsia="宋体" w:cs="宋体"/>
          <w:kern w:val="2"/>
        </w:rPr>
        <w:t xml:space="preserve"> Se检出限</w:t>
      </w:r>
      <w:r>
        <w:rPr>
          <w:rFonts w:hint="eastAsia" w:ascii="宋体" w:hAnsi="宋体" w:eastAsia="宋体" w:cs="宋体"/>
          <w:kern w:val="2"/>
        </w:rPr>
        <w:sym w:font="Symbol" w:char="F0A3"/>
      </w:r>
      <w:r>
        <w:rPr>
          <w:rFonts w:hint="eastAsia" w:ascii="宋体" w:hAnsi="宋体" w:eastAsia="宋体" w:cs="宋体"/>
          <w:kern w:val="2"/>
        </w:rPr>
        <w:t>1 ppt</w:t>
      </w:r>
    </w:p>
    <w:p w14:paraId="11402CDC">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3.16液相色谱四元梯度泵：</w:t>
      </w:r>
    </w:p>
    <w:p w14:paraId="79F58880">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3.16.1采用串联式双柱塞往复泵，自动连续可变冲程20-100ul，主动电磁阀控制，配置柱塞清洗附件，依靠齿轮传动非皮带轮。</w:t>
      </w:r>
    </w:p>
    <w:p w14:paraId="5EB6290C">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3.16.2流量范围：</w:t>
      </w:r>
      <w:r>
        <w:rPr>
          <w:rFonts w:hint="eastAsia" w:ascii="宋体" w:hAnsi="宋体" w:eastAsia="宋体" w:cs="宋体"/>
          <w:kern w:val="2"/>
        </w:rPr>
        <w:tab/>
      </w:r>
      <w:r>
        <w:rPr>
          <w:rFonts w:hint="eastAsia" w:ascii="宋体" w:hAnsi="宋体" w:eastAsia="宋体" w:cs="宋体"/>
          <w:kern w:val="2"/>
        </w:rPr>
        <w:t>0.001ml/min~10.0ml/min，递增率0.001ml/min</w:t>
      </w:r>
    </w:p>
    <w:p w14:paraId="500107B8">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3.16.3流量精度：&lt;0.070%RSD</w:t>
      </w:r>
    </w:p>
    <w:p w14:paraId="5E5D0051">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3.16.4压力范围：</w:t>
      </w:r>
      <w:r>
        <w:rPr>
          <w:rFonts w:hint="eastAsia" w:ascii="宋体" w:hAnsi="宋体" w:eastAsia="宋体" w:cs="宋体"/>
          <w:kern w:val="2"/>
        </w:rPr>
        <w:tab/>
      </w:r>
      <w:r>
        <w:rPr>
          <w:rFonts w:hint="eastAsia" w:ascii="宋体" w:hAnsi="宋体" w:eastAsia="宋体" w:cs="宋体"/>
          <w:kern w:val="2"/>
        </w:rPr>
        <w:t>0-400bar</w:t>
      </w:r>
    </w:p>
    <w:p w14:paraId="6F601528">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3.17智能化柱温箱</w:t>
      </w:r>
    </w:p>
    <w:p w14:paraId="44B02415">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3.17.1柱温范围：室温以下10-85˚C，温控精度为0.05 ℃；</w:t>
      </w:r>
    </w:p>
    <w:p w14:paraId="23C0F57E">
      <w:pPr>
        <w:pStyle w:val="6"/>
        <w:spacing w:before="0" w:beforeAutospacing="0" w:after="0" w:afterAutospacing="0" w:line="360" w:lineRule="auto"/>
        <w:rPr>
          <w:rFonts w:hint="eastAsia" w:ascii="宋体" w:hAnsi="宋体" w:eastAsia="宋体" w:cs="宋体"/>
          <w:kern w:val="2"/>
        </w:rPr>
      </w:pPr>
      <w:r>
        <w:rPr>
          <w:rFonts w:hint="eastAsia" w:ascii="宋体" w:hAnsi="宋体" w:eastAsia="宋体" w:cs="宋体"/>
          <w:kern w:val="2"/>
        </w:rPr>
        <w:t>3.17.2柱容量：30cm长色谱柱至少3根</w:t>
      </w:r>
    </w:p>
    <w:p w14:paraId="36160C02">
      <w:pPr>
        <w:tabs>
          <w:tab w:val="left" w:pos="360"/>
        </w:tabs>
        <w:spacing w:line="360" w:lineRule="auto"/>
        <w:rPr>
          <w:rFonts w:hint="eastAsia" w:ascii="宋体" w:hAnsi="宋体" w:cs="宋体"/>
          <w:b/>
          <w:sz w:val="24"/>
        </w:rPr>
      </w:pPr>
      <w:r>
        <w:rPr>
          <w:rFonts w:hint="eastAsia" w:ascii="宋体" w:hAnsi="宋体" w:cs="宋体"/>
          <w:b/>
          <w:sz w:val="24"/>
        </w:rPr>
        <w:t>4产品配置要求</w:t>
      </w:r>
    </w:p>
    <w:p w14:paraId="2A64203A">
      <w:pPr>
        <w:widowControl/>
        <w:spacing w:line="360" w:lineRule="auto"/>
        <w:jc w:val="left"/>
        <w:rPr>
          <w:rFonts w:hint="eastAsia" w:ascii="宋体" w:hAnsi="宋体" w:cs="宋体"/>
          <w:sz w:val="24"/>
        </w:rPr>
      </w:pPr>
      <w:r>
        <w:rPr>
          <w:rFonts w:hint="eastAsia" w:ascii="宋体" w:hAnsi="宋体" w:cs="宋体"/>
          <w:sz w:val="24"/>
        </w:rPr>
        <w:t>4.1 ICP-MS/MS主机1套（包括石英进样系统，镍接口锥，9路气体质量流量计，数字控制固态射频发生器，离轴离子透镜，两个完整的双曲面四极杆，碰撞反应池，同时双通道模式检测器，机械泵和2套涡轮分子泵及其他必备工具和备件。）</w:t>
      </w:r>
    </w:p>
    <w:p w14:paraId="57D4EA56">
      <w:pPr>
        <w:widowControl/>
        <w:spacing w:line="360" w:lineRule="auto"/>
        <w:jc w:val="left"/>
        <w:rPr>
          <w:rFonts w:hint="eastAsia" w:ascii="宋体" w:hAnsi="宋体" w:cs="宋体"/>
          <w:sz w:val="24"/>
        </w:rPr>
      </w:pPr>
      <w:r>
        <w:rPr>
          <w:rFonts w:hint="eastAsia" w:ascii="宋体" w:hAnsi="宋体" w:cs="宋体"/>
          <w:sz w:val="24"/>
        </w:rPr>
        <w:t>4.2在线氩气稀释系统雾化室和气路1路；独立有机加氧气MFC 1路；</w:t>
      </w:r>
    </w:p>
    <w:p w14:paraId="3A735569">
      <w:pPr>
        <w:widowControl/>
        <w:spacing w:line="360" w:lineRule="auto"/>
        <w:jc w:val="left"/>
        <w:rPr>
          <w:rFonts w:hint="eastAsia" w:ascii="宋体" w:hAnsi="宋体" w:cs="宋体"/>
          <w:sz w:val="24"/>
        </w:rPr>
      </w:pPr>
      <w:r>
        <w:rPr>
          <w:rFonts w:hint="eastAsia" w:ascii="宋体" w:hAnsi="宋体" w:cs="宋体"/>
          <w:sz w:val="24"/>
        </w:rPr>
        <w:t>4.3铂铱合金屏蔽炬系统1套，如无此配置可提供RF线圈5套替代。</w:t>
      </w:r>
    </w:p>
    <w:p w14:paraId="05B52ADD">
      <w:pPr>
        <w:widowControl/>
        <w:spacing w:line="360" w:lineRule="auto"/>
        <w:jc w:val="left"/>
        <w:rPr>
          <w:rFonts w:hint="eastAsia" w:ascii="宋体" w:hAnsi="宋体" w:cs="宋体"/>
          <w:sz w:val="24"/>
        </w:rPr>
      </w:pPr>
      <w:r>
        <w:rPr>
          <w:rFonts w:hint="eastAsia" w:ascii="宋体" w:hAnsi="宋体" w:cs="宋体"/>
          <w:sz w:val="24"/>
        </w:rPr>
        <w:t>4.4电脑工作站</w:t>
      </w:r>
      <w:bookmarkStart w:id="1" w:name="_Hlk181776243"/>
      <w:r>
        <w:rPr>
          <w:rFonts w:hint="eastAsia" w:ascii="宋体" w:hAnsi="宋体" w:cs="宋体"/>
          <w:sz w:val="24"/>
        </w:rPr>
        <w:t>（Win11,CPU四核，单主频不低于8G内存、500G硬盘或以上）</w:t>
      </w:r>
      <w:bookmarkEnd w:id="1"/>
      <w:r>
        <w:rPr>
          <w:rFonts w:hint="eastAsia" w:ascii="宋体" w:hAnsi="宋体" w:cs="宋体"/>
          <w:sz w:val="24"/>
        </w:rPr>
        <w:t>及仪器控制软件一套；</w:t>
      </w:r>
    </w:p>
    <w:p w14:paraId="52FD2B0F">
      <w:pPr>
        <w:widowControl/>
        <w:snapToGrid w:val="0"/>
        <w:spacing w:line="360" w:lineRule="auto"/>
        <w:jc w:val="left"/>
        <w:rPr>
          <w:rFonts w:hint="eastAsia" w:ascii="宋体" w:hAnsi="宋体" w:cs="宋体"/>
          <w:sz w:val="24"/>
        </w:rPr>
      </w:pPr>
      <w:r>
        <w:rPr>
          <w:rFonts w:hint="eastAsia" w:ascii="宋体" w:hAnsi="宋体" w:cs="宋体"/>
          <w:sz w:val="24"/>
        </w:rPr>
        <w:t>4.5元素内标混合溶液一瓶和多元素调谐溶液一瓶；</w:t>
      </w:r>
    </w:p>
    <w:p w14:paraId="67E0E813">
      <w:pPr>
        <w:widowControl/>
        <w:spacing w:line="360" w:lineRule="auto"/>
        <w:jc w:val="left"/>
        <w:rPr>
          <w:rFonts w:hint="eastAsia" w:ascii="宋体" w:hAnsi="宋体" w:cs="宋体"/>
          <w:sz w:val="24"/>
        </w:rPr>
      </w:pPr>
      <w:r>
        <w:rPr>
          <w:rFonts w:hint="eastAsia" w:ascii="宋体" w:hAnsi="宋体" w:cs="宋体"/>
          <w:sz w:val="24"/>
        </w:rPr>
        <w:t>4.6循环冷却水系统1台（压缩机制冷，水箱容积12L）；</w:t>
      </w:r>
    </w:p>
    <w:p w14:paraId="0FAE9311">
      <w:pPr>
        <w:widowControl/>
        <w:numPr>
          <w:ilvl w:val="1"/>
          <w:numId w:val="6"/>
        </w:numPr>
        <w:spacing w:line="360" w:lineRule="auto"/>
        <w:jc w:val="left"/>
        <w:rPr>
          <w:rFonts w:hint="eastAsia" w:ascii="宋体" w:hAnsi="宋体" w:cs="宋体"/>
          <w:sz w:val="24"/>
        </w:rPr>
      </w:pPr>
      <w:r>
        <w:rPr>
          <w:rFonts w:hint="eastAsia" w:ascii="宋体" w:hAnsi="宋体" w:cs="宋体"/>
          <w:sz w:val="24"/>
        </w:rPr>
        <w:t>240位或以上自动进样器及防尘密封罩，1000个样品管，自动进样器备用进样针1个。</w:t>
      </w:r>
    </w:p>
    <w:p w14:paraId="666E7265">
      <w:pPr>
        <w:widowControl/>
        <w:spacing w:line="360" w:lineRule="auto"/>
        <w:jc w:val="left"/>
        <w:rPr>
          <w:rFonts w:hint="eastAsia" w:ascii="宋体" w:hAnsi="宋体" w:cs="宋体"/>
          <w:sz w:val="24"/>
        </w:rPr>
      </w:pPr>
      <w:r>
        <w:rPr>
          <w:rFonts w:hint="eastAsia" w:ascii="宋体" w:hAnsi="宋体" w:cs="宋体"/>
          <w:sz w:val="24"/>
        </w:rPr>
        <w:t>4.8氩气加湿器1套</w:t>
      </w:r>
    </w:p>
    <w:p w14:paraId="2D57B75A">
      <w:pPr>
        <w:widowControl/>
        <w:spacing w:line="360" w:lineRule="auto"/>
        <w:jc w:val="left"/>
        <w:rPr>
          <w:rFonts w:hint="eastAsia" w:ascii="宋体" w:hAnsi="宋体" w:cs="宋体"/>
          <w:sz w:val="24"/>
        </w:rPr>
      </w:pPr>
      <w:r>
        <w:rPr>
          <w:rFonts w:hint="eastAsia" w:ascii="宋体" w:hAnsi="宋体" w:cs="宋体"/>
          <w:sz w:val="24"/>
        </w:rPr>
        <w:t>4.9纳米颗粒进样系统软件，以及1.0mm中心管炬管一套。</w:t>
      </w:r>
    </w:p>
    <w:p w14:paraId="5AB29417">
      <w:pPr>
        <w:widowControl/>
        <w:spacing w:line="360" w:lineRule="auto"/>
        <w:jc w:val="left"/>
        <w:rPr>
          <w:rFonts w:hint="eastAsia" w:ascii="宋体" w:hAnsi="宋体" w:cs="宋体"/>
          <w:sz w:val="24"/>
        </w:rPr>
      </w:pPr>
      <w:r>
        <w:rPr>
          <w:rFonts w:hint="eastAsia" w:ascii="宋体" w:hAnsi="宋体" w:cs="宋体"/>
          <w:sz w:val="24"/>
        </w:rPr>
        <w:t>4.10色谱联机软件以及色谱联机接口。</w:t>
      </w:r>
    </w:p>
    <w:p w14:paraId="4F839715">
      <w:pPr>
        <w:widowControl/>
        <w:spacing w:line="360" w:lineRule="auto"/>
        <w:jc w:val="left"/>
        <w:rPr>
          <w:rFonts w:hint="eastAsia" w:ascii="宋体" w:hAnsi="宋体" w:cs="宋体"/>
          <w:sz w:val="24"/>
        </w:rPr>
      </w:pPr>
      <w:r>
        <w:rPr>
          <w:rFonts w:hint="eastAsia" w:ascii="宋体" w:hAnsi="宋体" w:cs="宋体"/>
          <w:sz w:val="24"/>
        </w:rPr>
        <w:t>4.11符合参数的液相四元泵，柱温箱及手动进样器各1套</w:t>
      </w:r>
    </w:p>
    <w:p w14:paraId="5D611A77">
      <w:pPr>
        <w:widowControl/>
        <w:numPr>
          <w:ilvl w:val="1"/>
          <w:numId w:val="7"/>
        </w:numPr>
        <w:spacing w:line="360" w:lineRule="auto"/>
        <w:jc w:val="left"/>
        <w:rPr>
          <w:rFonts w:hint="eastAsia" w:ascii="宋体" w:hAnsi="宋体" w:cs="宋体"/>
          <w:sz w:val="24"/>
        </w:rPr>
      </w:pPr>
      <w:r>
        <w:rPr>
          <w:rFonts w:hint="eastAsia" w:ascii="宋体" w:hAnsi="宋体" w:cs="宋体"/>
          <w:sz w:val="24"/>
        </w:rPr>
        <w:t xml:space="preserve"> 10KVA UPS稳压电源（延迟60 min）一台</w:t>
      </w:r>
    </w:p>
    <w:p w14:paraId="740A5160">
      <w:pPr>
        <w:spacing w:line="360" w:lineRule="auto"/>
        <w:rPr>
          <w:rFonts w:hint="eastAsia" w:ascii="宋体" w:hAnsi="宋体" w:cs="宋体"/>
          <w:b/>
          <w:sz w:val="24"/>
        </w:rPr>
      </w:pPr>
      <w:r>
        <w:rPr>
          <w:rFonts w:hint="eastAsia" w:ascii="宋体" w:hAnsi="宋体" w:cs="宋体"/>
          <w:b/>
          <w:sz w:val="24"/>
        </w:rPr>
        <w:t>（二）质保及售后服务：</w:t>
      </w:r>
    </w:p>
    <w:p w14:paraId="40419BA1">
      <w:pPr>
        <w:spacing w:line="360" w:lineRule="auto"/>
        <w:rPr>
          <w:rFonts w:hint="eastAsia" w:ascii="宋体" w:hAnsi="宋体" w:cs="宋体"/>
          <w:sz w:val="24"/>
        </w:rPr>
      </w:pPr>
      <w:r>
        <w:rPr>
          <w:rFonts w:hint="eastAsia" w:ascii="宋体" w:hAnsi="宋体" w:cs="宋体"/>
          <w:sz w:val="24"/>
        </w:rPr>
        <w:t>1.1 设备安装调试</w:t>
      </w:r>
    </w:p>
    <w:p w14:paraId="0D6127C6">
      <w:pPr>
        <w:pStyle w:val="9"/>
        <w:spacing w:line="360" w:lineRule="auto"/>
        <w:ind w:firstLine="480" w:firstLineChars="200"/>
        <w:rPr>
          <w:rFonts w:hint="eastAsia" w:ascii="宋体" w:hAnsi="宋体" w:eastAsia="宋体" w:cs="宋体"/>
          <w:szCs w:val="24"/>
        </w:rPr>
      </w:pPr>
      <w:r>
        <w:rPr>
          <w:rFonts w:hint="eastAsia" w:ascii="宋体" w:hAnsi="宋体" w:eastAsia="宋体" w:cs="宋体"/>
          <w:szCs w:val="24"/>
        </w:rPr>
        <w:t>仪器到达最终用户现场并完成场地准备，供货方在接到用户通知后一周内，安排有经验的工程技术人员到用户现场安装、调试。供货方和最终用户按投标的技术参数和性能描述为标准进行验收，仪器的安装调试需在接到用户通知后10日内完成。</w:t>
      </w:r>
    </w:p>
    <w:p w14:paraId="0FDF5C85">
      <w:pPr>
        <w:spacing w:line="360" w:lineRule="auto"/>
        <w:rPr>
          <w:rFonts w:hint="eastAsia" w:ascii="宋体" w:hAnsi="宋体" w:cs="宋体"/>
          <w:sz w:val="24"/>
        </w:rPr>
      </w:pPr>
      <w:r>
        <w:rPr>
          <w:rFonts w:hint="eastAsia" w:ascii="宋体" w:hAnsi="宋体" w:cs="宋体"/>
          <w:sz w:val="24"/>
        </w:rPr>
        <w:t xml:space="preserve">1.2 技术培训 </w:t>
      </w:r>
    </w:p>
    <w:p w14:paraId="08BF60EF">
      <w:pPr>
        <w:spacing w:line="360" w:lineRule="auto"/>
        <w:rPr>
          <w:rFonts w:hint="eastAsia" w:ascii="宋体" w:hAnsi="宋体" w:eastAsia="宋体" w:cs="宋体"/>
          <w:sz w:val="24"/>
          <w:szCs w:val="24"/>
        </w:rPr>
      </w:pPr>
      <w:r>
        <w:rPr>
          <w:rFonts w:hint="eastAsia" w:ascii="宋体" w:hAnsi="宋体" w:eastAsia="宋体" w:cs="宋体"/>
          <w:sz w:val="24"/>
        </w:rPr>
        <w:t xml:space="preserve">   </w:t>
      </w:r>
      <w:r>
        <w:rPr>
          <w:rFonts w:hint="eastAsia" w:ascii="宋体" w:hAnsi="宋体" w:eastAsia="宋体" w:cs="宋体"/>
          <w:sz w:val="24"/>
          <w:szCs w:val="24"/>
        </w:rPr>
        <w:t xml:space="preserve"> 安装验收期间，在用户所在地对用户进行仪器操作和日常维护的现场培训，包括仪器原理、使用方法和维护方法等。</w:t>
      </w:r>
    </w:p>
    <w:p w14:paraId="14BA0E14">
      <w:pPr>
        <w:spacing w:line="360" w:lineRule="auto"/>
        <w:rPr>
          <w:rFonts w:hint="eastAsia" w:ascii="宋体" w:hAnsi="宋体" w:cs="宋体"/>
          <w:sz w:val="24"/>
        </w:rPr>
      </w:pPr>
      <w:r>
        <w:rPr>
          <w:rFonts w:hint="eastAsia" w:ascii="宋体" w:hAnsi="宋体" w:cs="宋体"/>
          <w:sz w:val="24"/>
        </w:rPr>
        <w:t>1.3 质保期</w:t>
      </w:r>
    </w:p>
    <w:p w14:paraId="08BEA789">
      <w:pPr>
        <w:spacing w:line="360" w:lineRule="auto"/>
        <w:rPr>
          <w:rFonts w:hint="eastAsia" w:ascii="宋体" w:hAnsi="宋体" w:eastAsia="宋体" w:cs="宋体"/>
          <w:sz w:val="24"/>
          <w:szCs w:val="24"/>
        </w:rPr>
      </w:pPr>
      <w:r>
        <w:rPr>
          <w:rFonts w:hint="eastAsia" w:ascii="宋体" w:hAnsi="宋体" w:cs="宋体"/>
          <w:sz w:val="24"/>
        </w:rPr>
        <w:t xml:space="preserve">  </w:t>
      </w:r>
      <w:r>
        <w:rPr>
          <w:rFonts w:hint="eastAsia" w:ascii="宋体" w:hAnsi="宋体" w:eastAsia="宋体" w:cs="宋体"/>
          <w:sz w:val="24"/>
          <w:szCs w:val="24"/>
        </w:rPr>
        <w:t xml:space="preserve"> 硬件和软件均是质量保证期为验收合格后 1 年，质保期内外软件均免费升级。</w:t>
      </w:r>
    </w:p>
    <w:p w14:paraId="66BF15F4">
      <w:pPr>
        <w:spacing w:line="360" w:lineRule="auto"/>
        <w:rPr>
          <w:rFonts w:hint="eastAsia" w:ascii="宋体" w:hAnsi="宋体" w:cs="宋体"/>
          <w:sz w:val="24"/>
        </w:rPr>
      </w:pPr>
      <w:r>
        <w:rPr>
          <w:rFonts w:hint="eastAsia" w:ascii="宋体" w:hAnsi="宋体" w:cs="宋体"/>
          <w:sz w:val="24"/>
        </w:rPr>
        <w:t>1.4 维修响应时间</w:t>
      </w:r>
    </w:p>
    <w:p w14:paraId="31655114">
      <w:pPr>
        <w:pStyle w:val="9"/>
        <w:spacing w:line="360" w:lineRule="auto"/>
        <w:ind w:firstLine="480" w:firstLineChars="200"/>
        <w:rPr>
          <w:rFonts w:hint="eastAsia" w:ascii="宋体" w:hAnsi="宋体" w:eastAsia="宋体" w:cs="宋体"/>
          <w:szCs w:val="24"/>
        </w:rPr>
      </w:pPr>
      <w:r>
        <w:rPr>
          <w:rFonts w:hint="eastAsia" w:ascii="宋体" w:hAnsi="宋体" w:eastAsia="宋体" w:cs="宋体"/>
          <w:szCs w:val="24"/>
        </w:rPr>
        <w:t>在质保期内或质保期外，接到用户关于设备发生故障的通知后24小时内应答，应答后三个工作日内抵达现场维修。</w:t>
      </w:r>
    </w:p>
    <w:p w14:paraId="259B6A5C">
      <w:pPr>
        <w:spacing w:line="360" w:lineRule="auto"/>
        <w:rPr>
          <w:rFonts w:hint="eastAsia" w:ascii="宋体" w:hAnsi="宋体" w:cs="宋体"/>
          <w:b/>
          <w:sz w:val="24"/>
        </w:rPr>
      </w:pPr>
      <w:r>
        <w:rPr>
          <w:rFonts w:hint="eastAsia" w:ascii="宋体" w:hAnsi="宋体" w:cs="宋体"/>
          <w:b/>
          <w:sz w:val="24"/>
        </w:rPr>
        <w:t>（三） 订货数量：</w:t>
      </w:r>
    </w:p>
    <w:p w14:paraId="3B60146A">
      <w:pPr>
        <w:spacing w:line="360" w:lineRule="auto"/>
        <w:ind w:firstLine="240" w:firstLineChars="100"/>
        <w:rPr>
          <w:rFonts w:hint="eastAsia" w:ascii="宋体" w:hAnsi="宋体" w:cs="宋体"/>
          <w:sz w:val="24"/>
        </w:rPr>
      </w:pPr>
      <w:r>
        <w:rPr>
          <w:rFonts w:hint="eastAsia" w:ascii="宋体" w:hAnsi="宋体" w:eastAsia="宋体" w:cs="宋体"/>
          <w:sz w:val="24"/>
          <w:szCs w:val="24"/>
        </w:rPr>
        <w:t>单纳米形态元素分析电感耦合串接质谱仪1套</w:t>
      </w:r>
      <w:r>
        <w:rPr>
          <w:rFonts w:hint="eastAsia" w:ascii="宋体" w:hAnsi="宋体" w:cs="宋体"/>
          <w:sz w:val="24"/>
        </w:rPr>
        <w:t xml:space="preserve"> </w:t>
      </w:r>
    </w:p>
    <w:p w14:paraId="2D11776B">
      <w:pPr>
        <w:spacing w:line="360" w:lineRule="auto"/>
        <w:rPr>
          <w:rFonts w:hint="eastAsia" w:ascii="宋体" w:hAnsi="宋体" w:cs="宋体"/>
          <w:b/>
          <w:sz w:val="24"/>
        </w:rPr>
      </w:pPr>
      <w:r>
        <w:rPr>
          <w:rFonts w:hint="eastAsia" w:ascii="宋体" w:hAnsi="宋体" w:cs="宋体"/>
          <w:b/>
          <w:sz w:val="24"/>
        </w:rPr>
        <w:t>（四）交货日期：</w:t>
      </w:r>
    </w:p>
    <w:p w14:paraId="7BBFE602">
      <w:pPr>
        <w:spacing w:line="360" w:lineRule="auto"/>
        <w:rPr>
          <w:rFonts w:hint="eastAsia" w:ascii="宋体" w:hAnsi="宋体" w:cs="宋体"/>
          <w:sz w:val="24"/>
        </w:rPr>
      </w:pPr>
      <w:r>
        <w:rPr>
          <w:rFonts w:hint="eastAsia" w:ascii="宋体" w:hAnsi="宋体" w:eastAsia="宋体" w:cs="宋体"/>
          <w:sz w:val="24"/>
        </w:rPr>
        <w:t xml:space="preserve">     合同签订后三个月内，运送至用户指定地点。</w:t>
      </w:r>
    </w:p>
    <w:p w14:paraId="1619386F">
      <w:pPr>
        <w:spacing w:line="360" w:lineRule="auto"/>
        <w:rPr>
          <w:rFonts w:hint="eastAsia" w:ascii="宋体" w:hAnsi="宋体" w:cs="宋体"/>
          <w:b/>
          <w:sz w:val="24"/>
        </w:rPr>
      </w:pPr>
      <w:r>
        <w:rPr>
          <w:rFonts w:hint="eastAsia" w:ascii="宋体" w:hAnsi="宋体" w:cs="宋体"/>
          <w:b/>
          <w:sz w:val="24"/>
        </w:rPr>
        <w:t>（五）执行的相关标准</w:t>
      </w:r>
    </w:p>
    <w:p w14:paraId="03B0C2F4">
      <w:pPr>
        <w:spacing w:line="360" w:lineRule="auto"/>
        <w:ind w:firstLine="480"/>
        <w:rPr>
          <w:rFonts w:hint="eastAsia" w:ascii="宋体" w:hAnsi="宋体" w:cs="宋体"/>
          <w:kern w:val="0"/>
          <w:sz w:val="24"/>
        </w:rPr>
      </w:pPr>
      <w:r>
        <w:rPr>
          <w:rFonts w:hint="eastAsia" w:ascii="宋体" w:hAnsi="宋体" w:cs="宋体"/>
          <w:kern w:val="0"/>
          <w:sz w:val="24"/>
        </w:rPr>
        <w:t>无</w:t>
      </w:r>
    </w:p>
    <w:p w14:paraId="63C4B31E">
      <w:pPr>
        <w:autoSpaceDE w:val="0"/>
        <w:autoSpaceDN w:val="0"/>
        <w:adjustRightInd w:val="0"/>
        <w:spacing w:line="360" w:lineRule="auto"/>
        <w:ind w:firstLine="241" w:firstLineChars="100"/>
        <w:rPr>
          <w:rFonts w:hint="eastAsia" w:ascii="宋体" w:hAnsi="宋体" w:cs="宋体"/>
          <w:b/>
          <w:sz w:val="24"/>
        </w:rPr>
      </w:pPr>
      <w:r>
        <w:rPr>
          <w:rFonts w:hint="eastAsia" w:ascii="宋体" w:hAnsi="宋体" w:cs="宋体"/>
          <w:b/>
          <w:sz w:val="24"/>
        </w:rPr>
        <w:t>六、验收标准</w:t>
      </w:r>
    </w:p>
    <w:p w14:paraId="730909C3">
      <w:pPr>
        <w:pStyle w:val="9"/>
        <w:spacing w:before="156" w:beforeLines="50" w:line="360" w:lineRule="auto"/>
        <w:ind w:firstLine="480" w:firstLineChars="200"/>
        <w:rPr>
          <w:rFonts w:hint="eastAsia" w:hAnsi="宋体" w:cs="宋体"/>
          <w:szCs w:val="24"/>
        </w:rPr>
      </w:pPr>
      <w:r>
        <w:rPr>
          <w:rFonts w:hint="eastAsia" w:hAnsi="宋体" w:cs="宋体"/>
          <w:szCs w:val="24"/>
        </w:rPr>
        <w:t>1. 仪器设备运抵安装现场后，买方将与卖方共同开箱验收，如卖方届时不派人参加，则验收结果应以买方的验收报告为最终验收结果。验收时发现短缺、破损, 买方有权要求卖方负责更换。</w:t>
      </w:r>
    </w:p>
    <w:p w14:paraId="122E3374">
      <w:pPr>
        <w:spacing w:line="360" w:lineRule="auto"/>
        <w:ind w:firstLine="484" w:firstLineChars="202"/>
        <w:rPr>
          <w:rFonts w:hint="eastAsia" w:ascii="宋体" w:hAnsi="宋体" w:cs="宋体"/>
          <w:sz w:val="24"/>
        </w:rPr>
      </w:pPr>
      <w:r>
        <w:rPr>
          <w:rFonts w:hint="eastAsia" w:ascii="宋体" w:hAnsi="宋体" w:cs="宋体"/>
          <w:sz w:val="24"/>
        </w:rPr>
        <w:t>2. 验收标准以中标人提供的投标文件中所列的指标为准。任何虚假指标响应一经发现，卖方必须承担由此给买方带来的一切经济损失和其它相关责任。</w:t>
      </w:r>
    </w:p>
    <w:p w14:paraId="658C9097">
      <w:pPr>
        <w:spacing w:line="360" w:lineRule="auto"/>
        <w:ind w:firstLine="480"/>
        <w:rPr>
          <w:rFonts w:hint="eastAsia" w:ascii="宋体" w:hAnsi="宋体" w:cs="宋体"/>
          <w:sz w:val="24"/>
        </w:rPr>
      </w:pPr>
      <w:r>
        <w:rPr>
          <w:rFonts w:hint="eastAsia" w:ascii="宋体" w:hAnsi="宋体" w:cs="宋体"/>
          <w:sz w:val="24"/>
        </w:rPr>
        <w:t>3. 验收由采购人、中标人及相关人员依国家有关标准、合同及有关附件要求进行，验收完毕由采购人及中标人在验收报告上签名。</w:t>
      </w:r>
    </w:p>
    <w:p w14:paraId="4084B625">
      <w:pPr>
        <w:widowControl/>
        <w:spacing w:line="360" w:lineRule="auto"/>
        <w:ind w:left="554" w:hanging="554" w:hangingChars="231"/>
        <w:rPr>
          <w:rFonts w:hint="eastAsia" w:ascii="宋体" w:hAnsi="宋体" w:cs="宋体"/>
          <w:sz w:val="24"/>
        </w:rPr>
      </w:pPr>
    </w:p>
    <w:p w14:paraId="735C93D9">
      <w:bookmarkStart w:id="2" w:name="_GoBack"/>
      <w:bookmarkEnd w:id="2"/>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FangSong_GB2312">
    <w:altName w:val="仿宋"/>
    <w:panose1 w:val="02010609060101010101"/>
    <w:charset w:val="86"/>
    <w:family w:val="modern"/>
    <w:pitch w:val="default"/>
    <w:sig w:usb0="00000000" w:usb1="00000000" w:usb2="00000010" w:usb3="00000000" w:csb0="00040001" w:csb1="00000000"/>
  </w:font>
  <w:font w:name="Bookman Old Style">
    <w:altName w:val="Segoe Print"/>
    <w:panose1 w:val="020506040505050202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E2460">
    <w:pPr>
      <w:pStyle w:val="4"/>
      <w:jc w:val="center"/>
    </w:pPr>
    <w:r>
      <w:fldChar w:fldCharType="begin"/>
    </w:r>
    <w:r>
      <w:instrText xml:space="preserve">PAGE   \* MERGEFORMAT</w:instrText>
    </w:r>
    <w:r>
      <w:fldChar w:fldCharType="separate"/>
    </w:r>
    <w:r>
      <w:rPr>
        <w:lang w:val="zh-CN"/>
      </w:rPr>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69AE7">
    <w:pPr>
      <w:pStyle w:val="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3778">
    <w:pPr>
      <w:pStyle w:val="5"/>
      <w:jc w:val="both"/>
    </w:pPr>
    <w:r>
      <w:rPr>
        <w:rFonts w:hint="eastAsia"/>
        <w:i/>
      </w:rPr>
      <w:t>中国科学院大学-资环学院-单纳米形态元素分析电感耦合串接质谱仪设备采购项目招标文件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62DC5B96"/>
    <w:multiLevelType w:val="multilevel"/>
    <w:tmpl w:val="62DC5B96"/>
    <w:lvl w:ilvl="0" w:tentative="0">
      <w:start w:val="3"/>
      <w:numFmt w:val="decimal"/>
      <w:lvlText w:val="%1"/>
      <w:lvlJc w:val="left"/>
      <w:pPr>
        <w:ind w:left="600" w:hanging="600"/>
      </w:pPr>
      <w:rPr>
        <w:rFonts w:hint="default"/>
      </w:rPr>
    </w:lvl>
    <w:lvl w:ilvl="1" w:tentative="0">
      <w:start w:val="13"/>
      <w:numFmt w:val="decimal"/>
      <w:lvlText w:val="%1.%2"/>
      <w:lvlJc w:val="left"/>
      <w:pPr>
        <w:ind w:left="600" w:hanging="60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
    <w:nsid w:val="63464861"/>
    <w:multiLevelType w:val="multilevel"/>
    <w:tmpl w:val="63464861"/>
    <w:lvl w:ilvl="0" w:tentative="0">
      <w:start w:val="3"/>
      <w:numFmt w:val="decimal"/>
      <w:lvlText w:val="%1"/>
      <w:lvlJc w:val="left"/>
      <w:pPr>
        <w:ind w:left="420" w:hanging="420"/>
      </w:pPr>
      <w:rPr>
        <w:rFonts w:hint="default"/>
      </w:rPr>
    </w:lvl>
    <w:lvl w:ilvl="1" w:tentative="0">
      <w:start w:val="15"/>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4">
    <w:nsid w:val="689E3969"/>
    <w:multiLevelType w:val="multilevel"/>
    <w:tmpl w:val="689E3969"/>
    <w:lvl w:ilvl="0" w:tentative="0">
      <w:start w:val="4"/>
      <w:numFmt w:val="decimal"/>
      <w:lvlText w:val="%1"/>
      <w:lvlJc w:val="left"/>
      <w:pPr>
        <w:ind w:left="420" w:hanging="420"/>
      </w:pPr>
      <w:rPr>
        <w:rFonts w:hint="default"/>
      </w:rPr>
    </w:lvl>
    <w:lvl w:ilvl="1" w:tentative="0">
      <w:start w:val="12"/>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5">
    <w:nsid w:val="68F84946"/>
    <w:multiLevelType w:val="multilevel"/>
    <w:tmpl w:val="68F84946"/>
    <w:lvl w:ilvl="0" w:tentative="0">
      <w:start w:val="1"/>
      <w:numFmt w:val="decimal"/>
      <w:lvlText w:val="%1）"/>
      <w:lvlJc w:val="left"/>
      <w:pPr>
        <w:tabs>
          <w:tab w:val="left" w:pos="1896"/>
        </w:tabs>
        <w:ind w:left="1896" w:hanging="396"/>
      </w:pPr>
      <w:rPr>
        <w:rFonts w:hint="eastAsia" w:eastAsia="FangSong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78E4260C"/>
    <w:multiLevelType w:val="multilevel"/>
    <w:tmpl w:val="78E4260C"/>
    <w:lvl w:ilvl="0" w:tentative="0">
      <w:start w:val="4"/>
      <w:numFmt w:val="decimal"/>
      <w:lvlText w:val="%1"/>
      <w:lvlJc w:val="left"/>
      <w:pPr>
        <w:ind w:left="360" w:hanging="360"/>
      </w:pPr>
      <w:rPr>
        <w:rFonts w:hint="default"/>
      </w:rPr>
    </w:lvl>
    <w:lvl w:ilvl="1" w:tentative="0">
      <w:start w:val="7"/>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num w:numId="1">
    <w:abstractNumId w:val="5"/>
  </w:num>
  <w:num w:numId="2">
    <w:abstractNumId w:val="0"/>
  </w:num>
  <w:num w:numId="3">
    <w:abstractNumId w:val="1"/>
  </w:num>
  <w:num w:numId="4">
    <w:abstractNumId w:val="2"/>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M3Y2RiMjQwNDdiNWFjOTU3OGNlN2JlOGI1NTJhZjcifQ=="/>
  </w:docVars>
  <w:rsids>
    <w:rsidRoot w:val="2BEB7612"/>
    <w:rsid w:val="2BEB76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tabs>
        <w:tab w:val="left" w:pos="567"/>
      </w:tabs>
      <w:spacing w:before="120" w:line="22" w:lineRule="atLeast"/>
    </w:pPr>
    <w:rPr>
      <w:rFonts w:ascii="宋体" w:hAnsi="宋体"/>
      <w:sz w:val="24"/>
    </w:rPr>
  </w:style>
  <w:style w:type="paragraph" w:styleId="3">
    <w:name w:val="Plain Text"/>
    <w:basedOn w:val="1"/>
    <w:qFormat/>
    <w:uiPriority w:val="0"/>
    <w:rPr>
      <w:rFonts w:ascii="宋体" w:hAnsi="Courier New"/>
      <w:szCs w:val="20"/>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9">
    <w:name w:val="Plain Text1"/>
    <w:basedOn w:val="1"/>
    <w:qFormat/>
    <w:uiPriority w:val="99"/>
    <w:pPr>
      <w:adjustRightInd w:val="0"/>
      <w:jc w:val="left"/>
    </w:pPr>
    <w:rPr>
      <w:rFonts w:ascii="宋体" w:hAnsi="Courier New"/>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2024-11-09T11:27:00Z</dcterms:created>
  <dc:creator>东方招标 李媛</dc:creator>
  <cp:lastModifiedBy>东方招标 李媛</cp:lastModifiedBy>
  <dcterms:modified xsi:type="dcterms:W3CDTF">2024-11-09T11:27:19Z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8E9B0AAC89A845B3B1BF6F82D1B3807D_11</vt:lpwstr>
  </property>
</Properties>
</file>