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440601-2026-01911</w:t>
      </w:r>
    </w:p>
    <w:p>
      <w:pPr>
        <w:pStyle w:val="null3"/>
        <w:jc w:val="center"/>
        <w:outlineLvl w:val="3"/>
      </w:pPr>
      <w:r>
        <w:rPr>
          <w:sz w:val="24"/>
          <w:b/>
        </w:rPr>
        <w:t>采购项目编号：</w:t>
      </w:r>
      <w:r>
        <w:rPr>
          <w:sz w:val="24"/>
          <w:b/>
        </w:rPr>
        <w:t>GDJAFS2026014G</w:t>
      </w:r>
    </w:p>
    <w:p>
      <w:pPr>
        <w:pStyle w:val="null3"/>
        <w:jc w:val="center"/>
        <w:outlineLvl w:val="3"/>
      </w:pPr>
      <w:r>
        <w:rPr>
          <w:sz w:val="24"/>
          <w:b/>
        </w:rPr>
        <w:t>项目名称：</w:t>
      </w:r>
      <w:r>
        <w:rPr>
          <w:sz w:val="24"/>
          <w:b/>
        </w:rPr>
        <w:t>2026年佛山市职业教育匠才选拔评价项目</w:t>
      </w:r>
    </w:p>
    <w:p>
      <w:pPr>
        <w:pStyle w:val="null3"/>
        <w:jc w:val="center"/>
        <w:outlineLvl w:val="3"/>
      </w:pPr>
      <w:r>
        <w:rPr>
          <w:sz w:val="24"/>
          <w:b/>
        </w:rPr>
        <w:t>采购人：</w:t>
      </w:r>
      <w:r>
        <w:rPr>
          <w:sz w:val="24"/>
          <w:b/>
        </w:rPr>
        <w:t>佛山市教育局</w:t>
      </w:r>
    </w:p>
    <w:p>
      <w:pPr>
        <w:pStyle w:val="null3"/>
        <w:jc w:val="center"/>
        <w:outlineLvl w:val="3"/>
      </w:pPr>
      <w:r>
        <w:rPr>
          <w:sz w:val="24"/>
          <w:b/>
        </w:rPr>
        <w:t>采购代理机构：</w:t>
      </w:r>
      <w:r>
        <w:rPr>
          <w:sz w:val="24"/>
          <w:b/>
        </w:rPr>
        <w:t>广东计安招标采购有限公司佛山分公司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广东计安招标采购有限公司佛山分公司</w:t>
      </w:r>
      <w:r>
        <w:rPr/>
        <w:t>受</w:t>
      </w:r>
      <w:r>
        <w:rPr/>
        <w:t>佛山市教育局</w:t>
      </w:r>
      <w:r>
        <w:rPr/>
        <w:t>的委托，采用</w:t>
      </w:r>
      <w:r>
        <w:rPr/>
        <w:t>公开招标</w:t>
      </w:r>
      <w:r>
        <w:rPr/>
        <w:t>方式组织采购</w:t>
      </w:r>
      <w:r>
        <w:rPr/>
        <w:t>2026年佛山市职业教育匠才选拔评价项目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2026年佛山市职业教育匠才选拔评价项目</w:t>
      </w:r>
    </w:p>
    <w:p>
      <w:pPr>
        <w:pStyle w:val="null3"/>
        <w:ind w:firstLine="480"/>
      </w:pPr>
      <w:r>
        <w:rPr/>
        <w:t>采购计划编号：</w:t>
      </w:r>
      <w:r>
        <w:rPr/>
        <w:t>440601-2026-01911</w:t>
      </w:r>
    </w:p>
    <w:p>
      <w:pPr>
        <w:pStyle w:val="null3"/>
        <w:ind w:firstLine="480"/>
      </w:pPr>
      <w:r>
        <w:rPr/>
        <w:t>采购项目编号：</w:t>
      </w:r>
      <w:r>
        <w:rPr/>
        <w:t>GDJAFS2026014G</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采购包1(2026年佛山市职业教育匠才选拔评价项目):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2026年佛山市职业教育匠才选拔评价项目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合同履行期限：自合同签订时间起至2027年6月底前完成本项目全部工作。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以下证明材料之一：①提供《政府采购供应商资格信用承诺函》（承诺函格式见采购公告附件）；②提供投标文件提交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证明材料之一：①提供《政府采购供应商资格信用承诺函》（承诺函格式见采购公告附件）；②提供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③基本开户行出具的资信证明（要求：提供投标文件提交截止之日前6个月内（含投标文件提交截止时间当月）任意一个月出具的资信证明。资信证明不能体现基本开户账户的，应另附开户许可证（无开户许可证的，可提供由银行开具的《基本存款账户信息》（公户账户主档）或其他相关证明资料）；④政府采购专业担保机构出具的响应担保函。</w:t>
      </w:r>
    </w:p>
    <w:p>
      <w:pPr>
        <w:pStyle w:val="null3"/>
      </w:pPr>
      <w:r>
        <w:rPr/>
        <w:t>4）履行合同所必需的设备和专业技术能力：按投标（响应）文件格式填报设备及专业技术能力情况，或提供具备履行合同所必需的设备和专业技术能力的承诺函（格式自拟）。</w:t>
      </w:r>
    </w:p>
    <w:p>
      <w:pPr>
        <w:pStyle w:val="null3"/>
      </w:pPr>
      <w:r>
        <w:rPr/>
        <w:t>5）参加采购活动前3年内，在经营活动中没有重大违法记录：提供以下两种证明材料之一即可：①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②按要求填写招标公告附件《政府采购供应商资格信用承诺函》。</w:t>
      </w:r>
    </w:p>
    <w:p>
      <w:pPr>
        <w:pStyle w:val="null3"/>
        <w:outlineLvl w:val="3"/>
      </w:pPr>
      <w:r>
        <w:rPr>
          <w:sz w:val="24"/>
          <w:b/>
        </w:rPr>
        <w:t>2.落实政府采购政策需满足的资格要求：</w:t>
      </w:r>
    </w:p>
    <w:p>
      <w:pPr>
        <w:pStyle w:val="null3"/>
        <w:jc w:val="left"/>
      </w:pPr>
      <w:r>
        <w:rPr/>
        <w:t>采购包1（2026年佛山市职业教育匠才选拔评价项目）：</w:t>
      </w:r>
      <w:r>
        <w:rPr/>
        <w:t>本项目要求预留合同总额的40%以上面向中小企业，预留份额通过以下措施进行，投标人可选择以下其中一种方式参与：1）投标人不属于中小企业的，投标人须以联合体形式参与投标,中小微企业承担的比例不得低于合同金额的40%。组成联合体的中小微企业与联合体内的其他企业不得存在直接控股、管理关系。提交《联合体共同投标协议书》，同时提交《中小企业声明函》。2)投标人以非联合体形式参加投标的，则投标人须为中小微企业,提交《中小企业声明函》。（注：参加投标的中小微企业须符合本项目采购标的对应行业(本项目行业为：租赁和商务服务业）的政策划分标准。监狱企业、残疾人福利单位视同小型、微型企业。)</w:t>
      </w:r>
    </w:p>
    <w:p>
      <w:pPr>
        <w:pStyle w:val="null3"/>
        <w:outlineLvl w:val="3"/>
      </w:pPr>
      <w:r>
        <w:rPr>
          <w:sz w:val="24"/>
          <w:b/>
        </w:rPr>
        <w:t>3.本项目特定的资格要求：</w:t>
      </w:r>
    </w:p>
    <w:p>
      <w:pPr>
        <w:pStyle w:val="null3"/>
      </w:pPr>
      <w:r>
        <w:rPr/>
        <w:t>采购包1（2026年佛山市职业教育匠才选拔评价项目）：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联合体投标的，对所有联合体成员进行信用记录查询，联合体成员存在不良信用记录的，视同联合体存在不良信用记录。</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接受联合体投标。1）如是联合体投标的，组成联合体的成员数量不超过2家（已含牵头单位及成员单位），联合体须在投标文件中提供联合体共同投标协议书，协议书中应明确各方的权利、义务和投标金额的各自占比；2）联合体各方签订联合体共同投标协议书后，不得再以自己名义单独投标或加入其他联合体在同一项目中进行投标，如有违反，其投标和与此有关的联合体的投标将被拒绝；3）联合体如获得中标资格，联合体各方应当共同与采购人签订合同，为履行合同向采购人承担连带责任。联合体牵头方应被授权作为联合体各方的代表，向采购人承担责任和接受指令，并负责整个合同的全面履行。</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佛山市教育局</w:t>
      </w:r>
    </w:p>
    <w:p>
      <w:pPr>
        <w:pStyle w:val="null3"/>
        <w:ind w:firstLine="480"/>
      </w:pPr>
      <w:r>
        <w:rPr/>
        <w:t xml:space="preserve"> 地址：</w:t>
      </w:r>
      <w:r>
        <w:rPr/>
        <w:t>佛山市顺德区乐从镇岭南大道2号D栋7楼</w:t>
      </w:r>
    </w:p>
    <w:p>
      <w:pPr>
        <w:pStyle w:val="null3"/>
        <w:ind w:firstLine="480"/>
      </w:pPr>
      <w:r>
        <w:rPr/>
        <w:t xml:space="preserve"> 联系方式：</w:t>
      </w:r>
      <w:r>
        <w:rPr/>
        <w:t>0757-83205013</w:t>
      </w:r>
    </w:p>
    <w:p>
      <w:pPr>
        <w:pStyle w:val="null3"/>
        <w:outlineLvl w:val="3"/>
      </w:pPr>
      <w:r>
        <w:rPr>
          <w:sz w:val="24"/>
          <w:b/>
        </w:rPr>
        <w:t xml:space="preserve"> 2.采购代理机构信息</w:t>
      </w:r>
    </w:p>
    <w:p>
      <w:pPr>
        <w:pStyle w:val="null3"/>
        <w:ind w:firstLine="480"/>
      </w:pPr>
      <w:r>
        <w:rPr/>
        <w:t xml:space="preserve"> 名称：</w:t>
      </w:r>
      <w:r>
        <w:rPr/>
        <w:t>广东计安招标采购有限公司佛山分公司</w:t>
      </w:r>
    </w:p>
    <w:p>
      <w:pPr>
        <w:pStyle w:val="null3"/>
        <w:ind w:firstLine="480"/>
      </w:pPr>
      <w:r>
        <w:rPr/>
        <w:t xml:space="preserve"> 地址：</w:t>
      </w:r>
      <w:r>
        <w:rPr/>
        <w:t>佛山市禅城区澜石（国际）金属交易中心第9座二层25、26、27号</w:t>
      </w:r>
    </w:p>
    <w:p>
      <w:pPr>
        <w:pStyle w:val="null3"/>
        <w:ind w:firstLine="480"/>
      </w:pPr>
      <w:r>
        <w:rPr/>
        <w:t xml:space="preserve"> 联系方式：</w:t>
      </w:r>
      <w:r>
        <w:rPr/>
        <w:t>0757-82615983</w:t>
      </w:r>
    </w:p>
    <w:p>
      <w:pPr>
        <w:pStyle w:val="null3"/>
        <w:outlineLvl w:val="3"/>
      </w:pPr>
      <w:r>
        <w:rPr>
          <w:sz w:val="24"/>
          <w:b/>
        </w:rPr>
        <w:t xml:space="preserve"> 3.项目联系方式</w:t>
      </w:r>
    </w:p>
    <w:p>
      <w:pPr>
        <w:pStyle w:val="null3"/>
        <w:ind w:firstLine="480"/>
      </w:pPr>
      <w:r>
        <w:rPr/>
        <w:t xml:space="preserve"> 项目联系人：</w:t>
      </w:r>
      <w:r>
        <w:rPr/>
        <w:t>刘工</w:t>
      </w:r>
    </w:p>
    <w:p>
      <w:pPr>
        <w:pStyle w:val="null3"/>
        <w:ind w:firstLine="480"/>
      </w:pPr>
      <w:r>
        <w:rPr/>
        <w:t xml:space="preserve"> 电话：</w:t>
      </w:r>
      <w:r>
        <w:rPr/>
        <w:t>0757-82615983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广东计安招标采购有限公司佛山分公司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子项目一：</w:t>
      </w:r>
      <w:r>
        <w:rPr>
          <w:sz w:val="24"/>
          <w:b/>
        </w:rPr>
        <w:t>2026年佛山市中等职业学校教学质量监测</w:t>
      </w:r>
    </w:p>
    <w:p>
      <w:pPr>
        <w:pStyle w:val="null3"/>
        <w:jc w:val="both"/>
      </w:pPr>
      <w:r>
        <w:rPr>
          <w:sz w:val="24"/>
        </w:rPr>
        <w:t>（一）项目背景</w:t>
      </w:r>
    </w:p>
    <w:p>
      <w:pPr>
        <w:pStyle w:val="null3"/>
        <w:ind w:firstLine="480"/>
        <w:jc w:val="both"/>
      </w:pPr>
      <w:r>
        <w:rPr>
          <w:sz w:val="24"/>
        </w:rPr>
        <w:t>为进一步深化佛山市创建现代职业教育综合改革示范市成果，提升职业教育培养的人才与市场需求间的匹配度、吻合度、契合度，全面提高人才培养质量，推动我市职业教育专业建设与产业发展需求精准对接，建立紧密对接产业链、创新链的专业体系。</w:t>
      </w:r>
      <w:r>
        <w:rPr>
          <w:sz w:val="24"/>
        </w:rPr>
        <w:t>根据《佛山市推进现代化教育强市建设三年行动计划（</w:t>
      </w:r>
      <w:r>
        <w:rPr>
          <w:sz w:val="24"/>
        </w:rPr>
        <w:t>2025—2027年）》（佛委教育组〔2025〕4号）有关精神，</w:t>
      </w:r>
      <w:r>
        <w:rPr>
          <w:sz w:val="24"/>
        </w:rPr>
        <w:t>拟</w:t>
      </w:r>
      <w:r>
        <w:rPr>
          <w:sz w:val="24"/>
        </w:rPr>
        <w:t>对</w:t>
      </w:r>
      <w:r>
        <w:rPr>
          <w:sz w:val="24"/>
        </w:rPr>
        <w:t>佛山市中等职业学校</w:t>
      </w:r>
      <w:r>
        <w:rPr>
          <w:sz w:val="24"/>
        </w:rPr>
        <w:t>开展教学质量监测工作，其中对</w:t>
      </w:r>
      <w:r>
        <w:rPr>
          <w:sz w:val="24"/>
        </w:rPr>
        <w:t>2024级学生开展文化基础考核，对2025级毕业生会计事务</w:t>
      </w:r>
      <w:r>
        <w:rPr>
          <w:sz w:val="24"/>
        </w:rPr>
        <w:t>等</w:t>
      </w:r>
      <w:r>
        <w:rPr>
          <w:sz w:val="24"/>
        </w:rPr>
        <w:t>3</w:t>
      </w:r>
      <w:r>
        <w:rPr>
          <w:sz w:val="24"/>
        </w:rPr>
        <w:t>个专业开展</w:t>
      </w:r>
      <w:r>
        <w:rPr>
          <w:sz w:val="24"/>
        </w:rPr>
        <w:t>专业能力</w:t>
      </w:r>
      <w:r>
        <w:rPr>
          <w:sz w:val="24"/>
        </w:rPr>
        <w:t>第三方</w:t>
      </w:r>
      <w:r>
        <w:rPr>
          <w:sz w:val="24"/>
        </w:rPr>
        <w:t>考核</w:t>
      </w:r>
      <w:r>
        <w:rPr>
          <w:sz w:val="24"/>
        </w:rPr>
        <w:t>（以下简称</w:t>
      </w:r>
      <w:r>
        <w:rPr>
          <w:sz w:val="24"/>
        </w:rPr>
        <w:t>“第三方</w:t>
      </w:r>
      <w:r>
        <w:rPr>
          <w:sz w:val="24"/>
        </w:rPr>
        <w:t>考核</w:t>
      </w:r>
      <w:r>
        <w:rPr>
          <w:sz w:val="24"/>
        </w:rPr>
        <w:t>”）。</w:t>
      </w:r>
    </w:p>
    <w:p>
      <w:pPr>
        <w:pStyle w:val="null3"/>
        <w:jc w:val="both"/>
      </w:pPr>
      <w:r>
        <w:rPr>
          <w:sz w:val="24"/>
        </w:rPr>
        <w:t>（二）指导思想</w:t>
      </w:r>
    </w:p>
    <w:p>
      <w:pPr>
        <w:pStyle w:val="null3"/>
        <w:ind w:firstLine="480"/>
        <w:jc w:val="both"/>
      </w:pPr>
      <w:r>
        <w:rPr>
          <w:sz w:val="24"/>
        </w:rPr>
        <w:t>以《国家职业教育改革实施方案》《关于推动现代职业教育高质量发展的意见》和《深化新时代教育评价改革总体方案》的精神为指导，坚持立德树人根本任务，以服务发展为宗旨，以促进毕业生高质量就业为导向，适应我市产业升级、技术进步以及社会转型的需要，探索现代职业教育体制机制创新，统筹发挥好政府和市场的作用，加快现代职业教育体系建设，培养高素质劳动者和技术技能人才。</w:t>
      </w:r>
    </w:p>
    <w:p>
      <w:pPr>
        <w:pStyle w:val="null3"/>
        <w:jc w:val="both"/>
      </w:pPr>
      <w:r>
        <w:rPr>
          <w:sz w:val="24"/>
        </w:rPr>
        <w:t>（三）目的意义</w:t>
      </w:r>
    </w:p>
    <w:p>
      <w:pPr>
        <w:pStyle w:val="null3"/>
        <w:ind w:firstLine="480"/>
        <w:jc w:val="both"/>
      </w:pPr>
      <w:r>
        <w:rPr>
          <w:sz w:val="24"/>
        </w:rPr>
        <w:t>1.通过实施</w:t>
      </w:r>
      <w:r>
        <w:rPr>
          <w:sz w:val="24"/>
        </w:rPr>
        <w:t>教学质量监测</w:t>
      </w:r>
      <w:r>
        <w:rPr>
          <w:sz w:val="24"/>
        </w:rPr>
        <w:t>，构建文化基础考核与专业技能考核并行的双轨评</w:t>
      </w:r>
      <w:r>
        <w:rPr>
          <w:sz w:val="24"/>
        </w:rPr>
        <w:t>价体系，既保障学生夯实文化基础，又强化岗位核心技能培养，形成</w:t>
      </w:r>
      <w:r>
        <w:rPr>
          <w:sz w:val="24"/>
        </w:rPr>
        <w:t>“升学有基础、就业有能力”的人才培养新格局。</w:t>
      </w:r>
    </w:p>
    <w:p>
      <w:pPr>
        <w:pStyle w:val="null3"/>
        <w:ind w:firstLine="480"/>
        <w:jc w:val="both"/>
      </w:pPr>
      <w:r>
        <w:rPr>
          <w:sz w:val="24"/>
        </w:rPr>
        <w:t>2.通过</w:t>
      </w:r>
      <w:r>
        <w:rPr>
          <w:sz w:val="24"/>
        </w:rPr>
        <w:t>建立科学</w:t>
      </w:r>
      <w:r>
        <w:rPr>
          <w:sz w:val="24"/>
        </w:rPr>
        <w:t>考核评价机制，检验职业教育人才培养状态，建立专业设置动态调整机制，避免盲目建设、重复建设，形成专业与产业分布形态相适应的合理布局。</w:t>
      </w:r>
    </w:p>
    <w:p>
      <w:pPr>
        <w:pStyle w:val="null3"/>
        <w:ind w:firstLine="480"/>
        <w:jc w:val="both"/>
      </w:pPr>
      <w:r>
        <w:rPr>
          <w:sz w:val="24"/>
        </w:rPr>
        <w:t>3.促使职业学校客观认识人才培养结果，并以此自加压力，不断发现问题、分析问题，促进教师、教法、教材“三教”改革，适应新技术、新模式、新业态发展实际。进一步深化内涵建设，提升人才培养规格，更好地服务于区域经济转型升级。</w:t>
      </w:r>
    </w:p>
    <w:p>
      <w:pPr>
        <w:pStyle w:val="null3"/>
        <w:jc w:val="both"/>
      </w:pPr>
      <w:r>
        <w:rPr>
          <w:sz w:val="24"/>
          <w:b/>
        </w:rPr>
        <w:t>子项目二：</w:t>
      </w:r>
      <w:r>
        <w:rPr>
          <w:sz w:val="24"/>
          <w:b/>
        </w:rPr>
        <w:t>2026年佛山市中等职业学校技能大赛</w:t>
      </w:r>
    </w:p>
    <w:p>
      <w:pPr>
        <w:pStyle w:val="null3"/>
        <w:ind w:firstLine="480"/>
        <w:jc w:val="both"/>
      </w:pPr>
      <w:r>
        <w:rPr>
          <w:sz w:val="24"/>
        </w:rPr>
        <w:t>为贯彻落实《国家职业教育改革实施方案》《关于推动现代职业教育高质量发展的意见》精神，积极响应国家</w:t>
      </w:r>
      <w:r>
        <w:rPr>
          <w:sz w:val="24"/>
        </w:rPr>
        <w:t>“坚持工学结合、知行合一、德技并修，坚持培育和弘扬工匠精神”的号召，进一步深化我市创建现代职业教育综合改革示范市成果，根据《教育部关于印发202</w:t>
      </w:r>
      <w:r>
        <w:rPr>
          <w:sz w:val="24"/>
        </w:rPr>
        <w:t>6</w:t>
      </w:r>
      <w:r>
        <w:rPr>
          <w:sz w:val="24"/>
        </w:rPr>
        <w:t>年世界职业院校技能大赛实施方案的通知》及《广东省教育厅关于举办</w:t>
      </w:r>
      <w:r>
        <w:rPr>
          <w:sz w:val="24"/>
        </w:rPr>
        <w:t>2025-2026学年省职业院校学生专业技能大赛的通知》，拟举办202</w:t>
      </w:r>
      <w:r>
        <w:rPr>
          <w:sz w:val="24"/>
        </w:rPr>
        <w:t>6</w:t>
      </w:r>
      <w:r>
        <w:rPr>
          <w:sz w:val="24"/>
        </w:rPr>
        <w:t>年全市</w:t>
      </w:r>
      <w:r>
        <w:rPr>
          <w:sz w:val="24"/>
        </w:rPr>
        <w:t>中等职业学校</w:t>
      </w:r>
      <w:r>
        <w:rPr>
          <w:sz w:val="24"/>
        </w:rPr>
        <w:t>技能大赛，进一步发挥以赛促教促学的引领作用。</w:t>
      </w:r>
    </w:p>
    <w:p>
      <w:pPr>
        <w:pStyle w:val="null3"/>
        <w:ind w:firstLine="480"/>
        <w:jc w:val="both"/>
      </w:pPr>
      <w:r>
        <w:rPr>
          <w:sz w:val="24"/>
          <w:b/>
          <w:color w:val="000000"/>
        </w:rPr>
        <w:t>（一）指导思想</w:t>
      </w:r>
    </w:p>
    <w:p>
      <w:pPr>
        <w:pStyle w:val="null3"/>
        <w:ind w:firstLine="480"/>
        <w:jc w:val="both"/>
      </w:pPr>
      <w:r>
        <w:rPr>
          <w:sz w:val="24"/>
          <w:color w:val="000000"/>
        </w:rPr>
        <w:t>为贯彻党的二十大精神以及《中华人民共和国职业教育法》《关于深化现代职业教育体系建设改革的意见》等有关文件精神，坚持职业教育与普通教育不同类型、同等重要的战略定位，坚持</w:t>
      </w:r>
      <w:r>
        <w:rPr>
          <w:sz w:val="24"/>
          <w:color w:val="000000"/>
        </w:rPr>
        <w:t>“以赛促教、以赛促学，以赛促改、以赛促建”的总体思路和公开、公平和公正原则，强调四个“引导”、突出四个“促进”，促进学生综合职业能力全面提升，推动我市职业教育事业高质量发展。</w:t>
      </w:r>
    </w:p>
    <w:p>
      <w:pPr>
        <w:pStyle w:val="null3"/>
        <w:ind w:firstLine="480"/>
        <w:jc w:val="both"/>
      </w:pPr>
      <w:r>
        <w:rPr>
          <w:sz w:val="24"/>
          <w:b/>
          <w:color w:val="000000"/>
        </w:rPr>
        <w:t>（二）目的意义</w:t>
      </w:r>
    </w:p>
    <w:p>
      <w:pPr>
        <w:pStyle w:val="null3"/>
        <w:ind w:firstLine="480"/>
        <w:jc w:val="both"/>
      </w:pPr>
      <w:r>
        <w:rPr>
          <w:sz w:val="24"/>
        </w:rPr>
        <w:t>（</w:t>
      </w:r>
      <w:r>
        <w:rPr>
          <w:sz w:val="24"/>
        </w:rPr>
        <w:t>1</w:t>
      </w:r>
      <w:r>
        <w:rPr>
          <w:sz w:val="24"/>
        </w:rPr>
        <w:t>）助力高素质技能人才队伍建设</w:t>
      </w:r>
    </w:p>
    <w:p>
      <w:pPr>
        <w:pStyle w:val="null3"/>
        <w:ind w:firstLine="480"/>
        <w:jc w:val="both"/>
      </w:pPr>
      <w:r>
        <w:rPr>
          <w:sz w:val="24"/>
        </w:rPr>
        <w:t>职业技能竞赛是加强技能人才培养、改革技能人才评价选拔方式、激励技能人才职业发展的重要内容和有效手段。通过这些高水平职业竞赛比拼</w:t>
      </w:r>
      <w:r>
        <w:rPr>
          <w:sz w:val="24"/>
        </w:rPr>
        <w:t>，</w:t>
      </w:r>
      <w:r>
        <w:rPr>
          <w:sz w:val="24"/>
        </w:rPr>
        <w:t>可以间接带动企业、院校的技术练兵比武活动，起到以赛代训、以赛促训的效果，有利于全面提高劳动者素质</w:t>
      </w:r>
      <w:r>
        <w:rPr>
          <w:sz w:val="24"/>
        </w:rPr>
        <w:t>，</w:t>
      </w:r>
      <w:r>
        <w:rPr>
          <w:sz w:val="24"/>
        </w:rPr>
        <w:t>为经济结构转型升级和高质量发展提供技能人才支撑。</w:t>
      </w:r>
    </w:p>
    <w:p>
      <w:pPr>
        <w:pStyle w:val="null3"/>
        <w:ind w:firstLine="480"/>
        <w:jc w:val="both"/>
      </w:pPr>
      <w:r>
        <w:rPr>
          <w:sz w:val="24"/>
        </w:rPr>
        <w:t>（</w:t>
      </w:r>
      <w:r>
        <w:rPr>
          <w:sz w:val="24"/>
        </w:rPr>
        <w:t>2</w:t>
      </w:r>
      <w:r>
        <w:rPr>
          <w:sz w:val="24"/>
        </w:rPr>
        <w:t>）促进就业和弘扬工匠精神</w:t>
      </w:r>
    </w:p>
    <w:p>
      <w:pPr>
        <w:pStyle w:val="null3"/>
        <w:ind w:firstLine="480"/>
        <w:jc w:val="both"/>
      </w:pPr>
      <w:r>
        <w:rPr>
          <w:sz w:val="24"/>
        </w:rPr>
        <w:t>举办技能大赛可以激励和带动更多劳动者关注技能、学习技能、投身技能</w:t>
      </w:r>
      <w:r>
        <w:rPr>
          <w:sz w:val="24"/>
        </w:rPr>
        <w:t>，</w:t>
      </w:r>
      <w:r>
        <w:rPr>
          <w:sz w:val="24"/>
        </w:rPr>
        <w:t>走技能就业、技能成才之路</w:t>
      </w:r>
      <w:r>
        <w:rPr>
          <w:sz w:val="24"/>
        </w:rPr>
        <w:t>，</w:t>
      </w:r>
      <w:r>
        <w:rPr>
          <w:sz w:val="24"/>
        </w:rPr>
        <w:t>推动在全社会弘扬精益求精的工匠精神</w:t>
      </w:r>
      <w:r>
        <w:rPr>
          <w:sz w:val="24"/>
        </w:rPr>
        <w:t>，</w:t>
      </w:r>
      <w:r>
        <w:rPr>
          <w:sz w:val="24"/>
        </w:rPr>
        <w:t>形成劳动光荣、技能宝贵、创造伟大的时代风尚</w:t>
      </w:r>
      <w:r>
        <w:rPr>
          <w:sz w:val="24"/>
        </w:rPr>
        <w:t>，</w:t>
      </w:r>
      <w:r>
        <w:rPr>
          <w:sz w:val="24"/>
        </w:rPr>
        <w:t>为实现</w:t>
      </w:r>
      <w:r>
        <w:rPr>
          <w:sz w:val="24"/>
        </w:rPr>
        <w:t>“六稳”、“六保”</w:t>
      </w:r>
      <w:r>
        <w:rPr>
          <w:sz w:val="24"/>
        </w:rPr>
        <w:t>目标、缓解就业压力和结构性矛盾、</w:t>
      </w:r>
      <w:r>
        <w:rPr>
          <w:sz w:val="24"/>
        </w:rPr>
        <w:t>巩固拓展脱贫攻坚成果作出贡献</w:t>
      </w:r>
      <w:r>
        <w:rPr>
          <w:sz w:val="24"/>
        </w:rPr>
        <w:t>。</w:t>
      </w:r>
    </w:p>
    <w:p>
      <w:pPr>
        <w:pStyle w:val="null3"/>
        <w:ind w:firstLine="480"/>
        <w:jc w:val="both"/>
      </w:pPr>
      <w:r>
        <w:rPr>
          <w:sz w:val="24"/>
        </w:rPr>
        <w:t>（</w:t>
      </w:r>
      <w:r>
        <w:rPr>
          <w:sz w:val="24"/>
        </w:rPr>
        <w:t>3</w:t>
      </w:r>
      <w:r>
        <w:rPr>
          <w:sz w:val="24"/>
        </w:rPr>
        <w:t>）提高学生技术技能水平</w:t>
      </w:r>
    </w:p>
    <w:p>
      <w:pPr>
        <w:pStyle w:val="null3"/>
        <w:ind w:firstLine="480"/>
        <w:jc w:val="both"/>
      </w:pPr>
      <w:r>
        <w:rPr>
          <w:sz w:val="24"/>
        </w:rPr>
        <w:t>技能大赛以产教结合为导向，在企业与学校之间建立桥梁，引导各职业院校将技能大赛融入日常技能教学，提高学生技能训练的针对性，在促进学生提高技能操作水平的同时，也增强了学生的岗位适应能力。</w:t>
      </w:r>
    </w:p>
    <w:p>
      <w:pPr>
        <w:pStyle w:val="null3"/>
      </w:pPr>
      <w:r>
        <w:rPr/>
        <w:t>采购包1（2026年佛山市职业教育匠才选拔评价项目）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自合同签订时间起至2027年6月底前完成本项目全部工作。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1期：支付比例60%,合同生效后，采购人自收到中标人提供的相应金额发票后30日内支付合同总额的60%；</w:t>
            </w:r>
          </w:p>
          <w:p>
            <w:pPr>
              <w:pStyle w:val="null3"/>
            </w:pPr>
            <w:r>
              <w:rPr/>
              <w:t>2期：支付比例40%,2027年6月前，中标人提供服务达到总体目标和服务要求后，采购人自收到中标人提供的相应金额发票后30日内支付合同总额的40%。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验收依次序对照执行标准：1）符合中华人民共和国国家和履约地相关安全质量标准、行业技术规范标准；符合招标文件和投标承诺中各方共同认可的合理要求；通过有关主管部门的审查及政府批复。上述各类标准与法规必须是有关官方机构最新发布的现行标准版本。2）验收要求：采购人在收到中标人项目验收建议之日起7个工作日内按照合同的约定对履约情况进行验收（验收地方：佛山市）。中标人需为验收提供必需的一切条件及相关费用，并提供本项目的相关文档和验收所需资料，积极配合采购人完成验收工作。 2、其他验收要求：验收人员：包括：①采购人，②相关的专业人员或机构（如有），③中标人等，具体参与人员以采购人最终确认为准。中标人应于验收后向采购人提供验收报告、技术文档的归纳、整理，并提供完整的技术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采购项目预算金额</w:t>
            </w:r>
          </w:p>
        </w:tc>
        <w:tc>
          <w:tcPr>
            <w:tcW w:type="dxa" w:w="2076"/>
          </w:tcPr>
          <w:p>
            <w:pPr>
              <w:pStyle w:val="null3"/>
              <w:jc w:val="left"/>
            </w:pPr>
            <w:r>
              <w:rPr/>
              <w:t>本项目采购项目预算金额（最高报价上限价）：3,000,000.00元；（子项目一：2026年佛山市中等职业学校教学质量监测最高报价上限价100万元；子项目二：2026年佛山市中等职业学校技能大赛最高报价上限价200万元。）注：投标报价若超过项目采购项目预算金额（最高报价上限价），其报价将视为无效。</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1、报价方式为本项目目的地包干价。 2、投标总价指投标人为完成本项目所收取的全部费用。 3、投标总价包含但不限于以下费用：专家劳务费、命题费、在职员工及学生测试耗材购置费、员工抽测补贴、证书制作费、项目税费、代缴专家劳务税费、管理费、招标代理服务费及合同实施过程中的不可预见费用等完成合同规定责任和义务、达到合同目的的一切费用及企业利润。 4、投标人须考虑本项目在实施期间的一切可能产生的费用。在项目实施过程中，如项目工作范围发生变更，由中标人和采购人双方协商解决；其余情况下，投标总价均不予调整，采购人将不再另行支付与本项目相关的任何费用（另有约定的除外）。</w:t>
            </w:r>
          </w:p>
        </w:tc>
      </w:tr>
      <w:tr>
        <w:tc>
          <w:tcPr>
            <w:tcW w:type="dxa" w:w="2076"/>
          </w:tcPr>
          <w:p/>
        </w:tc>
        <w:tc>
          <w:tcPr>
            <w:tcW w:type="dxa" w:w="2076"/>
          </w:tcPr>
          <w:p>
            <w:pPr>
              <w:pStyle w:val="null3"/>
              <w:jc w:val="center"/>
            </w:pPr>
            <w:r>
              <w:rPr/>
              <w:t>3</w:t>
            </w:r>
          </w:p>
        </w:tc>
        <w:tc>
          <w:tcPr>
            <w:tcW w:type="dxa" w:w="2076"/>
          </w:tcPr>
          <w:p>
            <w:pPr>
              <w:pStyle w:val="null3"/>
              <w:jc w:val="left"/>
            </w:pPr>
            <w:r>
              <w:rPr/>
              <w:t>付款要求</w:t>
            </w:r>
          </w:p>
        </w:tc>
        <w:tc>
          <w:tcPr>
            <w:tcW w:type="dxa" w:w="2076"/>
          </w:tcPr>
          <w:p>
            <w:pPr>
              <w:pStyle w:val="null3"/>
              <w:jc w:val="left"/>
            </w:pPr>
            <w:r>
              <w:rPr/>
              <w:t>1、每笔款项支付前，中标人须向采购人提供依法纳税的服务费发票，否则采购人有权延迟付款，而不承担任何责任。 2、服务费以转账方式转入中标人的银行账户。 3、收款方、出具发票方、合同乙方均必须与中标人名称一致。 4、中标人应理解政府部门付款的相关程序，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2076"/>
          </w:tcPr>
          <w:p/>
        </w:tc>
        <w:tc>
          <w:tcPr>
            <w:tcW w:type="dxa" w:w="2076"/>
          </w:tcPr>
          <w:p>
            <w:pPr>
              <w:pStyle w:val="null3"/>
              <w:jc w:val="center"/>
            </w:pPr>
            <w:r>
              <w:rPr/>
              <w:t>4</w:t>
            </w:r>
          </w:p>
        </w:tc>
        <w:tc>
          <w:tcPr>
            <w:tcW w:type="dxa" w:w="2076"/>
          </w:tcPr>
          <w:p>
            <w:pPr>
              <w:pStyle w:val="null3"/>
              <w:jc w:val="left"/>
            </w:pPr>
            <w:r>
              <w:rPr/>
              <w:t>人员管理</w:t>
            </w:r>
          </w:p>
        </w:tc>
        <w:tc>
          <w:tcPr>
            <w:tcW w:type="dxa" w:w="2076"/>
          </w:tcPr>
          <w:p>
            <w:pPr>
              <w:pStyle w:val="null3"/>
              <w:jc w:val="left"/>
            </w:pPr>
            <w:r>
              <w:rPr/>
              <w:t>1、中标人在其投标文件中承诺提供的项目组人员必须按要求投入到本项目中，在合同期内不得擅自更换。中标人如因工作安排或其他原因，需要更换项目组人员时，应事前向采购人提出申请，未经采购人同意，不得变更人员。 2、如中标人未经采购人同意擅自更换项目组人员，除须按采购人的要求对人员作出调整外，还须交纳违约金5000元。累计达4次后，采购人有权终止合同，由此引致的经济损失，中标人须全额赔偿，采购人保留追究中标人相关责任的权利。 3、采购人有权以书面形式要求中标人更换不能按规定履行合同的人员。 4、即使是采购人要求或同意更换的人员，其代替人员的资质仍应得到采购人的认可，且其资历和经验均不低于被更换人员。由此而产生的费用由中标人承担。 5、中标人对其雇员的人身安全负全部责任。</w:t>
            </w:r>
          </w:p>
        </w:tc>
      </w:tr>
      <w:tr>
        <w:tc>
          <w:tcPr>
            <w:tcW w:type="dxa" w:w="2076"/>
          </w:tcPr>
          <w:p/>
        </w:tc>
        <w:tc>
          <w:tcPr>
            <w:tcW w:type="dxa" w:w="2076"/>
          </w:tcPr>
          <w:p>
            <w:pPr>
              <w:pStyle w:val="null3"/>
              <w:jc w:val="center"/>
            </w:pPr>
            <w:r>
              <w:rPr/>
              <w:t>5</w:t>
            </w:r>
          </w:p>
        </w:tc>
        <w:tc>
          <w:tcPr>
            <w:tcW w:type="dxa" w:w="2076"/>
          </w:tcPr>
          <w:p>
            <w:pPr>
              <w:pStyle w:val="null3"/>
              <w:jc w:val="left"/>
            </w:pPr>
            <w:r>
              <w:rPr/>
              <w:t>驻场要求</w:t>
            </w:r>
          </w:p>
        </w:tc>
        <w:tc>
          <w:tcPr>
            <w:tcW w:type="dxa" w:w="2076"/>
          </w:tcPr>
          <w:p>
            <w:pPr>
              <w:pStyle w:val="null3"/>
              <w:jc w:val="left"/>
            </w:pPr>
            <w:r>
              <w:rPr/>
              <w:t>合同期内，中标人须安排两名或以上相关工作人员到采购人指定地点办公(办公地点由采购人统一安排，涉及驻点人员的食宿安排由中标人负责)，根据采购人的安排，与中标人做好第三方评价考核和职业技能竞赛两项工作的协调工作。</w:t>
            </w:r>
          </w:p>
        </w:tc>
      </w:tr>
      <w:tr>
        <w:tc>
          <w:tcPr>
            <w:tcW w:type="dxa" w:w="2076"/>
          </w:tcPr>
          <w:p/>
        </w:tc>
        <w:tc>
          <w:tcPr>
            <w:tcW w:type="dxa" w:w="2076"/>
          </w:tcPr>
          <w:p>
            <w:pPr>
              <w:pStyle w:val="null3"/>
              <w:jc w:val="center"/>
            </w:pPr>
            <w:r>
              <w:rPr/>
              <w:t>6</w:t>
            </w:r>
          </w:p>
        </w:tc>
        <w:tc>
          <w:tcPr>
            <w:tcW w:type="dxa" w:w="2076"/>
          </w:tcPr>
          <w:p>
            <w:pPr>
              <w:pStyle w:val="null3"/>
              <w:jc w:val="left"/>
            </w:pPr>
            <w:r>
              <w:rPr/>
              <w:t>保密规定</w:t>
            </w:r>
          </w:p>
        </w:tc>
        <w:tc>
          <w:tcPr>
            <w:tcW w:type="dxa" w:w="2076"/>
          </w:tcPr>
          <w:p>
            <w:pPr>
              <w:pStyle w:val="null3"/>
              <w:jc w:val="left"/>
            </w:pPr>
            <w:r>
              <w:rPr/>
              <w:t>中标人在项目实施过程中，对采购人所提供的所有相关资料、数据，未经采购人书面同意不得向任何第三人泄露，且保密责任不因合同的终止或解除而失效。如采购人提出要求，中标人须无条件与采购人签定保密协议。项目完成后，中标人须把采购人提供的所有资料、数据完整归还采购人，并不得留存任何复制品。</w:t>
            </w:r>
          </w:p>
        </w:tc>
      </w:tr>
      <w:tr>
        <w:tc>
          <w:tcPr>
            <w:tcW w:type="dxa" w:w="2076"/>
          </w:tcPr>
          <w:p/>
        </w:tc>
        <w:tc>
          <w:tcPr>
            <w:tcW w:type="dxa" w:w="2076"/>
          </w:tcPr>
          <w:p>
            <w:pPr>
              <w:pStyle w:val="null3"/>
              <w:jc w:val="center"/>
            </w:pPr>
            <w:r>
              <w:rPr/>
              <w:t>7</w:t>
            </w:r>
          </w:p>
        </w:tc>
        <w:tc>
          <w:tcPr>
            <w:tcW w:type="dxa" w:w="2076"/>
          </w:tcPr>
          <w:p>
            <w:pPr>
              <w:pStyle w:val="null3"/>
              <w:jc w:val="left"/>
            </w:pPr>
            <w:r>
              <w:rPr/>
              <w:t>知识产权归属</w:t>
            </w:r>
          </w:p>
        </w:tc>
        <w:tc>
          <w:tcPr>
            <w:tcW w:type="dxa" w:w="2076"/>
          </w:tcPr>
          <w:p>
            <w:pPr>
              <w:pStyle w:val="null3"/>
              <w:jc w:val="left"/>
            </w:pPr>
            <w:r>
              <w:rPr/>
              <w:t>中标人应保证本项目的投标技术、服务或其任何一部分不会产生因第三方提出侵犯其专利权、商标权或其他知识产权而引起的法律和经济纠纷；如因第三方提出其专利权、商标权或其他知识产权的侵权之诉，则中标人承担一切法律责任，并赔偿由此给采购人造成的相应损失。</w:t>
            </w:r>
          </w:p>
        </w:tc>
      </w:tr>
      <w:tr>
        <w:tc>
          <w:tcPr>
            <w:tcW w:type="dxa" w:w="2076"/>
          </w:tcPr>
          <w:p/>
        </w:tc>
        <w:tc>
          <w:tcPr>
            <w:tcW w:type="dxa" w:w="2076"/>
          </w:tcPr>
          <w:p>
            <w:pPr>
              <w:pStyle w:val="null3"/>
              <w:jc w:val="center"/>
            </w:pPr>
            <w:r>
              <w:rPr/>
              <w:t>8</w:t>
            </w:r>
          </w:p>
        </w:tc>
        <w:tc>
          <w:tcPr>
            <w:tcW w:type="dxa" w:w="2076"/>
          </w:tcPr>
          <w:p>
            <w:pPr>
              <w:pStyle w:val="null3"/>
              <w:jc w:val="left"/>
            </w:pPr>
            <w:r>
              <w:rPr/>
              <w:t>服务响应及后续服务</w:t>
            </w:r>
          </w:p>
        </w:tc>
        <w:tc>
          <w:tcPr>
            <w:tcW w:type="dxa" w:w="2076"/>
          </w:tcPr>
          <w:p>
            <w:pPr>
              <w:pStyle w:val="null3"/>
              <w:jc w:val="left"/>
            </w:pPr>
            <w:r>
              <w:rPr/>
              <w:t>1、服务时间内，中标人须提供常设每周7天×24小时服务专线技术支持。 2、对采购人的服务通知，中标人必须符合以下要求：（1）在接报后1小时内响应；（2）2小时内到达现场；（3）4小时内处理完毕。</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成果的归属：1)本项目的所有成果所有权归所有采购人所有。取得的知识产权归中标人，但采购人具有无条件使用权。2)采购人引用中标人的工作成果所完成的新的技术成果，属于采购人所有，采购人可依法享有就该项技术成果取得的精神权利、经济权利和其他权利。3)无论发生何种情形（包括但不限于合同提前终止或解除），采购人均有权利用中标人的阶段性工作成果，并且采购人引用中标人的阶段性工作成果所完成的新的技术成果，属于采购人所有，采购人可依法享有就该项技术成果取得的精神权利、经济权利和其他权利。 2、中标人提交的成果有下列情形之一的，采购人将有权终止合同：1）提交的成果不符合本项目规定或成果内容严重偏离采购人下达的任务要求的。2）提交的成果图纸和文字辨认不清，内容不全或粗制滥造的。3）未经采购人同意，逾期提交编制成果的。4）编制成果不能通过法定程序审批的。5）中标人未经采购人同意，擅自修改编制成果。6）中标人未经采购人同意，随意调整本项目组的主要成员和项目负责人。7）中标人未经采购人同意，擅自邀请协编单位，或将项目分包或转包的。 3、项目实施过程中的具体要求，按合同签订条款执行。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2026年佛山市职业教育匠才选拔评价项目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2026年佛山市职业教育匠才选拔评价项目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子项目一：</w:t>
            </w:r>
            <w:r>
              <w:rPr>
                <w:sz w:val="24"/>
                <w:b/>
              </w:rPr>
              <w:t>2026年佛山市中等职业学校教学质量监测</w:t>
            </w:r>
          </w:p>
          <w:p>
            <w:pPr>
              <w:pStyle w:val="null3"/>
            </w:pPr>
            <w:r>
              <w:rPr>
                <w:sz w:val="24"/>
              </w:rPr>
              <w:t>一</w:t>
            </w:r>
            <w:r>
              <w:rPr>
                <w:sz w:val="24"/>
              </w:rPr>
              <w:t>、考核评价</w:t>
            </w:r>
            <w:r>
              <w:rPr>
                <w:sz w:val="24"/>
              </w:rPr>
              <w:t>对象</w:t>
            </w:r>
            <w:r>
              <w:rPr>
                <w:sz w:val="24"/>
              </w:rPr>
              <w:t>及形式</w:t>
            </w:r>
          </w:p>
          <w:p>
            <w:pPr>
              <w:pStyle w:val="null3"/>
            </w:pPr>
            <w:r>
              <w:rPr>
                <w:sz w:val="24"/>
              </w:rPr>
              <w:t>（一）工作原则</w:t>
            </w:r>
          </w:p>
          <w:p>
            <w:pPr>
              <w:pStyle w:val="null3"/>
              <w:ind w:firstLine="480"/>
            </w:pPr>
            <w:r>
              <w:rPr>
                <w:sz w:val="24"/>
              </w:rPr>
              <w:t>按照</w:t>
            </w:r>
            <w:r>
              <w:rPr>
                <w:sz w:val="24"/>
              </w:rPr>
              <w:t>“政府委托、行业主导、学校配合、市场认可、公正公开、有效监督”的原则推进</w:t>
            </w:r>
            <w:r>
              <w:rPr>
                <w:sz w:val="24"/>
              </w:rPr>
              <w:t>教学质量监测</w:t>
            </w:r>
            <w:r>
              <w:rPr>
                <w:sz w:val="24"/>
              </w:rPr>
              <w:t>工作。</w:t>
            </w:r>
          </w:p>
          <w:p>
            <w:pPr>
              <w:pStyle w:val="null3"/>
            </w:pPr>
            <w:r>
              <w:rPr>
                <w:sz w:val="24"/>
              </w:rPr>
              <w:t>（</w:t>
            </w:r>
            <w:r>
              <w:rPr>
                <w:sz w:val="24"/>
              </w:rPr>
              <w:t>二</w:t>
            </w:r>
            <w:r>
              <w:rPr>
                <w:sz w:val="24"/>
              </w:rPr>
              <w:t>）考核评价对象</w:t>
            </w:r>
          </w:p>
          <w:p>
            <w:pPr>
              <w:pStyle w:val="null3"/>
            </w:pPr>
            <w:r>
              <w:rPr>
                <w:sz w:val="24"/>
              </w:rPr>
              <w:t>1、文化基础考核：参加2027年春季高考的佛山市中等职业学校三年级（2024级）学生，采取自愿报名、免费参加的形式，预计8800人参加。</w:t>
            </w:r>
          </w:p>
          <w:p>
            <w:pPr>
              <w:pStyle w:val="null3"/>
            </w:pPr>
            <w:r>
              <w:rPr>
                <w:sz w:val="24"/>
              </w:rPr>
              <w:t>2、专业能力考核：佛山市</w:t>
            </w:r>
            <w:r>
              <w:rPr>
                <w:sz w:val="24"/>
              </w:rPr>
              <w:t>中等职业学校</w:t>
            </w:r>
            <w:r>
              <w:rPr>
                <w:sz w:val="24"/>
              </w:rPr>
              <w:t>会计事务</w:t>
            </w:r>
            <w:r>
              <w:rPr>
                <w:sz w:val="24"/>
              </w:rPr>
              <w:t>、模具制造技术</w:t>
            </w:r>
            <w:r>
              <w:rPr>
                <w:sz w:val="24"/>
              </w:rPr>
              <w:t>、</w:t>
            </w:r>
            <w:r>
              <w:rPr>
                <w:sz w:val="24"/>
              </w:rPr>
              <w:t>汽车运用与维修（</w:t>
            </w:r>
            <w:r>
              <w:rPr>
                <w:sz w:val="24"/>
              </w:rPr>
              <w:t>含</w:t>
            </w:r>
            <w:r>
              <w:rPr>
                <w:sz w:val="24"/>
              </w:rPr>
              <w:t>新能源汽车运用与维修）等</w:t>
            </w:r>
            <w:r>
              <w:rPr>
                <w:sz w:val="24"/>
              </w:rPr>
              <w:t>3</w:t>
            </w:r>
            <w:r>
              <w:rPr>
                <w:sz w:val="24"/>
              </w:rPr>
              <w:t>个专业（群）</w:t>
            </w:r>
            <w:r>
              <w:rPr>
                <w:sz w:val="24"/>
              </w:rPr>
              <w:t>2025级学生</w:t>
            </w:r>
            <w:r>
              <w:rPr>
                <w:sz w:val="24"/>
              </w:rPr>
              <w:t>，考核人数</w:t>
            </w:r>
            <w:r>
              <w:rPr>
                <w:sz w:val="24"/>
              </w:rPr>
              <w:t>不低于</w:t>
            </w:r>
            <w:r>
              <w:rPr>
                <w:sz w:val="24"/>
              </w:rPr>
              <w:t>专业毕业生人数的</w:t>
            </w:r>
            <w:r>
              <w:rPr>
                <w:sz w:val="24"/>
              </w:rPr>
              <w:t>20</w:t>
            </w:r>
            <w:r>
              <w:rPr>
                <w:sz w:val="24"/>
              </w:rPr>
              <w:t>%，且每个专业考核人数不少于10人。具体参与考核学生名单从学籍系统随机抽取，拟抽取考核学生数为</w:t>
            </w:r>
            <w:r>
              <w:rPr>
                <w:sz w:val="24"/>
              </w:rPr>
              <w:t>625</w:t>
            </w:r>
            <w:r>
              <w:rPr>
                <w:sz w:val="24"/>
              </w:rPr>
              <w:t>人。</w:t>
            </w:r>
          </w:p>
          <w:p>
            <w:pPr>
              <w:pStyle w:val="null3"/>
            </w:pPr>
            <w:r>
              <w:rPr>
                <w:sz w:val="24"/>
              </w:rPr>
              <w:t>（</w:t>
            </w:r>
            <w:r>
              <w:rPr>
                <w:sz w:val="24"/>
              </w:rPr>
              <w:t>三</w:t>
            </w:r>
            <w:r>
              <w:rPr>
                <w:sz w:val="24"/>
              </w:rPr>
              <w:t>）</w:t>
            </w:r>
            <w:r>
              <w:rPr>
                <w:sz w:val="24"/>
              </w:rPr>
              <w:t>考核评价时间</w:t>
            </w:r>
          </w:p>
          <w:p>
            <w:pPr>
              <w:pStyle w:val="null3"/>
            </w:pPr>
            <w:r>
              <w:rPr>
                <w:sz w:val="24"/>
              </w:rPr>
              <w:t>文化基础</w:t>
            </w:r>
            <w:r>
              <w:rPr>
                <w:sz w:val="24"/>
              </w:rPr>
              <w:t>考核评价时间为</w:t>
            </w:r>
            <w:r>
              <w:rPr>
                <w:sz w:val="24"/>
              </w:rPr>
              <w:t>2026年11月，</w:t>
            </w:r>
            <w:r>
              <w:rPr>
                <w:sz w:val="24"/>
              </w:rPr>
              <w:t>专业</w:t>
            </w:r>
            <w:r>
              <w:rPr>
                <w:sz w:val="24"/>
              </w:rPr>
              <w:t>能力考核评价时间为</w:t>
            </w:r>
            <w:r>
              <w:rPr>
                <w:sz w:val="24"/>
              </w:rPr>
              <w:t>2027年5月。</w:t>
            </w:r>
          </w:p>
          <w:p>
            <w:pPr>
              <w:pStyle w:val="null3"/>
            </w:pPr>
            <w:r>
              <w:rPr>
                <w:sz w:val="24"/>
              </w:rPr>
              <w:t>（四）考核评价形式</w:t>
            </w:r>
          </w:p>
          <w:p>
            <w:pPr>
              <w:pStyle w:val="null3"/>
            </w:pPr>
            <w:r>
              <w:rPr>
                <w:sz w:val="24"/>
              </w:rPr>
              <w:t>1</w:t>
            </w:r>
            <w:r>
              <w:rPr>
                <w:sz w:val="24"/>
              </w:rPr>
              <w:t>、</w:t>
            </w:r>
            <w:r>
              <w:rPr>
                <w:sz w:val="24"/>
              </w:rPr>
              <w:t>组织形式：</w:t>
            </w:r>
            <w:r>
              <w:rPr>
                <w:sz w:val="24"/>
              </w:rPr>
              <w:t>中标人</w:t>
            </w:r>
            <w:r>
              <w:rPr>
                <w:sz w:val="24"/>
              </w:rPr>
              <w:t>统筹实施</w:t>
            </w:r>
            <w:r>
              <w:rPr>
                <w:sz w:val="24"/>
              </w:rPr>
              <w:t>202</w:t>
            </w:r>
            <w:r>
              <w:rPr>
                <w:sz w:val="24"/>
              </w:rPr>
              <w:t>6</w:t>
            </w:r>
            <w:r>
              <w:rPr>
                <w:sz w:val="24"/>
              </w:rPr>
              <w:t>年</w:t>
            </w:r>
            <w:r>
              <w:rPr>
                <w:sz w:val="24"/>
              </w:rPr>
              <w:t>中等职业学校教学质量监测</w:t>
            </w:r>
            <w:r>
              <w:rPr>
                <w:sz w:val="24"/>
              </w:rPr>
              <w:t>工作。</w:t>
            </w:r>
          </w:p>
          <w:p>
            <w:pPr>
              <w:pStyle w:val="null3"/>
            </w:pPr>
            <w:r>
              <w:rPr>
                <w:sz w:val="24"/>
              </w:rPr>
              <w:t>2</w:t>
            </w:r>
            <w:r>
              <w:rPr>
                <w:sz w:val="24"/>
              </w:rPr>
              <w:t>、</w:t>
            </w:r>
            <w:r>
              <w:rPr>
                <w:sz w:val="24"/>
              </w:rPr>
              <w:t>考核方式：</w:t>
            </w:r>
            <w:r>
              <w:rPr>
                <w:sz w:val="24"/>
              </w:rPr>
              <w:t>①文化基础考核：</w:t>
            </w:r>
            <w:r>
              <w:rPr>
                <w:sz w:val="24"/>
              </w:rPr>
              <w:t>采取自愿参加的原则，由全市统一命题、统一评阅卷</w:t>
            </w:r>
            <w:r>
              <w:rPr>
                <w:sz w:val="24"/>
              </w:rPr>
              <w:t>，</w:t>
            </w:r>
            <w:r>
              <w:rPr>
                <w:sz w:val="24"/>
              </w:rPr>
              <w:t>考核内容根据《中等职业学校公共基础课课程标准》相关学科规定的全部内容，结合考试说明进行命卷；</w:t>
            </w:r>
            <w:r>
              <w:rPr>
                <w:sz w:val="24"/>
              </w:rPr>
              <w:t>②专业能力考核：</w:t>
            </w:r>
            <w:r>
              <w:rPr>
                <w:sz w:val="24"/>
              </w:rPr>
              <w:t>针对专业特点，提炼实际工作岗位中员工必备的知识、技能和素养，聘请行业企业技术、管理、经营等方面的专家对中职学校学生职业能力与就业能力进行终结性评价认定。</w:t>
            </w:r>
          </w:p>
          <w:p>
            <w:pPr>
              <w:pStyle w:val="null3"/>
            </w:pPr>
            <w:r>
              <w:rPr>
                <w:sz w:val="24"/>
              </w:rPr>
              <w:t>3</w:t>
            </w:r>
            <w:r>
              <w:rPr>
                <w:sz w:val="24"/>
              </w:rPr>
              <w:t>、</w:t>
            </w:r>
            <w:r>
              <w:rPr>
                <w:sz w:val="24"/>
              </w:rPr>
              <w:t>考核内容：</w:t>
            </w:r>
            <w:r>
              <w:rPr>
                <w:sz w:val="24"/>
              </w:rPr>
              <w:t>文化基础考核考试科目包括</w:t>
            </w:r>
            <w:r>
              <w:rPr>
                <w:sz w:val="24"/>
              </w:rPr>
              <w:t>语文、数学、英语</w:t>
            </w:r>
            <w:r>
              <w:rPr>
                <w:sz w:val="24"/>
              </w:rPr>
              <w:t>；</w:t>
            </w:r>
            <w:r>
              <w:rPr>
                <w:sz w:val="24"/>
              </w:rPr>
              <w:t>专业能力考核</w:t>
            </w:r>
            <w:r>
              <w:rPr>
                <w:sz w:val="24"/>
              </w:rPr>
              <w:t>由行业协会、企业组织专家以企业实际工作岗位上的实际工作任务命题，参照企业生产经营的产品或服务产出标准，结合专业教学实际评价学生的综合能力，包括但不限于理论知识、操作技能、职业素养三个部分。</w:t>
            </w:r>
          </w:p>
          <w:p>
            <w:pPr>
              <w:pStyle w:val="null3"/>
            </w:pPr>
            <w:r>
              <w:rPr>
                <w:sz w:val="24"/>
              </w:rPr>
              <w:t>（五）中标人</w:t>
            </w:r>
            <w:r>
              <w:rPr>
                <w:sz w:val="24"/>
              </w:rPr>
              <w:t>工作内容如下</w:t>
            </w:r>
            <w:r>
              <w:rPr>
                <w:sz w:val="24"/>
              </w:rPr>
              <w:t>：</w:t>
            </w:r>
          </w:p>
          <w:p>
            <w:pPr>
              <w:pStyle w:val="null3"/>
            </w:pPr>
            <w:r>
              <w:rPr>
                <w:sz w:val="24"/>
              </w:rPr>
              <w:t>1</w:t>
            </w:r>
            <w:r>
              <w:rPr>
                <w:sz w:val="24"/>
              </w:rPr>
              <w:t>、</w:t>
            </w:r>
            <w:r>
              <w:rPr>
                <w:sz w:val="24"/>
              </w:rPr>
              <w:t>全面负责学生文化基础和专业能力第三方考核评价的规划、筹备、实施等各项工作。</w:t>
            </w:r>
          </w:p>
          <w:p>
            <w:pPr>
              <w:pStyle w:val="null3"/>
            </w:pPr>
            <w:r>
              <w:rPr>
                <w:sz w:val="24"/>
              </w:rPr>
              <w:t>2</w:t>
            </w:r>
            <w:r>
              <w:rPr>
                <w:sz w:val="24"/>
              </w:rPr>
              <w:t>、</w:t>
            </w:r>
            <w:r>
              <w:rPr>
                <w:sz w:val="24"/>
              </w:rPr>
              <w:t>负责制定考核评价专家遴选制度</w:t>
            </w:r>
            <w:r>
              <w:rPr>
                <w:sz w:val="24"/>
              </w:rPr>
              <w:t>(范围、标准、退出机制等)，组建专家库。</w:t>
            </w:r>
          </w:p>
          <w:p>
            <w:pPr>
              <w:pStyle w:val="null3"/>
            </w:pPr>
            <w:r>
              <w:rPr>
                <w:sz w:val="24"/>
              </w:rPr>
              <w:t>3</w:t>
            </w:r>
            <w:r>
              <w:rPr>
                <w:sz w:val="24"/>
              </w:rPr>
              <w:t>、</w:t>
            </w:r>
            <w:r>
              <w:rPr>
                <w:sz w:val="24"/>
              </w:rPr>
              <w:t>根据佛山市第三方考核评价要求，负责制定第三方考核评价实施方案。</w:t>
            </w:r>
          </w:p>
          <w:p>
            <w:pPr>
              <w:pStyle w:val="null3"/>
            </w:pPr>
            <w:r>
              <w:rPr>
                <w:sz w:val="24"/>
              </w:rPr>
              <w:t>4</w:t>
            </w:r>
            <w:r>
              <w:rPr>
                <w:sz w:val="24"/>
              </w:rPr>
              <w:t>、</w:t>
            </w:r>
            <w:r>
              <w:rPr>
                <w:sz w:val="24"/>
              </w:rPr>
              <w:t>负责文化基础和专业能力样题命制、编制样题答案、样题审核，进行样题测试结果分析。</w:t>
            </w:r>
          </w:p>
          <w:p>
            <w:pPr>
              <w:pStyle w:val="null3"/>
            </w:pPr>
            <w:r>
              <w:rPr>
                <w:sz w:val="24"/>
              </w:rPr>
              <w:t>5</w:t>
            </w:r>
            <w:r>
              <w:rPr>
                <w:sz w:val="24"/>
              </w:rPr>
              <w:t>、</w:t>
            </w:r>
            <w:r>
              <w:rPr>
                <w:sz w:val="24"/>
              </w:rPr>
              <w:t>负责组织文化基础和专业能力考试实施工作，包括试题印刷</w:t>
            </w:r>
            <w:r>
              <w:rPr>
                <w:sz w:val="24"/>
              </w:rPr>
              <w:t>(确保试卷保密性)，考场落实，考试组织，考试监督，阅卷改卷等。</w:t>
            </w:r>
          </w:p>
          <w:p>
            <w:pPr>
              <w:pStyle w:val="null3"/>
            </w:pPr>
            <w:r>
              <w:rPr>
                <w:sz w:val="24"/>
              </w:rPr>
              <w:t>6</w:t>
            </w:r>
            <w:r>
              <w:rPr>
                <w:sz w:val="24"/>
              </w:rPr>
              <w:t>、</w:t>
            </w:r>
            <w:r>
              <w:rPr>
                <w:sz w:val="24"/>
              </w:rPr>
              <w:t>负责对本次考核评价工作进行全面系统总结，形成文化基础考核评价报告和专业能力第三方考核评价报告。</w:t>
            </w:r>
          </w:p>
          <w:p>
            <w:pPr>
              <w:pStyle w:val="null3"/>
            </w:pPr>
            <w:r>
              <w:rPr>
                <w:sz w:val="24"/>
              </w:rPr>
              <w:t>7</w:t>
            </w:r>
            <w:r>
              <w:rPr>
                <w:sz w:val="24"/>
              </w:rPr>
              <w:t>、</w:t>
            </w:r>
            <w:r>
              <w:rPr>
                <w:sz w:val="24"/>
              </w:rPr>
              <w:t>承担以上各项服务的相关费用。</w:t>
            </w:r>
          </w:p>
          <w:p>
            <w:pPr>
              <w:pStyle w:val="null3"/>
            </w:pPr>
            <w:r>
              <w:rPr>
                <w:sz w:val="24"/>
              </w:rPr>
              <w:t>二</w:t>
            </w:r>
            <w:r>
              <w:rPr>
                <w:sz w:val="24"/>
              </w:rPr>
              <w:t>、预算</w:t>
            </w:r>
            <w:r>
              <w:rPr>
                <w:sz w:val="24"/>
              </w:rPr>
              <w:t>计算依据</w:t>
            </w:r>
          </w:p>
          <w:p>
            <w:pPr>
              <w:pStyle w:val="null3"/>
            </w:pPr>
            <w:r>
              <w:rPr>
                <w:sz w:val="24"/>
              </w:rPr>
              <w:t>（一）文</w:t>
            </w:r>
            <w:r>
              <w:rPr>
                <w:sz w:val="24"/>
              </w:rPr>
              <w:t>化基础</w:t>
            </w:r>
            <w:r>
              <w:rPr>
                <w:sz w:val="24"/>
              </w:rPr>
              <w:t>考核</w:t>
            </w:r>
          </w:p>
          <w:p>
            <w:pPr>
              <w:pStyle w:val="null3"/>
              <w:ind w:firstLine="480"/>
            </w:pPr>
            <w:r>
              <w:rPr>
                <w:sz w:val="24"/>
              </w:rPr>
              <w:t>参照广东省发展改革委</w:t>
            </w:r>
            <w:r>
              <w:rPr>
                <w:sz w:val="24"/>
              </w:rPr>
              <w:t>广东省财政厅《关于规范全省教育部门教育考试行政事业性收费及有关问题的通知》</w:t>
            </w:r>
            <w:r>
              <w:rPr>
                <w:sz w:val="24"/>
              </w:rPr>
              <w:t>（</w:t>
            </w:r>
            <w:r>
              <w:rPr>
                <w:sz w:val="24"/>
              </w:rPr>
              <w:t>粤发改价格〔</w:t>
            </w:r>
            <w:r>
              <w:rPr>
                <w:sz w:val="24"/>
              </w:rPr>
              <w:t>2022〕442号</w:t>
            </w:r>
            <w:r>
              <w:rPr>
                <w:sz w:val="24"/>
              </w:rPr>
              <w:t>）有关规定</w:t>
            </w:r>
            <w:r>
              <w:rPr>
                <w:sz w:val="24"/>
              </w:rPr>
              <w:t>，按</w:t>
            </w:r>
            <w:r>
              <w:rPr>
                <w:sz w:val="24"/>
              </w:rPr>
              <w:t>“普通高等学校招收中等职业学校毕业生统一考试（含中高职贯通三二分段招生考试）</w:t>
            </w:r>
            <w:r>
              <w:rPr>
                <w:sz w:val="24"/>
              </w:rPr>
              <w:t>文化科每人每科次</w:t>
            </w:r>
            <w:r>
              <w:rPr>
                <w:sz w:val="24"/>
              </w:rPr>
              <w:t>25元</w:t>
            </w:r>
            <w:r>
              <w:rPr>
                <w:sz w:val="24"/>
              </w:rPr>
              <w:t>标准</w:t>
            </w:r>
            <w:r>
              <w:rPr>
                <w:sz w:val="24"/>
              </w:rPr>
              <w:t>”，语文、数学、英语三科共75元，经费用于</w:t>
            </w:r>
            <w:r>
              <w:rPr>
                <w:sz w:val="24"/>
              </w:rPr>
              <w:t>语数英</w:t>
            </w:r>
            <w:r>
              <w:rPr>
                <w:sz w:val="24"/>
              </w:rPr>
              <w:t>三科</w:t>
            </w:r>
            <w:r>
              <w:rPr>
                <w:sz w:val="24"/>
              </w:rPr>
              <w:t>试卷</w:t>
            </w:r>
            <w:r>
              <w:rPr>
                <w:sz w:val="24"/>
              </w:rPr>
              <w:t>命题、印刷</w:t>
            </w:r>
            <w:r>
              <w:rPr>
                <w:sz w:val="24"/>
              </w:rPr>
              <w:t>、答题卡、条形码、</w:t>
            </w:r>
            <w:r>
              <w:rPr>
                <w:sz w:val="24"/>
              </w:rPr>
              <w:t>阅卷</w:t>
            </w:r>
            <w:r>
              <w:rPr>
                <w:sz w:val="24"/>
              </w:rPr>
              <w:t>扫描</w:t>
            </w:r>
            <w:r>
              <w:rPr>
                <w:sz w:val="24"/>
              </w:rPr>
              <w:t>系统技术支持、数据统计分析以及质量分析报告制作等。预计参加考核总人数为</w:t>
            </w:r>
            <w:r>
              <w:rPr>
                <w:sz w:val="24"/>
              </w:rPr>
              <w:t>8800人（2024级中职在校生约为20953人，参加本次文化基础考核人数约按42%计算），预算75元/人*8800人=660000元。</w:t>
            </w:r>
          </w:p>
          <w:p>
            <w:pPr>
              <w:pStyle w:val="null3"/>
            </w:pPr>
            <w:r>
              <w:rPr>
                <w:sz w:val="24"/>
              </w:rPr>
              <w:t>（二）专业能力考核</w:t>
            </w:r>
          </w:p>
          <w:p>
            <w:pPr>
              <w:pStyle w:val="null3"/>
              <w:ind w:firstLine="480"/>
            </w:pPr>
            <w:r>
              <w:rPr>
                <w:sz w:val="24"/>
              </w:rPr>
              <w:t>参照《省物价局关于进一步加强和规范职业技能鉴定收费管理的通知》（粤价〔</w:t>
            </w:r>
            <w:r>
              <w:rPr>
                <w:sz w:val="24"/>
              </w:rPr>
              <w:t>2013〕150号）有关规定，</w:t>
            </w:r>
            <w:r>
              <w:rPr>
                <w:sz w:val="24"/>
              </w:rPr>
              <w:t>会计事务</w:t>
            </w:r>
            <w:r>
              <w:rPr>
                <w:sz w:val="24"/>
              </w:rPr>
              <w:t>专业参照高级工</w:t>
            </w:r>
            <w:r>
              <w:rPr>
                <w:sz w:val="24"/>
              </w:rPr>
              <w:t>A类400元/人次标准；模具制造技术</w:t>
            </w:r>
            <w:r>
              <w:rPr>
                <w:sz w:val="24"/>
              </w:rPr>
              <w:t>、</w:t>
            </w:r>
            <w:r>
              <w:rPr>
                <w:sz w:val="24"/>
              </w:rPr>
              <w:t>汽车运用与维修（新能源汽车运用与维修）</w:t>
            </w:r>
            <w:r>
              <w:rPr>
                <w:sz w:val="24"/>
              </w:rPr>
              <w:t>等专业属于高耗材专业参照</w:t>
            </w:r>
            <w:r>
              <w:rPr>
                <w:sz w:val="24"/>
              </w:rPr>
              <w:t>600元/人次标准，经费用于支付各专业专家劳务费、命题费、在职员工及学生测试耗材购置费、员工抽测补贴、证书制作费、项目税费、代缴专家劳务税费及管理费等，费用明细如下：</w:t>
            </w:r>
          </w:p>
          <w:tbl>
            <w:tblPr>
              <w:tblInd w:type="dxa" w:w="315"/>
              <w:tblBorders>
                <w:top w:val="none" w:color="000000" w:sz="4"/>
                <w:left w:val="none" w:color="000000" w:sz="4"/>
                <w:bottom w:val="none" w:color="000000" w:sz="4"/>
                <w:right w:val="none" w:color="000000" w:sz="4"/>
                <w:insideH w:val="none"/>
                <w:insideV w:val="none"/>
              </w:tblBorders>
            </w:tblPr>
            <w:tblGrid>
              <w:gridCol w:w="568"/>
              <w:gridCol w:w="1050"/>
              <w:gridCol w:w="617"/>
              <w:gridCol w:w="939"/>
              <w:gridCol w:w="667"/>
              <w:gridCol w:w="778"/>
              <w:gridCol w:w="926"/>
            </w:tblGrid>
            <w:tr>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专业</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专业点</w:t>
                  </w:r>
                </w:p>
              </w:tc>
              <w:tc>
                <w:tcPr>
                  <w:tcW w:type="dxa" w:w="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202</w:t>
                  </w:r>
                  <w:r>
                    <w:rPr>
                      <w:sz w:val="24"/>
                      <w:b/>
                      <w:color w:val="000000"/>
                    </w:rPr>
                    <w:t>5</w:t>
                  </w:r>
                  <w:r>
                    <w:rPr>
                      <w:sz w:val="24"/>
                      <w:b/>
                      <w:color w:val="000000"/>
                    </w:rPr>
                    <w:t>级在册学生数</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评价</w:t>
                  </w:r>
                </w:p>
                <w:p>
                  <w:pPr>
                    <w:pStyle w:val="null3"/>
                    <w:jc w:val="center"/>
                  </w:pPr>
                  <w:r>
                    <w:rPr>
                      <w:sz w:val="24"/>
                      <w:b/>
                      <w:color w:val="000000"/>
                    </w:rPr>
                    <w:t>人数</w:t>
                  </w:r>
                </w:p>
              </w:tc>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单价</w:t>
                  </w:r>
                </w:p>
                <w:p>
                  <w:pPr>
                    <w:pStyle w:val="null3"/>
                    <w:jc w:val="center"/>
                  </w:pPr>
                  <w:r>
                    <w:rPr>
                      <w:sz w:val="24"/>
                      <w:b/>
                      <w:color w:val="000000"/>
                    </w:rPr>
                    <w:t>（元）</w:t>
                  </w:r>
                </w:p>
              </w:tc>
              <w:tc>
                <w:tcPr>
                  <w:tcW w:type="dxa" w:w="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合计</w:t>
                  </w:r>
                </w:p>
                <w:p>
                  <w:pPr>
                    <w:pStyle w:val="null3"/>
                    <w:jc w:val="center"/>
                  </w:pPr>
                  <w:r>
                    <w:rPr>
                      <w:sz w:val="24"/>
                      <w:b/>
                      <w:color w:val="000000"/>
                    </w:rPr>
                    <w:t>（元）</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会计事务</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861</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模具制造技术</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972</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194</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116400</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汽车运用与维修（新能源汽车运用与维修）</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1248</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256</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153600</w:t>
                  </w:r>
                </w:p>
              </w:tc>
            </w:tr>
            <w:tr>
              <w:tc>
                <w:tcPr>
                  <w:tcW w:type="dxa" w:w="16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3081</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625</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340000</w:t>
                  </w:r>
                </w:p>
              </w:tc>
            </w:tr>
          </w:tbl>
          <w:p>
            <w:pPr>
              <w:pStyle w:val="null3"/>
              <w:ind w:firstLine="480"/>
            </w:pPr>
            <w:r>
              <w:rPr>
                <w:sz w:val="24"/>
                <w:color w:val="000000"/>
              </w:rPr>
              <w:t>三</w:t>
            </w:r>
            <w:r>
              <w:rPr>
                <w:sz w:val="24"/>
                <w:color w:val="000000"/>
              </w:rPr>
              <w:t>、时间安排</w:t>
            </w:r>
          </w:p>
          <w:tbl>
            <w:tblPr>
              <w:tblBorders>
                <w:top w:val="none" w:color="000000" w:sz="4"/>
                <w:left w:val="none" w:color="000000" w:sz="4"/>
                <w:bottom w:val="none" w:color="000000" w:sz="4"/>
                <w:right w:val="none" w:color="000000" w:sz="4"/>
                <w:insideH w:val="none"/>
                <w:insideV w:val="none"/>
              </w:tblBorders>
            </w:tblPr>
            <w:tblGrid>
              <w:gridCol w:w="503"/>
              <w:gridCol w:w="1081"/>
              <w:gridCol w:w="1371"/>
              <w:gridCol w:w="2616"/>
            </w:tblGrid>
            <w:tr>
              <w:tc>
                <w:tcPr>
                  <w:tcW w:type="dxa" w:w="158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主要任务</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完成时间</w:t>
                  </w:r>
                </w:p>
              </w:tc>
              <w:tc>
                <w:tcPr>
                  <w:tcW w:type="dxa" w:w="2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工作要求</w:t>
                  </w:r>
                </w:p>
              </w:tc>
            </w:tr>
            <w:tr>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文化基础考核</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组建专家库</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2026年9月</w:t>
                  </w:r>
                </w:p>
              </w:tc>
              <w:tc>
                <w:tcPr>
                  <w:tcW w:type="dxa" w:w="2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制定考核评价专家遴选制度（范围、标准、退出机制等）并报佛山市教育局备案。</w:t>
                  </w:r>
                </w:p>
              </w:tc>
            </w:tr>
            <w:tr>
              <w:tc>
                <w:tcPr>
                  <w:tcW w:type="dxa" w:w="503"/>
                  <w:vMerge/>
                  <w:tcBorders>
                    <w:top w:val="none" w:color="000000" w:sz="4"/>
                    <w:left w:val="single" w:color="000000" w:sz="4"/>
                    <w:bottom w:val="single" w:color="000000" w:sz="4"/>
                    <w:right w:val="single" w:color="000000" w:sz="4"/>
                  </w:tcBorders>
                </w:tcPr>
                <w:p/>
              </w:tc>
              <w:tc>
                <w:tcPr>
                  <w:tcW w:type="dxa" w:w="10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初命题出卷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2026年9月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命制样题、编制样题答案、样题审核。</w:t>
                  </w:r>
                </w:p>
              </w:tc>
            </w:tr>
            <w:tr>
              <w:tc>
                <w:tcPr>
                  <w:tcW w:type="dxa" w:w="503"/>
                  <w:vMerge/>
                  <w:tcBorders>
                    <w:top w:val="none" w:color="000000" w:sz="4"/>
                    <w:left w:val="single" w:color="000000" w:sz="4"/>
                    <w:bottom w:val="single" w:color="000000" w:sz="4"/>
                    <w:right w:val="single" w:color="000000" w:sz="4"/>
                  </w:tcBorders>
                </w:tcPr>
                <w:p/>
              </w:tc>
              <w:tc>
                <w:tcPr>
                  <w:tcW w:type="dxa" w:w="1081"/>
                  <w:vMerge/>
                  <w:tcBorders>
                    <w:top w:val="none" w:color="000000" w:sz="4"/>
                    <w:left w:val="none" w:color="000000" w:sz="4"/>
                    <w:bottom w:val="single" w:color="000000" w:sz="4"/>
                    <w:right w:val="single" w:color="000000" w:sz="4"/>
                  </w:tcBorders>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2026年9月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1.学生样题测试；</w:t>
                  </w:r>
                </w:p>
                <w:p>
                  <w:pPr>
                    <w:pStyle w:val="null3"/>
                    <w:jc w:val="left"/>
                  </w:pPr>
                  <w:r>
                    <w:rPr>
                      <w:sz w:val="24"/>
                      <w:color w:val="000000"/>
                    </w:rPr>
                    <w:t>2.样题测试结果分析：学生测试并获取测试数据。</w:t>
                  </w:r>
                </w:p>
              </w:tc>
            </w:tr>
            <w:tr>
              <w:tc>
                <w:tcPr>
                  <w:tcW w:type="dxa" w:w="503"/>
                  <w:vMerge/>
                  <w:tcBorders>
                    <w:top w:val="none" w:color="000000" w:sz="4"/>
                    <w:left w:val="singl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封闭命题出卷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2026年10月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1.集中命制质量检测试题；</w:t>
                  </w:r>
                </w:p>
                <w:p>
                  <w:pPr>
                    <w:pStyle w:val="null3"/>
                    <w:jc w:val="left"/>
                  </w:pPr>
                  <w:r>
                    <w:rPr>
                      <w:sz w:val="24"/>
                      <w:color w:val="000000"/>
                    </w:rPr>
                    <w:t>2.编制试题答案、审题。</w:t>
                  </w:r>
                </w:p>
              </w:tc>
            </w:tr>
            <w:tr>
              <w:tc>
                <w:tcPr>
                  <w:tcW w:type="dxa" w:w="503"/>
                  <w:vMerge/>
                  <w:tcBorders>
                    <w:top w:val="none" w:color="000000" w:sz="4"/>
                    <w:left w:val="single" w:color="000000" w:sz="4"/>
                    <w:bottom w:val="single" w:color="000000" w:sz="4"/>
                    <w:right w:val="single" w:color="000000" w:sz="4"/>
                  </w:tcBorders>
                </w:tcPr>
                <w:p/>
              </w:tc>
              <w:tc>
                <w:tcPr>
                  <w:tcW w:type="dxa" w:w="10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考试实施</w:t>
                  </w:r>
                </w:p>
              </w:tc>
              <w:tc>
                <w:tcPr>
                  <w:tcW w:type="dxa" w:w="1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2026年11月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1.试题印刷（确保试卷保密性）；</w:t>
                  </w:r>
                </w:p>
                <w:p>
                  <w:pPr>
                    <w:pStyle w:val="null3"/>
                    <w:jc w:val="left"/>
                  </w:pPr>
                  <w:r>
                    <w:rPr>
                      <w:sz w:val="24"/>
                      <w:color w:val="000000"/>
                    </w:rPr>
                    <w:t>2.组织考试。</w:t>
                  </w:r>
                </w:p>
              </w:tc>
            </w:tr>
            <w:tr>
              <w:tc>
                <w:tcPr>
                  <w:tcW w:type="dxa" w:w="503"/>
                  <w:vMerge/>
                  <w:tcBorders>
                    <w:top w:val="none" w:color="000000" w:sz="4"/>
                    <w:left w:val="single" w:color="000000" w:sz="4"/>
                    <w:bottom w:val="single" w:color="000000" w:sz="4"/>
                    <w:right w:val="single" w:color="000000" w:sz="4"/>
                  </w:tcBorders>
                </w:tcPr>
                <w:p/>
              </w:tc>
              <w:tc>
                <w:tcPr>
                  <w:tcW w:type="dxa" w:w="1081"/>
                  <w:vMerge/>
                  <w:tcBorders>
                    <w:top w:val="none" w:color="000000" w:sz="4"/>
                    <w:left w:val="none" w:color="000000" w:sz="4"/>
                    <w:bottom w:val="single" w:color="000000" w:sz="4"/>
                    <w:right w:val="single" w:color="000000" w:sz="4"/>
                  </w:tcBorders>
                </w:tcPr>
                <w:p/>
              </w:tc>
              <w:tc>
                <w:tcPr>
                  <w:tcW w:type="dxa" w:w="1371"/>
                  <w:vMerge/>
                  <w:tcBorders>
                    <w:top w:val="none" w:color="000000" w:sz="4"/>
                    <w:left w:val="none" w:color="000000" w:sz="4"/>
                    <w:bottom w:val="single" w:color="000000" w:sz="4"/>
                    <w:right w:val="single" w:color="000000" w:sz="4"/>
                  </w:tcBorders>
                </w:tcP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考场布置</w:t>
                  </w:r>
                </w:p>
                <w:p>
                  <w:pPr>
                    <w:pStyle w:val="null3"/>
                    <w:jc w:val="left"/>
                  </w:pPr>
                  <w:r>
                    <w:rPr>
                      <w:sz w:val="24"/>
                      <w:color w:val="000000"/>
                    </w:rPr>
                    <w:t>1.试卷+条形码下发至各区；</w:t>
                  </w:r>
                </w:p>
                <w:p>
                  <w:pPr>
                    <w:pStyle w:val="null3"/>
                    <w:jc w:val="left"/>
                  </w:pPr>
                  <w:r>
                    <w:rPr>
                      <w:sz w:val="24"/>
                      <w:color w:val="000000"/>
                    </w:rPr>
                    <w:t>2.监督考场布置情况以及开展注意事项讲解。</w:t>
                  </w:r>
                </w:p>
              </w:tc>
            </w:tr>
            <w:tr>
              <w:tc>
                <w:tcPr>
                  <w:tcW w:type="dxa" w:w="503"/>
                  <w:vMerge/>
                  <w:tcBorders>
                    <w:top w:val="none" w:color="000000" w:sz="4"/>
                    <w:left w:val="singl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考试阅卷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2026年11月—12月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定点阅卷、现场改卷监督；</w:t>
                  </w:r>
                </w:p>
                <w:p>
                  <w:pPr>
                    <w:pStyle w:val="null3"/>
                    <w:jc w:val="left"/>
                  </w:pPr>
                  <w:r>
                    <w:rPr>
                      <w:sz w:val="24"/>
                      <w:color w:val="000000"/>
                    </w:rPr>
                    <w:t>2.</w:t>
                  </w:r>
                  <w:r>
                    <w:rPr>
                      <w:sz w:val="24"/>
                      <w:color w:val="000000"/>
                    </w:rPr>
                    <w:t>汇总录入分数，复核以及生成报告。</w:t>
                  </w:r>
                </w:p>
              </w:tc>
            </w:tr>
            <w:tr>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专业能力考核</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组建专家库</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r>
                    <w:rPr>
                      <w:sz w:val="24"/>
                    </w:rPr>
                    <w:t>6</w:t>
                  </w:r>
                  <w:r>
                    <w:rPr>
                      <w:sz w:val="24"/>
                    </w:rPr>
                    <w:t>年</w:t>
                  </w:r>
                  <w:r>
                    <w:rPr>
                      <w:sz w:val="24"/>
                    </w:rPr>
                    <w:t>10月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制定考核评价专家遴选制度（范围、标准、退出机制等）并报佛山市教育局备案</w:t>
                  </w:r>
                  <w:r>
                    <w:rPr>
                      <w:sz w:val="24"/>
                      <w:color w:val="000000"/>
                    </w:rPr>
                    <w:t>；</w:t>
                  </w:r>
                </w:p>
                <w:p>
                  <w:pPr>
                    <w:pStyle w:val="null3"/>
                    <w:jc w:val="both"/>
                  </w:pPr>
                  <w:r>
                    <w:rPr>
                      <w:sz w:val="24"/>
                      <w:color w:val="000000"/>
                    </w:rPr>
                    <w:t>2.</w:t>
                  </w:r>
                  <w:r>
                    <w:rPr>
                      <w:sz w:val="24"/>
                      <w:color w:val="000000"/>
                    </w:rPr>
                    <w:t>考核评价专家组一般为</w:t>
                  </w:r>
                  <w:r>
                    <w:rPr>
                      <w:sz w:val="24"/>
                      <w:color w:val="000000"/>
                    </w:rPr>
                    <w:t>10人，应由行业企业、社会人士、职业院校三方成员构成，专家中行业企业专家不得少于</w:t>
                  </w:r>
                  <w:r>
                    <w:rPr>
                      <w:sz w:val="24"/>
                      <w:color w:val="000000"/>
                    </w:rPr>
                    <w:t>六成</w:t>
                  </w:r>
                  <w:r>
                    <w:rPr>
                      <w:sz w:val="24"/>
                      <w:color w:val="000000"/>
                    </w:rPr>
                    <w:t>。</w:t>
                  </w:r>
                </w:p>
              </w:tc>
            </w:tr>
            <w:tr>
              <w:tc>
                <w:tcPr>
                  <w:tcW w:type="dxa" w:w="503"/>
                  <w:vMerge/>
                  <w:tcBorders>
                    <w:top w:val="none" w:color="000000" w:sz="4"/>
                    <w:left w:val="singl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制定考核评价方案</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r>
                    <w:rPr>
                      <w:sz w:val="24"/>
                    </w:rPr>
                    <w:t>6</w:t>
                  </w:r>
                  <w:r>
                    <w:rPr>
                      <w:sz w:val="24"/>
                    </w:rPr>
                    <w:t>年</w:t>
                  </w:r>
                  <w:r>
                    <w:rPr>
                      <w:sz w:val="24"/>
                    </w:rPr>
                    <w:t>11月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根据佛山市第三方考核评价要求，制定《佛山市中职学校</w:t>
                  </w:r>
                  <w:r>
                    <w:rPr>
                      <w:sz w:val="24"/>
                      <w:color w:val="000000"/>
                    </w:rPr>
                    <w:t>202</w:t>
                  </w:r>
                  <w:r>
                    <w:rPr>
                      <w:sz w:val="24"/>
                      <w:color w:val="000000"/>
                    </w:rPr>
                    <w:t>6</w:t>
                  </w:r>
                  <w:r>
                    <w:rPr>
                      <w:sz w:val="24"/>
                      <w:color w:val="000000"/>
                    </w:rPr>
                    <w:t>年</w:t>
                  </w:r>
                  <w:r>
                    <w:rPr>
                      <w:sz w:val="24"/>
                      <w:color w:val="000000"/>
                    </w:rPr>
                    <w:t>“**”专业人才培养质量第三方考核评价实施方案》。</w:t>
                  </w:r>
                </w:p>
              </w:tc>
            </w:tr>
            <w:tr>
              <w:tc>
                <w:tcPr>
                  <w:tcW w:type="dxa" w:w="503"/>
                  <w:vMerge/>
                  <w:tcBorders>
                    <w:top w:val="none" w:color="000000" w:sz="4"/>
                    <w:left w:val="singl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设计测试题目</w:t>
                  </w:r>
                </w:p>
                <w:p>
                  <w:pPr>
                    <w:pStyle w:val="null3"/>
                    <w:jc w:val="center"/>
                  </w:pPr>
                  <w:r>
                    <w:rPr>
                      <w:sz w:val="24"/>
                      <w:color w:val="000000"/>
                    </w:rPr>
                    <w:t>（试卷）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r>
                    <w:rPr>
                      <w:sz w:val="24"/>
                    </w:rPr>
                    <w:t>6</w:t>
                  </w:r>
                  <w:r>
                    <w:rPr>
                      <w:sz w:val="24"/>
                    </w:rPr>
                    <w:t>年</w:t>
                  </w:r>
                  <w:r>
                    <w:rPr>
                      <w:sz w:val="24"/>
                    </w:rPr>
                    <w:t>11月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以佛山市第三方考核标准研制成果为依据，结合行业企业生产经营实际，科学开发考核评价试题，试题应能较为准</w:t>
                  </w:r>
                  <w:r>
                    <w:rPr>
                      <w:sz w:val="24"/>
                      <w:color w:val="000000"/>
                    </w:rPr>
                    <w:t>确地</w:t>
                  </w:r>
                  <w:r>
                    <w:rPr>
                      <w:sz w:val="24"/>
                      <w:color w:val="000000"/>
                    </w:rPr>
                    <w:t>反映岗位能力（职业道德素质和职业技术能力）。</w:t>
                  </w:r>
                </w:p>
              </w:tc>
            </w:tr>
            <w:tr>
              <w:tc>
                <w:tcPr>
                  <w:tcW w:type="dxa" w:w="503"/>
                  <w:vMerge/>
                  <w:tcBorders>
                    <w:top w:val="none" w:color="000000" w:sz="4"/>
                    <w:left w:val="singl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抽测企业在职员工取得参考值</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r>
                    <w:rPr>
                      <w:sz w:val="24"/>
                    </w:rPr>
                    <w:t>6</w:t>
                  </w:r>
                  <w:r>
                    <w:rPr>
                      <w:sz w:val="24"/>
                    </w:rPr>
                    <w:t>年</w:t>
                  </w:r>
                  <w:r>
                    <w:rPr>
                      <w:sz w:val="24"/>
                    </w:rPr>
                    <w:t>5</w:t>
                  </w:r>
                  <w:r>
                    <w:rPr>
                      <w:sz w:val="24"/>
                    </w:rPr>
                    <w:t>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用设计出的测试题目测试企业在职员工并取得测试值；</w:t>
                  </w:r>
                </w:p>
                <w:p>
                  <w:pPr>
                    <w:pStyle w:val="null3"/>
                    <w:jc w:val="both"/>
                  </w:pPr>
                  <w:r>
                    <w:rPr>
                      <w:sz w:val="24"/>
                      <w:color w:val="000000"/>
                    </w:rPr>
                    <w:t>2.</w:t>
                  </w:r>
                  <w:r>
                    <w:rPr>
                      <w:sz w:val="24"/>
                      <w:color w:val="000000"/>
                    </w:rPr>
                    <w:t>每专业抽测员工人数不得少于</w:t>
                  </w:r>
                  <w:r>
                    <w:rPr>
                      <w:sz w:val="24"/>
                      <w:color w:val="000000"/>
                    </w:rPr>
                    <w:t>20人；</w:t>
                  </w:r>
                </w:p>
                <w:p>
                  <w:pPr>
                    <w:pStyle w:val="null3"/>
                    <w:jc w:val="both"/>
                  </w:pPr>
                  <w:r>
                    <w:rPr>
                      <w:sz w:val="24"/>
                      <w:color w:val="000000"/>
                    </w:rPr>
                    <w:t>3.</w:t>
                  </w:r>
                  <w:r>
                    <w:rPr>
                      <w:sz w:val="24"/>
                      <w:color w:val="000000"/>
                    </w:rPr>
                    <w:t>受测员工在职薪酬应大体相当。</w:t>
                  </w:r>
                </w:p>
              </w:tc>
            </w:tr>
            <w:tr>
              <w:tc>
                <w:tcPr>
                  <w:tcW w:type="dxa" w:w="503"/>
                  <w:vMerge/>
                  <w:tcBorders>
                    <w:top w:val="none" w:color="000000" w:sz="4"/>
                    <w:left w:val="singl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落实考核</w:t>
                  </w:r>
                </w:p>
                <w:p>
                  <w:pPr>
                    <w:pStyle w:val="null3"/>
                    <w:jc w:val="center"/>
                  </w:pPr>
                  <w:r>
                    <w:rPr>
                      <w:sz w:val="24"/>
                      <w:color w:val="000000"/>
                    </w:rPr>
                    <w:t>主场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r>
                    <w:rPr>
                      <w:sz w:val="24"/>
                    </w:rPr>
                    <w:t>7</w:t>
                  </w:r>
                  <w:r>
                    <w:rPr>
                      <w:sz w:val="24"/>
                    </w:rPr>
                    <w:t>年</w:t>
                  </w:r>
                  <w:r>
                    <w:rPr>
                      <w:sz w:val="24"/>
                    </w:rPr>
                    <w:t>5</w:t>
                  </w:r>
                  <w:r>
                    <w:rPr>
                      <w:sz w:val="24"/>
                    </w:rPr>
                    <w:t>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根据考核评价要求，做好考核场所的筹备工作，确保满足实施考核评价工作</w:t>
                  </w:r>
                  <w:r>
                    <w:rPr>
                      <w:sz w:val="24"/>
                      <w:color w:val="000000"/>
                    </w:rPr>
                    <w:t>的条件。</w:t>
                  </w:r>
                </w:p>
              </w:tc>
            </w:tr>
            <w:tr>
              <w:tc>
                <w:tcPr>
                  <w:tcW w:type="dxa" w:w="503"/>
                  <w:vMerge/>
                  <w:tcBorders>
                    <w:top w:val="none" w:color="000000" w:sz="4"/>
                    <w:left w:val="singl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考核评价</w:t>
                  </w:r>
                </w:p>
                <w:p>
                  <w:pPr>
                    <w:pStyle w:val="null3"/>
                    <w:jc w:val="center"/>
                  </w:pPr>
                  <w:r>
                    <w:rPr>
                      <w:sz w:val="24"/>
                      <w:color w:val="000000"/>
                    </w:rPr>
                    <w:t>学生</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r>
                    <w:rPr>
                      <w:sz w:val="24"/>
                    </w:rPr>
                    <w:t>7</w:t>
                  </w:r>
                  <w:r>
                    <w:rPr>
                      <w:sz w:val="24"/>
                    </w:rPr>
                    <w:t>年</w:t>
                  </w:r>
                  <w:r>
                    <w:rPr>
                      <w:sz w:val="24"/>
                    </w:rPr>
                    <w:t>5</w:t>
                  </w:r>
                  <w:r>
                    <w:rPr>
                      <w:sz w:val="24"/>
                    </w:rPr>
                    <w:t>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对</w:t>
                  </w:r>
                  <w:r>
                    <w:rPr>
                      <w:sz w:val="24"/>
                      <w:color w:val="000000"/>
                    </w:rPr>
                    <w:t>202</w:t>
                  </w:r>
                  <w:r>
                    <w:rPr>
                      <w:sz w:val="24"/>
                      <w:color w:val="000000"/>
                    </w:rPr>
                    <w:t>5</w:t>
                  </w:r>
                  <w:r>
                    <w:rPr>
                      <w:sz w:val="24"/>
                      <w:color w:val="000000"/>
                    </w:rPr>
                    <w:t>级</w:t>
                  </w:r>
                  <w:r>
                    <w:rPr>
                      <w:sz w:val="24"/>
                      <w:color w:val="000000"/>
                    </w:rPr>
                    <w:t>学生</w:t>
                  </w:r>
                  <w:r>
                    <w:rPr>
                      <w:sz w:val="24"/>
                      <w:color w:val="000000"/>
                    </w:rPr>
                    <w:t>实施</w:t>
                  </w:r>
                  <w:r>
                    <w:rPr>
                      <w:sz w:val="24"/>
                      <w:color w:val="000000"/>
                    </w:rPr>
                    <w:t>“第三方考核评价”；</w:t>
                  </w:r>
                </w:p>
                <w:p>
                  <w:pPr>
                    <w:pStyle w:val="null3"/>
                    <w:jc w:val="both"/>
                  </w:pPr>
                  <w:r>
                    <w:rPr>
                      <w:sz w:val="24"/>
                      <w:color w:val="000000"/>
                    </w:rPr>
                    <w:t>2.</w:t>
                  </w:r>
                  <w:r>
                    <w:rPr>
                      <w:sz w:val="24"/>
                      <w:color w:val="000000"/>
                    </w:rPr>
                    <w:t>现场签定评价结论；</w:t>
                  </w:r>
                </w:p>
                <w:p>
                  <w:pPr>
                    <w:pStyle w:val="null3"/>
                    <w:jc w:val="both"/>
                  </w:pPr>
                  <w:r>
                    <w:rPr>
                      <w:sz w:val="24"/>
                      <w:color w:val="000000"/>
                    </w:rPr>
                    <w:t>3.</w:t>
                  </w:r>
                  <w:r>
                    <w:rPr>
                      <w:sz w:val="24"/>
                      <w:color w:val="000000"/>
                    </w:rPr>
                    <w:t>反馈考核评价结果。</w:t>
                  </w:r>
                </w:p>
              </w:tc>
            </w:tr>
            <w:tr>
              <w:tc>
                <w:tcPr>
                  <w:tcW w:type="dxa" w:w="503"/>
                  <w:vMerge/>
                  <w:tcBorders>
                    <w:top w:val="none" w:color="000000" w:sz="4"/>
                    <w:left w:val="singl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考核评价工作总结及报告</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r>
                    <w:rPr>
                      <w:sz w:val="24"/>
                    </w:rPr>
                    <w:t>7</w:t>
                  </w:r>
                  <w:r>
                    <w:rPr>
                      <w:sz w:val="24"/>
                    </w:rPr>
                    <w:t>年</w:t>
                  </w:r>
                  <w:r>
                    <w:rPr>
                      <w:sz w:val="24"/>
                    </w:rPr>
                    <w:t>6</w:t>
                  </w:r>
                  <w:r>
                    <w:rPr>
                      <w:sz w:val="24"/>
                    </w:rPr>
                    <w:t>月</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对本次考评测试工作全面系统总结；</w:t>
                  </w:r>
                </w:p>
                <w:p>
                  <w:pPr>
                    <w:pStyle w:val="null3"/>
                    <w:jc w:val="both"/>
                  </w:pPr>
                  <w:r>
                    <w:rPr>
                      <w:sz w:val="24"/>
                      <w:color w:val="000000"/>
                    </w:rPr>
                    <w:t>2.</w:t>
                  </w:r>
                  <w:r>
                    <w:rPr>
                      <w:sz w:val="24"/>
                      <w:color w:val="000000"/>
                    </w:rPr>
                    <w:t>发布考评结果。</w:t>
                  </w:r>
                </w:p>
              </w:tc>
            </w:tr>
          </w:tbl>
          <w:p>
            <w:pPr>
              <w:pStyle w:val="null3"/>
            </w:pPr>
          </w:p>
        </w:tc>
      </w:tr>
      <w:tr>
        <w:tc>
          <w:tcPr>
            <w:tcW w:type="dxa" w:w="2076"/>
          </w:tcPr>
          <w:p/>
        </w:tc>
        <w:tc>
          <w:tcPr>
            <w:tcW w:type="dxa" w:w="415"/>
          </w:tcPr>
          <w:p>
            <w:pPr>
              <w:pStyle w:val="null3"/>
            </w:pPr>
            <w:r>
              <w:rPr/>
              <w:t>2</w:t>
            </w:r>
          </w:p>
        </w:tc>
        <w:tc>
          <w:tcPr>
            <w:tcW w:type="dxa" w:w="5814"/>
          </w:tcPr>
          <w:p>
            <w:pPr>
              <w:pStyle w:val="null3"/>
            </w:pPr>
            <w:r>
              <w:rPr>
                <w:sz w:val="24"/>
                <w:b/>
              </w:rPr>
              <w:t>子项目二：</w:t>
            </w:r>
            <w:r>
              <w:rPr>
                <w:sz w:val="24"/>
                <w:b/>
              </w:rPr>
              <w:t>202</w:t>
            </w:r>
            <w:r>
              <w:rPr>
                <w:sz w:val="24"/>
                <w:b/>
              </w:rPr>
              <w:t>6</w:t>
            </w:r>
            <w:r>
              <w:rPr>
                <w:sz w:val="24"/>
                <w:b/>
              </w:rPr>
              <w:t>年佛山市</w:t>
            </w:r>
            <w:r>
              <w:rPr>
                <w:sz w:val="24"/>
                <w:b/>
              </w:rPr>
              <w:t>中等职业学校</w:t>
            </w:r>
            <w:r>
              <w:rPr>
                <w:sz w:val="24"/>
                <w:b/>
              </w:rPr>
              <w:t>技能大赛</w:t>
            </w:r>
          </w:p>
          <w:p>
            <w:pPr>
              <w:pStyle w:val="null3"/>
              <w:jc w:val="both"/>
            </w:pPr>
            <w:r>
              <w:rPr>
                <w:sz w:val="24"/>
              </w:rPr>
              <w:t>（一）</w:t>
            </w:r>
            <w:r>
              <w:rPr>
                <w:sz w:val="24"/>
                <w:color w:val="000000"/>
              </w:rPr>
              <w:t>组织形式</w:t>
            </w:r>
          </w:p>
          <w:p>
            <w:pPr>
              <w:pStyle w:val="null3"/>
              <w:ind w:firstLine="480"/>
            </w:pPr>
            <w:r>
              <w:rPr>
                <w:sz w:val="24"/>
              </w:rPr>
              <w:t>中标人</w:t>
            </w:r>
            <w:r>
              <w:rPr>
                <w:sz w:val="24"/>
              </w:rPr>
              <w:t>负责实施</w:t>
            </w:r>
            <w:r>
              <w:rPr>
                <w:sz w:val="24"/>
              </w:rPr>
              <w:t>202</w:t>
            </w:r>
            <w:r>
              <w:rPr>
                <w:sz w:val="24"/>
              </w:rPr>
              <w:t>6</w:t>
            </w:r>
            <w:r>
              <w:rPr>
                <w:sz w:val="24"/>
              </w:rPr>
              <w:t>年佛山市</w:t>
            </w:r>
            <w:r>
              <w:rPr>
                <w:sz w:val="24"/>
              </w:rPr>
              <w:t>中等职业学校</w:t>
            </w:r>
            <w:r>
              <w:rPr>
                <w:sz w:val="24"/>
              </w:rPr>
              <w:t>技能大赛组织工作。工作内容如下：</w:t>
            </w:r>
          </w:p>
          <w:p>
            <w:pPr>
              <w:pStyle w:val="null3"/>
            </w:pPr>
            <w:r>
              <w:rPr>
                <w:sz w:val="24"/>
              </w:rPr>
              <w:t>1</w:t>
            </w:r>
            <w:r>
              <w:rPr>
                <w:sz w:val="24"/>
              </w:rPr>
              <w:t>、</w:t>
            </w:r>
            <w:r>
              <w:rPr>
                <w:sz w:val="24"/>
              </w:rPr>
              <w:t>全面负责各类专业赛项的规划、筹备、实施等各项工作</w:t>
            </w:r>
            <w:r>
              <w:rPr>
                <w:sz w:val="24"/>
              </w:rPr>
              <w:t>。</w:t>
            </w:r>
          </w:p>
          <w:p>
            <w:pPr>
              <w:pStyle w:val="null3"/>
            </w:pPr>
            <w:r>
              <w:rPr>
                <w:sz w:val="24"/>
              </w:rPr>
              <w:t>2</w:t>
            </w:r>
            <w:r>
              <w:rPr>
                <w:sz w:val="24"/>
              </w:rPr>
              <w:t>、</w:t>
            </w:r>
            <w:r>
              <w:rPr>
                <w:sz w:val="24"/>
              </w:rPr>
              <w:t>安排符合大赛要求的设备并安排大赛场地。</w:t>
            </w:r>
          </w:p>
          <w:p>
            <w:pPr>
              <w:pStyle w:val="null3"/>
            </w:pPr>
            <w:r>
              <w:rPr>
                <w:sz w:val="24"/>
              </w:rPr>
              <w:t>3</w:t>
            </w:r>
            <w:r>
              <w:rPr>
                <w:sz w:val="24"/>
              </w:rPr>
              <w:t>、</w:t>
            </w:r>
            <w:r>
              <w:rPr>
                <w:sz w:val="24"/>
              </w:rPr>
              <w:t>负责搜集大赛各赛项省赛或国赛规程，结合我市实际情况制定承办项目竞赛规程。</w:t>
            </w:r>
          </w:p>
          <w:p>
            <w:pPr>
              <w:pStyle w:val="null3"/>
            </w:pPr>
            <w:r>
              <w:rPr>
                <w:sz w:val="24"/>
              </w:rPr>
              <w:t>4</w:t>
            </w:r>
            <w:r>
              <w:rPr>
                <w:sz w:val="24"/>
              </w:rPr>
              <w:t>、</w:t>
            </w:r>
            <w:r>
              <w:rPr>
                <w:sz w:val="24"/>
              </w:rPr>
              <w:t>聘请专家为大赛的每赛项各出</w:t>
            </w:r>
            <w:r>
              <w:rPr>
                <w:sz w:val="24"/>
              </w:rPr>
              <w:t>A、B两套比赛试题并附评分标准，试题难度与广东省202</w:t>
            </w:r>
            <w:r>
              <w:rPr>
                <w:sz w:val="24"/>
              </w:rPr>
              <w:t>5</w:t>
            </w:r>
            <w:r>
              <w:rPr>
                <w:sz w:val="24"/>
              </w:rPr>
              <w:t>-202</w:t>
            </w:r>
            <w:r>
              <w:rPr>
                <w:sz w:val="24"/>
              </w:rPr>
              <w:t>6</w:t>
            </w:r>
            <w:r>
              <w:rPr>
                <w:sz w:val="24"/>
              </w:rPr>
              <w:t>年度全省职业院校学生专业技能大赛对应赛项的试题难度相当，编撰赛项技术文件，并负责试卷保密。</w:t>
            </w:r>
          </w:p>
          <w:p>
            <w:pPr>
              <w:pStyle w:val="null3"/>
            </w:pPr>
            <w:r>
              <w:rPr>
                <w:sz w:val="24"/>
              </w:rPr>
              <w:t>5</w:t>
            </w:r>
            <w:r>
              <w:rPr>
                <w:sz w:val="24"/>
              </w:rPr>
              <w:t>、</w:t>
            </w:r>
            <w:r>
              <w:rPr>
                <w:sz w:val="24"/>
              </w:rPr>
              <w:t>召开赛前说明会，及时发布赛项信息，负责赛项展示体验和宣传工作，协助制作大赛秩序册及参赛证，制作并打印大赛现场所需要的各类标签、表格。</w:t>
            </w:r>
          </w:p>
          <w:p>
            <w:pPr>
              <w:pStyle w:val="null3"/>
            </w:pPr>
            <w:r>
              <w:rPr>
                <w:sz w:val="24"/>
              </w:rPr>
              <w:t>6</w:t>
            </w:r>
            <w:r>
              <w:rPr>
                <w:sz w:val="24"/>
              </w:rPr>
              <w:t>、</w:t>
            </w:r>
            <w:r>
              <w:rPr>
                <w:sz w:val="24"/>
              </w:rPr>
              <w:t>聘请人员为大赛提供电力、机器设备等方面的保障工作。安排人员调试大赛设备，安排参赛选手在比赛前一天观看比赛场地。</w:t>
            </w:r>
          </w:p>
          <w:p>
            <w:pPr>
              <w:pStyle w:val="null3"/>
            </w:pPr>
            <w:r>
              <w:rPr>
                <w:sz w:val="24"/>
              </w:rPr>
              <w:t>7</w:t>
            </w:r>
            <w:r>
              <w:rPr>
                <w:sz w:val="24"/>
              </w:rPr>
              <w:t>、</w:t>
            </w:r>
            <w:r>
              <w:rPr>
                <w:sz w:val="24"/>
              </w:rPr>
              <w:t>聘请大赛现场的监考人员及赛场工作人员。</w:t>
            </w:r>
          </w:p>
          <w:p>
            <w:pPr>
              <w:pStyle w:val="null3"/>
            </w:pPr>
            <w:r>
              <w:rPr>
                <w:sz w:val="24"/>
              </w:rPr>
              <w:t>8</w:t>
            </w:r>
            <w:r>
              <w:rPr>
                <w:sz w:val="24"/>
              </w:rPr>
              <w:t>、</w:t>
            </w:r>
            <w:r>
              <w:rPr>
                <w:sz w:val="24"/>
              </w:rPr>
              <w:t>聘请评委，对大赛现场参赛队伍所做试题严格按评分标准进行评判打分。</w:t>
            </w:r>
          </w:p>
          <w:p>
            <w:pPr>
              <w:pStyle w:val="null3"/>
            </w:pPr>
            <w:r>
              <w:rPr>
                <w:sz w:val="24"/>
              </w:rPr>
              <w:t>9</w:t>
            </w:r>
            <w:r>
              <w:rPr>
                <w:sz w:val="24"/>
              </w:rPr>
              <w:t>、</w:t>
            </w:r>
            <w:r>
              <w:rPr>
                <w:sz w:val="24"/>
              </w:rPr>
              <w:t>印制竞赛选手及辅导老师的获奖证书，做好大赛年度总结，做好过程文件存档和赛后资料上报等工作。</w:t>
            </w:r>
          </w:p>
          <w:p>
            <w:pPr>
              <w:pStyle w:val="null3"/>
            </w:pPr>
            <w:r>
              <w:rPr>
                <w:sz w:val="24"/>
              </w:rPr>
              <w:t>10</w:t>
            </w:r>
            <w:r>
              <w:rPr>
                <w:sz w:val="24"/>
              </w:rPr>
              <w:t>、</w:t>
            </w:r>
            <w:r>
              <w:rPr>
                <w:sz w:val="24"/>
              </w:rPr>
              <w:t>承担以上各项服务的相关费用。</w:t>
            </w:r>
          </w:p>
          <w:p>
            <w:pPr>
              <w:pStyle w:val="null3"/>
            </w:pPr>
            <w:r>
              <w:rPr>
                <w:sz w:val="24"/>
                <w:color w:val="000000"/>
              </w:rPr>
              <w:t>（</w:t>
            </w:r>
            <w:r>
              <w:rPr>
                <w:sz w:val="24"/>
                <w:color w:val="000000"/>
              </w:rPr>
              <w:t>二</w:t>
            </w:r>
            <w:r>
              <w:rPr>
                <w:sz w:val="24"/>
                <w:color w:val="000000"/>
              </w:rPr>
              <w:t>）</w:t>
            </w:r>
            <w:r>
              <w:rPr>
                <w:sz w:val="24"/>
                <w:color w:val="000000"/>
              </w:rPr>
              <w:t>赛项设置</w:t>
            </w:r>
          </w:p>
          <w:tbl>
            <w:tblPr>
              <w:tblInd w:type="dxa" w:w="255"/>
              <w:tblBorders>
                <w:top w:val="none" w:color="000000" w:sz="4"/>
                <w:left w:val="none" w:color="000000" w:sz="4"/>
                <w:bottom w:val="none" w:color="000000" w:sz="4"/>
                <w:right w:val="none" w:color="000000" w:sz="4"/>
                <w:insideH w:val="none"/>
                <w:insideV w:val="none"/>
              </w:tblBorders>
            </w:tblPr>
            <w:tblGrid>
              <w:gridCol w:w="616"/>
              <w:gridCol w:w="1308"/>
              <w:gridCol w:w="2037"/>
              <w:gridCol w:w="1635"/>
            </w:tblGrid>
            <w:tr>
              <w:tc>
                <w:tcPr>
                  <w:tcW w:type="dxa" w:w="61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130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专业大类</w:t>
                  </w:r>
                </w:p>
              </w:tc>
              <w:tc>
                <w:tcPr>
                  <w:tcW w:type="dxa" w:w="20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赛项名称</w:t>
                  </w:r>
                </w:p>
              </w:tc>
              <w:tc>
                <w:tcPr>
                  <w:tcW w:type="dxa" w:w="16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组队要求</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30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财经商贸</w:t>
                  </w: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电子商务运营</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智能财税基本技能</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企业经营沙盘模拟</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w:t>
                  </w:r>
                </w:p>
              </w:tc>
              <w:tc>
                <w:tcPr>
                  <w:tcW w:type="dxa" w:w="130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电子信息</w:t>
                  </w: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产品数字化设计与开发</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电子产品设计与应用</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人工智能</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4人/队，每校限报1队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大数据应用与服务</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移动应用与开发</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物联网应用与服务</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w:t>
                  </w:r>
                </w:p>
              </w:tc>
              <w:tc>
                <w:tcPr>
                  <w:tcW w:type="dxa" w:w="13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交通运输</w:t>
                  </w: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新能源汽车维修</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w:t>
                  </w:r>
                </w:p>
              </w:tc>
              <w:tc>
                <w:tcPr>
                  <w:tcW w:type="dxa" w:w="13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教育与体育</w:t>
                  </w: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婴幼儿保育</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w:t>
                  </w:r>
                </w:p>
              </w:tc>
              <w:tc>
                <w:tcPr>
                  <w:tcW w:type="dxa" w:w="13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旅游</w:t>
                  </w: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酒店服务</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w:t>
                  </w:r>
                </w:p>
              </w:tc>
              <w:tc>
                <w:tcPr>
                  <w:tcW w:type="dxa" w:w="130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文化艺术</w:t>
                  </w: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艺术设计</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美术造型</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数字艺术设计</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舞台布景</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17</w:t>
                  </w:r>
                </w:p>
              </w:tc>
              <w:tc>
                <w:tcPr>
                  <w:tcW w:type="dxa" w:w="130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新闻传播</w:t>
                  </w: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短视频制作</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动漫制作</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w:t>
                  </w:r>
                </w:p>
              </w:tc>
              <w:tc>
                <w:tcPr>
                  <w:tcW w:type="dxa" w:w="130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装备制造</w:t>
                  </w: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智能制造设备技术应用</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20</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通用机电设备安装与调试</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现代模具制造技术</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现代加工技术</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23</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焊接技术</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r>
              <w:tc>
                <w:tcPr>
                  <w:tcW w:type="dxa" w:w="6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w:t>
                  </w:r>
                </w:p>
              </w:tc>
              <w:tc>
                <w:tcPr>
                  <w:tcW w:type="dxa" w:w="1308"/>
                  <w:vMerge/>
                  <w:tcBorders>
                    <w:top w:val="none" w:color="000000" w:sz="4"/>
                    <w:left w:val="single" w:color="000000" w:sz="4"/>
                    <w:bottom w:val="single" w:color="000000" w:sz="4"/>
                    <w:right w:val="single" w:color="000000" w:sz="4"/>
                  </w:tcBorders>
                </w:tcPr>
                <w:p/>
              </w:tc>
              <w:tc>
                <w:tcPr>
                  <w:tcW w:type="dxa" w:w="20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无人机操控与维护</w:t>
                  </w:r>
                </w:p>
              </w:tc>
              <w:tc>
                <w:tcPr>
                  <w:tcW w:type="dxa" w:w="1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团体赛，</w:t>
                  </w:r>
                  <w:r>
                    <w:rPr>
                      <w:sz w:val="24"/>
                      <w:color w:val="000000"/>
                    </w:rPr>
                    <w:t>4人/队，每校限报2队</w:t>
                  </w:r>
                </w:p>
              </w:tc>
            </w:tr>
          </w:tbl>
          <w:p>
            <w:pPr>
              <w:pStyle w:val="null3"/>
            </w:pPr>
            <w:r>
              <w:rPr>
                <w:sz w:val="24"/>
              </w:rPr>
              <w:t>三</w:t>
            </w:r>
            <w:r>
              <w:rPr>
                <w:sz w:val="24"/>
              </w:rPr>
              <w:t>、奖励办法</w:t>
            </w:r>
          </w:p>
          <w:p>
            <w:pPr>
              <w:pStyle w:val="null3"/>
            </w:pPr>
            <w:r>
              <w:rPr>
                <w:sz w:val="24"/>
              </w:rPr>
              <w:t>（一）奖励范围。</w:t>
            </w:r>
          </w:p>
          <w:p>
            <w:pPr>
              <w:pStyle w:val="null3"/>
            </w:pPr>
            <w:r>
              <w:rPr>
                <w:sz w:val="24"/>
              </w:rPr>
              <w:t>1</w:t>
            </w:r>
            <w:r>
              <w:rPr>
                <w:sz w:val="24"/>
              </w:rPr>
              <w:t>、</w:t>
            </w:r>
            <w:r>
              <w:rPr>
                <w:sz w:val="24"/>
              </w:rPr>
              <w:t>在大赛中取得优异成绩的参赛选手。</w:t>
            </w:r>
          </w:p>
          <w:p>
            <w:pPr>
              <w:pStyle w:val="null3"/>
            </w:pPr>
            <w:r>
              <w:rPr>
                <w:sz w:val="24"/>
              </w:rPr>
              <w:t>2</w:t>
            </w:r>
            <w:r>
              <w:rPr>
                <w:sz w:val="24"/>
              </w:rPr>
              <w:t>、</w:t>
            </w:r>
            <w:r>
              <w:rPr>
                <w:sz w:val="24"/>
              </w:rPr>
              <w:t>指导学生参加大赛并取得优异成绩的教师。</w:t>
            </w:r>
          </w:p>
          <w:p>
            <w:pPr>
              <w:pStyle w:val="null3"/>
            </w:pPr>
            <w:r>
              <w:rPr>
                <w:sz w:val="24"/>
              </w:rPr>
              <w:t>3</w:t>
            </w:r>
            <w:r>
              <w:rPr>
                <w:sz w:val="24"/>
              </w:rPr>
              <w:t>、</w:t>
            </w:r>
            <w:r>
              <w:rPr>
                <w:sz w:val="24"/>
              </w:rPr>
              <w:t>组织大赛贡献较大的学校、行业、企业以及承担大赛赛场的学校。</w:t>
            </w:r>
          </w:p>
          <w:p>
            <w:pPr>
              <w:pStyle w:val="null3"/>
            </w:pPr>
            <w:r>
              <w:rPr>
                <w:sz w:val="24"/>
              </w:rPr>
              <w:t>（二）奖项设置。</w:t>
            </w:r>
          </w:p>
          <w:p>
            <w:pPr>
              <w:pStyle w:val="null3"/>
            </w:pPr>
            <w:r>
              <w:rPr>
                <w:sz w:val="24"/>
              </w:rPr>
              <w:t>1</w:t>
            </w:r>
            <w:r>
              <w:rPr>
                <w:sz w:val="24"/>
              </w:rPr>
              <w:t>、</w:t>
            </w:r>
            <w:r>
              <w:rPr>
                <w:sz w:val="24"/>
              </w:rPr>
              <w:t>单项奖：按竞赛项目分别设奖。根据竞赛成绩，从高到低排序定奖，奖励比例按实际参赛人（组）数的</w:t>
            </w:r>
            <w:r>
              <w:rPr>
                <w:sz w:val="24"/>
              </w:rPr>
              <w:t>60%（四舍五入），其中：一等奖10%，二等奖20%，三等奖30%。</w:t>
            </w:r>
          </w:p>
          <w:p>
            <w:pPr>
              <w:pStyle w:val="null3"/>
            </w:pPr>
            <w:r>
              <w:rPr>
                <w:sz w:val="24"/>
              </w:rPr>
              <w:t>2</w:t>
            </w:r>
            <w:r>
              <w:rPr>
                <w:sz w:val="24"/>
              </w:rPr>
              <w:t>、</w:t>
            </w:r>
            <w:r>
              <w:rPr>
                <w:sz w:val="24"/>
              </w:rPr>
              <w:t>优秀指导教师奖：对获得大赛一、二、三等奖选手的指导教师颁发</w:t>
            </w:r>
            <w:r>
              <w:rPr>
                <w:sz w:val="24"/>
              </w:rPr>
              <w:t>“优秀指导教师”奖。每个项目每名选手限报1名指导教师，最多不超过3名指导教师；指导教师须为本校专兼职教师。</w:t>
            </w:r>
          </w:p>
          <w:p>
            <w:pPr>
              <w:pStyle w:val="null3"/>
            </w:pPr>
            <w:r>
              <w:rPr>
                <w:sz w:val="24"/>
              </w:rPr>
              <w:t>四</w:t>
            </w:r>
            <w:r>
              <w:rPr>
                <w:sz w:val="24"/>
              </w:rPr>
              <w:t>、预算</w:t>
            </w:r>
            <w:r>
              <w:rPr>
                <w:sz w:val="24"/>
              </w:rPr>
              <w:t>计算依据</w:t>
            </w:r>
          </w:p>
          <w:p>
            <w:pPr>
              <w:pStyle w:val="null3"/>
            </w:pPr>
            <w:r>
              <w:rPr>
                <w:sz w:val="24"/>
              </w:rPr>
              <w:t>202</w:t>
            </w:r>
            <w:r>
              <w:rPr>
                <w:sz w:val="24"/>
              </w:rPr>
              <w:t>6</w:t>
            </w:r>
            <w:r>
              <w:rPr>
                <w:sz w:val="24"/>
              </w:rPr>
              <w:t>年佛山市</w:t>
            </w:r>
            <w:r>
              <w:rPr>
                <w:sz w:val="24"/>
              </w:rPr>
              <w:t>中等职业学校</w:t>
            </w:r>
            <w:r>
              <w:rPr>
                <w:sz w:val="24"/>
              </w:rPr>
              <w:t>学生专业能力技能大赛设置</w:t>
            </w:r>
            <w:r>
              <w:rPr>
                <w:sz w:val="24"/>
              </w:rPr>
              <w:t>8</w:t>
            </w:r>
            <w:r>
              <w:rPr>
                <w:sz w:val="24"/>
              </w:rPr>
              <w:t>个专业大类共</w:t>
            </w:r>
            <w:r>
              <w:rPr>
                <w:sz w:val="24"/>
              </w:rPr>
              <w:t>24</w:t>
            </w:r>
            <w:r>
              <w:rPr>
                <w:sz w:val="24"/>
              </w:rPr>
              <w:t>个赛项，预计参赛队伍为</w:t>
            </w:r>
            <w:r>
              <w:rPr>
                <w:sz w:val="24"/>
              </w:rPr>
              <w:t>444</w:t>
            </w:r>
            <w:r>
              <w:rPr>
                <w:sz w:val="24"/>
              </w:rPr>
              <w:t>支，各赛项费用参照</w:t>
            </w:r>
            <w:r>
              <w:rPr>
                <w:sz w:val="24"/>
              </w:rPr>
              <w:t>202</w:t>
            </w:r>
            <w:r>
              <w:rPr>
                <w:sz w:val="24"/>
              </w:rPr>
              <w:t>5</w:t>
            </w:r>
            <w:r>
              <w:rPr>
                <w:sz w:val="24"/>
              </w:rPr>
              <w:t>年省赛人均标准综合确定，所需经费共</w:t>
            </w:r>
            <w:r>
              <w:rPr>
                <w:sz w:val="24"/>
              </w:rPr>
              <w:t>200</w:t>
            </w:r>
            <w:r>
              <w:rPr>
                <w:sz w:val="24"/>
              </w:rPr>
              <w:t>万元，明细如下：</w:t>
            </w:r>
          </w:p>
          <w:tbl>
            <w:tblPr>
              <w:tblBorders>
                <w:top w:val="none" w:color="000000" w:sz="4"/>
                <w:left w:val="none" w:color="000000" w:sz="4"/>
                <w:bottom w:val="none" w:color="000000" w:sz="4"/>
                <w:right w:val="none" w:color="000000" w:sz="4"/>
                <w:insideH w:val="none"/>
                <w:insideV w:val="none"/>
              </w:tblBorders>
            </w:tblPr>
            <w:tblGrid>
              <w:gridCol w:w="631"/>
              <w:gridCol w:w="994"/>
              <w:gridCol w:w="596"/>
              <w:gridCol w:w="608"/>
              <w:gridCol w:w="526"/>
              <w:gridCol w:w="678"/>
              <w:gridCol w:w="550"/>
              <w:gridCol w:w="526"/>
            </w:tblGrid>
            <w:tr>
              <w:tc>
                <w:tcPr>
                  <w:tcW w:type="dxa" w:w="5109"/>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2026年技能大赛项目预算测算</w:t>
                  </w:r>
                </w:p>
              </w:tc>
            </w:tr>
            <w:tr>
              <w:tc>
                <w:tcPr>
                  <w:tcW w:type="dxa" w:w="6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9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赛项名称</w:t>
                  </w:r>
                </w:p>
              </w:tc>
              <w:tc>
                <w:tcPr>
                  <w:tcW w:type="dxa" w:w="5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预计队伍数</w:t>
                  </w:r>
                </w:p>
              </w:tc>
              <w:tc>
                <w:tcPr>
                  <w:tcW w:type="dxa" w:w="6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基本标准</w:t>
                  </w:r>
                  <w:r>
                    <w:br/>
                  </w:r>
                  <w:r>
                    <w:rPr>
                      <w:sz w:val="24"/>
                      <w:color w:val="000000"/>
                    </w:rPr>
                    <w:t>（万元）</w:t>
                  </w:r>
                </w:p>
              </w:tc>
              <w:tc>
                <w:tcPr>
                  <w:tcW w:type="dxa" w:w="5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超出队伍数</w:t>
                  </w:r>
                </w:p>
              </w:tc>
              <w:tc>
                <w:tcPr>
                  <w:tcW w:type="dxa" w:w="6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增加金额（万元）</w:t>
                  </w:r>
                </w:p>
              </w:tc>
              <w:tc>
                <w:tcPr>
                  <w:tcW w:type="dxa" w:w="5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预算费用</w:t>
                  </w:r>
                  <w:r>
                    <w:br/>
                  </w:r>
                  <w:r>
                    <w:rPr>
                      <w:sz w:val="24"/>
                      <w:color w:val="000000"/>
                    </w:rPr>
                    <w:t>（万元）</w:t>
                  </w:r>
                </w:p>
              </w:tc>
              <w:tc>
                <w:tcPr>
                  <w:tcW w:type="dxa" w:w="5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类别</w:t>
                  </w:r>
                </w:p>
              </w:tc>
            </w:tr>
            <w:tr>
              <w:tc>
                <w:tcPr>
                  <w:tcW w:type="dxa" w:w="631"/>
                  <w:vMerge/>
                  <w:tcBorders>
                    <w:top w:val="none" w:color="000000" w:sz="4"/>
                    <w:left w:val="single" w:color="000000" w:sz="4"/>
                    <w:bottom w:val="single" w:color="000000" w:sz="4"/>
                    <w:right w:val="single" w:color="000000" w:sz="4"/>
                  </w:tcBorders>
                </w:tcPr>
                <w:p/>
              </w:tc>
              <w:tc>
                <w:tcPr>
                  <w:tcW w:type="dxa" w:w="994"/>
                  <w:vMerge/>
                  <w:tcBorders>
                    <w:top w:val="single" w:color="000000" w:sz="4"/>
                    <w:left w:val="none" w:color="000000" w:sz="4"/>
                    <w:bottom w:val="single" w:color="000000" w:sz="4"/>
                    <w:right w:val="single" w:color="000000" w:sz="4"/>
                  </w:tcBorders>
                </w:tcPr>
                <w:p/>
              </w:tc>
              <w:tc>
                <w:tcPr>
                  <w:tcW w:type="dxa" w:w="596"/>
                  <w:vMerge/>
                  <w:tcBorders>
                    <w:top w:val="single" w:color="000000" w:sz="4"/>
                    <w:left w:val="none" w:color="000000" w:sz="4"/>
                    <w:bottom w:val="single" w:color="000000" w:sz="4"/>
                    <w:right w:val="single" w:color="000000" w:sz="4"/>
                  </w:tcBorders>
                </w:tcPr>
                <w:p/>
              </w:tc>
              <w:tc>
                <w:tcPr>
                  <w:tcW w:type="dxa" w:w="608"/>
                  <w:vMerge/>
                  <w:tcBorders>
                    <w:top w:val="single" w:color="000000" w:sz="4"/>
                    <w:left w:val="none" w:color="000000" w:sz="4"/>
                    <w:bottom w:val="single" w:color="000000" w:sz="4"/>
                    <w:right w:val="single" w:color="000000" w:sz="4"/>
                  </w:tcBorders>
                </w:tcPr>
                <w:p/>
              </w:tc>
              <w:tc>
                <w:tcPr>
                  <w:tcW w:type="dxa" w:w="526"/>
                  <w:vMerge/>
                  <w:tcBorders>
                    <w:top w:val="single" w:color="000000" w:sz="4"/>
                    <w:left w:val="none" w:color="000000" w:sz="4"/>
                    <w:bottom w:val="single" w:color="000000" w:sz="4"/>
                    <w:right w:val="single" w:color="000000" w:sz="4"/>
                  </w:tcBorders>
                </w:tcPr>
                <w:p/>
              </w:tc>
              <w:tc>
                <w:tcPr>
                  <w:tcW w:type="dxa" w:w="678"/>
                  <w:vMerge/>
                  <w:tcBorders>
                    <w:top w:val="single" w:color="000000" w:sz="4"/>
                    <w:left w:val="none" w:color="000000" w:sz="4"/>
                    <w:bottom w:val="single" w:color="000000" w:sz="4"/>
                    <w:right w:val="single" w:color="000000" w:sz="4"/>
                  </w:tcBorders>
                </w:tcPr>
                <w:p/>
              </w:tc>
              <w:tc>
                <w:tcPr>
                  <w:tcW w:type="dxa" w:w="550"/>
                  <w:vMerge/>
                  <w:tcBorders>
                    <w:top w:val="single" w:color="000000" w:sz="4"/>
                    <w:left w:val="none" w:color="000000" w:sz="4"/>
                    <w:bottom w:val="single" w:color="000000" w:sz="4"/>
                    <w:right w:val="single" w:color="000000" w:sz="4"/>
                  </w:tcBorders>
                </w:tcPr>
                <w:p/>
              </w:tc>
              <w:tc>
                <w:tcPr>
                  <w:tcW w:type="dxa" w:w="526"/>
                  <w:vMerge/>
                  <w:tcBorders>
                    <w:top w:val="single" w:color="000000" w:sz="4"/>
                    <w:left w:val="none" w:color="000000" w:sz="4"/>
                    <w:bottom w:val="single" w:color="000000" w:sz="4"/>
                    <w:right w:val="single" w:color="000000" w:sz="4"/>
                  </w:tcBorders>
                </w:tcP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智能制造设备技术应用</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10.20</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通用机电设备安装与调试</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0.5</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9.50</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现代模具制造技术</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0.5</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9.50</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现代加工技术</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0.6</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9.60</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新能源汽车维修</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9.00</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产品数字化设计与开发</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10.50</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焊接技术</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9.00</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无人机操控与维护</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0.6</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9.60</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电子产品设计与应用</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0.2</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9.20</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人工智能</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20</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0.25</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9.25</w:t>
                  </w:r>
                </w:p>
              </w:tc>
              <w:tc>
                <w:tcPr>
                  <w:tcW w:type="dxa" w:w="5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电子商务运营</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6.30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艺术设计</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0.85</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6.85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智能财税基本技能</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短视频制作</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动漫制作</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美术造型</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17</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婴幼儿保育</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大数据应用与服务</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酒店服务</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企业经营沙盘模拟</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数字艺术设计</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0.25</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6.25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移动应用与开发</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23</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物联网应用与服务</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舞台布景</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20</w:t>
                  </w:r>
                </w:p>
              </w:tc>
              <w:tc>
                <w:tcPr>
                  <w:tcW w:type="dxa" w:w="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0.25</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6.25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B类</w:t>
                  </w:r>
                </w:p>
              </w:tc>
            </w:tr>
            <w:tr>
              <w:tc>
                <w:tcPr>
                  <w:tcW w:type="dxa" w:w="162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小计</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444</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183.00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税费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403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管理费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合计（万元）</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说明：技能大赛经费预算参照省赛标准，所有赛项分为</w:t>
                  </w:r>
                  <w:r>
                    <w:rPr>
                      <w:sz w:val="24"/>
                      <w:color w:val="000000"/>
                    </w:rPr>
                    <w:t>2类，A类为高耗材类，基本补助标准为9万元，以10支参赛队伍为基准，每超出1支队伍增加补助经费1000元；B类为低耗材类，基本补助标准为6万元，以15支参赛队伍为基准，每超出1支队伍增加补助经费500元，基本补助标准与超出经费之和，即为该赛项的补助经费。</w:t>
                  </w:r>
                </w:p>
              </w:tc>
            </w:tr>
          </w:tbl>
          <w:p>
            <w:pPr>
              <w:pStyle w:val="null3"/>
            </w:pPr>
            <w:r>
              <w:rPr>
                <w:sz w:val="24"/>
                <w:color w:val="000000"/>
              </w:rPr>
              <w:t>五</w:t>
            </w:r>
            <w:r>
              <w:rPr>
                <w:sz w:val="24"/>
                <w:color w:val="000000"/>
              </w:rPr>
              <w:t>、时间安排</w:t>
            </w:r>
          </w:p>
          <w:tbl>
            <w:tblPr>
              <w:tblBorders>
                <w:top w:val="none" w:color="000000" w:sz="4"/>
                <w:left w:val="none" w:color="000000" w:sz="4"/>
                <w:bottom w:val="none" w:color="000000" w:sz="4"/>
                <w:right w:val="none" w:color="000000" w:sz="4"/>
                <w:insideH w:val="none"/>
                <w:insideV w:val="none"/>
              </w:tblBorders>
            </w:tblPr>
            <w:tblGrid>
              <w:gridCol w:w="1350"/>
              <w:gridCol w:w="1545"/>
              <w:gridCol w:w="2688"/>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主要任务</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完成时间</w:t>
                  </w:r>
                </w:p>
              </w:tc>
              <w:tc>
                <w:tcPr>
                  <w:tcW w:type="dxa" w:w="2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工作要求</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聘请专家出题</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6</w:t>
                  </w:r>
                  <w:r>
                    <w:rPr>
                      <w:sz w:val="24"/>
                      <w:color w:val="000000"/>
                    </w:rPr>
                    <w:t>年</w:t>
                  </w:r>
                  <w:r>
                    <w:rPr>
                      <w:sz w:val="24"/>
                      <w:color w:val="000000"/>
                    </w:rPr>
                    <w:t>9</w:t>
                  </w:r>
                  <w:r>
                    <w:rPr>
                      <w:sz w:val="24"/>
                      <w:color w:val="000000"/>
                    </w:rPr>
                    <w:t>月</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组织专家命题，审定赛项规程和赛题设计，编撰赛项技术文件</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聘请主评委</w:t>
                  </w:r>
                  <w:r>
                    <w:rPr>
                      <w:sz w:val="24"/>
                      <w:color w:val="000000"/>
                    </w:rPr>
                    <w:t>/评委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6</w:t>
                  </w:r>
                  <w:r>
                    <w:rPr>
                      <w:sz w:val="24"/>
                      <w:color w:val="000000"/>
                    </w:rPr>
                    <w:t>年</w:t>
                  </w:r>
                  <w:r>
                    <w:rPr>
                      <w:sz w:val="24"/>
                      <w:color w:val="000000"/>
                    </w:rPr>
                    <w:t>10月</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确定评委裁判人选</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赛前宣传</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6</w:t>
                  </w:r>
                  <w:r>
                    <w:rPr>
                      <w:sz w:val="24"/>
                      <w:color w:val="000000"/>
                    </w:rPr>
                    <w:t>年</w:t>
                  </w:r>
                  <w:r>
                    <w:rPr>
                      <w:sz w:val="24"/>
                      <w:color w:val="000000"/>
                    </w:rPr>
                    <w:t>10月</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召开赛前说明会，及时发布赛项信息，负责赛项展示体验和宣传工作，编制秩序册。</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准备赛场</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6</w:t>
                  </w:r>
                  <w:r>
                    <w:rPr>
                      <w:sz w:val="24"/>
                      <w:color w:val="000000"/>
                    </w:rPr>
                    <w:t>年</w:t>
                  </w:r>
                  <w:r>
                    <w:rPr>
                      <w:sz w:val="24"/>
                      <w:color w:val="000000"/>
                    </w:rPr>
                    <w:t>11月</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1.确定承办单位，落实比赛场地及设施设备</w:t>
                  </w:r>
                  <w:r>
                    <w:rPr>
                      <w:sz w:val="24"/>
                      <w:color w:val="000000"/>
                    </w:rPr>
                    <w:t>。</w:t>
                  </w:r>
                </w:p>
                <w:p>
                  <w:pPr>
                    <w:pStyle w:val="null3"/>
                    <w:jc w:val="both"/>
                  </w:pPr>
                  <w:r>
                    <w:rPr>
                      <w:sz w:val="24"/>
                      <w:color w:val="000000"/>
                    </w:rPr>
                    <w:t>2.</w:t>
                  </w:r>
                  <w:r>
                    <w:rPr>
                      <w:sz w:val="24"/>
                      <w:color w:val="000000"/>
                    </w:rPr>
                    <w:t>开赛两周前组织赛前现场会议，确定竞赛批次和选手抽签顺序，开放赛场备赛练习安排，讨论竞赛规程和技术文件中有异议部分，达成一致意见</w:t>
                  </w:r>
                  <w:r>
                    <w:rPr>
                      <w:sz w:val="24"/>
                      <w:color w:val="000000"/>
                    </w:rPr>
                    <w:t>。</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举行比赛</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6</w:t>
                  </w:r>
                  <w:r>
                    <w:rPr>
                      <w:sz w:val="24"/>
                      <w:color w:val="000000"/>
                    </w:rPr>
                    <w:t>年</w:t>
                  </w:r>
                  <w:r>
                    <w:rPr>
                      <w:sz w:val="24"/>
                      <w:color w:val="000000"/>
                    </w:rPr>
                    <w:t>11月</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做好比赛组织和接待工作，统筹赛事安全保障工作。</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结果公布</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6</w:t>
                  </w:r>
                  <w:r>
                    <w:rPr>
                      <w:sz w:val="24"/>
                      <w:color w:val="000000"/>
                    </w:rPr>
                    <w:t>年</w:t>
                  </w:r>
                  <w:r>
                    <w:rPr>
                      <w:sz w:val="24"/>
                      <w:color w:val="000000"/>
                    </w:rPr>
                    <w:t>11月</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做好大赛年度总结，做好过程文件存档和赛后资料上报等工作。</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证书印制</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6</w:t>
                  </w:r>
                  <w:r>
                    <w:rPr>
                      <w:sz w:val="24"/>
                      <w:color w:val="000000"/>
                    </w:rPr>
                    <w:t>年</w:t>
                  </w:r>
                  <w:r>
                    <w:rPr>
                      <w:sz w:val="24"/>
                      <w:color w:val="000000"/>
                    </w:rPr>
                    <w:t>12月</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获奖证书印制</w:t>
                  </w:r>
                  <w:r>
                    <w:rPr>
                      <w:sz w:val="24"/>
                      <w:color w:val="000000"/>
                    </w:rPr>
                    <w:t>。</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1.采购代理机构：本项目是指广东计安招标采购有限公司佛山分公司，负责整个采购活动的组织，依法负责编制和发布招标文件，对招标文件拥有最终的解释权，不以任何身份出任评标委员会成员。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中“服务类”招标代理服务费收费标准。本项目为定额收费，中标服务费为￥31,000.00元；中标服务费由中标供应商支付，含在投标报价范畴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异常低价审查，根据《关于推动解决政府采购异常低价问题的通知》（财库〔2026〕2号），评审中出现下列情形之一的，评标委员会应当启动异常低价投标审查程序： （1）投标报价低于全部通过符合性审查供应商投标报价平均值50%的，即投标报价＜全部通过符合性审查供应商投标报价平均值×50%； （2）投标报价低于通过符合性审查的次低报价供应商投标报价50%的，即投标报价＜通过符合性审查的次低报价供应商投标报价×50%； （3）投标报价低于采购项目最高限价45%的，即投标报价＜采购项目最高限价×45%； （4）评标委员会基于专业判断，认为供应商报价过低，有可能影响产品质量或者不能诚信履约的其他情形。 说明：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广东计安招标采购有限公司佛山分公司</w:t>
      </w:r>
      <w:r>
        <w:rPr/>
        <w:t>代收。具体操作要求详见</w:t>
      </w:r>
      <w:r>
        <w:rPr/>
        <w:t>广东计安招标采购有限公司佛山分公司</w:t>
      </w:r>
      <w:r>
        <w:rPr/>
        <w:t>有关指引，递交事宜请自行咨询</w:t>
      </w:r>
      <w:r>
        <w:rPr/>
        <w:t>广东计安招标采购有限公司佛山分公司</w:t>
      </w:r>
      <w:r>
        <w:rPr/>
        <w:t>；请各投标人在投标文件递交截止时间前按须知前附表规定的金额递交至</w:t>
      </w:r>
      <w:r>
        <w:rPr/>
        <w:t>广东计安招标采购有限公司佛山分公司</w:t>
      </w:r>
      <w:r>
        <w:rPr/>
        <w:t>，到账情况以开标时</w:t>
      </w:r>
      <w:r>
        <w:rPr/>
        <w:t>广东计安招标采购有限公司佛山分公司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0757-82615983</w:t>
      </w:r>
    </w:p>
    <w:p>
      <w:pPr>
        <w:pStyle w:val="null3"/>
        <w:ind w:firstLine="480"/>
      </w:pPr>
      <w:r>
        <w:rPr/>
        <w:t>传真：</w:t>
      </w:r>
      <w:r>
        <w:rPr/>
        <w:t>/</w:t>
      </w:r>
    </w:p>
    <w:p>
      <w:pPr>
        <w:pStyle w:val="null3"/>
        <w:ind w:firstLine="480"/>
      </w:pPr>
      <w:r>
        <w:rPr/>
        <w:t>邮箱：</w:t>
      </w:r>
      <w:r>
        <w:rPr/>
        <w:t>1265583227@qq.com</w:t>
      </w:r>
    </w:p>
    <w:p>
      <w:pPr>
        <w:pStyle w:val="null3"/>
        <w:ind w:firstLine="480"/>
      </w:pPr>
      <w:r>
        <w:rPr/>
        <w:t>地址：</w:t>
      </w:r>
      <w:r>
        <w:rPr/>
        <w:t>佛山市禅城区澜石（国际）金属交易中心第9座二层25、26、27号</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佛山市职业教育匠才选拔评价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广东计安招标采购有限公司佛山分公司</w:t>
      </w:r>
      <w:r>
        <w:rPr/>
        <w:t>统一对外发布。</w:t>
      </w:r>
    </w:p>
    <w:p>
      <w:pPr>
        <w:pStyle w:val="null3"/>
        <w:ind w:firstLine="480"/>
      </w:pPr>
      <w:r>
        <w:rPr/>
        <w:t>（2）对</w:t>
      </w:r>
      <w:r>
        <w:rPr/>
        <w:t>广东计安招标采购有限公司佛山分公司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采购包1（2026年佛山市职业教育匠才选拔评价项目）：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采购包1（2026年佛山市职业教育匠才选拔评价项目）：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证明材料之一：①提供《政府采购供应商资格信用承诺函》（承诺函格式见采购公告附件）；②提供投标文件提交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证明材料之一：①提供《政府采购供应商资格信用承诺函》（承诺函格式见采购公告附件）；②提供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③基本开户行出具的资信证明（要求：提供投标文件提交截止之日前6个月内（含投标文件提交截止时间当月）任意一个月出具的资信证明。资信证明不能体现基本开户账户的，应另附开户许可证（无开户许可证的，可提供由银行开具的《基本存款账户信息》（公户账户主档）或其他相关证明资料）；④政府采购专业担保机构出具的响应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以下两种证明材料之一即可：①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②按要求填写招标公告附件《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联合体投标的，对所有联合体成员进行信用记录查询，联合体成员存在不良信用记录的，视同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本采购包接受联合体投标</w:t>
            </w:r>
          </w:p>
        </w:tc>
        <w:tc>
          <w:tcPr>
            <w:tcW w:type="dxa" w:w="4238"/>
          </w:tcPr>
          <w:p>
            <w:pPr>
              <w:pStyle w:val="null3"/>
            </w:pPr>
            <w:r>
              <w:rPr/>
              <w:t>本采购包接受联合体投标。1）如是联合体投标的，组成联合体的成员数量不超过2家（已含牵头单位及成员单位），联合体须在投标文件中提供联合体共同投标协议书，协议书中应明确各方的权利、义务和投标金额的各自占比；2）联合体各方签订联合体共同投标协议书后，不得再以自己名义单独投标或加入其他联合体在同一项目中进行投标，如有违反，其投标和与此有关的联合体的投标将被拒绝；3）联合体如获得中标资格，联合体各方应当共同与采购人签订合同，为履行合同向采购人承担连带责任。联合体牵头方应被授权作为联合体各方的代表，向采购人承担责任和接受指令，并负责整个合同的全面履行。</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要求预留合同总额的40%以上面向中小企业，预留份额通过以下措施进行，投标人可选择以下其中一种方式参与：1）投标人不属于中小企业的，投标人须以联合体形式参与投标,中小微企业承担的比例不得低于合同金额的40%。组成联合体的中小微企业与联合体内的其他企业不得存在直接控股、管理关系。提交《联合体共同投标协议书》，同时提交《中小企业声明函》。2)投标人以非联合体形式参加投标的，则投标人须为中小微企业,提交《中小企业声明函》。（注：参加投标的中小微企业须符合本项目采购标的对应行业(本项目行业为：租赁和商务服务业）的政策划分标准。监狱企业、残疾人福利单位视同小型、微型企业。)</w:t>
            </w:r>
          </w:p>
        </w:tc>
      </w:tr>
    </w:tbl>
    <w:p>
      <w:pPr>
        <w:pStyle w:val="null3"/>
        <w:ind w:firstLine="480"/>
      </w:pPr>
      <w:r>
        <w:rPr/>
        <w:t>表二符合性审查表：</w:t>
      </w:r>
    </w:p>
    <w:p>
      <w:pPr>
        <w:pStyle w:val="null3"/>
      </w:pPr>
      <w:r>
        <w:rPr/>
        <w:t>采购包1（2026年佛山市职业教育匠才选拔评价项目）：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响应文件有效性</w:t>
            </w:r>
          </w:p>
        </w:tc>
        <w:tc>
          <w:tcPr>
            <w:tcW w:type="dxa" w:w="4238"/>
          </w:tcPr>
          <w:p>
            <w:pPr>
              <w:pStyle w:val="null3"/>
            </w:pPr>
            <w:r>
              <w:rPr/>
              <w:t>响应文件的投标函、法定代表人证明书和法定代表人授权书（如有）按招标文件规定签字、盖章（见投标函、法定代表人证明书、法定代表人授权书（如有））</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实质性响应招标文件中的商务要求和合同条款（见《商务条件响应表》）</w:t>
            </w:r>
          </w:p>
        </w:tc>
      </w:tr>
      <w:tr>
        <w:tc>
          <w:tcPr>
            <w:tcW w:type="dxa" w:w="890"/>
          </w:tcPr>
          <w:p>
            <w:pPr>
              <w:pStyle w:val="null3"/>
            </w:pPr>
            <w:r>
              <w:rPr/>
              <w:t>3</w:t>
            </w:r>
          </w:p>
        </w:tc>
        <w:tc>
          <w:tcPr>
            <w:tcW w:type="dxa" w:w="3178"/>
          </w:tcPr>
          <w:p>
            <w:pPr>
              <w:pStyle w:val="null3"/>
            </w:pPr>
            <w:r>
              <w:rPr/>
              <w:t>技术要求</w:t>
            </w:r>
          </w:p>
        </w:tc>
        <w:tc>
          <w:tcPr>
            <w:tcW w:type="dxa" w:w="4238"/>
          </w:tcPr>
          <w:p>
            <w:pPr>
              <w:pStyle w:val="null3"/>
            </w:pPr>
            <w:r>
              <w:rPr/>
              <w:t>实质性响应招标文件中的技术要求（见《技术和服务要求响应表》）</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投标报价方案是唯一的，符合招标文件的其他投标报价相关要求</w:t>
            </w:r>
          </w:p>
        </w:tc>
      </w:tr>
      <w:tr>
        <w:tc>
          <w:tcPr>
            <w:tcW w:type="dxa" w:w="890"/>
          </w:tcPr>
          <w:p>
            <w:pPr>
              <w:pStyle w:val="null3"/>
            </w:pPr>
            <w:r>
              <w:rPr/>
              <w:t>5</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实质性响应招标文件中的不可负偏离的重要项（带“★”项）要求；响应文件未含有采购人不能接受的附加条款（见《技术和服务要求响应表》和《商务条件响应表》）</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未发现法律、法规和招标文件规定的其他无效情形（见《商务条件响应表》）</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采购包1(2026年佛山市职业教育匠才选拔评价项目):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对项目的了解和理解 (10.0分)</w:t>
            </w:r>
          </w:p>
        </w:tc>
        <w:tc>
          <w:tcPr>
            <w:tcW w:type="dxa" w:w="5076"/>
          </w:tcPr>
          <w:p>
            <w:pPr>
              <w:pStyle w:val="null3"/>
              <w:jc w:val="left"/>
            </w:pPr>
            <w:r>
              <w:rPr/>
              <w:t>对本项目背景、需求、工作目标理解的深度、针对性及准确性进行综合评审。 1、对本项目背景、需求、工作目标理解透彻、针对性强、准确性高，得10分； 2、对本项目背景、需求、工作目标有基本理解，得6分； 3、对本项目背景、需求、工作目标的理解差，得2分； 4、不提供得0分。</w:t>
            </w:r>
          </w:p>
        </w:tc>
      </w:tr>
      <w:tr>
        <w:tc>
          <w:tcPr>
            <w:tcW w:type="dxa" w:w="922"/>
            <w:gridSpan w:val="2"/>
            <w:vMerge/>
          </w:tcPr>
          <w:p/>
        </w:tc>
        <w:tc>
          <w:tcPr>
            <w:tcW w:type="dxa" w:w="2307"/>
          </w:tcPr>
          <w:p>
            <w:pPr>
              <w:pStyle w:val="null3"/>
              <w:jc w:val="left"/>
            </w:pPr>
            <w:r>
              <w:rPr/>
              <w:t>项目实施方案（子项目一：初步拟定的各学科与各专业考核评价实施方案；子项目二：技能竞赛各赛项实施方案） (15.0分)</w:t>
            </w:r>
          </w:p>
        </w:tc>
        <w:tc>
          <w:tcPr>
            <w:tcW w:type="dxa" w:w="5076"/>
          </w:tcPr>
          <w:p>
            <w:pPr>
              <w:pStyle w:val="null3"/>
              <w:jc w:val="left"/>
            </w:pPr>
            <w:r>
              <w:rPr/>
              <w:t>根据各投标人针对本项目初步拟定的实施方案的全面性、实用性、可行性等情况进行评审，方案内容包含但不限于①实施进度计划、②组织流程、③信息化手段等方面）： 1、初步拟定的实施方案全面、实用、可行，得15分； 2、初步拟定的实施方案全面性、实用性、可行性一般，得9分； 3、初步拟定的实施方案不够全面、实用性较差、可行性较差，得3分； 3、不提供得0分。</w:t>
            </w:r>
          </w:p>
        </w:tc>
      </w:tr>
      <w:tr>
        <w:tc>
          <w:tcPr>
            <w:tcW w:type="dxa" w:w="922"/>
            <w:gridSpan w:val="2"/>
            <w:vMerge/>
          </w:tcPr>
          <w:p/>
        </w:tc>
        <w:tc>
          <w:tcPr>
            <w:tcW w:type="dxa" w:w="2307"/>
          </w:tcPr>
          <w:p>
            <w:pPr>
              <w:pStyle w:val="null3"/>
              <w:jc w:val="left"/>
            </w:pPr>
            <w:r>
              <w:rPr/>
              <w:t>技术文件（子项目一：初步拟定的各学科与各专业考核评价题目；子项目二：初步拟定的各赛项竞赛题目） (15.0分)</w:t>
            </w:r>
          </w:p>
        </w:tc>
        <w:tc>
          <w:tcPr>
            <w:tcW w:type="dxa" w:w="5076"/>
          </w:tcPr>
          <w:p>
            <w:pPr>
              <w:pStyle w:val="null3"/>
              <w:jc w:val="left"/>
            </w:pPr>
            <w:r>
              <w:rPr/>
              <w:t>对各投标人针对本项目制定的技术文件进行综合评价： 1、技术文件全面实用、条理清晰、针对性强，优势明显，得15分； 2、技术文件符合基本要求，条理不够清晰，针对性较一般，得9分； 3、技术文件不符合基本要求、可操作性不足，得3分； 4、不提供得0分。</w:t>
            </w:r>
          </w:p>
        </w:tc>
      </w:tr>
      <w:tr>
        <w:tc>
          <w:tcPr>
            <w:tcW w:type="dxa" w:w="922"/>
            <w:gridSpan w:val="2"/>
            <w:vMerge/>
          </w:tcPr>
          <w:p/>
        </w:tc>
        <w:tc>
          <w:tcPr>
            <w:tcW w:type="dxa" w:w="2307"/>
          </w:tcPr>
          <w:p>
            <w:pPr>
              <w:pStyle w:val="null3"/>
              <w:jc w:val="left"/>
            </w:pPr>
            <w:r>
              <w:rPr/>
              <w:t>保障措施及应急方案 (5.0分)</w:t>
            </w:r>
          </w:p>
        </w:tc>
        <w:tc>
          <w:tcPr>
            <w:tcW w:type="dxa" w:w="5076"/>
          </w:tcPr>
          <w:p>
            <w:pPr>
              <w:pStyle w:val="null3"/>
              <w:jc w:val="left"/>
            </w:pPr>
            <w:r>
              <w:rPr/>
              <w:t>包括各关键节点的保障措施，针对项目执行过程中可能发生的紧急情况或突发事件的应急方案： 1、各关键节点的保障措施具体合理，应急方案详细合理，可行性高，得5分； 2、各关键节点的保障措施较片面，应急方案描述不够清晰，可行性一般，得3分； 3、各关键节点的保障措施较简单，应急方案描述模糊，可行性差，得1分； 4、不提供得0分。</w:t>
            </w:r>
          </w:p>
        </w:tc>
      </w:tr>
      <w:tr>
        <w:tc>
          <w:tcPr>
            <w:tcW w:type="dxa" w:w="922"/>
            <w:gridSpan w:val="2"/>
            <w:vMerge/>
          </w:tcPr>
          <w:p/>
        </w:tc>
        <w:tc>
          <w:tcPr>
            <w:tcW w:type="dxa" w:w="2307"/>
          </w:tcPr>
          <w:p>
            <w:pPr>
              <w:pStyle w:val="null3"/>
              <w:jc w:val="left"/>
            </w:pPr>
            <w:r>
              <w:rPr/>
              <w:t>职业教育状况了解程度 (15.0分)</w:t>
            </w:r>
          </w:p>
        </w:tc>
        <w:tc>
          <w:tcPr>
            <w:tcW w:type="dxa" w:w="5076"/>
          </w:tcPr>
          <w:p>
            <w:pPr>
              <w:pStyle w:val="null3"/>
              <w:jc w:val="left"/>
            </w:pPr>
            <w:r>
              <w:rPr/>
              <w:t>根据投标人对本地的职业教育状况的了解及熟悉程度进行评审： 1、了解本地职业教育状况的，得15分； 2、比较了解本地职业教育状况的，得10分； 3、基本了解本地职业教育状况的，得5分； 4、不提供得0分。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(24.0分)</w:t>
            </w:r>
          </w:p>
        </w:tc>
        <w:tc>
          <w:tcPr>
            <w:tcW w:type="dxa" w:w="5076"/>
          </w:tcPr>
          <w:p>
            <w:pPr>
              <w:pStyle w:val="null3"/>
              <w:jc w:val="left"/>
            </w:pPr>
            <w:r>
              <w:rPr/>
              <w:t>投标人自2022年至今（以合同签订时间为准）承接过的同类项目（教育成果考核评价或技能大赛的承办），每提供一份得3分，其中教育成果考核评价最高得12分，技能大赛的承办最高得12分，本项最高得24分。 注：须提供合同扫描件作为证明材料,不提供得0分。</w:t>
            </w:r>
          </w:p>
        </w:tc>
      </w:tr>
      <w:tr>
        <w:tc>
          <w:tcPr>
            <w:tcW w:type="dxa" w:w="922"/>
            <w:gridSpan w:val="2"/>
            <w:vMerge/>
          </w:tcPr>
          <w:p/>
        </w:tc>
        <w:tc>
          <w:tcPr>
            <w:tcW w:type="dxa" w:w="2307"/>
          </w:tcPr>
          <w:p>
            <w:pPr>
              <w:pStyle w:val="null3"/>
              <w:jc w:val="left"/>
            </w:pPr>
            <w:r>
              <w:rPr/>
              <w:t>质量保证体系及后续服务保障 (6.0分)</w:t>
            </w:r>
          </w:p>
        </w:tc>
        <w:tc>
          <w:tcPr>
            <w:tcW w:type="dxa" w:w="5076"/>
          </w:tcPr>
          <w:p>
            <w:pPr>
              <w:pStyle w:val="null3"/>
              <w:jc w:val="left"/>
            </w:pPr>
            <w:r>
              <w:rPr/>
              <w:t>根据各投标人提出的质量保证体系及后续服务保障进行评审： 1、质量保证体系及后续服务保障详细、具体、可操作性高，得6分； 2、质量保证体系及后续服务保障较详细、可操作性一般，得3分； 3、质量保证体系及后续服务保障简单、可操作性不高，得1分； 4、不提供得0分。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sz w:val="68"/>
        </w:rPr>
        <w:t>佛山市政府采购项目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68"/>
        </w:rPr>
        <w:t>合同书</w:t>
      </w:r>
    </w:p>
    <w:p>
      <w:pPr>
        <w:pStyle w:val="null3"/>
        <w:jc w:val="center"/>
      </w:pPr>
      <w:r>
        <w:rPr/>
        <w:t xml:space="preserve"> </w:t>
      </w:r>
    </w:p>
    <w:p>
      <w:pPr>
        <w:pStyle w:val="null3"/>
        <w:ind w:firstLine="2409"/>
        <w:jc w:val="both"/>
      </w:pPr>
      <w:r>
        <w:rPr/>
        <w:t xml:space="preserve"> </w:t>
      </w:r>
    </w:p>
    <w:p>
      <w:pPr>
        <w:pStyle w:val="null3"/>
        <w:ind w:firstLine="2409"/>
        <w:jc w:val="both"/>
      </w:pPr>
      <w:r>
        <w:rPr/>
        <w:t xml:space="preserve"> </w:t>
      </w:r>
    </w:p>
    <w:p>
      <w:pPr>
        <w:pStyle w:val="null3"/>
        <w:ind w:firstLine="2409"/>
        <w:jc w:val="both"/>
      </w:pPr>
      <w:r>
        <w:rPr>
          <w:sz w:val="24"/>
        </w:rPr>
        <w:t>项目编号：</w:t>
      </w:r>
      <w:r>
        <w:rPr>
          <w:u w:val="single"/>
        </w:rPr>
        <w:t xml:space="preserve">                   </w:t>
      </w:r>
    </w:p>
    <w:p>
      <w:pPr>
        <w:pStyle w:val="null3"/>
        <w:ind w:firstLine="2409"/>
        <w:jc w:val="both"/>
      </w:pPr>
      <w:r>
        <w:rPr>
          <w:sz w:val="24"/>
        </w:rPr>
        <w:t>项目名称：</w:t>
      </w:r>
      <w:r>
        <w:rPr>
          <w:u w:val="single"/>
        </w:rPr>
        <w:t xml:space="preserve">                   </w:t>
      </w:r>
    </w:p>
    <w:p>
      <w:pPr>
        <w:pStyle w:val="null3"/>
        <w:ind w:firstLine="2409"/>
        <w:jc w:val="both"/>
      </w:pPr>
      <w:r>
        <w:rPr/>
        <w:t xml:space="preserve"> </w:t>
      </w:r>
    </w:p>
    <w:p>
      <w:pPr>
        <w:pStyle w:val="null3"/>
        <w:ind w:firstLine="2409"/>
        <w:jc w:val="both"/>
      </w:pPr>
      <w:r>
        <w:rPr/>
        <w:t xml:space="preserve"> </w:t>
      </w:r>
    </w:p>
    <w:p>
      <w:pPr>
        <w:pStyle w:val="null3"/>
        <w:ind w:firstLine="2409"/>
        <w:jc w:val="both"/>
      </w:pPr>
      <w:r>
        <w:rPr/>
        <w:t xml:space="preserve"> </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659"/>
        <w:gridCol w:w="5647"/>
      </w:tblGrid>
      <w:tr>
        <w:tc>
          <w:tcPr>
            <w:tcW w:type="dxa" w:w="2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甲</w:t>
            </w:r>
            <w:r>
              <w:rPr>
                <w:sz w:val="24"/>
              </w:rPr>
              <w:t xml:space="preserve">   </w:t>
            </w:r>
            <w:r>
              <w:rPr>
                <w:sz w:val="24"/>
              </w:rPr>
              <w:t>方：</w:t>
            </w:r>
          </w:p>
        </w:tc>
        <w:tc>
          <w:tcPr>
            <w:tcW w:type="dxa" w:w="56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 xml:space="preserve">         </w:t>
            </w:r>
            <w:r>
              <w:rPr>
                <w:sz w:val="24"/>
                <w:u w:val="single"/>
              </w:rPr>
              <w:t>采购人名称</w:t>
            </w:r>
            <w:r>
              <w:rPr>
                <w:sz w:val="24"/>
                <w:u w:val="single"/>
              </w:rPr>
              <w:t xml:space="preserve">         </w:t>
            </w:r>
          </w:p>
        </w:tc>
      </w:tr>
      <w:tr>
        <w:tc>
          <w:tcPr>
            <w:tcW w:type="dxa" w:w="2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乙</w:t>
            </w:r>
            <w:r>
              <w:rPr>
                <w:sz w:val="24"/>
              </w:rPr>
              <w:t xml:space="preserve">   </w:t>
            </w:r>
            <w:r>
              <w:rPr>
                <w:sz w:val="24"/>
              </w:rPr>
              <w:t>方：</w:t>
            </w:r>
          </w:p>
        </w:tc>
        <w:tc>
          <w:tcPr>
            <w:tcW w:type="dxa" w:w="56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 xml:space="preserve">  </w:t>
            </w:r>
            <w:r>
              <w:rPr>
                <w:sz w:val="24"/>
                <w:u w:val="single"/>
              </w:rPr>
              <w:t>（中标</w:t>
            </w:r>
            <w:r>
              <w:rPr>
                <w:sz w:val="24"/>
                <w:u w:val="single"/>
              </w:rPr>
              <w:t>/</w:t>
            </w:r>
            <w:r>
              <w:rPr>
                <w:sz w:val="24"/>
                <w:u w:val="single"/>
              </w:rPr>
              <w:t xml:space="preserve">成交供应商名称）   </w:t>
            </w:r>
          </w:p>
        </w:tc>
      </w:tr>
      <w:tr>
        <w:tc>
          <w:tcPr>
            <w:tcW w:type="dxa" w:w="2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签订日期：</w:t>
            </w:r>
          </w:p>
        </w:tc>
        <w:tc>
          <w:tcPr>
            <w:tcW w:type="dxa" w:w="56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4"/>
                <w:u w:val="single"/>
              </w:rPr>
              <w:t xml:space="preserve"> </w:t>
            </w:r>
            <w:r>
              <w:rPr>
                <w:sz w:val="24"/>
                <w:u w:val="single"/>
              </w:rPr>
              <w:t>年</w:t>
            </w:r>
            <w:r>
              <w:rPr>
                <w:sz w:val="24"/>
                <w:u w:val="single"/>
              </w:rPr>
              <w:t xml:space="preserve">  </w:t>
            </w:r>
            <w:r>
              <w:rPr>
                <w:sz w:val="19"/>
                <w:u w:val="single"/>
              </w:rPr>
              <w:t xml:space="preserve">   </w:t>
            </w:r>
            <w:r>
              <w:rPr>
                <w:sz w:val="24"/>
                <w:u w:val="single"/>
              </w:rPr>
              <w:t xml:space="preserve"> </w:t>
            </w:r>
            <w:r>
              <w:rPr>
                <w:sz w:val="24"/>
                <w:u w:val="single"/>
              </w:rPr>
              <w:t>月</w:t>
            </w:r>
            <w:r>
              <w:rPr>
                <w:sz w:val="24"/>
                <w:u w:val="single"/>
              </w:rPr>
              <w:t xml:space="preserve">    </w:t>
            </w:r>
            <w:r>
              <w:rPr>
                <w:sz w:val="19"/>
                <w:u w:val="single"/>
              </w:rPr>
              <w:t xml:space="preserve"> </w:t>
            </w:r>
            <w:r>
              <w:rPr>
                <w:sz w:val="24"/>
                <w:u w:val="single"/>
              </w:rPr>
              <w:t>日</w:t>
            </w:r>
            <w:r>
              <w:rPr>
                <w:sz w:val="24"/>
                <w:u w:val="single"/>
              </w:rPr>
              <w:t xml:space="preserve">       </w:t>
            </w:r>
          </w:p>
        </w:tc>
      </w:tr>
    </w:tbl>
    <w:p>
      <w:pPr>
        <w:pStyle w:val="null3"/>
        <w:jc w:val="center"/>
      </w:pPr>
      <w:r>
        <w:rPr/>
        <w:t xml:space="preserve"> </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rPr>
        <w:t>佛山市政府采购项目合同书</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1685"/>
        <w:gridCol w:w="6621"/>
      </w:tblGrid>
      <w:tr>
        <w:tc>
          <w:tcPr>
            <w:tcW w:type="dxa" w:w="16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项目名称：</w:t>
            </w:r>
          </w:p>
        </w:tc>
        <w:tc>
          <w:tcPr>
            <w:tcW w:type="dxa" w:w="6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项目编号：</w:t>
            </w:r>
          </w:p>
        </w:tc>
        <w:tc>
          <w:tcPr>
            <w:tcW w:type="dxa" w:w="6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r>
      <w:tr>
        <w:tc>
          <w:tcPr>
            <w:tcW w:type="dxa" w:w="16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w:t>
            </w:r>
            <w:r>
              <w:rPr>
                <w:sz w:val="24"/>
              </w:rPr>
              <w:t xml:space="preserve">    </w:t>
            </w:r>
            <w:r>
              <w:rPr>
                <w:sz w:val="24"/>
              </w:rPr>
              <w:t>方：</w:t>
            </w:r>
          </w:p>
        </w:tc>
        <w:tc>
          <w:tcPr>
            <w:tcW w:type="dxa" w:w="6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 xml:space="preserve">  </w:t>
            </w:r>
            <w:r>
              <w:rPr>
                <w:sz w:val="24"/>
                <w:u w:val="single"/>
              </w:rPr>
              <w:t>（采购人名称）</w:t>
            </w:r>
            <w:r>
              <w:rPr>
                <w:sz w:val="24"/>
                <w:u w:val="single"/>
              </w:rPr>
              <w:t xml:space="preserve">       </w:t>
            </w:r>
            <w:r>
              <w:rPr>
                <w:sz w:val="19"/>
                <w:u w:val="single"/>
              </w:rPr>
              <w:t xml:space="preserve">     </w:t>
            </w:r>
          </w:p>
        </w:tc>
      </w:tr>
      <w:tr>
        <w:tc>
          <w:tcPr>
            <w:tcW w:type="dxa" w:w="16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w:t>
            </w:r>
            <w:r>
              <w:rPr>
                <w:sz w:val="24"/>
              </w:rPr>
              <w:t xml:space="preserve">   </w:t>
            </w:r>
            <w:r>
              <w:rPr>
                <w:sz w:val="24"/>
              </w:rPr>
              <w:t>方：</w:t>
            </w:r>
          </w:p>
        </w:tc>
        <w:tc>
          <w:tcPr>
            <w:tcW w:type="dxa" w:w="6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（中标</w:t>
            </w:r>
            <w:r>
              <w:rPr>
                <w:sz w:val="24"/>
                <w:u w:val="single"/>
              </w:rPr>
              <w:t>/</w:t>
            </w:r>
            <w:r>
              <w:rPr>
                <w:sz w:val="24"/>
                <w:u w:val="single"/>
              </w:rPr>
              <w:t>成交供应商）</w:t>
            </w:r>
            <w:r>
              <w:rPr>
                <w:sz w:val="19"/>
                <w:u w:val="single"/>
              </w:rPr>
              <w:t xml:space="preserve">      </w:t>
            </w:r>
          </w:p>
        </w:tc>
      </w:tr>
    </w:tbl>
    <w:p>
      <w:pPr>
        <w:pStyle w:val="null3"/>
        <w:jc w:val="left"/>
      </w:pPr>
      <w:r>
        <w:rPr>
          <w:sz w:val="24"/>
        </w:rPr>
        <w:t>根据《中华人民共和国政府采购法》《中华人民共和国民法典》和本项目采购文件的要求，经双方协商，本着平等互利和诚实信用的原则，一致同意签订本合同如下。</w:t>
      </w:r>
    </w:p>
    <w:p>
      <w:pPr>
        <w:pStyle w:val="null3"/>
        <w:jc w:val="both"/>
      </w:pPr>
      <w:r>
        <w:rPr>
          <w:sz w:val="24"/>
          <w:b/>
        </w:rPr>
        <w:t>一、项目主要内容及实现功能目标：</w:t>
      </w:r>
    </w:p>
    <w:p>
      <w:pPr>
        <w:pStyle w:val="null3"/>
        <w:jc w:val="both"/>
      </w:pPr>
      <w:r>
        <w:rPr>
          <w:sz w:val="24"/>
          <w:b/>
        </w:rPr>
        <w:t>子项目一：</w:t>
      </w:r>
      <w:r>
        <w:rPr>
          <w:sz w:val="24"/>
          <w:b/>
        </w:rPr>
        <w:t>2026</w:t>
      </w:r>
      <w:r>
        <w:rPr>
          <w:sz w:val="24"/>
          <w:b/>
        </w:rPr>
        <w:t>年佛山市中等职业学校教学质量监测</w:t>
      </w:r>
    </w:p>
    <w:p>
      <w:pPr>
        <w:pStyle w:val="null3"/>
        <w:jc w:val="both"/>
      </w:pPr>
      <w:r>
        <w:rPr>
          <w:sz w:val="24"/>
        </w:rPr>
        <w:t>（一）项目背景</w:t>
      </w:r>
    </w:p>
    <w:p>
      <w:pPr>
        <w:pStyle w:val="null3"/>
        <w:ind w:firstLine="480"/>
        <w:jc w:val="both"/>
      </w:pPr>
      <w:r>
        <w:rPr>
          <w:sz w:val="24"/>
        </w:rPr>
        <w:t>为进一步深化佛山市创建现代职业教育综合改革示范市成果，提升职业教育培养的人才与市场需求间的匹配度、吻合度、契合度，全面提高人才培养质量，推动我市职业教育专业建设与产业发展需求精准对接，建立紧密对接产业链、创新链的专业体系。</w:t>
      </w:r>
      <w:r>
        <w:rPr>
          <w:sz w:val="24"/>
        </w:rPr>
        <w:t>根据《佛山市推进现代化教育强市建设三年行动计划（</w:t>
      </w:r>
      <w:r>
        <w:rPr>
          <w:sz w:val="24"/>
        </w:rPr>
        <w:t>2025—2027年）》（佛委教育组〔2025〕4号）有关精神，</w:t>
      </w:r>
      <w:r>
        <w:rPr>
          <w:sz w:val="24"/>
        </w:rPr>
        <w:t>拟</w:t>
      </w:r>
      <w:r>
        <w:rPr>
          <w:sz w:val="24"/>
        </w:rPr>
        <w:t>对</w:t>
      </w:r>
      <w:r>
        <w:rPr>
          <w:sz w:val="24"/>
        </w:rPr>
        <w:t>佛山市中等职业学校</w:t>
      </w:r>
      <w:r>
        <w:rPr>
          <w:sz w:val="24"/>
        </w:rPr>
        <w:t>开展教学质量监测工作，其中对</w:t>
      </w:r>
      <w:r>
        <w:rPr>
          <w:sz w:val="24"/>
        </w:rPr>
        <w:t>2024级学生开展文化基础考核，对2025级毕业生会计事务</w:t>
      </w:r>
      <w:r>
        <w:rPr>
          <w:sz w:val="24"/>
        </w:rPr>
        <w:t>等</w:t>
      </w:r>
      <w:r>
        <w:rPr>
          <w:sz w:val="24"/>
        </w:rPr>
        <w:t>3</w:t>
      </w:r>
      <w:r>
        <w:rPr>
          <w:sz w:val="24"/>
        </w:rPr>
        <w:t>个专业开展</w:t>
      </w:r>
      <w:r>
        <w:rPr>
          <w:sz w:val="24"/>
        </w:rPr>
        <w:t>专业能力</w:t>
      </w:r>
      <w:r>
        <w:rPr>
          <w:sz w:val="24"/>
        </w:rPr>
        <w:t>第三方</w:t>
      </w:r>
      <w:r>
        <w:rPr>
          <w:sz w:val="24"/>
        </w:rPr>
        <w:t>考核</w:t>
      </w:r>
      <w:r>
        <w:rPr>
          <w:sz w:val="24"/>
        </w:rPr>
        <w:t>（以下简称</w:t>
      </w:r>
      <w:r>
        <w:rPr>
          <w:sz w:val="24"/>
        </w:rPr>
        <w:t>“第三方</w:t>
      </w:r>
      <w:r>
        <w:rPr>
          <w:sz w:val="24"/>
        </w:rPr>
        <w:t>考核</w:t>
      </w:r>
      <w:r>
        <w:rPr>
          <w:sz w:val="24"/>
        </w:rPr>
        <w:t>”）。</w:t>
      </w:r>
    </w:p>
    <w:p>
      <w:pPr>
        <w:pStyle w:val="null3"/>
        <w:jc w:val="both"/>
      </w:pPr>
      <w:r>
        <w:rPr>
          <w:sz w:val="24"/>
        </w:rPr>
        <w:t>（二）指导思想</w:t>
      </w:r>
    </w:p>
    <w:p>
      <w:pPr>
        <w:pStyle w:val="null3"/>
        <w:ind w:firstLine="480"/>
        <w:jc w:val="both"/>
      </w:pPr>
      <w:r>
        <w:rPr>
          <w:sz w:val="24"/>
        </w:rPr>
        <w:t>以《国家职业教育改革实施方案》《关于推动现代职业教育高质量发展的意见》和《深化新时代教育评价改革总体方案》的精神为指导，坚持立德树人根本任务，以服务发展为宗旨，以促进毕业生高质量就业为导向，适应我市产业升级、技术进步以及社会转型的需要，探索现代职业教育体制机制创新，统筹发挥好政府和市场的作用，加快现代职业教育体系建设，培养高素质劳动者和技术技能人才。</w:t>
      </w:r>
    </w:p>
    <w:p>
      <w:pPr>
        <w:pStyle w:val="null3"/>
        <w:jc w:val="both"/>
      </w:pPr>
      <w:r>
        <w:rPr>
          <w:sz w:val="24"/>
        </w:rPr>
        <w:t>（三）目的意义</w:t>
      </w:r>
    </w:p>
    <w:p>
      <w:pPr>
        <w:pStyle w:val="null3"/>
        <w:ind w:firstLine="480"/>
        <w:jc w:val="both"/>
      </w:pPr>
      <w:r>
        <w:rPr>
          <w:sz w:val="24"/>
        </w:rPr>
        <w:t>1</w:t>
      </w:r>
      <w:r>
        <w:rPr>
          <w:sz w:val="24"/>
        </w:rPr>
        <w:t>、</w:t>
      </w:r>
      <w:r>
        <w:rPr>
          <w:sz w:val="24"/>
        </w:rPr>
        <w:t>通过实施</w:t>
      </w:r>
      <w:r>
        <w:rPr>
          <w:sz w:val="24"/>
        </w:rPr>
        <w:t>教学质量监测</w:t>
      </w:r>
      <w:r>
        <w:rPr>
          <w:sz w:val="24"/>
        </w:rPr>
        <w:t>，构建文化基础考核与专业技能考核并行的双轨评</w:t>
      </w:r>
      <w:r>
        <w:rPr>
          <w:sz w:val="24"/>
        </w:rPr>
        <w:t>价体系，既保障学生夯实文化基础，又强化岗位核心技能培养，形成</w:t>
      </w:r>
      <w:r>
        <w:rPr>
          <w:sz w:val="24"/>
        </w:rPr>
        <w:t>“升学有基础、就业有能力”的人才培养新格局。</w:t>
      </w:r>
    </w:p>
    <w:p>
      <w:pPr>
        <w:pStyle w:val="null3"/>
        <w:ind w:firstLine="480"/>
        <w:jc w:val="both"/>
      </w:pPr>
      <w:r>
        <w:rPr>
          <w:sz w:val="24"/>
        </w:rPr>
        <w:t>2</w:t>
      </w:r>
      <w:r>
        <w:rPr>
          <w:sz w:val="24"/>
        </w:rPr>
        <w:t>、</w:t>
      </w:r>
      <w:r>
        <w:rPr>
          <w:sz w:val="24"/>
        </w:rPr>
        <w:t>通过</w:t>
      </w:r>
      <w:r>
        <w:rPr>
          <w:sz w:val="24"/>
        </w:rPr>
        <w:t>建立科学</w:t>
      </w:r>
      <w:r>
        <w:rPr>
          <w:sz w:val="24"/>
        </w:rPr>
        <w:t>考核评价机制，检验职业教育人才培养状态，建立专业设置动态调整机制，避免盲目建设、重复建设，形成专业与产业分布形态相适应的合理布局。</w:t>
      </w:r>
    </w:p>
    <w:p>
      <w:pPr>
        <w:pStyle w:val="null3"/>
        <w:ind w:firstLine="480"/>
        <w:jc w:val="both"/>
      </w:pPr>
      <w:r>
        <w:rPr>
          <w:sz w:val="24"/>
        </w:rPr>
        <w:t>3</w:t>
      </w:r>
      <w:r>
        <w:rPr>
          <w:sz w:val="24"/>
        </w:rPr>
        <w:t>、</w:t>
      </w:r>
      <w:r>
        <w:rPr>
          <w:sz w:val="24"/>
        </w:rPr>
        <w:t>促使职业学校客观认识人才培养结果，并以此自加压力，不断发现问题、分析问题，促进教师、教法、教材</w:t>
      </w:r>
      <w:r>
        <w:rPr>
          <w:sz w:val="24"/>
        </w:rPr>
        <w:t>“三教”改革，适应新技术、新模式、新业态发展实际。进一步深化内涵建设，提升人才培养规格，更好地服务于区域经济转型升级。</w:t>
      </w:r>
    </w:p>
    <w:p>
      <w:pPr>
        <w:pStyle w:val="null3"/>
      </w:pPr>
      <w:r>
        <w:rPr>
          <w:sz w:val="24"/>
        </w:rPr>
        <w:t>（四）乙方</w:t>
      </w:r>
      <w:r>
        <w:rPr>
          <w:sz w:val="24"/>
        </w:rPr>
        <w:t>工作内容如下</w:t>
      </w:r>
      <w:r>
        <w:rPr>
          <w:sz w:val="24"/>
        </w:rPr>
        <w:t>：</w:t>
      </w:r>
    </w:p>
    <w:p>
      <w:pPr>
        <w:pStyle w:val="null3"/>
        <w:ind w:firstLine="480"/>
        <w:jc w:val="both"/>
      </w:pPr>
      <w:r>
        <w:rPr>
          <w:sz w:val="24"/>
        </w:rPr>
        <w:t>1</w:t>
      </w:r>
      <w:r>
        <w:rPr>
          <w:sz w:val="24"/>
        </w:rPr>
        <w:t>、</w:t>
      </w:r>
      <w:r>
        <w:rPr>
          <w:sz w:val="24"/>
        </w:rPr>
        <w:t>全面负责学生文化基础和专业能力第三方考核评价的规划、筹备、实施等各项工作。</w:t>
      </w:r>
    </w:p>
    <w:p>
      <w:pPr>
        <w:pStyle w:val="null3"/>
        <w:ind w:firstLine="480"/>
        <w:jc w:val="both"/>
      </w:pPr>
      <w:r>
        <w:rPr>
          <w:sz w:val="24"/>
        </w:rPr>
        <w:t>2</w:t>
      </w:r>
      <w:r>
        <w:rPr>
          <w:sz w:val="24"/>
        </w:rPr>
        <w:t>、</w:t>
      </w:r>
      <w:r>
        <w:rPr>
          <w:sz w:val="24"/>
        </w:rPr>
        <w:t>负责制定考核评价专家遴选制度</w:t>
      </w:r>
      <w:r>
        <w:rPr>
          <w:sz w:val="24"/>
        </w:rPr>
        <w:t>(范围、标准、退出机制等)，组建专家库。</w:t>
      </w:r>
    </w:p>
    <w:p>
      <w:pPr>
        <w:pStyle w:val="null3"/>
        <w:ind w:firstLine="480"/>
        <w:jc w:val="both"/>
      </w:pPr>
      <w:r>
        <w:rPr>
          <w:sz w:val="24"/>
        </w:rPr>
        <w:t>3</w:t>
      </w:r>
      <w:r>
        <w:rPr>
          <w:sz w:val="24"/>
        </w:rPr>
        <w:t>、</w:t>
      </w:r>
      <w:r>
        <w:rPr>
          <w:sz w:val="24"/>
        </w:rPr>
        <w:t>根据佛山市第三方考核评价要求，负责制定第三方考核评价实施方案。</w:t>
      </w:r>
    </w:p>
    <w:p>
      <w:pPr>
        <w:pStyle w:val="null3"/>
        <w:ind w:firstLine="480"/>
        <w:jc w:val="both"/>
      </w:pPr>
      <w:r>
        <w:rPr>
          <w:sz w:val="24"/>
        </w:rPr>
        <w:t>4</w:t>
      </w:r>
      <w:r>
        <w:rPr>
          <w:sz w:val="24"/>
        </w:rPr>
        <w:t>、</w:t>
      </w:r>
      <w:r>
        <w:rPr>
          <w:sz w:val="24"/>
        </w:rPr>
        <w:t>负责文化基础和专业能力样题命制、编制样题答案、样题审核，进行样题测试结果分析。</w:t>
      </w:r>
    </w:p>
    <w:p>
      <w:pPr>
        <w:pStyle w:val="null3"/>
        <w:ind w:firstLine="480"/>
        <w:jc w:val="both"/>
      </w:pPr>
      <w:r>
        <w:rPr>
          <w:sz w:val="24"/>
        </w:rPr>
        <w:t>5</w:t>
      </w:r>
      <w:r>
        <w:rPr>
          <w:sz w:val="24"/>
        </w:rPr>
        <w:t>、</w:t>
      </w:r>
      <w:r>
        <w:rPr>
          <w:sz w:val="24"/>
        </w:rPr>
        <w:t>负责组织文化基础和专业能力考试实施工作，包括试题印刷</w:t>
      </w:r>
      <w:r>
        <w:rPr>
          <w:sz w:val="24"/>
        </w:rPr>
        <w:t>(确保试卷保密性)，考场落实，考试组织，考试监督，阅卷改卷等。</w:t>
      </w:r>
    </w:p>
    <w:p>
      <w:pPr>
        <w:pStyle w:val="null3"/>
        <w:ind w:firstLine="480"/>
        <w:jc w:val="both"/>
      </w:pPr>
      <w:r>
        <w:rPr>
          <w:sz w:val="24"/>
        </w:rPr>
        <w:t>6</w:t>
      </w:r>
      <w:r>
        <w:rPr>
          <w:sz w:val="24"/>
        </w:rPr>
        <w:t>、</w:t>
      </w:r>
      <w:r>
        <w:rPr>
          <w:sz w:val="24"/>
        </w:rPr>
        <w:t>负责对本次考核评价工作进行全面系统总结，形成文化基础考核评价报告和专业能力第三方考核评价报告。</w:t>
      </w:r>
    </w:p>
    <w:p>
      <w:pPr>
        <w:pStyle w:val="null3"/>
        <w:ind w:firstLine="480"/>
        <w:jc w:val="both"/>
      </w:pPr>
      <w:r>
        <w:rPr>
          <w:sz w:val="24"/>
        </w:rPr>
        <w:t>7</w:t>
      </w:r>
      <w:r>
        <w:rPr>
          <w:sz w:val="24"/>
        </w:rPr>
        <w:t>、</w:t>
      </w:r>
      <w:r>
        <w:rPr>
          <w:sz w:val="24"/>
        </w:rPr>
        <w:t>承担以上各项服务的相关费用。</w:t>
      </w:r>
    </w:p>
    <w:p>
      <w:pPr>
        <w:pStyle w:val="null3"/>
        <w:spacing w:after="120"/>
        <w:jc w:val="both"/>
      </w:pPr>
      <w:r>
        <w:rPr>
          <w:sz w:val="24"/>
          <w:b/>
        </w:rPr>
        <w:t>子项目二：</w:t>
      </w:r>
      <w:r>
        <w:rPr>
          <w:sz w:val="24"/>
          <w:b/>
        </w:rPr>
        <w:t>2026</w:t>
      </w:r>
      <w:r>
        <w:rPr>
          <w:sz w:val="24"/>
          <w:b/>
        </w:rPr>
        <w:t>年佛山市中等职业学校技能大赛</w:t>
      </w:r>
    </w:p>
    <w:p>
      <w:pPr>
        <w:pStyle w:val="null3"/>
        <w:ind w:firstLine="480"/>
        <w:jc w:val="both"/>
      </w:pPr>
      <w:r>
        <w:rPr>
          <w:sz w:val="24"/>
        </w:rPr>
        <w:t>为贯彻落实《国家职业教育改革实施方案》《关于推动现代职业教育高质量发展的意见》精神，积极响应国家</w:t>
      </w:r>
      <w:r>
        <w:rPr>
          <w:sz w:val="24"/>
        </w:rPr>
        <w:t>“坚持工学结合、知行合一、德技并修，坚持培育和弘扬工匠精神”的号召，进一步深化我市创建现代职业教育综合改革示范市成果，根据《教育部关于印发202</w:t>
      </w:r>
      <w:r>
        <w:rPr>
          <w:sz w:val="24"/>
        </w:rPr>
        <w:t>6</w:t>
      </w:r>
      <w:r>
        <w:rPr>
          <w:sz w:val="24"/>
        </w:rPr>
        <w:t>年世界职业院校技能大赛实施方案的通知》及《广东省教育厅关于举办</w:t>
      </w:r>
      <w:r>
        <w:rPr>
          <w:sz w:val="24"/>
        </w:rPr>
        <w:t>2025-2026学年省职业院校学生专业技能大赛的通知》，拟举办202</w:t>
      </w:r>
      <w:r>
        <w:rPr>
          <w:sz w:val="24"/>
        </w:rPr>
        <w:t>6</w:t>
      </w:r>
      <w:r>
        <w:rPr>
          <w:sz w:val="24"/>
        </w:rPr>
        <w:t>年全市</w:t>
      </w:r>
      <w:r>
        <w:rPr>
          <w:sz w:val="24"/>
        </w:rPr>
        <w:t>中等职业学校</w:t>
      </w:r>
      <w:r>
        <w:rPr>
          <w:sz w:val="24"/>
        </w:rPr>
        <w:t>技能大赛，进一步发挥以赛促教促学的引领作用。</w:t>
      </w:r>
    </w:p>
    <w:p>
      <w:pPr>
        <w:pStyle w:val="null3"/>
        <w:ind w:firstLine="480"/>
        <w:jc w:val="both"/>
      </w:pPr>
      <w:r>
        <w:rPr>
          <w:sz w:val="24"/>
          <w:b/>
          <w:color w:val="000000"/>
        </w:rPr>
        <w:t>（一）指导思想</w:t>
      </w:r>
    </w:p>
    <w:p>
      <w:pPr>
        <w:pStyle w:val="null3"/>
        <w:ind w:firstLine="480"/>
        <w:jc w:val="both"/>
      </w:pPr>
      <w:r>
        <w:rPr>
          <w:sz w:val="24"/>
          <w:color w:val="000000"/>
        </w:rPr>
        <w:t>为贯彻党的二十大精神以及《中华人民共和国职业教育法》《关于深化现代职业教育体系建设改革的意见》等有关文件精神，坚持职业教育与普通教育不同类型、同等重要的战略定位，坚持</w:t>
      </w:r>
      <w:r>
        <w:rPr>
          <w:sz w:val="24"/>
          <w:color w:val="000000"/>
        </w:rPr>
        <w:t>“以赛促教、以赛促学，以赛促改、以赛促建”的总体思路和公开、公平和公正原则，强调四个“引导”、突出四个“促进”，促进学生综合职业能力全面提升，推动我市职业教育事业高质量发展。</w:t>
      </w:r>
    </w:p>
    <w:p>
      <w:pPr>
        <w:pStyle w:val="null3"/>
        <w:ind w:firstLine="480"/>
        <w:jc w:val="both"/>
      </w:pPr>
      <w:r>
        <w:rPr>
          <w:sz w:val="24"/>
          <w:b/>
          <w:color w:val="000000"/>
        </w:rPr>
        <w:t>（二）目的意义</w:t>
      </w:r>
    </w:p>
    <w:p>
      <w:pPr>
        <w:pStyle w:val="null3"/>
        <w:ind w:firstLine="480"/>
        <w:jc w:val="both"/>
      </w:pPr>
      <w:r>
        <w:rPr>
          <w:sz w:val="24"/>
        </w:rPr>
        <w:t>（</w:t>
      </w:r>
      <w:r>
        <w:rPr>
          <w:sz w:val="24"/>
        </w:rPr>
        <w:t>1</w:t>
      </w:r>
      <w:r>
        <w:rPr>
          <w:sz w:val="24"/>
        </w:rPr>
        <w:t>）助力高素质技能人才队伍建设</w:t>
      </w:r>
    </w:p>
    <w:p>
      <w:pPr>
        <w:pStyle w:val="null3"/>
        <w:ind w:firstLine="480"/>
        <w:jc w:val="both"/>
      </w:pPr>
      <w:r>
        <w:rPr>
          <w:sz w:val="24"/>
        </w:rPr>
        <w:t>职业技能竞赛是加强技能人才培养、改革技能人才评价选拔方式、激励技能人才职业发展的重要内容和有效手段。通过这些高水平职业竞赛比拼</w:t>
      </w:r>
      <w:r>
        <w:rPr>
          <w:sz w:val="24"/>
        </w:rPr>
        <w:t>，</w:t>
      </w:r>
      <w:r>
        <w:rPr>
          <w:sz w:val="24"/>
        </w:rPr>
        <w:t>可以间接带动企业、院校的技术练兵比武活动，起到以赛代训、以赛促训的效果，有利于全面提高劳动者素质</w:t>
      </w:r>
      <w:r>
        <w:rPr>
          <w:sz w:val="24"/>
        </w:rPr>
        <w:t>，</w:t>
      </w:r>
      <w:r>
        <w:rPr>
          <w:sz w:val="24"/>
        </w:rPr>
        <w:t>为经济结构转型升级和高质量发展提供技能人才支撑。</w:t>
      </w:r>
    </w:p>
    <w:p>
      <w:pPr>
        <w:pStyle w:val="null3"/>
        <w:ind w:firstLine="480"/>
        <w:jc w:val="both"/>
      </w:pPr>
      <w:r>
        <w:rPr>
          <w:sz w:val="24"/>
        </w:rPr>
        <w:t>（</w:t>
      </w:r>
      <w:r>
        <w:rPr>
          <w:sz w:val="24"/>
        </w:rPr>
        <w:t>2</w:t>
      </w:r>
      <w:r>
        <w:rPr>
          <w:sz w:val="24"/>
        </w:rPr>
        <w:t>）促进就业和弘扬工匠精神</w:t>
      </w:r>
    </w:p>
    <w:p>
      <w:pPr>
        <w:pStyle w:val="null3"/>
        <w:ind w:firstLine="480"/>
        <w:jc w:val="both"/>
      </w:pPr>
      <w:r>
        <w:rPr>
          <w:sz w:val="24"/>
        </w:rPr>
        <w:t>举办技能大赛可以激励和带动更多劳动者关注技能、学习技能、投身技能</w:t>
      </w:r>
      <w:r>
        <w:rPr>
          <w:sz w:val="24"/>
        </w:rPr>
        <w:t>，</w:t>
      </w:r>
      <w:r>
        <w:rPr>
          <w:sz w:val="24"/>
        </w:rPr>
        <w:t>走技能就业、技能成才之路</w:t>
      </w:r>
      <w:r>
        <w:rPr>
          <w:sz w:val="24"/>
        </w:rPr>
        <w:t>，</w:t>
      </w:r>
      <w:r>
        <w:rPr>
          <w:sz w:val="24"/>
        </w:rPr>
        <w:t>推动在全社会弘扬精益求精的工匠精神</w:t>
      </w:r>
      <w:r>
        <w:rPr>
          <w:sz w:val="24"/>
        </w:rPr>
        <w:t>，</w:t>
      </w:r>
      <w:r>
        <w:rPr>
          <w:sz w:val="24"/>
        </w:rPr>
        <w:t>形成劳动光荣、技能宝贵、创造伟大的时代风尚</w:t>
      </w:r>
      <w:r>
        <w:rPr>
          <w:sz w:val="24"/>
        </w:rPr>
        <w:t>，</w:t>
      </w:r>
      <w:r>
        <w:rPr>
          <w:sz w:val="24"/>
        </w:rPr>
        <w:t>为实现</w:t>
      </w:r>
      <w:r>
        <w:rPr>
          <w:sz w:val="24"/>
        </w:rPr>
        <w:t>“六稳”、“六保”</w:t>
      </w:r>
      <w:r>
        <w:rPr>
          <w:sz w:val="24"/>
        </w:rPr>
        <w:t>目标、缓解就业压力和结构性矛盾、</w:t>
      </w:r>
      <w:r>
        <w:rPr>
          <w:sz w:val="24"/>
        </w:rPr>
        <w:t>巩固拓展脱贫攻坚成果作出贡献</w:t>
      </w:r>
      <w:r>
        <w:rPr>
          <w:sz w:val="24"/>
        </w:rPr>
        <w:t>。</w:t>
      </w:r>
    </w:p>
    <w:p>
      <w:pPr>
        <w:pStyle w:val="null3"/>
        <w:ind w:firstLine="480"/>
        <w:jc w:val="both"/>
      </w:pPr>
      <w:r>
        <w:rPr>
          <w:sz w:val="24"/>
        </w:rPr>
        <w:t>（</w:t>
      </w:r>
      <w:r>
        <w:rPr>
          <w:sz w:val="24"/>
        </w:rPr>
        <w:t>3</w:t>
      </w:r>
      <w:r>
        <w:rPr>
          <w:sz w:val="24"/>
        </w:rPr>
        <w:t>）提高学生技术技能水平</w:t>
      </w:r>
    </w:p>
    <w:p>
      <w:pPr>
        <w:pStyle w:val="null3"/>
        <w:ind w:firstLine="480"/>
        <w:jc w:val="both"/>
      </w:pPr>
      <w:r>
        <w:rPr>
          <w:sz w:val="24"/>
        </w:rPr>
        <w:t>技能大赛以产教结合为导向，在企业与学校之间建立桥梁，引导各职业院校将技能大赛融入日常技能教学，提高学生技能训练的针对性，在促进学生提高技能操作水平的同时，也增强了学生的岗位适应能力。</w:t>
      </w:r>
    </w:p>
    <w:p>
      <w:pPr>
        <w:pStyle w:val="null3"/>
        <w:ind w:firstLine="480"/>
        <w:jc w:val="both"/>
      </w:pPr>
      <w:r>
        <w:rPr>
          <w:sz w:val="24"/>
          <w:b/>
          <w:color w:val="000000"/>
        </w:rPr>
        <w:t>（</w:t>
      </w:r>
      <w:r>
        <w:rPr>
          <w:sz w:val="24"/>
          <w:b/>
          <w:color w:val="000000"/>
        </w:rPr>
        <w:t>三</w:t>
      </w:r>
      <w:r>
        <w:rPr>
          <w:sz w:val="24"/>
          <w:b/>
          <w:color w:val="000000"/>
        </w:rPr>
        <w:t>）组织形式</w:t>
      </w:r>
    </w:p>
    <w:p>
      <w:pPr>
        <w:pStyle w:val="null3"/>
        <w:ind w:firstLine="480"/>
      </w:pPr>
      <w:r>
        <w:rPr>
          <w:sz w:val="24"/>
        </w:rPr>
        <w:t>乙方</w:t>
      </w:r>
      <w:r>
        <w:rPr>
          <w:sz w:val="24"/>
        </w:rPr>
        <w:t>负责实施</w:t>
      </w:r>
      <w:r>
        <w:rPr>
          <w:sz w:val="24"/>
        </w:rPr>
        <w:t>202</w:t>
      </w:r>
      <w:r>
        <w:rPr>
          <w:sz w:val="24"/>
        </w:rPr>
        <w:t>6</w:t>
      </w:r>
      <w:r>
        <w:rPr>
          <w:sz w:val="24"/>
        </w:rPr>
        <w:t>年佛山市</w:t>
      </w:r>
      <w:r>
        <w:rPr>
          <w:sz w:val="24"/>
        </w:rPr>
        <w:t>中等职业学校</w:t>
      </w:r>
      <w:r>
        <w:rPr>
          <w:sz w:val="24"/>
        </w:rPr>
        <w:t>技能大赛组织工作。工作内容如下：</w:t>
      </w:r>
    </w:p>
    <w:p>
      <w:pPr>
        <w:pStyle w:val="null3"/>
        <w:ind w:firstLine="480"/>
        <w:jc w:val="both"/>
      </w:pPr>
      <w:r>
        <w:rPr>
          <w:sz w:val="24"/>
        </w:rPr>
        <w:t>1</w:t>
      </w:r>
      <w:r>
        <w:rPr>
          <w:sz w:val="24"/>
        </w:rPr>
        <w:t>、</w:t>
      </w:r>
      <w:r>
        <w:rPr>
          <w:sz w:val="24"/>
        </w:rPr>
        <w:t>全面负责各类专业赛项的规划、筹备、实施等各项工作</w:t>
      </w:r>
      <w:r>
        <w:rPr>
          <w:sz w:val="24"/>
        </w:rPr>
        <w:t>。</w:t>
      </w:r>
    </w:p>
    <w:p>
      <w:pPr>
        <w:pStyle w:val="null3"/>
        <w:ind w:firstLine="480"/>
        <w:jc w:val="both"/>
      </w:pPr>
      <w:r>
        <w:rPr>
          <w:sz w:val="24"/>
        </w:rPr>
        <w:t>2</w:t>
      </w:r>
      <w:r>
        <w:rPr>
          <w:sz w:val="24"/>
        </w:rPr>
        <w:t>、</w:t>
      </w:r>
      <w:r>
        <w:rPr>
          <w:sz w:val="24"/>
        </w:rPr>
        <w:t>安排符合大赛要求的设备并安排大赛场地。</w:t>
      </w:r>
    </w:p>
    <w:p>
      <w:pPr>
        <w:pStyle w:val="null3"/>
        <w:ind w:firstLine="480"/>
        <w:jc w:val="both"/>
      </w:pPr>
      <w:r>
        <w:rPr>
          <w:sz w:val="24"/>
        </w:rPr>
        <w:t>3</w:t>
      </w:r>
      <w:r>
        <w:rPr>
          <w:sz w:val="24"/>
        </w:rPr>
        <w:t>、</w:t>
      </w:r>
      <w:r>
        <w:rPr>
          <w:sz w:val="24"/>
        </w:rPr>
        <w:t>负责搜集大赛各赛项省赛或国赛规程，结合我市实际情况制定承办项目竞赛规程。</w:t>
      </w:r>
    </w:p>
    <w:p>
      <w:pPr>
        <w:pStyle w:val="null3"/>
        <w:ind w:firstLine="480"/>
        <w:jc w:val="both"/>
      </w:pPr>
      <w:r>
        <w:rPr>
          <w:sz w:val="24"/>
        </w:rPr>
        <w:t>4</w:t>
      </w:r>
      <w:r>
        <w:rPr>
          <w:sz w:val="24"/>
        </w:rPr>
        <w:t>、</w:t>
      </w:r>
      <w:r>
        <w:rPr>
          <w:sz w:val="24"/>
        </w:rPr>
        <w:t>聘请专家为大赛的每赛项各出</w:t>
      </w:r>
      <w:r>
        <w:rPr>
          <w:sz w:val="24"/>
        </w:rPr>
        <w:t>A、B两套比赛试题并附评分标准，试题难度与广东省202</w:t>
      </w:r>
      <w:r>
        <w:rPr>
          <w:sz w:val="24"/>
        </w:rPr>
        <w:t>5</w:t>
      </w:r>
      <w:r>
        <w:rPr>
          <w:sz w:val="24"/>
        </w:rPr>
        <w:t>-202</w:t>
      </w:r>
      <w:r>
        <w:rPr>
          <w:sz w:val="24"/>
        </w:rPr>
        <w:t>6</w:t>
      </w:r>
      <w:r>
        <w:rPr>
          <w:sz w:val="24"/>
        </w:rPr>
        <w:t>年度全省职业院校学生专业技能大赛对应赛项的试题难度相当，编撰赛项技术文件，并负责试卷保密。</w:t>
      </w:r>
    </w:p>
    <w:p>
      <w:pPr>
        <w:pStyle w:val="null3"/>
        <w:ind w:firstLine="480"/>
        <w:jc w:val="both"/>
      </w:pPr>
      <w:r>
        <w:rPr>
          <w:sz w:val="24"/>
        </w:rPr>
        <w:t>5</w:t>
      </w:r>
      <w:r>
        <w:rPr>
          <w:sz w:val="24"/>
        </w:rPr>
        <w:t>、</w:t>
      </w:r>
      <w:r>
        <w:rPr>
          <w:sz w:val="24"/>
        </w:rPr>
        <w:t>召开赛前说明会，及时发布赛项信息，负责赛项展示体验和宣传工作，协助制作大赛秩序册及参赛证，制作并打印大赛现场所需要的各类标签、表格。</w:t>
      </w:r>
    </w:p>
    <w:p>
      <w:pPr>
        <w:pStyle w:val="null3"/>
        <w:ind w:firstLine="480"/>
        <w:jc w:val="both"/>
      </w:pPr>
      <w:r>
        <w:rPr>
          <w:sz w:val="24"/>
        </w:rPr>
        <w:t>6</w:t>
      </w:r>
      <w:r>
        <w:rPr>
          <w:sz w:val="24"/>
        </w:rPr>
        <w:t>、</w:t>
      </w:r>
      <w:r>
        <w:rPr>
          <w:sz w:val="24"/>
        </w:rPr>
        <w:t>聘请人员为大赛提供电力、机器设备等方面的保障工作。安排人员调试大赛设备，安排参赛选手在比赛前一天观看比赛场地。</w:t>
      </w:r>
    </w:p>
    <w:p>
      <w:pPr>
        <w:pStyle w:val="null3"/>
        <w:ind w:firstLine="480"/>
        <w:jc w:val="both"/>
      </w:pPr>
      <w:r>
        <w:rPr>
          <w:sz w:val="24"/>
        </w:rPr>
        <w:t>7</w:t>
      </w:r>
      <w:r>
        <w:rPr>
          <w:sz w:val="24"/>
        </w:rPr>
        <w:t>、</w:t>
      </w:r>
      <w:r>
        <w:rPr>
          <w:sz w:val="24"/>
        </w:rPr>
        <w:t>聘请大赛现场的监考人员及赛场工作人员。</w:t>
      </w:r>
    </w:p>
    <w:p>
      <w:pPr>
        <w:pStyle w:val="null3"/>
        <w:ind w:firstLine="480"/>
        <w:jc w:val="both"/>
      </w:pPr>
      <w:r>
        <w:rPr>
          <w:sz w:val="24"/>
        </w:rPr>
        <w:t>8</w:t>
      </w:r>
      <w:r>
        <w:rPr>
          <w:sz w:val="24"/>
        </w:rPr>
        <w:t>、</w:t>
      </w:r>
      <w:r>
        <w:rPr>
          <w:sz w:val="24"/>
        </w:rPr>
        <w:t>聘请评委，对大赛现场参赛队伍所做试题严格按评分标准进行评判打分。</w:t>
      </w:r>
    </w:p>
    <w:p>
      <w:pPr>
        <w:pStyle w:val="null3"/>
        <w:ind w:firstLine="480"/>
        <w:jc w:val="both"/>
      </w:pPr>
      <w:r>
        <w:rPr>
          <w:sz w:val="24"/>
        </w:rPr>
        <w:t>9</w:t>
      </w:r>
      <w:r>
        <w:rPr>
          <w:sz w:val="24"/>
        </w:rPr>
        <w:t>、</w:t>
      </w:r>
      <w:r>
        <w:rPr>
          <w:sz w:val="24"/>
        </w:rPr>
        <w:t>印制竞赛选手及辅导老师的获奖证书，做好大赛年度总结，做好过程文件存档和赛后资料上报等工作。</w:t>
      </w:r>
    </w:p>
    <w:p>
      <w:pPr>
        <w:pStyle w:val="null3"/>
        <w:ind w:firstLine="480"/>
        <w:jc w:val="both"/>
      </w:pPr>
      <w:r>
        <w:rPr>
          <w:sz w:val="24"/>
        </w:rPr>
        <w:t>10</w:t>
      </w:r>
      <w:r>
        <w:rPr>
          <w:sz w:val="24"/>
        </w:rPr>
        <w:t>、</w:t>
      </w:r>
      <w:r>
        <w:rPr>
          <w:sz w:val="24"/>
        </w:rPr>
        <w:t>承担以上各项服务的相关费用。</w:t>
      </w:r>
    </w:p>
    <w:p>
      <w:pPr>
        <w:pStyle w:val="null3"/>
        <w:jc w:val="both"/>
      </w:pPr>
      <w:r>
        <w:rPr>
          <w:sz w:val="24"/>
          <w:b/>
        </w:rPr>
        <w:t>二、产品及服务供应清单：</w:t>
      </w:r>
      <w:r>
        <w:rPr>
          <w:sz w:val="24"/>
        </w:rPr>
        <w:t>见附件一《报价清单明细表》。</w:t>
      </w:r>
    </w:p>
    <w:p>
      <w:pPr>
        <w:pStyle w:val="null3"/>
        <w:jc w:val="both"/>
      </w:pPr>
      <w:r>
        <w:rPr>
          <w:sz w:val="24"/>
          <w:b/>
        </w:rPr>
        <w:t>三、基本合同条款一览表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47"/>
        <w:gridCol w:w="1414"/>
        <w:gridCol w:w="6245"/>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合同条款</w:t>
            </w:r>
          </w:p>
        </w:tc>
        <w:tc>
          <w:tcPr>
            <w:tcW w:type="dxa" w:w="6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w:t>
            </w:r>
          </w:p>
        </w:tc>
        <w:tc>
          <w:tcPr>
            <w:tcW w:type="dxa" w:w="6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人民币小写：</w:t>
            </w:r>
            <w:r>
              <w:rPr>
                <w:sz w:val="19"/>
                <w:u w:val="single"/>
              </w:rPr>
              <w:t xml:space="preserve">             </w:t>
            </w:r>
            <w:r>
              <w:rPr>
                <w:sz w:val="24"/>
              </w:rPr>
              <w:t>元；</w:t>
            </w:r>
          </w:p>
          <w:p>
            <w:pPr>
              <w:pStyle w:val="null3"/>
              <w:jc w:val="both"/>
            </w:pPr>
            <w:r>
              <w:rPr>
                <w:sz w:val="24"/>
              </w:rPr>
              <w:t>大写：</w:t>
            </w:r>
            <w:r>
              <w:rPr>
                <w:sz w:val="19"/>
                <w:u w:val="single"/>
              </w:rPr>
              <w:t xml:space="preserve">                          </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合同总额内容</w:t>
            </w:r>
          </w:p>
        </w:tc>
        <w:tc>
          <w:tcPr>
            <w:tcW w:type="dxa" w:w="6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w:t>
            </w:r>
            <w:r>
              <w:rPr>
                <w:sz w:val="24"/>
              </w:rPr>
              <w:t>本项目报价为广东省佛山市目的地固定总价包干。</w:t>
            </w:r>
          </w:p>
          <w:p>
            <w:pPr>
              <w:pStyle w:val="null3"/>
              <w:jc w:val="both"/>
            </w:pPr>
            <w:r>
              <w:rPr>
                <w:sz w:val="24"/>
              </w:rPr>
              <w:t>2</w:t>
            </w:r>
            <w:r>
              <w:rPr>
                <w:sz w:val="24"/>
              </w:rPr>
              <w:t>、</w:t>
            </w:r>
            <w:r>
              <w:rPr>
                <w:sz w:val="24"/>
              </w:rPr>
              <w:t>合同价指乙方为完成本项目所收取的全部费用，包含但不限于以下费用：专家劳务费、命题费、在职员工及学生测试耗材购置费、员工抽测补贴、证书制作费、项目税费、代缴专家劳务税费、管理费、招标代理服务费及合同实施过程中的不可预见费用等完成合同规定责任和义务、达到合同目的的一切费用及企业利润。</w:t>
            </w:r>
          </w:p>
          <w:p>
            <w:pPr>
              <w:pStyle w:val="null3"/>
              <w:jc w:val="both"/>
            </w:pPr>
            <w:r>
              <w:rPr>
                <w:sz w:val="24"/>
              </w:rPr>
              <w:t>3</w:t>
            </w:r>
            <w:r>
              <w:rPr>
                <w:sz w:val="24"/>
              </w:rPr>
              <w:t>、</w:t>
            </w:r>
            <w:r>
              <w:rPr>
                <w:sz w:val="24"/>
              </w:rPr>
              <w:t>乙方须考虑本项目在实施期间的一切可能产生的费用。在项目实施过程中，如项目工作范围发生变更，由甲乙双方协商解决，合同总价均不予调整，甲方将不再另行支付与本项目相关的任何费用（另有约定的除外）。</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项目服务地点</w:t>
            </w:r>
          </w:p>
        </w:tc>
        <w:tc>
          <w:tcPr>
            <w:tcW w:type="dxa" w:w="6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甲方（用户）指定地点。详细地址为：</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w:t>
            </w:r>
          </w:p>
        </w:tc>
        <w:tc>
          <w:tcPr>
            <w:tcW w:type="dxa" w:w="6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合同生效后提供</w:t>
            </w:r>
            <w:r>
              <w:rPr>
                <w:sz w:val="24"/>
              </w:rPr>
              <w:t>___年服务，即从</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日至</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合同签订方式及情况</w:t>
            </w:r>
          </w:p>
        </w:tc>
        <w:tc>
          <w:tcPr>
            <w:tcW w:type="dxa" w:w="6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□一次性签订本项目采购合同。</w:t>
            </w:r>
          </w:p>
          <w:p>
            <w:pPr>
              <w:pStyle w:val="null3"/>
              <w:jc w:val="both"/>
            </w:pPr>
            <w:r>
              <w:rPr>
                <w:sz w:val="24"/>
              </w:rPr>
              <w:t>□本项目分</w:t>
            </w:r>
            <w:r>
              <w:rPr>
                <w:sz w:val="19"/>
                <w:u w:val="single"/>
              </w:rPr>
              <w:t xml:space="preserve">    </w:t>
            </w:r>
            <w:r>
              <w:rPr>
                <w:sz w:val="24"/>
              </w:rPr>
              <w:t>次签订合同，每次合同服务期为一年。本次情况如下：</w:t>
            </w:r>
          </w:p>
          <w:p>
            <w:pPr>
              <w:pStyle w:val="null3"/>
              <w:jc w:val="both"/>
            </w:pPr>
            <w:r>
              <w:rPr>
                <w:sz w:val="24"/>
              </w:rPr>
              <w:t>（</w:t>
            </w:r>
            <w:r>
              <w:rPr>
                <w:sz w:val="24"/>
              </w:rPr>
              <w:t>1）本次签订为第</w:t>
            </w:r>
            <w:r>
              <w:rPr>
                <w:sz w:val="19"/>
                <w:u w:val="single"/>
              </w:rPr>
              <w:t xml:space="preserve">    </w:t>
            </w:r>
            <w:r>
              <w:rPr>
                <w:sz w:val="24"/>
              </w:rPr>
              <w:t>次；</w:t>
            </w:r>
          </w:p>
          <w:p>
            <w:pPr>
              <w:pStyle w:val="null3"/>
              <w:jc w:val="both"/>
            </w:pPr>
            <w:r>
              <w:rPr>
                <w:sz w:val="24"/>
              </w:rPr>
              <w:t>（</w:t>
            </w:r>
            <w:r>
              <w:rPr>
                <w:sz w:val="24"/>
              </w:rPr>
              <w:t>2）本次合同金额为（大写）：</w:t>
            </w:r>
            <w:r>
              <w:rPr>
                <w:sz w:val="19"/>
                <w:u w:val="single"/>
              </w:rPr>
              <w:t xml:space="preserve">       </w:t>
            </w:r>
            <w:r>
              <w:rPr>
                <w:sz w:val="24"/>
              </w:rPr>
              <w:t>元，</w:t>
            </w:r>
            <w:r>
              <w:rPr>
                <w:sz w:val="24"/>
                <w:u w:val="single"/>
              </w:rPr>
              <w:t>（￥</w:t>
            </w:r>
            <w:r>
              <w:rPr>
                <w:sz w:val="24"/>
                <w:u w:val="single"/>
              </w:rPr>
              <w:t xml:space="preserve">       </w:t>
            </w:r>
            <w:r>
              <w:rPr>
                <w:sz w:val="24"/>
                <w:u w:val="single"/>
              </w:rPr>
              <w:t>元）；</w:t>
            </w:r>
          </w:p>
          <w:p>
            <w:pPr>
              <w:pStyle w:val="null3"/>
              <w:jc w:val="both"/>
            </w:pPr>
            <w:r>
              <w:rPr>
                <w:sz w:val="24"/>
              </w:rPr>
              <w:t>（</w:t>
            </w:r>
            <w:r>
              <w:rPr>
                <w:sz w:val="24"/>
              </w:rPr>
              <w:t>3）本次服务期起止时间：</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日至</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付款方式</w:t>
            </w:r>
          </w:p>
        </w:tc>
        <w:tc>
          <w:tcPr>
            <w:tcW w:type="dxa" w:w="6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1期：合同生效后，甲方自收到乙方提供的相应金额发票后30日内支付合同总额的60%；</w:t>
            </w:r>
          </w:p>
          <w:p>
            <w:pPr>
              <w:pStyle w:val="null3"/>
              <w:jc w:val="both"/>
            </w:pPr>
            <w:r>
              <w:rPr>
                <w:sz w:val="24"/>
              </w:rPr>
              <w:t>2期：202</w:t>
            </w:r>
            <w:r>
              <w:rPr>
                <w:sz w:val="24"/>
              </w:rPr>
              <w:t>7</w:t>
            </w:r>
            <w:r>
              <w:rPr>
                <w:sz w:val="24"/>
              </w:rPr>
              <w:t>年</w:t>
            </w:r>
            <w:r>
              <w:rPr>
                <w:sz w:val="24"/>
              </w:rPr>
              <w:t>6</w:t>
            </w:r>
            <w:r>
              <w:rPr>
                <w:sz w:val="24"/>
              </w:rPr>
              <w:t>月前</w:t>
            </w:r>
            <w:r>
              <w:rPr>
                <w:sz w:val="24"/>
              </w:rPr>
              <w:t>，</w:t>
            </w:r>
            <w:r>
              <w:rPr>
                <w:sz w:val="24"/>
              </w:rPr>
              <w:t>乙方提供服务达到总体目标和服务要求后，甲方自收到乙方提供的相应金额发票后</w:t>
            </w:r>
            <w:r>
              <w:rPr>
                <w:sz w:val="24"/>
              </w:rPr>
              <w:t>30日内支付合同总额的40%。</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付款要求</w:t>
            </w:r>
          </w:p>
        </w:tc>
        <w:tc>
          <w:tcPr>
            <w:tcW w:type="dxa" w:w="6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每笔款项支付前，乙方须向甲方提供依法纳税的服务费发票，否则甲方有权延迟付款，而不承担任何责任。</w:t>
            </w:r>
          </w:p>
          <w:p>
            <w:pPr>
              <w:pStyle w:val="null3"/>
              <w:jc w:val="left"/>
            </w:pPr>
            <w:r>
              <w:rPr>
                <w:sz w:val="24"/>
              </w:rPr>
              <w:t>2</w:t>
            </w:r>
            <w:r>
              <w:rPr>
                <w:sz w:val="24"/>
              </w:rPr>
              <w:t>、</w:t>
            </w:r>
            <w:r>
              <w:rPr>
                <w:sz w:val="24"/>
              </w:rPr>
              <w:t>服务费以转账方式转入乙方的银行账户。</w:t>
            </w:r>
          </w:p>
          <w:p>
            <w:pPr>
              <w:pStyle w:val="null3"/>
              <w:jc w:val="left"/>
            </w:pPr>
            <w:r>
              <w:rPr>
                <w:sz w:val="24"/>
              </w:rPr>
              <w:t>3</w:t>
            </w:r>
            <w:r>
              <w:rPr>
                <w:sz w:val="24"/>
              </w:rPr>
              <w:t>、</w:t>
            </w:r>
            <w:r>
              <w:rPr>
                <w:sz w:val="24"/>
              </w:rPr>
              <w:t>收款方、出具发票方、合同乙方均必须与</w:t>
            </w:r>
            <w:r>
              <w:rPr>
                <w:sz w:val="24"/>
              </w:rPr>
              <w:t>中标人</w:t>
            </w:r>
            <w:r>
              <w:rPr>
                <w:sz w:val="24"/>
              </w:rPr>
              <w:t>名称一致。</w:t>
            </w:r>
          </w:p>
          <w:p>
            <w:pPr>
              <w:pStyle w:val="null3"/>
              <w:jc w:val="left"/>
            </w:pPr>
            <w:r>
              <w:rPr>
                <w:sz w:val="24"/>
              </w:rPr>
              <w:t>4</w:t>
            </w:r>
            <w:r>
              <w:rPr>
                <w:sz w:val="24"/>
              </w:rPr>
              <w:t>、</w:t>
            </w:r>
            <w:r>
              <w:rPr>
                <w:sz w:val="24"/>
              </w:rPr>
              <w:t>乙方应理解政府部门付款的相关程序，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8</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人员管理</w:t>
            </w:r>
          </w:p>
        </w:tc>
        <w:tc>
          <w:tcPr>
            <w:tcW w:type="dxa" w:w="6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乙方</w:t>
            </w:r>
            <w:r>
              <w:rPr>
                <w:sz w:val="24"/>
              </w:rPr>
              <w:t>在</w:t>
            </w:r>
            <w:r>
              <w:rPr>
                <w:sz w:val="24"/>
              </w:rPr>
              <w:t>其投标文件中承诺提供的项目组人员必须按要求投入到本项目中，在合同期内不得擅自更换。乙方如因工作安排或其他原因，需要更换项目组人员时，应事前向甲方提出申请，未经甲方同意，不得变更人员。</w:t>
            </w:r>
          </w:p>
          <w:p>
            <w:pPr>
              <w:pStyle w:val="null3"/>
              <w:jc w:val="both"/>
            </w:pPr>
            <w:r>
              <w:rPr>
                <w:sz w:val="24"/>
              </w:rPr>
              <w:t>2</w:t>
            </w:r>
            <w:r>
              <w:rPr>
                <w:sz w:val="24"/>
              </w:rPr>
              <w:t>、</w:t>
            </w:r>
            <w:r>
              <w:rPr>
                <w:sz w:val="24"/>
              </w:rPr>
              <w:t>如乙方未经甲方同意擅自更换项目组人员，除须按甲方的要求对人员作出调整外，还须交纳违约金</w:t>
            </w:r>
            <w:r>
              <w:rPr>
                <w:sz w:val="24"/>
              </w:rPr>
              <w:t>5000元。累计达4次后，甲方有权终止合同，由此引致的经济损失，乙方须全额赔偿，甲方保留追究乙方相关责任的权利。</w:t>
            </w:r>
          </w:p>
          <w:p>
            <w:pPr>
              <w:pStyle w:val="null3"/>
              <w:jc w:val="both"/>
            </w:pPr>
            <w:r>
              <w:rPr>
                <w:sz w:val="24"/>
              </w:rPr>
              <w:t>3</w:t>
            </w:r>
            <w:r>
              <w:rPr>
                <w:sz w:val="24"/>
              </w:rPr>
              <w:t>、</w:t>
            </w:r>
            <w:r>
              <w:rPr>
                <w:sz w:val="24"/>
              </w:rPr>
              <w:t>甲方有权以书面形式要求乙方更换不能按规定履行合同的人员。</w:t>
            </w:r>
          </w:p>
          <w:p>
            <w:pPr>
              <w:pStyle w:val="null3"/>
              <w:jc w:val="both"/>
            </w:pPr>
            <w:r>
              <w:rPr>
                <w:sz w:val="24"/>
              </w:rPr>
              <w:t>4</w:t>
            </w:r>
            <w:r>
              <w:rPr>
                <w:sz w:val="24"/>
              </w:rPr>
              <w:t>、</w:t>
            </w:r>
            <w:r>
              <w:rPr>
                <w:sz w:val="24"/>
              </w:rPr>
              <w:t>即使是甲方要求或同意更换的人员，其代替人员的资质仍应得到甲方的认可，且其资历和经验均不低于被更换人员。由此而产生的费用由乙方承担。</w:t>
            </w:r>
          </w:p>
          <w:p>
            <w:pPr>
              <w:pStyle w:val="null3"/>
              <w:jc w:val="both"/>
            </w:pPr>
            <w:r>
              <w:rPr>
                <w:sz w:val="24"/>
              </w:rPr>
              <w:t>5</w:t>
            </w:r>
            <w:r>
              <w:rPr>
                <w:sz w:val="24"/>
              </w:rPr>
              <w:t>、</w:t>
            </w:r>
            <w:r>
              <w:rPr>
                <w:sz w:val="24"/>
              </w:rPr>
              <w:t>乙方对其雇员的人身安全负全部责任。</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9</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服务响应及后续服务</w:t>
            </w:r>
          </w:p>
        </w:tc>
        <w:tc>
          <w:tcPr>
            <w:tcW w:type="dxa" w:w="6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服务时间内，乙方须提供常设每周</w:t>
            </w:r>
            <w:r>
              <w:rPr>
                <w:sz w:val="24"/>
              </w:rPr>
              <w:t>7天×24小时服务专线技术支持</w:t>
            </w:r>
          </w:p>
          <w:p>
            <w:pPr>
              <w:pStyle w:val="null3"/>
              <w:jc w:val="left"/>
            </w:pPr>
            <w:r>
              <w:rPr>
                <w:sz w:val="24"/>
              </w:rPr>
              <w:t>2</w:t>
            </w:r>
            <w:r>
              <w:rPr>
                <w:sz w:val="24"/>
              </w:rPr>
              <w:t>、</w:t>
            </w:r>
            <w:r>
              <w:rPr>
                <w:sz w:val="24"/>
              </w:rPr>
              <w:t>对甲方的服务通知，乙方必须符合以下要求：</w:t>
            </w:r>
          </w:p>
          <w:p>
            <w:pPr>
              <w:pStyle w:val="null3"/>
              <w:jc w:val="left"/>
            </w:pPr>
            <w:r>
              <w:rPr>
                <w:sz w:val="24"/>
              </w:rPr>
              <w:t>（</w:t>
            </w:r>
            <w:r>
              <w:rPr>
                <w:sz w:val="24"/>
              </w:rPr>
              <w:t>1）在接报后1小时内响应；</w:t>
            </w:r>
          </w:p>
          <w:p>
            <w:pPr>
              <w:pStyle w:val="null3"/>
              <w:jc w:val="left"/>
            </w:pPr>
            <w:r>
              <w:rPr>
                <w:sz w:val="24"/>
              </w:rPr>
              <w:t>（</w:t>
            </w:r>
            <w:r>
              <w:rPr>
                <w:sz w:val="24"/>
              </w:rPr>
              <w:t>2）2小时内到达现场；</w:t>
            </w:r>
          </w:p>
          <w:p>
            <w:pPr>
              <w:pStyle w:val="null3"/>
              <w:jc w:val="left"/>
            </w:pPr>
            <w:r>
              <w:rPr>
                <w:sz w:val="24"/>
              </w:rPr>
              <w:t>（</w:t>
            </w:r>
            <w:r>
              <w:rPr>
                <w:sz w:val="24"/>
              </w:rPr>
              <w:t>3）4小时内处理完毕。</w:t>
            </w:r>
          </w:p>
        </w:tc>
      </w:tr>
    </w:tbl>
    <w:p>
      <w:pPr>
        <w:pStyle w:val="null3"/>
        <w:jc w:val="both"/>
      </w:pPr>
      <w:r>
        <w:rPr>
          <w:sz w:val="24"/>
          <w:b/>
        </w:rPr>
        <w:t>四、服务对照执行标准：</w:t>
      </w:r>
    </w:p>
    <w:p>
      <w:pPr>
        <w:pStyle w:val="null3"/>
        <w:ind w:firstLine="480"/>
        <w:jc w:val="both"/>
      </w:pPr>
      <w:r>
        <w:rPr>
          <w:sz w:val="24"/>
        </w:rPr>
        <w:t>1、符合中华人民共和国国家和履约地相关安全质量标准、行业技术规范标准；</w:t>
      </w:r>
    </w:p>
    <w:p>
      <w:pPr>
        <w:pStyle w:val="null3"/>
        <w:ind w:firstLine="480"/>
        <w:jc w:val="both"/>
      </w:pPr>
      <w:r>
        <w:rPr>
          <w:sz w:val="24"/>
        </w:rPr>
        <w:t>2、符合招标文件和投标承诺中各方共同认可的合理要求；</w:t>
      </w:r>
    </w:p>
    <w:p>
      <w:pPr>
        <w:pStyle w:val="null3"/>
        <w:ind w:firstLine="480"/>
        <w:jc w:val="both"/>
      </w:pPr>
      <w:r>
        <w:rPr>
          <w:sz w:val="24"/>
        </w:rPr>
        <w:t>3、通过有关主管部门的审查及政府批复。</w:t>
      </w:r>
    </w:p>
    <w:p>
      <w:pPr>
        <w:pStyle w:val="null3"/>
        <w:ind w:firstLine="420"/>
        <w:jc w:val="both"/>
      </w:pPr>
      <w:r>
        <w:rPr>
          <w:sz w:val="24"/>
        </w:rPr>
        <w:t>上述各类标准与法规必须是有关官方机构最新发布的现行标准版本。</w:t>
      </w:r>
    </w:p>
    <w:p>
      <w:pPr>
        <w:pStyle w:val="null3"/>
        <w:jc w:val="both"/>
      </w:pPr>
      <w:r>
        <w:rPr>
          <w:sz w:val="24"/>
          <w:b/>
        </w:rPr>
        <w:t>五、投诉跟踪服务要求：</w:t>
      </w:r>
    </w:p>
    <w:p>
      <w:pPr>
        <w:pStyle w:val="null3"/>
        <w:ind w:firstLine="480"/>
        <w:jc w:val="both"/>
      </w:pPr>
      <w:r>
        <w:rPr>
          <w:sz w:val="24"/>
        </w:rPr>
        <w:t>1、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both"/>
      </w:pPr>
      <w:r>
        <w:rPr>
          <w:sz w:val="24"/>
        </w:rPr>
        <w:t>2、服务期内，甲方有权按本项目的管理要求对乙方进行不定期抽查检查，若对不合格的管理服务提出警告后，仍未得到有效解决时，甲方有权终止管理合同。</w:t>
      </w:r>
    </w:p>
    <w:p>
      <w:pPr>
        <w:pStyle w:val="null3"/>
        <w:ind w:firstLine="480"/>
        <w:jc w:val="both"/>
      </w:pPr>
      <w:r>
        <w:rPr>
          <w:sz w:val="24"/>
        </w:rPr>
        <w:t>3、乙方服务机构名称及地址：</w:t>
      </w:r>
    </w:p>
    <w:p>
      <w:pPr>
        <w:pStyle w:val="null3"/>
        <w:ind w:firstLine="420"/>
        <w:jc w:val="both"/>
      </w:pPr>
      <w:r>
        <w:rPr>
          <w:sz w:val="24"/>
        </w:rPr>
        <w:t>联系人</w:t>
      </w:r>
      <w:r>
        <w:rPr>
          <w:sz w:val="24"/>
        </w:rPr>
        <w:t>1：          ，联系电话：            ，手机：          ；</w:t>
      </w:r>
    </w:p>
    <w:p>
      <w:pPr>
        <w:pStyle w:val="null3"/>
        <w:ind w:firstLine="420"/>
        <w:jc w:val="both"/>
      </w:pPr>
      <w:r>
        <w:rPr>
          <w:sz w:val="24"/>
        </w:rPr>
        <w:t>联系人</w:t>
      </w:r>
      <w:r>
        <w:rPr>
          <w:sz w:val="24"/>
        </w:rPr>
        <w:t>2：          ，联系电话：            ，手机：          ；</w:t>
      </w:r>
    </w:p>
    <w:p>
      <w:pPr>
        <w:pStyle w:val="null3"/>
        <w:ind w:firstLine="420"/>
        <w:jc w:val="both"/>
      </w:pPr>
      <w:r>
        <w:rPr>
          <w:sz w:val="24"/>
        </w:rPr>
        <w:t>服务专线电话：</w:t>
      </w:r>
    </w:p>
    <w:p>
      <w:pPr>
        <w:pStyle w:val="null3"/>
        <w:ind w:firstLine="480"/>
        <w:jc w:val="both"/>
      </w:pPr>
      <w:r>
        <w:rPr>
          <w:sz w:val="24"/>
        </w:rPr>
        <w:t>1、其他服务要求：（补充内容不得对采购文件和投标/响应文件作实质性修改）</w:t>
      </w:r>
    </w:p>
    <w:p>
      <w:pPr>
        <w:pStyle w:val="null3"/>
        <w:ind w:firstLine="480"/>
        <w:jc w:val="both"/>
      </w:pPr>
      <w:r>
        <w:rPr>
          <w:u w:val="single"/>
        </w:rPr>
        <w:t xml:space="preserve">                                                          </w:t>
      </w:r>
      <w:r>
        <w:rPr>
          <w:sz w:val="24"/>
        </w:rPr>
        <w:t>。</w:t>
      </w:r>
    </w:p>
    <w:p>
      <w:pPr>
        <w:pStyle w:val="null3"/>
        <w:jc w:val="both"/>
      </w:pPr>
      <w:r>
        <w:rPr>
          <w:sz w:val="24"/>
          <w:b/>
        </w:rPr>
        <w:t>六、验收要求：</w:t>
      </w:r>
    </w:p>
    <w:p>
      <w:pPr>
        <w:pStyle w:val="null3"/>
        <w:ind w:firstLine="480"/>
        <w:jc w:val="both"/>
      </w:pPr>
      <w:r>
        <w:rPr>
          <w:sz w:val="24"/>
        </w:rPr>
        <w:t>1、甲方在收到乙方项目验收建议之日起7个工作日内按照合同的约定对履约情况进行验收。乙方需为验收提供必需的一切条件及相关费用，并提供本项目的相关文档和验收所需资料，积极配合甲方完成验收工作。</w:t>
      </w:r>
    </w:p>
    <w:p>
      <w:pPr>
        <w:pStyle w:val="null3"/>
        <w:ind w:firstLine="480"/>
        <w:jc w:val="both"/>
      </w:pPr>
      <w:r>
        <w:rPr>
          <w:sz w:val="24"/>
        </w:rPr>
        <w:t>2、其他验收要求：（补充内容不得对采购文件和投标/响应文件作实质性修改）</w:t>
      </w:r>
    </w:p>
    <w:p>
      <w:pPr>
        <w:pStyle w:val="null3"/>
        <w:ind w:firstLine="480"/>
        <w:jc w:val="left"/>
      </w:pPr>
      <w:r>
        <w:rPr>
          <w:sz w:val="24"/>
        </w:rPr>
        <w:t>验收人员：包括：</w:t>
      </w:r>
      <w:r>
        <w:rPr>
          <w:sz w:val="24"/>
        </w:rPr>
        <w:t>①甲方，②相关的专业人员或机构（如有），③乙方等，具体参与人员以甲方最终确认为准。</w:t>
      </w:r>
    </w:p>
    <w:p>
      <w:pPr>
        <w:pStyle w:val="null3"/>
        <w:ind w:firstLine="480"/>
        <w:jc w:val="left"/>
      </w:pPr>
      <w:r>
        <w:rPr>
          <w:sz w:val="24"/>
        </w:rPr>
        <w:t>乙方应于验收后向甲方提供验收报告、技术文档的归纳、整理，并提供完整的技术资料。</w:t>
      </w:r>
    </w:p>
    <w:p>
      <w:pPr>
        <w:pStyle w:val="null3"/>
        <w:jc w:val="both"/>
      </w:pPr>
      <w:r>
        <w:rPr>
          <w:sz w:val="24"/>
          <w:b/>
        </w:rPr>
        <w:t>七、驻场要求</w:t>
      </w:r>
    </w:p>
    <w:p>
      <w:pPr>
        <w:pStyle w:val="null3"/>
        <w:ind w:firstLine="420"/>
        <w:jc w:val="both"/>
      </w:pPr>
      <w:r>
        <w:rPr>
          <w:sz w:val="24"/>
        </w:rPr>
        <w:t>合同期内，乙方须安排两名或以上相关工作人员到甲方指定地点办公</w:t>
      </w:r>
      <w:r>
        <w:rPr>
          <w:sz w:val="24"/>
        </w:rPr>
        <w:t>（</w:t>
      </w:r>
      <w:r>
        <w:rPr>
          <w:sz w:val="24"/>
        </w:rPr>
        <w:t>办公地点由甲方统一安排，涉及驻点人员的食宿安排由</w:t>
      </w:r>
      <w:r>
        <w:rPr>
          <w:sz w:val="24"/>
        </w:rPr>
        <w:t>乙方</w:t>
      </w:r>
      <w:r>
        <w:rPr>
          <w:sz w:val="24"/>
        </w:rPr>
        <w:t>负责</w:t>
      </w:r>
      <w:r>
        <w:rPr>
          <w:sz w:val="24"/>
        </w:rPr>
        <w:t>）</w:t>
      </w:r>
      <w:r>
        <w:rPr>
          <w:sz w:val="24"/>
        </w:rPr>
        <w:t>，根据甲方的安排，与乙方做好第三方评价考核和职业技能竞赛两项工作的协调工作。</w:t>
      </w:r>
    </w:p>
    <w:p>
      <w:pPr>
        <w:pStyle w:val="null3"/>
        <w:jc w:val="both"/>
      </w:pPr>
      <w:r>
        <w:rPr>
          <w:sz w:val="24"/>
          <w:b/>
        </w:rPr>
        <w:t>八、保密规定</w:t>
      </w:r>
    </w:p>
    <w:p>
      <w:pPr>
        <w:pStyle w:val="null3"/>
        <w:ind w:firstLine="480"/>
        <w:jc w:val="both"/>
      </w:pPr>
      <w:r>
        <w:rPr>
          <w:sz w:val="24"/>
        </w:rPr>
        <w:t>乙方在项目实施过程中，对甲方所提供的所有相关资料、数据，未经甲方书面同意不得向任何第三人泄露，且保密责任不因合同的终止或解除而失效。如甲方提出要求，乙方须无条件与甲方签定保密协议。项目完成后，乙方须把甲方提供的所有资料、数据完整归还甲方，并不得留存任何复制品。</w:t>
      </w:r>
    </w:p>
    <w:p>
      <w:pPr>
        <w:pStyle w:val="null3"/>
        <w:jc w:val="both"/>
      </w:pPr>
      <w:r>
        <w:rPr>
          <w:sz w:val="24"/>
          <w:b/>
        </w:rPr>
        <w:t>九、知识产权归属</w:t>
      </w:r>
    </w:p>
    <w:p>
      <w:pPr>
        <w:pStyle w:val="null3"/>
        <w:ind w:firstLine="42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乙方承担一切法律责任，并赔偿由此给甲方造成的相应损失。</w:t>
      </w:r>
    </w:p>
    <w:p>
      <w:pPr>
        <w:pStyle w:val="null3"/>
        <w:ind w:firstLine="420"/>
        <w:jc w:val="both"/>
      </w:pPr>
      <w:r>
        <w:rPr>
          <w:sz w:val="24"/>
          <w:b/>
        </w:rPr>
        <w:t>十、其他要求</w:t>
      </w:r>
    </w:p>
    <w:p>
      <w:pPr>
        <w:pStyle w:val="null3"/>
        <w:ind w:firstLine="480"/>
        <w:jc w:val="both"/>
      </w:pPr>
      <w:r>
        <w:rPr>
          <w:sz w:val="24"/>
        </w:rPr>
        <w:t>成果的归属：</w:t>
      </w:r>
      <w:r>
        <w:rPr>
          <w:sz w:val="24"/>
        </w:rPr>
        <w:t>1)本项目的所有成果所有权归所有甲方所有。取得的知识产权归乙方，但甲方具有无条件使用权。2)甲方引用乙方的工作成果所完成的新的技术成果，属于甲方所有，甲方可依法享有就该项技术成果取得的精神权利、经济权利和其他权利。3)无论发生何种情形（包括但不限于合同提前终止或解除），甲方均有权利用乙方的阶段性工作成果，并且甲方引用乙方的阶段性工作成果所完成的新的技术成果，属于甲方所有，甲方可依法享有就该项技术成果取得的精神权利、经济权利和其他权利。</w:t>
      </w:r>
    </w:p>
    <w:p>
      <w:pPr>
        <w:pStyle w:val="null3"/>
        <w:jc w:val="both"/>
      </w:pPr>
      <w:r>
        <w:rPr>
          <w:sz w:val="24"/>
          <w:b/>
        </w:rPr>
        <w:t>十一、违约责任：</w:t>
      </w:r>
    </w:p>
    <w:p>
      <w:pPr>
        <w:pStyle w:val="null3"/>
        <w:ind w:firstLine="480"/>
        <w:jc w:val="both"/>
      </w:pPr>
      <w:r>
        <w:rPr>
          <w:sz w:val="24"/>
        </w:rPr>
        <w:t>1、乙方未按要求履行合同义务时，须从违约之日起每日按合同总额的</w:t>
      </w:r>
      <w:r>
        <w:rPr>
          <w:u w:val="single"/>
        </w:rPr>
        <w:t xml:space="preserve">    </w:t>
      </w:r>
      <w:r>
        <w:rPr>
          <w:sz w:val="24"/>
        </w:rPr>
        <w:t>比例向甲方支付违约金；逾期</w:t>
      </w:r>
      <w:r>
        <w:rPr>
          <w:u w:val="single"/>
        </w:rPr>
        <w:t xml:space="preserve">    </w:t>
      </w:r>
      <w:r>
        <w:rPr>
          <w:sz w:val="24"/>
        </w:rPr>
        <w:t>日以上时，甲方有权终止合同，由此造成甲方的经济损失由乙方承担。违约金不足以弥补损失的，乙方应按全额赔偿。</w:t>
      </w:r>
    </w:p>
    <w:p>
      <w:pPr>
        <w:pStyle w:val="null3"/>
        <w:ind w:firstLine="480"/>
        <w:jc w:val="both"/>
      </w:pPr>
      <w:r>
        <w:rPr>
          <w:sz w:val="24"/>
        </w:rPr>
        <w:t>2、甲方未按要求履行合同义务时，或无故拖延验收、付款时，甲方须向乙方支付滞纳金，标准为每日按逾期应付款总额的</w:t>
      </w:r>
      <w:r>
        <w:rPr>
          <w:u w:val="single"/>
        </w:rPr>
        <w:t xml:space="preserve">    </w:t>
      </w:r>
      <w:r>
        <w:rPr>
          <w:sz w:val="24"/>
        </w:rPr>
        <w:t>累计。</w:t>
      </w:r>
    </w:p>
    <w:p>
      <w:pPr>
        <w:pStyle w:val="null3"/>
        <w:ind w:firstLine="480"/>
        <w:jc w:val="both"/>
      </w:pPr>
      <w:r>
        <w:rPr>
          <w:sz w:val="24"/>
        </w:rPr>
        <w:t>3、乙方提交的成果有下列情形之一的，甲方将有权终止合同：1）提交的成果不符合本项目规定或成果内容严重偏离甲方下达的任务要求的。2）提交的成果图纸和文字辨认不清，内容不全或粗制滥造的。 3）未经甲方同意，逾期提交编制成果的。4）编制成果不能通过法定程序审批的。 5）乙方未经甲方同意，擅自修改编制成果。6）乙方未经甲方同意，随意调整本项目组的主要成员和项目负责人。7）乙方未经甲方同意，擅自邀请协编单位，或将项目分包或转包的。</w:t>
      </w:r>
    </w:p>
    <w:p>
      <w:pPr>
        <w:pStyle w:val="null3"/>
        <w:ind w:firstLine="480"/>
        <w:jc w:val="both"/>
      </w:pPr>
      <w:r>
        <w:rPr>
          <w:sz w:val="24"/>
        </w:rPr>
        <w:t>4</w:t>
      </w:r>
      <w:r>
        <w:rPr>
          <w:sz w:val="24"/>
        </w:rPr>
        <w:t>、</w:t>
      </w:r>
      <w:r>
        <w:rPr>
          <w:sz w:val="24"/>
        </w:rPr>
        <w:t>项目实施过程中的具体要求，按合同签订条款执行。</w:t>
      </w:r>
    </w:p>
    <w:p>
      <w:pPr>
        <w:pStyle w:val="null3"/>
        <w:jc w:val="both"/>
      </w:pPr>
      <w:r>
        <w:rPr>
          <w:sz w:val="24"/>
          <w:b/>
        </w:rPr>
        <w:t>十二、提出异议的时间和方法：</w:t>
      </w:r>
    </w:p>
    <w:p>
      <w:pPr>
        <w:pStyle w:val="null3"/>
        <w:ind w:firstLine="480"/>
        <w:jc w:val="both"/>
      </w:pPr>
      <w:r>
        <w:rPr>
          <w:sz w:val="24"/>
        </w:rPr>
        <w:t>1、甲方有异议时，应</w:t>
      </w:r>
      <w:r>
        <w:rPr>
          <w:u w:val="single"/>
        </w:rPr>
        <w:t xml:space="preserve">     </w:t>
      </w:r>
      <w:r>
        <w:rPr>
          <w:sz w:val="24"/>
        </w:rPr>
        <w:t>天内向乙方提出书面异议。</w:t>
      </w:r>
    </w:p>
    <w:p>
      <w:pPr>
        <w:pStyle w:val="null3"/>
        <w:ind w:firstLine="480"/>
        <w:jc w:val="both"/>
      </w:pPr>
      <w:r>
        <w:rPr>
          <w:sz w:val="24"/>
        </w:rPr>
        <w:t>2、乙方在接到甲方书面异议后，应在3天内负责处理并函复甲方处理情况，否则，即视为默认甲方提出的异议和处理意见。</w:t>
      </w:r>
    </w:p>
    <w:p>
      <w:pPr>
        <w:pStyle w:val="null3"/>
        <w:ind w:firstLine="480"/>
        <w:jc w:val="both"/>
      </w:pPr>
      <w:r>
        <w:rPr>
          <w:sz w:val="24"/>
        </w:rPr>
        <w:t>3、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4"/>
          <w:b/>
        </w:rPr>
        <w:t>十三、争议的解决：</w:t>
      </w:r>
    </w:p>
    <w:p>
      <w:pPr>
        <w:pStyle w:val="null3"/>
        <w:ind w:firstLine="480"/>
        <w:jc w:val="both"/>
      </w:pPr>
      <w:r>
        <w:rPr>
          <w:sz w:val="24"/>
        </w:rPr>
        <w:t>1、合同履行过程中发生的任何争议，如双方未能通过友好协商解决，应向佛山市有管辖权的人民法院提起诉讼。</w:t>
      </w:r>
    </w:p>
    <w:p>
      <w:pPr>
        <w:pStyle w:val="null3"/>
        <w:ind w:firstLine="480"/>
        <w:jc w:val="both"/>
      </w:pPr>
      <w:r>
        <w:rPr>
          <w:sz w:val="24"/>
        </w:rPr>
        <w:t>2、法院审理期间，除提交法院审理的事项外，其它无争议的事项和条款仍应继续履行。</w:t>
      </w:r>
    </w:p>
    <w:p>
      <w:pPr>
        <w:pStyle w:val="null3"/>
        <w:jc w:val="both"/>
      </w:pPr>
      <w:r>
        <w:rPr>
          <w:sz w:val="24"/>
          <w:b/>
        </w:rPr>
        <w:t>十四、不可抗力：</w:t>
      </w:r>
    </w:p>
    <w:p>
      <w:pPr>
        <w:pStyle w:val="null3"/>
        <w:ind w:firstLine="480"/>
        <w:jc w:val="both"/>
      </w:pPr>
      <w:r>
        <w:rPr>
          <w:sz w:val="24"/>
        </w:rPr>
        <w:t>任何一方由于不可抗力原因不能履行合同时，应在不可抗力事件结束后</w:t>
      </w:r>
      <w:r>
        <w:rPr>
          <w:sz w:val="24"/>
        </w:rPr>
        <w:t>48小时内向对方通报，以减轻可能给对方造成的损失，在取得有关机构的不可抗力证明或双方谅解确认后，允许延期履行或修订合同，并根据情况可部分或全部免于承担违约责任。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十五、税费：</w:t>
      </w:r>
    </w:p>
    <w:p>
      <w:pPr>
        <w:pStyle w:val="null3"/>
        <w:ind w:firstLine="480"/>
        <w:jc w:val="both"/>
      </w:pPr>
      <w:r>
        <w:rPr>
          <w:sz w:val="24"/>
        </w:rPr>
        <w:t>1、本合同实施过程中所发生的一切税费及不可预见费均由乙方承担。</w:t>
      </w:r>
    </w:p>
    <w:p>
      <w:pPr>
        <w:pStyle w:val="null3"/>
        <w:ind w:firstLine="480"/>
        <w:jc w:val="both"/>
      </w:pPr>
      <w:r>
        <w:rPr>
          <w:sz w:val="24"/>
        </w:rPr>
        <w:t>2、乙方依照税务规章优先在合同履约地开具发票及纳税，咨询：0757-12366。</w:t>
      </w:r>
    </w:p>
    <w:p>
      <w:pPr>
        <w:pStyle w:val="null3"/>
        <w:jc w:val="both"/>
      </w:pPr>
      <w:r>
        <w:rPr>
          <w:sz w:val="24"/>
          <w:b/>
        </w:rPr>
        <w:t>十六、合同生效与合同备案：</w:t>
      </w:r>
    </w:p>
    <w:p>
      <w:pPr>
        <w:pStyle w:val="null3"/>
        <w:ind w:firstLine="480"/>
        <w:jc w:val="both"/>
      </w:pPr>
      <w:r>
        <w:rPr>
          <w:sz w:val="24"/>
        </w:rPr>
        <w:t>1、本合同在甲乙双方法人代表或其授权代表签字盖章后生效。</w:t>
      </w:r>
    </w:p>
    <w:p>
      <w:pPr>
        <w:pStyle w:val="null3"/>
        <w:ind w:firstLine="480"/>
        <w:jc w:val="both"/>
      </w:pPr>
      <w:r>
        <w:rPr>
          <w:sz w:val="24"/>
        </w:rPr>
        <w:t>2、自采购合同签订之日起7个工作日内，由甲方按照有关规定将采购合同副本报同级人民政府财政部门（政府采购管理部门）备案。</w:t>
      </w:r>
    </w:p>
    <w:p>
      <w:pPr>
        <w:pStyle w:val="null3"/>
        <w:jc w:val="both"/>
      </w:pPr>
      <w:r>
        <w:rPr>
          <w:sz w:val="24"/>
          <w:b/>
        </w:rPr>
        <w:t>十七、乙方应提供的资料内容：</w:t>
      </w:r>
    </w:p>
    <w:p>
      <w:pPr>
        <w:pStyle w:val="null3"/>
        <w:ind w:firstLine="480"/>
        <w:jc w:val="both"/>
      </w:pPr>
      <w:r>
        <w:rPr>
          <w:u w:val="single"/>
        </w:rPr>
        <w:t xml:space="preserve">                                                            </w:t>
      </w:r>
      <w:r>
        <w:rPr>
          <w:sz w:val="24"/>
        </w:rPr>
        <w:t>。</w:t>
      </w:r>
    </w:p>
    <w:p>
      <w:pPr>
        <w:pStyle w:val="null3"/>
        <w:jc w:val="both"/>
      </w:pPr>
      <w:r>
        <w:rPr>
          <w:sz w:val="24"/>
          <w:b/>
        </w:rPr>
        <w:t>十八、关于政府采购合同融资</w:t>
      </w:r>
    </w:p>
    <w:p>
      <w:pPr>
        <w:pStyle w:val="null3"/>
        <w:ind w:firstLine="480"/>
        <w:jc w:val="both"/>
      </w:pPr>
      <w:r>
        <w:rPr>
          <w:sz w:val="24"/>
        </w:rPr>
        <w:t>1、乙方是否已申请政府采购合同融资：</w:t>
      </w:r>
      <w:r>
        <w:rPr>
          <w:sz w:val="24"/>
          <w:u w:val="single"/>
        </w:rPr>
        <w:t xml:space="preserve">  </w:t>
      </w:r>
      <w:r>
        <w:rPr>
          <w:sz w:val="24"/>
          <w:u w:val="single"/>
        </w:rPr>
        <w:t>是</w:t>
      </w:r>
      <w:r>
        <w:rPr>
          <w:sz w:val="24"/>
          <w:u w:val="single"/>
        </w:rPr>
        <w:t xml:space="preserve">/否  </w:t>
      </w:r>
      <w:r>
        <w:rPr>
          <w:sz w:val="24"/>
        </w:rPr>
        <w:t>；</w:t>
      </w:r>
    </w:p>
    <w:p>
      <w:pPr>
        <w:pStyle w:val="null3"/>
        <w:ind w:firstLine="480"/>
        <w:jc w:val="left"/>
      </w:pPr>
      <w:r>
        <w:rPr>
          <w:sz w:val="24"/>
        </w:rPr>
        <w:t>2、融资银行及联系方式：</w:t>
      </w:r>
      <w:r>
        <w:rPr>
          <w:u w:val="single"/>
        </w:rPr>
        <w:t xml:space="preserve">                                          </w:t>
      </w:r>
      <w:r>
        <w:rPr>
          <w:sz w:val="24"/>
        </w:rPr>
        <w:t>。</w:t>
      </w:r>
    </w:p>
    <w:p>
      <w:pPr>
        <w:pStyle w:val="null3"/>
        <w:ind w:firstLine="480"/>
        <w:jc w:val="both"/>
      </w:pPr>
      <w:r>
        <w:rPr>
          <w:sz w:val="24"/>
        </w:rPr>
        <w:t>3、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4"/>
          <w:b/>
        </w:rPr>
        <w:t>。</w:t>
      </w:r>
    </w:p>
    <w:p>
      <w:pPr>
        <w:pStyle w:val="null3"/>
        <w:jc w:val="both"/>
      </w:pPr>
      <w:r>
        <w:rPr>
          <w:sz w:val="24"/>
          <w:b/>
        </w:rPr>
        <w:t>十九、其它：</w:t>
      </w:r>
    </w:p>
    <w:p>
      <w:pPr>
        <w:pStyle w:val="null3"/>
        <w:ind w:firstLine="480"/>
        <w:jc w:val="both"/>
      </w:pPr>
      <w:r>
        <w:rPr>
          <w:sz w:val="24"/>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rPr>
        <w:t>2、如一方（包括联系人）地址、电话、传真号码有变更，应在变更后3个工作日内书面通知对方联系人或负责人，否则，因此造成的损失由未履行通知义务方承担相应责任。</w:t>
      </w:r>
    </w:p>
    <w:p>
      <w:pPr>
        <w:pStyle w:val="null3"/>
        <w:ind w:firstLine="480"/>
        <w:jc w:val="both"/>
      </w:pPr>
      <w:r>
        <w:rPr>
          <w:sz w:val="24"/>
        </w:rPr>
        <w:t>3、未经甲方书面同意，乙方不得擅自向第三方转让其主体性和关键性合同义务。</w:t>
      </w:r>
    </w:p>
    <w:p>
      <w:pPr>
        <w:pStyle w:val="null3"/>
        <w:ind w:firstLine="480"/>
        <w:jc w:val="both"/>
      </w:pPr>
      <w:r>
        <w:rPr>
          <w:sz w:val="24"/>
        </w:rPr>
        <w:t>4、本合同一式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w:t>
      </w:r>
    </w:p>
    <w:p>
      <w:pPr>
        <w:pStyle w:val="null3"/>
        <w:ind w:firstLine="480"/>
        <w:jc w:val="both"/>
      </w:pPr>
      <w:r>
        <w:rPr>
          <w:sz w:val="24"/>
        </w:rPr>
        <w:t>5、本合同（含附件）共计</w:t>
      </w:r>
      <w:r>
        <w:rPr>
          <w:u w:val="single"/>
        </w:rPr>
        <w:t xml:space="preserve">    </w:t>
      </w:r>
      <w:r>
        <w:rPr>
          <w:sz w:val="24"/>
        </w:rPr>
        <w:t>页，缺页之合同为无效合同。</w:t>
      </w:r>
    </w:p>
    <w:p>
      <w:pPr>
        <w:pStyle w:val="null3"/>
        <w:ind w:firstLine="480"/>
        <w:jc w:val="both"/>
      </w:pPr>
      <w:r>
        <w:rPr>
          <w:sz w:val="24"/>
        </w:rPr>
        <w:t>6、本合同签约履约地点：广东省佛山市。</w:t>
      </w:r>
    </w:p>
    <w:p>
      <w:pPr>
        <w:pStyle w:val="null3"/>
        <w:ind w:firstLine="480"/>
        <w:jc w:val="both"/>
      </w:pPr>
      <w:r>
        <w:rPr>
          <w:sz w:val="24"/>
        </w:rPr>
        <w:t>7、本合同所指“书面通知”包括但不限于短信、电子邮件等数据电文的通知形式，到达时间以民事诉讼法的规定为准，但进行书面通知前后，通知方均有义务电话确认通知事项。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rPr>
        <w:t>8、双方均已对以上各条款及附件作充分了解，并明确理解由此而产生的相关权责。</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w:t>
            </w:r>
            <w:r>
              <w:rPr>
                <w:sz w:val="24"/>
                <w:b/>
              </w:rPr>
              <w:t>佛山市教育局</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代表：</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代表：</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w:t>
            </w:r>
            <w:r>
              <w:rPr>
                <w:sz w:val="24"/>
              </w:rPr>
              <w:t xml:space="preserve">  </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r>
              <w:rPr>
                <w:sz w:val="24"/>
              </w:rPr>
              <w:t xml:space="preserve">   </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r>
              <w:rPr>
                <w:sz w:val="24"/>
              </w:rPr>
              <w:t xml:space="preserve">   </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left"/>
            </w:pPr>
            <w:r>
              <w:rPr>
                <w:sz w:val="19"/>
              </w:rPr>
              <w:t xml:space="preserve"> </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收款方、开票方须与乙方一致；专户为：</w:t>
            </w:r>
          </w:p>
          <w:p>
            <w:pPr>
              <w:pStyle w:val="null3"/>
              <w:jc w:val="left"/>
            </w:pPr>
            <w:r>
              <w:rPr>
                <w:sz w:val="24"/>
              </w:rPr>
              <w:t>开户名称：</w:t>
            </w:r>
          </w:p>
          <w:p>
            <w:pPr>
              <w:pStyle w:val="null3"/>
              <w:jc w:val="left"/>
            </w:pPr>
            <w:r>
              <w:rPr>
                <w:sz w:val="24"/>
              </w:rPr>
              <w:t>银行账号：</w:t>
            </w:r>
          </w:p>
          <w:p>
            <w:pPr>
              <w:pStyle w:val="null3"/>
              <w:jc w:val="left"/>
            </w:pPr>
            <w:r>
              <w:rPr>
                <w:sz w:val="24"/>
              </w:rPr>
              <w:t>开户行：</w:t>
            </w:r>
          </w:p>
        </w:tc>
      </w:tr>
    </w:tbl>
    <w:p>
      <w:pPr>
        <w:pStyle w:val="null3"/>
        <w:jc w:val="both"/>
      </w:pPr>
      <w:r>
        <w:rPr>
          <w:sz w:val="24"/>
        </w:rPr>
        <w:t>见附件一《报价清单明细表》。</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440601-2026-01911</w:t>
      </w:r>
    </w:p>
    <w:p>
      <w:pPr>
        <w:pStyle w:val="null3"/>
        <w:jc w:val="center"/>
        <w:outlineLvl w:val="3"/>
      </w:pPr>
      <w:r>
        <w:rPr>
          <w:sz w:val="24"/>
          <w:b/>
        </w:rPr>
        <w:t>采购项目编号：</w:t>
      </w:r>
      <w:r>
        <w:rPr>
          <w:sz w:val="24"/>
          <w:b/>
        </w:rPr>
        <w:t>GDJAFS2026014G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广东计安招标采购有限公司佛山分公司</w:t>
      </w:r>
    </w:p>
    <w:p>
      <w:pPr>
        <w:pStyle w:val="null3"/>
        <w:ind w:firstLine="480"/>
      </w:pPr>
      <w:r>
        <w:rPr/>
        <w:t xml:space="preserve"> 你方组织的</w:t>
      </w:r>
      <w:r>
        <w:rPr>
          <w:u w:val="single"/>
        </w:rPr>
        <w:t>“</w:t>
      </w:r>
      <w:r>
        <w:rPr>
          <w:u w:val="single"/>
        </w:rPr>
        <w:t>2026年佛山市职业教育匠才选拔评价项目</w:t>
      </w:r>
      <w:r>
        <w:rPr>
          <w:u w:val="single"/>
        </w:rPr>
        <w:t>”</w:t>
      </w:r>
      <w:r>
        <w:rPr/>
        <w:t>项目的招标[采购项目编号为：</w:t>
      </w:r>
      <w:r>
        <w:rPr>
          <w:u w:val="single"/>
        </w:rPr>
        <w:t>GDJAFS2026014G</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2026年佛山市职业教育匠才选拔评价项目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广东计安招标采购有限公司佛山分公司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2026年佛山市职业教育匠才选拔评价项目</w:t>
      </w:r>
      <w:r>
        <w:rPr/>
        <w:t>”项目采购[采购项目编号为</w:t>
      </w:r>
      <w:r>
        <w:rPr/>
        <w:t>GDJAFS2026014G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广东计安招标采购有限公司佛山分公司</w:t>
      </w:r>
    </w:p>
    <w:p>
      <w:pPr>
        <w:pStyle w:val="null3"/>
        <w:ind w:firstLine="480"/>
      </w:pPr>
      <w:r>
        <w:rPr/>
        <w:t xml:space="preserve"> 如果我方在贵采购代理机构组织的</w:t>
      </w:r>
      <w:r>
        <w:rPr/>
        <w:t>2026年佛山市职业教育匠才选拔评价项目</w:t>
      </w:r>
      <w:r>
        <w:rPr/>
        <w:t>招标中获中标（采购项目编号：</w:t>
      </w:r>
      <w:r>
        <w:rPr/>
        <w:t>GDJAFS2026014G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广东计安招标采购有限公司佛山分公司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广东计安招标采购有限公司佛山分公司</w:t>
      </w:r>
    </w:p>
    <w:p>
      <w:pPr>
        <w:pStyle w:val="null3"/>
        <w:ind w:firstLine="480"/>
      </w:pPr>
      <w:r>
        <w:rPr/>
        <w:t>我单位已登记并准备参与“</w:t>
      </w:r>
      <w:r>
        <w:rPr/>
        <w:t>2026年佛山市职业教育匠才选拔评价项目</w:t>
      </w:r>
      <w:r>
        <w:rPr/>
        <w:t>”项目（采购项目编号：</w:t>
      </w:r>
      <w:r>
        <w:rPr/>
        <w:t>GDJAFS2026014G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