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版本号：N511001202600017420260817001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2026年度一次性超声电极片配送服务采购项目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N5110012026000174</w:t>
      </w:r>
    </w:p>
    <w:p>
      <w:pPr>
        <w:pStyle w:val="null3"/>
        <w:jc w:val="left"/>
        <w:outlineLvl w:val="2"/>
      </w:pPr>
      <w:r>
        <w:rPr>
          <w:rFonts w:ascii="仿宋_GB2312" w:hAnsi="仿宋_GB2312" w:cs="仿宋_GB2312" w:eastAsia="仿宋_GB2312"/>
          <w:sz w:val="28"/>
          <w:b/>
        </w:rPr>
        <w:t>内江市中医医院</w:t>
      </w:r>
    </w:p>
    <w:p>
      <w:pPr>
        <w:pStyle w:val="null3"/>
        <w:jc w:val="center"/>
        <w:outlineLvl w:val="2"/>
      </w:pPr>
      <w:r>
        <w:rPr>
          <w:rFonts w:ascii="仿宋_GB2312" w:hAnsi="仿宋_GB2312" w:cs="仿宋_GB2312" w:eastAsia="仿宋_GB2312"/>
          <w:sz w:val="28"/>
          <w:b/>
        </w:rPr>
        <w:t>内江融汇招标代理有限公司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内江融汇招标代理有限公司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内江市中医医院</w:t>
      </w:r>
      <w:r>
        <w:rPr>
          <w:rFonts w:ascii="仿宋_GB2312" w:hAnsi="仿宋_GB2312" w:cs="仿宋_GB2312" w:eastAsia="仿宋_GB2312"/>
        </w:rPr>
        <w:t xml:space="preserve"> 委托，拟对 </w:t>
      </w:r>
      <w:r>
        <w:rPr>
          <w:rFonts w:ascii="仿宋_GB2312" w:hAnsi="仿宋_GB2312" w:cs="仿宋_GB2312" w:eastAsia="仿宋_GB2312"/>
        </w:rPr>
        <w:t>2026年度一次性超声电极片配送服务采购项目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N5110012026000174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2026年度一次性超声电极片配送服务采购项目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医院拟采购一次性医用电极片项目，单价最高限价2.85 元/袋 (2 贴/袋) ，预算金额 160 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配送产品为医疗器械（仅限一次性超声电极片），投标人须符合《医疗器械监督管理条例》要求，并针对其自身生产的产品需提供医疗器械生产许可证或生产备案凭证，针对非自身生产的产品需提供有效的医疗器械经营企业许可证或经营备案凭证（提供根据国办发〔2017〕41 号政策要求“多证合一”的营业执照除外，但投标人需在此处提供自身的营业执照）。（描述：本项目配送产品为医疗器械（仅限一次性超声电极片），投标人须符合《医疗器械监督管理条例》要求，并针对其自身生产的产品需提供医疗器械生产许可证复印件或生产备案凭证复印件，针对非自身生产的产品需提供医疗器械经营企业许可证复印件或经营备案凭证复印件（提供根据国办发〔2017〕41 号政策要求“多证合一”的营业执照除外，但投标人需在此处提供自身的营业执照复印件）。凡前述所要求具有有效期限的证明材料，投标人提交时应在有效期范围内，且投标人对前述证明材料进行电子盖章。）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内江市中医医院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内江市东兴区大千路696号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0832-8066021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内江融汇招标代理有限公司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四川省内江经济技术开发区甜城大道北段166号1栋附601号-644号 （嘉宏未来城营销中心六楼）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0832-8802006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代理服务费收费标准：依据发改价格〔2015〕299号文件精神，本项目约定向中标（成交）供应商定额收取采购代理服务费，金额为人民币12,800.00元（大写：壹万贰仟捌佰元整），收取方式为现金或转账。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内江市中医医院</w:t>
      </w:r>
      <w:r>
        <w:rPr>
          <w:rFonts w:ascii="仿宋_GB2312" w:hAnsi="仿宋_GB2312" w:cs="仿宋_GB2312" w:eastAsia="仿宋_GB2312"/>
        </w:rPr>
        <w:t xml:space="preserve"> 和 </w:t>
      </w:r>
      <w:r>
        <w:rPr>
          <w:rFonts w:ascii="仿宋_GB2312" w:hAnsi="仿宋_GB2312" w:cs="仿宋_GB2312" w:eastAsia="仿宋_GB2312"/>
        </w:rPr>
        <w:t>内江融汇招标代理有限公司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内江市中医医院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内江融汇招标代理有限公司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审核项目中的要求与投标文件中内容的一致性；审查项目的规定及要求；投标人提供的服务内容与招标文件服务要求、 投标文件响应及合同约定内容的一致性。</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审核提供验收的各类文档的正确性、完整性和统一性,审查文件是否齐全、合理； 审查项目实施进度情况,是否完成了预期全部工作。</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一次性医用超声电极片合同签订生效后，中标供应商接采购人通知先将配套设备送货到指定地点，在规定时间内完成安装调试验收合格交付使用。配套设备交货验收时须提供产品质检部门检测合格的报告和有效的产品授权资料以及投标文件中响应部分文件（技术参数响应及商务要求响应）。2、设备装机后性能验证和配置满足采购要求。3.中标供应商负责配套设备安装、调试，培训，直至采购人能正常使用。4、验收由采购人组织，中标供应商配合进行： 4.1、验收标准：采购人按招标文件的质量要求和技术指标、中标供应商的响应文件及承诺与合同约定标准进行验收；采购人和中标供应商双方如对质量要求和技术指标的约定标准有相互抵触或异议的事项。 4.2、验收时如发现所交付的货物有短装、次品、损坏或其它不符合标准及本合同规定之情形者，中标人应无条件更换。4.3、货物验收前损毁、灭失的风险由中标供应商承担。 4.4、质量验收合格，采购人和中标供应商共同签收确认。货物安装完成后5日内，采购人无故不进行验收工作并已使用货物的，视同已安装调试完成并验收合格。 5、其他未尽事宜应参照《财政部关于进一步加强政府采购需求和履约验收管理的指导意见》（财库〔2016〕205号）的要求、招标文件的质量要求和技术指标、中标供应商的投标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关于印发《商品包装政府采购需求标准（试行）》、《快递包装政府采购需求标准（试行）》的通知》（财办库〔2020〕123号），中标人在提供产品及相关快递服务时，涉及包装的，具体包装要求需严格按照“商品包装政府采购需求标准（试行）”及“快递包装政府采购需求标准（试行）”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内江市中医医院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内江融汇招标代理有限公司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内江融汇招标代理有限公司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联系人：彭老师</w:t>
      </w:r>
    </w:p>
    <w:p>
      <w:pPr>
        <w:pStyle w:val="null3"/>
        <w:jc w:val="left"/>
      </w:pPr>
      <w:r>
        <w:rPr>
          <w:rFonts w:ascii="仿宋_GB2312" w:hAnsi="仿宋_GB2312" w:cs="仿宋_GB2312" w:eastAsia="仿宋_GB2312"/>
        </w:rPr>
        <w:t>联系电话：0832-6860021</w:t>
      </w:r>
    </w:p>
    <w:p>
      <w:pPr>
        <w:pStyle w:val="null3"/>
        <w:jc w:val="left"/>
      </w:pPr>
      <w:r>
        <w:rPr>
          <w:rFonts w:ascii="仿宋_GB2312" w:hAnsi="仿宋_GB2312" w:cs="仿宋_GB2312" w:eastAsia="仿宋_GB2312"/>
        </w:rPr>
        <w:t>地址：内江市东兴区大千路696号</w:t>
      </w:r>
    </w:p>
    <w:p>
      <w:pPr>
        <w:pStyle w:val="null3"/>
        <w:jc w:val="left"/>
      </w:pPr>
      <w:r>
        <w:rPr>
          <w:rFonts w:ascii="仿宋_GB2312" w:hAnsi="仿宋_GB2312" w:cs="仿宋_GB2312" w:eastAsia="仿宋_GB2312"/>
        </w:rPr>
        <w:t>邮编：641100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联系电话：0832-8802005</w:t>
      </w:r>
    </w:p>
    <w:p>
      <w:pPr>
        <w:pStyle w:val="null3"/>
        <w:jc w:val="left"/>
      </w:pPr>
      <w:r>
        <w:rPr>
          <w:rFonts w:ascii="仿宋_GB2312" w:hAnsi="仿宋_GB2312" w:cs="仿宋_GB2312" w:eastAsia="仿宋_GB2312"/>
        </w:rPr>
        <w:t>地址：四川省内江经济技术开发区甜城大道北段166号1栋附601号-644号 （嘉宏未来城营销中心六楼）</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1,600,000.00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一次性超声电极片配送服务</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1,600,000.00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一次性超声电极片</w:t>
            </w:r>
          </w:p>
        </w:tc>
        <w:tc>
          <w:tcPr>
            <w:tcW w:type="dxa" w:w="977"/>
          </w:tcPr>
          <w:p>
            <w:pPr>
              <w:pStyle w:val="null3"/>
              <w:jc w:val="center"/>
            </w:pPr>
            <w:r>
              <w:rPr>
                <w:rFonts w:ascii="仿宋_GB2312" w:hAnsi="仿宋_GB2312" w:cs="仿宋_GB2312" w:eastAsia="仿宋_GB2312"/>
              </w:rPr>
              <w:t>袋</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2.85</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1、投标人响应报价超过2.85元/袋 作无效投标处理；2、投标人所报响应报价按照四舍五入法保留到小数点后两位，否则作无效投标处理。</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标的名称：一次性超声电极片配送服务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技术参数及性能要求</w:t>
            </w:r>
          </w:p>
        </w:tc>
        <w:tc>
          <w:tcPr>
            <w:tcW w:type="dxa" w:w="5814"/>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一次性超声电极片</w:t>
            </w:r>
          </w:p>
          <w:p>
            <w:pPr>
              <w:pStyle w:val="null3"/>
              <w:jc w:val="left"/>
            </w:pPr>
            <w:r>
              <w:rPr>
                <w:rFonts w:ascii="仿宋_GB2312" w:hAnsi="仿宋_GB2312" w:cs="仿宋_GB2312" w:eastAsia="仿宋_GB2312"/>
                <w:sz w:val="24"/>
                <w:color w:val="000000"/>
              </w:rPr>
              <w:t>★1、用途：可承载水剂、油剂、乳膏类药物作为介质载体，辅助药物经皮渗透，实现透皮给药作用。</w:t>
            </w:r>
          </w:p>
          <w:p>
            <w:pPr>
              <w:pStyle w:val="null3"/>
              <w:ind w:firstLine="238"/>
              <w:jc w:val="left"/>
            </w:pPr>
            <w:r>
              <w:rPr>
                <w:rFonts w:ascii="仿宋_GB2312" w:hAnsi="仿宋_GB2312" w:cs="仿宋_GB2312" w:eastAsia="仿宋_GB2312"/>
                <w:sz w:val="24"/>
                <w:color w:val="000000"/>
              </w:rPr>
              <w:t>2、结构与属性：为非无菌一次性产品，由水基凝胶块、外包装构成；水基凝胶主要成分为纯化水、水溶性高分子聚合物、促渗剂、保湿剂、防腐剂。</w:t>
            </w:r>
          </w:p>
          <w:p>
            <w:pPr>
              <w:pStyle w:val="null3"/>
              <w:ind w:firstLine="238"/>
              <w:jc w:val="left"/>
            </w:pPr>
            <w:r>
              <w:rPr>
                <w:rFonts w:ascii="仿宋_GB2312" w:hAnsi="仿宋_GB2312" w:cs="仿宋_GB2312" w:eastAsia="仿宋_GB2312"/>
                <w:sz w:val="24"/>
                <w:color w:val="000000"/>
              </w:rPr>
              <w:t>3、包装要求：独立包装，内含独立封装的含耦合剂凝胶片。</w:t>
            </w:r>
          </w:p>
          <w:p>
            <w:pPr>
              <w:pStyle w:val="null3"/>
              <w:ind w:firstLine="238"/>
              <w:jc w:val="left"/>
            </w:pPr>
            <w:r>
              <w:rPr>
                <w:rFonts w:ascii="仿宋_GB2312" w:hAnsi="仿宋_GB2312" w:cs="仿宋_GB2312" w:eastAsia="仿宋_GB2312"/>
                <w:sz w:val="24"/>
                <w:color w:val="000000"/>
              </w:rPr>
              <w:t>4、外形尺寸：外径 80mm±10mm。</w:t>
            </w:r>
          </w:p>
          <w:p>
            <w:pPr>
              <w:pStyle w:val="null3"/>
              <w:ind w:firstLine="238"/>
              <w:jc w:val="left"/>
            </w:pPr>
            <w:r>
              <w:rPr>
                <w:rFonts w:ascii="仿宋_GB2312" w:hAnsi="仿宋_GB2312" w:cs="仿宋_GB2312" w:eastAsia="仿宋_GB2312"/>
                <w:sz w:val="24"/>
                <w:color w:val="000000"/>
              </w:rPr>
              <w:t>5、声学性能：凝胶声速区间 1520m/s～1620m/s。</w:t>
            </w:r>
          </w:p>
          <w:p>
            <w:pPr>
              <w:pStyle w:val="null3"/>
              <w:ind w:firstLine="238"/>
              <w:jc w:val="left"/>
            </w:pPr>
            <w:r>
              <w:rPr>
                <w:rFonts w:ascii="仿宋_GB2312" w:hAnsi="仿宋_GB2312" w:cs="仿宋_GB2312" w:eastAsia="仿宋_GB2312"/>
                <w:sz w:val="24"/>
                <w:color w:val="000000"/>
              </w:rPr>
              <w:t>6、黏度指标：凝胶黏度≥15Pa·s。</w:t>
            </w:r>
          </w:p>
          <w:p>
            <w:pPr>
              <w:pStyle w:val="null3"/>
              <w:ind w:firstLine="238"/>
              <w:jc w:val="left"/>
            </w:pPr>
            <w:r>
              <w:rPr>
                <w:rFonts w:ascii="仿宋_GB2312" w:hAnsi="仿宋_GB2312" w:cs="仿宋_GB2312" w:eastAsia="仿宋_GB2312"/>
                <w:sz w:val="24"/>
                <w:color w:val="000000"/>
              </w:rPr>
              <w:t>7、外形形状：方形</w:t>
            </w:r>
          </w:p>
          <w:p>
            <w:pPr>
              <w:pStyle w:val="null3"/>
              <w:jc w:val="left"/>
            </w:pPr>
            <w:r>
              <w:rPr>
                <w:rFonts w:ascii="仿宋_GB2312" w:hAnsi="仿宋_GB2312" w:cs="仿宋_GB2312" w:eastAsia="仿宋_GB2312"/>
                <w:sz w:val="24"/>
                <w:color w:val="000000"/>
              </w:rPr>
              <w:t>★8、有效期：不少于2年。</w:t>
            </w:r>
          </w:p>
          <w:p>
            <w:pPr>
              <w:pStyle w:val="null3"/>
              <w:ind w:firstLine="238"/>
              <w:jc w:val="left"/>
            </w:pPr>
            <w:r>
              <w:rPr>
                <w:rFonts w:ascii="仿宋_GB2312" w:hAnsi="仿宋_GB2312" w:cs="仿宋_GB2312" w:eastAsia="仿宋_GB2312"/>
                <w:sz w:val="24"/>
                <w:color w:val="000000"/>
              </w:rPr>
              <w:t>9、酸碱度：pH 值控制在 5.5～8.0。</w:t>
            </w:r>
          </w:p>
          <w:p>
            <w:pPr>
              <w:pStyle w:val="null3"/>
              <w:ind w:firstLine="238"/>
              <w:jc w:val="left"/>
            </w:pPr>
            <w:r>
              <w:rPr>
                <w:rFonts w:ascii="仿宋_GB2312" w:hAnsi="仿宋_GB2312" w:cs="仿宋_GB2312" w:eastAsia="仿宋_GB2312"/>
                <w:sz w:val="24"/>
                <w:color w:val="000000"/>
              </w:rPr>
              <w:t>10、密封性能：包装气密性良好，无漏气、漏液现象。</w:t>
            </w:r>
          </w:p>
          <w:p>
            <w:pPr>
              <w:pStyle w:val="null3"/>
              <w:jc w:val="left"/>
            </w:pPr>
            <w:r>
              <w:rPr>
                <w:rFonts w:ascii="仿宋_GB2312" w:hAnsi="仿宋_GB2312" w:cs="仿宋_GB2312" w:eastAsia="仿宋_GB2312"/>
                <w:sz w:val="24"/>
                <w:color w:val="000000"/>
              </w:rPr>
              <w:t>★11、包装规格：2贴/袋。</w:t>
            </w:r>
          </w:p>
          <w:p>
            <w:pPr>
              <w:pStyle w:val="null3"/>
              <w:ind w:firstLine="238"/>
              <w:jc w:val="left"/>
            </w:pPr>
            <w:r>
              <w:rPr>
                <w:rFonts w:ascii="仿宋_GB2312" w:hAnsi="仿宋_GB2312" w:cs="仿宋_GB2312" w:eastAsia="仿宋_GB2312"/>
                <w:sz w:val="24"/>
                <w:color w:val="000000"/>
              </w:rPr>
              <w:t>二、配套声电导仪</w:t>
            </w:r>
          </w:p>
          <w:p>
            <w:pPr>
              <w:pStyle w:val="null3"/>
              <w:ind w:firstLine="238"/>
              <w:jc w:val="left"/>
            </w:pPr>
            <w:r>
              <w:rPr>
                <w:rFonts w:ascii="仿宋_GB2312" w:hAnsi="仿宋_GB2312" w:cs="仿宋_GB2312" w:eastAsia="仿宋_GB2312"/>
                <w:sz w:val="24"/>
                <w:color w:val="000000"/>
              </w:rPr>
              <w:t>1、治疗时间：0 min～30 min 连续可调，调节步进不大于10 min。</w:t>
            </w:r>
          </w:p>
          <w:p>
            <w:pPr>
              <w:pStyle w:val="null3"/>
              <w:ind w:firstLine="238"/>
              <w:jc w:val="left"/>
            </w:pPr>
            <w:r>
              <w:rPr>
                <w:rFonts w:ascii="仿宋_GB2312" w:hAnsi="仿宋_GB2312" w:cs="仿宋_GB2312" w:eastAsia="仿宋_GB2312"/>
                <w:sz w:val="24"/>
                <w:color w:val="000000"/>
              </w:rPr>
              <w:t>2、启停按键：配备启动/暂停按键，用于设备启动、暂停工况切换；采用多通道输出结构，可同步为两位使用者开展治疗。</w:t>
            </w:r>
          </w:p>
          <w:p>
            <w:pPr>
              <w:pStyle w:val="null3"/>
              <w:jc w:val="left"/>
            </w:pPr>
            <w:r>
              <w:rPr>
                <w:rFonts w:ascii="仿宋_GB2312" w:hAnsi="仿宋_GB2312" w:cs="仿宋_GB2312" w:eastAsia="仿宋_GB2312"/>
                <w:sz w:val="24"/>
                <w:color w:val="000000"/>
              </w:rPr>
              <w:t>▲3、人机交互：配置≥8英寸触</w:t>
            </w:r>
            <w:r>
              <w:rPr>
                <w:rFonts w:ascii="仿宋_GB2312" w:hAnsi="仿宋_GB2312" w:cs="仿宋_GB2312" w:eastAsia="仿宋_GB2312"/>
                <w:sz w:val="24"/>
              </w:rPr>
              <w:t>摸屏</w:t>
            </w:r>
            <w:r>
              <w:rPr>
                <w:rFonts w:ascii="仿宋_GB2312" w:hAnsi="仿宋_GB2312" w:cs="仿宋_GB2312" w:eastAsia="仿宋_GB2312"/>
                <w:sz w:val="24"/>
              </w:rPr>
              <w:t>，触控面板倾斜可调节</w:t>
            </w:r>
            <w:r>
              <w:rPr>
                <w:rFonts w:ascii="仿宋_GB2312" w:hAnsi="仿宋_GB2312" w:cs="仿宋_GB2312" w:eastAsia="仿宋_GB2312"/>
                <w:sz w:val="24"/>
              </w:rPr>
              <w:t>。</w:t>
            </w:r>
          </w:p>
          <w:p>
            <w:pPr>
              <w:pStyle w:val="null3"/>
              <w:ind w:firstLine="238"/>
              <w:jc w:val="left"/>
            </w:pPr>
            <w:r>
              <w:rPr>
                <w:rFonts w:ascii="仿宋_GB2312" w:hAnsi="仿宋_GB2312" w:cs="仿宋_GB2312" w:eastAsia="仿宋_GB2312"/>
                <w:sz w:val="24"/>
                <w:color w:val="000000"/>
              </w:rPr>
              <w:t>4、超声模块技术参数</w:t>
            </w:r>
          </w:p>
          <w:p>
            <w:pPr>
              <w:pStyle w:val="null3"/>
              <w:jc w:val="left"/>
            </w:pPr>
            <w:r>
              <w:rPr>
                <w:rFonts w:ascii="仿宋_GB2312" w:hAnsi="仿宋_GB2312" w:cs="仿宋_GB2312" w:eastAsia="仿宋_GB2312"/>
                <w:sz w:val="24"/>
                <w:color w:val="000000"/>
              </w:rPr>
              <w:t>▲4.1 输出功率：0.12 W～0.5 W，分为不少于3档位调节，功率允许误差≤±20%。</w:t>
            </w:r>
          </w:p>
          <w:p>
            <w:pPr>
              <w:pStyle w:val="null3"/>
              <w:ind w:firstLine="238"/>
              <w:jc w:val="left"/>
            </w:pPr>
            <w:r>
              <w:rPr>
                <w:rFonts w:ascii="仿宋_GB2312" w:hAnsi="仿宋_GB2312" w:cs="仿宋_GB2312" w:eastAsia="仿宋_GB2312"/>
                <w:sz w:val="24"/>
                <w:color w:val="000000"/>
              </w:rPr>
              <w:t>4.2 电压适应性：电网供电电压波动±10%范围内，设备额定输出功率变化≤±20%。</w:t>
            </w:r>
          </w:p>
          <w:p>
            <w:pPr>
              <w:pStyle w:val="null3"/>
              <w:ind w:firstLine="238"/>
              <w:jc w:val="left"/>
            </w:pPr>
            <w:r>
              <w:rPr>
                <w:rFonts w:ascii="仿宋_GB2312" w:hAnsi="仿宋_GB2312" w:cs="仿宋_GB2312" w:eastAsia="仿宋_GB2312"/>
                <w:sz w:val="24"/>
                <w:color w:val="000000"/>
              </w:rPr>
              <w:t>4.3 有效声强：额定功率工况下，最大绝对声强 ≤3.0 W/cm²。</w:t>
            </w:r>
          </w:p>
          <w:p>
            <w:pPr>
              <w:pStyle w:val="null3"/>
              <w:ind w:firstLine="238"/>
              <w:jc w:val="left"/>
            </w:pPr>
            <w:r>
              <w:rPr>
                <w:rFonts w:ascii="仿宋_GB2312" w:hAnsi="仿宋_GB2312" w:cs="仿宋_GB2312" w:eastAsia="仿宋_GB2312"/>
                <w:sz w:val="24"/>
                <w:color w:val="000000"/>
              </w:rPr>
              <w:t>4.4 下限声强要求：超声满功率输出时，瞬时最大声强 ≥0.1 W/cm²。</w:t>
            </w:r>
          </w:p>
          <w:p>
            <w:pPr>
              <w:pStyle w:val="null3"/>
              <w:ind w:firstLine="238"/>
              <w:jc w:val="left"/>
            </w:pPr>
            <w:r>
              <w:rPr>
                <w:rFonts w:ascii="仿宋_GB2312" w:hAnsi="仿宋_GB2312" w:cs="仿宋_GB2312" w:eastAsia="仿宋_GB2312"/>
                <w:sz w:val="24"/>
                <w:color w:val="000000"/>
              </w:rPr>
              <w:t>4.5 超声档位声强配置：各档位有效声强分别不低于 0.024 W/cm²、0.05 W/cm²、0.1 W/cm²。</w:t>
            </w:r>
          </w:p>
          <w:p>
            <w:pPr>
              <w:pStyle w:val="null3"/>
              <w:jc w:val="left"/>
            </w:pPr>
            <w:r>
              <w:rPr>
                <w:rFonts w:ascii="仿宋_GB2312" w:hAnsi="仿宋_GB2312" w:cs="仿宋_GB2312" w:eastAsia="仿宋_GB2312"/>
                <w:sz w:val="24"/>
                <w:color w:val="000000"/>
              </w:rPr>
              <w:t>▲4.6 超声有效辐射面积：5 cm²，允许公差±10%。</w:t>
            </w:r>
          </w:p>
          <w:p>
            <w:pPr>
              <w:pStyle w:val="null3"/>
              <w:ind w:firstLine="238"/>
              <w:jc w:val="left"/>
            </w:pPr>
            <w:r>
              <w:rPr>
                <w:rFonts w:ascii="仿宋_GB2312" w:hAnsi="仿宋_GB2312" w:cs="仿宋_GB2312" w:eastAsia="仿宋_GB2312"/>
                <w:sz w:val="24"/>
                <w:color w:val="000000"/>
              </w:rPr>
              <w:t>4.7 工作频率：超声工作频率 1 MHz，频率公差≤±10%。</w:t>
            </w:r>
          </w:p>
          <w:p>
            <w:pPr>
              <w:pStyle w:val="null3"/>
              <w:ind w:firstLine="238"/>
              <w:jc w:val="left"/>
            </w:pPr>
            <w:r>
              <w:rPr>
                <w:rFonts w:ascii="仿宋_GB2312" w:hAnsi="仿宋_GB2312" w:cs="仿宋_GB2312" w:eastAsia="仿宋_GB2312"/>
                <w:sz w:val="24"/>
                <w:color w:val="000000"/>
              </w:rPr>
              <w:t>4.8 超声脉冲脉宽：超声输出最大脉冲宽度 ≤167 ms。</w:t>
            </w:r>
          </w:p>
          <w:p>
            <w:pPr>
              <w:pStyle w:val="null3"/>
              <w:ind w:firstLine="238"/>
              <w:jc w:val="left"/>
            </w:pPr>
            <w:r>
              <w:rPr>
                <w:rFonts w:ascii="仿宋_GB2312" w:hAnsi="仿宋_GB2312" w:cs="仿宋_GB2312" w:eastAsia="仿宋_GB2312"/>
                <w:sz w:val="24"/>
                <w:color w:val="000000"/>
              </w:rPr>
              <w:t>4.9 波束不均匀系数：超声探头波束不均匀系数最大值≤8.0。</w:t>
            </w:r>
          </w:p>
          <w:p>
            <w:pPr>
              <w:pStyle w:val="null3"/>
              <w:ind w:firstLine="238"/>
              <w:jc w:val="left"/>
            </w:pPr>
            <w:r>
              <w:rPr>
                <w:rFonts w:ascii="仿宋_GB2312" w:hAnsi="仿宋_GB2312" w:cs="仿宋_GB2312" w:eastAsia="仿宋_GB2312"/>
                <w:sz w:val="24"/>
                <w:color w:val="000000"/>
              </w:rPr>
              <w:t>4.10 波束类型：准直波束。</w:t>
            </w:r>
          </w:p>
          <w:p>
            <w:pPr>
              <w:pStyle w:val="null3"/>
              <w:ind w:firstLine="238"/>
              <w:jc w:val="left"/>
            </w:pPr>
            <w:r>
              <w:rPr>
                <w:rFonts w:ascii="仿宋_GB2312" w:hAnsi="仿宋_GB2312" w:cs="仿宋_GB2312" w:eastAsia="仿宋_GB2312"/>
                <w:sz w:val="24"/>
                <w:color w:val="000000"/>
              </w:rPr>
              <w:t>5、电致孔模块</w:t>
            </w:r>
          </w:p>
          <w:p>
            <w:pPr>
              <w:pStyle w:val="null3"/>
              <w:ind w:firstLine="238"/>
              <w:jc w:val="left"/>
            </w:pPr>
            <w:r>
              <w:rPr>
                <w:rFonts w:ascii="仿宋_GB2312" w:hAnsi="仿宋_GB2312" w:cs="仿宋_GB2312" w:eastAsia="仿宋_GB2312"/>
                <w:sz w:val="24"/>
                <w:color w:val="000000"/>
              </w:rPr>
              <w:t>5.1 脉冲波群：波群宽度 200 ms±10 ms；单脉冲波形为方波，单个波群包含5个占空比1:1的方波脉冲。</w:t>
            </w:r>
          </w:p>
          <w:p>
            <w:pPr>
              <w:pStyle w:val="null3"/>
              <w:ind w:firstLine="238"/>
              <w:jc w:val="left"/>
            </w:pPr>
            <w:r>
              <w:rPr>
                <w:rFonts w:ascii="仿宋_GB2312" w:hAnsi="仿宋_GB2312" w:cs="仿宋_GB2312" w:eastAsia="仿宋_GB2312"/>
                <w:sz w:val="24"/>
                <w:color w:val="000000"/>
              </w:rPr>
              <w:t>5.2 峰值电压：电致孔脉冲峰值电压最大值≤87 V。</w:t>
            </w:r>
          </w:p>
          <w:p>
            <w:pPr>
              <w:pStyle w:val="null3"/>
              <w:ind w:firstLine="238"/>
              <w:jc w:val="left"/>
            </w:pPr>
            <w:r>
              <w:rPr>
                <w:rFonts w:ascii="仿宋_GB2312" w:hAnsi="仿宋_GB2312" w:cs="仿宋_GB2312" w:eastAsia="仿宋_GB2312"/>
                <w:sz w:val="24"/>
                <w:color w:val="000000"/>
              </w:rPr>
              <w:t>6 电脉冲模块</w:t>
            </w:r>
          </w:p>
          <w:p>
            <w:pPr>
              <w:pStyle w:val="null3"/>
              <w:ind w:firstLine="238"/>
              <w:jc w:val="left"/>
            </w:pPr>
            <w:r>
              <w:rPr>
                <w:rFonts w:ascii="仿宋_GB2312" w:hAnsi="仿宋_GB2312" w:cs="仿宋_GB2312" w:eastAsia="仿宋_GB2312"/>
                <w:sz w:val="24"/>
                <w:color w:val="000000"/>
              </w:rPr>
              <w:t>6.1 脉冲波形：输出电脉冲为方波，基波频率 2 kHz±10%。</w:t>
            </w:r>
          </w:p>
          <w:p>
            <w:pPr>
              <w:pStyle w:val="null3"/>
              <w:ind w:firstLine="238"/>
              <w:jc w:val="left"/>
            </w:pPr>
            <w:r>
              <w:rPr>
                <w:rFonts w:ascii="仿宋_GB2312" w:hAnsi="仿宋_GB2312" w:cs="仿宋_GB2312" w:eastAsia="仿宋_GB2312"/>
                <w:sz w:val="24"/>
                <w:color w:val="000000"/>
              </w:rPr>
              <w:t>6.2 脉冲群重复频率：由周期 10 ms±0.5 ms 的脉冲周期组成脉冲群，脉冲群重复频率 0.4 Hz～6 Hz，不少于7档可调。</w:t>
            </w:r>
          </w:p>
          <w:p>
            <w:pPr>
              <w:pStyle w:val="null3"/>
              <w:ind w:firstLine="238"/>
              <w:jc w:val="left"/>
            </w:pPr>
            <w:r>
              <w:rPr>
                <w:rFonts w:ascii="仿宋_GB2312" w:hAnsi="仿宋_GB2312" w:cs="仿宋_GB2312" w:eastAsia="仿宋_GB2312"/>
                <w:sz w:val="24"/>
                <w:color w:val="000000"/>
              </w:rPr>
              <w:t>6.3 脉冲数量调节：单个波群内脉冲个数可在2～20个区间调节，设置不少于10个调节档位。</w:t>
            </w:r>
          </w:p>
          <w:p>
            <w:pPr>
              <w:pStyle w:val="null3"/>
              <w:ind w:firstLine="238"/>
              <w:jc w:val="left"/>
            </w:pPr>
            <w:r>
              <w:rPr>
                <w:rFonts w:ascii="仿宋_GB2312" w:hAnsi="仿宋_GB2312" w:cs="仿宋_GB2312" w:eastAsia="仿宋_GB2312"/>
                <w:sz w:val="24"/>
                <w:color w:val="000000"/>
              </w:rPr>
              <w:t>6.4 脉冲宽度：脉冲宽度 0.2 ms，误差±10%。</w:t>
            </w:r>
          </w:p>
          <w:p>
            <w:pPr>
              <w:pStyle w:val="null3"/>
              <w:ind w:firstLine="238"/>
              <w:jc w:val="left"/>
            </w:pPr>
            <w:r>
              <w:rPr>
                <w:rFonts w:ascii="仿宋_GB2312" w:hAnsi="仿宋_GB2312" w:cs="仿宋_GB2312" w:eastAsia="仿宋_GB2312"/>
                <w:sz w:val="24"/>
                <w:color w:val="000000"/>
              </w:rPr>
              <w:t>6.5 输出电流稳定度：不同负载条件下，输出电流变化率≤10%。</w:t>
            </w:r>
          </w:p>
          <w:p>
            <w:pPr>
              <w:pStyle w:val="null3"/>
              <w:jc w:val="both"/>
            </w:pPr>
            <w:r>
              <w:rPr>
                <w:rFonts w:ascii="仿宋_GB2312" w:hAnsi="仿宋_GB2312" w:cs="仿宋_GB2312" w:eastAsia="仿宋_GB2312"/>
                <w:sz w:val="24"/>
                <w:color w:val="000000"/>
              </w:rPr>
              <w:t>6.6 输出调幅度：调幅度100%，误差±10%。</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240"/>
              <w:jc w:val="both"/>
            </w:pPr>
            <w:r>
              <w:rPr>
                <w:rFonts w:ascii="仿宋_GB2312" w:hAnsi="仿宋_GB2312" w:cs="仿宋_GB2312" w:eastAsia="仿宋_GB2312"/>
                <w:sz w:val="24"/>
                <w:color w:val="333333"/>
              </w:rPr>
              <w:t>1、因一次性医用超声电极片需与超声电导仪（或超声电导透药仪）配套使用，故本次招标耗材中标供应商需同时提供配套设备，配套设备采用租赁方式按需配备，预计120台，每台设备需提供配套台车一台。严禁提供过期、淘汰的设备。设备租赁期一年，租赁费用不高于300元/台/年，据实结算(设备租赁费不参与一次性医用超声电极片价格分的评审，不在本项目预算内列支)。</w:t>
            </w:r>
          </w:p>
          <w:p>
            <w:pPr>
              <w:pStyle w:val="null3"/>
              <w:ind w:firstLine="240"/>
              <w:jc w:val="both"/>
            </w:pPr>
            <w:r>
              <w:rPr>
                <w:rFonts w:ascii="仿宋_GB2312" w:hAnsi="仿宋_GB2312" w:cs="仿宋_GB2312" w:eastAsia="仿宋_GB2312"/>
                <w:sz w:val="24"/>
                <w:color w:val="333333"/>
              </w:rPr>
              <w:t>2、本项目一次性医用超声电极片配送期一年，配套设备租赁期一年，一次性医用超声电极片合同签订生效后，中标供应商接采购人通知先将配套设备送货到指定地点，在规定时间内完成安装调试，租赁期内由中标供应商负责租赁设备的保养、维护、维修、安装、调试等服务，应确保提供的设备能正常使用，合同到期，中标供应商需配合至医院下一年度一次性医用超声电极片招标配套设备入场后方能拆除。（投标人在投标文件中针对前述内容提供承诺函并进行电子盖章予以佐证），中标供应商享有租赁设备的所有权。</w:t>
            </w:r>
          </w:p>
          <w:p>
            <w:pPr>
              <w:pStyle w:val="null3"/>
              <w:ind w:firstLine="240"/>
              <w:jc w:val="both"/>
            </w:pPr>
            <w:r>
              <w:rPr>
                <w:rFonts w:ascii="仿宋_GB2312" w:hAnsi="仿宋_GB2312" w:cs="仿宋_GB2312" w:eastAsia="仿宋_GB2312"/>
                <w:sz w:val="24"/>
                <w:color w:val="333333"/>
              </w:rPr>
              <w:t>3、中标供应商的报价包含配送的所有成本，包括运输、保险、培训、税费、以及有可能产生的其它所有费用（不含后续设备租赁费用）。中标供应商需负责产品的运输、搬运入库，运输过程中的风险由供应商自行承担。</w:t>
            </w:r>
          </w:p>
          <w:p>
            <w:pPr>
              <w:pStyle w:val="null3"/>
              <w:ind w:firstLine="240"/>
              <w:jc w:val="both"/>
            </w:pPr>
            <w:r>
              <w:rPr>
                <w:rFonts w:ascii="仿宋_GB2312" w:hAnsi="仿宋_GB2312" w:cs="仿宋_GB2312" w:eastAsia="仿宋_GB2312"/>
                <w:sz w:val="24"/>
                <w:color w:val="333333"/>
              </w:rPr>
              <w:t>4、在配送期间，需按照医院要求提供一次性医用超声电极片和配套设备所有相关的质量检测报告及相应资质证件（相应资质证件是指一次性医用超声电极片和配套设备符合《医疗器械注册与备案管理办法》、《医疗器械监督管理条例》要求的资质证件）备案。（投标人在投标文件中针对此项内容提供承诺函并进行电子盖章予以佐证）</w:t>
            </w:r>
          </w:p>
          <w:p>
            <w:pPr>
              <w:pStyle w:val="null3"/>
              <w:ind w:firstLine="240"/>
              <w:jc w:val="both"/>
            </w:pPr>
            <w:r>
              <w:rPr>
                <w:rFonts w:ascii="仿宋_GB2312" w:hAnsi="仿宋_GB2312" w:cs="仿宋_GB2312" w:eastAsia="仿宋_GB2312"/>
                <w:sz w:val="24"/>
                <w:color w:val="333333"/>
              </w:rPr>
              <w:t>5、中标供应商提供的一次性医用超声电极片和配套设备需符合国家各级监督管理部门规定的质量标准，符合采购人对产品的性能要求，确保临床使用安全有效。一次性医用超声电极片有效期应满足医院的要求，若有效期内出现质量问题，由中标供应商负责无条件退换货并承担由此造成的一切后果。</w:t>
            </w:r>
          </w:p>
          <w:p>
            <w:pPr>
              <w:pStyle w:val="null3"/>
              <w:ind w:firstLine="240"/>
              <w:jc w:val="both"/>
            </w:pPr>
            <w:r>
              <w:rPr>
                <w:rFonts w:ascii="仿宋_GB2312" w:hAnsi="仿宋_GB2312" w:cs="仿宋_GB2312" w:eastAsia="仿宋_GB2312"/>
                <w:sz w:val="24"/>
                <w:color w:val="333333"/>
              </w:rPr>
              <w:t>6、中标供应商提供的产品应按标准规范进行包装，确保产品安全无损运抵指定地点。破损等无法正常使用产品需按医院的要求进行及时调换。</w:t>
            </w:r>
          </w:p>
          <w:p>
            <w:pPr>
              <w:pStyle w:val="null3"/>
              <w:ind w:firstLine="240"/>
              <w:jc w:val="both"/>
            </w:pPr>
            <w:r>
              <w:rPr>
                <w:rFonts w:ascii="仿宋_GB2312" w:hAnsi="仿宋_GB2312" w:cs="仿宋_GB2312" w:eastAsia="仿宋_GB2312"/>
                <w:sz w:val="24"/>
                <w:color w:val="333333"/>
              </w:rPr>
              <w:t>7、中标供应商提供的一次性医用超声电极片和配套设备必须是原厂正品，中标供应商对所提供产品的质量承担全部责任。中标供应商应保证医院在使用配套设备时免受第三方提出的有关专利权、商标权、销售权或保护期等方面的权利要求。</w:t>
            </w:r>
          </w:p>
          <w:p>
            <w:pPr>
              <w:pStyle w:val="null3"/>
              <w:ind w:firstLine="240"/>
              <w:jc w:val="both"/>
            </w:pPr>
            <w:r>
              <w:rPr>
                <w:rFonts w:ascii="仿宋_GB2312" w:hAnsi="仿宋_GB2312" w:cs="仿宋_GB2312" w:eastAsia="仿宋_GB2312"/>
                <w:sz w:val="24"/>
                <w:color w:val="333333"/>
              </w:rPr>
              <w:t>8、中标供应商需提供租赁使用必要的配套设备技术支持及现场培训。设备一旦发生故障时，中标供应商接到报修电话需在24小时内到达现场排查故障，如果不能在24小时内解决，由中标供应商提供备用设备。（投标人在投标文件中针对此项内容提供承诺函并进行电子盖章予以佐证）</w:t>
            </w:r>
          </w:p>
          <w:p>
            <w:pPr>
              <w:pStyle w:val="null3"/>
              <w:ind w:firstLine="240"/>
              <w:jc w:val="both"/>
            </w:pPr>
            <w:r>
              <w:rPr>
                <w:rFonts w:ascii="仿宋_GB2312" w:hAnsi="仿宋_GB2312" w:cs="仿宋_GB2312" w:eastAsia="仿宋_GB2312"/>
                <w:sz w:val="24"/>
                <w:color w:val="333333"/>
              </w:rPr>
              <w:t>9、对采购人下达的采购计划，中标供应商应于7个工作日内到货。一个年度内≥3次超时配送影响到医院正常业务开展的，中标供应商应承担由此造成的一</w:t>
            </w:r>
            <w:r>
              <w:rPr>
                <w:rFonts w:ascii="仿宋_GB2312" w:hAnsi="仿宋_GB2312" w:cs="仿宋_GB2312" w:eastAsia="仿宋_GB2312"/>
                <w:sz w:val="24"/>
                <w:color w:val="333333"/>
              </w:rPr>
              <w:t>切经济损失。</w:t>
            </w:r>
          </w:p>
          <w:p>
            <w:pPr>
              <w:pStyle w:val="null3"/>
              <w:ind w:firstLine="240"/>
              <w:jc w:val="both"/>
            </w:pPr>
            <w:r>
              <w:rPr>
                <w:rFonts w:ascii="仿宋_GB2312" w:hAnsi="仿宋_GB2312" w:cs="仿宋_GB2312" w:eastAsia="仿宋_GB2312"/>
                <w:sz w:val="24"/>
                <w:color w:val="333333"/>
              </w:rPr>
              <w:t>10、投标人一旦中标，所报单价即为中标单价，在合同履行期间不得发生改变。</w:t>
            </w:r>
          </w:p>
          <w:p>
            <w:pPr>
              <w:pStyle w:val="null3"/>
              <w:ind w:firstLine="240"/>
              <w:jc w:val="both"/>
            </w:pPr>
            <w:r>
              <w:rPr>
                <w:rFonts w:ascii="仿宋_GB2312" w:hAnsi="仿宋_GB2312" w:cs="仿宋_GB2312" w:eastAsia="仿宋_GB2312"/>
                <w:sz w:val="24"/>
                <w:color w:val="333333"/>
              </w:rPr>
              <w:t>11、根据《关于印发《商品包装政府采购需求标准（试行）》、《快递包装政府采购需求标准（试行）》的通知》（财办库〔2020〕123号），中标人在提供产品及相关快递服务时，涉及包装的，具体包装要求需严格按照“商品包装政府采购需求标准（试行）”及“快递包装政府采购需求标准（试行）”执行。</w:t>
            </w:r>
          </w:p>
          <w:p>
            <w:pPr>
              <w:pStyle w:val="null3"/>
              <w:jc w:val="left"/>
            </w:pPr>
            <w:r>
              <w:rPr>
                <w:rFonts w:ascii="仿宋_GB2312" w:hAnsi="仿宋_GB2312" w:cs="仿宋_GB2312" w:eastAsia="仿宋_GB2312"/>
                <w:sz w:val="24"/>
                <w:color w:val="333333"/>
              </w:rPr>
              <w:t>12、产品资质要求（仅限本次所配送的一次性超声电极片）：投标产品：为第一类医疗器械时，须提供所投产品的第一类医疗器械产品备案复印件或第一类医疗器械备案信息表；为第二类或第三类医疗器械时，须提供所投产品的医疗器械注册证复印件。（投标人在投标文件中提供相关证明材料，凡前述所要求具有有效期限的证明材料，投标人提交时应在有效期范围内，且投标人对前述证明材料进行电子盖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内江市中医医院指定地点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一次性医用超声电极片合同签订生效后，中标供应商接采购人通知先将配套设备送货到指定地点，在规定时间内完成安装调试验收合格交付使用。配套设备交货验收时须提供产品质检部门检测合格的报告和有效的产品授权资料以及投标文件中响应部分文件（技术参数响应及商务要求响应）。2、设备装机后性能验证和配置满足采购要求。3.中标供应商负责配套设备安装、调试，培训，直至采购人能正常使用。4、验收由采购人组织，中标供应商配合进行： 4.1、验收标准：采购人按招标文件的质量要求和技术指标、中标供应商的响应文件及承诺与合同约定标准进行验收；采购人和中标供应商双方如对质量要求和技术指标的约定标准有相互抵触或异议的事项。 4.2、验收时如发现所交付的货物有短装、次品、损坏或其它不符合标准及本合同规定之情形者，中标人应无条件更换。4.3、货物验收前损毁、灭失的风险由中标供应商承担。 4.4、质量验收合格，采购人和中标供应商共同签收确认。货物安装完成后5日内，采购人无故不进行验收工作并已使用货物的，视同已安装调试完成并验收合格。 5、其他未尽事宜应参照《财政部关于进一步加强政府采购需求和履约验收管理的指导意见》（财库〔2016〕205号）的要求、招标文件的质量要求和技术指标、中标供应商的投标文件及承诺以及合同约定标准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1付款条件：合同签订后收到供应商发票后，达到该付款条件起10个工作日内，据实情况说明为支付合同总金额的20.00%作为预付款</w:t>
            </w:r>
          </w:p>
          <w:p>
            <w:pPr>
              <w:pStyle w:val="null3"/>
              <w:jc w:val="left"/>
            </w:pPr>
            <w:r>
              <w:rPr>
                <w:rFonts w:ascii="仿宋_GB2312" w:hAnsi="仿宋_GB2312" w:cs="仿宋_GB2312" w:eastAsia="仿宋_GB2312"/>
              </w:rPr>
              <w:t>2付款条件：每月验收合格收到有效增值税发票（先行抵扣预付款）后，达到该付款条件起10个工作日内，据实情况说明为按照验收合格的一次性医用超声电极片数量×中标单价据实结算，年采购金额以预算金额160万元为限</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一、违约责任1、甲方违约责任：（1）甲方无正当理由拒收货物的，甲方应偿付合同总价百分之 五 的违约金；（2）甲方无正当理由逾期支付货款的，除应及时付足货款外，应向乙方偿付欠款总额万分之五/天的违约金；（3）甲方偿付的违约金不足以弥补乙方损失的，还应按乙方损失尚未弥补的部分，支付赔偿金给乙方。（4）因采购人自身导致变更、中止或者终止政府采购合同的，如给供应商造成了损失的，由采购人对供应商受到的损失予以赔偿或补偿。 2、乙方违约责任 （1）乙方交付的货物质量不符合合同规定的，乙方应向甲方支付合同总价的百分之 五 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 五 /天的违约金；逾期交货超过30天，甲方有权终止合同，乙方则应按合同总价的百分之 五 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 15 天内无条件更换合格的货物，如逾期不能更换合格的货物，甲方有权终止本合同，乙方应另付合同总价的百分之 十 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 十 向甲方支付违约金并赔偿因此给甲方造成的一切损失。 （5）乙方偿付的违约金不足以弥补甲方损失的，还应按甲方损失尚未弥补的部分，支付赔偿金给甲方。二、解决争议的方法 1.合同履行期间,若双方发生争议，可协商或由有关部门调解解决，协商或调解不成的，由当事人依法向合同履行地人民法院提起诉讼。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适用本国产品标准的是一次性超声电极片，配套设备不适用。2、中小企业声明函中的标的名称、所属行业以采购文件第三章3.1采购内容中的为准。3、投标人具有类似业绩。4、投标人提供设备使用有效期不低于两年或全新的租赁设备。5、投标人针对本项目提供服务方案，内容包含：①供货方案；②培训方案；③质量保障措施；④售后服务方案。6、投标人填写《关于符合本国产品标准的声明函》时，按照以下规范填写“产品名称”：投标人在该声明函中填写产品名称：一次性超声电极片。投标人未前述规范要求填写“产品名称”的，不享受价格扣除优惠政策，但不影响投标人投标文件的有效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投标人提供具有体现健全的财务制度的证明材料进行电子盖章： ①可提供2023-2025年度（任意一年）供应商经审计的完整有效的财务报告复印件；②也可提供2023-2025年度（任意一年）投标人内部的财务报表复印件（至少应包含资产负债表、现金流量表、利润表）；③也可提供距文件递交截止日一年内银行出具的资信证明（复印件）；④投标人注册时间至文件递交截止日不足一年的，也可提供在国家行政部门备案的公司章程（复印件）；⑤非营利性单位或者社会团体或者其他机关事业单位提供的证明材料以符合财务会计制度为准。</w:t>
            </w:r>
          </w:p>
        </w:tc>
        <w:tc>
          <w:tcPr>
            <w:tcW w:type="dxa" w:w="1661"/>
          </w:tcPr>
          <w:p>
            <w:pPr>
              <w:pStyle w:val="null3"/>
              <w:jc w:val="left"/>
            </w:pPr>
            <w:r>
              <w:rPr>
                <w:rFonts w:ascii="仿宋_GB2312" w:hAnsi="仿宋_GB2312" w:cs="仿宋_GB2312" w:eastAsia="仿宋_GB2312"/>
              </w:rPr>
              <w:t>体现健全的财务制度的证明材料.docx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配送产品为医疗器械（仅限一次性超声电极片），投标人须符合《医疗器械监督管理条例》要求，并针对其自身生产的产品需提供医疗器械生产许可证或生产备案凭证，针对非自身生产的产品需提供有效的医疗器械经营企业许可证或经营备案凭证（提供根据国办发〔2017〕41 号政策要求“多证合一”的营业执照除外，但投标人需在此处提供自身的营业执照）。</w:t>
            </w:r>
          </w:p>
        </w:tc>
        <w:tc>
          <w:tcPr>
            <w:tcW w:type="dxa" w:w="3322"/>
          </w:tcPr>
          <w:p>
            <w:pPr>
              <w:pStyle w:val="null3"/>
              <w:jc w:val="left"/>
            </w:pPr>
            <w:r>
              <w:rPr>
                <w:rFonts w:ascii="仿宋_GB2312" w:hAnsi="仿宋_GB2312" w:cs="仿宋_GB2312" w:eastAsia="仿宋_GB2312"/>
              </w:rPr>
              <w:t>本项目配送产品为医疗器械（仅限一次性超声电极片），投标人须符合《医疗器械监督管理条例》要求，并针对其自身生产的产品需提供医疗器械生产许可证复印件或生产备案凭证复印件，针对非自身生产的产品需提供医疗器械经营企业许可证复印件或经营备案凭证复印件（提供根据国办发〔2017〕41 号政策要求“多证合一”的营业执照除外，但投标人需在此处提供自身的营业执照复印件）。凡前述所要求具有有效期限的证明材料，投标人提交时应在有效期范围内，且投标人对前述证明材料进行电子盖章。</w:t>
            </w:r>
          </w:p>
        </w:tc>
        <w:tc>
          <w:tcPr>
            <w:tcW w:type="dxa" w:w="1661"/>
          </w:tcPr>
          <w:p>
            <w:pPr>
              <w:pStyle w:val="null3"/>
              <w:jc w:val="left"/>
            </w:pPr>
            <w:r>
              <w:rPr>
                <w:rFonts w:ascii="仿宋_GB2312" w:hAnsi="仿宋_GB2312" w:cs="仿宋_GB2312" w:eastAsia="仿宋_GB2312"/>
              </w:rPr>
              <w:t>特殊资格审查应提供的相关材料.docx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是否满足招标文件实质性要求。</w:t>
            </w:r>
          </w:p>
        </w:tc>
        <w:tc>
          <w:tcPr>
            <w:tcW w:type="dxa" w:w="3322"/>
          </w:tcPr>
          <w:p>
            <w:pPr>
              <w:pStyle w:val="null3"/>
              <w:jc w:val="left"/>
            </w:pPr>
            <w:r>
              <w:rPr>
                <w:rFonts w:ascii="仿宋_GB2312" w:hAnsi="仿宋_GB2312" w:cs="仿宋_GB2312" w:eastAsia="仿宋_GB2312"/>
              </w:rPr>
              <w:t>响应报价不符合招标文件规定的采购预算金额或限价或其他报价规定的，作无效投标处理；技术、服务应答内容没有完全响应招标文件的实质性要求的，作无效投标处理；不满足招标文件规定的其他实质性内容的，作无效投标处理。</w:t>
            </w:r>
          </w:p>
        </w:tc>
        <w:tc>
          <w:tcPr>
            <w:tcW w:type="dxa" w:w="1661"/>
          </w:tcPr>
          <w:p>
            <w:pPr>
              <w:pStyle w:val="null3"/>
              <w:jc w:val="left"/>
            </w:pPr>
            <w:r>
              <w:rPr>
                <w:rFonts w:ascii="仿宋_GB2312" w:hAnsi="仿宋_GB2312" w:cs="仿宋_GB2312" w:eastAsia="仿宋_GB2312"/>
              </w:rPr>
              <w:t>采购文件第三章技术、服务及其他要求应提供的相关证明材料.docx,服务要求应答表.docx,报价表,技术要求应答表.docx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详细评审60.00分</w:t>
            </w:r>
          </w:p>
          <w:p>
            <w:pPr>
              <w:pStyle w:val="null3"/>
              <w:jc w:val="left"/>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技术参数及性能要求</w:t>
            </w:r>
          </w:p>
        </w:tc>
        <w:tc>
          <w:tcPr>
            <w:tcW w:type="dxa" w:w="2575"/>
          </w:tcPr>
          <w:p>
            <w:pPr>
              <w:pStyle w:val="null3"/>
              <w:jc w:val="left"/>
            </w:pPr>
            <w:r>
              <w:rPr>
                <w:rFonts w:ascii="仿宋_GB2312" w:hAnsi="仿宋_GB2312" w:cs="仿宋_GB2312" w:eastAsia="仿宋_GB2312"/>
              </w:rPr>
              <w:t>投标人投标文件完全满足招标文件第三章3.2技术要求中“技术参数及性能要求”的非实质性要求的得40分，投标人投标文件与招标文件第三章3.2技术要求中“技术参数及性能要求”的非实质性要求有负偏离的，按以下方式计算得分： 1.一般条款得分=（投标人满足一般条款的数量÷一般条款的总数量）×22分； 2.“▲”条款得分=（投标人满足“▲”条款的数量÷“▲”条款的总数量）×18分； 3.投标人此项得分=一般条款得分+“▲”条款得分。 注：一、本项所述的条款数量按以下原则计算： （1）无子项的条款：以每项条款为1项进行计算； （2）有子项的条款：以最末级的子项为1项进行计算。 二、一般条款总数量为26条，标注“▲”条款总数量为3条。 三、招标文件第三章3.2技术要求中“技术参数与性能指标”里标注“▲”的条款，投标人需在投标文件中提供产品彩页或产品说明书或第三方检测（检验）机构出具的检测（检验）测报告复印件并进行电子盖章予以佐证，不提供或不满足的视为负偏离。</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对应综合评分表具体要求提供能够提供的相关证明材料.docx</w:t>
            </w:r>
          </w:p>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针对本项目提供了服务方案，内容包含：①供货方案得4分，不提供或仅有标题无正文内容的不得分；②培训方案得4分，不提供或仅有标题无正文内容的不得分；③质量保障措施得4分，不提供或仅有标题无正文内容的不得分；④售后服务方案得4分，不提供或仅有标题无正文内容的不得分。本项满分12分。前述①②③④项内容中，每一项方案内容每存在一类错误或缺陷情形的扣2分，直至扣完该小项分值4分为止。 注：（1）上述所称“错误或缺陷”情形是指存在项目名称错误、地点区域错误、内容与本项目需求无关、方案内容矛盾、仅有框架或标题、适用的标准（方法）错误、明显复制其他项目内容等任意一种情形。 （2）在每一项方案内容中，对于同一类“错误或缺陷”多次出现的情形，仅按该情形作一次扣分处理，不重复扣分。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对应综合评分表具体要求提供能够提供的相关证明材料.docx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1、投标人从2023年1月1日至今（含1月1日）至递交投标文件截止之日每具有一个类似业绩的得2分，最多得4分。 注：①同一项目分年签订的，按一个类似履约经验进行计算；②业绩以合同签订时间为准；③投标人在投标文件中提供合同复印件并加盖电子公章予以佐证，不提供或不满足要求的不得分；④类似业绩是指医用耗材类业绩。 2、标人所提供租赁设备的有效使用年限在4年及以上或全新的得4分；投标人所提供租赁设备的有效使用年限在3年（含3年）以上不足4年的得2分；投标人所提供租赁设备的有效使用年限在2年（含2年）及以上不足3年的得1分；投标人所提供租赁设备的有效使用年限不足2年的不得分；本项最多得4分。 注：①投标人在投标文件中提供租赁设备的铭牌或承诺函（承诺函中须明确所提供租赁设备的有效使用年限或承诺所提供的租赁设备是全新的，承诺函格式自拟），前述证明材料投标人进行电子公章予以佐证，不提供或不按要求提供的不予计分；②该项不累计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对应综合评分表具体要求提供能够提供的相关证明材料.docx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一次性超声电极片</w:t>
            </w:r>
          </w:p>
        </w:tc>
        <w:tc>
          <w:tcPr>
            <w:tcW w:type="dxa" w:w="2575"/>
          </w:tcPr>
          <w:p>
            <w:pPr>
              <w:pStyle w:val="null3"/>
              <w:jc w:val="left"/>
            </w:pPr>
            <w:r>
              <w:rPr>
                <w:rFonts w:ascii="仿宋_GB2312" w:hAnsi="仿宋_GB2312" w:cs="仿宋_GB2312" w:eastAsia="仿宋_GB2312"/>
              </w:rPr>
              <w:t>1.价格得分=（评审基准价/评审价格）×40分。2.评审基准价为有效投标人响应报价中的最低价（若存在价格调整，则以经价格调整后的评审价格的最低值作为评审基准价）；评审价格即响应报价（若存在价格调整，则以经价格调整后的评审价格为准：评审价格=响应报价-应扣除金额）</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详见附件：采购文件第三章技术、服务及其他要求应提供的相关证明材料.docx</w:t>
      </w:r>
    </w:p>
    <w:p>
      <w:pPr>
        <w:pStyle w:val="null3"/>
        <w:ind w:firstLine="960"/>
        <w:jc w:val="left"/>
      </w:pPr>
      <w:r>
        <w:rPr>
          <w:rFonts w:ascii="仿宋_GB2312" w:hAnsi="仿宋_GB2312" w:cs="仿宋_GB2312" w:eastAsia="仿宋_GB2312"/>
        </w:rPr>
        <w:t>详见附件：对应综合评分表具体要求提供能够提供的相关证明材料.docx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详见附件：特殊资格审查应提供的相关材料.docx</w:t>
      </w:r>
    </w:p>
    <w:p>
      <w:pPr>
        <w:pStyle w:val="null3"/>
        <w:ind w:firstLine="960"/>
        <w:jc w:val="left"/>
      </w:pPr>
      <w:r>
        <w:rPr>
          <w:rFonts w:ascii="仿宋_GB2312" w:hAnsi="仿宋_GB2312" w:cs="仿宋_GB2312" w:eastAsia="仿宋_GB2312"/>
        </w:rPr>
        <w:t>详见附件：体现健全的财务制度的证明材料.docx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