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第四章项目需求</w:t>
      </w:r>
      <w:bookmarkStart w:id="0" w:name="_Hlk105667604"/>
    </w:p>
    <w:p>
      <w:pPr>
        <w:spacing w:line="360" w:lineRule="auto"/>
        <w:jc w:val="center"/>
        <w:rPr>
          <w:rFonts w:ascii="宋体" w:hAnsi="宋体" w:eastAsia="宋体" w:cs="Times New Roman"/>
          <w:b/>
          <w:color w:val="auto"/>
          <w:sz w:val="30"/>
          <w:szCs w:val="30"/>
          <w:highlight w:val="none"/>
        </w:rPr>
      </w:pPr>
    </w:p>
    <w:p>
      <w:pPr>
        <w:pStyle w:val="3"/>
        <w:spacing w:line="360" w:lineRule="auto"/>
        <w:jc w:val="center"/>
        <w:rPr>
          <w:rFonts w:ascii="宋体" w:hAnsi="宋体" w:cs="Times New Roman"/>
          <w:b w:val="0"/>
          <w:color w:val="auto"/>
          <w:sz w:val="30"/>
          <w:szCs w:val="30"/>
          <w:highlight w:val="none"/>
        </w:rPr>
      </w:pPr>
      <w:r>
        <w:rPr>
          <w:rFonts w:hint="eastAsia" w:ascii="宋体" w:hAnsi="宋体" w:cs="Times New Roman"/>
          <w:b w:val="0"/>
          <w:color w:val="auto"/>
          <w:sz w:val="30"/>
          <w:szCs w:val="30"/>
          <w:highlight w:val="none"/>
        </w:rPr>
        <w:br w:type="page"/>
      </w:r>
      <w:r>
        <w:rPr>
          <w:rFonts w:hint="eastAsia" w:ascii="宋体" w:hAnsi="宋体" w:eastAsia="宋体" w:cs="宋体"/>
          <w:bCs/>
          <w:color w:val="auto"/>
          <w:sz w:val="30"/>
          <w:szCs w:val="30"/>
          <w:highlight w:val="none"/>
        </w:rPr>
        <w:t>一、货物需求一览表</w:t>
      </w:r>
    </w:p>
    <w:p>
      <w:pPr>
        <w:adjustRightInd w:val="0"/>
        <w:snapToGrid w:val="0"/>
        <w:jc w:val="center"/>
        <w:rPr>
          <w:rFonts w:ascii="宋体" w:hAnsi="宋体" w:eastAsia="宋体" w:cs="Times New Roman"/>
          <w:b/>
          <w:color w:val="auto"/>
          <w:sz w:val="30"/>
          <w:szCs w:val="30"/>
          <w:highlight w:val="none"/>
        </w:rPr>
      </w:pPr>
    </w:p>
    <w:tbl>
      <w:tblPr>
        <w:tblStyle w:val="10"/>
        <w:tblW w:w="74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71"/>
        <w:gridCol w:w="1418"/>
        <w:gridCol w:w="3444"/>
        <w:gridCol w:w="17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80" w:hRule="atLeast"/>
          <w:jc w:val="center"/>
        </w:trPr>
        <w:tc>
          <w:tcPr>
            <w:tcW w:w="871" w:type="dxa"/>
            <w:noWrap w:val="0"/>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包号</w:t>
            </w:r>
          </w:p>
        </w:tc>
        <w:tc>
          <w:tcPr>
            <w:tcW w:w="1418" w:type="dxa"/>
            <w:noWrap w:val="0"/>
            <w:vAlign w:val="top"/>
          </w:tcPr>
          <w:p>
            <w:pPr>
              <w:jc w:val="center"/>
              <w:rPr>
                <w:rFonts w:hint="eastAsia"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品目</w:t>
            </w:r>
          </w:p>
        </w:tc>
        <w:tc>
          <w:tcPr>
            <w:tcW w:w="3444" w:type="dxa"/>
            <w:noWrap w:val="0"/>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货物名称</w:t>
            </w:r>
          </w:p>
        </w:tc>
        <w:tc>
          <w:tcPr>
            <w:tcW w:w="1745" w:type="dxa"/>
            <w:noWrap w:val="0"/>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restart"/>
            <w:noWrap w:val="0"/>
            <w:vAlign w:val="center"/>
          </w:tcPr>
          <w:p>
            <w:pPr>
              <w:jc w:val="center"/>
              <w:rPr>
                <w:rFonts w:hint="eastAsia" w:ascii="宋体" w:hAnsi="Bookman Old Style" w:eastAsia="宋体" w:cs="Times New Roman"/>
                <w:color w:val="auto"/>
                <w:sz w:val="24"/>
                <w:szCs w:val="22"/>
                <w:highlight w:val="none"/>
              </w:rPr>
            </w:pPr>
            <w:r>
              <w:rPr>
                <w:rFonts w:hint="eastAsia" w:ascii="宋体" w:hAnsi="Bookman Old Style" w:eastAsia="宋体" w:cs="Times New Roman"/>
                <w:color w:val="auto"/>
                <w:sz w:val="24"/>
                <w:szCs w:val="22"/>
                <w:highlight w:val="none"/>
              </w:rPr>
              <w:t>1</w:t>
            </w: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444" w:type="dxa"/>
            <w:noWrap w:val="0"/>
            <w:vAlign w:val="center"/>
          </w:tcPr>
          <w:p>
            <w:pPr>
              <w:widowControl/>
              <w:jc w:val="center"/>
              <w:textAlignment w:val="center"/>
              <w:rPr>
                <w:rFonts w:hint="eastAsia" w:ascii="宋体" w:hAnsi="Bookman Old Style" w:eastAsia="宋体" w:cs="Times New Roman"/>
                <w:color w:val="auto"/>
                <w:sz w:val="24"/>
                <w:szCs w:val="22"/>
                <w:highlight w:val="none"/>
              </w:rPr>
            </w:pPr>
            <w:r>
              <w:rPr>
                <w:rFonts w:hint="eastAsia" w:ascii="宋体" w:hAnsi="宋体" w:eastAsia="宋体" w:cs="宋体"/>
                <w:color w:val="auto"/>
                <w:sz w:val="24"/>
                <w:szCs w:val="24"/>
                <w:highlight w:val="none"/>
              </w:rPr>
              <w:t>超灵敏度多功能成像仪</w:t>
            </w:r>
          </w:p>
        </w:tc>
        <w:tc>
          <w:tcPr>
            <w:tcW w:w="1745" w:type="dxa"/>
            <w:noWrap w:val="0"/>
            <w:vAlign w:val="center"/>
          </w:tcPr>
          <w:p>
            <w:pPr>
              <w:widowControl/>
              <w:jc w:val="center"/>
              <w:textAlignment w:val="center"/>
              <w:rPr>
                <w:rFonts w:ascii="宋体" w:hAnsi="Bookman Old Style" w:eastAsia="宋体" w:cs="Times New Roman"/>
                <w:color w:val="auto"/>
                <w:sz w:val="24"/>
                <w:szCs w:val="22"/>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444" w:type="dxa"/>
            <w:noWrap w:val="0"/>
            <w:vAlign w:val="center"/>
          </w:tcPr>
          <w:p>
            <w:pPr>
              <w:widowControl/>
              <w:jc w:val="center"/>
              <w:textAlignment w:val="center"/>
              <w:rPr>
                <w:rFonts w:hint="eastAsia" w:ascii="宋体" w:hAnsi="Bookman Old Style" w:eastAsia="宋体" w:cs="Times New Roman"/>
                <w:color w:val="auto"/>
                <w:sz w:val="24"/>
                <w:szCs w:val="22"/>
                <w:highlight w:val="none"/>
              </w:rPr>
            </w:pPr>
            <w:r>
              <w:rPr>
                <w:rFonts w:hint="eastAsia" w:ascii="宋体" w:hAnsi="宋体" w:eastAsia="宋体" w:cs="宋体"/>
                <w:color w:val="auto"/>
                <w:sz w:val="24"/>
                <w:szCs w:val="24"/>
                <w:highlight w:val="none"/>
              </w:rPr>
              <w:t>荧光倒置显微镜</w:t>
            </w:r>
          </w:p>
        </w:tc>
        <w:tc>
          <w:tcPr>
            <w:tcW w:w="1745" w:type="dxa"/>
            <w:noWrap w:val="0"/>
            <w:vAlign w:val="center"/>
          </w:tcPr>
          <w:p>
            <w:pPr>
              <w:widowControl/>
              <w:jc w:val="center"/>
              <w:textAlignment w:val="center"/>
              <w:rPr>
                <w:rFonts w:ascii="宋体" w:hAnsi="Bookman Old Style" w:eastAsia="宋体" w:cs="Times New Roman"/>
                <w:color w:val="auto"/>
                <w:sz w:val="24"/>
                <w:szCs w:val="22"/>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444" w:type="dxa"/>
            <w:noWrap w:val="0"/>
            <w:vAlign w:val="center"/>
          </w:tcPr>
          <w:p>
            <w:pPr>
              <w:widowControl/>
              <w:jc w:val="center"/>
              <w:textAlignment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双色红外激光成像系统</w:t>
            </w:r>
          </w:p>
        </w:tc>
        <w:tc>
          <w:tcPr>
            <w:tcW w:w="1745" w:type="dxa"/>
            <w:noWrap w:val="0"/>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w:t>
            </w:r>
          </w:p>
        </w:tc>
        <w:tc>
          <w:tcPr>
            <w:tcW w:w="3444" w:type="dxa"/>
            <w:noWrap w:val="0"/>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细胞成像微孔检测系统</w:t>
            </w:r>
          </w:p>
        </w:tc>
        <w:tc>
          <w:tcPr>
            <w:tcW w:w="1745" w:type="dxa"/>
            <w:noWrap w:val="0"/>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444" w:type="dxa"/>
            <w:noWrap w:val="0"/>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全自动多位点基因分型系统</w:t>
            </w:r>
          </w:p>
        </w:tc>
        <w:tc>
          <w:tcPr>
            <w:tcW w:w="1745" w:type="dxa"/>
            <w:noWrap w:val="0"/>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444" w:type="dxa"/>
            <w:noWrap w:val="0"/>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有机元素分析仪</w:t>
            </w:r>
          </w:p>
        </w:tc>
        <w:tc>
          <w:tcPr>
            <w:tcW w:w="1745" w:type="dxa"/>
            <w:noWrap w:val="0"/>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444"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全自动细菌鉴定及药敏分析系统</w:t>
            </w:r>
          </w:p>
        </w:tc>
        <w:tc>
          <w:tcPr>
            <w:tcW w:w="1745"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9"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444" w:type="dxa"/>
            <w:noWrap w:val="0"/>
            <w:vAlign w:val="center"/>
          </w:tcPr>
          <w:p>
            <w:pPr>
              <w:jc w:val="center"/>
              <w:rPr>
                <w:rFonts w:ascii="宋体" w:hAnsi="宋体" w:eastAsia="宋体" w:cs="宋体"/>
                <w:color w:val="auto"/>
                <w:kern w:val="0"/>
                <w:sz w:val="22"/>
                <w:szCs w:val="22"/>
                <w:highlight w:val="none"/>
                <w:lang w:bidi="ar"/>
              </w:rPr>
            </w:pPr>
            <w:r>
              <w:rPr>
                <w:rFonts w:hint="eastAsia" w:ascii="宋体" w:hAnsi="宋体" w:eastAsia="宋体" w:cs="宋体"/>
                <w:color w:val="auto"/>
                <w:sz w:val="24"/>
                <w:szCs w:val="24"/>
                <w:highlight w:val="none"/>
              </w:rPr>
              <w:t>多功能酶标仪</w:t>
            </w:r>
          </w:p>
        </w:tc>
        <w:tc>
          <w:tcPr>
            <w:tcW w:w="1745" w:type="dxa"/>
            <w:noWrap w:val="0"/>
            <w:vAlign w:val="center"/>
          </w:tcPr>
          <w:p>
            <w:pPr>
              <w:jc w:val="center"/>
              <w:rPr>
                <w:rFonts w:ascii="Times New Roman" w:hAnsi="Times New Roman" w:eastAsia="宋体" w:cs="Times New Roman"/>
                <w:color w:val="auto"/>
                <w:kern w:val="0"/>
                <w:sz w:val="22"/>
                <w:szCs w:val="22"/>
                <w:highlight w:val="none"/>
                <w:lang w:bidi="ar"/>
              </w:rPr>
            </w:pPr>
            <w:r>
              <w:rPr>
                <w:rFonts w:hint="eastAsia" w:ascii="宋体" w:hAnsi="宋体" w:eastAsia="宋体" w:cs="宋体"/>
                <w:color w:val="auto"/>
                <w:sz w:val="24"/>
                <w:highlight w:val="none"/>
              </w:rPr>
              <w:t>1套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871" w:type="dxa"/>
            <w:vMerge w:val="continue"/>
            <w:noWrap w:val="0"/>
            <w:vAlign w:val="center"/>
          </w:tcPr>
          <w:p>
            <w:pPr>
              <w:jc w:val="center"/>
              <w:rPr>
                <w:rFonts w:ascii="宋体" w:hAnsi="Bookman Old Style" w:eastAsia="宋体" w:cs="Times New Roman"/>
                <w:color w:val="auto"/>
                <w:sz w:val="24"/>
                <w:szCs w:val="22"/>
                <w:highlight w:val="none"/>
              </w:rPr>
            </w:pPr>
          </w:p>
        </w:tc>
        <w:tc>
          <w:tcPr>
            <w:tcW w:w="141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444" w:type="dxa"/>
            <w:noWrap w:val="0"/>
            <w:vAlign w:val="center"/>
          </w:tcPr>
          <w:p>
            <w:pPr>
              <w:jc w:val="center"/>
              <w:rPr>
                <w:rFonts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微流控芯片基因分析系统</w:t>
            </w:r>
          </w:p>
        </w:tc>
        <w:tc>
          <w:tcPr>
            <w:tcW w:w="1745" w:type="dxa"/>
            <w:noWrap w:val="0"/>
            <w:vAlign w:val="center"/>
          </w:tcPr>
          <w:p>
            <w:pPr>
              <w:jc w:val="center"/>
              <w:rPr>
                <w:rFonts w:ascii="Times New Roman" w:hAnsi="Times New Roman" w:eastAsia="宋体" w:cs="Times New Roman"/>
                <w:color w:val="auto"/>
                <w:kern w:val="0"/>
                <w:sz w:val="22"/>
                <w:szCs w:val="22"/>
                <w:highlight w:val="none"/>
                <w:lang w:bidi="ar"/>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sz w:val="24"/>
                <w:highlight w:val="none"/>
              </w:rPr>
              <w:t>套</w:t>
            </w:r>
          </w:p>
        </w:tc>
      </w:tr>
      <w:bookmarkEnd w:id="0"/>
    </w:tbl>
    <w:p>
      <w:pPr>
        <w:jc w:val="center"/>
        <w:rPr>
          <w:rFonts w:ascii="宋体" w:hAnsi="Bookman Old Style" w:eastAsia="宋体" w:cs="Times New Roman"/>
          <w:color w:val="auto"/>
          <w:sz w:val="24"/>
          <w:szCs w:val="22"/>
          <w:highlight w:val="none"/>
        </w:rPr>
      </w:pP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注：</w:t>
      </w:r>
    </w:p>
    <w:p>
      <w:pPr>
        <w:spacing w:line="360" w:lineRule="auto"/>
        <w:rPr>
          <w:rFonts w:ascii="Bookman Old Style" w:hAnsi="Bookman Old Style" w:eastAsia="宋体" w:cs="Times New Roman"/>
          <w:color w:val="auto"/>
          <w:sz w:val="24"/>
          <w:highlight w:val="none"/>
        </w:rPr>
      </w:pPr>
      <w:r>
        <w:rPr>
          <w:rFonts w:hint="eastAsia" w:ascii="Times New Roman" w:hAnsi="Times New Roman" w:eastAsia="宋体" w:cs="Times New Roman"/>
          <w:color w:val="auto"/>
          <w:sz w:val="24"/>
          <w:highlight w:val="none"/>
        </w:rPr>
        <w:t>1、投标人须对上述投标内容中完整的一包或几包进行投标，</w:t>
      </w:r>
      <w:r>
        <w:rPr>
          <w:rFonts w:hint="eastAsia" w:ascii="Bookman Old Style" w:hAnsi="Bookman Old Style" w:eastAsia="宋体" w:cs="Times New Roman"/>
          <w:color w:val="auto"/>
          <w:sz w:val="24"/>
          <w:highlight w:val="none"/>
        </w:rPr>
        <w:t>不完整的投标将视为非响应性投标予以拒绝。</w:t>
      </w:r>
    </w:p>
    <w:p>
      <w:pPr>
        <w:spacing w:line="360" w:lineRule="auto"/>
        <w:rPr>
          <w:rFonts w:hint="eastAsia" w:ascii="Times New Roman" w:hAnsi="Times New Roman" w:eastAsia="宋体" w:cs="Times New Roman"/>
          <w:color w:val="auto"/>
          <w:sz w:val="24"/>
          <w:highlight w:val="none"/>
        </w:rPr>
      </w:pPr>
      <w:r>
        <w:rPr>
          <w:rFonts w:hint="eastAsia" w:ascii="宋体" w:hAnsi="Bookman Old Style" w:eastAsia="宋体" w:cs="Times New Roman"/>
          <w:b/>
          <w:bCs/>
          <w:color w:val="auto"/>
          <w:sz w:val="24"/>
          <w:highlight w:val="none"/>
        </w:rPr>
        <w:t>2、核心产</w:t>
      </w:r>
      <w:r>
        <w:rPr>
          <w:rFonts w:hint="eastAsia" w:ascii="Times New Roman" w:hAnsi="Times New Roman" w:eastAsia="宋体" w:cs="Times New Roman"/>
          <w:b/>
          <w:bCs/>
          <w:color w:val="auto"/>
          <w:sz w:val="24"/>
          <w:highlight w:val="none"/>
        </w:rPr>
        <w:t>品：</w:t>
      </w:r>
      <w:r>
        <w:rPr>
          <w:rFonts w:hint="eastAsia" w:ascii="宋体" w:hAnsi="宋体" w:eastAsia="宋体" w:cs="宋体"/>
          <w:color w:val="auto"/>
          <w:sz w:val="24"/>
          <w:szCs w:val="24"/>
          <w:highlight w:val="none"/>
        </w:rPr>
        <w:t>全自动多位点基因分型系统</w:t>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3、中小企业所属行业</w:t>
      </w:r>
    </w:p>
    <w:p>
      <w:pPr>
        <w:spacing w:line="360" w:lineRule="auto"/>
        <w:rPr>
          <w:rFonts w:ascii="宋体" w:hAnsi="宋体" w:eastAsia="宋体" w:cs="仿宋_GB2312"/>
          <w:b/>
          <w:bCs/>
          <w:color w:val="auto"/>
          <w:sz w:val="24"/>
          <w:highlight w:val="none"/>
        </w:rPr>
      </w:pPr>
      <w:r>
        <w:rPr>
          <w:rFonts w:hint="eastAsia" w:ascii="Times New Roman" w:hAnsi="Times New Roman" w:eastAsia="宋体" w:cs="Times New Roman"/>
          <w:color w:val="auto"/>
          <w:sz w:val="24"/>
          <w:highlight w:val="none"/>
        </w:rPr>
        <w:t>根据《关于印发中小企业划型标准规定的通知》（工信部联企业〔2011〕300号）的通知，行业划分具体为：农、林、牧、渔业，工业（包括采矿业，制造业，电力、热力、燃气及水生产和供应业），建筑业，批发业，零售业，交通运输业（不含铁路运输业），仓储业，邮政业，住宿业，餐饮业，信息传</w:t>
      </w:r>
      <w:r>
        <w:rPr>
          <w:rFonts w:hint="eastAsia" w:ascii="宋体" w:hAnsi="宋体" w:eastAsia="宋体" w:cs="仿宋_GB2312"/>
          <w:color w:val="auto"/>
          <w:sz w:val="24"/>
          <w:highlight w:val="none"/>
        </w:rPr>
        <w:t>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9"/>
        <w:ind w:left="0" w:firstLine="482"/>
        <w:rPr>
          <w:rFonts w:hint="eastAsia" w:ascii="宋体" w:eastAsia="宋体" w:cs="仿宋_GB2312"/>
          <w:b/>
          <w:bCs/>
          <w:color w:val="auto"/>
          <w:sz w:val="24"/>
          <w:highlight w:val="none"/>
        </w:rPr>
      </w:pPr>
      <w:r>
        <w:rPr>
          <w:rFonts w:hint="eastAsia" w:ascii="宋体" w:eastAsia="宋体" w:cs="仿宋_GB2312"/>
          <w:b/>
          <w:bCs/>
          <w:color w:val="auto"/>
          <w:sz w:val="24"/>
          <w:highlight w:val="none"/>
        </w:rPr>
        <w:t>本项目所属行业为：</w:t>
      </w:r>
      <w:r>
        <w:rPr>
          <w:rFonts w:hint="eastAsia" w:ascii="宋体" w:eastAsia="宋体" w:cs="仿宋_GB2312"/>
          <w:b/>
          <w:bCs/>
          <w:color w:val="auto"/>
          <w:sz w:val="24"/>
          <w:highlight w:val="none"/>
          <w:u w:val="single"/>
        </w:rPr>
        <w:t xml:space="preserve">     工业      </w:t>
      </w:r>
    </w:p>
    <w:p>
      <w:pPr>
        <w:spacing w:line="360" w:lineRule="auto"/>
        <w:rPr>
          <w:rFonts w:hint="eastAsia" w:ascii="宋体" w:hAnsi="Bookman Old Style" w:eastAsia="宋体" w:cs="Times New Roman"/>
          <w:b/>
          <w:bCs/>
          <w:color w:val="auto"/>
          <w:sz w:val="24"/>
          <w:highlight w:val="none"/>
        </w:rPr>
      </w:pPr>
    </w:p>
    <w:p>
      <w:pPr>
        <w:spacing w:line="360" w:lineRule="auto"/>
        <w:rPr>
          <w:rFonts w:ascii="宋体" w:hAnsi="宋体" w:eastAsia="宋体" w:cs="Times New Roman"/>
          <w:b/>
          <w:color w:val="auto"/>
          <w:sz w:val="30"/>
          <w:szCs w:val="30"/>
          <w:highlight w:val="none"/>
        </w:rPr>
      </w:pPr>
      <w:r>
        <w:rPr>
          <w:rFonts w:ascii="宋体" w:hAnsi="Bookman Old Style" w:eastAsia="宋体" w:cs="Times New Roman"/>
          <w:color w:val="auto"/>
          <w:sz w:val="24"/>
          <w:highlight w:val="none"/>
        </w:rPr>
        <w:br w:type="page"/>
      </w:r>
    </w:p>
    <w:p>
      <w:pPr>
        <w:tabs>
          <w:tab w:val="left" w:pos="720"/>
        </w:tabs>
        <w:adjustRightInd w:val="0"/>
        <w:snapToGrid w:val="0"/>
        <w:jc w:val="left"/>
        <w:outlineLvl w:val="1"/>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二、总</w:t>
      </w:r>
      <w:r>
        <w:rPr>
          <w:rFonts w:ascii="宋体" w:hAnsi="宋体" w:eastAsia="宋体" w:cs="Times New Roman"/>
          <w:b/>
          <w:color w:val="auto"/>
          <w:sz w:val="30"/>
          <w:szCs w:val="30"/>
          <w:highlight w:val="none"/>
        </w:rPr>
        <w:t xml:space="preserve">  </w:t>
      </w:r>
      <w:r>
        <w:rPr>
          <w:rFonts w:hint="eastAsia" w:ascii="宋体" w:hAnsi="宋体" w:eastAsia="宋体" w:cs="Times New Roman"/>
          <w:b/>
          <w:color w:val="auto"/>
          <w:sz w:val="30"/>
          <w:szCs w:val="30"/>
          <w:highlight w:val="none"/>
        </w:rPr>
        <w:t>则</w:t>
      </w:r>
    </w:p>
    <w:p>
      <w:pPr>
        <w:spacing w:line="360" w:lineRule="auto"/>
        <w:ind w:left="600" w:hanging="600"/>
        <w:rPr>
          <w:rFonts w:ascii="宋体" w:hAnsi="宋体" w:eastAsia="宋体" w:cs="Times New Roman"/>
          <w:b/>
          <w:color w:val="auto"/>
          <w:sz w:val="30"/>
          <w:szCs w:val="30"/>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bookmarkStart w:id="1" w:name="_Hlk111644455"/>
      <w:r>
        <w:rPr>
          <w:rFonts w:ascii="宋体" w:hAnsi="宋体" w:eastAsia="宋体" w:cs="Times New Roman"/>
          <w:b/>
          <w:color w:val="auto"/>
          <w:sz w:val="28"/>
          <w:highlight w:val="none"/>
        </w:rPr>
        <w:t>1</w:t>
      </w:r>
      <w:r>
        <w:rPr>
          <w:rFonts w:hint="eastAsia" w:ascii="宋体" w:hAnsi="宋体" w:eastAsia="宋体" w:cs="Times New Roman"/>
          <w:b/>
          <w:color w:val="auto"/>
          <w:sz w:val="28"/>
          <w:highlight w:val="none"/>
        </w:rPr>
        <w:t>、投标要求</w:t>
      </w:r>
    </w:p>
    <w:p>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1.1 </w:t>
      </w:r>
      <w:r>
        <w:rPr>
          <w:rFonts w:hint="eastAsia" w:ascii="宋体" w:hAnsi="宋体" w:eastAsia="宋体" w:cs="Times New Roman"/>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w:t>
      </w:r>
      <w:r>
        <w:rPr>
          <w:rFonts w:hint="eastAsia" w:ascii="宋体" w:hAnsi="宋体" w:eastAsia="宋体" w:cs="Times New Roman"/>
          <w:b/>
          <w:bCs/>
          <w:color w:val="auto"/>
          <w:sz w:val="24"/>
          <w:highlight w:val="none"/>
        </w:rPr>
        <w:t>投标人提供的货物应是成熟全新的产品，</w:t>
      </w:r>
      <w:r>
        <w:rPr>
          <w:rFonts w:hint="eastAsia" w:ascii="宋体" w:hAnsi="宋体" w:eastAsia="宋体" w:cs="Times New Roman"/>
          <w:color w:val="auto"/>
          <w:sz w:val="24"/>
          <w:highlight w:val="none"/>
        </w:rPr>
        <w:t>其技术规格应符合招标文件的要求。如与招标文件的技术规格有偏差，应提供技术规格偏差的量值或说明（偏离表）。如投标人有意隐瞒对规格要求的偏差或在开标后提出新的偏差，买方有权拒绝其投标。</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hint="eastAsia" w:ascii="Times New Roman" w:hAnsi="Times New Roman" w:eastAsia="宋体" w:cs="Times New Roman"/>
          <w:color w:val="auto"/>
          <w:sz w:val="24"/>
          <w:highlight w:val="none"/>
        </w:rPr>
        <w:t>投标人提供的</w:t>
      </w:r>
      <w:r>
        <w:rPr>
          <w:rFonts w:hint="eastAsia" w:ascii="宋体" w:hAnsi="Times New Roman" w:eastAsia="宋体" w:cs="Times New Roman"/>
          <w:color w:val="auto"/>
          <w:sz w:val="24"/>
          <w:highlight w:val="none"/>
        </w:rPr>
        <w:t>产品</w:t>
      </w:r>
      <w:r>
        <w:rPr>
          <w:rFonts w:hint="eastAsia" w:ascii="Times New Roman" w:hAnsi="Times New Roman" w:eastAsia="宋体" w:cs="Times New Roman"/>
          <w:color w:val="auto"/>
          <w:sz w:val="24"/>
          <w:highlight w:val="none"/>
        </w:rPr>
        <w:t>样本，必须是“原件”而非复印件，</w:t>
      </w:r>
      <w:r>
        <w:rPr>
          <w:rFonts w:hint="eastAsia" w:ascii="宋体" w:hAnsi="Times New Roman" w:eastAsia="宋体" w:cs="Times New Roman"/>
          <w:color w:val="auto"/>
          <w:sz w:val="24"/>
          <w:highlight w:val="none"/>
        </w:rPr>
        <w:t>图表、简图、电路图以及印刷电路板图等都应</w:t>
      </w:r>
      <w:r>
        <w:rPr>
          <w:rFonts w:hint="eastAsia" w:ascii="Times New Roman" w:hAnsi="Times New Roman" w:eastAsia="宋体" w:cs="Times New Roman"/>
          <w:color w:val="auto"/>
          <w:sz w:val="24"/>
          <w:highlight w:val="none"/>
        </w:rPr>
        <w:t>清晰易读。买方有权</w:t>
      </w:r>
      <w:r>
        <w:rPr>
          <w:rFonts w:hint="eastAsia" w:ascii="宋体" w:hAnsi="Times New Roman" w:eastAsia="宋体" w:cs="Times New Roman"/>
          <w:color w:val="auto"/>
          <w:sz w:val="24"/>
          <w:highlight w:val="none"/>
        </w:rPr>
        <w:t>不付任何附加费用</w:t>
      </w:r>
      <w:r>
        <w:rPr>
          <w:rFonts w:hint="eastAsia" w:ascii="Times New Roman" w:hAnsi="Times New Roman" w:eastAsia="宋体" w:cs="Times New Roman"/>
          <w:color w:val="auto"/>
          <w:sz w:val="24"/>
          <w:highlight w:val="none"/>
        </w:rPr>
        <w:t>复制这些资料</w:t>
      </w:r>
      <w:r>
        <w:rPr>
          <w:rFonts w:hint="eastAsia" w:ascii="宋体" w:hAnsi="Times New Roman" w:eastAsia="宋体" w:cs="Times New Roman"/>
          <w:color w:val="auto"/>
          <w:sz w:val="24"/>
          <w:highlight w:val="none"/>
        </w:rPr>
        <w:t>以供参考。</w:t>
      </w: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2、评标标准</w:t>
      </w:r>
    </w:p>
    <w:p>
      <w:pPr>
        <w:spacing w:line="360" w:lineRule="auto"/>
        <w:ind w:left="554" w:hanging="554" w:hangingChars="231"/>
        <w:rPr>
          <w:rFonts w:ascii="宋体" w:hAnsi="Times New Roman"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 xml:space="preserve">1  </w:t>
      </w:r>
      <w:r>
        <w:rPr>
          <w:rFonts w:hint="eastAsia" w:ascii="Times New Roman" w:hAnsi="Times New Roman" w:eastAsia="宋体" w:cs="Times New Roman"/>
          <w:color w:val="auto"/>
          <w:sz w:val="24"/>
          <w:highlight w:val="none"/>
        </w:rPr>
        <w:t>除招标文件中指定的附件和专用工具外，</w:t>
      </w:r>
      <w:r>
        <w:rPr>
          <w:rFonts w:hint="eastAsia" w:ascii="宋体" w:hAnsi="Times New Roman" w:eastAsia="宋体" w:cs="Times New Roman"/>
          <w:color w:val="auto"/>
          <w:sz w:val="24"/>
          <w:highlight w:val="none"/>
        </w:rPr>
        <w:t>投标人应提供仪器设备的正常运行和常规保养所需的全套标准附件、专用工具</w:t>
      </w:r>
      <w:r>
        <w:rPr>
          <w:rFonts w:hint="eastAsia" w:ascii="Times New Roman" w:hAnsi="Times New Roman" w:eastAsia="宋体" w:cs="Times New Roman"/>
          <w:color w:val="auto"/>
          <w:sz w:val="24"/>
          <w:highlight w:val="none"/>
        </w:rPr>
        <w:t>和消耗品</w:t>
      </w:r>
      <w:r>
        <w:rPr>
          <w:rFonts w:hint="eastAsia" w:ascii="宋体" w:hAnsi="Times New Roman" w:eastAsia="宋体" w:cs="Times New Roman"/>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2.2  </w:t>
      </w:r>
      <w:r>
        <w:rPr>
          <w:rFonts w:hint="eastAsia" w:ascii="Times New Roman" w:hAnsi="Times New Roman" w:eastAsia="宋体" w:cs="Times New Roman"/>
          <w:color w:val="auto"/>
          <w:sz w:val="24"/>
          <w:highlight w:val="none"/>
        </w:rPr>
        <w:t>对于标书</w:t>
      </w:r>
      <w:r>
        <w:rPr>
          <w:rFonts w:hint="eastAsia" w:ascii="宋体" w:hAnsi="Times New Roman" w:eastAsia="宋体" w:cs="Times New Roman"/>
          <w:color w:val="auto"/>
          <w:sz w:val="24"/>
          <w:highlight w:val="none"/>
        </w:rPr>
        <w:t>技术规范中已列</w:t>
      </w:r>
      <w:r>
        <w:rPr>
          <w:rFonts w:hint="eastAsia" w:ascii="Times New Roman" w:hAnsi="Times New Roman" w:eastAsia="宋体" w:cs="Times New Roman"/>
          <w:color w:val="auto"/>
          <w:sz w:val="24"/>
          <w:highlight w:val="none"/>
        </w:rPr>
        <w:t>出的作为查询选件的附件、零配件、专用工具和消耗品，投标书中</w:t>
      </w:r>
      <w:r>
        <w:rPr>
          <w:rFonts w:hint="eastAsia" w:ascii="宋体" w:hAnsi="Times New Roman" w:eastAsia="宋体" w:cs="Times New Roman"/>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color w:val="auto"/>
          <w:sz w:val="24"/>
          <w:highlight w:val="none"/>
        </w:rPr>
        <w:t>选件一旦为用户接受，其费用将加入合同价中。</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2.3  为便于用户进行接收仪器的准备工作，卖方应在合同生效后</w:t>
      </w:r>
      <w:r>
        <w:rPr>
          <w:rFonts w:hint="eastAsia" w:ascii="宋体" w:hAnsi="宋体" w:eastAsia="宋体" w:cs="Times New Roman"/>
          <w:b/>
          <w:color w:val="auto"/>
          <w:sz w:val="24"/>
          <w:highlight w:val="none"/>
        </w:rPr>
        <w:t>60</w:t>
      </w:r>
      <w:r>
        <w:rPr>
          <w:rFonts w:hint="eastAsia" w:ascii="宋体" w:hAnsi="宋体" w:eastAsia="宋体" w:cs="Times New Roman"/>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 xml:space="preserve">6  </w:t>
      </w:r>
      <w:r>
        <w:rPr>
          <w:rFonts w:hint="eastAsia" w:ascii="Times New Roman" w:hAnsi="Times New Roman" w:eastAsia="宋体" w:cs="Times New Roman"/>
          <w:color w:val="auto"/>
          <w:sz w:val="24"/>
          <w:highlight w:val="none"/>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3、工作条件</w:t>
      </w:r>
    </w:p>
    <w:p>
      <w:pPr>
        <w:spacing w:after="312" w:afterLines="1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除非在技术规格中另有说明，所有仪器、设备和系统都应符合下列要求：</w:t>
      </w:r>
      <w:r>
        <w:rPr>
          <w:rFonts w:ascii="宋体" w:hAnsi="宋体" w:eastAsia="宋体" w:cs="Times New Roman"/>
          <w:color w:val="auto"/>
          <w:sz w:val="24"/>
          <w:highlight w:val="none"/>
        </w:rPr>
        <w:t xml:space="preserve"> </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3.1  适于在气温为摄氏</w:t>
      </w:r>
      <w:r>
        <w:rPr>
          <w:rFonts w:ascii="宋体" w:hAnsi="宋体" w:eastAsia="宋体" w:cs="Times New Roman"/>
          <w:b/>
          <w:color w:val="auto"/>
          <w:sz w:val="24"/>
          <w:highlight w:val="none"/>
        </w:rPr>
        <w:t>-40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和相对湿度为</w:t>
      </w:r>
      <w:r>
        <w:rPr>
          <w:rFonts w:ascii="宋体" w:hAnsi="宋体" w:eastAsia="宋体" w:cs="Times New Roman"/>
          <w:b/>
          <w:color w:val="auto"/>
          <w:sz w:val="24"/>
          <w:highlight w:val="none"/>
        </w:rPr>
        <w:t>90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的环境条件下运输和贮存。</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3.2  适于在电源</w:t>
      </w:r>
      <w:r>
        <w:rPr>
          <w:rFonts w:ascii="宋体" w:hAnsi="宋体" w:eastAsia="宋体" w:cs="Times New Roman"/>
          <w:b/>
          <w:color w:val="auto"/>
          <w:sz w:val="24"/>
          <w:highlight w:val="none"/>
        </w:rPr>
        <w:t>220V</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sym w:font="Symbol" w:char="F0B1"/>
      </w:r>
      <w:r>
        <w:rPr>
          <w:rFonts w:ascii="宋体" w:hAnsi="宋体" w:eastAsia="宋体" w:cs="Times New Roman"/>
          <w:b/>
          <w:color w:val="auto"/>
          <w:sz w:val="24"/>
          <w:highlight w:val="none"/>
        </w:rPr>
        <w:t>10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/50Hz</w:t>
      </w:r>
      <w:r>
        <w:rPr>
          <w:rFonts w:hint="eastAsia" w:ascii="宋体" w:hAnsi="宋体" w:eastAsia="宋体" w:cs="Times New Roman"/>
          <w:color w:val="auto"/>
          <w:sz w:val="24"/>
          <w:highlight w:val="none"/>
        </w:rPr>
        <w:t>、气温摄氏</w:t>
      </w:r>
      <w:r>
        <w:rPr>
          <w:rFonts w:hint="eastAsia" w:ascii="宋体" w:hAnsi="宋体" w:eastAsia="宋体" w:cs="Times New Roman"/>
          <w:b/>
          <w:color w:val="auto"/>
          <w:sz w:val="24"/>
          <w:highlight w:val="none"/>
        </w:rPr>
        <w:t>+1</w:t>
      </w:r>
      <w:r>
        <w:rPr>
          <w:rFonts w:ascii="宋体" w:hAnsi="宋体" w:eastAsia="宋体" w:cs="Times New Roman"/>
          <w:b/>
          <w:color w:val="auto"/>
          <w:sz w:val="24"/>
          <w:highlight w:val="none"/>
        </w:rPr>
        <w:t>5</w:t>
      </w:r>
      <w:r>
        <w:rPr>
          <w:rFonts w:hint="eastAsia" w:ascii="宋体" w:hAnsi="宋体" w:eastAsia="宋体" w:cs="Times New Roman"/>
          <w:b/>
          <w:color w:val="auto"/>
          <w:sz w:val="24"/>
          <w:highlight w:val="none"/>
        </w:rPr>
        <w:t>℃～＋3</w:t>
      </w:r>
      <w:r>
        <w:rPr>
          <w:rFonts w:ascii="宋体" w:hAnsi="宋体" w:eastAsia="宋体" w:cs="Times New Roman"/>
          <w:b/>
          <w:color w:val="auto"/>
          <w:sz w:val="24"/>
          <w:highlight w:val="none"/>
        </w:rPr>
        <w:t>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和相对湿度小于</w:t>
      </w:r>
      <w:r>
        <w:rPr>
          <w:rFonts w:ascii="宋体" w:hAnsi="宋体" w:eastAsia="宋体" w:cs="Times New Roman"/>
          <w:b/>
          <w:color w:val="auto"/>
          <w:sz w:val="24"/>
          <w:highlight w:val="none"/>
        </w:rPr>
        <w:t>8</w:t>
      </w:r>
      <w:r>
        <w:rPr>
          <w:rFonts w:hint="eastAsia" w:ascii="宋体" w:hAnsi="宋体" w:eastAsia="宋体" w:cs="Times New Roman"/>
          <w:b/>
          <w:color w:val="auto"/>
          <w:sz w:val="24"/>
          <w:highlight w:val="none"/>
        </w:rPr>
        <w:t>0％</w:t>
      </w:r>
      <w:r>
        <w:rPr>
          <w:rFonts w:hint="eastAsia" w:ascii="宋体" w:hAnsi="宋体" w:eastAsia="宋体" w:cs="Times New Roman"/>
          <w:color w:val="auto"/>
          <w:sz w:val="24"/>
          <w:highlight w:val="none"/>
        </w:rPr>
        <w:t>的环境条件下运行。</w:t>
      </w:r>
      <w:r>
        <w:rPr>
          <w:rFonts w:hint="eastAsia" w:ascii="宋体" w:hAnsi="宋体" w:eastAsia="宋体" w:cs="Times New Roman"/>
          <w:b/>
          <w:color w:val="auto"/>
          <w:sz w:val="24"/>
          <w:highlight w:val="none"/>
        </w:rPr>
        <w:t>能够连续正常工作。</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3.3  配置符合中国有关标准要求的插头，如果没有这样的插头，则需</w:t>
      </w:r>
      <w:r>
        <w:rPr>
          <w:rFonts w:hint="eastAsia" w:ascii="宋体" w:hAnsi="Times New Roman" w:eastAsia="宋体" w:cs="Times New Roman"/>
          <w:color w:val="auto"/>
          <w:sz w:val="24"/>
          <w:highlight w:val="none"/>
        </w:rPr>
        <w:t>提供适当的转</w:t>
      </w:r>
      <w:r>
        <w:rPr>
          <w:rFonts w:hint="eastAsia" w:ascii="宋体" w:hAnsi="宋体" w:eastAsia="宋体" w:cs="Times New Roman"/>
          <w:color w:val="auto"/>
          <w:sz w:val="24"/>
          <w:highlight w:val="none"/>
        </w:rPr>
        <w:t>换插座。</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3.4  如产品达不到上述要求，投标人应注明其偏差。如仪器设备需要特殊工作条件（如水、电源、磁场强度、温度、湿度、动强度等）投标人应在投标书中加以说明。</w:t>
      </w:r>
    </w:p>
    <w:p>
      <w:pPr>
        <w:rPr>
          <w:rFonts w:ascii="Times New Roman" w:hAnsi="Times New Roman" w:eastAsia="黑体" w:cs="Times New Roman"/>
          <w:b/>
          <w:bCs/>
          <w:color w:val="auto"/>
          <w:kern w:val="44"/>
          <w:sz w:val="24"/>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4、验收标准</w:t>
      </w:r>
    </w:p>
    <w:p>
      <w:pPr>
        <w:spacing w:after="312" w:afterLines="1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除非在技术规格中另有说明，所有仪器、设备和系统按下列要求进行验收：</w:t>
      </w:r>
      <w:r>
        <w:rPr>
          <w:rFonts w:ascii="宋体" w:hAnsi="宋体" w:eastAsia="宋体" w:cs="Times New Roman"/>
          <w:color w:val="auto"/>
          <w:sz w:val="24"/>
          <w:highlight w:val="none"/>
        </w:rPr>
        <w:t xml:space="preserve"> </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4.1  仪器设备运抵安装现场后，买方将与卖方共同开箱验收</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如卖方届时不派人来</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则验收结果应以买方的验收报告为最终验收结果。验收时发现短缺、破损</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买方有权要求卖方负责更换。</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w:t>
      </w:r>
      <w:r>
        <w:rPr>
          <w:rFonts w:hint="eastAsia" w:ascii="Times New Roman" w:hAnsi="Times New Roman" w:eastAsia="宋体" w:cs="Times New Roman"/>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w:t>
      </w:r>
      <w:r>
        <w:rPr>
          <w:rFonts w:ascii="宋体" w:hAnsi="宋体" w:eastAsia="宋体" w:cs="Times New Roman"/>
          <w:color w:val="auto"/>
          <w:sz w:val="24"/>
          <w:highlight w:val="none"/>
        </w:rPr>
        <w:t>验收由采购人、中标人及相关人员依国家有关标准、合同及有关附件要求进行，验收完毕由采购人及中标人在验收报告上签名。</w:t>
      </w:r>
    </w:p>
    <w:bookmarkEnd w:id="1"/>
    <w:p>
      <w:pPr>
        <w:pStyle w:val="7"/>
        <w:spacing w:line="360" w:lineRule="auto"/>
        <w:ind w:left="410" w:hanging="410" w:hangingChars="170"/>
        <w:rPr>
          <w:rFonts w:hAnsi="宋体" w:eastAsia="宋体" w:cs="Times New Roman"/>
          <w:b/>
          <w:color w:val="auto"/>
          <w:sz w:val="24"/>
          <w:szCs w:val="24"/>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5、本技术规格书中标注“</w:t>
      </w:r>
      <w:r>
        <w:rPr>
          <w:rFonts w:hint="eastAsia" w:ascii="宋体" w:hAnsi="宋体" w:eastAsia="宋体" w:cs="Times New Roman"/>
          <w:color w:val="auto"/>
          <w:highlight w:val="none"/>
        </w:rPr>
        <w:t>★</w:t>
      </w:r>
      <w:r>
        <w:rPr>
          <w:rFonts w:hint="eastAsia" w:ascii="宋体" w:hAnsi="宋体" w:eastAsia="宋体" w:cs="Times New Roman"/>
          <w:b/>
          <w:color w:val="auto"/>
          <w:sz w:val="28"/>
          <w:highlight w:val="none"/>
        </w:rPr>
        <w:t>”号的为关键技术参数，对这些关键技术参数的任何负偏离将导致废标。</w:t>
      </w:r>
    </w:p>
    <w:p>
      <w:pPr>
        <w:spacing w:before="156" w:beforeLines="50" w:after="156" w:afterLines="50" w:line="360" w:lineRule="auto"/>
        <w:ind w:left="601" w:hanging="601"/>
        <w:rPr>
          <w:rFonts w:ascii="宋体" w:hAnsi="宋体" w:eastAsia="宋体" w:cs="Times New Roman"/>
          <w:b/>
          <w:color w:val="auto"/>
          <w:sz w:val="28"/>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6、如在具体技术规格中有本总则不一致之处，以具体技术规格中的要求为准。</w:t>
      </w:r>
    </w:p>
    <w:p>
      <w:pPr>
        <w:spacing w:after="156" w:afterLines="50"/>
        <w:outlineLvl w:val="1"/>
        <w:rPr>
          <w:rFonts w:ascii="宋体" w:hAnsi="宋体" w:eastAsia="宋体" w:cs="Times New Roman"/>
          <w:b/>
          <w:color w:val="auto"/>
          <w:sz w:val="28"/>
          <w:highlight w:val="none"/>
        </w:rPr>
      </w:pPr>
      <w:r>
        <w:rPr>
          <w:rFonts w:ascii="宋体" w:hAnsi="宋体" w:eastAsia="宋体" w:cs="Times New Roman"/>
          <w:b/>
          <w:color w:val="auto"/>
          <w:sz w:val="28"/>
          <w:highlight w:val="none"/>
        </w:rPr>
        <w:br w:type="page"/>
      </w:r>
      <w:r>
        <w:rPr>
          <w:rFonts w:hint="eastAsia" w:ascii="宋体" w:hAnsi="宋体" w:eastAsia="宋体" w:cs="Times New Roman"/>
          <w:b/>
          <w:color w:val="auto"/>
          <w:sz w:val="28"/>
          <w:highlight w:val="none"/>
        </w:rPr>
        <w:t>三、</w:t>
      </w:r>
      <w:r>
        <w:rPr>
          <w:rFonts w:ascii="宋体" w:hAnsi="宋体" w:eastAsia="宋体" w:cs="Times New Roman"/>
          <w:b/>
          <w:color w:val="auto"/>
          <w:sz w:val="28"/>
          <w:highlight w:val="none"/>
        </w:rPr>
        <w:t>具体技术规格</w:t>
      </w:r>
    </w:p>
    <w:p>
      <w:pPr>
        <w:pStyle w:val="4"/>
        <w:spacing w:line="360" w:lineRule="auto"/>
        <w:ind w:firstLine="480"/>
        <w:jc w:val="center"/>
        <w:rPr>
          <w:rFonts w:hint="eastAsia" w:ascii="宋体" w:hAnsi="宋体" w:eastAsia="宋体" w:cs="宋体"/>
          <w:bCs/>
          <w:color w:val="auto"/>
          <w:sz w:val="24"/>
          <w:szCs w:val="24"/>
          <w:highlight w:val="none"/>
        </w:rPr>
      </w:pPr>
    </w:p>
    <w:p>
      <w:pPr>
        <w:widowControl/>
        <w:snapToGrid w:val="0"/>
        <w:spacing w:line="360" w:lineRule="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（一）技术要求</w:t>
      </w:r>
    </w:p>
    <w:p>
      <w:pPr>
        <w:widowControl/>
        <w:snapToGrid w:val="0"/>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品目1  超灵敏度多功能成像仪</w:t>
      </w:r>
    </w:p>
    <w:p>
      <w:pPr>
        <w:pStyle w:val="9"/>
        <w:spacing w:line="360" w:lineRule="auto"/>
        <w:ind w:firstLine="480"/>
        <w:rPr>
          <w:rFonts w:hint="eastAsia" w:ascii="宋体" w:eastAsia="宋体" w:cs="宋体"/>
          <w:color w:val="auto"/>
          <w:sz w:val="24"/>
          <w:szCs w:val="24"/>
          <w:highlight w:val="none"/>
        </w:rPr>
      </w:pPr>
    </w:p>
    <w:p>
      <w:pPr>
        <w:widowControl/>
        <w:snapToGrid w:val="0"/>
        <w:spacing w:line="360" w:lineRule="auto"/>
        <w:rPr>
          <w:rFonts w:hint="eastAsia" w:ascii="宋体" w:hAnsi="宋体" w:eastAsia="宋体" w:cs="宋体"/>
          <w:color w:val="auto"/>
          <w:sz w:val="24"/>
          <w:szCs w:val="24"/>
          <w:highlight w:val="none"/>
        </w:rPr>
      </w:pPr>
      <w:bookmarkStart w:id="2" w:name="_Hlk105667090"/>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主机（含像素≥910万冷CCD相机，绿色透射光源、EPI白色光源，内置电脑和电容式液晶触摸屏）</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电源线</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可旋转样品台</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白色样品台</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切胶防护眼镜</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参考样本板</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产品快速使用手册</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r>
    </w:tbl>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885"/>
        <w:gridCol w:w="6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对印迹膜、多色荧光、比色染色进行、蛋白凝胶、核酸凝胶、菌落平板、微流控芯片、荧光多孔板进行成像，需具备核酸凝胶切胶回收、菌落平板上的菌落计数分析功能。可在一体机上完成这些功能，无需添加电脑等额外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技术性能指标：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77" w:type="dxa"/>
            <w:noWrap w:val="0"/>
            <w:vAlign w:val="center"/>
          </w:tcPr>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主要用于灵敏的定量成像凝胶、膜和菌落，包括紫外透射、白光透射、红/绿/蓝荧光反射、可见光（RGB）和化学发光等。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体机无需外接电脑，且可对印迹膜的化学发光、多色荧光、比色染色进行成像，也可对蛋白凝胶、核酸凝胶、菌落平板、微流控芯片、荧光多孔板进行成像，同时需具备核酸凝胶切胶回收、菌落平板上的菌落计数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强制冷CCD相机，≥910万物理像素的CCD相机， 3分钟内完成预冷。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3、</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具备绿色光源代替有害的紫外光源进行核酸胶成像分析，无需UV防护板。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对于多色荧光成像，≥5个通道，一次至少4色荧光同时成像。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5、</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样品载物台为电动控制，可自动识别和自动通过机械式旋转实现样本自动化对齐；所有的成像模式和样品类型都在同一样品托盘上完成，无需更换平台，且样本门为电动控制一键自动开关。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曝光模式需具备智能曝光、手动曝光、多次自动曝光、累积曝光多次成像；同时拍摄可见光和化学发光成像图像可一键合并，对于多通道荧光成像，提供每个通道的灰度图片，可任意选择伪彩色，可一键合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光圈F值不小于0.95。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光源标配Epi白色LED光源、绿色LED光源，荧光光源包括激发光-蓝色LED：455-485nm；绿色LED：515-545 nm；红色LED：608-632 nm；远红外LED：610-660 nm；近红外LED：745-765 nm，, 可进行4色同时成像，包括RGB和远、近红外。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具备电动控制的不少于12位滤光片，标配不不少于1</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位滤光片。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图像采集模式：化学发光，荧光，蛋白胶，核酸胶，通用。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定焦镜头，且具备不少于2倍机械变焦和1-4倍可调数字变焦。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像素合并支持1×1, 2×2, 3×3, 4×4,5×5，6×6和8×8， 不少于七种Binning模式。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 nm处绝对Q/E（光电转化率）值：&gt;70％，绝对Q/E峰值：≥75%@525nm。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曝光时间：至少满足1毫秒~60分钟范围内可调。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分析软件 需至少具有采集、调整、定性、定量、分析图像及报告输出功能，且可快速自动识别泳道和条带，加载不同的分子量标准品并进行目标蛋白计算（软件使用期限：永久）。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5"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57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软件需支持管家蛋白/总蛋白归一化，支持多种凝胶和膜的染色和标记方法（比色染色，荧光染色等），并进行数字计算、监控、修正（软件使用权：永久）。</w:t>
            </w:r>
          </w:p>
        </w:tc>
      </w:tr>
    </w:tbl>
    <w:p>
      <w:pPr>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品目2荧光倒置显微镜</w:t>
      </w:r>
    </w:p>
    <w:p>
      <w:pPr>
        <w:pStyle w:val="9"/>
        <w:spacing w:line="360" w:lineRule="auto"/>
        <w:ind w:firstLine="480"/>
        <w:rPr>
          <w:rFonts w:hint="eastAsia" w:ascii="宋体" w:eastAsia="宋体" w:cs="宋体"/>
          <w:color w:val="auto"/>
          <w:sz w:val="24"/>
          <w:szCs w:val="24"/>
          <w:highlight w:val="none"/>
        </w:rPr>
      </w:pPr>
    </w:p>
    <w:p>
      <w:pPr>
        <w:widowControl/>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主机 （含光源、相机、Z轴电动部件）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光立方(DAPI,FITC,TX RED)</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物镜（4×、10×、20×、40×、100×）</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电源适配器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无线鼠标</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活细胞培养装置</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操作工作站</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bl>
    <w:p>
      <w:pPr>
        <w:pStyle w:val="9"/>
        <w:spacing w:line="360" w:lineRule="auto"/>
        <w:ind w:firstLine="480"/>
        <w:rPr>
          <w:rFonts w:hint="eastAsia" w:ascii="宋体" w:eastAsia="宋体" w:cs="宋体"/>
          <w:color w:val="auto"/>
          <w:sz w:val="24"/>
          <w:szCs w:val="24"/>
          <w:highlight w:val="none"/>
        </w:rPr>
      </w:pPr>
    </w:p>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主要用于细胞样品的荧光信号观察，活细胞样品的长时间培养及观察和成像。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主机部分：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无目镜，集显示屏和主机于一体，台式细胞成像系统，通过鼠标对屏幕操作完成采集和存储功能；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一体化≥18英寸高分辨率彩色LCD显示器；显示屏与显微镜一体化设计，色度、对比度、倾斜度可调，；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成像方法：至少包含荧光成像、明场成像、彩色明场成像、相差成像等；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电动Z轴调焦：微米精度，至少可通过软件和调焦旋钮两种方式调节焦平面；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聚光镜工作距离：≥60mm，含≥3个位置，附带明场及相差光圈；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采样频率≥4096Hz，可设置：256、512、1024、2048、4096Hz；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彩色透射光照明：可进行免疫组化如H&amp;E染色样品的成像，配置≥3色LED进行实时成像，实时显示样品彩色图像；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载物台：机械载物台，可通过XY旋钮移动，至少配置玻片、35mm培养皿、60mm培养皿、100mm培养皿、通用样品夹等容器支架适配框；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光学系统：无限远光学系统；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提供相差成像组件，包括透射光源、聚光镜、相差环等光学组件，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荧光滤片电动切换，软件可一键拍摄多色荧光图像，并自动叠加；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荧光光源：配置≥3个长寿命高亮度LED冷光源，寿命大于5万小时；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荧光通道：至少配置DAPI,FITC,TX RED三种荧光滤片组，荧光滤片组可自动识别，无需软件设置；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自动多通道荧光功能：图像可进行自动多通道拍摄和叠加，无需手动切换；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自带暗室环境，在自然光环境下即可进行明场和荧光样本的观察和图片采集；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物镜转盘：≥5位；配备物镜≥5个，包括4×、10×、20×、40×、100×；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配备活细胞培养装置：可精确控制温度、湿度和气体浓度（温度范围：室温~40℃；CO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范围：0~20%；O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范围：0%~环境值）。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2"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自动聚焦装置：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自动聚焦功能，可自动根据对比度选择最佳焦平面，自动聚焦的范围可自由定义；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2"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照相机系统：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科研级高灵敏度高分辨率黑白CMOS，物理输出像素不低于320万，分辨率不低于2048*1536；转换为数字像素不低于1625万像素。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2"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软件功能：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图像采集：内置处理器，内置软件通过鼠标操控，调节光亮度和曝光时间，内置虚拟键盘，点击拍摄图像，完成采集和存储功能；图像可调节亮度、对比度、饱和度、色调；软件终身免费升级；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时间动态成像功能，可设置连续或任意间隔进行长时间拍摄；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具有自动荧光细胞绝对计数功能；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具备测量长度、面积、荧光强度等参数的功能；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可输出TIFF、PNG、BMP、JPG等格式的图像；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操作工作站：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2"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英特尔酷睿i7-1360P；运行内存32GB；硬盘2T固态硬盘；屏幕≤14英寸，2.8K超清OLED屏幕，；正版windows11 以上专业版系统</w:t>
            </w:r>
          </w:p>
        </w:tc>
      </w:tr>
    </w:tbl>
    <w:p>
      <w:pPr>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品目3双色红外激光成像系统</w:t>
      </w:r>
    </w:p>
    <w:p>
      <w:pPr>
        <w:pStyle w:val="9"/>
        <w:spacing w:line="360" w:lineRule="auto"/>
        <w:ind w:firstLine="480"/>
        <w:rPr>
          <w:rFonts w:hint="eastAsia" w:ascii="宋体" w:eastAsia="宋体" w:cs="宋体"/>
          <w:color w:val="auto"/>
          <w:sz w:val="24"/>
          <w:szCs w:val="24"/>
          <w:highlight w:val="none"/>
        </w:rPr>
      </w:pPr>
    </w:p>
    <w:p>
      <w:pPr>
        <w:widowControl/>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主机（2个标准光学模块，包含2个固态激光光源：685nm、784nm；对应2组检测滤光片和</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个APD ，1个背罩式超冷COMS共3个检测器）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成像工作站</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分析软件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设备正常运转必需的标准配件和说明书等</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bl>
    <w:p>
      <w:pPr>
        <w:pStyle w:val="9"/>
        <w:spacing w:line="360" w:lineRule="auto"/>
        <w:ind w:firstLine="480"/>
        <w:rPr>
          <w:rFonts w:hint="eastAsia" w:ascii="宋体" w:eastAsia="宋体" w:cs="宋体"/>
          <w:color w:val="auto"/>
          <w:sz w:val="24"/>
          <w:szCs w:val="24"/>
          <w:highlight w:val="none"/>
        </w:rPr>
      </w:pPr>
    </w:p>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激光扫描成像系统可完成双色近红外荧光、化学发光成像。可以对蛋白凝胶、核酸凝胶、印迹膜、组织切片、芯片、微孔板和动/植物活体等样品进行全自动图像采集并进行定性和定量分析。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技术性能指标：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标配≥2个标准模块，包含至少2种固态激光光源：685nm、784nm；对应2组检测滤光片和2个检测器，可检测AzureSpectra 650/700，Dylight 650/680，Cy5/5.5， SYPRO Ruby, IRDye 680和AzureSpectra 800，Cy7，Dylight 800，IRDye 800CW，IRDye 800RS 或光谱类似染料或荧光蛋白。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光源寿命：≥40000小时。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≥2个独立的点阵式APD检测器。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标配超冷背照式CMOS相机，用于高灵敏化学发光检测：物理像素≥6MP，可拍摄彩色Marker，进行Marker和化学发光图像的整合，可拍摄考马斯亮蓝，银染蛋白胶的彩色或黑白图像。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可升级磷屏成像模块：用于同位素标记实验成像。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标配≥5个小动物气体麻醉接口，可兼容标准化的气体麻醉系统。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物理分辨率：最小分辨率≤5μm，非图像拓展分辨率，最大分辨率≥1000μm；可快速获取样品荧光信号图像。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用户可自主更换组合激光器和滤光片模块，可轻松满足不断变化的、深入的科研需求。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可用户端升级：375nm、450nm，488nm，532nm，638nm光学模块，用于DAPI，GFP，YFP和 Propidium，Cy3，Cy5等染料的激发。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扫描模式：具有多通道同时扫描和单通道逐一扫描模式。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共聚焦光设计：Z轴可调范围≥7mm，范围内按自定义的厚度自动完成不同聚焦平面图像的采集，并整合整一张图片或一个动画图。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单一扫描平台，焦距可0.01mm步进调节。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标配超宽动态范围模式（EDR），可以在不过饱和的情况下，同时获取强信号和弱信号的能力，最大动态范围≥ 24bit。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标配孔板分析模块：可定义96孔板、384孔板等孔板网格，用于In-cell Western等实验的分析。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标配菌落分析模块：可进行培养皿菌落计数。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标配多区域异参数扫描功能，可在一次扫描中把成像视野分成多个区域，各区域分别设置不同检测通道、不同光强度、不同焦距等参数自动完成扫描。</w:t>
            </w:r>
          </w:p>
        </w:tc>
      </w:tr>
    </w:tbl>
    <w:p>
      <w:pPr>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品目4 细胞成像微孔检测系统</w:t>
      </w:r>
    </w:p>
    <w:p>
      <w:pPr>
        <w:pStyle w:val="9"/>
        <w:spacing w:line="360" w:lineRule="auto"/>
        <w:ind w:firstLine="480"/>
        <w:rPr>
          <w:rFonts w:hint="eastAsia" w:ascii="宋体" w:eastAsia="宋体" w:cs="宋体"/>
          <w:color w:val="auto"/>
          <w:sz w:val="24"/>
          <w:szCs w:val="24"/>
          <w:highlight w:val="none"/>
        </w:rPr>
      </w:pPr>
    </w:p>
    <w:p>
      <w:pPr>
        <w:widowControl/>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高速高通量多功能细胞成像主机(需一套系统内顶部立式显微成像模块，内置1x，2x，4x和8x物镜；倒置大视野成像模块，明场、HC明场、荧光、彩色明场成像）</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物镜：4X、10×、20×、40×，各1个</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多功能适配器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适配器： 35mm培养皿，60mm培养皿，100mm培养皿，玻片适配器），各1个</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三色荧光通道：DAPI，GFP，RFP各1个</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激光聚焦模块</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图像分析软件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气体控制模块（可控制CO2）</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摇杆控制器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bl>
    <w:p>
      <w:pPr>
        <w:pStyle w:val="9"/>
        <w:spacing w:line="360" w:lineRule="auto"/>
        <w:ind w:firstLine="480"/>
        <w:rPr>
          <w:rFonts w:hint="eastAsia" w:ascii="宋体" w:eastAsia="宋体" w:cs="宋体"/>
          <w:color w:val="auto"/>
          <w:sz w:val="24"/>
          <w:szCs w:val="24"/>
          <w:highlight w:val="none"/>
        </w:rPr>
      </w:pPr>
    </w:p>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主要用于昆虫成体拍摄、虫卵荧光成像、细胞增殖、毒性、活性、共定位分析、细胞计数、细胞亚群分析、神经轴突生长等生物样品拍摄及分析。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成像光路：具有正置光路和倒置光路2种成像模式。正置光路用来做Elispot，克隆计数，材料检测等拍照分析。倒置光路用来做细胞、组织等拍照分析。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成像模式：荧光、明场及彩色明场成像，数码相差成像。荧光及明场，可对细胞或其他标记样品同时进行最多4 种不同荧光激发检测，并可根据需求选配其他荧光激发通道进行检测，实现多场叠加成像。明场成像可在非染色标记情况下对样品进行成像分析，并可以和其他荧光场图像进行叠加，同时也可以对H&amp;E染色样品进行高清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像方法：终点法，时间延迟法，动力学法，孔模式，蒙太奇拼接，Z轴叠加。长时间动态图像捕获，采集不同时间点样品图像，并可给出动态结果和拼接动态视频；可对区域样品进行无缝图像拼接，获得样品整体图像结果；在Z轴方向可进行分层成像，并进行叠加，使样品具有3D成像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光源：高能量可置换LED，单个LED寿命50000小时，独立LED配合独立检测通道。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相机：双CMOS相机，正置光路和倒置光路各一个相机：≥500万像素灰度16 bit宽视场CMOS和≥500万像素彩色明场CMOS相机。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滤块容量：机载至少4位滤块位置，配置DAPI、GFP、RFP三组滤块，最少20种色彩可选。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正置机载4位：1x，2x，4x和8x物镜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倒置机载6位可置换物镜，荧光及明场4×，10×，20×，40×物镜。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具有以下三种聚焦方式：基于图像的自动聚焦、基于激光聚焦原理（LED光源）的自动聚焦和用户自定义聚焦。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载物台控制：软件或可选外接操纵杆（X,Y, Z轴）两种方式。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至少适配以下孔板类型：6-1536孔板，玻片，T25细胞培养瓶，35、60、100mm细胞培养皿。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温度控制：范围室温 +4℃至 45℃，控制精度在3</w:t>
            </w:r>
            <w:r>
              <w:rPr>
                <w:rFonts w:ascii="宋体" w:hAnsi="宋体" w:eastAsia="宋体" w:cs="宋体"/>
                <w:color w:val="auto"/>
                <w:sz w:val="24"/>
                <w:szCs w:val="24"/>
                <w:highlight w:val="none"/>
              </w:rPr>
              <w:t>7</w:t>
            </w:r>
            <w:r>
              <w:rPr>
                <w:rFonts w:hint="eastAsia" w:ascii="宋体" w:hAnsi="宋体" w:eastAsia="宋体" w:cs="宋体"/>
                <w:color w:val="auto"/>
                <w:sz w:val="24"/>
                <w:szCs w:val="24"/>
                <w:highlight w:val="none"/>
              </w:rPr>
              <w:t>℃时≤±0.5℃，可进行预热操作，可进行温度梯度控制。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振荡功能：可选线性、轨道、双轨道振荡方式，振荡时间可调。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拍照速度：正置图像采集 100 mm 培养皿全皿@ 1x: ≤</w:t>
            </w:r>
            <w:r>
              <w:rPr>
                <w:rFonts w:ascii="宋体" w:hAnsi="宋体" w:eastAsia="宋体" w:cs="宋体"/>
                <w:color w:val="auto"/>
                <w:sz w:val="24"/>
                <w:szCs w:val="24"/>
                <w:highlight w:val="none"/>
              </w:rPr>
              <w:t>150</w:t>
            </w:r>
            <w:r>
              <w:rPr>
                <w:rFonts w:hint="eastAsia" w:ascii="宋体" w:hAnsi="宋体" w:eastAsia="宋体" w:cs="宋体"/>
                <w:color w:val="auto"/>
                <w:sz w:val="24"/>
                <w:szCs w:val="24"/>
                <w:highlight w:val="none"/>
              </w:rPr>
              <w:t>秒；全玻片  @1x: ≤</w:t>
            </w:r>
            <w:r>
              <w:rPr>
                <w:rFonts w:ascii="宋体" w:hAnsi="宋体" w:eastAsia="宋体" w:cs="宋体"/>
                <w:color w:val="auto"/>
                <w:sz w:val="24"/>
                <w:szCs w:val="24"/>
                <w:highlight w:val="none"/>
              </w:rPr>
              <w:t>90</w:t>
            </w:r>
            <w:r>
              <w:rPr>
                <w:rFonts w:hint="eastAsia" w:ascii="宋体" w:hAnsi="宋体" w:eastAsia="宋体" w:cs="宋体"/>
                <w:color w:val="auto"/>
                <w:sz w:val="24"/>
                <w:szCs w:val="24"/>
                <w:highlight w:val="none"/>
              </w:rPr>
              <w:t>秒；全 96-孔板 ELISpot @ 1x: ≤</w:t>
            </w:r>
            <w:r>
              <w:rPr>
                <w:rFonts w:ascii="宋体" w:hAnsi="宋体" w:eastAsia="宋体" w:cs="宋体"/>
                <w:color w:val="auto"/>
                <w:sz w:val="24"/>
                <w:szCs w:val="24"/>
                <w:highlight w:val="none"/>
              </w:rPr>
              <w:t>300</w:t>
            </w:r>
            <w:r>
              <w:rPr>
                <w:rFonts w:hint="eastAsia" w:ascii="宋体" w:hAnsi="宋体" w:eastAsia="宋体" w:cs="宋体"/>
                <w:color w:val="auto"/>
                <w:sz w:val="24"/>
                <w:szCs w:val="24"/>
                <w:highlight w:val="none"/>
              </w:rPr>
              <w:t>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Z-stack：可根据样品厚度，选择不同聚焦平面进行多层聚焦拍摄，并进行图像整合，聚焦最大层数≥100层。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自动化：可连接机械手臂，与储板器对接，储板器支持去盖功能。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分析软件：图像分析软件具备对图像进行基于高内涵的细胞多参数图像统计分析。至少包括：细胞图像色彩叠加，细胞计数，细胞直径，细胞面积，细胞圆度，多参数组合分析，细胞参数测量分析，融合度计算，斑点计数，细胞活性，荧光强度分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支持图片批量导出与分析：具备高通量批量图片导出功能。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支持视频制作：可实时视频或队列图片合成视频。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支持多种图像输出，至少包含原始图像 16bit TIFF；保存图像 TIF, JPG, BMP, PNG, EMF, GIF视频 MP4, WMV。</w:t>
            </w:r>
          </w:p>
        </w:tc>
      </w:tr>
    </w:tbl>
    <w:p>
      <w:pPr>
        <w:widowControl/>
        <w:snapToGrid w:val="0"/>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品目5全自动多位点基因分型系统</w:t>
      </w:r>
    </w:p>
    <w:p>
      <w:pPr>
        <w:pStyle w:val="9"/>
        <w:spacing w:line="360" w:lineRule="auto"/>
        <w:ind w:firstLine="480"/>
        <w:rPr>
          <w:rFonts w:hint="eastAsia" w:ascii="宋体" w:eastAsia="宋体" w:cs="宋体"/>
          <w:color w:val="auto"/>
          <w:sz w:val="24"/>
          <w:szCs w:val="24"/>
          <w:highlight w:val="none"/>
        </w:rPr>
      </w:pPr>
    </w:p>
    <w:p>
      <w:pPr>
        <w:widowControl/>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23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主机</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0.2ml ×96孔加热模块</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384孔加热模块</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全自动体系构建模块</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仪器控制器</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数据采集和分析软件</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安装试剂盒</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bl>
    <w:p>
      <w:pPr>
        <w:pStyle w:val="9"/>
        <w:spacing w:line="360" w:lineRule="auto"/>
        <w:ind w:firstLine="480"/>
        <w:rPr>
          <w:rFonts w:hint="eastAsia" w:ascii="宋体" w:eastAsia="宋体" w:cs="宋体"/>
          <w:color w:val="auto"/>
          <w:sz w:val="24"/>
          <w:szCs w:val="24"/>
          <w:highlight w:val="none"/>
        </w:rPr>
      </w:pPr>
    </w:p>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编号</w:t>
            </w:r>
          </w:p>
        </w:tc>
        <w:tc>
          <w:tcPr>
            <w:tcW w:w="10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招标技术指标名称</w:t>
            </w:r>
          </w:p>
        </w:tc>
        <w:tc>
          <w:tcPr>
            <w:tcW w:w="74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绝对定量、相对定量、SNP 分型分析和熔解曲线分析；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主要功能：能够完成绝对定量、相对定量、基于 MGB 探针的高成功率 SNP 分析和熔解曲线分析；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热循环采用帕尔贴效应系统，加热冷却方式为半导体；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4–99.9℃温度可控；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一台仪器最多可选四种半导体控温的加热模块，可灵活选择0.2ml ×96孔、0.1ml ×96孔、384孔和微流体芯片；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模块通过电动马达自动进行更换，操作更简便。更换后无需校准即可使用；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微流体芯片采用384孔板结构，预先包埋干粉状的引物和探针。反应体系≤1.5ul，节省试剂和样本；操作简单，全程加样操作≤10分钟，避免气溶胶污染和样本交叉污染；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96孔模块含有至少6个独立精确数码温控区域，每个区域可独立设置反应温度；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精确数码温控区域可实时反映每个独立区域的精确温度，而非模糊的软件模拟温度；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相邻温控区温度差异最多≤5℃，最大温度差异可达25℃；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激发光源为高亮度白光半导体光源，工作寿命≥50000小时；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检测系统：低温高分辨CMOS，所有反应孔同时采集荧光数据，不存在扫描时间差；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荧光通道数：≥6个荧光激发通道，≥6个荧光检测通道，可以同时进行≥6重定量；荧光通道可自由组合，可检测21种以上不同的荧光光谱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能同时检测并区分VIC荧光和TAMRA荧光，以用于基因拷贝数(CNV)检测；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光学激发范围至少支持450-680 nm、光学检测范围至少支持500-730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支持ROX荧光校正去除移液误差和耗材透光度引起的物理误差；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安装时已校准染料：通道一：FAM, SYBR Green I；通道二：VIC；通道三：NED, ABY, TAMRA；通道四：JUN, ROX；通道五Mustang Purple, Cy5；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温度均一性≤0.4°C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温度准确性：≤0.25°C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升降温速率≥6.5℃/秒；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反应模式：标准模式内40个循环≤2小时；快速模式40个循环≤30分钟；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检测灵敏度：≤1个拷贝；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检测精密度：≤1.5倍拷贝数差异；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动态范围：≥10个数量级；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可选高分辨率熔解曲线 HRM分析功能，分辨率最小至 0.015°C；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内置≥</w:t>
            </w:r>
            <w:bookmarkStart w:id="3" w:name="_Hlk118454269"/>
            <w:r>
              <w:rPr>
                <w:rFonts w:hint="eastAsia" w:ascii="宋体" w:hAnsi="宋体" w:eastAsia="宋体" w:cs="宋体"/>
                <w:color w:val="auto"/>
                <w:sz w:val="24"/>
                <w:szCs w:val="24"/>
                <w:highlight w:val="none"/>
              </w:rPr>
              <w:t>12英寸</w:t>
            </w:r>
            <w:bookmarkEnd w:id="3"/>
            <w:r>
              <w:rPr>
                <w:rFonts w:hint="eastAsia" w:ascii="宋体" w:hAnsi="宋体" w:eastAsia="宋体" w:cs="宋体"/>
                <w:color w:val="auto"/>
                <w:sz w:val="24"/>
                <w:szCs w:val="24"/>
                <w:highlight w:val="none"/>
              </w:rPr>
              <w:t>触摸屏，触摸板并可查看实时荧光定量PCR实验；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仪器自带存储空间≥10GB,可储存450次实验数据；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仪器具有断电后一小时之内恢复来电实验自动恢复的功能；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p>
        </w:tc>
        <w:tc>
          <w:tcPr>
            <w:tcW w:w="671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仪器的耗材和试剂盒均为开放式；用户可选择原厂同品牌多款耗材和试剂，也可选择市场上其他厂家的耗材和试剂</w:t>
            </w:r>
          </w:p>
        </w:tc>
      </w:tr>
    </w:tbl>
    <w:p>
      <w:pPr>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品目6有机元素分析仪</w:t>
      </w:r>
    </w:p>
    <w:p>
      <w:pPr>
        <w:pStyle w:val="9"/>
        <w:spacing w:line="360" w:lineRule="auto"/>
        <w:ind w:firstLine="480"/>
        <w:rPr>
          <w:rFonts w:hint="eastAsia" w:ascii="宋体" w:eastAsia="宋体" w:cs="宋体"/>
          <w:color w:val="auto"/>
          <w:sz w:val="24"/>
          <w:szCs w:val="24"/>
          <w:highlight w:val="none"/>
        </w:rPr>
      </w:pPr>
    </w:p>
    <w:p>
      <w:pPr>
        <w:widowControl/>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CHNSO五元素分析仪主机</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32位自动进样器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分离色谱柱</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独立燃烧炉</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TCD热导检测器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十万分之一天平</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元素分析方法库cookbook</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系统数据软件管理系统</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该型号培训视频软件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台式计算机（含显示器）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A4彩色打印机</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用户手册</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高纯氦气氧气99.99%以上</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气路链接配件阀门，卡式接头，管路，安全气柜</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bl>
    <w:p>
      <w:pPr>
        <w:pStyle w:val="9"/>
        <w:spacing w:line="360" w:lineRule="auto"/>
        <w:ind w:firstLine="480"/>
        <w:rPr>
          <w:rFonts w:hint="eastAsia" w:ascii="宋体" w:eastAsia="宋体" w:cs="宋体"/>
          <w:color w:val="auto"/>
          <w:sz w:val="24"/>
          <w:szCs w:val="24"/>
          <w:highlight w:val="none"/>
        </w:rPr>
      </w:pPr>
    </w:p>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888"/>
        <w:gridCol w:w="6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适用于土壤、污泥、固废、植物、环境、有机化学（高分子材料、金属配合物等）、药品、食品、材料橡胶纺织等领域，对各种固体或液体的样品进行CHNS/O的精准定量测试。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分离方式：采用色谱法分离而非吸附解析柱。采用成熟的填充柱色谱分析技术，分析报告在给出数据结果的同时直观地给出各组份的色谱流出峰；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分析结果能够给出色谱图，可根据色谱出峰情况自由选择分析的起始段，以节省分析时间和分析消耗.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3、</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双炉，各分析模式间转换便捷，可使用两个固体自动进样器分别进行2种模式的测试，无需在两个燃烧炉之间更换自动进样器，O模式转换更不需要等仪器降温打开反应炉拆卸更换反应管和分离柱再升温。【要求提供流程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进样量范围最大≥1000 mg, 可测量0.01%～100%浓度。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分析精度：CHNSO≤0.1%abs；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气体消耗：氦气（纯度99.995 %）分析时流量≤140 ml/min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睡眠模式：具有自动省气模式，待机状态下流量可降到≤10ml/min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气路连接：气路采用快速接头连接方式、对反应管无应力危险。保证实验技术人员在经过厂方的培训指导后在正常情况下可以快速安装反应管，无需专门工具和厂家技术人员，操作方便安全；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配置1个全自动固体进样器，非固定位数，要求不少于30位，可以拓展到125位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0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10、</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软件系统可自动计算热值和二氧化碳交换量【提供软件数据截图证明】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数据采集与处理系统：电脑工作站接控制主机，并进行数据处理。包含Windows 7或Windows 10正版软件（或最新版本，和工作数据处理软件相匹配）。提供系统适应性软件，相应Windows系统下运行；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12、</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提供一套元素分析方法库软件，帮助用户快速查询和学习各种类型的样品分析方法（至少包含土壤环境高分子材料类、化学类、生物类、地质类、药品类、能源类样品的分析方法）。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提供该型号仪器的视频培训软件一套，可直观的学习元素分析的进样技术、样品制备和处理方法、催化剂装填和更换、仪器安装和拆卸、常见故障处理等。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574" w:type="dxa"/>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配置市场著名主流品牌十万分之一精度天平，（以下1</w:t>
            </w:r>
            <w:r>
              <w:rPr>
                <w:rFonts w:ascii="宋体" w:hAnsi="宋体" w:eastAsia="宋体" w:cs="宋体"/>
                <w:color w:val="auto"/>
                <w:sz w:val="24"/>
                <w:szCs w:val="24"/>
                <w:highlight w:val="none"/>
              </w:rPr>
              <w:t>5-18</w:t>
            </w:r>
            <w:r>
              <w:rPr>
                <w:rFonts w:hint="eastAsia" w:ascii="宋体" w:hAnsi="宋体" w:eastAsia="宋体" w:cs="宋体"/>
                <w:color w:val="auto"/>
                <w:sz w:val="24"/>
                <w:szCs w:val="24"/>
                <w:highlight w:val="none"/>
              </w:rPr>
              <w:t>为对于天平的要求）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最大称量值≥42g/120g，可读性≤0.01mg/0.1mg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重复性（典型值）≤0.015 mg，线性误差：0.02 mg ，灵敏度偏移：0.3 mg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17、</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全金属机架具有良好的抗过载保护性能；天平机架能抵抗丙酮等化学试剂的腐蚀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6574"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秤盘上方防风罩有效高度≥234 mm，最小样品量 (U=1 %, k=2)≤3mg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6574" w:type="dxa"/>
            <w:noWrap w:val="0"/>
            <w:vAlign w:val="center"/>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提供初期使用99.99%以上高纯氦气氧气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88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6574" w:type="dxa"/>
            <w:noWrap w:val="0"/>
            <w:vAlign w:val="center"/>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最大量程≥0.6MPa减压阀</w:t>
            </w:r>
          </w:p>
        </w:tc>
      </w:tr>
    </w:tbl>
    <w:p>
      <w:pPr>
        <w:widowControl/>
        <w:snapToGrid w:val="0"/>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品目7 全自动细菌鉴定及药敏分析系统</w:t>
      </w:r>
    </w:p>
    <w:p>
      <w:pPr>
        <w:widowControl/>
        <w:snapToGrid w:val="0"/>
        <w:spacing w:line="360" w:lineRule="auto"/>
        <w:jc w:val="center"/>
        <w:rPr>
          <w:rFonts w:hint="eastAsia" w:ascii="宋体" w:hAnsi="宋体" w:eastAsia="宋体" w:cs="宋体"/>
          <w:b/>
          <w:color w:val="auto"/>
          <w:sz w:val="24"/>
          <w:szCs w:val="24"/>
          <w:highlight w:val="none"/>
        </w:rPr>
      </w:pPr>
    </w:p>
    <w:p>
      <w:pPr>
        <w:widowControl/>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pStyle w:val="9"/>
        <w:spacing w:line="360" w:lineRule="auto"/>
        <w:ind w:firstLine="480"/>
        <w:rPr>
          <w:rFonts w:hint="eastAsia" w:ascii="宋体" w:eastAsia="宋体" w:cs="宋体"/>
          <w:color w:val="auto"/>
          <w:sz w:val="24"/>
          <w:szCs w:val="24"/>
          <w:highlight w:val="none"/>
        </w:rPr>
      </w:pP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全自动细菌鉴定及药敏分析系统主机</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电脑、条码阅读器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质量管理软件、微生物鉴定数据库软件、专家系统软件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UPS不间断稳压电源</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充填架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起动用具箱</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分液器</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无线式微生物浓度分体式自动测量装置（含测量模块、分析模块）</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一次性菌液配置管</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中英文说明书、操作手册、操作光盘、质量认证的技术资料</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bl>
    <w:p>
      <w:pPr>
        <w:pStyle w:val="9"/>
        <w:spacing w:line="360" w:lineRule="auto"/>
        <w:ind w:firstLine="480"/>
        <w:rPr>
          <w:rFonts w:hint="eastAsia" w:ascii="宋体" w:eastAsia="宋体" w:cs="宋体"/>
          <w:color w:val="auto"/>
          <w:sz w:val="24"/>
          <w:szCs w:val="24"/>
          <w:highlight w:val="none"/>
        </w:rPr>
      </w:pPr>
    </w:p>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6"/>
        <w:gridCol w:w="1048"/>
        <w:gridCol w:w="747"/>
        <w:gridCol w:w="6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6"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4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44"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6"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48"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44"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可鉴定食品、农产品、植物、海产海洋、环境等相关细菌，包括：革兰氏阴性杆菌、革兰氏阳性菌、芽孢杆菌，、酵母菌、厌氧菌等。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6"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48"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44"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可鉴定项目，包括：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革兰氏阴性杆菌，包括沙门氏菌、弧菌、志贺氏菌、鼠疫杆菌、布鲁氏菌等；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革兰氏阳性菌，包括金黄色葡萄球菌和溶血性链球菌等；能准确鉴定并区分猪链球菌Ⅰ型、Ⅱ型和≥7种李斯特菌分型【须提供制造商盖章的上述菌种分型证明材料】；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芽孢杆菌，包括蜡样芽孢杆菌和枯草芽孢杆菌在内的芽孢杆菌、炭疽杆菌等；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酵母菌，包括白色念珠菌；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有厌氧菌鉴定专用卡片，鉴定范围应至少包括双岐杆菌、难辩梭菌等；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有苛养菌鉴定专用卡片，鉴定范围应至少包括弯曲菌、流感嗜血杆菌；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鉴定条目≥600种，提供制造商盖章的菌种库证明材料并列明清单；厌氧菌，包括生孢梭菌、产气荚膜梭菌、蜡状芽孢杆菌和炭疽杆菌和双歧杆菌属某些种；有单独的厌氧菌鉴定卡片，且培养及鉴定厌氧菌无需额外配置任何其它厌氧培养及检测设备即可完成【提供制造商盖章的厌氧菌鉴定卡操作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具有药敏测试功能：满足革兰氏阴性及革兰氏阳性两大类细菌药敏试验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鉴定原理及检测方法：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鉴定原理综合应用生化试验和同化试验；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每个检测条/卡用于鉴定的反应孔不少于50个；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tabs>
                <w:tab w:val="left" w:pos="247"/>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结果判定方法包括动态分析法和终点法；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微生物鉴定及药敏分析系统主机：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真空非接触式加样接种系统：生物安全性及填充质量高，采用批量方式利用真空非接触式将菌悬液自动填充入试剂卡，且单次可同时一次性加样≥10张试卡，全程无需人工手动充填及任何操作【提供证明文件或操作视频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全自动上载检测条/卡：仪器全自动上载检测条/卡，无需人手寻找可用检测位、无需手工安放检测条/卡、自动上载卡片；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孵育、检测系统：维持系统在恒温状态，应用光学系统对检测条/卡中每个反应项目进行自动检测；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全自动废卡收集系统：检测结束后，设备能自动移除废卡并自动移入废卡收集容器中，【提供此功能证明图片】，全程无需人工手工移出检测后废卡，传感器可检测收集装置是否充满；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配置条码扫描器，利于样本信息的输入和管理，也可用于确认试检测条/卡的种类、批号等相关信息，具有最大限度的可追踪性；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自动质检功能：能定时自动检测孵育仓的温度和检测系统的光学元件，记录检测结果，保证检测质量；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数据处理系统：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微生物鉴定和药敏试验分析系统可使用中文软件；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智能中央控制系统可防止无效测试，可自动发现并拒绝使用超过有效期或已使用过的检测条/卡；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数据管理功能包括数据文件备份、合并、浏览、编辑及表格处理，统计功能可进行十种以上表格的统计，并可手工输入人工鉴定结果参与数据库的分析；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有电脑双向连线作业功能，直接与LIMS系统数据交换，免费开放通讯接口；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用户可自建菌库,可根据季节性或地区性分离菌制定数据库, 创建和添加信息；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数据库软件不定期免费升级。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配备UPS稳压电源（断电后持续供电时间大于2小时），保证电器元件和数据保存：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检测条/卡及试剂：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物安全性：全封闭式试剂鉴定卡自带菌液传送管，设备自动切割、融化密封试卡上的菌液传送管，防止污染和渗漏，【提供参数证明文件或运行视频截图】；真空设计完全密闭式试剂卡，避免与外部的接触造成污染，测试和判读过程都无需任何附加试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鉴定接种菌液量：每个检测条/卡≤4ml，防止采集大量菌落带来杂菌污染；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自动化：仪器内部自动真空充填加样、自动切割封口、自动上载测试卡到孵育箱/阅读器、自动联机孵育恒温培养、自动定时扫描判读分析、自动评价结果及打印报告，自动储存备份数据资料，自动清理送出用过的试卡并丢弃卡片，【以上各环节的自动化功能需提供制造商盖章的图片证明文件】；无需专用的培养基，无需石蜡油密封；无需使用任何附加试剂，无需做任何附加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测试条/卡都自带有唯一的条形码，包含试条/卡类型、批号和失效期等信息。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检测速度：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鉴定：革兰氏阴性杆菌最长不超过10小时；革兰氏阳性菌最长不超过8小时；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药敏：不超过15小时（80% 不超过6小时）。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44"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无线式微生物浓度分体式自动测量装置：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69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可自动测量微生物的光密度数值，且与微生物浓度成正比；在≥ 635 nm 经校准进行读数判读，精度可达0.01或更高；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697" w:type="dxa"/>
            <w:noWrap w:val="0"/>
            <w:vAlign w:val="center"/>
          </w:tcPr>
          <w:p>
            <w:pPr>
              <w:pStyle w:val="8"/>
              <w:spacing w:before="0" w:beforeAutospacing="0" w:after="0" w:afterAutospacing="0" w:line="360" w:lineRule="auto"/>
              <w:contextualSpacing/>
              <w:jc w:val="both"/>
              <w:rPr>
                <w:rStyle w:val="12"/>
                <w:rFonts w:hint="eastAsia" w:eastAsia="宋体"/>
                <w:color w:val="auto"/>
                <w:sz w:val="24"/>
                <w:szCs w:val="24"/>
                <w:highlight w:val="none"/>
              </w:rPr>
            </w:pPr>
            <w:r>
              <w:rPr>
                <w:rFonts w:hint="eastAsia" w:eastAsia="宋体"/>
                <w:color w:val="auto"/>
                <w:kern w:val="2"/>
                <w:highlight w:val="none"/>
              </w:rPr>
              <w:t>微生物自动测量装置无线参数：蓝牙2.4-2.8GHz(最大输出≥7dBm), RFID 200 milliwatts per 2 in(最大输出≥13.56MHz)，实现无线远程自动传输微生物浓度数据功能，需满足微生物浓度数据记录及溯源需求。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7" w:type="dxa"/>
            <w:noWrap w:val="0"/>
            <w:vAlign w:val="center"/>
          </w:tcPr>
          <w:p>
            <w:pPr>
              <w:spacing w:line="360" w:lineRule="auto"/>
              <w:rPr>
                <w:rStyle w:val="1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自动测量装置具有自动校准功能，需具有≥4点以上的校准点，且测量装置配有长期有效的定标组件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6"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48"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697" w:type="dxa"/>
            <w:noWrap w:val="0"/>
            <w:vAlign w:val="center"/>
          </w:tcPr>
          <w:p>
            <w:pPr>
              <w:spacing w:line="360" w:lineRule="auto"/>
              <w:rPr>
                <w:rStyle w:val="1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微生物浓度自动测量装置与主机无线连接使用实现自动测定、数据传输、数据记录及溯源功能，提升数据完整性；也可单独使用，分体式设计可有效避免气溶胶污染，提升生物安全性。</w:t>
            </w:r>
          </w:p>
        </w:tc>
      </w:tr>
    </w:tbl>
    <w:p>
      <w:pPr>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品目8 多功能酶标仪</w:t>
      </w:r>
    </w:p>
    <w:p>
      <w:pPr>
        <w:spacing w:line="360" w:lineRule="auto"/>
        <w:jc w:val="center"/>
        <w:rPr>
          <w:rFonts w:hint="eastAsia" w:ascii="宋体" w:hAnsi="宋体" w:eastAsia="宋体" w:cs="宋体"/>
          <w:b/>
          <w:color w:val="auto"/>
          <w:sz w:val="24"/>
          <w:szCs w:val="24"/>
          <w:highlight w:val="none"/>
        </w:rPr>
      </w:pPr>
    </w:p>
    <w:p>
      <w:pPr>
        <w:widowControl/>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pStyle w:val="9"/>
        <w:spacing w:line="360" w:lineRule="auto"/>
        <w:ind w:firstLine="480"/>
        <w:rPr>
          <w:rFonts w:hint="eastAsia" w:ascii="宋体" w:eastAsia="宋体" w:cs="宋体"/>
          <w:color w:val="auto"/>
          <w:sz w:val="24"/>
          <w:szCs w:val="24"/>
          <w:highlight w:val="none"/>
        </w:rPr>
      </w:pP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多功能酶标仪主机</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bl>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于低紫外区的DNA、RNA定量及纯度分析（A260/A280）和酶活、酶动力学检测，蛋白定量（A280/BCA/Braflod/Lowery），酶联免疫测定（ELISAs），细胞增殖与毒性分析，细胞凋亡检测（MTT），报告基因检测及G蛋白偶联受体分析（GPCR）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板型：适用板型：1-384孔板，预设常用品牌型号，自动扫描并定义特殊规格板型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通用检测光源：光吸收和荧光使用各自独立高能闪烁氙灯，使用寿命≥10</w:t>
            </w:r>
            <w:r>
              <w:rPr>
                <w:rFonts w:hint="eastAsia" w:ascii="宋体" w:hAnsi="宋体" w:eastAsia="宋体" w:cs="宋体"/>
                <w:color w:val="auto"/>
                <w:sz w:val="24"/>
                <w:szCs w:val="24"/>
                <w:highlight w:val="none"/>
                <w:shd w:val="clear" w:color="auto" w:fill="FFFFFF"/>
                <w:vertAlign w:val="superscript"/>
              </w:rPr>
              <w:t>8</w:t>
            </w:r>
            <w:r>
              <w:rPr>
                <w:rFonts w:hint="eastAsia" w:ascii="宋体" w:hAnsi="宋体" w:eastAsia="宋体" w:cs="宋体"/>
                <w:color w:val="auto"/>
                <w:sz w:val="24"/>
                <w:szCs w:val="24"/>
                <w:highlight w:val="none"/>
                <w:shd w:val="clear" w:color="auto" w:fill="FFFFFF"/>
              </w:rPr>
              <w:t>次闪烁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硬件设计：模块化设计，功能模块任意组合，光吸收，荧光和发光模块光源、光路及检测器完全独立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检测器：光吸收（紫外硅光电二级管）、荧光（扩展波长低暗电流PMT）、发光（低暗电流单光子计数PMT）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温控 ：可以保证室温以上3℃到42℃控制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振荡器：线性和轨道振荡，振幅和时间可调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光吸收模式：扫描速度≤7 sec（200-1000 nm，≤1nm步进）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光吸收模式：波长准确性≤±0.3nm，波长重复性≤±0.3nm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光吸收模式：检测线性范围：0-4 OD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光吸收模式：检测分辨率≤0.0001 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光吸收模式：检测准确性≤0.5% (@260 nm)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荧光模式：波长选择：四光栅系统，波长范围：230-900nm， 1nm可调（四光栅），波长准确性：≤±0.5nm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荧光模式：荧光顶部检测灵敏度（光栅）：≤0.5 pM (50 amol/well; 100 μl) 荧光素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荧光模式：荧光底部检测灵敏度（光栅）: ≤4 pM ( 0.8 fmol/well; 200 μl) 荧光素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荧光模式：测量范围：至少7个数量级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时间分辨荧光检测模式：分光系统：四光栅系统，激发范围至少保证: 230 – 900 nm; 发射范围至少保证: 280 – 900 nm，1nm可调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时间分辨荧光检测模式：检测灵敏度（光栅）：≤100 fM ( 10 amol/well; 100 μl)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6713" w:type="dxa"/>
            <w:noWrap w:val="0"/>
            <w:vAlign w:val="center"/>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发光模式：检测限（辉光）：≤9 pM ( 225 amol/well; 25 μl)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6713" w:type="dxa"/>
            <w:noWrap w:val="0"/>
            <w:vAlign w:val="center"/>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发光模式：检测限（闪光）：≤218 fM (12 amol/well; 55 μl)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20、</w:t>
            </w:r>
          </w:p>
        </w:tc>
        <w:tc>
          <w:tcPr>
            <w:tcW w:w="6713" w:type="dxa"/>
            <w:noWrap w:val="0"/>
            <w:vAlign w:val="center"/>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发光模式:线性范围≥9个数量级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21、</w:t>
            </w:r>
          </w:p>
        </w:tc>
        <w:tc>
          <w:tcPr>
            <w:tcW w:w="6713" w:type="dxa"/>
            <w:noWrap w:val="0"/>
            <w:vAlign w:val="center"/>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荧光分光系统：四光栅光路，激发和发射分别为双光栅，杂光率≤10</w:t>
            </w:r>
            <w:r>
              <w:rPr>
                <w:rFonts w:hint="eastAsia" w:ascii="宋体" w:hAnsi="宋体" w:eastAsia="宋体" w:cs="宋体"/>
                <w:color w:val="auto"/>
                <w:sz w:val="24"/>
                <w:szCs w:val="24"/>
                <w:highlight w:val="none"/>
                <w:shd w:val="clear" w:color="auto" w:fill="FFFFFF"/>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6713" w:type="dxa"/>
            <w:noWrap w:val="0"/>
            <w:vAlign w:val="center"/>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能与同一品牌的液体自动化移液工作站联用</w:t>
            </w:r>
          </w:p>
        </w:tc>
      </w:tr>
    </w:tbl>
    <w:p>
      <w:pPr>
        <w:widowControl/>
        <w:snapToGrid w:val="0"/>
        <w:spacing w:line="360" w:lineRule="auto"/>
        <w:jc w:val="center"/>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品目9 微流控芯片基因分析系统</w:t>
      </w:r>
    </w:p>
    <w:p>
      <w:pPr>
        <w:widowControl/>
        <w:snapToGrid w:val="0"/>
        <w:spacing w:line="360" w:lineRule="auto"/>
        <w:jc w:val="center"/>
        <w:rPr>
          <w:rFonts w:hint="eastAsia" w:ascii="宋体" w:hAnsi="宋体" w:eastAsia="宋体" w:cs="宋体"/>
          <w:b/>
          <w:color w:val="auto"/>
          <w:sz w:val="24"/>
          <w:szCs w:val="24"/>
          <w:highlight w:val="none"/>
        </w:rPr>
      </w:pPr>
    </w:p>
    <w:p>
      <w:pPr>
        <w:widowControl/>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pStyle w:val="9"/>
        <w:spacing w:line="360" w:lineRule="auto"/>
        <w:ind w:firstLine="480"/>
        <w:rPr>
          <w:rFonts w:hint="eastAsia" w:ascii="宋体" w:eastAsia="宋体" w:cs="宋体"/>
          <w:color w:val="auto"/>
          <w:sz w:val="24"/>
          <w:szCs w:val="24"/>
          <w:highlight w:val="none"/>
        </w:rPr>
      </w:pPr>
    </w:p>
    <w:tbl>
      <w:tblPr>
        <w:tblStyle w:val="10"/>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23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87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实时荧光定量PCR主机</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0.2ml×96孔模块</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微流控芯片模块</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全自动加样仪</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全自动机械臂</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随机的电脑工作站</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数据采集和分析软件</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pStyle w:val="13"/>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安装试剂盒</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bl>
    <w:p>
      <w:pPr>
        <w:pStyle w:val="9"/>
        <w:spacing w:line="360" w:lineRule="auto"/>
        <w:ind w:firstLine="480"/>
        <w:rPr>
          <w:rFonts w:hint="eastAsia" w:ascii="宋体" w:eastAsia="宋体" w:cs="宋体"/>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10"/>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整合先进的微流控芯片和qPCR技术，实现对核酸靶标进行定量定性分析；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热循环采用珀耳帖效应系统，加热冷却方式为半导体，温控精准度高；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温度范围：可控制4–99.9℃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一台仪器可支持五种或以上半导体控温的加热模块：0.2ml×96孔、0.1ml ×96孔、384孔微流体芯片、微流控芯片，可以灵活选配模块；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标配0.2ml×96孔和微流控芯片模块；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模块可由用户自行更换，操作简便且更换后无需校准即可使用；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微流控芯片采用纳升流控技术，可用于微小体积液态反应。芯片仅显微镜载玻片大小，排列有≥48个子阵，每个子阵包括≥64个通孔，共≥3072个通孔，每个通孔的反应体积≤33nL。芯片包被有亲水性和疏水性化合物，确保在表面张力作用下，试剂保留于通孔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可同时检测≥4张芯片，单次实验最大可检测孔数超过≥12000个；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激发光源：白光LED光源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检测系统：CCD成像，无逐个扫描的时间差；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具备≥6色发射光通道和≥6色激发光通道，可自由组合，可同时检测≥6种不同靶标。自由组合最多可检测21种以上不同的荧光光谱；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支持ROX荧光校正去除移液误差和耗材透光度引起的物理误差；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升降温速率≥6/℃/秒；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检测灵敏度高，低至单拷贝检测/反应体系；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检测精密度高，可区分1.5倍拷贝数差异，置信度≥99.7%；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仪器具有宽广的动态范围，≥9个对数的线性动态范围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内置触摸屏，方便查看实验进程；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配套自动加样仪，可将样本全自动加样到微流控芯片中，大大简化操作流程；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配套机械臂可以无限制旋转，并具有安全保护功能，运行过程中可检测到物体碰撞，自动停止运行并报警，可通过软件恢复。</w:t>
            </w:r>
          </w:p>
        </w:tc>
      </w:tr>
    </w:tbl>
    <w:p>
      <w:pPr>
        <w:spacing w:line="360" w:lineRule="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（二）商务要求</w:t>
      </w:r>
    </w:p>
    <w:bookmarkEnd w:id="2"/>
    <w:p>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val="zh-CN"/>
        </w:rPr>
        <w:t>交货地点：</w:t>
      </w: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val="zh-CN"/>
        </w:rPr>
        <w:t>指定地点</w:t>
      </w:r>
    </w:p>
    <w:p>
      <w:pPr>
        <w:tabs>
          <w:tab w:val="left" w:pos="420"/>
        </w:tabs>
        <w:autoSpaceDE w:val="0"/>
        <w:autoSpaceDN w:val="0"/>
        <w:adjustRightInd w:val="0"/>
        <w:spacing w:line="360" w:lineRule="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2、</w:t>
      </w:r>
      <w:r>
        <w:rPr>
          <w:rFonts w:hint="eastAsia" w:ascii="宋体" w:hAnsi="宋体" w:eastAsia="宋体" w:cs="宋体"/>
          <w:b/>
          <w:bCs/>
          <w:color w:val="auto"/>
          <w:kern w:val="0"/>
          <w:sz w:val="24"/>
          <w:szCs w:val="24"/>
          <w:highlight w:val="none"/>
          <w:lang w:val="zh-CN"/>
        </w:rPr>
        <w:t>交货期：</w:t>
      </w:r>
      <w:r>
        <w:rPr>
          <w:rFonts w:hint="eastAsia" w:ascii="宋体" w:hAnsi="宋体" w:eastAsia="宋体" w:cs="宋体"/>
          <w:color w:val="auto"/>
          <w:sz w:val="24"/>
          <w:szCs w:val="24"/>
          <w:highlight w:val="none"/>
        </w:rPr>
        <w:t>合同签订后</w:t>
      </w:r>
      <w:r>
        <w:rPr>
          <w:rFonts w:ascii="宋体" w:hAnsi="宋体" w:eastAsia="宋体" w:cs="宋体"/>
          <w:color w:val="auto"/>
          <w:sz w:val="24"/>
          <w:szCs w:val="24"/>
          <w:highlight w:val="none"/>
        </w:rPr>
        <w:t>6</w:t>
      </w:r>
      <w:r>
        <w:rPr>
          <w:rFonts w:hint="eastAsia" w:ascii="宋体" w:hAnsi="宋体" w:eastAsia="宋体" w:cs="宋体"/>
          <w:color w:val="auto"/>
          <w:sz w:val="24"/>
          <w:szCs w:val="24"/>
          <w:highlight w:val="none"/>
        </w:rPr>
        <w:t>个月</w:t>
      </w:r>
    </w:p>
    <w:p>
      <w:pPr>
        <w:tabs>
          <w:tab w:val="left" w:pos="420"/>
        </w:tabs>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3、</w:t>
      </w:r>
      <w:r>
        <w:rPr>
          <w:rFonts w:hint="eastAsia" w:ascii="宋体" w:hAnsi="宋体" w:eastAsia="宋体" w:cs="宋体"/>
          <w:b/>
          <w:bCs/>
          <w:color w:val="auto"/>
          <w:kern w:val="0"/>
          <w:sz w:val="24"/>
          <w:szCs w:val="24"/>
          <w:highlight w:val="none"/>
          <w:lang w:val="zh-CN"/>
        </w:rPr>
        <w:t>报价方式及要求：</w:t>
      </w:r>
    </w:p>
    <w:p>
      <w:pPr>
        <w:widowControl/>
        <w:tabs>
          <w:tab w:val="left" w:pos="900"/>
        </w:tabs>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（1）进口货物与服务报CIP指定项目现场人民币免税价（包含但不仅限于进口外贸代理费、清关杂费、运输费、保险费等所有费用）。进口产品是指通过中国海关报关验放进入中国境内且产自关境外的产品。</w:t>
      </w:r>
    </w:p>
    <w:p>
      <w:pPr>
        <w:widowControl/>
        <w:tabs>
          <w:tab w:val="left" w:pos="900"/>
        </w:tabs>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国产产品与服务报项目现场人民币含税价，报价中需包括制造、装配和发运货物所使用的材料、部件及货物本身已支付或将支付的产品税、销售税和其它税费。国内供货的进口产品报人民币含税价，报价中需包括制造、装配和发运货物所使用的材料、部件及货物本身已支付或将支付的产品税、销售税和其它税费。</w:t>
      </w:r>
    </w:p>
    <w:p>
      <w:pPr>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（3）上述价格的构成须按在分项报价表中格式要求详细列出。如所投产品中既有进口又有国产设备的，报价应该分开报价采用免税价+含税价的形式。</w:t>
      </w: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（4）对原产于境外的产品，中国政府加征的特殊关税由中标人承担。</w:t>
      </w:r>
    </w:p>
    <w:p>
      <w:pPr>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（5）投标人需就整个包进行响应，不完整的投标将被拒绝。</w:t>
      </w:r>
    </w:p>
    <w:p>
      <w:pPr>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（6）投标报价不得超出采购预算（如有最高限价则不得超出最高限价），否则投标将被拒绝。</w:t>
      </w:r>
    </w:p>
    <w:p>
      <w:pPr>
        <w:widowControl/>
        <w:adjustRightInd w:val="0"/>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rPr>
        <w:t>（7）如因政策变动本产品不能减免税，供应商须承担所有相关税费。</w:t>
      </w:r>
    </w:p>
    <w:p>
      <w:pPr>
        <w:tabs>
          <w:tab w:val="left" w:pos="420"/>
        </w:tabs>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tabs>
          <w:tab w:val="left" w:pos="0"/>
        </w:tabs>
        <w:autoSpaceDE w:val="0"/>
        <w:autoSpaceDN w:val="0"/>
        <w:adjustRightInd w:val="0"/>
        <w:spacing w:line="360" w:lineRule="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4、进</w:t>
      </w:r>
      <w:r>
        <w:rPr>
          <w:rFonts w:hint="eastAsia" w:ascii="宋体" w:hAnsi="宋体" w:eastAsia="宋体" w:cs="宋体"/>
          <w:b/>
          <w:bCs/>
          <w:color w:val="auto"/>
          <w:kern w:val="0"/>
          <w:sz w:val="24"/>
          <w:szCs w:val="24"/>
          <w:highlight w:val="none"/>
          <w:lang w:val="zh-CN"/>
        </w:rPr>
        <w:t>口产品需在中标后合同签订时提供原厂有效授权</w:t>
      </w:r>
      <w:r>
        <w:rPr>
          <w:rFonts w:hint="eastAsia" w:ascii="宋体" w:hAnsi="宋体" w:eastAsia="宋体" w:cs="宋体"/>
          <w:b/>
          <w:bCs/>
          <w:color w:val="auto"/>
          <w:kern w:val="0"/>
          <w:sz w:val="24"/>
          <w:szCs w:val="24"/>
          <w:highlight w:val="none"/>
        </w:rPr>
        <w:t>书。</w:t>
      </w:r>
    </w:p>
    <w:p>
      <w:pPr>
        <w:tabs>
          <w:tab w:val="left" w:pos="0"/>
        </w:tabs>
        <w:autoSpaceDE w:val="0"/>
        <w:autoSpaceDN w:val="0"/>
        <w:adjustRightInd w:val="0"/>
        <w:spacing w:line="360" w:lineRule="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5、</w:t>
      </w:r>
      <w:r>
        <w:rPr>
          <w:rFonts w:hint="eastAsia" w:ascii="宋体" w:hAnsi="宋体" w:eastAsia="宋体" w:cs="宋体"/>
          <w:b/>
          <w:bCs/>
          <w:color w:val="auto"/>
          <w:kern w:val="0"/>
          <w:sz w:val="24"/>
          <w:szCs w:val="24"/>
          <w:highlight w:val="none"/>
          <w:lang w:val="zh-CN"/>
        </w:rPr>
        <w:t>付款方式：</w:t>
      </w:r>
    </w:p>
    <w:p>
      <w:pPr>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lang w:val="zh-CN"/>
        </w:rPr>
        <w:t>签订合同后中标人提供合法正规发票后，采购人支付</w:t>
      </w:r>
      <w:r>
        <w:rPr>
          <w:rFonts w:hint="eastAsia" w:ascii="宋体" w:hAnsi="宋体" w:eastAsia="宋体" w:cs="宋体"/>
          <w:color w:val="auto"/>
          <w:sz w:val="24"/>
          <w:szCs w:val="24"/>
          <w:highlight w:val="none"/>
          <w:u w:val="single"/>
        </w:rPr>
        <w:t>4</w:t>
      </w:r>
      <w:r>
        <w:rPr>
          <w:rFonts w:ascii="宋体" w:hAnsi="宋体" w:eastAsia="宋体" w:cs="宋体"/>
          <w:color w:val="auto"/>
          <w:sz w:val="24"/>
          <w:szCs w:val="24"/>
          <w:highlight w:val="none"/>
          <w:u w:val="single"/>
        </w:rPr>
        <w:t>0</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lang w:val="zh-CN"/>
        </w:rPr>
        <w:t>货款，</w:t>
      </w:r>
      <w:r>
        <w:rPr>
          <w:rFonts w:hint="eastAsia" w:ascii="宋体" w:hAnsi="宋体" w:eastAsia="宋体" w:cs="宋体"/>
          <w:color w:val="auto"/>
          <w:sz w:val="24"/>
          <w:szCs w:val="24"/>
          <w:highlight w:val="none"/>
        </w:rPr>
        <w:t>10%合同总金额的银行</w:t>
      </w:r>
      <w:r>
        <w:rPr>
          <w:rFonts w:hint="eastAsia" w:ascii="宋体" w:hAnsi="宋体" w:eastAsia="宋体" w:cs="宋体"/>
          <w:color w:val="auto"/>
          <w:sz w:val="24"/>
          <w:szCs w:val="24"/>
          <w:highlight w:val="none"/>
          <w:lang w:val="zh-CN"/>
        </w:rPr>
        <w:t>履约保函需于合同签订后1</w:t>
      </w:r>
      <w:r>
        <w:rPr>
          <w:rFonts w:ascii="宋体" w:hAnsi="宋体" w:eastAsia="宋体" w:cs="宋体"/>
          <w:color w:val="auto"/>
          <w:sz w:val="24"/>
          <w:szCs w:val="24"/>
          <w:highlight w:val="none"/>
          <w:lang w:val="zh-CN"/>
        </w:rPr>
        <w:t>0</w:t>
      </w:r>
      <w:r>
        <w:rPr>
          <w:rFonts w:hint="eastAsia" w:ascii="宋体" w:hAnsi="宋体" w:eastAsia="宋体" w:cs="宋体"/>
          <w:color w:val="auto"/>
          <w:sz w:val="24"/>
          <w:szCs w:val="24"/>
          <w:highlight w:val="none"/>
          <w:lang w:val="zh-CN"/>
        </w:rPr>
        <w:t>个工作日提供给甲方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设备提供装箱单或已经发货证明资料后支付</w:t>
      </w:r>
      <w:r>
        <w:rPr>
          <w:rFonts w:ascii="宋体" w:hAnsi="宋体" w:eastAsia="宋体" w:cs="宋体"/>
          <w:color w:val="auto"/>
          <w:sz w:val="24"/>
          <w:szCs w:val="24"/>
          <w:highlight w:val="none"/>
          <w:lang w:val="zh-CN"/>
        </w:rPr>
        <w:t>40</w:t>
      </w:r>
      <w:r>
        <w:rPr>
          <w:rFonts w:hint="eastAsia" w:ascii="宋体" w:hAnsi="宋体" w:eastAsia="宋体" w:cs="宋体"/>
          <w:color w:val="auto"/>
          <w:sz w:val="24"/>
          <w:szCs w:val="24"/>
          <w:highlight w:val="none"/>
          <w:lang w:val="zh-CN"/>
        </w:rPr>
        <w:t>%货款，验收合格后，中标人提供合法正规发票采购人支付剩余</w:t>
      </w:r>
      <w:r>
        <w:rPr>
          <w:rFonts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lang w:val="zh-CN"/>
        </w:rPr>
        <w:t>货款，并退还履约</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val="zh-CN"/>
        </w:rPr>
        <w:t>。</w:t>
      </w:r>
    </w:p>
    <w:p>
      <w:pPr>
        <w:tabs>
          <w:tab w:val="left" w:pos="0"/>
        </w:tabs>
        <w:autoSpaceDE w:val="0"/>
        <w:autoSpaceDN w:val="0"/>
        <w:adjustRightInd w:val="0"/>
        <w:spacing w:line="360" w:lineRule="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rPr>
        <w:t>6、</w:t>
      </w:r>
      <w:r>
        <w:rPr>
          <w:rFonts w:hint="eastAsia" w:ascii="宋体" w:hAnsi="宋体" w:eastAsia="宋体" w:cs="宋体"/>
          <w:b/>
          <w:bCs/>
          <w:color w:val="auto"/>
          <w:kern w:val="0"/>
          <w:sz w:val="24"/>
          <w:szCs w:val="24"/>
          <w:highlight w:val="none"/>
          <w:lang w:val="zh-CN"/>
        </w:rPr>
        <w:t>质保</w:t>
      </w:r>
      <w:r>
        <w:rPr>
          <w:rFonts w:hint="eastAsia" w:ascii="宋体" w:hAnsi="宋体" w:eastAsia="宋体" w:cs="宋体"/>
          <w:b/>
          <w:bCs/>
          <w:color w:val="auto"/>
          <w:kern w:val="0"/>
          <w:sz w:val="24"/>
          <w:szCs w:val="24"/>
          <w:highlight w:val="none"/>
        </w:rPr>
        <w:t>及</w:t>
      </w:r>
      <w:r>
        <w:rPr>
          <w:rFonts w:hint="eastAsia" w:ascii="宋体" w:hAnsi="宋体" w:eastAsia="宋体" w:cs="宋体"/>
          <w:b/>
          <w:bCs/>
          <w:color w:val="auto"/>
          <w:kern w:val="0"/>
          <w:sz w:val="24"/>
          <w:szCs w:val="24"/>
          <w:highlight w:val="none"/>
          <w:lang w:val="zh-CN"/>
        </w:rPr>
        <w:t>售后服务</w:t>
      </w:r>
      <w:r>
        <w:rPr>
          <w:rFonts w:hint="eastAsia" w:ascii="宋体" w:hAnsi="宋体" w:eastAsia="宋体" w:cs="宋体"/>
          <w:b/>
          <w:bCs/>
          <w:color w:val="auto"/>
          <w:kern w:val="0"/>
          <w:sz w:val="24"/>
          <w:szCs w:val="24"/>
          <w:highlight w:val="none"/>
        </w:rPr>
        <w:t>要求</w:t>
      </w:r>
      <w:r>
        <w:rPr>
          <w:rFonts w:hint="eastAsia" w:ascii="宋体" w:hAnsi="宋体" w:eastAsia="宋体" w:cs="宋体"/>
          <w:b/>
          <w:bCs/>
          <w:color w:val="auto"/>
          <w:kern w:val="0"/>
          <w:sz w:val="24"/>
          <w:szCs w:val="24"/>
          <w:highlight w:val="none"/>
          <w:lang w:val="zh-CN"/>
        </w:rPr>
        <w:t>：</w:t>
      </w:r>
    </w:p>
    <w:p>
      <w:pPr>
        <w:widowControl/>
        <w:numPr>
          <w:ilvl w:val="0"/>
          <w:numId w:val="1"/>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投标人需为本项目配备足够的售后服务力量，具有国内本地化的服务团队。</w:t>
      </w:r>
    </w:p>
    <w:p>
      <w:pPr>
        <w:widowControl/>
        <w:numPr>
          <w:ilvl w:val="0"/>
          <w:numId w:val="1"/>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投标人售后服务响应时间：电话响应时间要求8小时内，到场响应时间要求2个工作日内（指从接到报障至到达故障现场的时间）。</w:t>
      </w:r>
    </w:p>
    <w:p>
      <w:pPr>
        <w:widowControl/>
        <w:numPr>
          <w:ilvl w:val="0"/>
          <w:numId w:val="1"/>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投标人免费提供技术支持热线电话，满足24小时热线服务。</w:t>
      </w:r>
    </w:p>
    <w:p>
      <w:pPr>
        <w:widowControl/>
        <w:numPr>
          <w:ilvl w:val="0"/>
          <w:numId w:val="1"/>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投标人免费提供email技术支持，并且在24小时内回复。</w:t>
      </w:r>
    </w:p>
    <w:p>
      <w:pPr>
        <w:widowControl/>
        <w:numPr>
          <w:ilvl w:val="0"/>
          <w:numId w:val="1"/>
        </w:numPr>
        <w:tabs>
          <w:tab w:val="left" w:pos="420"/>
          <w:tab w:val="clear" w:pos="1500"/>
        </w:tabs>
        <w:spacing w:before="156" w:beforeLines="50" w:line="360" w:lineRule="auto"/>
        <w:ind w:left="420"/>
        <w:jc w:val="left"/>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投标人提供仪器设备的保修期为：</w:t>
      </w:r>
      <w:r>
        <w:rPr>
          <w:rFonts w:hint="eastAsia" w:ascii="宋体" w:hAnsi="宋体" w:eastAsia="宋体" w:cs="宋体"/>
          <w:b/>
          <w:bCs/>
          <w:color w:val="auto"/>
          <w:sz w:val="24"/>
          <w:szCs w:val="24"/>
          <w:highlight w:val="none"/>
        </w:rPr>
        <w:t>品目6有机元素分析仪：保修期为3年，主要部件加热炉和TCD检测器终身保修；品目9微流控芯片基因分析系统：保修期为2年；其余品目的设备保修期均为1年</w:t>
      </w:r>
      <w:r>
        <w:rPr>
          <w:rFonts w:hint="eastAsia" w:ascii="宋体" w:hAnsi="宋体" w:eastAsia="宋体" w:cs="宋体"/>
          <w:color w:val="auto"/>
          <w:sz w:val="24"/>
          <w:szCs w:val="24"/>
          <w:highlight w:val="none"/>
        </w:rPr>
        <w:t>（保修期内免费维修并更换除消耗品以外的零部件，维修人员的路费、食宿等自理）。</w:t>
      </w:r>
    </w:p>
    <w:p>
      <w:pPr>
        <w:widowControl/>
        <w:numPr>
          <w:ilvl w:val="0"/>
          <w:numId w:val="1"/>
        </w:numPr>
        <w:tabs>
          <w:tab w:val="left" w:pos="420"/>
          <w:tab w:val="clear" w:pos="1500"/>
        </w:tabs>
        <w:spacing w:before="156" w:beforeLines="50" w:line="360" w:lineRule="auto"/>
        <w:ind w:left="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投标人提供该设备的技术使用说明书及外购配件仪器说明书，并指导在使用该设备时的操作注意事项等。</w:t>
      </w:r>
    </w:p>
    <w:p>
      <w:pPr>
        <w:widowControl/>
        <w:numPr>
          <w:ilvl w:val="0"/>
          <w:numId w:val="1"/>
        </w:numPr>
        <w:tabs>
          <w:tab w:val="left" w:pos="420"/>
          <w:tab w:val="clear" w:pos="1500"/>
        </w:tabs>
        <w:spacing w:before="156" w:beforeLines="50" w:line="360" w:lineRule="auto"/>
        <w:ind w:left="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投标人提供配套</w:t>
      </w:r>
      <w:r>
        <w:rPr>
          <w:rFonts w:hint="eastAsia" w:ascii="宋体" w:hAnsi="宋体" w:eastAsia="宋体" w:cs="宋体"/>
          <w:b/>
          <w:bCs/>
          <w:color w:val="auto"/>
          <w:sz w:val="24"/>
          <w:szCs w:val="24"/>
          <w:highlight w:val="none"/>
        </w:rPr>
        <w:t>软件终生免费升级服务</w:t>
      </w:r>
      <w:r>
        <w:rPr>
          <w:rFonts w:hint="eastAsia" w:ascii="宋体" w:hAnsi="宋体" w:eastAsia="宋体" w:cs="宋体"/>
          <w:color w:val="auto"/>
          <w:sz w:val="24"/>
          <w:szCs w:val="24"/>
          <w:highlight w:val="none"/>
        </w:rPr>
        <w:t>。</w:t>
      </w:r>
    </w:p>
    <w:p>
      <w:pPr>
        <w:autoSpaceDE w:val="0"/>
        <w:autoSpaceDN w:val="0"/>
        <w:spacing w:line="360" w:lineRule="auto"/>
        <w:ind w:right="26"/>
        <w:textAlignment w:val="bottom"/>
        <w:rPr>
          <w:rFonts w:ascii="宋体" w:hAnsi="宋体" w:eastAsia="宋体" w:cs="宋体"/>
          <w:color w:val="auto"/>
          <w:sz w:val="24"/>
          <w:szCs w:val="24"/>
          <w:highlight w:val="none"/>
          <w:lang w:val="zh-CN"/>
        </w:rPr>
      </w:pPr>
    </w:p>
    <w:p>
      <w:pPr>
        <w:widowControl/>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7、培训要求：</w:t>
      </w:r>
    </w:p>
    <w:p>
      <w:pPr>
        <w:widowControl/>
        <w:numPr>
          <w:ilvl w:val="0"/>
          <w:numId w:val="2"/>
        </w:numPr>
        <w:tabs>
          <w:tab w:val="clear" w:pos="1500"/>
        </w:tabs>
        <w:spacing w:before="156" w:beforeLines="50" w:line="360" w:lineRule="auto"/>
        <w:ind w:left="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为保证投标人所提供的仪器设备安全、可靠运行，便于采购人的运行维护，必须对采购人培训合格的维护和管理人员。</w:t>
      </w:r>
    </w:p>
    <w:p>
      <w:pPr>
        <w:widowControl/>
        <w:numPr>
          <w:ilvl w:val="0"/>
          <w:numId w:val="2"/>
        </w:numPr>
        <w:tabs>
          <w:tab w:val="clear" w:pos="1500"/>
        </w:tabs>
        <w:spacing w:before="156" w:beforeLines="50" w:line="360" w:lineRule="auto"/>
        <w:ind w:left="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投标人负责对采购人提供至少一次现场技术培训，以便工作人员在培训后能熟练地掌握系统的维护工作，并能及时排除大部分的系统障碍。</w:t>
      </w:r>
    </w:p>
    <w:p>
      <w:pPr>
        <w:widowControl/>
        <w:numPr>
          <w:ilvl w:val="0"/>
          <w:numId w:val="2"/>
        </w:numPr>
        <w:tabs>
          <w:tab w:val="clear" w:pos="1500"/>
        </w:tabs>
        <w:spacing w:before="156" w:beforeLines="50" w:line="360" w:lineRule="auto"/>
        <w:ind w:left="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至少一次厂家工程师到采购人现场免费培训；培训至采购人可以熟练操作为止。</w:t>
      </w:r>
    </w:p>
    <w:p>
      <w:pPr>
        <w:tabs>
          <w:tab w:val="left" w:pos="420"/>
        </w:tabs>
        <w:autoSpaceDE w:val="0"/>
        <w:autoSpaceDN w:val="0"/>
        <w:adjustRightInd w:val="0"/>
        <w:spacing w:line="360" w:lineRule="auto"/>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rPr>
        <w:t>8、</w:t>
      </w:r>
      <w:r>
        <w:rPr>
          <w:rFonts w:hint="eastAsia" w:ascii="宋体" w:hAnsi="宋体" w:eastAsia="宋体" w:cs="宋体"/>
          <w:b/>
          <w:bCs/>
          <w:color w:val="auto"/>
          <w:kern w:val="0"/>
          <w:sz w:val="24"/>
          <w:szCs w:val="24"/>
          <w:highlight w:val="none"/>
          <w:lang w:val="zh-CN"/>
        </w:rPr>
        <w:t>运输及包装方式的要求</w:t>
      </w:r>
    </w:p>
    <w:p>
      <w:pPr>
        <w:autoSpaceDE w:val="0"/>
        <w:autoSpaceDN w:val="0"/>
        <w:adjustRightInd w:val="0"/>
        <w:spacing w:line="360" w:lineRule="auto"/>
        <w:ind w:firstLine="480" w:firstLineChars="200"/>
        <w:rPr>
          <w:rFonts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pPr>
        <w:tabs>
          <w:tab w:val="left" w:pos="420"/>
        </w:tabs>
        <w:autoSpaceDE w:val="0"/>
        <w:autoSpaceDN w:val="0"/>
        <w:adjustRightInd w:val="0"/>
        <w:spacing w:line="360" w:lineRule="auto"/>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rPr>
        <w:t>9、</w:t>
      </w:r>
      <w:r>
        <w:rPr>
          <w:rFonts w:hint="eastAsia" w:ascii="宋体" w:hAnsi="宋体" w:eastAsia="宋体" w:cs="宋体"/>
          <w:b/>
          <w:bCs/>
          <w:color w:val="auto"/>
          <w:kern w:val="0"/>
          <w:sz w:val="24"/>
          <w:szCs w:val="24"/>
          <w:highlight w:val="none"/>
          <w:lang w:val="zh-CN"/>
        </w:rPr>
        <w:t>安装、调试及验收：</w:t>
      </w:r>
    </w:p>
    <w:p>
      <w:pPr>
        <w:numPr>
          <w:ilvl w:val="0"/>
          <w:numId w:val="3"/>
        </w:numPr>
        <w:autoSpaceDE w:val="0"/>
        <w:autoSpaceDN w:val="0"/>
        <w:spacing w:line="360" w:lineRule="auto"/>
        <w:ind w:right="26"/>
        <w:textAlignment w:val="bottom"/>
        <w:rPr>
          <w:rFonts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rPr>
        <w:t>合同签订后15天内，中标人应</w:t>
      </w:r>
      <w:r>
        <w:rPr>
          <w:rFonts w:hint="eastAsia" w:ascii="宋体" w:hAnsi="宋体" w:eastAsia="宋体" w:cs="宋体"/>
          <w:bCs/>
          <w:color w:val="auto"/>
          <w:kern w:val="0"/>
          <w:sz w:val="24"/>
          <w:szCs w:val="24"/>
          <w:highlight w:val="none"/>
          <w:lang w:val="zh-CN"/>
        </w:rPr>
        <w:t>提供</w:t>
      </w:r>
      <w:r>
        <w:rPr>
          <w:rFonts w:hint="eastAsia" w:ascii="宋体" w:hAnsi="宋体" w:eastAsia="宋体" w:cs="宋体"/>
          <w:color w:val="auto"/>
          <w:sz w:val="24"/>
          <w:szCs w:val="24"/>
          <w:highlight w:val="none"/>
        </w:rPr>
        <w:t>仪器安装前对采购人的具体安装</w:t>
      </w:r>
      <w:r>
        <w:rPr>
          <w:rFonts w:hint="eastAsia" w:ascii="宋体" w:hAnsi="宋体" w:eastAsia="宋体" w:cs="宋体"/>
          <w:bCs/>
          <w:color w:val="auto"/>
          <w:kern w:val="0"/>
          <w:sz w:val="24"/>
          <w:szCs w:val="24"/>
          <w:highlight w:val="none"/>
          <w:lang w:val="zh-CN"/>
        </w:rPr>
        <w:t>条件</w:t>
      </w:r>
      <w:r>
        <w:rPr>
          <w:rFonts w:hint="eastAsia" w:ascii="宋体" w:hAnsi="宋体" w:eastAsia="宋体" w:cs="宋体"/>
          <w:color w:val="auto"/>
          <w:sz w:val="24"/>
          <w:szCs w:val="24"/>
          <w:highlight w:val="none"/>
        </w:rPr>
        <w:t>要求</w:t>
      </w:r>
      <w:r>
        <w:rPr>
          <w:rFonts w:hint="eastAsia" w:ascii="宋体" w:hAnsi="宋体" w:eastAsia="宋体" w:cs="宋体"/>
          <w:bCs/>
          <w:color w:val="auto"/>
          <w:kern w:val="0"/>
          <w:sz w:val="24"/>
          <w:szCs w:val="24"/>
          <w:highlight w:val="none"/>
          <w:lang w:val="zh-CN"/>
        </w:rPr>
        <w:t>，</w:t>
      </w:r>
      <w:r>
        <w:rPr>
          <w:rFonts w:hint="eastAsia" w:ascii="宋体" w:hAnsi="宋体" w:eastAsia="宋体" w:cs="宋体"/>
          <w:color w:val="auto"/>
          <w:sz w:val="24"/>
          <w:szCs w:val="24"/>
          <w:highlight w:val="none"/>
        </w:rPr>
        <w:t>除了在技术规格中提出的要求外，在合同生效后15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numPr>
          <w:ilvl w:val="0"/>
          <w:numId w:val="3"/>
        </w:numPr>
        <w:autoSpaceDE w:val="0"/>
        <w:autoSpaceDN w:val="0"/>
        <w:spacing w:line="360" w:lineRule="auto"/>
        <w:ind w:right="26"/>
        <w:textAlignment w:val="bottom"/>
        <w:rPr>
          <w:rFonts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到货后，需按照甲方验收规则，提供安装测试报告、试运行报告等证明文件，试运行期不超过3个月。</w:t>
      </w:r>
    </w:p>
    <w:p>
      <w:pPr>
        <w:numPr>
          <w:ilvl w:val="0"/>
          <w:numId w:val="3"/>
        </w:numPr>
        <w:autoSpaceDE w:val="0"/>
        <w:autoSpaceDN w:val="0"/>
        <w:spacing w:line="360" w:lineRule="auto"/>
        <w:ind w:right="26"/>
        <w:textAlignment w:val="bottom"/>
        <w:rPr>
          <w:rFonts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仪器设备运抵安装现场后，采购人将与中标人共同开箱验收, 如中标人届时不派人来, 则验收结果应以采购人和当地商检人员的验收报告为最终验收结果。验收时发现短缺、破损, 采购人有权要求中标人立即补发和限时更换。</w:t>
      </w:r>
    </w:p>
    <w:p>
      <w:pPr>
        <w:numPr>
          <w:ilvl w:val="0"/>
          <w:numId w:val="3"/>
        </w:numPr>
        <w:autoSpaceDE w:val="0"/>
        <w:autoSpaceDN w:val="0"/>
        <w:spacing w:line="360" w:lineRule="auto"/>
        <w:ind w:right="26"/>
        <w:textAlignment w:val="bottom"/>
        <w:rPr>
          <w:rFonts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numPr>
          <w:ilvl w:val="0"/>
          <w:numId w:val="3"/>
        </w:numPr>
        <w:autoSpaceDE w:val="0"/>
        <w:autoSpaceDN w:val="0"/>
        <w:spacing w:line="360" w:lineRule="auto"/>
        <w:ind w:right="26"/>
        <w:textAlignment w:val="bottom"/>
        <w:rPr>
          <w:rFonts w:ascii="宋体" w:hAnsi="宋体" w:eastAsia="宋体" w:cs="宋体"/>
          <w:color w:val="auto"/>
          <w:sz w:val="24"/>
          <w:szCs w:val="24"/>
          <w:highlight w:val="none"/>
          <w:lang w:val="zh-CN"/>
        </w:rPr>
      </w:pPr>
      <w:r>
        <w:rPr>
          <w:rFonts w:hint="eastAsia" w:ascii="宋体" w:hAnsi="宋体" w:eastAsia="宋体" w:cs="宋体"/>
          <w:bCs/>
          <w:color w:val="auto"/>
          <w:kern w:val="0"/>
          <w:sz w:val="24"/>
          <w:szCs w:val="24"/>
          <w:highlight w:val="none"/>
          <w:lang w:val="zh-CN"/>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tabs>
          <w:tab w:val="left" w:pos="420"/>
        </w:tabs>
        <w:autoSpaceDE w:val="0"/>
        <w:autoSpaceDN w:val="0"/>
        <w:adjustRightInd w:val="0"/>
        <w:spacing w:line="360" w:lineRule="auto"/>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rPr>
        <w:t>10、</w:t>
      </w:r>
      <w:r>
        <w:rPr>
          <w:rFonts w:hint="eastAsia" w:ascii="宋体" w:hAnsi="宋体" w:eastAsia="宋体" w:cs="宋体"/>
          <w:b/>
          <w:bCs/>
          <w:color w:val="auto"/>
          <w:kern w:val="0"/>
          <w:sz w:val="24"/>
          <w:szCs w:val="24"/>
          <w:highlight w:val="none"/>
          <w:lang w:val="zh-CN"/>
        </w:rPr>
        <w:t>质量及知识产权要求</w:t>
      </w:r>
    </w:p>
    <w:p>
      <w:pPr>
        <w:numPr>
          <w:ilvl w:val="0"/>
          <w:numId w:val="4"/>
        </w:numPr>
        <w:tabs>
          <w:tab w:val="left" w:pos="426"/>
          <w:tab w:val="left" w:pos="851"/>
        </w:tabs>
        <w:autoSpaceDE w:val="0"/>
        <w:autoSpaceDN w:val="0"/>
        <w:adjustRightInd w:val="0"/>
        <w:spacing w:line="360" w:lineRule="auto"/>
        <w:ind w:left="420" w:hanging="420"/>
        <w:jc w:val="left"/>
        <w:rPr>
          <w:rFonts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4"/>
        </w:numPr>
        <w:tabs>
          <w:tab w:val="left" w:pos="426"/>
          <w:tab w:val="left" w:pos="851"/>
        </w:tabs>
        <w:autoSpaceDE w:val="0"/>
        <w:autoSpaceDN w:val="0"/>
        <w:adjustRightInd w:val="0"/>
        <w:spacing w:line="360" w:lineRule="auto"/>
        <w:ind w:left="420" w:hanging="420"/>
        <w:jc w:val="left"/>
        <w:rPr>
          <w:rFonts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采购人在中国使用该货物或货物的任何一部分时，免受第三方提出的侵犯其专利权、商标权或工业设计权等知识产权的起诉或司法干预。如果发生上述起诉或干预，则其法律责任均由投标人负责。</w:t>
      </w:r>
    </w:p>
    <w:p>
      <w:pPr>
        <w:tabs>
          <w:tab w:val="left" w:pos="420"/>
        </w:tabs>
        <w:autoSpaceDE w:val="0"/>
        <w:autoSpaceDN w:val="0"/>
        <w:adjustRightInd w:val="0"/>
        <w:spacing w:line="360" w:lineRule="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11、</w:t>
      </w:r>
      <w:r>
        <w:rPr>
          <w:rFonts w:hint="eastAsia" w:ascii="宋体" w:hAnsi="宋体" w:eastAsia="宋体" w:cs="宋体"/>
          <w:b/>
          <w:bCs/>
          <w:color w:val="auto"/>
          <w:kern w:val="0"/>
          <w:sz w:val="24"/>
          <w:szCs w:val="24"/>
          <w:highlight w:val="none"/>
          <w:lang w:val="zh-CN"/>
        </w:rPr>
        <w:t>关于违约责任</w:t>
      </w:r>
    </w:p>
    <w:p>
      <w:pPr>
        <w:tabs>
          <w:tab w:val="left" w:pos="426"/>
          <w:tab w:val="left" w:pos="851"/>
        </w:tabs>
        <w:autoSpaceDE w:val="0"/>
        <w:autoSpaceDN w:val="0"/>
        <w:adjustRightInd w:val="0"/>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1）由于中标人的原因未能按时供货的，每迟一天罚款合同总额的0.</w:t>
      </w: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 xml:space="preserve">%，累计不超过 </w:t>
      </w:r>
      <w:r>
        <w:rPr>
          <w:rFonts w:ascii="宋体" w:hAnsi="宋体" w:eastAsia="宋体" w:cs="宋体"/>
          <w:color w:val="auto"/>
          <w:sz w:val="24"/>
          <w:szCs w:val="24"/>
          <w:highlight w:val="none"/>
        </w:rPr>
        <w:t>5</w:t>
      </w:r>
      <w:r>
        <w:rPr>
          <w:rFonts w:hint="eastAsia" w:ascii="宋体" w:hAnsi="宋体" w:eastAsia="宋体" w:cs="宋体"/>
          <w:color w:val="auto"/>
          <w:sz w:val="24"/>
          <w:szCs w:val="24"/>
          <w:highlight w:val="none"/>
        </w:rPr>
        <w:t>% 。如超过供货期</w:t>
      </w:r>
      <w:r>
        <w:rPr>
          <w:rFonts w:ascii="宋体" w:hAnsi="宋体" w:eastAsia="宋体" w:cs="宋体"/>
          <w:color w:val="auto"/>
          <w:sz w:val="24"/>
          <w:szCs w:val="24"/>
          <w:highlight w:val="none"/>
        </w:rPr>
        <w:t>60</w:t>
      </w:r>
      <w:r>
        <w:rPr>
          <w:rFonts w:hint="eastAsia" w:ascii="宋体" w:hAnsi="宋体" w:eastAsia="宋体" w:cs="宋体"/>
          <w:color w:val="auto"/>
          <w:sz w:val="24"/>
          <w:szCs w:val="24"/>
          <w:highlight w:val="none"/>
        </w:rPr>
        <w:t>天，采购人有权视情况终止采购合同并通过法律程序对供应商进行索赔。</w:t>
      </w:r>
    </w:p>
    <w:p>
      <w:pPr>
        <w:spacing w:line="360" w:lineRule="auto"/>
        <w:jc w:val="lef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采购人有权对中标人就本项目要求提供的相关证明资料（原件）进行审查。中标人提供虚假资料被查实的，采购人有权采取如下措施：</w:t>
      </w:r>
    </w:p>
    <w:p>
      <w:pPr>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a、上报财政监管部门取消中标人本项目中标资格； </w:t>
      </w:r>
    </w:p>
    <w:p>
      <w:pPr>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b、上报财政监管部门列入不良行为记录名单和三年内禁止参与政府采购活动；</w:t>
      </w:r>
    </w:p>
    <w:p>
      <w:pPr>
        <w:spacing w:line="360" w:lineRule="auto"/>
        <w:rPr>
          <w:rFonts w:ascii="楷体_GB2312" w:hAnsi="Calibri" w:eastAsia="宋体" w:cs="Times New Roman"/>
          <w:color w:val="auto"/>
          <w:sz w:val="24"/>
          <w:szCs w:val="24"/>
          <w:highlight w:val="none"/>
        </w:rPr>
      </w:pPr>
      <w:r>
        <w:rPr>
          <w:rFonts w:hint="eastAsia" w:ascii="宋体" w:hAnsi="宋体" w:eastAsia="宋体" w:cs="宋体"/>
          <w:color w:val="auto"/>
          <w:sz w:val="24"/>
          <w:szCs w:val="24"/>
          <w:highlight w:val="none"/>
        </w:rPr>
        <w:t>c、追返采购人向中标人已支付的相关费用，并要求中标人赔偿合同总金额30%的违约金。违约金不足以弥补采购人损失的，中标人应当继续赔偿。由此造成的一切损失由中标人承担。</w:t>
      </w:r>
    </w:p>
    <w:p>
      <w:pPr>
        <w:autoSpaceDE w:val="0"/>
        <w:autoSpaceDN w:val="0"/>
        <w:spacing w:line="360" w:lineRule="auto"/>
        <w:ind w:right="26"/>
        <w:textAlignment w:val="bottom"/>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宋体"/>
          <w:color w:val="auto"/>
          <w:sz w:val="24"/>
          <w:szCs w:val="24"/>
          <w:highlight w:val="none"/>
        </w:rPr>
        <w:t>中标人所提供的服务及所交付的产品品种、型号、规格、质量不符合同规定标准的，采购人有权拒绝收货且无需承担任何责任，同时采购人有权要求中标人限期重新供货或解除采购合同，由此造成的一</w:t>
      </w:r>
      <w:r>
        <w:rPr>
          <w:rFonts w:hint="eastAsia" w:ascii="宋体" w:hAnsi="宋体" w:eastAsia="宋体" w:cs="宋体"/>
          <w:color w:val="auto"/>
          <w:kern w:val="0"/>
          <w:sz w:val="24"/>
          <w:szCs w:val="24"/>
          <w:highlight w:val="none"/>
          <w:lang w:val="zh-CN"/>
        </w:rPr>
        <w:t>切损失由中标人承</w:t>
      </w:r>
      <w:r>
        <w:rPr>
          <w:rFonts w:hint="eastAsia" w:ascii="宋体" w:hAnsi="宋体" w:eastAsia="宋体" w:cs="宋体"/>
          <w:color w:val="auto"/>
          <w:sz w:val="24"/>
          <w:szCs w:val="24"/>
          <w:highlight w:val="none"/>
        </w:rPr>
        <w:t>担。</w:t>
      </w:r>
    </w:p>
    <w:p>
      <w:pPr>
        <w:tabs>
          <w:tab w:val="left" w:pos="426"/>
          <w:tab w:val="left" w:pos="851"/>
        </w:tabs>
        <w:autoSpaceDE w:val="0"/>
        <w:autoSpaceDN w:val="0"/>
        <w:adjustRightInd w:val="0"/>
        <w:spacing w:line="360" w:lineRule="auto"/>
        <w:jc w:val="left"/>
        <w:rPr>
          <w:rFonts w:ascii="宋体" w:hAnsi="宋体" w:eastAsia="宋体" w:cs="宋体"/>
          <w:color w:val="auto"/>
          <w:highlight w:val="none"/>
          <w:lang w:val="zh-CN"/>
        </w:rPr>
      </w:pPr>
      <w:r>
        <w:rPr>
          <w:rFonts w:hint="eastAsia" w:ascii="宋体" w:hAnsi="宋体" w:eastAsia="宋体" w:cs="宋体"/>
          <w:color w:val="auto"/>
          <w:sz w:val="24"/>
          <w:szCs w:val="24"/>
          <w:highlight w:val="none"/>
        </w:rPr>
        <w:t>4）其他由违法导致违约的行为按相关法律法规执行。</w:t>
      </w:r>
    </w:p>
    <w:p>
      <w:pPr>
        <w:rPr>
          <w:rFonts w:hint="eastAsia" w:ascii="宋体" w:hAnsi="宋体" w:eastAsia="宋体" w:cs="Times New Roman"/>
          <w:b/>
          <w:color w:val="auto"/>
          <w:sz w:val="24"/>
          <w:highlight w:val="none"/>
        </w:rPr>
      </w:pPr>
    </w:p>
    <w:p>
      <w:pPr>
        <w:widowControl/>
        <w:snapToGrid w:val="0"/>
        <w:spacing w:before="156" w:beforeLines="50" w:line="360" w:lineRule="auto"/>
        <w:rPr>
          <w:rFonts w:hint="eastAsia" w:ascii="宋体" w:hAnsi="宋体" w:eastAsia="宋体" w:cs="Times New Roman"/>
          <w:b/>
          <w:color w:val="auto"/>
          <w:sz w:val="24"/>
          <w:highlight w:val="none"/>
        </w:rPr>
      </w:pPr>
    </w:p>
    <w:p>
      <w:pPr>
        <w:widowControl/>
        <w:snapToGrid w:val="0"/>
        <w:spacing w:before="156" w:beforeLines="50" w:line="360" w:lineRule="auto"/>
        <w:rPr>
          <w:rFonts w:hint="eastAsia" w:ascii="宋体" w:hAnsi="宋体" w:eastAsia="宋体" w:cs="Times New Roman"/>
          <w:b/>
          <w:color w:val="auto"/>
          <w:sz w:val="24"/>
          <w:highlight w:val="none"/>
        </w:rPr>
      </w:pPr>
    </w:p>
    <w:p>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仿宋_GB2312">
    <w:altName w:val="仿宋"/>
    <w:panose1 w:val="02010609030101010101"/>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5N2Y1ZTMzYTE1ZjNiN2NlY2ZlOGI3ODgyYzIxZDYifQ=="/>
  </w:docVars>
  <w:rsids>
    <w:rsidRoot w:val="4C2038B9"/>
    <w:rsid w:val="4C203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next w:val="1"/>
    <w:qFormat/>
    <w:uiPriority w:val="0"/>
    <w:pPr>
      <w:keepNext/>
      <w:keepLines/>
      <w:widowControl w:val="0"/>
      <w:spacing w:before="340" w:beforeLines="0" w:after="330" w:afterLines="0" w:line="578" w:lineRule="auto"/>
      <w:jc w:val="both"/>
      <w:outlineLvl w:val="0"/>
    </w:pPr>
    <w:rPr>
      <w:rFonts w:ascii="Times New Roman" w:hAnsi="Times New Roman" w:eastAsia="楷体_GB2312" w:cs="Times New Roman"/>
      <w:b/>
      <w:kern w:val="44"/>
      <w:sz w:val="72"/>
      <w:lang w:val="en-US" w:eastAsia="zh-CN" w:bidi="ar-SA"/>
    </w:rPr>
  </w:style>
  <w:style w:type="paragraph" w:styleId="2">
    <w:name w:val="heading 3"/>
    <w:next w:val="1"/>
    <w:qFormat/>
    <w:uiPriority w:val="0"/>
    <w:pPr>
      <w:keepNext/>
      <w:keepLines/>
      <w:widowControl w:val="0"/>
      <w:spacing w:before="260" w:beforeLines="0" w:after="260" w:afterLines="0" w:line="400" w:lineRule="exact"/>
      <w:jc w:val="both"/>
      <w:outlineLvl w:val="2"/>
    </w:pPr>
    <w:rPr>
      <w:rFonts w:ascii="宋体" w:hAnsi="宋体" w:eastAsia="宋体" w:cs="Times New Roman"/>
      <w:b/>
      <w:kern w:val="2"/>
      <w:sz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uiPriority w:val="0"/>
    <w:pPr>
      <w:widowControl w:val="0"/>
      <w:spacing w:line="480" w:lineRule="atLeast"/>
      <w:jc w:val="both"/>
    </w:pPr>
    <w:rPr>
      <w:rFonts w:ascii="楷体_GB2312" w:hAnsi="Times New Roman" w:eastAsia="楷体_GB2312" w:cs="Times New Roman"/>
      <w:b/>
      <w:kern w:val="2"/>
      <w:sz w:val="30"/>
      <w:lang w:val="en-US" w:eastAsia="zh-CN" w:bidi="ar-SA"/>
    </w:rPr>
  </w:style>
  <w:style w:type="paragraph" w:styleId="5">
    <w:name w:val="Body Text Indent"/>
    <w:next w:val="6"/>
    <w:qFormat/>
    <w:uiPriority w:val="0"/>
    <w:pPr>
      <w:widowControl w:val="0"/>
      <w:ind w:firstLine="700" w:firstLineChars="250"/>
      <w:jc w:val="both"/>
    </w:pPr>
    <w:rPr>
      <w:rFonts w:ascii="楷体_GB2312" w:hAnsi="宋体" w:eastAsia="楷体_GB2312" w:cs="Times New Roman"/>
      <w:kern w:val="2"/>
      <w:sz w:val="28"/>
      <w:lang w:val="en-US" w:eastAsia="zh-CN" w:bidi="ar-SA"/>
    </w:rPr>
  </w:style>
  <w:style w:type="paragraph" w:styleId="6">
    <w:name w:val="envelope return"/>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7">
    <w:name w:val="Plain Text"/>
    <w:uiPriority w:val="0"/>
    <w:pPr>
      <w:widowControl w:val="0"/>
      <w:jc w:val="both"/>
    </w:pPr>
    <w:rPr>
      <w:rFonts w:ascii="宋体" w:hAnsi="Courier New" w:eastAsia="宋体" w:cs="Times New Roman"/>
      <w:kern w:val="2"/>
      <w:sz w:val="21"/>
      <w:lang w:val="en-US" w:eastAsia="zh-CN" w:bidi="ar-SA"/>
    </w:rPr>
  </w:style>
  <w:style w:type="paragraph" w:styleId="8">
    <w:name w:val="Normal (Web)"/>
    <w:qFormat/>
    <w:uiPriority w:val="0"/>
    <w:pPr>
      <w:widowControl/>
      <w:spacing w:before="100" w:beforeLines="0" w:beforeAutospacing="1" w:after="100" w:afterLines="0" w:afterAutospacing="1"/>
      <w:jc w:val="left"/>
    </w:pPr>
    <w:rPr>
      <w:rFonts w:ascii="宋体" w:hAnsi="宋体" w:eastAsia="宋体" w:cs="宋体"/>
      <w:kern w:val="0"/>
      <w:sz w:val="24"/>
      <w:szCs w:val="24"/>
      <w:lang w:val="en-US" w:eastAsia="zh-CN" w:bidi="ar-SA"/>
    </w:rPr>
  </w:style>
  <w:style w:type="paragraph" w:styleId="9">
    <w:name w:val="Body Text First Indent 2"/>
    <w:unhideWhenUsed/>
    <w:qFormat/>
    <w:uiPriority w:val="99"/>
    <w:pPr>
      <w:widowControl w:val="0"/>
      <w:ind w:left="420" w:firstLine="420" w:firstLineChars="200"/>
      <w:jc w:val="both"/>
    </w:pPr>
    <w:rPr>
      <w:rFonts w:ascii="楷体_GB2312" w:hAnsi="宋体" w:eastAsia="楷体_GB2312" w:cs="Times New Roman"/>
      <w:kern w:val="2"/>
      <w:sz w:val="28"/>
      <w:lang w:val="en-US" w:eastAsia="zh-CN" w:bidi="ar-SA"/>
    </w:rPr>
  </w:style>
  <w:style w:type="character" w:styleId="12">
    <w:name w:val="annotation reference"/>
    <w:qFormat/>
    <w:uiPriority w:val="0"/>
    <w:rPr>
      <w:sz w:val="21"/>
      <w:szCs w:val="21"/>
    </w:rPr>
  </w:style>
  <w:style w:type="paragraph" w:styleId="13">
    <w:name w:val="List Paragraph"/>
    <w:qFormat/>
    <w:uiPriority w:val="34"/>
    <w:pPr>
      <w:widowControl w:val="0"/>
      <w:ind w:firstLine="420" w:firstLineChars="20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2023-11-29T13:14:00Z</dcterms:created>
  <dc:creator>MJ</dc:creator>
  <cp:lastModifiedBy>MJ</cp:lastModifiedBy>
  <dcterms:modified xsi:type="dcterms:W3CDTF">2023-11-29T13:14:32Z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0702C98E15EF4D4187C58A2B21CDD577_11</vt:lpwstr>
  </property>
</Properties>
</file>