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12E091">
      <w:pPr>
        <w:adjustRightInd w:val="0"/>
        <w:snapToGrid w:val="0"/>
        <w:spacing w:after="156" w:afterLines="50" w:line="360" w:lineRule="auto"/>
        <w:jc w:val="center"/>
        <w:outlineLvl w:val="0"/>
        <w:rPr>
          <w:rFonts w:hint="eastAsia" w:ascii="黑体" w:hAnsi="Times New Roman" w:eastAsia="黑体" w:cs="Times New Roman"/>
          <w:b/>
          <w:kern w:val="44"/>
          <w:sz w:val="48"/>
          <w:szCs w:val="20"/>
        </w:rPr>
      </w:pPr>
      <w:bookmarkStart w:id="0" w:name="_Toc129880039"/>
      <w:r>
        <w:rPr>
          <w:rFonts w:hint="eastAsia" w:ascii="宋体" w:hAnsi="宋体" w:eastAsia="宋体" w:cs="Times New Roman"/>
          <w:b/>
          <w:sz w:val="30"/>
          <w:szCs w:val="30"/>
        </w:rPr>
        <w:t>第八部分 采购需求</w:t>
      </w:r>
      <w:bookmarkEnd w:id="0"/>
    </w:p>
    <w:p w14:paraId="0FF9A6C6">
      <w:pPr>
        <w:adjustRightInd w:val="0"/>
        <w:snapToGrid w:val="0"/>
        <w:spacing w:before="156" w:beforeLines="50" w:after="156" w:afterLines="50" w:line="360" w:lineRule="auto"/>
        <w:jc w:val="center"/>
        <w:rPr>
          <w:rFonts w:hint="eastAsia" w:ascii="宋体" w:hAnsi="宋体" w:eastAsia="宋体" w:cs="Times New Roman"/>
          <w:b/>
          <w:sz w:val="24"/>
        </w:rPr>
      </w:pPr>
      <w:r>
        <w:rPr>
          <w:rFonts w:hint="eastAsia" w:ascii="宋体" w:hAnsi="宋体" w:eastAsia="宋体" w:cs="Times New Roman"/>
          <w:b/>
          <w:sz w:val="24"/>
        </w:rPr>
        <w:t>货物需求一览表</w:t>
      </w:r>
    </w:p>
    <w:p w14:paraId="5DF426AF">
      <w:pPr>
        <w:adjustRightInd w:val="0"/>
        <w:snapToGrid w:val="0"/>
        <w:jc w:val="center"/>
        <w:rPr>
          <w:rFonts w:hint="eastAsia" w:ascii="宋体" w:hAnsi="宋体" w:eastAsia="宋体" w:cs="Times New Roman"/>
          <w:b/>
          <w:sz w:val="30"/>
          <w:szCs w:val="30"/>
        </w:rPr>
      </w:pPr>
    </w:p>
    <w:tbl>
      <w:tblPr>
        <w:tblStyle w:val="4"/>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70A42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78BE4CF4">
            <w:pPr>
              <w:jc w:val="center"/>
              <w:rPr>
                <w:rFonts w:ascii="宋体" w:hAnsi="Bookman Old Style" w:eastAsia="宋体" w:cs="Times New Roman"/>
                <w:sz w:val="24"/>
              </w:rPr>
            </w:pPr>
            <w:r>
              <w:rPr>
                <w:rFonts w:hint="eastAsia" w:ascii="宋体" w:hAnsi="Bookman Old Style" w:eastAsia="宋体" w:cs="Times New Roman"/>
                <w:sz w:val="24"/>
              </w:rPr>
              <w:t>包号</w:t>
            </w:r>
          </w:p>
        </w:tc>
        <w:tc>
          <w:tcPr>
            <w:tcW w:w="2357" w:type="dxa"/>
            <w:noWrap w:val="0"/>
            <w:vAlign w:val="center"/>
          </w:tcPr>
          <w:p w14:paraId="5571B14D">
            <w:pPr>
              <w:jc w:val="center"/>
              <w:rPr>
                <w:rFonts w:ascii="宋体" w:hAnsi="Bookman Old Style" w:eastAsia="宋体" w:cs="Times New Roman"/>
                <w:sz w:val="24"/>
              </w:rPr>
            </w:pPr>
            <w:r>
              <w:rPr>
                <w:rFonts w:hint="eastAsia" w:ascii="宋体" w:hAnsi="Bookman Old Style" w:eastAsia="宋体" w:cs="Times New Roman"/>
                <w:sz w:val="24"/>
              </w:rPr>
              <w:t>货物名称</w:t>
            </w:r>
          </w:p>
        </w:tc>
        <w:tc>
          <w:tcPr>
            <w:tcW w:w="1329" w:type="dxa"/>
            <w:noWrap w:val="0"/>
            <w:vAlign w:val="center"/>
          </w:tcPr>
          <w:p w14:paraId="0C381A75">
            <w:pPr>
              <w:jc w:val="center"/>
              <w:rPr>
                <w:rFonts w:ascii="宋体" w:hAnsi="Bookman Old Style" w:eastAsia="宋体" w:cs="Times New Roman"/>
                <w:sz w:val="24"/>
              </w:rPr>
            </w:pPr>
            <w:r>
              <w:rPr>
                <w:rFonts w:hint="eastAsia" w:ascii="宋体" w:hAnsi="Bookman Old Style" w:eastAsia="宋体" w:cs="Times New Roman"/>
                <w:sz w:val="24"/>
              </w:rPr>
              <w:t>数量</w:t>
            </w:r>
          </w:p>
        </w:tc>
        <w:tc>
          <w:tcPr>
            <w:tcW w:w="2470" w:type="dxa"/>
            <w:noWrap w:val="0"/>
            <w:vAlign w:val="center"/>
          </w:tcPr>
          <w:p w14:paraId="0B3646CF">
            <w:pPr>
              <w:jc w:val="center"/>
              <w:rPr>
                <w:rFonts w:ascii="宋体" w:hAnsi="Bookman Old Style" w:eastAsia="宋体" w:cs="Times New Roman"/>
                <w:sz w:val="24"/>
              </w:rPr>
            </w:pPr>
            <w:r>
              <w:rPr>
                <w:rFonts w:hint="eastAsia" w:ascii="宋体" w:hAnsi="Bookman Old Style" w:eastAsia="宋体" w:cs="Times New Roman"/>
                <w:sz w:val="24"/>
              </w:rPr>
              <w:t>是否接受进口</w:t>
            </w:r>
          </w:p>
        </w:tc>
      </w:tr>
      <w:tr w14:paraId="55EDF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5396CBB6">
            <w:pPr>
              <w:jc w:val="center"/>
              <w:rPr>
                <w:rFonts w:hint="eastAsia" w:ascii="宋体" w:hAnsi="Times New Roman" w:eastAsia="宋体" w:cs="Times New Roman"/>
                <w:sz w:val="24"/>
              </w:rPr>
            </w:pPr>
            <w:r>
              <w:rPr>
                <w:rFonts w:hint="eastAsia" w:ascii="宋体" w:hAnsi="Times New Roman" w:eastAsia="宋体" w:cs="Times New Roman"/>
                <w:sz w:val="24"/>
              </w:rPr>
              <w:t>1</w:t>
            </w:r>
          </w:p>
        </w:tc>
        <w:tc>
          <w:tcPr>
            <w:tcW w:w="2357" w:type="dxa"/>
            <w:noWrap w:val="0"/>
            <w:vAlign w:val="center"/>
          </w:tcPr>
          <w:p w14:paraId="27A48756">
            <w:pPr>
              <w:jc w:val="center"/>
              <w:rPr>
                <w:rFonts w:hint="eastAsia" w:ascii="Bookman Old Style" w:hAnsi="Bookman Old Style" w:eastAsia="宋体" w:cs="Times New Roman"/>
                <w:sz w:val="24"/>
              </w:rPr>
            </w:pPr>
            <w:r>
              <w:rPr>
                <w:rFonts w:hint="eastAsia" w:ascii="Bookman Old Style" w:hAnsi="Bookman Old Style" w:eastAsia="宋体" w:cs="Times New Roman"/>
                <w:sz w:val="24"/>
              </w:rPr>
              <w:t>总有机碳分析仪</w:t>
            </w:r>
          </w:p>
        </w:tc>
        <w:tc>
          <w:tcPr>
            <w:tcW w:w="1329" w:type="dxa"/>
            <w:noWrap w:val="0"/>
            <w:vAlign w:val="center"/>
          </w:tcPr>
          <w:p w14:paraId="74698D6B">
            <w:pPr>
              <w:jc w:val="center"/>
              <w:rPr>
                <w:rFonts w:hint="eastAsia" w:ascii="宋体" w:hAnsi="Bookman Old Style" w:eastAsia="宋体" w:cs="Times New Roman"/>
                <w:sz w:val="24"/>
              </w:rPr>
            </w:pPr>
            <w:r>
              <w:rPr>
                <w:rFonts w:hint="eastAsia" w:ascii="宋体" w:hAnsi="Bookman Old Style" w:eastAsia="宋体" w:cs="Times New Roman"/>
                <w:sz w:val="24"/>
              </w:rPr>
              <w:t>1套</w:t>
            </w:r>
          </w:p>
        </w:tc>
        <w:tc>
          <w:tcPr>
            <w:tcW w:w="2470" w:type="dxa"/>
            <w:noWrap w:val="0"/>
            <w:vAlign w:val="center"/>
          </w:tcPr>
          <w:p w14:paraId="48AA2CC7">
            <w:pPr>
              <w:jc w:val="center"/>
              <w:rPr>
                <w:rFonts w:hint="eastAsia" w:ascii="宋体" w:hAnsi="Bookman Old Style" w:eastAsia="宋体" w:cs="Times New Roman"/>
                <w:sz w:val="24"/>
              </w:rPr>
            </w:pPr>
            <w:r>
              <w:rPr>
                <w:rFonts w:hint="eastAsia" w:ascii="宋体" w:hAnsi="Bookman Old Style" w:eastAsia="宋体" w:cs="Times New Roman"/>
                <w:sz w:val="24"/>
              </w:rPr>
              <w:t>否</w:t>
            </w:r>
          </w:p>
        </w:tc>
      </w:tr>
    </w:tbl>
    <w:p w14:paraId="5488B244">
      <w:pPr>
        <w:adjustRightInd w:val="0"/>
        <w:snapToGrid w:val="0"/>
        <w:jc w:val="center"/>
        <w:rPr>
          <w:rFonts w:hint="eastAsia" w:ascii="宋体" w:hAnsi="宋体" w:eastAsia="宋体" w:cs="Times New Roman"/>
          <w:b/>
          <w:sz w:val="30"/>
          <w:szCs w:val="30"/>
        </w:rPr>
      </w:pPr>
    </w:p>
    <w:p w14:paraId="2725988D">
      <w:pPr>
        <w:adjustRightInd w:val="0"/>
        <w:snapToGrid w:val="0"/>
        <w:jc w:val="center"/>
        <w:rPr>
          <w:rFonts w:hint="eastAsia" w:ascii="宋体" w:hAnsi="宋体" w:eastAsia="宋体" w:cs="Times New Roman"/>
          <w:b/>
          <w:sz w:val="30"/>
          <w:szCs w:val="30"/>
        </w:rPr>
      </w:pPr>
    </w:p>
    <w:p w14:paraId="6D6FD3DF">
      <w:pPr>
        <w:rPr>
          <w:rFonts w:hint="eastAsia" w:ascii="Bookman Old Style" w:hAnsi="Bookman Old Style" w:eastAsia="宋体" w:cs="Times New Roman"/>
          <w:sz w:val="24"/>
        </w:rPr>
      </w:pPr>
      <w:r>
        <w:rPr>
          <w:rFonts w:hint="eastAsia" w:ascii="Times New Roman" w:hAnsi="Times New Roman" w:eastAsia="宋体" w:cs="Times New Roman"/>
          <w:sz w:val="24"/>
        </w:rPr>
        <w:t>注：投标人须对上述投标内容中完整的一包进行投标，</w:t>
      </w:r>
      <w:r>
        <w:rPr>
          <w:rFonts w:hint="eastAsia" w:ascii="Bookman Old Style" w:hAnsi="Bookman Old Style" w:eastAsia="宋体" w:cs="Times New Roman"/>
          <w:sz w:val="24"/>
        </w:rPr>
        <w:t>不完整的投标将视为非响应性投标予以拒绝。</w:t>
      </w:r>
    </w:p>
    <w:p w14:paraId="008E2BB9">
      <w:pPr>
        <w:adjustRightInd w:val="0"/>
        <w:snapToGrid w:val="0"/>
        <w:rPr>
          <w:rFonts w:hint="eastAsia" w:ascii="宋体" w:hAnsi="宋体" w:eastAsia="宋体" w:cs="Times New Roman"/>
          <w:szCs w:val="21"/>
        </w:rPr>
      </w:pPr>
    </w:p>
    <w:p w14:paraId="3AD06B31">
      <w:pPr>
        <w:adjustRightInd w:val="0"/>
        <w:snapToGrid w:val="0"/>
        <w:rPr>
          <w:rFonts w:hint="eastAsia" w:ascii="宋体" w:hAnsi="宋体" w:eastAsia="宋体" w:cs="Times New Roman"/>
          <w:szCs w:val="21"/>
        </w:rPr>
      </w:pPr>
    </w:p>
    <w:p w14:paraId="5DE600F4">
      <w:pPr>
        <w:adjustRightInd w:val="0"/>
        <w:snapToGrid w:val="0"/>
        <w:rPr>
          <w:rFonts w:hint="eastAsia" w:ascii="宋体" w:hAnsi="宋体" w:eastAsia="宋体" w:cs="Times New Roman"/>
          <w:szCs w:val="21"/>
        </w:rPr>
      </w:pPr>
    </w:p>
    <w:p w14:paraId="1F757066">
      <w:pPr>
        <w:adjustRightInd w:val="0"/>
        <w:snapToGrid w:val="0"/>
        <w:spacing w:line="360" w:lineRule="auto"/>
        <w:rPr>
          <w:rFonts w:ascii="宋体" w:hAnsi="宋体" w:eastAsia="宋体" w:cs="Times New Roman"/>
          <w:b/>
          <w:sz w:val="28"/>
          <w:szCs w:val="28"/>
        </w:rPr>
      </w:pPr>
      <w:r>
        <w:rPr>
          <w:rFonts w:ascii="宋体" w:hAnsi="宋体" w:eastAsia="宋体" w:cs="Times New Roman"/>
          <w:b/>
          <w:sz w:val="30"/>
          <w:szCs w:val="30"/>
        </w:rPr>
        <w:br w:type="page"/>
      </w:r>
      <w:r>
        <w:rPr>
          <w:rFonts w:hint="eastAsia" w:ascii="宋体" w:hAnsi="宋体" w:eastAsia="宋体" w:cs="Times New Roman"/>
          <w:b/>
          <w:sz w:val="28"/>
          <w:szCs w:val="28"/>
        </w:rPr>
        <w:t>一、总则</w:t>
      </w:r>
    </w:p>
    <w:p w14:paraId="40C52A7F">
      <w:pPr>
        <w:adjustRightInd w:val="0"/>
        <w:snapToGrid w:val="0"/>
        <w:spacing w:line="360" w:lineRule="auto"/>
        <w:rPr>
          <w:rFonts w:ascii="宋体" w:hAnsi="宋体" w:eastAsia="宋体" w:cs="Times New Roman"/>
          <w:b/>
          <w:sz w:val="28"/>
          <w:szCs w:val="28"/>
        </w:rPr>
      </w:pPr>
      <w:r>
        <w:rPr>
          <w:rFonts w:ascii="宋体" w:hAnsi="宋体" w:eastAsia="宋体" w:cs="Times New Roman"/>
          <w:b/>
          <w:sz w:val="28"/>
          <w:szCs w:val="28"/>
        </w:rPr>
        <w:t>1</w:t>
      </w:r>
      <w:r>
        <w:rPr>
          <w:rFonts w:hint="eastAsia" w:ascii="宋体" w:hAnsi="宋体" w:eastAsia="宋体" w:cs="Times New Roman"/>
          <w:b/>
          <w:sz w:val="28"/>
          <w:szCs w:val="28"/>
        </w:rPr>
        <w:t>、投标要求</w:t>
      </w:r>
    </w:p>
    <w:p w14:paraId="794E5F13">
      <w:pPr>
        <w:spacing w:line="360" w:lineRule="auto"/>
        <w:ind w:left="554" w:hanging="554" w:hangingChars="231"/>
        <w:rPr>
          <w:rFonts w:hint="eastAsia" w:ascii="宋体" w:hAnsi="宋体" w:eastAsia="宋体" w:cs="Times New Roman"/>
          <w:sz w:val="24"/>
        </w:rPr>
      </w:pPr>
      <w:r>
        <w:rPr>
          <w:rFonts w:ascii="宋体" w:hAnsi="宋体" w:eastAsia="宋体" w:cs="Times New Roman"/>
          <w:sz w:val="24"/>
        </w:rPr>
        <w:t xml:space="preserve">1.1 </w:t>
      </w:r>
      <w:r>
        <w:rPr>
          <w:rFonts w:hint="eastAsia" w:ascii="宋体" w:hAnsi="宋体" w:eastAsia="宋体" w:cs="Times New Roman"/>
          <w:sz w:val="24"/>
        </w:rPr>
        <w:t xml:space="preserve"> 投标人在准备投标书时，务必在所提供的商品的技术规格文件中，标明型号、商标名称、目录号。</w:t>
      </w:r>
    </w:p>
    <w:p w14:paraId="510BA300">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1DF9038A">
      <w:pPr>
        <w:spacing w:line="360" w:lineRule="auto"/>
        <w:ind w:left="554" w:hanging="554" w:hangingChars="231"/>
        <w:rPr>
          <w:rFonts w:hint="eastAsia" w:ascii="宋体" w:hAnsi="Times New Roman" w:eastAsia="宋体" w:cs="Times New Roman"/>
          <w:sz w:val="24"/>
        </w:rPr>
      </w:pPr>
      <w:r>
        <w:rPr>
          <w:rFonts w:hint="eastAsia" w:ascii="宋体" w:hAnsi="宋体" w:eastAsia="宋体" w:cs="Times New Roman"/>
          <w:sz w:val="24"/>
        </w:rPr>
        <w:t xml:space="preserve">1.3  </w:t>
      </w:r>
      <w:r>
        <w:rPr>
          <w:rFonts w:hint="eastAsia" w:ascii="Times New Roman" w:hAnsi="Times New Roman" w:eastAsia="宋体" w:cs="Times New Roman"/>
          <w:sz w:val="24"/>
        </w:rPr>
        <w:t>投标人提供的</w:t>
      </w:r>
      <w:r>
        <w:rPr>
          <w:rFonts w:hint="eastAsia" w:ascii="宋体" w:hAnsi="Times New Roman" w:eastAsia="宋体" w:cs="Times New Roman"/>
          <w:sz w:val="24"/>
        </w:rPr>
        <w:t>产品</w:t>
      </w:r>
      <w:r>
        <w:rPr>
          <w:rFonts w:hint="eastAsia" w:ascii="Times New Roman" w:hAnsi="Times New Roman" w:eastAsia="宋体" w:cs="Times New Roman"/>
          <w:sz w:val="24"/>
        </w:rPr>
        <w:t>样本，必须是“原件”而非复印件，</w:t>
      </w:r>
      <w:r>
        <w:rPr>
          <w:rFonts w:hint="eastAsia" w:ascii="宋体" w:hAnsi="Times New Roman" w:eastAsia="宋体" w:cs="Times New Roman"/>
          <w:sz w:val="24"/>
        </w:rPr>
        <w:t>图表、简图、电路图以及印刷电路板图等都应</w:t>
      </w:r>
      <w:r>
        <w:rPr>
          <w:rFonts w:hint="eastAsia" w:ascii="Times New Roman" w:hAnsi="Times New Roman" w:eastAsia="宋体" w:cs="Times New Roman"/>
          <w:sz w:val="24"/>
        </w:rPr>
        <w:t>清晰易读。买方有权</w:t>
      </w:r>
      <w:r>
        <w:rPr>
          <w:rFonts w:hint="eastAsia" w:ascii="宋体" w:hAnsi="Times New Roman" w:eastAsia="宋体" w:cs="Times New Roman"/>
          <w:sz w:val="24"/>
        </w:rPr>
        <w:t>不付任何附加费用</w:t>
      </w:r>
      <w:r>
        <w:rPr>
          <w:rFonts w:hint="eastAsia" w:ascii="Times New Roman" w:hAnsi="Times New Roman" w:eastAsia="宋体" w:cs="Times New Roman"/>
          <w:sz w:val="24"/>
        </w:rPr>
        <w:t>复制这些资料</w:t>
      </w:r>
      <w:r>
        <w:rPr>
          <w:rFonts w:hint="eastAsia" w:ascii="宋体" w:hAnsi="Times New Roman" w:eastAsia="宋体" w:cs="Times New Roman"/>
          <w:sz w:val="24"/>
        </w:rPr>
        <w:t>以供参考。</w:t>
      </w:r>
    </w:p>
    <w:p w14:paraId="7DEFCD52">
      <w:pPr>
        <w:spacing w:line="360" w:lineRule="auto"/>
        <w:ind w:left="554" w:hanging="554" w:hangingChars="231"/>
        <w:rPr>
          <w:rFonts w:hint="eastAsia" w:ascii="宋体" w:hAnsi="Times New Roman" w:eastAsia="宋体" w:cs="Times New Roman"/>
          <w:sz w:val="24"/>
        </w:rPr>
      </w:pPr>
      <w:r>
        <w:rPr>
          <w:rFonts w:hint="eastAsia" w:ascii="宋体" w:hAnsi="Times New Roman" w:eastAsia="宋体" w:cs="Times New Roman"/>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30FC2B70">
      <w:pPr>
        <w:adjustRightInd w:val="0"/>
        <w:snapToGrid w:val="0"/>
        <w:spacing w:line="360" w:lineRule="auto"/>
        <w:rPr>
          <w:rFonts w:ascii="宋体" w:hAnsi="宋体" w:eastAsia="宋体" w:cs="Times New Roman"/>
          <w:b/>
          <w:sz w:val="28"/>
          <w:szCs w:val="28"/>
        </w:rPr>
      </w:pPr>
      <w:r>
        <w:rPr>
          <w:rFonts w:hint="eastAsia" w:ascii="宋体" w:hAnsi="宋体" w:eastAsia="宋体" w:cs="Times New Roman"/>
          <w:b/>
          <w:sz w:val="28"/>
          <w:szCs w:val="28"/>
        </w:rPr>
        <w:t>2、评标标准</w:t>
      </w:r>
    </w:p>
    <w:p w14:paraId="7C6C491D">
      <w:pPr>
        <w:spacing w:line="360" w:lineRule="auto"/>
        <w:ind w:left="554" w:hanging="554" w:hangingChars="231"/>
        <w:rPr>
          <w:rFonts w:hint="eastAsia" w:ascii="宋体" w:hAnsi="Times New Roman" w:eastAsia="宋体" w:cs="Times New Roman"/>
          <w:sz w:val="24"/>
        </w:rPr>
      </w:pPr>
      <w:r>
        <w:rPr>
          <w:rFonts w:ascii="宋体" w:hAnsi="宋体" w:eastAsia="宋体" w:cs="Times New Roman"/>
          <w:sz w:val="24"/>
        </w:rPr>
        <w:t>2.</w:t>
      </w:r>
      <w:r>
        <w:rPr>
          <w:rFonts w:hint="eastAsia" w:ascii="宋体" w:hAnsi="宋体" w:eastAsia="宋体" w:cs="Times New Roman"/>
          <w:sz w:val="24"/>
        </w:rPr>
        <w:t xml:space="preserve">1  </w:t>
      </w:r>
      <w:r>
        <w:rPr>
          <w:rFonts w:hint="eastAsia" w:ascii="Times New Roman" w:hAnsi="Times New Roman" w:eastAsia="宋体" w:cs="Times New Roman"/>
          <w:sz w:val="24"/>
        </w:rPr>
        <w:t>除招标文件中指定的附件和专用工具外，</w:t>
      </w:r>
      <w:r>
        <w:rPr>
          <w:rFonts w:hint="eastAsia" w:ascii="宋体" w:hAnsi="Times New Roman" w:eastAsia="宋体" w:cs="Times New Roman"/>
          <w:sz w:val="24"/>
        </w:rPr>
        <w:t>投标人应提供仪器设备的正常运行和常规保养所需的全套标准附件、专用工具</w:t>
      </w:r>
      <w:r>
        <w:rPr>
          <w:rFonts w:hint="eastAsia" w:ascii="Times New Roman" w:hAnsi="Times New Roman" w:eastAsia="宋体" w:cs="Times New Roman"/>
          <w:sz w:val="24"/>
        </w:rPr>
        <w:t>和消耗品</w:t>
      </w:r>
      <w:r>
        <w:rPr>
          <w:rFonts w:hint="eastAsia" w:ascii="宋体" w:hAnsi="Times New Roman" w:eastAsia="宋体" w:cs="Times New Roman"/>
          <w:sz w:val="24"/>
        </w:rPr>
        <w:t>。投标人在投标书中需列出这些附件和工具的数量和单价的清单，这些附件和工具的报价的总值需计入投标价中。</w:t>
      </w:r>
    </w:p>
    <w:p w14:paraId="689EB9CE">
      <w:pPr>
        <w:spacing w:line="360" w:lineRule="auto"/>
        <w:ind w:left="554" w:hanging="554" w:hangingChars="231"/>
        <w:rPr>
          <w:rFonts w:hint="eastAsia" w:ascii="Times New Roman" w:hAnsi="Times New Roman" w:eastAsia="宋体" w:cs="Times New Roman"/>
          <w:sz w:val="24"/>
        </w:rPr>
      </w:pPr>
      <w:r>
        <w:rPr>
          <w:rFonts w:hint="eastAsia" w:ascii="宋体" w:hAnsi="宋体" w:eastAsia="宋体" w:cs="Times New Roman"/>
          <w:sz w:val="24"/>
        </w:rPr>
        <w:t xml:space="preserve">2.2  </w:t>
      </w:r>
      <w:r>
        <w:rPr>
          <w:rFonts w:hint="eastAsia" w:ascii="Times New Roman" w:hAnsi="Times New Roman" w:eastAsia="宋体" w:cs="Times New Roman"/>
          <w:sz w:val="24"/>
        </w:rPr>
        <w:t>对于标书</w:t>
      </w:r>
      <w:r>
        <w:rPr>
          <w:rFonts w:hint="eastAsia" w:ascii="宋体" w:hAnsi="Times New Roman" w:eastAsia="宋体" w:cs="Times New Roman"/>
          <w:sz w:val="24"/>
        </w:rPr>
        <w:t>技术规范中已列</w:t>
      </w:r>
      <w:r>
        <w:rPr>
          <w:rFonts w:hint="eastAsia" w:ascii="Times New Roman" w:hAnsi="Times New Roman" w:eastAsia="宋体" w:cs="Times New Roman"/>
          <w:sz w:val="24"/>
        </w:rPr>
        <w:t>出的作为查询选件的附件、零配件、专用工具和消耗品，投标书中</w:t>
      </w:r>
      <w:r>
        <w:rPr>
          <w:rFonts w:hint="eastAsia" w:ascii="宋体" w:hAnsi="Times New Roman" w:eastAsia="宋体" w:cs="Times New Roman"/>
          <w:sz w:val="24"/>
        </w:rPr>
        <w:t>应列明其数量、单价、总价供买方参考。投标人也可推荐买方没有要求的附件或专用工具作为选件，并列明其数量、单价、总价供买方参考。选件价格不计入评标价中。</w:t>
      </w:r>
    </w:p>
    <w:p w14:paraId="3BE532C5">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2.3  为便于用户进行接收仪器的准备工作，卖方应在合同生效后</w:t>
      </w:r>
      <w:r>
        <w:rPr>
          <w:rFonts w:hint="eastAsia" w:ascii="宋体" w:hAnsi="宋体" w:eastAsia="宋体" w:cs="Times New Roman"/>
          <w:b/>
          <w:sz w:val="24"/>
        </w:rPr>
        <w:t>60</w:t>
      </w:r>
      <w:r>
        <w:rPr>
          <w:rFonts w:hint="eastAsia" w:ascii="宋体" w:hAnsi="宋体" w:eastAsia="宋体" w:cs="Times New Roman"/>
          <w:sz w:val="24"/>
        </w:rPr>
        <w:t>天内向用户提供一套完整的使用说明书、操作手册、维修及安装说明等文件。另一套完整上述资料应在交货时随货包装提供给用户，这些费用应计入投标价中。</w:t>
      </w:r>
    </w:p>
    <w:p w14:paraId="0D2DC3BF">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w:t>
      </w:r>
      <w:r>
        <w:rPr>
          <w:rFonts w:hint="eastAsia" w:ascii="宋体" w:hAnsi="宋体" w:eastAsia="宋体" w:cs="Times New Roman"/>
          <w:sz w:val="24"/>
        </w:rPr>
        <w:t>4</w:t>
      </w:r>
      <w:r>
        <w:rPr>
          <w:rFonts w:ascii="宋体" w:hAnsi="宋体" w:eastAsia="宋体" w:cs="Times New Roman"/>
          <w:sz w:val="24"/>
        </w:rPr>
        <w:t xml:space="preserve"> </w:t>
      </w:r>
      <w:r>
        <w:rPr>
          <w:rFonts w:hint="eastAsia" w:ascii="宋体" w:hAnsi="宋体" w:eastAsia="宋体" w:cs="Times New Roman"/>
          <w:sz w:val="24"/>
        </w:rPr>
        <w:t xml:space="preserve"> 关于设备的安装调试，如果有必要的安装准备条件，卖方应在合同生效后一个月内向买方提出详细的要求或计划。安装调试的费用应计入投标价中，并应单独列出，供评标使用。</w:t>
      </w:r>
    </w:p>
    <w:p w14:paraId="18910E3C">
      <w:pPr>
        <w:spacing w:line="360" w:lineRule="auto"/>
        <w:ind w:left="554" w:hanging="554" w:hangingChars="231"/>
        <w:rPr>
          <w:rFonts w:ascii="宋体" w:hAnsi="宋体" w:eastAsia="宋体" w:cs="Times New Roman"/>
          <w:sz w:val="24"/>
        </w:rPr>
      </w:pPr>
      <w:r>
        <w:rPr>
          <w:rFonts w:ascii="宋体" w:hAnsi="宋体" w:eastAsia="宋体" w:cs="Times New Roman"/>
          <w:sz w:val="24"/>
        </w:rPr>
        <w:t>2.</w:t>
      </w:r>
      <w:r>
        <w:rPr>
          <w:rFonts w:hint="eastAsia" w:ascii="宋体" w:hAnsi="宋体" w:eastAsia="宋体" w:cs="Times New Roman"/>
          <w:sz w:val="24"/>
        </w:rPr>
        <w:t>5  制造厂家提供的培训指的是涉及货物的基本原理、操作使用和保养维修等有关内容的培训。培训教员的培训费、旅费、食宿费等费用和培训场地费及培训资料费均应由卖方支付。</w:t>
      </w:r>
    </w:p>
    <w:p w14:paraId="62F829F4">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3、工作条件</w:t>
      </w:r>
    </w:p>
    <w:p w14:paraId="043A5F20">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除非在技术规格中另有说明，所有仪器、设备和系统都应符合下列要求：</w:t>
      </w:r>
      <w:r>
        <w:rPr>
          <w:rFonts w:ascii="宋体" w:hAnsi="宋体" w:eastAsia="宋体" w:cs="Times New Roman"/>
          <w:sz w:val="24"/>
        </w:rPr>
        <w:t xml:space="preserve"> </w:t>
      </w:r>
    </w:p>
    <w:p w14:paraId="4047DD21">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3.1  适于在气温为摄氏</w:t>
      </w:r>
      <w:r>
        <w:rPr>
          <w:rFonts w:ascii="宋体" w:hAnsi="宋体" w:eastAsia="宋体" w:cs="Times New Roman"/>
          <w:b/>
          <w:sz w:val="24"/>
        </w:rPr>
        <w:t>-40</w:t>
      </w:r>
      <w:r>
        <w:rPr>
          <w:rFonts w:hint="eastAsia" w:ascii="宋体" w:hAnsi="宋体" w:eastAsia="宋体" w:cs="Times New Roman"/>
          <w:b/>
          <w:sz w:val="24"/>
        </w:rPr>
        <w:t>℃～＋</w:t>
      </w:r>
      <w:r>
        <w:rPr>
          <w:rFonts w:ascii="宋体" w:hAnsi="宋体" w:eastAsia="宋体" w:cs="Times New Roman"/>
          <w:b/>
          <w:sz w:val="24"/>
        </w:rPr>
        <w:t>50</w:t>
      </w:r>
      <w:r>
        <w:rPr>
          <w:rFonts w:hint="eastAsia" w:ascii="宋体" w:hAnsi="宋体" w:eastAsia="宋体" w:cs="Times New Roman"/>
          <w:b/>
          <w:sz w:val="24"/>
        </w:rPr>
        <w:t>℃</w:t>
      </w:r>
      <w:r>
        <w:rPr>
          <w:rFonts w:hint="eastAsia" w:ascii="宋体" w:hAnsi="宋体" w:eastAsia="宋体" w:cs="Times New Roman"/>
          <w:sz w:val="24"/>
        </w:rPr>
        <w:t>和相对湿度为</w:t>
      </w:r>
      <w:r>
        <w:rPr>
          <w:rFonts w:ascii="宋体" w:hAnsi="宋体" w:eastAsia="宋体" w:cs="Times New Roman"/>
          <w:b/>
          <w:sz w:val="24"/>
        </w:rPr>
        <w:t>90</w:t>
      </w:r>
      <w:r>
        <w:rPr>
          <w:rFonts w:hint="eastAsia" w:ascii="宋体" w:hAnsi="宋体" w:eastAsia="宋体" w:cs="Times New Roman"/>
          <w:b/>
          <w:sz w:val="24"/>
        </w:rPr>
        <w:t>％</w:t>
      </w:r>
      <w:r>
        <w:rPr>
          <w:rFonts w:hint="eastAsia" w:ascii="宋体" w:hAnsi="宋体" w:eastAsia="宋体" w:cs="Times New Roman"/>
          <w:sz w:val="24"/>
        </w:rPr>
        <w:t>的环境条件下运输和贮存。</w:t>
      </w:r>
    </w:p>
    <w:p w14:paraId="0CCB3934">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3.2  适于在电源</w:t>
      </w:r>
      <w:r>
        <w:rPr>
          <w:rFonts w:ascii="宋体" w:hAnsi="宋体" w:eastAsia="宋体" w:cs="Times New Roman"/>
          <w:b/>
          <w:sz w:val="24"/>
        </w:rPr>
        <w:t>220V</w:t>
      </w:r>
      <w:r>
        <w:rPr>
          <w:rFonts w:hint="eastAsia" w:ascii="宋体" w:hAnsi="宋体" w:eastAsia="宋体" w:cs="Times New Roman"/>
          <w:b/>
          <w:sz w:val="24"/>
        </w:rPr>
        <w:t>（</w:t>
      </w:r>
      <w:r>
        <w:rPr>
          <w:rFonts w:ascii="宋体" w:hAnsi="宋体" w:eastAsia="宋体" w:cs="Times New Roman"/>
          <w:b/>
          <w:sz w:val="24"/>
        </w:rPr>
        <w:sym w:font="Symbol" w:char="F0B1"/>
      </w:r>
      <w:r>
        <w:rPr>
          <w:rFonts w:ascii="宋体" w:hAnsi="宋体" w:eastAsia="宋体" w:cs="Times New Roman"/>
          <w:b/>
          <w:sz w:val="24"/>
        </w:rPr>
        <w:t>10</w:t>
      </w:r>
      <w:r>
        <w:rPr>
          <w:rFonts w:hint="eastAsia" w:ascii="宋体" w:hAnsi="宋体" w:eastAsia="宋体" w:cs="Times New Roman"/>
          <w:b/>
          <w:sz w:val="24"/>
        </w:rPr>
        <w:t>％）</w:t>
      </w:r>
      <w:r>
        <w:rPr>
          <w:rFonts w:ascii="宋体" w:hAnsi="宋体" w:eastAsia="宋体" w:cs="Times New Roman"/>
          <w:b/>
          <w:sz w:val="24"/>
        </w:rPr>
        <w:t>/50Hz</w:t>
      </w:r>
      <w:r>
        <w:rPr>
          <w:rFonts w:hint="eastAsia" w:ascii="宋体" w:hAnsi="宋体" w:eastAsia="宋体" w:cs="Times New Roman"/>
          <w:sz w:val="24"/>
        </w:rPr>
        <w:t>、气温摄氏</w:t>
      </w:r>
      <w:r>
        <w:rPr>
          <w:rFonts w:hint="eastAsia" w:ascii="宋体" w:hAnsi="宋体" w:eastAsia="宋体" w:cs="Times New Roman"/>
          <w:b/>
          <w:sz w:val="24"/>
        </w:rPr>
        <w:t>+1</w:t>
      </w:r>
      <w:r>
        <w:rPr>
          <w:rFonts w:ascii="宋体" w:hAnsi="宋体" w:eastAsia="宋体" w:cs="Times New Roman"/>
          <w:b/>
          <w:sz w:val="24"/>
        </w:rPr>
        <w:t>5</w:t>
      </w:r>
      <w:r>
        <w:rPr>
          <w:rFonts w:hint="eastAsia" w:ascii="宋体" w:hAnsi="宋体" w:eastAsia="宋体" w:cs="Times New Roman"/>
          <w:b/>
          <w:sz w:val="24"/>
        </w:rPr>
        <w:t>℃～＋3</w:t>
      </w:r>
      <w:r>
        <w:rPr>
          <w:rFonts w:ascii="宋体" w:hAnsi="宋体" w:eastAsia="宋体" w:cs="Times New Roman"/>
          <w:b/>
          <w:sz w:val="24"/>
        </w:rPr>
        <w:t>0</w:t>
      </w:r>
      <w:r>
        <w:rPr>
          <w:rFonts w:hint="eastAsia" w:ascii="宋体" w:hAnsi="宋体" w:eastAsia="宋体" w:cs="Times New Roman"/>
          <w:b/>
          <w:sz w:val="24"/>
        </w:rPr>
        <w:t>℃</w:t>
      </w:r>
      <w:r>
        <w:rPr>
          <w:rFonts w:hint="eastAsia" w:ascii="宋体" w:hAnsi="宋体" w:eastAsia="宋体" w:cs="Times New Roman"/>
          <w:sz w:val="24"/>
        </w:rPr>
        <w:t>和相对湿度小于</w:t>
      </w:r>
      <w:r>
        <w:rPr>
          <w:rFonts w:ascii="宋体" w:hAnsi="宋体" w:eastAsia="宋体" w:cs="Times New Roman"/>
          <w:b/>
          <w:sz w:val="24"/>
        </w:rPr>
        <w:t>8</w:t>
      </w:r>
      <w:r>
        <w:rPr>
          <w:rFonts w:hint="eastAsia" w:ascii="宋体" w:hAnsi="宋体" w:eastAsia="宋体" w:cs="Times New Roman"/>
          <w:b/>
          <w:sz w:val="24"/>
        </w:rPr>
        <w:t>0％</w:t>
      </w:r>
      <w:r>
        <w:rPr>
          <w:rFonts w:hint="eastAsia" w:ascii="宋体" w:hAnsi="宋体" w:eastAsia="宋体" w:cs="Times New Roman"/>
          <w:sz w:val="24"/>
        </w:rPr>
        <w:t>的环境条件下运行。</w:t>
      </w:r>
      <w:r>
        <w:rPr>
          <w:rFonts w:hint="eastAsia" w:ascii="宋体" w:hAnsi="宋体" w:eastAsia="宋体" w:cs="Times New Roman"/>
          <w:b/>
          <w:sz w:val="24"/>
        </w:rPr>
        <w:t>能够连续正常工作。</w:t>
      </w:r>
    </w:p>
    <w:p w14:paraId="5094A9AB">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3.3  配置符合中国有关标准要求的插头，如果没有这样的插头，则需</w:t>
      </w:r>
      <w:r>
        <w:rPr>
          <w:rFonts w:hint="eastAsia" w:ascii="宋体" w:hAnsi="Times New Roman" w:eastAsia="宋体" w:cs="Times New Roman"/>
          <w:sz w:val="24"/>
        </w:rPr>
        <w:t>提供适当的转</w:t>
      </w:r>
      <w:r>
        <w:rPr>
          <w:rFonts w:hint="eastAsia" w:ascii="宋体" w:hAnsi="宋体" w:eastAsia="宋体" w:cs="Times New Roman"/>
          <w:sz w:val="24"/>
        </w:rPr>
        <w:t>换插座。</w:t>
      </w:r>
    </w:p>
    <w:p w14:paraId="4AA9BB01">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3.4  如产品达不到上述要求，投标人应注明其偏差。如仪器设备需要特殊工作条件（如水、电源、磁场强度、温度、湿度、动强度等）投标人应在投标书中加以说明。</w:t>
      </w:r>
    </w:p>
    <w:p w14:paraId="358F1AB8">
      <w:pPr>
        <w:rPr>
          <w:rFonts w:hint="eastAsia" w:ascii="Times New Roman" w:hAnsi="Times New Roman" w:eastAsia="黑体" w:cs="Times New Roman"/>
          <w:b/>
          <w:bCs/>
          <w:kern w:val="44"/>
          <w:sz w:val="24"/>
        </w:rPr>
      </w:pPr>
    </w:p>
    <w:p w14:paraId="100A2515">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4、验收标准</w:t>
      </w:r>
    </w:p>
    <w:p w14:paraId="1B35CBA8">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除非另有说明，所有仪器、设备和系统按下列要求进行验收：</w:t>
      </w:r>
      <w:r>
        <w:rPr>
          <w:rFonts w:ascii="宋体" w:hAnsi="宋体" w:eastAsia="宋体" w:cs="Times New Roman"/>
          <w:sz w:val="24"/>
        </w:rPr>
        <w:t xml:space="preserve"> </w:t>
      </w:r>
    </w:p>
    <w:p w14:paraId="39D70FB1">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4.1  仪器设备运抵安装现场后，买方将与卖方共同开箱验收</w:t>
      </w:r>
      <w:r>
        <w:rPr>
          <w:rFonts w:ascii="宋体" w:hAnsi="宋体" w:eastAsia="宋体" w:cs="Times New Roman"/>
          <w:sz w:val="24"/>
        </w:rPr>
        <w:t xml:space="preserve">, </w:t>
      </w:r>
      <w:r>
        <w:rPr>
          <w:rFonts w:hint="eastAsia" w:ascii="宋体" w:hAnsi="宋体" w:eastAsia="宋体" w:cs="Times New Roman"/>
          <w:sz w:val="24"/>
        </w:rPr>
        <w:t>如卖方届时不派人来</w:t>
      </w:r>
      <w:r>
        <w:rPr>
          <w:rFonts w:ascii="宋体" w:hAnsi="宋体" w:eastAsia="宋体" w:cs="Times New Roman"/>
          <w:sz w:val="24"/>
        </w:rPr>
        <w:t xml:space="preserve">, </w:t>
      </w:r>
      <w:r>
        <w:rPr>
          <w:rFonts w:hint="eastAsia" w:ascii="宋体" w:hAnsi="宋体" w:eastAsia="宋体" w:cs="Times New Roman"/>
          <w:sz w:val="24"/>
        </w:rPr>
        <w:t>则验收结果应以买方的验收报告为最终验收结果。验收时发现短缺、破损</w:t>
      </w:r>
      <w:r>
        <w:rPr>
          <w:rFonts w:ascii="宋体" w:hAnsi="宋体" w:eastAsia="宋体" w:cs="Times New Roman"/>
          <w:sz w:val="24"/>
        </w:rPr>
        <w:t xml:space="preserve">, </w:t>
      </w:r>
      <w:r>
        <w:rPr>
          <w:rFonts w:hint="eastAsia" w:ascii="宋体" w:hAnsi="宋体" w:eastAsia="宋体" w:cs="Times New Roman"/>
          <w:sz w:val="24"/>
        </w:rPr>
        <w:t>买方有权要求卖方负责更换。</w:t>
      </w:r>
    </w:p>
    <w:p w14:paraId="2920BA31">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4.2  </w:t>
      </w:r>
      <w:r>
        <w:rPr>
          <w:rFonts w:hint="eastAsia" w:ascii="Times New Roman" w:hAnsi="Times New Roman" w:eastAsia="宋体" w:cs="Times New Roman"/>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6CD31796">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4.3  </w:t>
      </w:r>
      <w:r>
        <w:rPr>
          <w:rFonts w:ascii="宋体" w:hAnsi="宋体" w:eastAsia="宋体" w:cs="Times New Roman"/>
          <w:sz w:val="24"/>
        </w:rPr>
        <w:t>验收由采购人、中标人及相关人员依国家有关标准、合同及有关附件要求进行，验收完毕由采购人及中标人在验收报告上签名。</w:t>
      </w:r>
    </w:p>
    <w:p w14:paraId="0823E5B7">
      <w:pPr>
        <w:pStyle w:val="2"/>
        <w:spacing w:line="360" w:lineRule="auto"/>
        <w:ind w:left="410" w:hanging="410" w:hangingChars="170"/>
        <w:rPr>
          <w:rFonts w:hint="eastAsia" w:hAnsi="宋体" w:eastAsia="宋体" w:cs="Times New Roman"/>
          <w:b/>
          <w:sz w:val="24"/>
          <w:szCs w:val="24"/>
        </w:rPr>
      </w:pPr>
    </w:p>
    <w:p w14:paraId="4C8BB89C">
      <w:pPr>
        <w:adjustRightInd w:val="0"/>
        <w:snapToGrid w:val="0"/>
        <w:spacing w:line="360" w:lineRule="auto"/>
        <w:rPr>
          <w:rFonts w:hint="eastAsia" w:ascii="Times New Roman" w:hAnsi="宋体" w:eastAsia="宋体" w:cs="Times New Roman"/>
          <w:b/>
          <w:sz w:val="24"/>
        </w:rPr>
      </w:pPr>
      <w:r>
        <w:rPr>
          <w:rFonts w:hint="eastAsia" w:ascii="Times New Roman" w:hAnsi="Times New Roman" w:eastAsia="宋体" w:cs="Times New Roman"/>
          <w:b/>
          <w:bCs/>
          <w:sz w:val="24"/>
        </w:rPr>
        <w:t>5、本采购需求书中标注“</w:t>
      </w:r>
      <w:r>
        <w:rPr>
          <w:rFonts w:hint="eastAsia" w:ascii="宋体" w:hAnsi="宋体" w:eastAsia="宋体" w:cs="仿宋"/>
          <w:b/>
          <w:bCs/>
          <w:sz w:val="24"/>
        </w:rPr>
        <w:t>*</w:t>
      </w:r>
      <w:r>
        <w:rPr>
          <w:rFonts w:hint="eastAsia" w:ascii="Times New Roman" w:hAnsi="Times New Roman" w:eastAsia="宋体" w:cs="Times New Roman"/>
          <w:b/>
          <w:bCs/>
          <w:sz w:val="24"/>
        </w:rPr>
        <w:t>”号技术条款的为实质性要求，不满足其投标将视为无效投标被拒绝。</w:t>
      </w:r>
    </w:p>
    <w:p w14:paraId="022F6070">
      <w:pPr>
        <w:adjustRightInd w:val="0"/>
        <w:snapToGrid w:val="0"/>
        <w:spacing w:line="360" w:lineRule="auto"/>
        <w:rPr>
          <w:rFonts w:hint="eastAsia" w:ascii="宋体" w:hAnsi="宋体" w:eastAsia="宋体" w:cs="Times New Roman"/>
          <w:b/>
          <w:sz w:val="24"/>
        </w:rPr>
      </w:pPr>
    </w:p>
    <w:p w14:paraId="748EF433">
      <w:pPr>
        <w:adjustRightInd w:val="0"/>
        <w:snapToGrid w:val="0"/>
        <w:spacing w:line="360" w:lineRule="auto"/>
        <w:rPr>
          <w:rFonts w:hint="eastAsia" w:ascii="宋体" w:hAnsi="宋体" w:eastAsia="宋体" w:cs="Times New Roman"/>
          <w:b/>
          <w:sz w:val="24"/>
        </w:rPr>
      </w:pPr>
      <w:r>
        <w:rPr>
          <w:rFonts w:hint="eastAsia" w:ascii="宋体" w:hAnsi="宋体" w:eastAsia="宋体" w:cs="Times New Roman"/>
          <w:b/>
          <w:sz w:val="24"/>
        </w:rPr>
        <w:t>6、如在具体规格要求中有本总则不一致之处，以具体规格中的要求为准。</w:t>
      </w:r>
    </w:p>
    <w:p w14:paraId="7990E4F8">
      <w:pPr>
        <w:adjustRightInd w:val="0"/>
        <w:snapToGrid w:val="0"/>
        <w:spacing w:line="360" w:lineRule="auto"/>
        <w:rPr>
          <w:rFonts w:hint="eastAsia" w:ascii="宋体" w:hAnsi="宋体" w:eastAsia="宋体" w:cs="Times New Roman"/>
          <w:b/>
          <w:sz w:val="28"/>
          <w:szCs w:val="28"/>
        </w:rPr>
      </w:pPr>
      <w:r>
        <w:rPr>
          <w:rFonts w:ascii="宋体" w:hAnsi="宋体" w:eastAsia="宋体" w:cs="Times New Roman"/>
          <w:b/>
          <w:sz w:val="28"/>
        </w:rPr>
        <w:br w:type="page"/>
      </w:r>
      <w:r>
        <w:rPr>
          <w:rFonts w:hint="eastAsia" w:ascii="宋体" w:hAnsi="宋体" w:eastAsia="宋体" w:cs="Times New Roman"/>
          <w:b/>
          <w:sz w:val="28"/>
          <w:szCs w:val="28"/>
        </w:rPr>
        <w:t>二、具体规格要求</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0"/>
        <w:gridCol w:w="1605"/>
        <w:gridCol w:w="1842"/>
        <w:gridCol w:w="3649"/>
      </w:tblGrid>
      <w:tr w14:paraId="2EFB5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179" w:type="pct"/>
            <w:tcBorders>
              <w:top w:val="single" w:color="auto" w:sz="4" w:space="0"/>
            </w:tcBorders>
            <w:noWrap w:val="0"/>
            <w:vAlign w:val="center"/>
          </w:tcPr>
          <w:p w14:paraId="472AABC4">
            <w:pPr>
              <w:pStyle w:val="3"/>
              <w:spacing w:beforeAutospacing="0" w:afterAutospacing="0"/>
              <w:jc w:val="center"/>
              <w:rPr>
                <w:rFonts w:hint="eastAsia" w:ascii="宋体" w:hAnsi="宋体" w:eastAsia="宋体"/>
              </w:rPr>
            </w:pPr>
            <w:r>
              <w:rPr>
                <w:rFonts w:hint="eastAsia" w:ascii="宋体" w:hAnsi="宋体" w:eastAsia="宋体"/>
              </w:rPr>
              <w:t>货物</w:t>
            </w:r>
            <w:r>
              <w:rPr>
                <w:rFonts w:ascii="宋体" w:hAnsi="宋体" w:eastAsia="宋体"/>
              </w:rPr>
              <w:t>名称</w:t>
            </w:r>
          </w:p>
        </w:tc>
        <w:tc>
          <w:tcPr>
            <w:tcW w:w="3821" w:type="pct"/>
            <w:gridSpan w:val="3"/>
            <w:tcBorders>
              <w:top w:val="single" w:color="auto" w:sz="4" w:space="0"/>
            </w:tcBorders>
            <w:noWrap w:val="0"/>
            <w:vAlign w:val="center"/>
          </w:tcPr>
          <w:p w14:paraId="7426EF19">
            <w:pPr>
              <w:jc w:val="center"/>
              <w:rPr>
                <w:rFonts w:ascii="宋体" w:hAnsi="宋体" w:eastAsia="宋体" w:cs="Times New Roman"/>
                <w:sz w:val="24"/>
              </w:rPr>
            </w:pPr>
            <w:r>
              <w:rPr>
                <w:rFonts w:ascii="宋体" w:hAnsi="宋体" w:eastAsia="宋体" w:cs="Times New Roman"/>
                <w:sz w:val="24"/>
              </w:rPr>
              <w:t>总有机碳分析仪</w:t>
            </w:r>
          </w:p>
        </w:tc>
      </w:tr>
      <w:tr w14:paraId="1DFB7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1179" w:type="pct"/>
            <w:tcBorders>
              <w:top w:val="single" w:color="auto" w:sz="4" w:space="0"/>
            </w:tcBorders>
            <w:noWrap w:val="0"/>
            <w:vAlign w:val="center"/>
          </w:tcPr>
          <w:p w14:paraId="619A5C14">
            <w:pPr>
              <w:jc w:val="center"/>
              <w:rPr>
                <w:rFonts w:ascii="宋体" w:hAnsi="宋体" w:eastAsia="宋体" w:cs="Times New Roman"/>
                <w:sz w:val="24"/>
              </w:rPr>
            </w:pPr>
            <w:r>
              <w:rPr>
                <w:rFonts w:ascii="宋体" w:hAnsi="宋体" w:eastAsia="宋体" w:cs="Times New Roman"/>
                <w:sz w:val="24"/>
              </w:rPr>
              <w:t>项目需求与用途</w:t>
            </w:r>
          </w:p>
        </w:tc>
        <w:tc>
          <w:tcPr>
            <w:tcW w:w="3821" w:type="pct"/>
            <w:gridSpan w:val="3"/>
            <w:tcBorders>
              <w:top w:val="single" w:color="auto" w:sz="4" w:space="0"/>
            </w:tcBorders>
            <w:noWrap w:val="0"/>
            <w:vAlign w:val="top"/>
          </w:tcPr>
          <w:p w14:paraId="493092A7">
            <w:pPr>
              <w:spacing w:before="156" w:beforeLines="50"/>
              <w:rPr>
                <w:rFonts w:ascii="宋体" w:hAnsi="宋体" w:eastAsia="宋体" w:cs="Times New Roman"/>
                <w:sz w:val="24"/>
              </w:rPr>
            </w:pPr>
            <w:r>
              <w:rPr>
                <w:rFonts w:hint="eastAsia" w:ascii="宋体" w:hAnsi="宋体" w:eastAsia="宋体" w:cs="Times New Roman"/>
                <w:sz w:val="24"/>
              </w:rPr>
              <w:t>尽管干旱区生态系统植被覆盖稀疏，其土壤有机碳库总量相对较小，但该区域面积广阔且碳循环过程受气候变异与人为扰动的影响极为敏感，因此其在全球碳平衡中的角色不容忽视。传统评估方法往往难以精确量化干旱环境下有机碳的微小但关键的通量变化，尤其在分辨不同来源碳的贡献及转化路径方面存在局限。总有机碳（TOC）分析仪能够快速、准确、批量地测定土壤、水体及植物样品中的有机碳含量，为厘清干旱区碳循环过程提供了不可替代的技术手段。该仪器通过高温催化氧化法将有机碳彻底转化为二氧化碳并进行高精度检测，具备分析灵敏度高、重现性好、抗干扰能力强的特点，可有效应对干旱区样品基体复杂、含盐量高、有机碳浓度低的分析挑战。应用TOC分析技术，不仅可系统评估不同土地利用、植被恢复措施下的土壤碳固存效应，还能够结合同位素手段进一步解析有机碳的来源组成与稳定性机制。因此，引入高性能全自动总有机碳分析仪，将显著推动干旱区碳循环研究从“碳库大小估算”向“碳过程与驱动力解析”的深化，为准确评估荒漠生态系统的碳汇功能、优化生态恢复策略、实现区域碳中和目标提供坚实的数据支撑和科学依据。</w:t>
            </w:r>
          </w:p>
        </w:tc>
      </w:tr>
      <w:tr w14:paraId="35B89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79" w:type="pct"/>
            <w:noWrap w:val="0"/>
            <w:vAlign w:val="center"/>
          </w:tcPr>
          <w:p w14:paraId="2545F3A8">
            <w:pPr>
              <w:jc w:val="center"/>
              <w:rPr>
                <w:rFonts w:ascii="宋体" w:hAnsi="宋体" w:eastAsia="宋体" w:cs="Times New Roman"/>
                <w:sz w:val="24"/>
              </w:rPr>
            </w:pPr>
            <w:r>
              <w:rPr>
                <w:rFonts w:ascii="宋体" w:hAnsi="宋体" w:eastAsia="宋体" w:cs="Times New Roman"/>
                <w:sz w:val="24"/>
              </w:rPr>
              <w:t>预算金额（万元）</w:t>
            </w:r>
          </w:p>
        </w:tc>
        <w:tc>
          <w:tcPr>
            <w:tcW w:w="3821" w:type="pct"/>
            <w:gridSpan w:val="3"/>
            <w:noWrap w:val="0"/>
            <w:vAlign w:val="center"/>
          </w:tcPr>
          <w:p w14:paraId="2C4150EF">
            <w:pPr>
              <w:jc w:val="center"/>
              <w:rPr>
                <w:rFonts w:ascii="宋体" w:hAnsi="宋体" w:eastAsia="宋体" w:cs="Times New Roman"/>
                <w:sz w:val="24"/>
              </w:rPr>
            </w:pPr>
            <w:r>
              <w:rPr>
                <w:rFonts w:ascii="宋体" w:hAnsi="宋体" w:eastAsia="宋体" w:cs="Times New Roman"/>
                <w:sz w:val="24"/>
              </w:rPr>
              <w:t>¥</w:t>
            </w:r>
            <w:r>
              <w:rPr>
                <w:rFonts w:hint="eastAsia" w:ascii="宋体" w:hAnsi="宋体" w:eastAsia="宋体" w:cs="Times New Roman"/>
                <w:sz w:val="24"/>
                <w:u w:val="single"/>
              </w:rPr>
              <w:t>24.71</w:t>
            </w:r>
            <w:r>
              <w:rPr>
                <w:rFonts w:ascii="宋体" w:hAnsi="宋体" w:eastAsia="宋体" w:cs="Times New Roman"/>
                <w:sz w:val="24"/>
                <w:u w:val="single"/>
              </w:rPr>
              <w:t xml:space="preserve"> </w:t>
            </w:r>
            <w:r>
              <w:rPr>
                <w:rFonts w:ascii="宋体" w:hAnsi="宋体" w:eastAsia="宋体" w:cs="Times New Roman"/>
                <w:sz w:val="24"/>
              </w:rPr>
              <w:t>万元</w:t>
            </w:r>
          </w:p>
        </w:tc>
      </w:tr>
      <w:tr w14:paraId="79E0F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79" w:type="pct"/>
            <w:noWrap w:val="0"/>
            <w:vAlign w:val="center"/>
          </w:tcPr>
          <w:p w14:paraId="3DE57A2E">
            <w:pPr>
              <w:jc w:val="center"/>
              <w:rPr>
                <w:rFonts w:ascii="宋体" w:hAnsi="宋体" w:eastAsia="宋体" w:cs="Times New Roman"/>
                <w:sz w:val="24"/>
              </w:rPr>
            </w:pPr>
            <w:r>
              <w:rPr>
                <w:rFonts w:ascii="宋体" w:hAnsi="宋体" w:eastAsia="宋体" w:cs="Times New Roman"/>
                <w:sz w:val="24"/>
              </w:rPr>
              <w:t>采购数量</w:t>
            </w:r>
          </w:p>
        </w:tc>
        <w:tc>
          <w:tcPr>
            <w:tcW w:w="864" w:type="pct"/>
            <w:noWrap w:val="0"/>
            <w:vAlign w:val="center"/>
          </w:tcPr>
          <w:p w14:paraId="3B6488B2">
            <w:pPr>
              <w:jc w:val="center"/>
              <w:rPr>
                <w:rFonts w:ascii="宋体" w:hAnsi="宋体" w:eastAsia="宋体" w:cs="Times New Roman"/>
                <w:sz w:val="24"/>
              </w:rPr>
            </w:pPr>
            <w:r>
              <w:rPr>
                <w:rFonts w:ascii="宋体" w:hAnsi="宋体" w:eastAsia="宋体" w:cs="Times New Roman"/>
                <w:sz w:val="24"/>
              </w:rPr>
              <w:t>1</w:t>
            </w:r>
            <w:r>
              <w:rPr>
                <w:rFonts w:hint="eastAsia" w:ascii="宋体" w:hAnsi="宋体" w:eastAsia="宋体" w:cs="Times New Roman"/>
                <w:sz w:val="24"/>
              </w:rPr>
              <w:t>台</w:t>
            </w:r>
          </w:p>
        </w:tc>
        <w:tc>
          <w:tcPr>
            <w:tcW w:w="992" w:type="pct"/>
            <w:noWrap w:val="0"/>
            <w:vAlign w:val="center"/>
          </w:tcPr>
          <w:p w14:paraId="196A8BFA">
            <w:pPr>
              <w:jc w:val="center"/>
              <w:rPr>
                <w:rFonts w:ascii="宋体" w:hAnsi="宋体" w:eastAsia="宋体" w:cs="Times New Roman"/>
                <w:sz w:val="24"/>
              </w:rPr>
            </w:pPr>
            <w:r>
              <w:rPr>
                <w:rFonts w:ascii="宋体" w:hAnsi="宋体" w:eastAsia="宋体" w:cs="Times New Roman"/>
                <w:sz w:val="24"/>
              </w:rPr>
              <w:t>交货期</w:t>
            </w:r>
          </w:p>
        </w:tc>
        <w:tc>
          <w:tcPr>
            <w:tcW w:w="1965" w:type="pct"/>
            <w:noWrap w:val="0"/>
            <w:vAlign w:val="center"/>
          </w:tcPr>
          <w:p w14:paraId="55B4A7DB">
            <w:pPr>
              <w:jc w:val="center"/>
              <w:rPr>
                <w:rFonts w:ascii="宋体" w:hAnsi="宋体" w:eastAsia="宋体" w:cs="Times New Roman"/>
                <w:sz w:val="24"/>
              </w:rPr>
            </w:pPr>
            <w:r>
              <w:rPr>
                <w:rFonts w:ascii="宋体" w:hAnsi="宋体" w:eastAsia="宋体" w:cs="Times New Roman"/>
                <w:sz w:val="24"/>
              </w:rPr>
              <w:t>招标完成，合同签订后</w:t>
            </w:r>
            <w:r>
              <w:rPr>
                <w:rFonts w:ascii="宋体" w:hAnsi="宋体" w:eastAsia="宋体" w:cs="Times New Roman"/>
                <w:sz w:val="24"/>
                <w:u w:val="single"/>
              </w:rPr>
              <w:t xml:space="preserve"> </w:t>
            </w:r>
            <w:r>
              <w:rPr>
                <w:rFonts w:hint="eastAsia" w:ascii="宋体" w:hAnsi="宋体" w:eastAsia="宋体" w:cs="Times New Roman"/>
                <w:sz w:val="24"/>
                <w:u w:val="single"/>
              </w:rPr>
              <w:t>2</w:t>
            </w:r>
            <w:r>
              <w:rPr>
                <w:rFonts w:ascii="宋体" w:hAnsi="宋体" w:eastAsia="宋体" w:cs="Times New Roman"/>
                <w:sz w:val="24"/>
                <w:u w:val="single"/>
              </w:rPr>
              <w:t xml:space="preserve"> </w:t>
            </w:r>
            <w:r>
              <w:rPr>
                <w:rFonts w:ascii="宋体" w:hAnsi="宋体" w:eastAsia="宋体" w:cs="Times New Roman"/>
                <w:sz w:val="24"/>
              </w:rPr>
              <w:t>个月</w:t>
            </w:r>
          </w:p>
        </w:tc>
      </w:tr>
      <w:tr w14:paraId="07CD7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7" w:hRule="atLeast"/>
        </w:trPr>
        <w:tc>
          <w:tcPr>
            <w:tcW w:w="1179" w:type="pct"/>
            <w:tcBorders>
              <w:right w:val="single" w:color="auto" w:sz="4" w:space="0"/>
            </w:tcBorders>
            <w:noWrap w:val="0"/>
            <w:vAlign w:val="center"/>
          </w:tcPr>
          <w:p w14:paraId="4C09EBC3">
            <w:pPr>
              <w:jc w:val="center"/>
              <w:rPr>
                <w:rFonts w:ascii="宋体" w:hAnsi="宋体" w:eastAsia="宋体" w:cs="Times New Roman"/>
                <w:sz w:val="24"/>
              </w:rPr>
            </w:pPr>
            <w:r>
              <w:rPr>
                <w:rFonts w:ascii="宋体" w:hAnsi="宋体" w:eastAsia="宋体" w:cs="Times New Roman"/>
                <w:sz w:val="24"/>
              </w:rPr>
              <w:t>拟采购项目的</w:t>
            </w:r>
          </w:p>
          <w:p w14:paraId="4DE06415">
            <w:pPr>
              <w:jc w:val="center"/>
              <w:rPr>
                <w:rFonts w:ascii="宋体" w:hAnsi="宋体" w:eastAsia="宋体" w:cs="Times New Roman"/>
                <w:sz w:val="24"/>
              </w:rPr>
            </w:pPr>
            <w:r>
              <w:rPr>
                <w:rFonts w:ascii="宋体" w:hAnsi="宋体" w:eastAsia="宋体" w:cs="Times New Roman"/>
                <w:sz w:val="24"/>
              </w:rPr>
              <w:t>配置要求</w:t>
            </w:r>
          </w:p>
        </w:tc>
        <w:tc>
          <w:tcPr>
            <w:tcW w:w="3821" w:type="pct"/>
            <w:gridSpan w:val="3"/>
            <w:tcBorders>
              <w:top w:val="single" w:color="auto" w:sz="4" w:space="0"/>
              <w:left w:val="single" w:color="auto" w:sz="4" w:space="0"/>
              <w:right w:val="single" w:color="auto" w:sz="4" w:space="0"/>
            </w:tcBorders>
            <w:noWrap w:val="0"/>
            <w:vAlign w:val="top"/>
          </w:tcPr>
          <w:p w14:paraId="2F3ADD52">
            <w:pPr>
              <w:jc w:val="left"/>
              <w:rPr>
                <w:rFonts w:hint="eastAsia" w:ascii="宋体" w:hAnsi="宋体" w:eastAsia="宋体" w:cs="Times New Roman"/>
                <w:sz w:val="24"/>
              </w:rPr>
            </w:pPr>
            <w:r>
              <w:rPr>
                <w:rFonts w:hint="eastAsia" w:ascii="宋体" w:hAnsi="宋体" w:eastAsia="宋体" w:cs="Times New Roman"/>
                <w:sz w:val="24"/>
              </w:rPr>
              <w:t>1、总有机碳分析仪主机(含总氮TN检测模块)：1台</w:t>
            </w:r>
          </w:p>
          <w:p w14:paraId="4BF2157A">
            <w:pPr>
              <w:jc w:val="left"/>
              <w:rPr>
                <w:rFonts w:hint="eastAsia" w:ascii="宋体" w:hAnsi="宋体" w:eastAsia="宋体" w:cs="Times New Roman"/>
                <w:sz w:val="24"/>
              </w:rPr>
            </w:pPr>
            <w:r>
              <w:rPr>
                <w:rFonts w:hint="eastAsia" w:ascii="宋体" w:hAnsi="宋体" w:eastAsia="宋体" w:cs="Times New Roman"/>
                <w:sz w:val="24"/>
              </w:rPr>
              <w:t>2、固体燃烧进样模块：1套</w:t>
            </w:r>
          </w:p>
          <w:p w14:paraId="0B640004">
            <w:pPr>
              <w:jc w:val="left"/>
              <w:rPr>
                <w:rFonts w:hint="eastAsia" w:ascii="宋体" w:hAnsi="宋体" w:eastAsia="宋体" w:cs="Times New Roman"/>
                <w:sz w:val="24"/>
              </w:rPr>
            </w:pPr>
            <w:r>
              <w:rPr>
                <w:rFonts w:hint="eastAsia" w:ascii="宋体" w:hAnsi="宋体" w:eastAsia="宋体" w:cs="Times New Roman"/>
                <w:sz w:val="24"/>
              </w:rPr>
              <w:t>3、24位固体自动进样器1套</w:t>
            </w:r>
          </w:p>
          <w:p w14:paraId="57DC79E5">
            <w:pPr>
              <w:jc w:val="left"/>
              <w:rPr>
                <w:rFonts w:hint="eastAsia" w:ascii="宋体" w:hAnsi="宋体" w:eastAsia="宋体" w:cs="Times New Roman"/>
                <w:sz w:val="24"/>
              </w:rPr>
            </w:pPr>
            <w:r>
              <w:rPr>
                <w:rFonts w:hint="eastAsia" w:ascii="宋体" w:hAnsi="宋体" w:eastAsia="宋体" w:cs="Times New Roman"/>
                <w:sz w:val="24"/>
              </w:rPr>
              <w:t>4、40位液体自动进样器1套</w:t>
            </w:r>
          </w:p>
          <w:p w14:paraId="74965492">
            <w:pPr>
              <w:jc w:val="left"/>
              <w:rPr>
                <w:rFonts w:hint="eastAsia" w:ascii="宋体" w:hAnsi="宋体" w:eastAsia="宋体" w:cs="Times New Roman"/>
                <w:sz w:val="24"/>
              </w:rPr>
            </w:pPr>
            <w:r>
              <w:rPr>
                <w:rFonts w:hint="eastAsia" w:ascii="宋体" w:hAnsi="宋体" w:eastAsia="宋体" w:cs="Times New Roman"/>
                <w:sz w:val="24"/>
              </w:rPr>
              <w:t>5、原装操作软件：1套</w:t>
            </w:r>
          </w:p>
          <w:p w14:paraId="5C7F8B6A">
            <w:pPr>
              <w:jc w:val="left"/>
              <w:rPr>
                <w:rFonts w:hint="eastAsia" w:ascii="宋体" w:hAnsi="宋体" w:eastAsia="宋体" w:cs="Times New Roman"/>
                <w:sz w:val="24"/>
              </w:rPr>
            </w:pPr>
            <w:r>
              <w:rPr>
                <w:rFonts w:hint="eastAsia" w:ascii="宋体" w:hAnsi="宋体" w:eastAsia="宋体" w:cs="Times New Roman"/>
                <w:sz w:val="24"/>
              </w:rPr>
              <w:t>6、品牌原装电脑：1套</w:t>
            </w:r>
          </w:p>
          <w:p w14:paraId="6288B25F">
            <w:pPr>
              <w:jc w:val="left"/>
              <w:rPr>
                <w:rFonts w:hint="eastAsia" w:ascii="宋体" w:hAnsi="宋体" w:eastAsia="宋体" w:cs="Times New Roman"/>
                <w:sz w:val="24"/>
              </w:rPr>
            </w:pPr>
            <w:r>
              <w:rPr>
                <w:rFonts w:hint="eastAsia" w:ascii="宋体" w:hAnsi="宋体" w:eastAsia="宋体" w:cs="Times New Roman"/>
                <w:sz w:val="24"/>
              </w:rPr>
              <w:t>7、减压阀：1套</w:t>
            </w:r>
          </w:p>
          <w:p w14:paraId="788D7A7C">
            <w:pPr>
              <w:rPr>
                <w:rFonts w:ascii="宋体" w:hAnsi="宋体" w:eastAsia="宋体" w:cs="Times New Roman"/>
                <w:sz w:val="24"/>
              </w:rPr>
            </w:pPr>
            <w:r>
              <w:rPr>
                <w:rFonts w:hint="eastAsia" w:ascii="宋体" w:hAnsi="宋体" w:eastAsia="宋体" w:cs="Times New Roman"/>
                <w:sz w:val="24"/>
              </w:rPr>
              <w:t>8、常用消耗品包：1个</w:t>
            </w:r>
          </w:p>
        </w:tc>
      </w:tr>
      <w:tr w14:paraId="6165A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exact"/>
        </w:trPr>
        <w:tc>
          <w:tcPr>
            <w:tcW w:w="1179" w:type="pct"/>
            <w:vMerge w:val="restart"/>
            <w:tcBorders>
              <w:top w:val="single" w:color="auto" w:sz="4" w:space="0"/>
              <w:left w:val="single" w:color="auto" w:sz="4" w:space="0"/>
              <w:bottom w:val="single" w:color="auto" w:sz="4" w:space="0"/>
              <w:right w:val="single" w:color="auto" w:sz="4" w:space="0"/>
            </w:tcBorders>
            <w:noWrap w:val="0"/>
            <w:vAlign w:val="center"/>
          </w:tcPr>
          <w:p w14:paraId="59940899">
            <w:pPr>
              <w:jc w:val="center"/>
              <w:rPr>
                <w:rFonts w:ascii="宋体" w:hAnsi="宋体" w:eastAsia="宋体" w:cs="Times New Roman"/>
                <w:sz w:val="24"/>
              </w:rPr>
            </w:pPr>
            <w:r>
              <w:rPr>
                <w:rFonts w:ascii="宋体" w:hAnsi="宋体" w:eastAsia="宋体" w:cs="Times New Roman"/>
                <w:sz w:val="24"/>
              </w:rPr>
              <w:t>拟采购项目的</w:t>
            </w:r>
          </w:p>
          <w:p w14:paraId="51A38E8B">
            <w:pPr>
              <w:jc w:val="center"/>
              <w:rPr>
                <w:rFonts w:ascii="宋体" w:hAnsi="宋体" w:eastAsia="宋体" w:cs="Times New Roman"/>
                <w:sz w:val="24"/>
              </w:rPr>
            </w:pPr>
            <w:r>
              <w:rPr>
                <w:rFonts w:ascii="宋体" w:hAnsi="宋体" w:eastAsia="宋体" w:cs="Times New Roman"/>
                <w:sz w:val="24"/>
              </w:rPr>
              <w:t>技术指标</w:t>
            </w:r>
          </w:p>
        </w:tc>
        <w:tc>
          <w:tcPr>
            <w:tcW w:w="3821" w:type="pct"/>
            <w:gridSpan w:val="3"/>
            <w:tcBorders>
              <w:top w:val="single" w:color="auto" w:sz="4" w:space="0"/>
              <w:left w:val="single" w:color="auto" w:sz="4" w:space="0"/>
              <w:bottom w:val="nil"/>
              <w:right w:val="single" w:color="auto" w:sz="4" w:space="0"/>
            </w:tcBorders>
            <w:noWrap w:val="0"/>
            <w:vAlign w:val="top"/>
          </w:tcPr>
          <w:p w14:paraId="2D7439DF">
            <w:pPr>
              <w:pStyle w:val="3"/>
              <w:spacing w:beforeAutospacing="0" w:afterAutospacing="0"/>
              <w:jc w:val="both"/>
              <w:rPr>
                <w:rFonts w:ascii="宋体" w:hAnsi="宋体" w:eastAsia="宋体"/>
              </w:rPr>
            </w:pPr>
          </w:p>
        </w:tc>
      </w:tr>
      <w:tr w14:paraId="5EB9A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79" w:type="pct"/>
            <w:vMerge w:val="continue"/>
            <w:tcBorders>
              <w:top w:val="single" w:color="auto" w:sz="4" w:space="0"/>
              <w:left w:val="single" w:color="auto" w:sz="4" w:space="0"/>
              <w:bottom w:val="single" w:color="auto" w:sz="4" w:space="0"/>
              <w:right w:val="single" w:color="auto" w:sz="4" w:space="0"/>
            </w:tcBorders>
            <w:noWrap w:val="0"/>
            <w:vAlign w:val="center"/>
          </w:tcPr>
          <w:p w14:paraId="553135A6">
            <w:pPr>
              <w:pStyle w:val="3"/>
              <w:spacing w:beforeAutospacing="0" w:afterAutospacing="0"/>
              <w:jc w:val="both"/>
              <w:rPr>
                <w:rFonts w:ascii="宋体" w:hAnsi="宋体" w:eastAsia="宋体"/>
              </w:rPr>
            </w:pPr>
          </w:p>
        </w:tc>
        <w:tc>
          <w:tcPr>
            <w:tcW w:w="3821" w:type="pct"/>
            <w:gridSpan w:val="3"/>
            <w:tcBorders>
              <w:top w:val="nil"/>
              <w:left w:val="single" w:color="auto" w:sz="4" w:space="0"/>
              <w:bottom w:val="single" w:color="auto" w:sz="4" w:space="0"/>
              <w:right w:val="single" w:color="auto" w:sz="4" w:space="0"/>
            </w:tcBorders>
            <w:noWrap w:val="0"/>
            <w:vAlign w:val="top"/>
          </w:tcPr>
          <w:p w14:paraId="11471471">
            <w:pPr>
              <w:pStyle w:val="3"/>
              <w:spacing w:beforeAutospacing="0" w:afterAutospacing="0"/>
              <w:rPr>
                <w:rFonts w:hint="eastAsia" w:ascii="宋体" w:hAnsi="宋体" w:eastAsia="宋体"/>
              </w:rPr>
            </w:pPr>
            <w:r>
              <w:rPr>
                <w:rFonts w:hint="eastAsia" w:ascii="宋体" w:hAnsi="宋体" w:eastAsia="宋体"/>
              </w:rPr>
              <w:t>1、主机技术参数要求：</w:t>
            </w:r>
          </w:p>
          <w:p w14:paraId="07172E3E">
            <w:pPr>
              <w:pStyle w:val="3"/>
              <w:spacing w:beforeAutospacing="0" w:afterAutospacing="0"/>
              <w:rPr>
                <w:rFonts w:hint="eastAsia" w:ascii="宋体" w:hAnsi="宋体" w:eastAsia="宋体"/>
              </w:rPr>
            </w:pPr>
            <w:r>
              <w:rPr>
                <w:rFonts w:hint="eastAsia" w:ascii="宋体" w:hAnsi="宋体" w:eastAsia="宋体"/>
              </w:rPr>
              <w:t>1.1、操作方式：电脑联机控制</w:t>
            </w:r>
          </w:p>
          <w:p w14:paraId="5C4173CD">
            <w:pPr>
              <w:pStyle w:val="3"/>
              <w:spacing w:beforeAutospacing="0" w:afterAutospacing="0"/>
              <w:rPr>
                <w:rFonts w:hint="eastAsia" w:ascii="宋体" w:hAnsi="宋体" w:eastAsia="宋体"/>
              </w:rPr>
            </w:pPr>
            <w:r>
              <w:rPr>
                <w:rFonts w:hint="eastAsia" w:ascii="宋体" w:hAnsi="宋体" w:eastAsia="宋体"/>
              </w:rPr>
              <w:t>1.2、应用样品：水样、固体</w:t>
            </w:r>
          </w:p>
          <w:p w14:paraId="7356EE35">
            <w:pPr>
              <w:pStyle w:val="3"/>
              <w:spacing w:beforeAutospacing="0" w:afterAutospacing="0"/>
              <w:rPr>
                <w:rFonts w:hint="eastAsia" w:ascii="宋体" w:hAnsi="宋体" w:eastAsia="宋体"/>
              </w:rPr>
            </w:pPr>
            <w:r>
              <w:rPr>
                <w:rFonts w:hint="eastAsia" w:ascii="宋体" w:hAnsi="宋体" w:eastAsia="宋体"/>
              </w:rPr>
              <w:t>1.3、检测项目：TC、TIC、NPOC、TOC、</w:t>
            </w:r>
            <w:r>
              <w:rPr>
                <w:rFonts w:ascii="宋体" w:hAnsi="宋体" w:eastAsia="宋体"/>
              </w:rPr>
              <w:t>TN</w:t>
            </w:r>
          </w:p>
          <w:p w14:paraId="61377774">
            <w:pPr>
              <w:pStyle w:val="3"/>
              <w:spacing w:beforeAutospacing="0" w:afterAutospacing="0"/>
              <w:rPr>
                <w:rFonts w:hint="eastAsia" w:ascii="宋体" w:hAnsi="宋体" w:eastAsia="宋体"/>
              </w:rPr>
            </w:pPr>
            <w:r>
              <w:rPr>
                <w:rFonts w:hint="eastAsia" w:ascii="宋体" w:hAnsi="宋体" w:eastAsia="宋体"/>
              </w:rPr>
              <w:t>*1.4、TC消解原理：高温催化氧化及紫外过硫酸盐可切换</w:t>
            </w:r>
          </w:p>
          <w:p w14:paraId="3BF4D5E1">
            <w:pPr>
              <w:pStyle w:val="3"/>
              <w:spacing w:beforeAutospacing="0" w:afterAutospacing="0"/>
              <w:rPr>
                <w:rFonts w:hint="eastAsia" w:ascii="宋体" w:hAnsi="宋体" w:eastAsia="宋体"/>
              </w:rPr>
            </w:pPr>
            <w:r>
              <w:rPr>
                <w:rFonts w:hint="eastAsia" w:ascii="宋体" w:hAnsi="宋体" w:eastAsia="宋体"/>
              </w:rPr>
              <w:t>1.5、燃烧温度：680-1000℃可调</w:t>
            </w:r>
          </w:p>
          <w:p w14:paraId="7764517E">
            <w:pPr>
              <w:pStyle w:val="3"/>
              <w:spacing w:beforeAutospacing="0" w:afterAutospacing="0"/>
              <w:rPr>
                <w:rFonts w:hint="eastAsia" w:ascii="宋体" w:hAnsi="宋体" w:eastAsia="宋体"/>
              </w:rPr>
            </w:pPr>
            <w:r>
              <w:rPr>
                <w:rFonts w:hint="eastAsia" w:ascii="宋体" w:hAnsi="宋体" w:eastAsia="宋体"/>
              </w:rPr>
              <w:t>1.6、催化剂：铂金催化剂或氧化铈</w:t>
            </w:r>
          </w:p>
          <w:p w14:paraId="01A5DA47">
            <w:pPr>
              <w:pStyle w:val="3"/>
              <w:spacing w:beforeAutospacing="0" w:afterAutospacing="0"/>
              <w:rPr>
                <w:rFonts w:hint="eastAsia" w:ascii="宋体" w:hAnsi="宋体" w:eastAsia="宋体"/>
              </w:rPr>
            </w:pPr>
            <w:r>
              <w:rPr>
                <w:rFonts w:hint="eastAsia" w:ascii="宋体" w:hAnsi="宋体" w:eastAsia="宋体"/>
              </w:rPr>
              <w:t>1.7、检测器：高性能NDIR</w:t>
            </w:r>
          </w:p>
          <w:p w14:paraId="3E43DB18">
            <w:pPr>
              <w:pStyle w:val="3"/>
              <w:spacing w:beforeAutospacing="0" w:afterAutospacing="0"/>
              <w:rPr>
                <w:rFonts w:hint="eastAsia" w:ascii="宋体" w:hAnsi="宋体" w:eastAsia="宋体"/>
              </w:rPr>
            </w:pPr>
            <w:r>
              <w:rPr>
                <w:rFonts w:hint="eastAsia" w:ascii="宋体" w:hAnsi="宋体" w:eastAsia="宋体"/>
              </w:rPr>
              <w:t>1.8、测量范围：TOC：0-30000mg/l</w:t>
            </w:r>
          </w:p>
          <w:p w14:paraId="62A3EBD0">
            <w:pPr>
              <w:pStyle w:val="3"/>
              <w:spacing w:beforeAutospacing="0" w:afterAutospacing="0"/>
              <w:rPr>
                <w:rFonts w:hint="eastAsia" w:ascii="宋体" w:hAnsi="宋体" w:eastAsia="宋体"/>
              </w:rPr>
            </w:pPr>
            <w:r>
              <w:rPr>
                <w:rFonts w:hint="eastAsia" w:ascii="宋体" w:hAnsi="宋体" w:eastAsia="宋体"/>
              </w:rPr>
              <w:t>#1.9、液体进样量：100-5000ul</w:t>
            </w:r>
          </w:p>
          <w:p w14:paraId="0089B19F">
            <w:pPr>
              <w:pStyle w:val="3"/>
              <w:spacing w:beforeAutospacing="0" w:afterAutospacing="0"/>
              <w:rPr>
                <w:rFonts w:hint="eastAsia" w:ascii="宋体" w:hAnsi="宋体" w:eastAsia="宋体"/>
              </w:rPr>
            </w:pPr>
            <w:r>
              <w:rPr>
                <w:rFonts w:ascii="宋体" w:hAnsi="宋体" w:eastAsia="宋体"/>
              </w:rPr>
              <w:t>#1.10</w:t>
            </w:r>
            <w:r>
              <w:rPr>
                <w:rFonts w:hint="eastAsia" w:ascii="宋体" w:hAnsi="宋体" w:eastAsia="宋体"/>
              </w:rPr>
              <w:t>固体进样量：0-200</w:t>
            </w:r>
            <w:r>
              <w:rPr>
                <w:rFonts w:ascii="宋体" w:hAnsi="宋体" w:eastAsia="宋体"/>
              </w:rPr>
              <w:t>mg</w:t>
            </w:r>
          </w:p>
          <w:p w14:paraId="3C71AEB1">
            <w:pPr>
              <w:pStyle w:val="3"/>
              <w:spacing w:beforeAutospacing="0" w:afterAutospacing="0"/>
              <w:rPr>
                <w:rFonts w:hint="eastAsia" w:ascii="宋体" w:hAnsi="宋体" w:eastAsia="宋体"/>
              </w:rPr>
            </w:pPr>
            <w:r>
              <w:rPr>
                <w:rFonts w:ascii="宋体" w:hAnsi="宋体" w:eastAsia="宋体"/>
              </w:rPr>
              <w:t>#1.1</w:t>
            </w:r>
            <w:r>
              <w:rPr>
                <w:rFonts w:hint="eastAsia" w:ascii="宋体" w:hAnsi="宋体" w:eastAsia="宋体"/>
              </w:rPr>
              <w:t>1最低检出限：小于</w:t>
            </w:r>
            <w:r>
              <w:rPr>
                <w:rFonts w:ascii="宋体" w:hAnsi="宋体" w:eastAsia="宋体"/>
              </w:rPr>
              <w:t>20ppb</w:t>
            </w:r>
          </w:p>
          <w:p w14:paraId="4ECC8638">
            <w:pPr>
              <w:pStyle w:val="3"/>
              <w:spacing w:beforeAutospacing="0" w:afterAutospacing="0"/>
              <w:rPr>
                <w:rFonts w:hint="eastAsia" w:ascii="宋体" w:hAnsi="宋体" w:eastAsia="宋体"/>
              </w:rPr>
            </w:pPr>
            <w:r>
              <w:rPr>
                <w:rFonts w:hint="eastAsia" w:ascii="宋体" w:hAnsi="宋体" w:eastAsia="宋体"/>
              </w:rPr>
              <w:t>1.12、重复性：3%</w:t>
            </w:r>
          </w:p>
          <w:p w14:paraId="5B357577">
            <w:pPr>
              <w:pStyle w:val="3"/>
              <w:spacing w:beforeAutospacing="0" w:afterAutospacing="0"/>
              <w:rPr>
                <w:rFonts w:hint="eastAsia" w:ascii="宋体" w:hAnsi="宋体" w:eastAsia="宋体"/>
              </w:rPr>
            </w:pPr>
            <w:r>
              <w:rPr>
                <w:rFonts w:hint="eastAsia" w:ascii="宋体" w:hAnsi="宋体" w:eastAsia="宋体"/>
              </w:rPr>
              <w:t>1.13、检测精度：5%</w:t>
            </w:r>
          </w:p>
          <w:p w14:paraId="3E9EC5A6">
            <w:pPr>
              <w:pStyle w:val="3"/>
              <w:spacing w:beforeAutospacing="0" w:afterAutospacing="0"/>
              <w:rPr>
                <w:rFonts w:hint="eastAsia" w:ascii="宋体" w:hAnsi="宋体" w:eastAsia="宋体"/>
              </w:rPr>
            </w:pPr>
            <w:r>
              <w:rPr>
                <w:rFonts w:hint="eastAsia" w:ascii="宋体" w:hAnsi="宋体" w:eastAsia="宋体"/>
              </w:rPr>
              <w:t>1.14、氧气耗氧量：小于150ml/min</w:t>
            </w:r>
          </w:p>
          <w:p w14:paraId="68A53FA6">
            <w:pPr>
              <w:pStyle w:val="3"/>
              <w:spacing w:beforeAutospacing="0" w:afterAutospacing="0"/>
              <w:rPr>
                <w:rFonts w:hint="eastAsia" w:ascii="宋体" w:hAnsi="宋体" w:eastAsia="宋体"/>
              </w:rPr>
            </w:pPr>
            <w:r>
              <w:rPr>
                <w:rFonts w:hint="eastAsia" w:ascii="宋体" w:hAnsi="宋体" w:eastAsia="宋体"/>
              </w:rPr>
              <w:t>#1.15、进样泵：采用注射泵进样，精度高，重复性好，可根据样品测量列表控制不同的进样量</w:t>
            </w:r>
          </w:p>
          <w:p w14:paraId="74B0B871">
            <w:pPr>
              <w:pStyle w:val="3"/>
              <w:spacing w:beforeAutospacing="0" w:afterAutospacing="0"/>
              <w:rPr>
                <w:rFonts w:hint="eastAsia" w:ascii="宋体" w:hAnsi="宋体" w:eastAsia="宋体"/>
              </w:rPr>
            </w:pPr>
            <w:r>
              <w:rPr>
                <w:rFonts w:hint="eastAsia" w:ascii="宋体" w:hAnsi="宋体" w:eastAsia="宋体"/>
              </w:rPr>
              <w:t>#1.16、进样器位数：</w:t>
            </w:r>
            <w:r>
              <w:rPr>
                <w:rFonts w:ascii="宋体" w:hAnsi="宋体" w:eastAsia="宋体"/>
              </w:rPr>
              <w:t>固体</w:t>
            </w:r>
            <w:r>
              <w:rPr>
                <w:rFonts w:hint="eastAsia" w:ascii="宋体" w:hAnsi="宋体" w:eastAsia="宋体"/>
              </w:rPr>
              <w:t>24位</w:t>
            </w:r>
            <w:r>
              <w:rPr>
                <w:rFonts w:ascii="宋体" w:hAnsi="宋体" w:eastAsia="宋体"/>
              </w:rPr>
              <w:t>、液体40位</w:t>
            </w:r>
          </w:p>
          <w:p w14:paraId="736E18DD">
            <w:pPr>
              <w:pStyle w:val="3"/>
              <w:spacing w:beforeAutospacing="0" w:afterAutospacing="0"/>
              <w:rPr>
                <w:rFonts w:hint="eastAsia" w:ascii="宋体" w:hAnsi="宋体" w:eastAsia="宋体"/>
              </w:rPr>
            </w:pPr>
            <w:r>
              <w:rPr>
                <w:rFonts w:hint="eastAsia" w:ascii="宋体" w:hAnsi="宋体" w:eastAsia="宋体"/>
              </w:rPr>
              <w:t>#1.17、固体检测时间：</w:t>
            </w:r>
            <w:r>
              <w:rPr>
                <w:rFonts w:ascii="宋体" w:hAnsi="宋体" w:eastAsia="宋体"/>
              </w:rPr>
              <w:t>&lt;</w:t>
            </w:r>
            <w:r>
              <w:rPr>
                <w:rFonts w:hint="eastAsia" w:ascii="宋体" w:hAnsi="宋体" w:eastAsia="宋体"/>
              </w:rPr>
              <w:t>10</w:t>
            </w:r>
            <w:r>
              <w:rPr>
                <w:rFonts w:ascii="宋体" w:hAnsi="宋体" w:eastAsia="宋体"/>
              </w:rPr>
              <w:t>min</w:t>
            </w:r>
          </w:p>
          <w:p w14:paraId="754EB9FF">
            <w:pPr>
              <w:pStyle w:val="3"/>
              <w:spacing w:beforeAutospacing="0" w:afterAutospacing="0"/>
              <w:rPr>
                <w:rFonts w:hint="eastAsia" w:ascii="宋体" w:hAnsi="宋体" w:eastAsia="宋体"/>
              </w:rPr>
            </w:pPr>
            <w:r>
              <w:rPr>
                <w:rFonts w:hint="eastAsia" w:ascii="宋体" w:hAnsi="宋体" w:eastAsia="宋体"/>
              </w:rPr>
              <w:t>#1.18、固体燃烧采用横向燃烧炉进样，维护简单</w:t>
            </w:r>
          </w:p>
          <w:p w14:paraId="538A90B4">
            <w:pPr>
              <w:pStyle w:val="3"/>
              <w:spacing w:beforeAutospacing="0" w:afterAutospacing="0"/>
              <w:rPr>
                <w:rFonts w:hint="eastAsia" w:ascii="宋体" w:hAnsi="宋体" w:eastAsia="宋体"/>
              </w:rPr>
            </w:pPr>
            <w:r>
              <w:rPr>
                <w:rFonts w:hint="eastAsia" w:ascii="宋体" w:hAnsi="宋体" w:eastAsia="宋体"/>
              </w:rPr>
              <w:t>1.19、液体燃烧炉前置，更加方便使用和维护</w:t>
            </w:r>
          </w:p>
          <w:p w14:paraId="218EDC69">
            <w:pPr>
              <w:pStyle w:val="3"/>
              <w:spacing w:beforeAutospacing="0" w:afterAutospacing="0"/>
              <w:rPr>
                <w:rFonts w:hint="eastAsia" w:ascii="宋体" w:hAnsi="宋体" w:eastAsia="宋体"/>
              </w:rPr>
            </w:pPr>
            <w:r>
              <w:rPr>
                <w:rFonts w:hint="eastAsia" w:ascii="宋体" w:hAnsi="宋体" w:eastAsia="宋体"/>
              </w:rPr>
              <w:t>#1.20、长管程拔插式除卤素器，去除卤素对检测器的影响，无需手动装填除卤素剂</w:t>
            </w:r>
          </w:p>
          <w:p w14:paraId="3A6BC981">
            <w:pPr>
              <w:pStyle w:val="3"/>
              <w:spacing w:beforeAutospacing="0" w:afterAutospacing="0"/>
              <w:rPr>
                <w:rFonts w:hint="eastAsia" w:ascii="宋体" w:hAnsi="宋体" w:eastAsia="宋体"/>
              </w:rPr>
            </w:pPr>
            <w:r>
              <w:rPr>
                <w:rFonts w:hint="eastAsia" w:ascii="宋体" w:hAnsi="宋体" w:eastAsia="宋体"/>
              </w:rPr>
              <w:t>#1.</w:t>
            </w:r>
            <w:r>
              <w:rPr>
                <w:rFonts w:ascii="宋体" w:hAnsi="宋体" w:eastAsia="宋体"/>
              </w:rPr>
              <w:t>2</w:t>
            </w:r>
            <w:r>
              <w:rPr>
                <w:rFonts w:hint="eastAsia" w:ascii="宋体" w:hAnsi="宋体" w:eastAsia="宋体"/>
              </w:rPr>
              <w:t xml:space="preserve">1、采用Nafion管进行水汽隔离，无需普通脱水膜， </w:t>
            </w:r>
          </w:p>
          <w:p w14:paraId="6D3B0238">
            <w:pPr>
              <w:pStyle w:val="3"/>
              <w:spacing w:beforeAutospacing="0" w:afterAutospacing="0"/>
              <w:rPr>
                <w:rFonts w:hint="eastAsia" w:ascii="宋体" w:hAnsi="宋体" w:eastAsia="宋体"/>
              </w:rPr>
            </w:pPr>
            <w:r>
              <w:rPr>
                <w:rFonts w:hint="eastAsia" w:ascii="宋体" w:hAnsi="宋体" w:eastAsia="宋体"/>
              </w:rPr>
              <w:t>*1.22、具有总氮检测模块</w:t>
            </w:r>
          </w:p>
          <w:p w14:paraId="51D9F10D">
            <w:pPr>
              <w:pStyle w:val="3"/>
              <w:spacing w:beforeAutospacing="0" w:afterAutospacing="0"/>
              <w:rPr>
                <w:rFonts w:hint="eastAsia" w:ascii="宋体" w:hAnsi="宋体" w:eastAsia="宋体"/>
              </w:rPr>
            </w:pPr>
            <w:r>
              <w:rPr>
                <w:rFonts w:ascii="宋体" w:hAnsi="宋体" w:eastAsia="宋体"/>
              </w:rPr>
              <w:t>1.23、总氮检测器：化学发光检测器</w:t>
            </w:r>
          </w:p>
          <w:p w14:paraId="283A6CE2">
            <w:pPr>
              <w:pStyle w:val="3"/>
              <w:spacing w:beforeAutospacing="0" w:afterAutospacing="0"/>
              <w:rPr>
                <w:rFonts w:hint="eastAsia" w:ascii="宋体" w:hAnsi="宋体" w:eastAsia="宋体"/>
              </w:rPr>
            </w:pPr>
            <w:r>
              <w:rPr>
                <w:rFonts w:ascii="宋体" w:hAnsi="宋体" w:eastAsia="宋体"/>
              </w:rPr>
              <w:t>1.24、总氮检测范围：0-10000mg/l</w:t>
            </w:r>
          </w:p>
          <w:p w14:paraId="2AE4182B">
            <w:pPr>
              <w:pStyle w:val="3"/>
              <w:spacing w:beforeAutospacing="0" w:afterAutospacing="0"/>
              <w:rPr>
                <w:rFonts w:hint="eastAsia" w:ascii="宋体" w:hAnsi="宋体" w:eastAsia="宋体"/>
              </w:rPr>
            </w:pPr>
            <w:r>
              <w:rPr>
                <w:rFonts w:hint="eastAsia" w:ascii="宋体" w:hAnsi="宋体" w:eastAsia="宋体"/>
              </w:rPr>
              <w:t>2、软件要求：</w:t>
            </w:r>
          </w:p>
          <w:p w14:paraId="556613EE">
            <w:pPr>
              <w:pStyle w:val="3"/>
              <w:spacing w:beforeAutospacing="0" w:afterAutospacing="0"/>
              <w:rPr>
                <w:rFonts w:hint="eastAsia" w:ascii="宋体" w:hAnsi="宋体" w:eastAsia="宋体"/>
              </w:rPr>
            </w:pPr>
            <w:r>
              <w:rPr>
                <w:rFonts w:hint="eastAsia" w:ascii="宋体" w:hAnsi="宋体" w:eastAsia="宋体"/>
              </w:rPr>
              <w:t>2.1、具有分级权限管理、审计追踪功能</w:t>
            </w:r>
          </w:p>
          <w:p w14:paraId="3D9C0975">
            <w:pPr>
              <w:pStyle w:val="3"/>
              <w:spacing w:beforeAutospacing="0" w:afterAutospacing="0"/>
              <w:rPr>
                <w:rFonts w:hint="eastAsia" w:ascii="宋体" w:hAnsi="宋体" w:eastAsia="宋体"/>
              </w:rPr>
            </w:pPr>
            <w:r>
              <w:rPr>
                <w:rFonts w:hint="eastAsia" w:ascii="宋体" w:hAnsi="宋体" w:eastAsia="宋体"/>
              </w:rPr>
              <w:t>2.2、软件可同时显示实时积分曲线和测量结果，数据测量一目了然，设备工作状态实时查看</w:t>
            </w:r>
          </w:p>
          <w:p w14:paraId="4DC760D9">
            <w:pPr>
              <w:pStyle w:val="3"/>
              <w:spacing w:beforeAutospacing="0" w:afterAutospacing="0"/>
              <w:rPr>
                <w:rFonts w:hint="eastAsia" w:ascii="宋体" w:hAnsi="宋体" w:eastAsia="宋体"/>
              </w:rPr>
            </w:pPr>
            <w:r>
              <w:rPr>
                <w:rFonts w:hint="eastAsia" w:ascii="宋体" w:hAnsi="宋体" w:eastAsia="宋体"/>
              </w:rPr>
              <w:t>#2.3、多进样方式设置，可选择离线/自动进样器/在线装置/稀释模块</w:t>
            </w:r>
          </w:p>
          <w:p w14:paraId="1CFB1812">
            <w:pPr>
              <w:pStyle w:val="3"/>
              <w:spacing w:beforeAutospacing="0" w:afterAutospacing="0"/>
              <w:rPr>
                <w:rFonts w:hint="eastAsia" w:ascii="宋体" w:hAnsi="宋体" w:eastAsia="宋体"/>
              </w:rPr>
            </w:pPr>
            <w:r>
              <w:rPr>
                <w:rFonts w:hint="eastAsia" w:ascii="宋体" w:hAnsi="宋体" w:eastAsia="宋体"/>
              </w:rPr>
              <w:t>2.4、多种测量类型选择，具有样品测量、单点校准、线性校准-等体积、线性校准-分体积</w:t>
            </w:r>
          </w:p>
          <w:p w14:paraId="64BE4182">
            <w:pPr>
              <w:pStyle w:val="3"/>
              <w:adjustRightInd w:val="0"/>
              <w:spacing w:beforeAutospacing="0" w:afterAutospacing="0"/>
              <w:jc w:val="both"/>
              <w:rPr>
                <w:rFonts w:hint="eastAsia" w:ascii="宋体" w:hAnsi="宋体" w:eastAsia="宋体"/>
              </w:rPr>
            </w:pPr>
            <w:r>
              <w:rPr>
                <w:rFonts w:hint="eastAsia" w:ascii="宋体" w:hAnsi="宋体" w:eastAsia="宋体"/>
              </w:rPr>
              <w:t>#2.5、数据查询功能可根据数据测量起始和结束时间快速查找并计算平均测量结果</w:t>
            </w:r>
          </w:p>
          <w:p w14:paraId="6E3EAC78">
            <w:pPr>
              <w:pStyle w:val="3"/>
              <w:adjustRightInd w:val="0"/>
              <w:spacing w:beforeAutospacing="0" w:afterAutospacing="0"/>
              <w:jc w:val="both"/>
              <w:rPr>
                <w:rFonts w:hint="eastAsia" w:ascii="宋体" w:hAnsi="宋体" w:eastAsia="宋体"/>
              </w:rPr>
            </w:pPr>
            <w:r>
              <w:rPr>
                <w:rFonts w:hint="eastAsia" w:ascii="宋体" w:hAnsi="宋体" w:eastAsia="宋体"/>
              </w:rPr>
              <w:t>。</w:t>
            </w:r>
          </w:p>
        </w:tc>
      </w:tr>
      <w:tr w14:paraId="01478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2" w:hRule="atLeast"/>
        </w:trPr>
        <w:tc>
          <w:tcPr>
            <w:tcW w:w="1179" w:type="pct"/>
            <w:tcBorders>
              <w:top w:val="single" w:color="auto" w:sz="4" w:space="0"/>
              <w:right w:val="single" w:color="auto" w:sz="4" w:space="0"/>
            </w:tcBorders>
            <w:noWrap w:val="0"/>
            <w:vAlign w:val="center"/>
          </w:tcPr>
          <w:p w14:paraId="1416DA9D">
            <w:pPr>
              <w:jc w:val="center"/>
              <w:rPr>
                <w:rFonts w:ascii="宋体" w:hAnsi="宋体" w:eastAsia="宋体" w:cs="Times New Roman"/>
                <w:sz w:val="24"/>
              </w:rPr>
            </w:pPr>
            <w:r>
              <w:rPr>
                <w:rFonts w:ascii="宋体" w:hAnsi="宋体" w:eastAsia="宋体" w:cs="Times New Roman"/>
                <w:sz w:val="24"/>
              </w:rPr>
              <w:t>服务需求</w:t>
            </w:r>
          </w:p>
        </w:tc>
        <w:tc>
          <w:tcPr>
            <w:tcW w:w="3821" w:type="pct"/>
            <w:gridSpan w:val="3"/>
            <w:tcBorders>
              <w:top w:val="single" w:color="auto" w:sz="4" w:space="0"/>
              <w:left w:val="single" w:color="auto" w:sz="4" w:space="0"/>
              <w:right w:val="single" w:color="auto" w:sz="4" w:space="0"/>
            </w:tcBorders>
            <w:noWrap w:val="0"/>
            <w:vAlign w:val="top"/>
          </w:tcPr>
          <w:p w14:paraId="1E2EF3D5">
            <w:pPr>
              <w:autoSpaceDE w:val="0"/>
              <w:autoSpaceDN w:val="0"/>
              <w:adjustRightInd w:val="0"/>
              <w:snapToGrid w:val="0"/>
              <w:spacing w:before="62" w:beforeLines="20"/>
              <w:rPr>
                <w:rFonts w:hint="eastAsia" w:ascii="宋体" w:hAnsi="宋体" w:eastAsia="宋体" w:cs="Times New Roman"/>
                <w:sz w:val="24"/>
              </w:rPr>
            </w:pPr>
            <w:r>
              <w:rPr>
                <w:rFonts w:hint="eastAsia" w:ascii="宋体" w:hAnsi="宋体" w:eastAsia="宋体" w:cs="Times New Roman"/>
                <w:sz w:val="24"/>
              </w:rPr>
              <w:t xml:space="preserve">1、供应商免费安排工程师上门安装、调试，免费为用户进行操作及维护培训。 </w:t>
            </w:r>
          </w:p>
          <w:p w14:paraId="2F4119FC">
            <w:pPr>
              <w:autoSpaceDE w:val="0"/>
              <w:autoSpaceDN w:val="0"/>
              <w:adjustRightInd w:val="0"/>
              <w:snapToGrid w:val="0"/>
              <w:spacing w:before="62" w:beforeLines="20"/>
              <w:rPr>
                <w:rFonts w:hint="eastAsia" w:ascii="宋体" w:hAnsi="宋体" w:eastAsia="宋体" w:cs="Times New Roman"/>
                <w:sz w:val="24"/>
              </w:rPr>
            </w:pPr>
            <w:r>
              <w:rPr>
                <w:rFonts w:hint="eastAsia" w:ascii="宋体" w:hAnsi="宋体" w:eastAsia="宋体" w:cs="Times New Roman"/>
                <w:sz w:val="24"/>
              </w:rPr>
              <w:t>2、质保期  1  年，质保期内免费维修或更换部件，维修2次仍无法正常使用应整体更换。质保期后，供应商以优惠价格负责后续维修保养，提供全周期技术支持。</w:t>
            </w:r>
          </w:p>
          <w:p w14:paraId="4D9F0B94">
            <w:pPr>
              <w:autoSpaceDE w:val="0"/>
              <w:autoSpaceDN w:val="0"/>
              <w:adjustRightInd w:val="0"/>
              <w:snapToGrid w:val="0"/>
              <w:rPr>
                <w:rFonts w:ascii="宋体" w:hAnsi="宋体" w:eastAsia="宋体" w:cs="Times New Roman"/>
                <w:sz w:val="24"/>
              </w:rPr>
            </w:pPr>
            <w:r>
              <w:rPr>
                <w:rFonts w:hint="eastAsia" w:ascii="宋体" w:hAnsi="宋体" w:eastAsia="宋体" w:cs="Times New Roman"/>
                <w:sz w:val="24"/>
              </w:rPr>
              <w:t>3、供应商应在接到售后服务要求后4小时内响应、24小时内安排技术人员解决或提供解决方案。出现重大紧急故障，应在接到通知后48小时内赶赴现场排除故障。</w:t>
            </w:r>
          </w:p>
          <w:p w14:paraId="6AE5A601">
            <w:pPr>
              <w:autoSpaceDE w:val="0"/>
              <w:autoSpaceDN w:val="0"/>
              <w:adjustRightInd w:val="0"/>
              <w:snapToGrid w:val="0"/>
              <w:rPr>
                <w:rFonts w:ascii="宋体" w:hAnsi="宋体" w:eastAsia="宋体" w:cs="Times New Roman"/>
                <w:color w:val="FF0000"/>
              </w:rPr>
            </w:pPr>
            <w:r>
              <w:rPr>
                <w:rFonts w:hint="eastAsia" w:ascii="宋体" w:hAnsi="宋体" w:eastAsia="宋体" w:cs="Times New Roman"/>
                <w:sz w:val="24"/>
              </w:rPr>
              <w:t>4、</w:t>
            </w:r>
            <w:r>
              <w:rPr>
                <w:rFonts w:ascii="宋体" w:hAnsi="宋体" w:eastAsia="宋体" w:cs="Times New Roman"/>
                <w:sz w:val="24"/>
              </w:rPr>
              <w:t>为确保仪器投资的长期价值与技术前瞻性，供应商应保障其产品具备足够的可扩展性。</w:t>
            </w:r>
            <w:r>
              <w:rPr>
                <w:rFonts w:hint="eastAsia" w:ascii="宋体" w:hAnsi="宋体" w:eastAsia="宋体" w:cs="Times New Roman"/>
                <w:sz w:val="24"/>
              </w:rPr>
              <w:t>供应商须提供持续的软硬件升级支持与服务，并确保仪器架构预留了标准化的硬件接口与开放的软件接口，以保障实验室未来根据科研或检测需求，对仪器功能进行灵活扩展与升级改造。请对该项提供印有公章的承诺函。</w:t>
            </w:r>
          </w:p>
        </w:tc>
      </w:tr>
      <w:tr w14:paraId="760DB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179" w:type="pct"/>
            <w:noWrap w:val="0"/>
            <w:vAlign w:val="center"/>
          </w:tcPr>
          <w:p w14:paraId="43A160F6">
            <w:pPr>
              <w:jc w:val="center"/>
              <w:rPr>
                <w:rFonts w:ascii="宋体" w:hAnsi="宋体" w:eastAsia="宋体" w:cs="Times New Roman"/>
                <w:sz w:val="24"/>
              </w:rPr>
            </w:pPr>
            <w:r>
              <w:rPr>
                <w:rFonts w:ascii="宋体" w:hAnsi="宋体" w:eastAsia="宋体" w:cs="Times New Roman"/>
                <w:sz w:val="24"/>
              </w:rPr>
              <w:t>其他说明事项</w:t>
            </w:r>
          </w:p>
        </w:tc>
        <w:tc>
          <w:tcPr>
            <w:tcW w:w="3821" w:type="pct"/>
            <w:gridSpan w:val="3"/>
            <w:tcBorders>
              <w:top w:val="single" w:color="auto" w:sz="4" w:space="0"/>
            </w:tcBorders>
            <w:noWrap w:val="0"/>
            <w:vAlign w:val="center"/>
          </w:tcPr>
          <w:p w14:paraId="1E1402CE">
            <w:pPr>
              <w:jc w:val="center"/>
              <w:rPr>
                <w:rFonts w:hint="eastAsia" w:ascii="宋体" w:hAnsi="宋体" w:eastAsia="宋体" w:cs="Times New Roman"/>
                <w:kern w:val="0"/>
                <w:sz w:val="24"/>
                <w:lang w:bidi="ar"/>
              </w:rPr>
            </w:pPr>
            <w:r>
              <w:rPr>
                <w:rFonts w:hint="eastAsia" w:ascii="宋体" w:hAnsi="宋体" w:eastAsia="宋体" w:cs="Times New Roman"/>
                <w:kern w:val="0"/>
                <w:sz w:val="24"/>
                <w:lang w:bidi="ar"/>
              </w:rPr>
              <w:t>合同签订后预付30%，设备开箱并验收合格后付剩余70%</w:t>
            </w:r>
          </w:p>
        </w:tc>
      </w:tr>
    </w:tbl>
    <w:p w14:paraId="0A2B0EA4">
      <w:pPr>
        <w:widowControl/>
        <w:spacing w:line="360" w:lineRule="atLeast"/>
        <w:rPr>
          <w:rFonts w:hint="eastAsia" w:ascii="宋体" w:hAnsi="宋体" w:eastAsia="宋体" w:cs="Times New Roman"/>
          <w:b/>
          <w:sz w:val="30"/>
          <w:szCs w:val="30"/>
        </w:rPr>
      </w:pPr>
    </w:p>
    <w:p w14:paraId="5A345CB8">
      <w:bookmarkStart w:id="1" w:name="_GoBack"/>
      <w:bookmarkEnd w:id="1"/>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Bookman Old Style">
    <w:panose1 w:val="02050604050505020204"/>
    <w:charset w:val="00"/>
    <w:family w:val="roman"/>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9E022B"/>
    <w:rsid w:val="3B9E02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qFormat/>
    <w:uiPriority w:val="99"/>
    <w:pPr>
      <w:widowControl w:val="0"/>
      <w:jc w:val="both"/>
    </w:pPr>
    <w:rPr>
      <w:rFonts w:ascii="宋体" w:hAnsi="Courier New" w:eastAsia="宋体" w:cs="Times New Roman"/>
      <w:kern w:val="2"/>
      <w:sz w:val="21"/>
      <w:szCs w:val="20"/>
      <w:lang w:val="en-US" w:eastAsia="zh-CN" w:bidi="ar-SA"/>
    </w:rPr>
  </w:style>
  <w:style w:type="paragraph" w:styleId="3">
    <w:name w:val="Normal (Web)"/>
    <w:qFormat/>
    <w:uiPriority w:val="99"/>
    <w:pPr>
      <w:widowControl/>
      <w:spacing w:before="100" w:beforeAutospacing="1" w:after="100" w:afterAutospacing="1"/>
      <w:jc w:val="left"/>
    </w:pPr>
    <w:rPr>
      <w:rFonts w:ascii="Arial Unicode MS" w:hAnsi="Arial Unicode MS" w:eastAsia="Arial Unicode MS" w:cs="Arial Unicode MS"/>
      <w:kern w:val="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2025-11-28T11:05:00Z</dcterms:created>
  <dc:creator>顾嘉宁</dc:creator>
  <cp:lastModifiedBy>顾嘉宁</cp:lastModifiedBy>
  <dcterms:modified xsi:type="dcterms:W3CDTF">2025-11-28T11:06:00Z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78D96456146F42CC99D285DBB724DA0B_11</vt:lpwstr>
  </property>
  <property fmtid="{D5CDD505-2E9C-101B-9397-08002B2CF9AE}" pid="4" name="KSOTemplateDocerSaveRecord">
    <vt:lpwstr>eyJoZGlkIjoiZjUyMjZiYjQwOTljOWFlMTY1NjA4M2M4Nzk1M2ZiZTAiLCJ1c2VySWQiOiIxNjYzMDExNDYwIn0=</vt:lpwstr>
  </property>
</Properties>
</file>