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版本号：N510704202600007820260825002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学生高低床采购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N5107042026000078</w:t>
      </w:r>
    </w:p>
    <w:p>
      <w:pPr>
        <w:pStyle w:val="null3"/>
        <w:jc w:val="left"/>
        <w:outlineLvl w:val="2"/>
      </w:pPr>
      <w:r>
        <w:rPr>
          <w:rFonts w:ascii="仿宋_GB2312" w:hAnsi="仿宋_GB2312" w:cs="仿宋_GB2312" w:eastAsia="仿宋_GB2312"/>
          <w:sz w:val="28"/>
          <w:b/>
        </w:rPr>
        <w:t>绵阳市富乐实验中学</w:t>
      </w:r>
    </w:p>
    <w:p>
      <w:pPr>
        <w:pStyle w:val="null3"/>
        <w:jc w:val="center"/>
        <w:outlineLvl w:val="2"/>
      </w:pPr>
      <w:r>
        <w:rPr>
          <w:rFonts w:ascii="仿宋_GB2312" w:hAnsi="仿宋_GB2312" w:cs="仿宋_GB2312" w:eastAsia="仿宋_GB2312"/>
          <w:sz w:val="28"/>
          <w:b/>
        </w:rPr>
        <w:t>成都众望云商招标代理有限公司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成都众望云商招标代理有限公司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绵阳市富乐实验中学</w:t>
      </w:r>
      <w:r>
        <w:rPr>
          <w:rFonts w:ascii="仿宋_GB2312" w:hAnsi="仿宋_GB2312" w:cs="仿宋_GB2312" w:eastAsia="仿宋_GB2312"/>
        </w:rPr>
        <w:t xml:space="preserve"> 委托，拟对 </w:t>
      </w:r>
      <w:r>
        <w:rPr>
          <w:rFonts w:ascii="仿宋_GB2312" w:hAnsi="仿宋_GB2312" w:cs="仿宋_GB2312" w:eastAsia="仿宋_GB2312"/>
        </w:rPr>
        <w:t>学生高低床采购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绵阳市游仙区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N5107042026000078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学生高低床采购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1"/>
        </w:rPr>
        <w:t>为改善学生住宿条件，拟采购上下铺铁床（含配套床下柜）一批，用于学生宿舍安装使用。产品须符合国家有关学生公寓家具的安全标准及环保要求，坚固耐用、安全可靠。</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绵阳市富乐实验中学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绵阳市游仙区东津路30号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18608150160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成都众望云商招标代理有限公司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绵阳市涪城区毅德商贸城A区29幢2层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李蔚</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0816-2751488-8006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采购包1：1,173,900.00元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本项目招标代理费用根据四川省财政厅关于印发《四川省政府采购营商环境指标提升专项行动工作方案》的通知（川财采[2020]74号）文件，招标代理服务费收费以成本支出加合理利润的原则；以成交金额作为计算基数，按差额定率累进法进行计算，由成交供应商在领取成交通知书前一次性付清。差额定率累进法计算如下：{（0-100）万元×1.5％+（100-500）万元×1.1％}。 （2）代理服务费收款银行： 账户名称：成都众望云商招标代理有限公司 开户银行：浙商银行成都分行营业部 账户：6510000010120100664052</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绵阳市富乐实验中学</w:t>
      </w:r>
      <w:r>
        <w:rPr>
          <w:rFonts w:ascii="仿宋_GB2312" w:hAnsi="仿宋_GB2312" w:cs="仿宋_GB2312" w:eastAsia="仿宋_GB2312"/>
        </w:rPr>
        <w:t xml:space="preserve"> 和 </w:t>
      </w:r>
      <w:r>
        <w:rPr>
          <w:rFonts w:ascii="仿宋_GB2312" w:hAnsi="仿宋_GB2312" w:cs="仿宋_GB2312" w:eastAsia="仿宋_GB2312"/>
        </w:rPr>
        <w:t>成都众望云商招标代理有限公司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绵阳市富乐实验中学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成都众望云商招标代理有限公司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与采购人应严格按照《财政部关于进一步加强政府采购需求和履约验收管理的指导意见》（财库〔2016〕205号）以及《绵阳市财政局关于进一步做好政府采购项目履约验收工作的通知》（绵财采〔2021〕15号）文件、采购文件和投标文件、合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绵阳市富乐实验中学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成都众望云商招标代理有限公司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成都众望云商招标代理有限公司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联系人：弓老师</w:t>
      </w:r>
    </w:p>
    <w:p>
      <w:pPr>
        <w:pStyle w:val="null3"/>
        <w:jc w:val="left"/>
      </w:pPr>
      <w:r>
        <w:rPr>
          <w:rFonts w:ascii="仿宋_GB2312" w:hAnsi="仿宋_GB2312" w:cs="仿宋_GB2312" w:eastAsia="仿宋_GB2312"/>
        </w:rPr>
        <w:t>联系电话：18608150160</w:t>
      </w:r>
    </w:p>
    <w:p>
      <w:pPr>
        <w:pStyle w:val="null3"/>
        <w:jc w:val="left"/>
      </w:pPr>
      <w:r>
        <w:rPr>
          <w:rFonts w:ascii="仿宋_GB2312" w:hAnsi="仿宋_GB2312" w:cs="仿宋_GB2312" w:eastAsia="仿宋_GB2312"/>
        </w:rPr>
        <w:t>地址： 绵阳市游仙区东津路30号</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联系人：杨桂芳</w:t>
      </w:r>
    </w:p>
    <w:p>
      <w:pPr>
        <w:pStyle w:val="null3"/>
        <w:jc w:val="left"/>
      </w:pPr>
      <w:r>
        <w:rPr>
          <w:rFonts w:ascii="仿宋_GB2312" w:hAnsi="仿宋_GB2312" w:cs="仿宋_GB2312" w:eastAsia="仿宋_GB2312"/>
        </w:rPr>
        <w:t>联系电话：0816-2751488</w:t>
      </w:r>
    </w:p>
    <w:p>
      <w:pPr>
        <w:pStyle w:val="null3"/>
        <w:jc w:val="left"/>
      </w:pPr>
      <w:r>
        <w:rPr>
          <w:rFonts w:ascii="仿宋_GB2312" w:hAnsi="仿宋_GB2312" w:cs="仿宋_GB2312" w:eastAsia="仿宋_GB2312"/>
        </w:rPr>
        <w:t>地址：绵阳市涪城区毅德商贸城A区29幢2层</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1,173,900.00</w:t>
      </w:r>
    </w:p>
    <w:p>
      <w:pPr>
        <w:pStyle w:val="null3"/>
        <w:jc w:val="left"/>
      </w:pPr>
      <w:r>
        <w:rPr>
          <w:rFonts w:ascii="仿宋_GB2312" w:hAnsi="仿宋_GB2312" w:cs="仿宋_GB2312" w:eastAsia="仿宋_GB2312"/>
        </w:rPr>
        <w:t>采购包最高限价（元）: 1,173,900.00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A05010101 钢木床类</w:t>
            </w:r>
          </w:p>
        </w:tc>
        <w:tc>
          <w:tcPr>
            <w:tcW w:type="dxa" w:w="821"/>
          </w:tcPr>
          <w:p>
            <w:pPr>
              <w:pStyle w:val="null3"/>
              <w:jc w:val="left"/>
            </w:pPr>
            <w:r>
              <w:rPr>
                <w:rFonts w:ascii="仿宋_GB2312" w:hAnsi="仿宋_GB2312" w:cs="仿宋_GB2312" w:eastAsia="仿宋_GB2312"/>
              </w:rPr>
              <w:t>学生高低床</w:t>
            </w:r>
          </w:p>
        </w:tc>
        <w:tc>
          <w:tcPr>
            <w:tcW w:type="dxa" w:w="821"/>
          </w:tcPr>
          <w:p>
            <w:pPr>
              <w:pStyle w:val="null3"/>
              <w:jc w:val="right"/>
            </w:pPr>
            <w:r>
              <w:rPr>
                <w:rFonts w:ascii="仿宋_GB2312" w:hAnsi="仿宋_GB2312" w:cs="仿宋_GB2312" w:eastAsia="仿宋_GB2312"/>
              </w:rPr>
              <w:t>903.00（套）</w:t>
            </w:r>
          </w:p>
        </w:tc>
        <w:tc>
          <w:tcPr>
            <w:tcW w:type="dxa" w:w="821"/>
          </w:tcPr>
          <w:p>
            <w:pPr>
              <w:pStyle w:val="null3"/>
              <w:jc w:val="right"/>
            </w:pPr>
            <w:r>
              <w:rPr>
                <w:rFonts w:ascii="仿宋_GB2312" w:hAnsi="仿宋_GB2312" w:cs="仿宋_GB2312" w:eastAsia="仿宋_GB2312"/>
              </w:rPr>
              <w:t>1,173,900.00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学生高低床</w:t>
            </w:r>
          </w:p>
        </w:tc>
        <w:tc>
          <w:tcPr>
            <w:tcW w:type="dxa" w:w="1138"/>
          </w:tcPr>
          <w:p>
            <w:pPr>
              <w:pStyle w:val="null3"/>
              <w:jc w:val="center"/>
            </w:pPr>
            <w:r>
              <w:rPr>
                <w:rFonts w:ascii="仿宋_GB2312" w:hAnsi="仿宋_GB2312" w:cs="仿宋_GB2312" w:eastAsia="仿宋_GB2312"/>
              </w:rPr>
              <w:t>903.00（套）</w:t>
            </w:r>
          </w:p>
        </w:tc>
        <w:tc>
          <w:tcPr>
            <w:tcW w:type="dxa" w:w="1365"/>
          </w:tcPr>
          <w:p>
            <w:pPr>
              <w:pStyle w:val="null3"/>
              <w:jc w:val="center"/>
            </w:pPr>
            <w:r>
              <w:rPr>
                <w:rFonts w:ascii="仿宋_GB2312" w:hAnsi="仿宋_GB2312" w:cs="仿宋_GB2312" w:eastAsia="仿宋_GB2312"/>
              </w:rPr>
              <w:t>1,173,900.00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A05010101 钢木床类</w:t>
            </w:r>
          </w:p>
        </w:tc>
        <w:tc>
          <w:tcPr>
            <w:tcW w:type="dxa" w:w="2492"/>
          </w:tcPr>
          <w:p>
            <w:pPr>
              <w:pStyle w:val="null3"/>
              <w:jc w:val="left"/>
            </w:pPr>
            <w:r>
              <w:rPr>
                <w:rFonts w:ascii="仿宋_GB2312" w:hAnsi="仿宋_GB2312" w:cs="仿宋_GB2312" w:eastAsia="仿宋_GB2312"/>
              </w:rPr>
              <w:t>学生高低床</w:t>
            </w:r>
          </w:p>
        </w:tc>
        <w:tc>
          <w:tcPr>
            <w:tcW w:type="dxa" w:w="2492"/>
          </w:tcPr>
          <w:p>
            <w:pPr>
              <w:pStyle w:val="null3"/>
              <w:jc w:val="left"/>
            </w:pPr>
            <w:r>
              <w:rPr>
                <w:rFonts w:ascii="仿宋_GB2312" w:hAnsi="仿宋_GB2312" w:cs="仿宋_GB2312" w:eastAsia="仿宋_GB2312"/>
              </w:rPr>
              <w:t>学生高低床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A05010101 钢木床类</w:t>
            </w:r>
          </w:p>
        </w:tc>
        <w:tc>
          <w:tcPr>
            <w:tcW w:type="dxa" w:w="2492"/>
          </w:tcPr>
          <w:p>
            <w:pPr>
              <w:pStyle w:val="null3"/>
              <w:jc w:val="left"/>
            </w:pPr>
            <w:r>
              <w:rPr>
                <w:rFonts w:ascii="仿宋_GB2312" w:hAnsi="仿宋_GB2312" w:cs="仿宋_GB2312" w:eastAsia="仿宋_GB2312"/>
              </w:rPr>
              <w:t>学生高低床</w:t>
            </w:r>
          </w:p>
        </w:tc>
        <w:tc>
          <w:tcPr>
            <w:tcW w:type="dxa" w:w="2492"/>
          </w:tcPr>
          <w:p>
            <w:pPr>
              <w:pStyle w:val="null3"/>
              <w:jc w:val="left"/>
            </w:pPr>
            <w:r>
              <w:rPr>
                <w:rFonts w:ascii="仿宋_GB2312" w:hAnsi="仿宋_GB2312" w:cs="仿宋_GB2312" w:eastAsia="仿宋_GB2312"/>
              </w:rPr>
              <w:t>学生高低床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标的名称：学生高低床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1"/>
              </w:rPr>
              <w:t>★1.铁质高低床:多功能高低床高1850mm*宽900mm*长2000mm；(尺寸规格数值范围满足±5mm)；</w:t>
            </w:r>
          </w:p>
          <w:p>
            <w:pPr>
              <w:pStyle w:val="null3"/>
              <w:jc w:val="both"/>
            </w:pPr>
            <w:r>
              <w:rPr>
                <w:rFonts w:ascii="仿宋_GB2312" w:hAnsi="仿宋_GB2312" w:cs="仿宋_GB2312" w:eastAsia="仿宋_GB2312"/>
                <w:sz w:val="21"/>
              </w:rPr>
              <w:t>2.立柱：采用冷轧钢板经成型线轧制而成“C”型闭口管，立柱正面有两条加强筋，其立面为中空异型（须双面喷涂），立面成型后尺寸为 72mm*72mm（±2mm）,厚度为≥1.2mm；</w:t>
            </w:r>
          </w:p>
          <w:p>
            <w:pPr>
              <w:pStyle w:val="null3"/>
              <w:jc w:val="both"/>
            </w:pPr>
            <w:r>
              <w:rPr>
                <w:rFonts w:ascii="仿宋_GB2312" w:hAnsi="仿宋_GB2312" w:cs="仿宋_GB2312" w:eastAsia="仿宋_GB2312"/>
                <w:sz w:val="21"/>
              </w:rPr>
              <w:t>▲3.横梁：采用冷轧钢板成型线轧制而成型闭口管---横梁管成型后截面尺寸为85mm*40mm(±2mm)，其立面为中空异型（须双面喷涂），厚度≥1.2mm。床的立柱与横梁相连接采用卡式连接挂件，材料厚度为≥2.0mm；</w:t>
            </w:r>
          </w:p>
          <w:p>
            <w:pPr>
              <w:pStyle w:val="null3"/>
              <w:jc w:val="both"/>
            </w:pPr>
            <w:r>
              <w:rPr>
                <w:rFonts w:ascii="仿宋_GB2312" w:hAnsi="仿宋_GB2312" w:cs="仿宋_GB2312" w:eastAsia="仿宋_GB2312"/>
                <w:sz w:val="21"/>
              </w:rPr>
              <w:t>▲4.上、下铺床撑：采用20mm*30mm （±2mm）矩管制作，厚度≥1.2mm，床撑与长横梁结合处设计有防退卡件，与床撑卡扣内嵌式连接方式。床的上下铺承重量均为:≥150kg;</w:t>
            </w:r>
          </w:p>
          <w:p>
            <w:pPr>
              <w:pStyle w:val="null3"/>
              <w:jc w:val="both"/>
            </w:pPr>
            <w:r>
              <w:rPr>
                <w:rFonts w:ascii="仿宋_GB2312" w:hAnsi="仿宋_GB2312" w:cs="仿宋_GB2312" w:eastAsia="仿宋_GB2312"/>
                <w:sz w:val="21"/>
              </w:rPr>
              <w:t>5.侧护栏：长度1100mm±5mm,采用25mm*25mm*1.2mm方管，竖管平均分布,不少于4 根，净高度为300mm±5mm；</w:t>
            </w:r>
          </w:p>
          <w:p>
            <w:pPr>
              <w:pStyle w:val="null3"/>
              <w:jc w:val="both"/>
            </w:pPr>
            <w:r>
              <w:rPr>
                <w:rFonts w:ascii="仿宋_GB2312" w:hAnsi="仿宋_GB2312" w:cs="仿宋_GB2312" w:eastAsia="仿宋_GB2312"/>
                <w:sz w:val="21"/>
              </w:rPr>
              <w:t>★6.床头护栏：采用25m*25mm*1.2mm方管，竖管平均分布,不少于4 根，净高度为300mm±5mm；</w:t>
            </w:r>
          </w:p>
          <w:p>
            <w:pPr>
              <w:pStyle w:val="null3"/>
              <w:jc w:val="both"/>
            </w:pPr>
            <w:r>
              <w:rPr>
                <w:rFonts w:ascii="仿宋_GB2312" w:hAnsi="仿宋_GB2312" w:cs="仿宋_GB2312" w:eastAsia="仿宋_GB2312"/>
                <w:sz w:val="21"/>
              </w:rPr>
              <w:t>★7.上、下床板：采用杉木抛光型实木铺板，厚度12mm（±2mm）；</w:t>
            </w:r>
          </w:p>
          <w:p>
            <w:pPr>
              <w:pStyle w:val="null3"/>
              <w:jc w:val="both"/>
            </w:pPr>
            <w:r>
              <w:rPr>
                <w:rFonts w:ascii="仿宋_GB2312" w:hAnsi="仿宋_GB2312" w:cs="仿宋_GB2312" w:eastAsia="仿宋_GB2312"/>
                <w:sz w:val="21"/>
              </w:rPr>
              <w:t>★8.楼梯支架与爬梯踏板：楼梯支架φ32圆管， 厚度≥1.2mm；梯步附PP材质中空吹塑成型防滑踏板；</w:t>
            </w:r>
          </w:p>
          <w:p>
            <w:pPr>
              <w:pStyle w:val="null3"/>
              <w:jc w:val="both"/>
            </w:pPr>
            <w:r>
              <w:rPr>
                <w:rFonts w:ascii="仿宋_GB2312" w:hAnsi="仿宋_GB2312" w:cs="仿宋_GB2312" w:eastAsia="仿宋_GB2312"/>
                <w:sz w:val="21"/>
              </w:rPr>
              <w:t>▲9.带滑轮的床下柜，数量为2个，两柜之间加双层鞋架一个。抽屉面宽590mm *高360mm(±5mm)，抽屉深度为680mm，床下柜铁皮厚度≥0.6mm，抽屉上滑道铁皮厚度≥0.8mm，床下柜安装抽屉锁（弹出锁舌锁）；</w:t>
            </w:r>
          </w:p>
          <w:p>
            <w:pPr>
              <w:pStyle w:val="null3"/>
              <w:jc w:val="both"/>
            </w:pPr>
            <w:r>
              <w:rPr>
                <w:rFonts w:ascii="仿宋_GB2312" w:hAnsi="仿宋_GB2312" w:cs="仿宋_GB2312" w:eastAsia="仿宋_GB2312"/>
                <w:sz w:val="21"/>
              </w:rPr>
              <w:t>10.双层鞋架规格:宽670mm*高360mm(±5mm)，鞋架深度为350mm，采用20mm*20mm*1.0mm方管；</w:t>
            </w:r>
          </w:p>
          <w:p>
            <w:pPr>
              <w:pStyle w:val="null3"/>
              <w:jc w:val="both"/>
            </w:pPr>
            <w:r>
              <w:rPr>
                <w:rFonts w:ascii="仿宋_GB2312" w:hAnsi="仿宋_GB2312" w:cs="仿宋_GB2312" w:eastAsia="仿宋_GB2312"/>
                <w:sz w:val="21"/>
              </w:rPr>
              <w:t>★11.床架和床下柜金属表面处理均采用热固性粉末涂料，涂层均匀无毒无味耐磨防锈；符合GB 18584-2024《家具中有害物质限量》要求；</w:t>
            </w:r>
          </w:p>
          <w:p>
            <w:pPr>
              <w:pStyle w:val="null3"/>
              <w:jc w:val="both"/>
            </w:pPr>
            <w:r>
              <w:rPr>
                <w:rFonts w:ascii="仿宋_GB2312" w:hAnsi="仿宋_GB2312" w:cs="仿宋_GB2312" w:eastAsia="仿宋_GB2312"/>
                <w:sz w:val="21"/>
              </w:rPr>
              <w:t>12.产品须符合GB/T 3325-2024《金属家具通用技术条件》。</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参照示意图</w:t>
            </w:r>
          </w:p>
        </w:tc>
        <w:tc>
          <w:tcPr>
            <w:tcW w:type="dxa" w:w="5814"/>
          </w:tcPr>
          <w:p>
            <w:pPr>
              <w:pStyle w:val="null3"/>
              <w:jc w:val="left"/>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left"/>
            </w:pPr>
            <w:r>
              <w:rPr>
                <w:rFonts w:ascii="仿宋_GB2312" w:hAnsi="仿宋_GB2312" w:cs="仿宋_GB2312" w:eastAsia="仿宋_GB2312"/>
                <w:sz w:val="21"/>
              </w:rPr>
              <w:t>注：以上带“★”的要求为实质性要求，供应商须完全响应，否则做无效处理。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21"/>
                <w:b/>
              </w:rPr>
              <w:t>★1、表面处理及环保要求</w:t>
            </w:r>
          </w:p>
          <w:p>
            <w:pPr>
              <w:pStyle w:val="null3"/>
              <w:jc w:val="left"/>
            </w:pPr>
            <w:r>
              <w:rPr>
                <w:rFonts w:ascii="仿宋_GB2312" w:hAnsi="仿宋_GB2312" w:cs="仿宋_GB2312" w:eastAsia="仿宋_GB2312"/>
                <w:sz w:val="21"/>
              </w:rPr>
              <w:t>1.1喷涂工艺：所有金属部件须经除油、除锈、磷化处理后再进行静电粉末喷涂。</w:t>
            </w:r>
          </w:p>
          <w:p>
            <w:pPr>
              <w:pStyle w:val="null3"/>
              <w:jc w:val="left"/>
            </w:pPr>
            <w:r>
              <w:rPr>
                <w:rFonts w:ascii="仿宋_GB2312" w:hAnsi="仿宋_GB2312" w:cs="仿宋_GB2312" w:eastAsia="仿宋_GB2312"/>
                <w:sz w:val="21"/>
              </w:rPr>
              <w:t>1.2颜色：哑光灰（色号由采购人确认）。</w:t>
            </w:r>
          </w:p>
          <w:p>
            <w:pPr>
              <w:pStyle w:val="null3"/>
              <w:jc w:val="left"/>
            </w:pPr>
            <w:r>
              <w:rPr>
                <w:rFonts w:ascii="仿宋_GB2312" w:hAnsi="仿宋_GB2312" w:cs="仿宋_GB2312" w:eastAsia="仿宋_GB2312"/>
                <w:sz w:val="21"/>
              </w:rPr>
              <w:t>1.3涂层要求：涂层均匀、光滑，无毒无味、耐磨防锈，附着力强，无流挂、起泡、橘皮等缺陷。</w:t>
            </w:r>
          </w:p>
          <w:p>
            <w:pPr>
              <w:pStyle w:val="null3"/>
              <w:jc w:val="left"/>
            </w:pPr>
            <w:r>
              <w:rPr>
                <w:rFonts w:ascii="仿宋_GB2312" w:hAnsi="仿宋_GB2312" w:cs="仿宋_GB2312" w:eastAsia="仿宋_GB2312"/>
                <w:sz w:val="21"/>
              </w:rPr>
              <w:t>1.4环保标准：喷涂材料须为环保型粉末涂料，符合国家相关环保及室内空气质量标准。</w:t>
            </w:r>
          </w:p>
          <w:p>
            <w:pPr>
              <w:pStyle w:val="null3"/>
              <w:jc w:val="left"/>
            </w:pPr>
            <w:r>
              <w:rPr>
                <w:rFonts w:ascii="仿宋_GB2312" w:hAnsi="仿宋_GB2312" w:cs="仿宋_GB2312" w:eastAsia="仿宋_GB2312"/>
                <w:sz w:val="21"/>
                <w:b/>
              </w:rPr>
              <w:t>2、产品质量与安全标准</w:t>
            </w:r>
          </w:p>
          <w:p>
            <w:pPr>
              <w:pStyle w:val="null3"/>
              <w:jc w:val="left"/>
            </w:pPr>
            <w:r>
              <w:rPr>
                <w:rFonts w:ascii="仿宋_GB2312" w:hAnsi="仿宋_GB2312" w:cs="仿宋_GB2312" w:eastAsia="仿宋_GB2312"/>
                <w:sz w:val="21"/>
              </w:rPr>
              <w:t>2.1所有管材切口须平整，无毛刺、飞边，焊接部位须满焊或点焊牢固，焊缝打磨光滑，不得有漏焊、虚焊。</w:t>
            </w:r>
          </w:p>
          <w:p>
            <w:pPr>
              <w:pStyle w:val="null3"/>
              <w:jc w:val="left"/>
            </w:pPr>
            <w:r>
              <w:rPr>
                <w:rFonts w:ascii="仿宋_GB2312" w:hAnsi="仿宋_GB2312" w:cs="仿宋_GB2312" w:eastAsia="仿宋_GB2312"/>
                <w:sz w:val="21"/>
              </w:rPr>
              <w:t>2.2所有外露锐边、尖角须倒圆角处理，确保无刮伤风险。</w:t>
            </w:r>
          </w:p>
          <w:p>
            <w:pPr>
              <w:pStyle w:val="null3"/>
              <w:jc w:val="left"/>
            </w:pPr>
            <w:r>
              <w:rPr>
                <w:rFonts w:ascii="仿宋_GB2312" w:hAnsi="仿宋_GB2312" w:cs="仿宋_GB2312" w:eastAsia="仿宋_GB2312"/>
                <w:sz w:val="21"/>
              </w:rPr>
              <w:t>2.3床体整体结构稳固，不摇晃、无异响，上下铺均须满足150kg承重且不发生永久变形。</w:t>
            </w:r>
          </w:p>
          <w:p>
            <w:pPr>
              <w:pStyle w:val="null3"/>
              <w:jc w:val="left"/>
            </w:pPr>
            <w:r>
              <w:rPr>
                <w:rFonts w:ascii="仿宋_GB2312" w:hAnsi="仿宋_GB2312" w:cs="仿宋_GB2312" w:eastAsia="仿宋_GB2312"/>
                <w:sz w:val="21"/>
              </w:rPr>
              <w:t>2.4床下柜滑轨抽拉顺畅，锁具开启灵活可靠。</w:t>
            </w:r>
          </w:p>
          <w:p>
            <w:pPr>
              <w:pStyle w:val="null3"/>
              <w:jc w:val="left"/>
            </w:pPr>
            <w:r>
              <w:rPr>
                <w:rFonts w:ascii="仿宋_GB2312" w:hAnsi="仿宋_GB2312" w:cs="仿宋_GB2312" w:eastAsia="仿宋_GB2312"/>
                <w:sz w:val="21"/>
              </w:rPr>
              <w:t>2.5床板与床架贴合紧密，不得出现悬空或明显缝隙。</w:t>
            </w:r>
          </w:p>
          <w:p>
            <w:pPr>
              <w:pStyle w:val="null3"/>
              <w:jc w:val="left"/>
            </w:pPr>
            <w:r>
              <w:rPr>
                <w:rFonts w:ascii="仿宋_GB2312" w:hAnsi="仿宋_GB2312" w:cs="仿宋_GB2312" w:eastAsia="仿宋_GB2312"/>
                <w:sz w:val="21"/>
                <w:b/>
              </w:rPr>
              <w:t>★3、运输、安装与调试</w:t>
            </w:r>
          </w:p>
          <w:p>
            <w:pPr>
              <w:pStyle w:val="null3"/>
              <w:jc w:val="left"/>
            </w:pPr>
            <w:r>
              <w:rPr>
                <w:rFonts w:ascii="仿宋_GB2312" w:hAnsi="仿宋_GB2312" w:cs="仿宋_GB2312" w:eastAsia="仿宋_GB2312"/>
                <w:sz w:val="21"/>
                <w:b/>
              </w:rPr>
              <w:t>3.1</w:t>
            </w:r>
            <w:r>
              <w:rPr>
                <w:rFonts w:ascii="仿宋_GB2312" w:hAnsi="仿宋_GB2312" w:cs="仿宋_GB2312" w:eastAsia="仿宋_GB2312"/>
                <w:sz w:val="21"/>
              </w:rPr>
              <w:t>投标人负责全部设备的运输、卸货、安装及调试。安装质量应符合产品制造商提供的安装说明书要求及国家现行相关规范。安装内容包括：按采购人确认的点位布局，完成货物组装、固定、调平。安装过程中不得损伤货物及采购人现场设施，安装完成后设备应达到正常使用标准。【单独提供承诺函并电子签章，格式自拟】</w:t>
            </w:r>
          </w:p>
          <w:p>
            <w:pPr>
              <w:pStyle w:val="null3"/>
              <w:jc w:val="left"/>
            </w:pPr>
            <w:r>
              <w:rPr>
                <w:rFonts w:ascii="仿宋_GB2312" w:hAnsi="仿宋_GB2312" w:cs="仿宋_GB2312" w:eastAsia="仿宋_GB2312"/>
                <w:sz w:val="21"/>
              </w:rPr>
              <w:t>3.2供应商须负责将货物运送至采购方指定宿舍楼层及房间，并完成现场组装、调试。</w:t>
            </w:r>
          </w:p>
          <w:p>
            <w:pPr>
              <w:pStyle w:val="null3"/>
              <w:jc w:val="left"/>
            </w:pPr>
            <w:r>
              <w:rPr>
                <w:rFonts w:ascii="仿宋_GB2312" w:hAnsi="仿宋_GB2312" w:cs="仿宋_GB2312" w:eastAsia="仿宋_GB2312"/>
                <w:sz w:val="21"/>
              </w:rPr>
              <w:t>3.3安装过程中产生的垃圾、包装材料由供应商负责清运处理。</w:t>
            </w:r>
          </w:p>
          <w:p>
            <w:pPr>
              <w:pStyle w:val="null3"/>
              <w:jc w:val="left"/>
            </w:pPr>
            <w:r>
              <w:rPr>
                <w:rFonts w:ascii="仿宋_GB2312" w:hAnsi="仿宋_GB2312" w:cs="仿宋_GB2312" w:eastAsia="仿宋_GB2312"/>
                <w:sz w:val="21"/>
              </w:rPr>
              <w:t>3.4安装工具及所需辅料（螺杆螺帽、连接件等）由供应商自备，不得额外收费。</w:t>
            </w:r>
          </w:p>
          <w:p>
            <w:pPr>
              <w:pStyle w:val="null3"/>
              <w:jc w:val="left"/>
            </w:pPr>
            <w:r>
              <w:rPr>
                <w:rFonts w:ascii="仿宋_GB2312" w:hAnsi="仿宋_GB2312" w:cs="仿宋_GB2312" w:eastAsia="仿宋_GB2312"/>
                <w:sz w:val="21"/>
                <w:b/>
              </w:rPr>
              <w:t>★4、安全责任：</w:t>
            </w:r>
            <w:r>
              <w:rPr>
                <w:rFonts w:ascii="仿宋_GB2312" w:hAnsi="仿宋_GB2312" w:cs="仿宋_GB2312" w:eastAsia="仿宋_GB2312"/>
                <w:sz w:val="21"/>
              </w:rPr>
              <w:t>自中标之日起至项目验收合格之日止，投标人须对运输、安装、调试、培训及维修等过程中发生的人身安全、财产安全、环境安全承担全部责任。因投标人原因造成的一切安全事故，均由投标人自行承担，采购人不承担任何连带责任。投标人须采取严密的安全防护措施。【单独提供承诺函并电子签章，格式自拟】</w:t>
            </w:r>
          </w:p>
          <w:p>
            <w:pPr>
              <w:pStyle w:val="null3"/>
              <w:jc w:val="left"/>
            </w:pPr>
            <w:r>
              <w:rPr>
                <w:rFonts w:ascii="仿宋_GB2312" w:hAnsi="仿宋_GB2312" w:cs="仿宋_GB2312" w:eastAsia="仿宋_GB2312"/>
                <w:sz w:val="21"/>
                <w:b/>
              </w:rPr>
              <w:t>5、报价范围：</w:t>
            </w:r>
            <w:r>
              <w:rPr>
                <w:rFonts w:ascii="仿宋_GB2312" w:hAnsi="仿宋_GB2312" w:cs="仿宋_GB2312" w:eastAsia="仿宋_GB2312"/>
                <w:sz w:val="21"/>
              </w:rPr>
              <w:t>投标报价为全包价，包含：货物、包装、运输、保险、卸货、安装调试、辅材、检测、人工、培训、售后服务、税费、利润及所有不可预见的费用。采购人不再支付任何额外费用。投标人自行承担报价估算错误的风险。【单独提供承诺函并电子签章，格式自拟】</w:t>
            </w:r>
          </w:p>
          <w:p>
            <w:pPr>
              <w:pStyle w:val="null3"/>
              <w:jc w:val="left"/>
            </w:pPr>
            <w:r>
              <w:rPr>
                <w:rFonts w:ascii="仿宋_GB2312" w:hAnsi="仿宋_GB2312" w:cs="仿宋_GB2312" w:eastAsia="仿宋_GB2312"/>
                <w:sz w:val="21"/>
                <w:b/>
              </w:rPr>
              <w:t>6、售后服务要求</w:t>
            </w:r>
          </w:p>
          <w:p>
            <w:pPr>
              <w:pStyle w:val="null3"/>
              <w:jc w:val="left"/>
            </w:pPr>
            <w:r>
              <w:rPr>
                <w:rFonts w:ascii="仿宋_GB2312" w:hAnsi="仿宋_GB2312" w:cs="仿宋_GB2312" w:eastAsia="仿宋_GB2312"/>
                <w:sz w:val="21"/>
              </w:rPr>
              <w:t>6.1整床质保不少于2年（从验收合格之日起计算），质保期内因产品质量问题导致的变形、开裂、掉漆、松动等，由供应商免费维修或更换（人为损坏除外）。</w:t>
            </w:r>
          </w:p>
          <w:p>
            <w:pPr>
              <w:pStyle w:val="null3"/>
              <w:jc w:val="left"/>
            </w:pPr>
            <w:r>
              <w:rPr>
                <w:rFonts w:ascii="仿宋_GB2312" w:hAnsi="仿宋_GB2312" w:cs="仿宋_GB2312" w:eastAsia="仿宋_GB2312"/>
                <w:sz w:val="21"/>
              </w:rPr>
              <w:t>6.2质保期内接到报修后，供应商须在24小时内响应并安排处理。</w:t>
            </w:r>
          </w:p>
          <w:p>
            <w:pPr>
              <w:pStyle w:val="null3"/>
              <w:jc w:val="left"/>
            </w:pPr>
            <w:r>
              <w:rPr>
                <w:rFonts w:ascii="仿宋_GB2312" w:hAnsi="仿宋_GB2312" w:cs="仿宋_GB2312" w:eastAsia="仿宋_GB2312"/>
                <w:sz w:val="21"/>
                <w:b/>
              </w:rPr>
              <w:t>★7、强制性国家标准符合性承诺</w:t>
            </w:r>
          </w:p>
          <w:p>
            <w:pPr>
              <w:pStyle w:val="null3"/>
              <w:jc w:val="left"/>
            </w:pPr>
            <w:r>
              <w:rPr>
                <w:rFonts w:ascii="仿宋_GB2312" w:hAnsi="仿宋_GB2312" w:cs="仿宋_GB2312" w:eastAsia="仿宋_GB2312"/>
                <w:sz w:val="21"/>
              </w:rPr>
              <w:t>投标人承诺：所投产品及服务完全符合现行法律法规、政府采购政策、行业准入条件及所有适用的强制性国家标准、行业标准。【单独提供承诺函并电子签章，格式自拟】</w:t>
            </w:r>
          </w:p>
          <w:p>
            <w:pPr>
              <w:pStyle w:val="null3"/>
              <w:jc w:val="left"/>
            </w:pPr>
            <w:r>
              <w:rPr>
                <w:rFonts w:ascii="仿宋_GB2312" w:hAnsi="仿宋_GB2312" w:cs="仿宋_GB2312" w:eastAsia="仿宋_GB2312"/>
                <w:sz w:val="21"/>
                <w:b/>
              </w:rPr>
              <w:t>★8、标准适用及过期处理：</w:t>
            </w:r>
            <w:r>
              <w:rPr>
                <w:rFonts w:ascii="仿宋_GB2312" w:hAnsi="仿宋_GB2312" w:cs="仿宋_GB2312" w:eastAsia="仿宋_GB2312"/>
                <w:sz w:val="21"/>
              </w:rPr>
              <w:t>如采购文件中引用的任何标准、规范、法规在投标截止日前已废止或被新标准替代，则自动适用最新版本的标准、规范、法规。投标人承诺按最新有效标准履约。【单独提供承诺函并电子签章，格式自拟】</w:t>
            </w:r>
          </w:p>
          <w:p>
            <w:pPr>
              <w:pStyle w:val="null3"/>
              <w:jc w:val="left"/>
            </w:pPr>
            <w:r>
              <w:rPr>
                <w:rFonts w:ascii="仿宋_GB2312" w:hAnsi="仿宋_GB2312" w:cs="仿宋_GB2312" w:eastAsia="仿宋_GB2312"/>
                <w:sz w:val="21"/>
                <w:b/>
              </w:rPr>
              <w:t>★9、证明材料真实性承诺：</w:t>
            </w:r>
            <w:r>
              <w:rPr>
                <w:rFonts w:ascii="仿宋_GB2312" w:hAnsi="仿宋_GB2312" w:cs="仿宋_GB2312" w:eastAsia="仿宋_GB2312"/>
                <w:sz w:val="21"/>
              </w:rPr>
              <w:t>投标人承诺投标文件中提供的所有技术参数佐证材料真实、有效。采购人有权在中标后、合同签订前，通过原件查验、第三方复核、产品功能测试等方式进行验证。若发现虚假响应，采购人有权取消中标资格，并追究投标人法律责任。【单独提供承诺函并电子签章，格式自拟】</w:t>
            </w:r>
          </w:p>
          <w:p>
            <w:pPr>
              <w:pStyle w:val="null3"/>
              <w:jc w:val="left"/>
            </w:pPr>
            <w:r>
              <w:rPr>
                <w:rFonts w:ascii="仿宋_GB2312" w:hAnsi="仿宋_GB2312" w:cs="仿宋_GB2312" w:eastAsia="仿宋_GB2312"/>
                <w:sz w:val="21"/>
                <w:b/>
              </w:rPr>
              <w:t>10、货物验收标准</w:t>
            </w:r>
          </w:p>
          <w:p>
            <w:pPr>
              <w:pStyle w:val="null3"/>
              <w:jc w:val="left"/>
            </w:pPr>
            <w:r>
              <w:rPr>
                <w:rFonts w:ascii="仿宋_GB2312" w:hAnsi="仿宋_GB2312" w:cs="仿宋_GB2312" w:eastAsia="仿宋_GB2312"/>
                <w:sz w:val="21"/>
                <w:b/>
              </w:rPr>
              <w:t>10.1到货验收：</w:t>
            </w:r>
            <w:r>
              <w:rPr>
                <w:rFonts w:ascii="仿宋_GB2312" w:hAnsi="仿宋_GB2312" w:cs="仿宋_GB2312" w:eastAsia="仿宋_GB2312"/>
                <w:sz w:val="21"/>
              </w:rPr>
              <w:t>投标人所供货物应为全新原装合格品，无拆修、无使用痕迹。开箱检验时，采购人代表应到场。若发现数量、型号、外观尺寸不符，或包装破损、货物损坏，投标人应无条件更换或补货，因此导致的工期延误，采购人有权按合同索赔。</w:t>
            </w:r>
          </w:p>
          <w:p>
            <w:pPr>
              <w:pStyle w:val="null3"/>
              <w:jc w:val="left"/>
            </w:pPr>
            <w:r>
              <w:rPr>
                <w:rFonts w:ascii="仿宋_GB2312" w:hAnsi="仿宋_GB2312" w:cs="仿宋_GB2312" w:eastAsia="仿宋_GB2312"/>
                <w:sz w:val="21"/>
                <w:b/>
              </w:rPr>
              <w:t>10.2安装后检验：</w:t>
            </w:r>
            <w:r>
              <w:rPr>
                <w:rFonts w:ascii="仿宋_GB2312" w:hAnsi="仿宋_GB2312" w:cs="仿宋_GB2312" w:eastAsia="仿宋_GB2312"/>
                <w:sz w:val="21"/>
              </w:rPr>
              <w:t>每张床安装完成后，安装人员须自行进行稳定性检查（轻摇床体检查是否晃动）、承重检查及安全性测试，确认无误后方可报请采购人验收。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left"/>
            </w:pPr>
            <w:r>
              <w:rPr>
                <w:rFonts w:ascii="仿宋_GB2312" w:hAnsi="仿宋_GB2312" w:cs="仿宋_GB2312" w:eastAsia="仿宋_GB2312"/>
                <w:sz w:val="21"/>
              </w:rPr>
              <w:t>注：以上带“★”的要求为实质性要求，供应商须完全响应，否则做无效处理。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合同签订后30日内完成全部货物的生产、送货、安装和验收。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绵阳市富乐实验中学指定位置（室内）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1付款条件：合同签订后，在财政资金到位的情况下，达到该付款条件起10个工作日内，支付合同总金额的40.00%</w:t>
            </w:r>
          </w:p>
          <w:p>
            <w:pPr>
              <w:pStyle w:val="null3"/>
              <w:jc w:val="left"/>
            </w:pPr>
            <w:r>
              <w:rPr>
                <w:rFonts w:ascii="仿宋_GB2312" w:hAnsi="仿宋_GB2312" w:cs="仿宋_GB2312" w:eastAsia="仿宋_GB2312"/>
              </w:rPr>
              <w:t>2付款条件：在财政资金到位的情况下，项目到货并验收合格后，达到该付款条件起10个工作日内，支付合同总金额的40.00%</w:t>
            </w:r>
          </w:p>
          <w:p>
            <w:pPr>
              <w:pStyle w:val="null3"/>
              <w:jc w:val="left"/>
            </w:pPr>
            <w:r>
              <w:rPr>
                <w:rFonts w:ascii="仿宋_GB2312" w:hAnsi="仿宋_GB2312" w:cs="仿宋_GB2312" w:eastAsia="仿宋_GB2312"/>
              </w:rPr>
              <w:t>3付款条件：在财政资金到位的情况下，所有货物安装完成经采购人验收合格后，达到该付款条件起10个工作日内，支付合同总金额的20.00%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中标人与采购人应严格按照《财政部关于进一步加强政府采购需求和履约验收管理的指导意见》（财库〔2016〕205号）以及《绵阳市财政局关于进一步做好政府采购项目履约验收工作的通知》（绵财采〔2021〕15号）文件、采购文件和投标文件、合同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1.整床质保不少于2年（从验收合格之日起计算），质保期内因产品质量问题导致的变形、开裂、掉漆、松动等，由供应商免费维修或更换（人为损坏除外）。 2.质保期内接到报修后，供应商须在24小时内响应并安排处理。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货物和服务的质量问题发生争议，由甲方送交具有法定资格条件的质量技术监督机构进行质量鉴定，经检测后货物符合标准的，鉴定费由甲方承担；货物不符合质量标准的，鉴定费由乙方承担。2.如检测结果认定货物质量不符合本合同规定标准的，则视为乙方没有按时交货而违约，乙方须在2日(自然日)内无条件更换合格的货物，如逾期不能更换合格的货物，甲方有权终止本合同，乙方应另付相应货物的百分之十的赔偿金给甲方。3.合同履行期间,若双方发生争议，可协商或由有关部门调解解决，协商或调解不成的，由当事人依法维护其合法权益。4.因自然灾害等不可抗力造成项目延期，经甲方确认可以顺延。（工期延误赔偿）</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1.具有独立承担民事责任的能力。2.投标人需在使用投标(响应)客户端编制投标文件时，按要求填写《投标（响应）函》完成承诺并进行电子签章。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 （1）可提供近三年（2023年、2024年或2025年）任一年度经审计的财务报告并加盖供应商公章（包含审计报告和审计报告中所涉及的财务报表和报表附注）。（2）可提供近三年（2023年、2024年或2025年）任一年度供应商财务报表并加盖供应商公章（至少包括资产负债表）。 （3）可提供截至投标文件提交截止日一年内银行出具的资信证明并加盖供应商公章。 （4）供应商注册时间截至投标文件提交截止日不足一年的，可提供在工商管理部门备案的公司章程并加盖供应商公章。 （5）供应商为个体工商户或自然人时，可提供《投标（响应）函》完成承诺并进行电子签章。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投标（响应）函,具有健全的财务会计制度.docx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技术、服务及其他要求”中实质性要求。</w:t>
            </w:r>
          </w:p>
        </w:tc>
        <w:tc>
          <w:tcPr>
            <w:tcW w:type="dxa" w:w="3322"/>
          </w:tcPr>
          <w:p>
            <w:pPr>
              <w:pStyle w:val="null3"/>
              <w:jc w:val="left"/>
            </w:pPr>
            <w:r>
              <w:rPr>
                <w:rFonts w:ascii="仿宋_GB2312" w:hAnsi="仿宋_GB2312" w:cs="仿宋_GB2312" w:eastAsia="仿宋_GB2312"/>
              </w:rPr>
              <w:t>供应商须对“第三章 技术、服务及其他要求”中实质性要求进行响应，如未响应或负偏离视为无效投标。</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据投标人针对本项目提供的服务方案进行综合评审，方案包含：①生产或备货供应能力及质量保障措施、②服务、配送人员配置及运输车辆安排、③环保与气味控制方案、④成品保护与施工现场管理、⑤恶劣天气或突发状况的应急预案，方案包含以上5项所有内容得20分；每缺一项扣4分，每有一项内容有缺陷的扣2分，扣完为止。注：缺陷是指：项目名称错误、内容涉及的规范或标准（方法）错误、仅有框架或标题没有与本项目具体实施的方案内容、明显复制其他项目内容、套用其他项目方案与本项目实施无关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供应商认为需要提供的综合评分相关材料.docx</w:t>
            </w:r>
          </w:p>
        </w:tc>
      </w:tr>
      <w:tr>
        <w:tc>
          <w:tcPr>
            <w:tcW w:type="dxa" w:w="831"/>
            <w:vMerge/>
          </w:tcPr>
          <w:p/>
        </w:tc>
        <w:tc>
          <w:tcPr>
            <w:tcW w:type="dxa" w:w="1661"/>
          </w:tcPr>
          <w:p>
            <w:pPr>
              <w:pStyle w:val="null3"/>
              <w:jc w:val="left"/>
            </w:pPr>
            <w:r>
              <w:rPr>
                <w:rFonts w:ascii="仿宋_GB2312" w:hAnsi="仿宋_GB2312" w:cs="仿宋_GB2312" w:eastAsia="仿宋_GB2312"/>
              </w:rPr>
              <w:t>供货安装方案</w:t>
            </w:r>
          </w:p>
        </w:tc>
        <w:tc>
          <w:tcPr>
            <w:tcW w:type="dxa" w:w="2575"/>
          </w:tcPr>
          <w:p>
            <w:pPr>
              <w:pStyle w:val="null3"/>
              <w:jc w:val="left"/>
            </w:pPr>
            <w:r>
              <w:rPr>
                <w:rFonts w:ascii="仿宋_GB2312" w:hAnsi="仿宋_GB2312" w:cs="仿宋_GB2312" w:eastAsia="仿宋_GB2312"/>
              </w:rPr>
              <w:t>根据投标人提供的供货及安装方案综合评审，包含：①进度计划、②人员安排、③安装流程、④验收方案，方案包含以上4项所有内容得12分；每缺一项扣3分，每有一项内容有缺陷的扣1.5分，扣完为止。注：缺陷是指：项目名称错误、内容涉及的规范或标准（方法）错误、仅有框架或标题没有与本项目具体实施的方案内容、明显复制其他项目内容、套用其他项目方案与本项目实施无关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供应商认为需要提供的综合评分相关材料.docx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提供的售后服务进行综合评审，方案包含：①售后服务和质保范围、②响应速度与服务方式、③常见问题的处理预案、④质保期后的保障方案，方案包含以上4项所有内容得12分；每缺一项扣3分，每有一项内容有缺陷的扣1.5分，扣完为止。注：缺陷是指：项目名称错误、内容涉及的规范或标准（方法）错误、仅有框架或标题没有与本项目具体实施的方案内容、明显复制其他项目内容、套用其他项目方案与本项目实施无关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供应商认为需要提供的综合评分相关材料.docx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1、投标人或制造商为本项目所涉及到的系列产品进行产品质量保证、供货时间保证，得4分，少一项不得分。提供承诺函（含类别）或证明材料，否则不得分。（承诺函格式自拟） 2、从2023年1月1日（含）至今(时间以合同签订生效时间为准）供应商有一个类似项目业绩（学校铁床或者公寓床）的得2分，每增加一个加2分，本项最多得6分。 注：以上须提供合同复印件并加盖公章或中标/成交通知书复印件并加盖公章。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技术参数与性能指标要求</w:t>
            </w:r>
          </w:p>
        </w:tc>
        <w:tc>
          <w:tcPr>
            <w:tcW w:type="dxa" w:w="2575"/>
          </w:tcPr>
          <w:p>
            <w:pPr>
              <w:pStyle w:val="null3"/>
              <w:jc w:val="left"/>
            </w:pPr>
            <w:r>
              <w:rPr>
                <w:rFonts w:ascii="仿宋_GB2312" w:hAnsi="仿宋_GB2312" w:cs="仿宋_GB2312" w:eastAsia="仿宋_GB2312"/>
              </w:rPr>
              <w:t>完全符合招标文件“技术要求”没有负偏离的得满分。 1.实质性要求（标注“★”号的条款5条），不参与评分，不得有负偏离，否则视为无效响应。 2.标注“▲”号的条款为重要参数3条，每有一条不满足扣4分，最多扣12分。 3.非“★”、非“▲”的为普通条款4条，每有一条不满足扣1分，最多扣4分。 注：1、所有参数应答应当以产品实际性能指标应答，中标后，采购人如发现参数实际参数值和应答不一致，按照提供虚假材料处理。2、针对“▲”条款的技术响应，供应商需提供技术支撑材料（如产品彩页或产品实物或国家认可的第三方检测机构出具的检测报告）但如果招标文件“技术要求”中的“▲”技术条款对技术支撑材料有要求，应按要求提供，否则对应技术参数条款将视为不满足。3、针对一般技术参数（未带“▲”和“★”）条款的技术响应，若技术条款对技术支撑材料有要求，应按要求提供，否则对应技术参数条款将视为不满足。以1、2、3、作为评分因素，一般技术参数条款中如涉及多项子条款，任意一项及以上子条款偏离，视为该项一般技术参数条款偏离。</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节能环保.docx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详见附件：供应商认为需要提供的综合评分相关材料.docx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详见附件：具有健全的财务会计制度.docx</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详见附件：节能环保.docx</w:t>
      </w:r>
    </w:p>
    <w:p>
      <w:pPr>
        <w:pStyle w:val="null3"/>
        <w:ind w:firstLine="960"/>
        <w:jc w:val="left"/>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