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版本号：N513411202600025720260826001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凉山州智能场景监控项目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N5134112026000257</w:t>
      </w:r>
    </w:p>
    <w:p>
      <w:pPr>
        <w:pStyle w:val="null3"/>
        <w:jc w:val="left"/>
        <w:outlineLvl w:val="2"/>
      </w:pPr>
      <w:r>
        <w:rPr>
          <w:rFonts w:ascii="仿宋_GB2312" w:hAnsi="仿宋_GB2312" w:cs="仿宋_GB2312" w:eastAsia="仿宋_GB2312"/>
          <w:sz w:val="28"/>
          <w:b/>
        </w:rPr>
        <w:t>凉山彝族自治州医疗保障局</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凉山彝族自治州医疗保障局</w:t>
      </w:r>
      <w:r>
        <w:rPr>
          <w:rFonts w:ascii="仿宋_GB2312" w:hAnsi="仿宋_GB2312" w:cs="仿宋_GB2312" w:eastAsia="仿宋_GB2312"/>
        </w:rPr>
        <w:t xml:space="preserve"> 委托，拟对 </w:t>
      </w:r>
      <w:r>
        <w:rPr>
          <w:rFonts w:ascii="仿宋_GB2312" w:hAnsi="仿宋_GB2312" w:cs="仿宋_GB2312" w:eastAsia="仿宋_GB2312"/>
        </w:rPr>
        <w:t>凉山州智能场景监控项目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N5134112026000257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凉山州智能场景监控项目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凉山彝族自治州医疗保障局为100家定点零售药店提供足量前端监管设备及安装服务，前端监管设备包含人脸识别摄像机、视频存储设备、交换机等相关安装辅材辅料及数据加密与定制化开发、数据清洗校验、运维培训及1年运维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凉山彝族自治州医疗保障局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西昌市航天大道高枧家园64栋9楼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0834-2199518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西昌市土城巷151号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谭周菊；蔡铭虎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0834-3352893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采购包1：790,000.00元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代理服务费收费标准：代理服务费收费标准：本项目按照《四川省政府采购营商环境指标提升专项行动工作方案》中“成本+合理利润”的原则收取11850元.收款单位：四川轩辕招标代理有限公司凉山分公司； 开 户 行：中国农业银行股份有限公司西昌丝路支行； 银行账号：22654801040001810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凉山彝族自治州医疗保障局</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凉山彝族自治州医疗保障局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按照本项目采购文件在“技术要求、服务要求”中的约定执行。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 “商务要求”中的约定执行。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凉山彝族自治州医疗保障局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联系电话：0834-2199518</w:t>
      </w:r>
    </w:p>
    <w:p>
      <w:pPr>
        <w:pStyle w:val="null3"/>
        <w:jc w:val="left"/>
      </w:pPr>
      <w:r>
        <w:rPr>
          <w:rFonts w:ascii="仿宋_GB2312" w:hAnsi="仿宋_GB2312" w:cs="仿宋_GB2312" w:eastAsia="仿宋_GB2312"/>
        </w:rPr>
        <w:t>地址：西昌市航天大道高枧家园64栋9楼</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联系电话：0834-3352893</w:t>
      </w:r>
    </w:p>
    <w:p>
      <w:pPr>
        <w:pStyle w:val="null3"/>
        <w:jc w:val="left"/>
      </w:pPr>
      <w:r>
        <w:rPr>
          <w:rFonts w:ascii="仿宋_GB2312" w:hAnsi="仿宋_GB2312" w:cs="仿宋_GB2312" w:eastAsia="仿宋_GB2312"/>
        </w:rPr>
        <w:t>地址：西昌市土城巷151号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790,000.00</w:t>
      </w:r>
    </w:p>
    <w:p>
      <w:pPr>
        <w:pStyle w:val="null3"/>
        <w:jc w:val="left"/>
      </w:pPr>
      <w:r>
        <w:rPr>
          <w:rFonts w:ascii="仿宋_GB2312" w:hAnsi="仿宋_GB2312" w:cs="仿宋_GB2312" w:eastAsia="仿宋_GB2312"/>
        </w:rPr>
        <w:t>采购包最高限价（元）: 790,000.00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C16990000 其他信息技术服务</w:t>
            </w:r>
          </w:p>
        </w:tc>
        <w:tc>
          <w:tcPr>
            <w:tcW w:type="dxa" w:w="821"/>
          </w:tcPr>
          <w:p>
            <w:pPr>
              <w:pStyle w:val="null3"/>
              <w:jc w:val="left"/>
            </w:pPr>
            <w:r>
              <w:rPr>
                <w:rFonts w:ascii="仿宋_GB2312" w:hAnsi="仿宋_GB2312" w:cs="仿宋_GB2312" w:eastAsia="仿宋_GB2312"/>
              </w:rPr>
              <w:t>智能场景监控</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790,000.00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智能场景监控</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790,000.00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标的名称：智能场景监控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left"/>
            </w:pPr>
            <w:r>
              <w:rPr>
                <w:rFonts w:ascii="仿宋_GB2312" w:hAnsi="仿宋_GB2312" w:cs="仿宋_GB2312" w:eastAsia="仿宋_GB2312"/>
              </w:rPr>
              <w:t>★（一）视频监控服务</w:t>
            </w:r>
          </w:p>
          <w:p>
            <w:pPr>
              <w:pStyle w:val="null3"/>
              <w:ind w:firstLine="480"/>
              <w:jc w:val="left"/>
            </w:pPr>
            <w:r>
              <w:rPr>
                <w:rFonts w:ascii="仿宋_GB2312" w:hAnsi="仿宋_GB2312" w:cs="仿宋_GB2312" w:eastAsia="仿宋_GB2312"/>
              </w:rPr>
              <w:t>1.依托定点医药机构视频点位资源，提供图像识别视频监控技术服务。针对定点零售药店医保结算的购药人员，提供实时图像抓拍服务、结算全过程音视频同步录制服务，同步完成购药人员图像特征解析、身份识别匹配服务。服务实现影像采集信息与医保结算业务数据互联互通，建立抓拍图像、现场音视频记录、医保结算记录、参保人员信息之间的关联索引。服务过程严格遵循医保取证影像标准，保障画面人物面部清晰可辨、音频连续完整，满足后续稽核核查视听资料要求。</w:t>
            </w:r>
          </w:p>
          <w:p>
            <w:pPr>
              <w:pStyle w:val="null3"/>
              <w:ind w:firstLine="480"/>
              <w:jc w:val="left"/>
            </w:pPr>
            <w:r>
              <w:rPr>
                <w:rFonts w:ascii="仿宋_GB2312" w:hAnsi="仿宋_GB2312" w:cs="仿宋_GB2312" w:eastAsia="仿宋_GB2312"/>
              </w:rPr>
              <w:t>2.面向医保基金监管稽核工作提供视频溯源取证支撑服务。在日常监管、线索排查过程中，若核查发现冒名结算、药品串换、虚记费用等疑似医保违规线索，需逆向回溯现场情况、固定违规证据时，为授权经办人员提供四川省医疗保障信息平台应用支撑服务。为凉山州医保局提供视频长效安全存证服务、违规线索证据固化服务、目标录像文件导出下载服务、历史音视频精准回放服务。支持工作人员根据参保人信息、结算时间等多维度条件快速检索定位对应时段视听资料；支持证据片段截取、标准化视频文件导出；回放支撑时间轴精准跳转、多倍速播放、音频同步核验等精细化核查服务。</w:t>
            </w:r>
          </w:p>
          <w:p>
            <w:pPr>
              <w:pStyle w:val="null3"/>
              <w:ind w:firstLine="480"/>
              <w:jc w:val="left"/>
            </w:pPr>
            <w:r>
              <w:rPr>
                <w:rFonts w:ascii="仿宋_GB2312" w:hAnsi="仿宋_GB2312" w:cs="仿宋_GB2312" w:eastAsia="仿宋_GB2312"/>
              </w:rPr>
              <w:t>★（二）数据分析服务</w:t>
            </w:r>
          </w:p>
          <w:p>
            <w:pPr>
              <w:pStyle w:val="null3"/>
              <w:ind w:firstLine="480"/>
              <w:jc w:val="left"/>
            </w:pPr>
            <w:r>
              <w:rPr>
                <w:rFonts w:ascii="仿宋_GB2312" w:hAnsi="仿宋_GB2312" w:cs="仿宋_GB2312" w:eastAsia="仿宋_GB2312"/>
              </w:rPr>
              <w:t>1.供应商提供医保结算行为数据分析、疑点线索研判支撑服务。依托四川省医疗保障信息平台汇聚的全量业务监控数据，持续对定点零售药店医保结算业务开展多维度常态化统计分析服务。围绕参保人员结算频次、购药品类、结算金额、结算时段、窗口结算流水、就诊人员流动规律等维度开展数据梳理、特征提取与趋势研判，识别结算业务中存在的各类异常业务模式。</w:t>
            </w:r>
          </w:p>
          <w:p>
            <w:pPr>
              <w:pStyle w:val="null3"/>
              <w:ind w:firstLine="480"/>
              <w:jc w:val="left"/>
            </w:pPr>
            <w:r>
              <w:rPr>
                <w:rFonts w:ascii="仿宋_GB2312" w:hAnsi="仿宋_GB2312" w:cs="仿宋_GB2312" w:eastAsia="仿宋_GB2312"/>
              </w:rPr>
              <w:t>2.同步联动图像识别服务采集生成的现场录像、抓拍图片等视听资料，实现医保结算业务流水数据与现场人员影像信息自动化关联匹配、交叉比对核验。通过业务数据与现场实景影像双向印证，筛查冒名结算、一人多卡、异常高频购药、结算人与实际购药人不一致等疑似违规情形，规范化输出医保违规疑点线索。</w:t>
            </w:r>
          </w:p>
          <w:p>
            <w:pPr>
              <w:pStyle w:val="null3"/>
              <w:ind w:firstLine="480"/>
              <w:jc w:val="left"/>
            </w:pPr>
            <w:r>
              <w:rPr>
                <w:rFonts w:ascii="仿宋_GB2312" w:hAnsi="仿宋_GB2312" w:cs="仿宋_GB2312" w:eastAsia="仿宋_GB2312"/>
              </w:rPr>
              <w:t>3.供应商完成疑点线索筛查后，同步归集整合线索对应的全套佐证资料，包含参保人员基础信息、医保结算单据、结算时间、抓拍影像、对应时段监控视频片段等材料，精准锁定线下稽核目标对象，形成完整、可溯源的线索证据包。持续向医保局推送标准化疑点线索与配套证据材料，为监管部门开展线下实地稽核工作提供精准稽核靶向，提供具备核查效力的复合型稽核证据，有效提升医保稽核工作效率与精准度，助力打击欺诈骗保、违规结算等行为。</w:t>
            </w:r>
          </w:p>
          <w:p>
            <w:pPr>
              <w:pStyle w:val="null3"/>
              <w:ind w:firstLine="480"/>
              <w:jc w:val="left"/>
            </w:pPr>
            <w:r>
              <w:rPr>
                <w:rFonts w:ascii="仿宋_GB2312" w:hAnsi="仿宋_GB2312" w:cs="仿宋_GB2312" w:eastAsia="仿宋_GB2312"/>
              </w:rPr>
              <w:t>（三）监管设备前置服务</w:t>
            </w:r>
          </w:p>
          <w:p>
            <w:pPr>
              <w:pStyle w:val="null3"/>
              <w:ind w:firstLine="480"/>
              <w:jc w:val="left"/>
            </w:pPr>
            <w:r>
              <w:rPr>
                <w:rFonts w:ascii="仿宋_GB2312" w:hAnsi="仿宋_GB2312" w:cs="仿宋_GB2312" w:eastAsia="仿宋_GB2312"/>
              </w:rPr>
              <w:t>★1.供应商需为凉山州范围内指定的零售药店提供全覆盖、标准化、常态化的前端监管设备全套配套支撑服务及落地适配服务，服务覆盖人脸识别摄像机、视频存储设备、网络交换机等所有医保视频监管前端配套硬件设备，结合每家定点零售药店门店布局、收银结算窗口位置、网络环境、场地供电条件及医保业务办理场景，量身定制设备布设、点位规划及网络适配方案。完成人脸识别摄像机精准对位调试、视频存储设备参数配置、交换机网络端口适配与链路调试等全套落地服务，确保所有设备点位贴合医保结算监管需求，摄像机可精准抓拍购药结算人员图像画面、录制完整结算场景视频，存储设备可合规留存监管视听数据，交换机可保障设备与四川省医疗保障信息平台定点医药机构视频监控系统稳定联网、数据实时上传、信号传输通畅。</w:t>
            </w:r>
          </w:p>
          <w:p>
            <w:pPr>
              <w:pStyle w:val="null3"/>
              <w:ind w:firstLine="480"/>
              <w:jc w:val="left"/>
            </w:pPr>
            <w:r>
              <w:rPr>
                <w:rFonts w:ascii="仿宋_GB2312" w:hAnsi="仿宋_GB2312" w:cs="仿宋_GB2312" w:eastAsia="仿宋_GB2312"/>
              </w:rPr>
              <w:t>2.前置设备（所有配套设备100套）配置不低于：</w:t>
            </w:r>
          </w:p>
          <w:p>
            <w:pPr>
              <w:pStyle w:val="null3"/>
              <w:ind w:firstLine="480"/>
              <w:jc w:val="left"/>
            </w:pPr>
            <w:r>
              <w:rPr>
                <w:rFonts w:ascii="仿宋_GB2312" w:hAnsi="仿宋_GB2312" w:cs="仿宋_GB2312" w:eastAsia="仿宋_GB2312"/>
              </w:rPr>
              <w:t>2.1.人脸识别摄像机（100台）：</w:t>
            </w:r>
          </w:p>
          <w:p>
            <w:pPr>
              <w:pStyle w:val="null3"/>
              <w:ind w:firstLine="480"/>
              <w:jc w:val="left"/>
            </w:pPr>
            <w:r>
              <w:rPr>
                <w:rFonts w:ascii="仿宋_GB2312" w:hAnsi="仿宋_GB2312" w:cs="仿宋_GB2312" w:eastAsia="仿宋_GB2312"/>
              </w:rPr>
              <w:t>2.1.1.性能指标</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1）形态：半球摄像机</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2）像素：≥400万像素，支持1/2.8英寸CMOS传感器</w:t>
            </w:r>
            <w:r>
              <w:br/>
            </w:r>
            <w:r>
              <w:rPr>
                <w:rFonts w:ascii="仿宋_GB2312" w:hAnsi="仿宋_GB2312" w:cs="仿宋_GB2312" w:eastAsia="仿宋_GB2312"/>
              </w:rPr>
              <w:t>（</w:t>
            </w:r>
            <w:r>
              <w:rPr>
                <w:rFonts w:ascii="仿宋_GB2312" w:hAnsi="仿宋_GB2312" w:cs="仿宋_GB2312" w:eastAsia="仿宋_GB2312"/>
              </w:rPr>
              <w:t>3）协议：支持GB/T 28181-2022协议、GA/T 1400系列标准</w:t>
            </w:r>
            <w:r>
              <w:br/>
            </w:r>
            <w:r>
              <w:rPr>
                <w:rFonts w:ascii="仿宋_GB2312" w:hAnsi="仿宋_GB2312" w:cs="仿宋_GB2312" w:eastAsia="仿宋_GB2312"/>
              </w:rPr>
              <w:t>（</w:t>
            </w:r>
            <w:r>
              <w:rPr>
                <w:rFonts w:ascii="仿宋_GB2312" w:hAnsi="仿宋_GB2312" w:cs="仿宋_GB2312" w:eastAsia="仿宋_GB2312"/>
              </w:rPr>
              <w:t>4）抓拍：支持同一画面≥30个人脸同时抓拍，支持人脸检测，支持人脸优选，支持过滤重复人脸</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5）数据加密：支持人脸识别摄像机数据加密，支持数据加密采集、存储、传输，支持接入医药机构视频监控系统数据加解密体系</w:t>
            </w:r>
            <w:r>
              <w:br/>
            </w:r>
            <w:r>
              <w:rPr>
                <w:rFonts w:ascii="仿宋_GB2312" w:hAnsi="仿宋_GB2312" w:cs="仿宋_GB2312" w:eastAsia="仿宋_GB2312"/>
              </w:rPr>
              <w:t xml:space="preserve"> </w:t>
            </w:r>
            <w:r>
              <w:rPr>
                <w:rFonts w:ascii="仿宋_GB2312" w:hAnsi="仿宋_GB2312" w:cs="仿宋_GB2312" w:eastAsia="仿宋_GB2312"/>
              </w:rPr>
              <w:t>2.1.2.功能指标</w:t>
            </w:r>
            <w:r>
              <w:br/>
            </w:r>
            <w:r>
              <w:rPr>
                <w:rFonts w:ascii="仿宋_GB2312" w:hAnsi="仿宋_GB2312" w:cs="仿宋_GB2312" w:eastAsia="仿宋_GB2312"/>
              </w:rPr>
              <w:t xml:space="preserve"> </w:t>
            </w:r>
            <w:r>
              <w:rPr>
                <w:rFonts w:ascii="仿宋_GB2312" w:hAnsi="仿宋_GB2312" w:cs="仿宋_GB2312" w:eastAsia="仿宋_GB2312"/>
              </w:rPr>
              <w:t>为保障人脸识别摄像机能满足有效抓拍及存取证等功能要求，供应商所配备的设备需满足以下指标：</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1）可对出现在监控场景内的两眼瞳距不小于15像素的人脸进行检测(须提供有效</w:t>
            </w:r>
            <w:r>
              <w:rPr>
                <w:rFonts w:ascii="仿宋_GB2312" w:hAnsi="仿宋_GB2312" w:cs="仿宋_GB2312" w:eastAsia="仿宋_GB2312"/>
              </w:rPr>
              <w:t>且合法</w:t>
            </w:r>
            <w:r>
              <w:rPr>
                <w:rFonts w:ascii="仿宋_GB2312" w:hAnsi="仿宋_GB2312" w:cs="仿宋_GB2312" w:eastAsia="仿宋_GB2312"/>
              </w:rPr>
              <w:t>的第三方带检测报告复印件</w:t>
            </w:r>
            <w:r>
              <w:rPr>
                <w:rFonts w:ascii="仿宋_GB2312" w:hAnsi="仿宋_GB2312" w:cs="仿宋_GB2312" w:eastAsia="仿宋_GB2312"/>
              </w:rPr>
              <w:t>或技术白皮书</w:t>
            </w:r>
            <w:r>
              <w:rPr>
                <w:rFonts w:ascii="仿宋_GB2312" w:hAnsi="仿宋_GB2312" w:cs="仿宋_GB2312" w:eastAsia="仿宋_GB2312"/>
              </w:rPr>
              <w:t>或</w:t>
            </w:r>
            <w:r>
              <w:rPr>
                <w:rFonts w:ascii="仿宋_GB2312" w:hAnsi="仿宋_GB2312" w:cs="仿宋_GB2312" w:eastAsia="仿宋_GB2312"/>
              </w:rPr>
              <w:t>使用说明书</w:t>
            </w:r>
            <w:r>
              <w:rPr>
                <w:rFonts w:ascii="仿宋_GB2312" w:hAnsi="仿宋_GB2312" w:cs="仿宋_GB2312" w:eastAsia="仿宋_GB2312"/>
              </w:rPr>
              <w:t>并加盖供应商电子签章</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2）可同时检测监控场景内出现的不少于280张人脸图片(须提供有效</w:t>
            </w:r>
            <w:r>
              <w:rPr>
                <w:rFonts w:ascii="仿宋_GB2312" w:hAnsi="仿宋_GB2312" w:cs="仿宋_GB2312" w:eastAsia="仿宋_GB2312"/>
              </w:rPr>
              <w:t>且合法</w:t>
            </w:r>
            <w:r>
              <w:rPr>
                <w:rFonts w:ascii="仿宋_GB2312" w:hAnsi="仿宋_GB2312" w:cs="仿宋_GB2312" w:eastAsia="仿宋_GB2312"/>
              </w:rPr>
              <w:t>的第三方带检测报告复印件</w:t>
            </w:r>
            <w:r>
              <w:rPr>
                <w:rFonts w:ascii="仿宋_GB2312" w:hAnsi="仿宋_GB2312" w:cs="仿宋_GB2312" w:eastAsia="仿宋_GB2312"/>
              </w:rPr>
              <w:t>或技术白皮书</w:t>
            </w:r>
            <w:r>
              <w:rPr>
                <w:rFonts w:ascii="仿宋_GB2312" w:hAnsi="仿宋_GB2312" w:cs="仿宋_GB2312" w:eastAsia="仿宋_GB2312"/>
              </w:rPr>
              <w:t>或</w:t>
            </w:r>
            <w:r>
              <w:rPr>
                <w:rFonts w:ascii="仿宋_GB2312" w:hAnsi="仿宋_GB2312" w:cs="仿宋_GB2312" w:eastAsia="仿宋_GB2312"/>
              </w:rPr>
              <w:t>使用说明书</w:t>
            </w:r>
            <w:r>
              <w:rPr>
                <w:rFonts w:ascii="仿宋_GB2312" w:hAnsi="仿宋_GB2312" w:cs="仿宋_GB2312" w:eastAsia="仿宋_GB2312"/>
              </w:rPr>
              <w:t>并加盖供应商电子签章</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3）支持侧脸过滤功能，可过滤与镜头呈上下、左右角度达到预设值的人脸(须提供有效</w:t>
            </w:r>
            <w:r>
              <w:rPr>
                <w:rFonts w:ascii="仿宋_GB2312" w:hAnsi="仿宋_GB2312" w:cs="仿宋_GB2312" w:eastAsia="仿宋_GB2312"/>
              </w:rPr>
              <w:t>且合法</w:t>
            </w:r>
            <w:r>
              <w:rPr>
                <w:rFonts w:ascii="仿宋_GB2312" w:hAnsi="仿宋_GB2312" w:cs="仿宋_GB2312" w:eastAsia="仿宋_GB2312"/>
              </w:rPr>
              <w:t>的第三方带检测报告复印件</w:t>
            </w:r>
            <w:r>
              <w:rPr>
                <w:rFonts w:ascii="仿宋_GB2312" w:hAnsi="仿宋_GB2312" w:cs="仿宋_GB2312" w:eastAsia="仿宋_GB2312"/>
              </w:rPr>
              <w:t>或技术白皮书</w:t>
            </w:r>
            <w:r>
              <w:rPr>
                <w:rFonts w:ascii="仿宋_GB2312" w:hAnsi="仿宋_GB2312" w:cs="仿宋_GB2312" w:eastAsia="仿宋_GB2312"/>
              </w:rPr>
              <w:t>或</w:t>
            </w:r>
            <w:r>
              <w:rPr>
                <w:rFonts w:ascii="仿宋_GB2312" w:hAnsi="仿宋_GB2312" w:cs="仿宋_GB2312" w:eastAsia="仿宋_GB2312"/>
              </w:rPr>
              <w:t>使用说明书</w:t>
            </w:r>
            <w:r>
              <w:rPr>
                <w:rFonts w:ascii="仿宋_GB2312" w:hAnsi="仿宋_GB2312" w:cs="仿宋_GB2312" w:eastAsia="仿宋_GB2312"/>
              </w:rPr>
              <w:t>并加盖供应商电子签章</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4）支持在刘海、头发、眼镜、口罩、帽子等常见遮挡情形及侧脸状态下的人脸检测(须提供有效</w:t>
            </w:r>
            <w:r>
              <w:rPr>
                <w:rFonts w:ascii="仿宋_GB2312" w:hAnsi="仿宋_GB2312" w:cs="仿宋_GB2312" w:eastAsia="仿宋_GB2312"/>
              </w:rPr>
              <w:t>且合法</w:t>
            </w:r>
            <w:r>
              <w:rPr>
                <w:rFonts w:ascii="仿宋_GB2312" w:hAnsi="仿宋_GB2312" w:cs="仿宋_GB2312" w:eastAsia="仿宋_GB2312"/>
              </w:rPr>
              <w:t>的第三方带检测报告复印件</w:t>
            </w:r>
            <w:r>
              <w:rPr>
                <w:rFonts w:ascii="仿宋_GB2312" w:hAnsi="仿宋_GB2312" w:cs="仿宋_GB2312" w:eastAsia="仿宋_GB2312"/>
              </w:rPr>
              <w:t>或技术白皮书</w:t>
            </w:r>
            <w:r>
              <w:rPr>
                <w:rFonts w:ascii="仿宋_GB2312" w:hAnsi="仿宋_GB2312" w:cs="仿宋_GB2312" w:eastAsia="仿宋_GB2312"/>
              </w:rPr>
              <w:t>或</w:t>
            </w:r>
            <w:r>
              <w:rPr>
                <w:rFonts w:ascii="仿宋_GB2312" w:hAnsi="仿宋_GB2312" w:cs="仿宋_GB2312" w:eastAsia="仿宋_GB2312"/>
              </w:rPr>
              <w:t>使用说明书</w:t>
            </w:r>
            <w:r>
              <w:rPr>
                <w:rFonts w:ascii="仿宋_GB2312" w:hAnsi="仿宋_GB2312" w:cs="仿宋_GB2312" w:eastAsia="仿宋_GB2312"/>
              </w:rPr>
              <w:t>并加盖供应商电子签章</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5）可在监视画面上设置≥4个多边形3-10条边人脸屏蔽区域，不对预设区域内的人脸进行检测(须提供有效</w:t>
            </w:r>
            <w:r>
              <w:rPr>
                <w:rFonts w:ascii="仿宋_GB2312" w:hAnsi="仿宋_GB2312" w:cs="仿宋_GB2312" w:eastAsia="仿宋_GB2312"/>
              </w:rPr>
              <w:t>且合法</w:t>
            </w:r>
            <w:r>
              <w:rPr>
                <w:rFonts w:ascii="仿宋_GB2312" w:hAnsi="仿宋_GB2312" w:cs="仿宋_GB2312" w:eastAsia="仿宋_GB2312"/>
              </w:rPr>
              <w:t>的第三方带检测报告复印件</w:t>
            </w:r>
            <w:r>
              <w:rPr>
                <w:rFonts w:ascii="仿宋_GB2312" w:hAnsi="仿宋_GB2312" w:cs="仿宋_GB2312" w:eastAsia="仿宋_GB2312"/>
              </w:rPr>
              <w:t>或技术白皮书</w:t>
            </w:r>
            <w:r>
              <w:rPr>
                <w:rFonts w:ascii="仿宋_GB2312" w:hAnsi="仿宋_GB2312" w:cs="仿宋_GB2312" w:eastAsia="仿宋_GB2312"/>
              </w:rPr>
              <w:t>或</w:t>
            </w:r>
            <w:r>
              <w:rPr>
                <w:rFonts w:ascii="仿宋_GB2312" w:hAnsi="仿宋_GB2312" w:cs="仿宋_GB2312" w:eastAsia="仿宋_GB2312"/>
              </w:rPr>
              <w:t>使用说明书</w:t>
            </w:r>
            <w:r>
              <w:rPr>
                <w:rFonts w:ascii="仿宋_GB2312" w:hAnsi="仿宋_GB2312" w:cs="仿宋_GB2312" w:eastAsia="仿宋_GB2312"/>
              </w:rPr>
              <w:t>并加盖供应商电子签章</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6）支持人脸属性识别功能，可在浏览器预览界面显示包括年龄、性别、有无戴眼镜(须提供有效</w:t>
            </w:r>
            <w:r>
              <w:rPr>
                <w:rFonts w:ascii="仿宋_GB2312" w:hAnsi="仿宋_GB2312" w:cs="仿宋_GB2312" w:eastAsia="仿宋_GB2312"/>
              </w:rPr>
              <w:t>且合法</w:t>
            </w:r>
            <w:r>
              <w:rPr>
                <w:rFonts w:ascii="仿宋_GB2312" w:hAnsi="仿宋_GB2312" w:cs="仿宋_GB2312" w:eastAsia="仿宋_GB2312"/>
              </w:rPr>
              <w:t>的第三方带检测报告复印件</w:t>
            </w:r>
            <w:r>
              <w:rPr>
                <w:rFonts w:ascii="仿宋_GB2312" w:hAnsi="仿宋_GB2312" w:cs="仿宋_GB2312" w:eastAsia="仿宋_GB2312"/>
              </w:rPr>
              <w:t>或技术白皮书</w:t>
            </w:r>
            <w:r>
              <w:rPr>
                <w:rFonts w:ascii="仿宋_GB2312" w:hAnsi="仿宋_GB2312" w:cs="仿宋_GB2312" w:eastAsia="仿宋_GB2312"/>
              </w:rPr>
              <w:t>或</w:t>
            </w:r>
            <w:r>
              <w:rPr>
                <w:rFonts w:ascii="仿宋_GB2312" w:hAnsi="仿宋_GB2312" w:cs="仿宋_GB2312" w:eastAsia="仿宋_GB2312"/>
              </w:rPr>
              <w:t>使用说明书</w:t>
            </w:r>
            <w:r>
              <w:rPr>
                <w:rFonts w:ascii="仿宋_GB2312" w:hAnsi="仿宋_GB2312" w:cs="仿宋_GB2312" w:eastAsia="仿宋_GB2312"/>
              </w:rPr>
              <w:t>并加盖供应商电子签章</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2.2.视频存储设备（100台）</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1）支持≥4路人脸识别摄像机；</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2）支持≥2个视频存储介质接入；</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3）需满足视频录像及人脸抓拍图片保存天数不低于6个月、配备的存储容量需≥8TB。</w:t>
            </w:r>
          </w:p>
          <w:p>
            <w:pPr>
              <w:pStyle w:val="null3"/>
              <w:ind w:firstLine="480"/>
              <w:jc w:val="left"/>
            </w:pPr>
            <w:r>
              <w:rPr>
                <w:rFonts w:ascii="仿宋_GB2312" w:hAnsi="仿宋_GB2312" w:cs="仿宋_GB2312" w:eastAsia="仿宋_GB2312"/>
              </w:rPr>
              <w:t>2.3.交换机（100台）</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1）≥4个千兆端口,支持POE供电；</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2）支持IEEE802.3、IEEE802.3u标准；</w:t>
            </w:r>
          </w:p>
          <w:p>
            <w:pPr>
              <w:pStyle w:val="null3"/>
              <w:ind w:firstLine="480"/>
              <w:jc w:val="left"/>
            </w:pPr>
            <w:r>
              <w:rPr>
                <w:rFonts w:ascii="仿宋_GB2312" w:hAnsi="仿宋_GB2312" w:cs="仿宋_GB2312" w:eastAsia="仿宋_GB2312"/>
              </w:rPr>
              <w:t>★（四）监管设备前置安装服务</w:t>
            </w:r>
          </w:p>
          <w:p>
            <w:pPr>
              <w:pStyle w:val="null3"/>
              <w:ind w:firstLine="480"/>
              <w:jc w:val="left"/>
            </w:pPr>
            <w:r>
              <w:rPr>
                <w:rFonts w:ascii="仿宋_GB2312" w:hAnsi="仿宋_GB2312" w:cs="仿宋_GB2312" w:eastAsia="仿宋_GB2312"/>
              </w:rPr>
              <w:t>1.供应商负责全部前端设备的网络对接、安装部署、系统联调、功能验证及配套耗材全包服务，确保本次布设的所有人脸识别摄像机、视频存储设备、交换机等监管设备可无缝、标准化对接联网，保障设备采集的抓拍图片、现场监控视频、设备运行状态数据等全部合规上传至四川省医疗保障信息平台，实现平台端实时预览、录像存储、数据存证、线索调取、视频回放等各项业务功能正常可用。</w:t>
            </w:r>
          </w:p>
          <w:p>
            <w:pPr>
              <w:pStyle w:val="null3"/>
              <w:ind w:firstLine="480"/>
              <w:jc w:val="left"/>
            </w:pPr>
            <w:r>
              <w:rPr>
                <w:rFonts w:ascii="仿宋_GB2312" w:hAnsi="仿宋_GB2312" w:cs="仿宋_GB2312" w:eastAsia="仿宋_GB2312"/>
              </w:rPr>
              <w:t>2.供应商需完成端到端联调适配服务，确保本次部署的所有前端监管设备可稳定依托医药机构原有医保专用网络合规接入四川省医保视频监控平台，实现网络链路通畅、数据加密传输、设备在线稳定、业务交互正常。设备上线后需逐项开展功能验证测试，包含设备联网在线测试、图像抓拍功能测试、视频实时录制测试、录像存储写入测试、平台视频预览测试等，全面验证系统对接完整性、功能可用性、数据准确性，确保所有设备接入后合规达标、稳定运行，完全满足医保监管、数据存证、违规取证、稽核回溯的业务要求。项目实施所需全部配套耗材由供应商全权负责提供并安装布设，包含但不限于专用网线、设备固定支架、防水绝缘配件、线路理线配件、网络辅材、标识配件等全部施工耗材，无需采购人及定点医药机构额外投入任何材料及施工成本。</w:t>
            </w:r>
          </w:p>
          <w:p>
            <w:pPr>
              <w:pStyle w:val="null3"/>
              <w:ind w:firstLine="480"/>
              <w:jc w:val="left"/>
            </w:pPr>
            <w:r>
              <w:rPr>
                <w:rFonts w:ascii="仿宋_GB2312" w:hAnsi="仿宋_GB2312" w:cs="仿宋_GB2312" w:eastAsia="仿宋_GB2312"/>
              </w:rPr>
              <w:t>3.整体接入实施服务需做到标准化、规范化、无痕化施工，布线整齐美观、线路固定牢固、标识清晰规范，不破坏门店原有装修及设施，施工完成后统一整理现场、清理施工垃圾，在完全不影响定点零售药店日常经营、医保结算业务及原有网络系统运行的前提下，保质保量完成全部设备安装、组网对接、联调验证工作。</w:t>
            </w:r>
          </w:p>
          <w:p>
            <w:pPr>
              <w:pStyle w:val="null3"/>
              <w:ind w:firstLine="480"/>
              <w:jc w:val="left"/>
            </w:pPr>
            <w:r>
              <w:rPr>
                <w:rFonts w:ascii="仿宋_GB2312" w:hAnsi="仿宋_GB2312" w:cs="仿宋_GB2312" w:eastAsia="仿宋_GB2312"/>
              </w:rPr>
              <w:t>★（五）视频管理与图像前置适配服务</w:t>
            </w:r>
          </w:p>
          <w:p>
            <w:pPr>
              <w:pStyle w:val="null3"/>
              <w:ind w:firstLine="480"/>
              <w:jc w:val="left"/>
            </w:pPr>
            <w:r>
              <w:rPr>
                <w:rFonts w:ascii="仿宋_GB2312" w:hAnsi="仿宋_GB2312" w:cs="仿宋_GB2312" w:eastAsia="仿宋_GB2312"/>
              </w:rPr>
              <w:t>1.供应商依托凉山州医保局现有已建成、已部署到位的图像采集前置机，为凉山州定点零售药店医保监管体系提供专属视频、图像数字化处理技术赋能服务。通过专业化技术服务激活现有前置设备算力与数据处理能力，为全州医保购药监管场景搭建稳定、合规、标准化的影像数字化处理能力，实现前端监管数据化合规处置、统一规整与高效调度。</w:t>
            </w:r>
          </w:p>
          <w:p>
            <w:pPr>
              <w:pStyle w:val="null3"/>
              <w:ind w:firstLine="480"/>
              <w:jc w:val="left"/>
            </w:pPr>
            <w:r>
              <w:rPr>
                <w:rFonts w:ascii="仿宋_GB2312" w:hAnsi="仿宋_GB2312" w:cs="仿宋_GB2312" w:eastAsia="仿宋_GB2312"/>
              </w:rPr>
              <w:t>2.供应商提供购药场景前端监管影像全流程管理适配服务。针对各定点零售药店前端监管设备采集的购药结算全过程视频、图像抓拍图片、现场场景影像等原始视听数据，开展数字化规整服务，包含影像格式标准化转换、视频码率合规调校、画面分辨率优化、影像时序信息校准、无效数据过滤、影像合规性校验等专业化数字化处理服务，解决前端设备采集数据格式杂乱、参数不统一、时序错乱、平台适配不兼容等问题，确保所有购药场景影像资料满足医保监管存证、稽核取证、线索筛查的规范标准。</w:t>
            </w:r>
          </w:p>
          <w:p>
            <w:pPr>
              <w:pStyle w:val="null3"/>
              <w:ind w:firstLine="480"/>
              <w:jc w:val="left"/>
            </w:pPr>
            <w:r>
              <w:rPr>
                <w:rFonts w:ascii="仿宋_GB2312" w:hAnsi="仿宋_GB2312" w:cs="仿宋_GB2312" w:eastAsia="仿宋_GB2312"/>
              </w:rPr>
              <w:t>3.通过数字化处理服务，全面实现定点医药机构前端监管业务闭环管理能力。供应商提供视频录制管控服务、录像资源分类存储管理、精准时段检索、多倍速回放、片段预览、影像溯源查询等配套服务；同时提供图像前置适配校准服务，对抓拍的购药人员图像进行画质优化、特征点强化、像素合规校正、身份影像标准化适配处理，保障图像影像清晰可辨、特征有效、比对精准，满足医保人员身份核验、违规比对、线索取证的业务要求，实现前端监管影像资源可存、可查、可放、可校。</w:t>
            </w:r>
          </w:p>
          <w:p>
            <w:pPr>
              <w:pStyle w:val="null3"/>
              <w:ind w:firstLine="480"/>
              <w:jc w:val="left"/>
            </w:pPr>
            <w:r>
              <w:rPr>
                <w:rFonts w:ascii="仿宋_GB2312" w:hAnsi="仿宋_GB2312" w:cs="仿宋_GB2312" w:eastAsia="仿宋_GB2312"/>
              </w:rPr>
              <w:t>4.供应商提供全州影像数据与省级医保平台无缝对接传输服务。所有经过凉山州前置机数字化处理、标准化规整、合规校验完成的视频数据、图像数据、业务时序数据、设备运行监管数据，由供应商通过医保专网完成安全加密传输、链路适配、数据同步上送服务。严格按照四川省医疗保障信息平台的接入规范、数据接口标准、传输安全要求进行深度适配调试，确保处理后的全量监管数据实时、完整、安全、有序同步归集至省级医保监控平台。</w:t>
            </w:r>
          </w:p>
          <w:p>
            <w:pPr>
              <w:pStyle w:val="null3"/>
              <w:ind w:firstLine="480"/>
              <w:jc w:val="left"/>
            </w:pPr>
            <w:r>
              <w:rPr>
                <w:rFonts w:ascii="仿宋_GB2312" w:hAnsi="仿宋_GB2312" w:cs="仿宋_GB2312" w:eastAsia="仿宋_GB2312"/>
              </w:rPr>
              <w:t>★（六）业务场景适配配置与优化服务</w:t>
            </w:r>
          </w:p>
          <w:p>
            <w:pPr>
              <w:pStyle w:val="null3"/>
              <w:ind w:firstLine="480"/>
              <w:jc w:val="left"/>
            </w:pPr>
            <w:r>
              <w:rPr>
                <w:rFonts w:ascii="仿宋_GB2312" w:hAnsi="仿宋_GB2312" w:cs="仿宋_GB2312" w:eastAsia="仿宋_GB2312"/>
              </w:rPr>
              <w:t>1.供应商针对凉山州定点零售药店购药全业务场景，提供定制化、属地化的业务流程适配与智慧监管优化专项服务。结合凉山州本地药店购药核验、医保刷卡结算等实际经办流程，结合省、州医保基金监管最新规范、现场监管要求，开展场景化业务适配服务，全程以技术服务方式完成采集环境优化与运行参数精细化调校。通过现场踏勘、场景研判、业务点位摸排等服务工作，梳理各药店购药结算、身份核验等关键监管节点与重点监控区域。基于医保取证规范要求，针对性优化前端视频采集覆盖范围、监控视角、场景聚焦区域等采集环境适配方案；标准化调校视频采集帧率、分辨率、抓拍时机、存储策略、画面补光、场景录制时长等全套运行参数。通过专业化适配服务，确保视频、图像采集完整覆盖购药身份核验、医保结算操作、药品核对交付、窗口交易全过程，彻底消除监管盲区、关键画面缺失、抓拍失效、画质不达标等问题，保障所有关键业务环节全程可记录、可溯源、可取证。</w:t>
            </w:r>
          </w:p>
          <w:p>
            <w:pPr>
              <w:pStyle w:val="null3"/>
              <w:ind w:firstLine="480"/>
              <w:jc w:val="left"/>
            </w:pPr>
            <w:r>
              <w:rPr>
                <w:rFonts w:ascii="仿宋_GB2312" w:hAnsi="仿宋_GB2312" w:cs="仿宋_GB2312" w:eastAsia="仿宋_GB2312"/>
              </w:rPr>
              <w:t>2.供应商提供医保监管数据采集传输体系优化与多维数据精准关联服务。针对凉山州医保结算数据传输机制、业务时序逻辑、平台对接规范，持续优化前端采集、前置处理、专网传输的全链条数据规则。通过技术适配服务完善数据采集时序策略、数据封装标准、传输校验机制、异常重传机制、跨源数据关联算法，实现监控视频流、抓拍图片、场景时序影像等监管数据，与医保结算记录、参保人信息、结算时间、购药信息、结算金额、交易流水等业务数据精准时序对齐、同步归档。</w:t>
            </w:r>
          </w:p>
          <w:p>
            <w:pPr>
              <w:pStyle w:val="null3"/>
              <w:ind w:firstLine="480"/>
              <w:jc w:val="left"/>
            </w:pPr>
            <w:r>
              <w:rPr>
                <w:rFonts w:ascii="仿宋_GB2312" w:hAnsi="仿宋_GB2312" w:cs="仿宋_GB2312" w:eastAsia="仿宋_GB2312"/>
              </w:rPr>
              <w:t>3.供应商提供业务违规智能识别规则动态优化与持续迭代服务。紧跟国家、省、州医保政策更新、基金监管制度升级、医保业务模式迭代以及新型欺诈骗保行为特征变化，持续开展凉山州专属购药场景风险规则库优化服务。动态调校各类违规风险识别阈值、智能判定标准、风险触发条件、预警筛查维度、行为比对模型参数。针对冒名购药、人证不符、异常高频购药、虚假结算、串换药品、违规刷卡等典型医保违规场景持续优化识别算法，不断提升系统对异常行为、违规行为识别的精准度、灵敏度、时效性，有效降低误判、漏判概率，实现风险问题提前预警、违规行为精准识别、可疑线索自动归集。</w:t>
            </w:r>
          </w:p>
          <w:p>
            <w:pPr>
              <w:pStyle w:val="null3"/>
              <w:ind w:firstLine="480"/>
              <w:jc w:val="left"/>
            </w:pPr>
            <w:r>
              <w:rPr>
                <w:rFonts w:ascii="仿宋_GB2312" w:hAnsi="仿宋_GB2312" w:cs="仿宋_GB2312" w:eastAsia="仿宋_GB2312"/>
              </w:rPr>
              <w:t>★（七）数据加密与定制化服务</w:t>
            </w:r>
          </w:p>
          <w:p>
            <w:pPr>
              <w:pStyle w:val="null3"/>
              <w:ind w:firstLine="480"/>
              <w:jc w:val="left"/>
            </w:pPr>
            <w:r>
              <w:rPr>
                <w:rFonts w:ascii="仿宋_GB2312" w:hAnsi="仿宋_GB2312" w:cs="仿宋_GB2312" w:eastAsia="仿宋_GB2312"/>
              </w:rPr>
              <w:t>1.供应商提供全流程医保监管数据安全合规管理专项服务，针对所有前端采集的特征类、影像类、业务类数据传输过程提供专项安全管理与加密防护服务，采用合规加密传输协议对数据链路进行加固，实现数据传输全程加密、防窃取、防篡改、防泄露，杜绝传输过程中出现数据窃听、丢失、篡改、非法抓取等安全风险，保障医保监管敏感数据传输链路安全可控、合规可溯。</w:t>
            </w:r>
          </w:p>
          <w:p>
            <w:pPr>
              <w:pStyle w:val="null3"/>
              <w:ind w:firstLine="480"/>
              <w:jc w:val="left"/>
            </w:pPr>
            <w:r>
              <w:rPr>
                <w:rFonts w:ascii="仿宋_GB2312" w:hAnsi="仿宋_GB2312" w:cs="仿宋_GB2312" w:eastAsia="仿宋_GB2312"/>
              </w:rPr>
              <w:t>2.供应商提供现场监控合规公示服务，全程规范前端监管场景公示管理。在各定点零售药店监控设备安装部署完成后，统一布设标准规范的监控告知、监控同意提示标识，做到监控区域清晰公示、合规告知，充分保障群众知情权，确保前端视频采集、图像抓拍等监管行为合法合规、公开规范，完全符合公共区域视频采集及个人信息采集的合规性要求，规避合规风险。</w:t>
            </w:r>
          </w:p>
          <w:p>
            <w:pPr>
              <w:pStyle w:val="null3"/>
              <w:ind w:firstLine="480"/>
              <w:jc w:val="left"/>
            </w:pPr>
            <w:r>
              <w:rPr>
                <w:rFonts w:ascii="仿宋_GB2312" w:hAnsi="仿宋_GB2312" w:cs="仿宋_GB2312" w:eastAsia="仿宋_GB2312"/>
              </w:rPr>
              <w:t>3.供应商针对凉山州医疗保障局属地化管理要求，提供前端监管设备个性化、定制化功能开发服务。深度对接凉山州医保局特色业务需求、本地化监管痛点及专属功能建设要求，结合凉山州购药监管场景特色，开展定制化功能研发、接口适配、功能调试、上线适配等专项技术服务，精准匹配属地医保差异化监管、特色化稽核、本地化管控的业务需求，补齐通用化监管功能适配短板。</w:t>
            </w:r>
          </w:p>
          <w:p>
            <w:pPr>
              <w:pStyle w:val="null3"/>
              <w:ind w:firstLine="480"/>
              <w:jc w:val="left"/>
            </w:pPr>
            <w:r>
              <w:rPr>
                <w:rFonts w:ascii="仿宋_GB2312" w:hAnsi="仿宋_GB2312" w:cs="仿宋_GB2312" w:eastAsia="仿宋_GB2312"/>
              </w:rPr>
              <w:t>4.供应商提供医保监管功能常态化优化升级迭代服务。紧跟省、州医保政策更新、医保业务模式调整、基金监管重心变化、新型违规行为出现等业务发展趋势，持续对前端监管采集功能、数据处理功能、智能识别功能、平台联动功能、证据存证功能等全链条监管能力进行迭代优化与版本升级。通过持续性功能优化服务，不断提升整套医保监管体系的实用性、稳定性、便捷性与场景适配性，持续适配凉山州医保监管常态化、精细化、智慧化发展需求，全面筑牢属地医保基金安全监管技术防线。</w:t>
            </w:r>
          </w:p>
          <w:p>
            <w:pPr>
              <w:pStyle w:val="null3"/>
              <w:ind w:firstLine="480"/>
              <w:jc w:val="left"/>
            </w:pPr>
            <w:r>
              <w:rPr>
                <w:rFonts w:ascii="仿宋_GB2312" w:hAnsi="仿宋_GB2312" w:cs="仿宋_GB2312" w:eastAsia="仿宋_GB2312"/>
              </w:rPr>
              <w:t>★（八）定点零售药店数据监管方案个性化设置服务</w:t>
            </w:r>
          </w:p>
          <w:p>
            <w:pPr>
              <w:pStyle w:val="null3"/>
              <w:ind w:firstLine="480"/>
              <w:jc w:val="left"/>
            </w:pPr>
            <w:r>
              <w:rPr>
                <w:rFonts w:ascii="仿宋_GB2312" w:hAnsi="仿宋_GB2312" w:cs="仿宋_GB2312" w:eastAsia="仿宋_GB2312"/>
              </w:rPr>
              <w:t>1.供应商提供凉山州智能场景监控基础信息搭建、常态化运维及精细化场景监管专项服务，全面支撑定点零售药店医保场景标准化、规范化、精细化管控工作。负责定点零售药店基础信息台账的初始化搭建与动态维护服务，统一梳理、录入、更新各家药店基础信息、前端监管设备部署信息、网络接入信息等核心基础数据，构建完整、规范、可溯源的凉山州定点药店监管信息资源库，确保系统内药店基础信息真实、准确、完整、同步。</w:t>
            </w:r>
          </w:p>
          <w:p>
            <w:pPr>
              <w:pStyle w:val="null3"/>
              <w:ind w:firstLine="480"/>
              <w:jc w:val="left"/>
            </w:pPr>
            <w:r>
              <w:rPr>
                <w:rFonts w:ascii="仿宋_GB2312" w:hAnsi="仿宋_GB2312" w:cs="仿宋_GB2312" w:eastAsia="仿宋_GB2312"/>
              </w:rPr>
              <w:t>2.供应商同步负责全州购药监管场景信息的标准化建立与常态化动态维护服务。针对各零售药店购药结算、药品交付等核心监管场景，逐一完成场景台账建档、场景管控规则绑定等基础配置服务。持续根据药店门店调整、窗口改造、业务流程变更、监管点位优化等实际情况，动态更新系统场景信息与配置参数，确保系统监管场景与线下实际经营场景完全对应、精准匹配，杜绝场景信息滞后、错位、缺失等问题，实现所有购药监管场景标准化建档、动态化管理、精细化管控。</w:t>
            </w:r>
          </w:p>
          <w:p>
            <w:pPr>
              <w:pStyle w:val="null3"/>
              <w:ind w:firstLine="480"/>
              <w:jc w:val="left"/>
            </w:pPr>
            <w:r>
              <w:rPr>
                <w:rFonts w:ascii="仿宋_GB2312" w:hAnsi="仿宋_GB2312" w:cs="仿宋_GB2312" w:eastAsia="仿宋_GB2312"/>
              </w:rPr>
              <w:t>3.供应商提供采购人监管辅助支撑服务，全程协助凉山州医保局开展属地购药场景个性化监管方案落地、执行、核查与优化工作。主动配合采购人监管工作部署，协助梳理各区域、各药店个性化监管需求，落地落实定制化场景监管策略；协助开展日常监管方案执行核查、场景运行巡检、监管效果研判、异常场景复核等工作，及时汇总反馈个性化监管方案运行过程中存在的问题与适配短板，配合采购人完成监管方案优化调整、规则完善、策略迭代，持续提升凉山州医保购药场景个性化、差异化、精准化监管效能，全方位助力属地医保基金常态化智慧监管工作落地见效。</w:t>
            </w:r>
          </w:p>
          <w:p>
            <w:pPr>
              <w:pStyle w:val="null3"/>
              <w:ind w:firstLine="480"/>
              <w:jc w:val="left"/>
            </w:pPr>
            <w:r>
              <w:rPr>
                <w:rFonts w:ascii="仿宋_GB2312" w:hAnsi="仿宋_GB2312" w:cs="仿宋_GB2312" w:eastAsia="仿宋_GB2312"/>
              </w:rPr>
              <w:t>★（九）数据清洗校验与质量控制服务</w:t>
            </w:r>
          </w:p>
          <w:p>
            <w:pPr>
              <w:pStyle w:val="null3"/>
              <w:ind w:firstLine="480"/>
              <w:jc w:val="left"/>
            </w:pPr>
            <w:r>
              <w:rPr>
                <w:rFonts w:ascii="仿宋_GB2312" w:hAnsi="仿宋_GB2312" w:cs="仿宋_GB2312" w:eastAsia="仿宋_GB2312"/>
              </w:rPr>
              <w:t>1.供应商提供定点零售药店监管数据常态化质量达标分析专项服务。针对凉山州智能场景监控接入定点零售药店，建立常态化、周期性的数据质量核查与达标研判工作机制，定期对前端归集的视频数据、抓拍数据、设备在线状态数据等全量监管数据开展系统性质量检测与达标分析服务。对各药店数据质量达标情况进行分级研判、动态评估，持续保障定点零售药店监管数据整体质量合规、可用、有效，为后续医保数据分析、线索筛查、稽核取证筑牢数据质量基础。</w:t>
            </w:r>
          </w:p>
          <w:p>
            <w:pPr>
              <w:pStyle w:val="null3"/>
              <w:ind w:firstLine="480"/>
              <w:jc w:val="left"/>
            </w:pPr>
            <w:r>
              <w:rPr>
                <w:rFonts w:ascii="仿宋_GB2312" w:hAnsi="仿宋_GB2312" w:cs="仿宋_GB2312" w:eastAsia="仿宋_GB2312"/>
              </w:rPr>
              <w:t>2.供应商提供省、州两级医保数据跨平台精准校验比对服务。开展四川省医疗保障信息平台核心系统医保结算业务数据，与凉山州场景监控服务实际采集的现场影像数据双向交叉校验比对服务。核对参保人员信息、结算时间、结算流水、购药信息、结算金额等核心结算字段与现场监管场景数据的一致性、匹配性、合规性，实现业务数据、场景数据双向核验、相互印证，及时发现隐性违规风险与数据异常问题。</w:t>
            </w:r>
          </w:p>
          <w:p>
            <w:pPr>
              <w:pStyle w:val="null3"/>
              <w:ind w:firstLine="480"/>
              <w:jc w:val="left"/>
            </w:pPr>
            <w:r>
              <w:rPr>
                <w:rFonts w:ascii="仿宋_GB2312" w:hAnsi="仿宋_GB2312" w:cs="仿宋_GB2312" w:eastAsia="仿宋_GB2312"/>
              </w:rPr>
              <w:t>3.供应商提供系统疑点预警信息精细化拆解、分类标记与闭环处置服务。针对凉山州智能场景监控自动生成的各类异常行为预警、违规疑点线索、数据异常提示等预警信息，提供常态化精细化研判处置服务。</w:t>
            </w:r>
          </w:p>
          <w:p>
            <w:pPr>
              <w:pStyle w:val="null3"/>
              <w:ind w:firstLine="480"/>
              <w:jc w:val="left"/>
            </w:pPr>
            <w:r>
              <w:rPr>
                <w:rFonts w:ascii="仿宋_GB2312" w:hAnsi="仿宋_GB2312" w:cs="仿宋_GB2312" w:eastAsia="仿宋_GB2312"/>
              </w:rPr>
              <w:t>★（十）业务分析报告运维保障服务</w:t>
            </w:r>
          </w:p>
          <w:p>
            <w:pPr>
              <w:pStyle w:val="null3"/>
              <w:ind w:firstLine="480"/>
              <w:jc w:val="left"/>
            </w:pPr>
            <w:r>
              <w:rPr>
                <w:rFonts w:ascii="仿宋_GB2312" w:hAnsi="仿宋_GB2312" w:cs="仿宋_GB2312" w:eastAsia="仿宋_GB2312"/>
              </w:rPr>
              <w:t>1.供应商提供专项运维分析报告编制输出服务。定期完成全州定点零售药店场景监控运维数据汇总、统计分析与报告输出工作，形成标准化、结构化的季度专项运维报告。报告全面归集、梳理和分析本期前端监管设备整体运行状态、设备在线率、故障分布情况、视频采集完好率、数据上传成功率、设备运维整改情况；系统复盘各类监控规则执行效果、预警触发总量、有效线索占比、误报漏报情况、规则适配问题；同步汇总各类异常场景分布、违规时段分布、异常排名、风险类型分布等多维度统计数据。同时针对季度运行存在的问题逐条分析成因、列明整改情况、输出优化建议，为采购人掌握全州医保场景监控整体运行态势提供完整的数据支撑和运维依据。</w:t>
            </w:r>
          </w:p>
          <w:p>
            <w:pPr>
              <w:pStyle w:val="null3"/>
              <w:ind w:firstLine="480"/>
              <w:jc w:val="left"/>
            </w:pPr>
            <w:r>
              <w:rPr>
                <w:rFonts w:ascii="仿宋_GB2312" w:hAnsi="仿宋_GB2312" w:cs="仿宋_GB2312" w:eastAsia="仿宋_GB2312"/>
              </w:rPr>
              <w:t>2.供应商提供年度场景监控优化建议专项报告服务。每年度结合全年系统运行数据、规则执行情况、疑点预警数据，系统性开展全场景监控效果复盘与深度分析，编制年度场景优化建议报告。报告全面总结年度监控运行成效、现存短板、场景适配缺陷、规则运行痛点，结合凉山州医保监管工作趋势、购药业务发展变化、欺诈骗保新型风险特征，针对性输出场景布局优化、监控规则迭代、采集策略调整、系统功能升级、风险防控重点调整等专业化、可落地的优化建议。为凉山州医保局动态调整属地医保监管策略、统筹系统功能升级改造、优化风险防控体系、提升智慧监管水平提供科学、详实、精准的数据支撑与决策参考。</w:t>
            </w:r>
          </w:p>
          <w:p>
            <w:pPr>
              <w:pStyle w:val="null3"/>
              <w:ind w:firstLine="480"/>
              <w:jc w:val="left"/>
            </w:pPr>
            <w:r>
              <w:rPr>
                <w:rFonts w:ascii="仿宋_GB2312" w:hAnsi="仿宋_GB2312" w:cs="仿宋_GB2312" w:eastAsia="仿宋_GB2312"/>
              </w:rPr>
              <w:t>3.通过常态化规则校验、周期性数据分析、阶段性报告输出、持续性场景优化，全方位提升凉山州定点零售药店各类购药业务场景的监控精准度、场景适配度、风险识别有效性，持续完善事前智能预警、事中实时监控、事后溯源取证的全流程智慧监管体系，全面提升属地医保基金监管的精细化、标准化、智能化水平。</w:t>
            </w:r>
          </w:p>
          <w:p>
            <w:pPr>
              <w:pStyle w:val="null3"/>
              <w:ind w:firstLine="480"/>
              <w:jc w:val="left"/>
            </w:pPr>
            <w:r>
              <w:rPr>
                <w:rFonts w:ascii="仿宋_GB2312" w:hAnsi="仿宋_GB2312" w:cs="仿宋_GB2312" w:eastAsia="仿宋_GB2312"/>
              </w:rPr>
              <w:t>★（十一）运维培训与知识转移服务</w:t>
            </w:r>
          </w:p>
          <w:p>
            <w:pPr>
              <w:pStyle w:val="null3"/>
              <w:ind w:firstLine="480"/>
              <w:jc w:val="left"/>
            </w:pPr>
            <w:r>
              <w:rPr>
                <w:rFonts w:ascii="仿宋_GB2312" w:hAnsi="仿宋_GB2312" w:cs="仿宋_GB2312" w:eastAsia="仿宋_GB2312"/>
              </w:rPr>
              <w:t>基于四川省医疗保障信息平台定点医药机构视频监控系统结合本项目场景监控提供有针对性培训服务。制作详细的培训课件，重点介绍省系统的操作流程、业务变化以及注意事项、前端监管设备操作、系统平台使用、日常运维技巧等。通过现场培训、视频教程等形式进行培训，采购人尽快掌握省系统的操作流程，提高工作效率，确保医保业务的正常开展。培训后要进行跟踪评估，及时解决人员在使用省系统过程中遇到的问题。提升相关人员业务能力与系统操作水平。在服务期内，通过技术交流、经验分享等方式，实现运维知识的有效转移。</w:t>
            </w:r>
          </w:p>
          <w:p>
            <w:pPr>
              <w:pStyle w:val="null3"/>
              <w:ind w:firstLine="480"/>
              <w:jc w:val="left"/>
            </w:pPr>
            <w:r>
              <w:rPr>
                <w:rFonts w:ascii="仿宋_GB2312" w:hAnsi="仿宋_GB2312" w:cs="仿宋_GB2312" w:eastAsia="仿宋_GB2312"/>
              </w:rPr>
              <w:t>★（十二）日常运行维护服务</w:t>
            </w:r>
          </w:p>
          <w:p>
            <w:pPr>
              <w:pStyle w:val="null3"/>
              <w:ind w:firstLine="480"/>
              <w:jc w:val="left"/>
            </w:pPr>
            <w:r>
              <w:rPr>
                <w:rFonts w:ascii="仿宋_GB2312" w:hAnsi="仿宋_GB2312" w:cs="仿宋_GB2312" w:eastAsia="仿宋_GB2312"/>
              </w:rPr>
              <w:t>对前端监管设备日常使用时，提供问题处理服务、实时数据维护服务以及其他设备日常运维服务，设置专人专岗及时处理人员反馈的各种疑难问题，电话响应</w:t>
            </w:r>
            <w:r>
              <w:rPr>
                <w:rFonts w:ascii="仿宋_GB2312" w:hAnsi="仿宋_GB2312" w:cs="仿宋_GB2312" w:eastAsia="仿宋_GB2312"/>
              </w:rPr>
              <w:t>≤2小时、到场≤48小时；提供多层次多方式的解决渠道（提供固定服务电话及专人对接、微信群在线服务、现场技术支持），提供7*24小时系统运维服务，确保场景监控业务正常进行。</w:t>
            </w:r>
          </w:p>
          <w:p>
            <w:pPr>
              <w:pStyle w:val="null3"/>
              <w:ind w:firstLine="480"/>
              <w:jc w:val="left"/>
            </w:pPr>
            <w:r>
              <w:rPr>
                <w:rFonts w:ascii="仿宋_GB2312" w:hAnsi="仿宋_GB2312" w:cs="仿宋_GB2312" w:eastAsia="仿宋_GB2312"/>
              </w:rPr>
              <w:t>★（十三）供应商必须书面承诺本次所采购设备及其所含功能能够与凉山州医保局高清可视化监控平台进行对接并展示及回放，相关对接及接口开发调试费用由供应商自行承担。（单独提供承诺函加盖电子签章）</w:t>
            </w:r>
          </w:p>
          <w:p>
            <w:pPr>
              <w:pStyle w:val="null3"/>
              <w:ind w:firstLine="480"/>
              <w:jc w:val="left"/>
            </w:pPr>
            <w:r>
              <w:rPr>
                <w:rFonts w:ascii="仿宋_GB2312" w:hAnsi="仿宋_GB2312" w:cs="仿宋_GB2312" w:eastAsia="仿宋_GB2312"/>
              </w:rPr>
              <w:t>★（十四）供应商必须书面承诺本次所采购设备及其所含功能能够与四川省医疗保障信息平台无缝对接，相关对接及接口开发调试费用由供应商自行承担。（单独提供承诺函加盖电子签章）</w:t>
            </w:r>
          </w:p>
          <w:p>
            <w:pPr>
              <w:pStyle w:val="null3"/>
              <w:ind w:firstLine="480"/>
              <w:jc w:val="left"/>
            </w:pPr>
            <w:r>
              <w:rPr>
                <w:rFonts w:ascii="仿宋_GB2312" w:hAnsi="仿宋_GB2312" w:cs="仿宋_GB2312" w:eastAsia="仿宋_GB2312"/>
                <w:sz w:val="21"/>
              </w:rPr>
              <w:t>★(十五)供应商承诺中标后签订合同前，成交供应商将对接口进行验证，若成交供应商无法完成接口验证，导致采购人不能正常使用，采购人有权取消签订合同并上报财政部门。(单独提供承诺函加盖电子签章)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rPr>
              <w:t>（</w:t>
            </w:r>
            <w:r>
              <w:rPr>
                <w:rFonts w:ascii="仿宋_GB2312" w:hAnsi="仿宋_GB2312" w:cs="仿宋_GB2312" w:eastAsia="仿宋_GB2312"/>
              </w:rPr>
              <w:t>1）验收不合格的，</w:t>
            </w:r>
            <w:r>
              <w:rPr>
                <w:rFonts w:ascii="仿宋_GB2312" w:hAnsi="仿宋_GB2312" w:cs="仿宋_GB2312" w:eastAsia="仿宋_GB2312"/>
              </w:rPr>
              <w:t>成交供应商</w:t>
            </w:r>
            <w:r>
              <w:rPr>
                <w:rFonts w:ascii="仿宋_GB2312" w:hAnsi="仿宋_GB2312" w:cs="仿宋_GB2312" w:eastAsia="仿宋_GB2312"/>
              </w:rPr>
              <w:t>应当在采购人指定的期限内无条件补足或者更换，费用由</w:t>
            </w:r>
            <w:r>
              <w:rPr>
                <w:rFonts w:ascii="仿宋_GB2312" w:hAnsi="仿宋_GB2312" w:cs="仿宋_GB2312" w:eastAsia="仿宋_GB2312"/>
              </w:rPr>
              <w:t>成交供应商</w:t>
            </w:r>
            <w:r>
              <w:rPr>
                <w:rFonts w:ascii="仿宋_GB2312" w:hAnsi="仿宋_GB2312" w:cs="仿宋_GB2312" w:eastAsia="仿宋_GB2312"/>
              </w:rPr>
              <w:t>承担；逾期未整改或者再次验收仍不合格的，采购人有权解除合同并追究违约责任。</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在服务期内，服务产品出现影响正常运行问题的，由供应商负责无条件维修或更换（包含服务期内备品备件、易损件、耗材等一切可能影响正常运行的材料）。供应商应保证在一年服务期内根据采购人要求对控制系统进行完善升级。</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所投产品涉及如CCC认证、进网许可、计量器具型式批准证书（CPA）等国家针对产品的强制认证或许可或其他强制性要求的，供应商须确保其所投产品在投标截止时间前已实际符合国家相关强制性规定。中标供应商须在采购合同签订时提交相关证明材料给采购人核验，未提供或不能提供的视为虚假响应。</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4）本项目引用的国家标准、行业标准在合同履行期内更新的，按现行有效版本执行。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480"/>
              <w:jc w:val="left"/>
            </w:pPr>
            <w:r>
              <w:rPr>
                <w:rFonts w:ascii="仿宋_GB2312" w:hAnsi="仿宋_GB2312" w:cs="仿宋_GB2312" w:eastAsia="仿宋_GB2312"/>
              </w:rPr>
              <w:t>付款条件及进度：</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1）合同签订后，10个工作日内支付合同总金额的50%；完成调试部署且验收合格后10个工作日内支付合同总金额的40%；运维服务期满后10个工作日内支付合同总金额的10%。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付前提：供应商应在凉山州医保局付款前开具全额增值税含税发票，供应商未提供发票前采购人有权暂缓支付相关款项并不因此承担任何违约责任。由于对方提供的发票不符合税法规定，给凉山州医保局造成的损失由供应商承担赔偿责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自合同签订之日起120日历日内完成调试部署交付使用并验收。验收合格后提供1年的运维服务。</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按照采购文件、响应文件、国家标准中最优的标准验收，政府采购相关法律法规以及《财政部关于进一步加强政府采购需求和履约验收管理的指导意见》（财库〔2016〕205号）的要求执行。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1付款条件：合同签订后，达到该付款条件起10个工作日内，支付合同总金额的50.00%</w:t>
            </w:r>
          </w:p>
          <w:p>
            <w:pPr>
              <w:pStyle w:val="null3"/>
              <w:jc w:val="left"/>
            </w:pPr>
            <w:r>
              <w:rPr>
                <w:rFonts w:ascii="仿宋_GB2312" w:hAnsi="仿宋_GB2312" w:cs="仿宋_GB2312" w:eastAsia="仿宋_GB2312"/>
              </w:rPr>
              <w:t>2付款条件：完成调试部署且验收合格后，达到该付款条件起10个工作日内，支付合同总金额的40.00%</w:t>
            </w:r>
          </w:p>
          <w:p>
            <w:pPr>
              <w:pStyle w:val="null3"/>
              <w:jc w:val="left"/>
            </w:pPr>
            <w:r>
              <w:rPr>
                <w:rFonts w:ascii="仿宋_GB2312" w:hAnsi="仿宋_GB2312" w:cs="仿宋_GB2312" w:eastAsia="仿宋_GB2312"/>
              </w:rPr>
              <w:t>3付款条件：运维服务期满后，达到该付款条件起10个工作日内，支付合同总金额的10.00%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如非因供应商原因导致采购人逾期支付货款的，供应商有权要求采购人以逾期未付款项为基数，按照1年期贷款市场报价利率（LPR）标准单利按天支付逾期付款损失。如非因供应商原因导致采购人逾期支付预付款超过90日的，供应商有权解除本合同，并要求采购人按照预付款总额的10%支付违约金。 2.如非因采购人原因导致供应商逾期完成验收，每逾期一日，采购人有权要求供应商以合同金额为基数，按照每日万分之五的标准支付违约金（注：如出现多种违约行为的，累计计算违约金）。如逾期超过10日的，采购人有权部分或全部终止合同。如采购人选择终止合同的，采购人有权要求供应商按照本合同约定的合同总价的20%支付违约金。如前述违约金不足以弥补采购人损失的，供应商应当另行赔偿。 3．如供应商要求解除或终止合同，供应商应按合同总价款的20%向采购人支付违约金。 4.本合同履行期间，如供应商出现下列情形之一的，采购人有权提前终止本合同，并要求供应商按照本合同约定的合同总价的20%支付违约金： （1）被市场监督管理部门在国家企业信用信息公示系统中列入严重违法失信名单； （2）被最高人民法院在“中国执行信息公开网”网站（https://zxgk.court.gov.cn/）或各级信用信息共享平台中列入失信被执行人名单； （3）被纳入政府采购严重违法失信行为记录名单； 5.合同履行期间，若双方发生争议，可协商或由有关部门调解解决，协商或调解不成的，任何一方均可向采购人住所地有管辖权的人民法院提起诉讼。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应针对本项目结合采购服务需求制定项目服务方案，方案内容包括：①服务质量保证措施；②服务进度计划保障措施；③服务应急措施；④维护方案；⑤服务培训方案。二、后续服务方案：①后续服务计划、②后续服务保障、③后续服务人员配备、④后续服务处理流程。三、履约能力：供应商提供自2023年1月1日（含） 至今类似业绩。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2.投标人根据自身情况选择提供以下任意一项： ①投标人若为企业法人：提供“统一社会信用代码营业执照”；未换证的提供“营业执照、税务登记证、组织机构代码证或三证合一的营业执照”；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2.投标人根据自身情况选择提供以下任意一项： ①提供2024年以来任意一年度经审计的财务报告复印件（包含审计报告和审计报告中所涉及的财务报表和报表附注）； ②也可提供2024年以来任意一年度投标人内部的财务报表复印件（至少包含资产负债表）； ③也可提供距文件递交截止日一年内银行出具的资信证明（复印件）； ④投标人注册时间至文件递交截止日不足一年的，可提供加盖电子签章的验资报告或递交响应文件截止日一年内开户行出具的资信证明，或在工商备案的公司章程（复印件）加盖投标人电子签章； ⑤投标人为个体工商户或自然人时，可提供承诺函。</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除单一来源采购项目外，为采购项目提供整体设计、规范编制或者项目管理、监理、检测等服务的供应商，不得再参加该采购项目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因系统固化原因，序号1无法编辑，本项目符合性审查以此处描述为准。 1、采购文件中没有要求投标人需要提供承诺函或证明资料进行响应的实质性条款，投标人根据系统给定的格式文件“投标（响应）函、技术要求应答表、服务要求应答表”默认响应即可。2、采购文件如要求投标人需要提供承诺函或证明资料进行响应的实质性条款，则以投标人提供的承诺函或证明资料为准（如：“投标（响应）函”中已经载明了相关承诺的，投标人可以不用重复提供承诺）。3、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完全满足采购文件“监管设备前置服务”中配套设备参数没有负偏离得32分，其具体得分按以下方法计算得分：其中不带“★”符号的项为一般参数，得分计算为：得分＝“满足项的数量”÷“一般参数项的总数量”×32 注：1、带“★”符号的项，有明确要求提供佐证材料的以佐证材料为准，未按要求提供相关佐证材料或虽提供但无法佐证的，则不予认定。未要求提供佐证材料的以供应商响应为准，但供应商必须如实响应，否则自行承担相关法律责任。2、不带“★”符号的项，有明确要求提供佐证材料的以佐证材料为准，未按要求提供相关佐证材料或虽提供但无法佐证的，则不予认定。未要求提供佐证材料的以供应商响应为准，但供应商必须如实响应，否则自行承担相关法律责任。3、无子项的要求，按该项计算。有子项的要求，按最末级的子项计算，最末级的子项以不能拆分的最小阿拉伯数字序号为一项技术要求计算。</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采购文件提供的编制内容进行综合评审内容为：1.实施方案：①服务质量保证措施；②服务进度计划保障措施；③服务应急措施；④维护方案；⑤服务培训方案。完全满足采购人需求的得30分，每缺少一项内容的扣6分；每有一处缺陷的扣3分，扣完为止。 注：“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采购文件提供的后续服务方案内容包括：①后续服务计划、②后续服务保障、③后续服务人员配备、④后续服务处理流程完全满足采购人需求的得24分，每缺少一项内容的扣6分；每有一处缺陷的扣3分，扣完为止。 注：“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投标人本项目管理、技术、服务人员情况表.docx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供应商提供2023年01月01日（含1日）以来类似业绩，每有一个的得2分，最多得4分。 注：类似业绩是指：信息化建设或运维服务业绩；提供合同复印件。</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详见附件：投标人本项目管理、技术、服务人员情况表.docx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