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版本号：N512021202500007820250707001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城市体检及县城城中村改造5年攻坚专项规划服务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N5120212025000078</w:t>
      </w:r>
    </w:p>
    <w:p>
      <w:pPr>
        <w:pStyle w:val="null3"/>
        <w:jc w:val="left"/>
        <w:outlineLvl w:val="2"/>
      </w:pPr>
      <w:r>
        <w:rPr>
          <w:rFonts w:ascii="仿宋_GB2312" w:hAnsi="仿宋_GB2312" w:cs="仿宋_GB2312" w:eastAsia="仿宋_GB2312"/>
          <w:sz w:val="28"/>
          <w:b/>
        </w:rPr>
        <w:t>安岳县住房和城乡建设局</w:t>
      </w:r>
    </w:p>
    <w:p>
      <w:pPr>
        <w:pStyle w:val="null3"/>
        <w:jc w:val="center"/>
        <w:outlineLvl w:val="2"/>
      </w:pPr>
      <w:r>
        <w:rPr>
          <w:rFonts w:ascii="仿宋_GB2312" w:hAnsi="仿宋_GB2312" w:cs="仿宋_GB2312" w:eastAsia="仿宋_GB2312"/>
          <w:sz w:val="28"/>
          <w:b/>
        </w:rPr>
        <w:t>四川合信工程项目管理有限公司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四川合信工程项目管理有限公司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安岳县住房和城乡建设局</w:t>
      </w:r>
      <w:r>
        <w:rPr>
          <w:rFonts w:ascii="仿宋_GB2312" w:hAnsi="仿宋_GB2312" w:cs="仿宋_GB2312" w:eastAsia="仿宋_GB2312"/>
        </w:rPr>
        <w:t xml:space="preserve"> 委托，拟对 </w:t>
      </w:r>
      <w:r>
        <w:rPr>
          <w:rFonts w:ascii="仿宋_GB2312" w:hAnsi="仿宋_GB2312" w:cs="仿宋_GB2312" w:eastAsia="仿宋_GB2312"/>
        </w:rPr>
        <w:t>城市体检及县城城中村改造5年攻坚专项规划服务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资阳市安岳县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N5120212025000078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城市体检及县城城中村改造5年攻坚专项规划服务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城市体检面积约12.48平方公里，城中村改造规划约30公顷。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1、投标人特殊资格要求（描述：供应商具备行政主管部门颁发的有效的城乡规划编制乙级及以上资质。）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安岳县住房和城乡建设局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安岳县岳阳镇西大街98号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15378657979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四川合信工程项目管理有限公司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四川省资阳市安岳县四川省资阳市安岳县岳城街道茶店子街401号、403号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028-24590059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采购包1：1,988,000.00元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代理服务费收费标准：供应商支付，本项目按照成本加合理利润的原则收取招标代理服务费，27900.00元。收款单位：四川合信工程项目管理有限公司 开户银行：中国建设银行股份有限公司安岳支行 账号：51050168770800001736</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安岳县住房和城乡建设局</w:t>
      </w:r>
      <w:r>
        <w:rPr>
          <w:rFonts w:ascii="仿宋_GB2312" w:hAnsi="仿宋_GB2312" w:cs="仿宋_GB2312" w:eastAsia="仿宋_GB2312"/>
        </w:rPr>
        <w:t xml:space="preserve"> 和 </w:t>
      </w:r>
      <w:r>
        <w:rPr>
          <w:rFonts w:ascii="仿宋_GB2312" w:hAnsi="仿宋_GB2312" w:cs="仿宋_GB2312" w:eastAsia="仿宋_GB2312"/>
        </w:rPr>
        <w:t>四川合信工程项目管理有限公司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安岳县住房和城乡建设局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四川合信工程项目管理有限公司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安岳县住房和城乡建设局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四川合信工程项目管理有限公司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四川合信工程项目管理有限公司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联系电话：15378657979</w:t>
      </w:r>
    </w:p>
    <w:p>
      <w:pPr>
        <w:pStyle w:val="null3"/>
        <w:jc w:val="left"/>
      </w:pPr>
      <w:r>
        <w:rPr>
          <w:rFonts w:ascii="仿宋_GB2312" w:hAnsi="仿宋_GB2312" w:cs="仿宋_GB2312" w:eastAsia="仿宋_GB2312"/>
        </w:rPr>
        <w:t>地址：安岳县岳阳镇西大街98号</w:t>
      </w:r>
    </w:p>
    <w:p>
      <w:pPr>
        <w:pStyle w:val="null3"/>
        <w:jc w:val="left"/>
      </w:pPr>
      <w:r>
        <w:rPr>
          <w:rFonts w:ascii="仿宋_GB2312" w:hAnsi="仿宋_GB2312" w:cs="仿宋_GB2312" w:eastAsia="仿宋_GB2312"/>
        </w:rPr>
        <w:t>邮编：642350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1,988,000.00</w:t>
      </w:r>
    </w:p>
    <w:p>
      <w:pPr>
        <w:pStyle w:val="null3"/>
        <w:jc w:val="left"/>
      </w:pPr>
      <w:r>
        <w:rPr>
          <w:rFonts w:ascii="仿宋_GB2312" w:hAnsi="仿宋_GB2312" w:cs="仿宋_GB2312" w:eastAsia="仿宋_GB2312"/>
        </w:rPr>
        <w:t>采购包最高限价（元）: 1,988,000.00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城市体检及县城城中村改造5年攻坚专项规划服务</w:t>
            </w:r>
          </w:p>
        </w:tc>
        <w:tc>
          <w:tcPr>
            <w:tcW w:type="dxa" w:w="821"/>
          </w:tcPr>
          <w:p>
            <w:pPr>
              <w:pStyle w:val="null3"/>
              <w:jc w:val="right"/>
            </w:pPr>
            <w:r>
              <w:rPr>
                <w:rFonts w:ascii="仿宋_GB2312" w:hAnsi="仿宋_GB2312" w:cs="仿宋_GB2312" w:eastAsia="仿宋_GB2312"/>
              </w:rPr>
              <w:t>1.00（件）</w:t>
            </w:r>
          </w:p>
        </w:tc>
        <w:tc>
          <w:tcPr>
            <w:tcW w:type="dxa" w:w="821"/>
          </w:tcPr>
          <w:p>
            <w:pPr>
              <w:pStyle w:val="null3"/>
              <w:jc w:val="right"/>
            </w:pPr>
            <w:r>
              <w:rPr>
                <w:rFonts w:ascii="仿宋_GB2312" w:hAnsi="仿宋_GB2312" w:cs="仿宋_GB2312" w:eastAsia="仿宋_GB2312"/>
              </w:rPr>
              <w:t>1,988,000.00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城市体检及县城城中村改造5年攻坚专项规划服务</w:t>
            </w:r>
          </w:p>
        </w:tc>
        <w:tc>
          <w:tcPr>
            <w:tcW w:type="dxa" w:w="1138"/>
          </w:tcPr>
          <w:p>
            <w:pPr>
              <w:pStyle w:val="null3"/>
              <w:jc w:val="center"/>
            </w:pPr>
            <w:r>
              <w:rPr>
                <w:rFonts w:ascii="仿宋_GB2312" w:hAnsi="仿宋_GB2312" w:cs="仿宋_GB2312" w:eastAsia="仿宋_GB2312"/>
              </w:rPr>
              <w:t>1.00（件）</w:t>
            </w:r>
          </w:p>
        </w:tc>
        <w:tc>
          <w:tcPr>
            <w:tcW w:type="dxa" w:w="1365"/>
          </w:tcPr>
          <w:p>
            <w:pPr>
              <w:pStyle w:val="null3"/>
              <w:jc w:val="center"/>
            </w:pPr>
            <w:r>
              <w:rPr>
                <w:rFonts w:ascii="仿宋_GB2312" w:hAnsi="仿宋_GB2312" w:cs="仿宋_GB2312" w:eastAsia="仿宋_GB2312"/>
              </w:rPr>
              <w:t>1,988,000.00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标的名称：城市体检及县城城中村改造5年攻坚专项规划服务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b/>
              </w:rPr>
              <w:t>项目背景：</w:t>
            </w:r>
          </w:p>
          <w:p>
            <w:pPr>
              <w:pStyle w:val="null3"/>
              <w:ind w:firstLine="480"/>
              <w:jc w:val="both"/>
            </w:pPr>
            <w:r>
              <w:rPr>
                <w:rFonts w:ascii="仿宋_GB2312" w:hAnsi="仿宋_GB2312" w:cs="仿宋_GB2312" w:eastAsia="仿宋_GB2312"/>
                <w:sz w:val="24"/>
              </w:rPr>
              <w:t>城市体检是城市更新的前置环节，也是城市管理的精细化手段。</w:t>
            </w:r>
            <w:r>
              <w:rPr>
                <w:rFonts w:ascii="仿宋_GB2312" w:hAnsi="仿宋_GB2312" w:cs="仿宋_GB2312" w:eastAsia="仿宋_GB2312"/>
                <w:sz w:val="24"/>
              </w:rPr>
              <w:t>2024</w:t>
            </w:r>
            <w:r>
              <w:rPr>
                <w:rFonts w:ascii="仿宋_GB2312" w:hAnsi="仿宋_GB2312" w:cs="仿宋_GB2312" w:eastAsia="仿宋_GB2312"/>
                <w:sz w:val="24"/>
              </w:rPr>
              <w:t>年</w:t>
            </w:r>
            <w:r>
              <w:rPr>
                <w:rFonts w:ascii="仿宋_GB2312" w:hAnsi="仿宋_GB2312" w:cs="仿宋_GB2312" w:eastAsia="仿宋_GB2312"/>
                <w:sz w:val="24"/>
              </w:rPr>
              <w:t>5</w:t>
            </w:r>
            <w:r>
              <w:rPr>
                <w:rFonts w:ascii="仿宋_GB2312" w:hAnsi="仿宋_GB2312" w:cs="仿宋_GB2312" w:eastAsia="仿宋_GB2312"/>
                <w:sz w:val="24"/>
              </w:rPr>
              <w:t>月，四川省住建厅印发《关于开展县城体检工作的通知》（川建景园函〔</w:t>
            </w:r>
            <w:r>
              <w:rPr>
                <w:rFonts w:ascii="仿宋_GB2312" w:hAnsi="仿宋_GB2312" w:cs="仿宋_GB2312" w:eastAsia="仿宋_GB2312"/>
                <w:sz w:val="24"/>
              </w:rPr>
              <w:t>2024</w:t>
            </w:r>
            <w:r>
              <w:rPr>
                <w:rFonts w:ascii="仿宋_GB2312" w:hAnsi="仿宋_GB2312" w:cs="仿宋_GB2312" w:eastAsia="仿宋_GB2312"/>
                <w:sz w:val="24"/>
              </w:rPr>
              <w:t>〕</w:t>
            </w:r>
            <w:r>
              <w:rPr>
                <w:rFonts w:ascii="仿宋_GB2312" w:hAnsi="仿宋_GB2312" w:cs="仿宋_GB2312" w:eastAsia="仿宋_GB2312"/>
                <w:sz w:val="24"/>
              </w:rPr>
              <w:t>1648</w:t>
            </w:r>
            <w:r>
              <w:rPr>
                <w:rFonts w:ascii="仿宋_GB2312" w:hAnsi="仿宋_GB2312" w:cs="仿宋_GB2312" w:eastAsia="仿宋_GB2312"/>
                <w:sz w:val="24"/>
              </w:rPr>
              <w:t>号），要求原则上</w:t>
            </w:r>
            <w:r>
              <w:rPr>
                <w:rFonts w:ascii="仿宋_GB2312" w:hAnsi="仿宋_GB2312" w:cs="仿宋_GB2312" w:eastAsia="仿宋_GB2312"/>
                <w:sz w:val="24"/>
              </w:rPr>
              <w:t>2026</w:t>
            </w:r>
            <w:r>
              <w:rPr>
                <w:rFonts w:ascii="仿宋_GB2312" w:hAnsi="仿宋_GB2312" w:cs="仿宋_GB2312" w:eastAsia="仿宋_GB2312"/>
                <w:sz w:val="24"/>
              </w:rPr>
              <w:t>年实现全省县（市）体检全覆盖。安岳县拟开展城市体检工作，系统排查城市问题，为更新工作提供依据。</w:t>
            </w:r>
          </w:p>
          <w:p>
            <w:pPr>
              <w:pStyle w:val="null3"/>
              <w:ind w:firstLine="480"/>
              <w:jc w:val="both"/>
            </w:pPr>
            <w:r>
              <w:rPr>
                <w:rFonts w:ascii="仿宋_GB2312" w:hAnsi="仿宋_GB2312" w:cs="仿宋_GB2312" w:eastAsia="仿宋_GB2312"/>
                <w:sz w:val="24"/>
              </w:rPr>
              <w:t>城中村是城镇化快速发展的产物，普遍存在公共卫生风险高、消防隐患突出、配套设施滞后、环境脏乱差、治理难度大等问题。安岳县拟编制城中村改造五年攻坚专项规划，统筹推进改造工作，助力城市高质量发展。</w:t>
            </w:r>
          </w:p>
          <w:p>
            <w:pPr>
              <w:pStyle w:val="null3"/>
              <w:jc w:val="both"/>
            </w:pP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rPr>
              <w:t>（一）安岳县城市体检报告：</w:t>
            </w:r>
          </w:p>
          <w:p>
            <w:pPr>
              <w:pStyle w:val="null3"/>
              <w:numPr>
                <w:ilvl w:val="0"/>
                <w:numId w:val="1"/>
              </w:numPr>
              <w:jc w:val="both"/>
            </w:pPr>
            <w:r>
              <w:rPr>
                <w:rFonts w:ascii="仿宋_GB2312" w:hAnsi="仿宋_GB2312" w:cs="仿宋_GB2312" w:eastAsia="仿宋_GB2312"/>
                <w:sz w:val="24"/>
              </w:rPr>
              <w:t>规划范围：城市体检范围为中心城区建成区（石桥街道、岳城街道和岳阳镇建成区），面积约</w:t>
            </w:r>
            <w:r>
              <w:rPr>
                <w:rFonts w:ascii="仿宋_GB2312" w:hAnsi="仿宋_GB2312" w:cs="仿宋_GB2312" w:eastAsia="仿宋_GB2312"/>
                <w:sz w:val="24"/>
              </w:rPr>
              <w:t>14</w:t>
            </w:r>
            <w:r>
              <w:rPr>
                <w:rFonts w:ascii="仿宋_GB2312" w:hAnsi="仿宋_GB2312" w:cs="仿宋_GB2312" w:eastAsia="仿宋_GB2312"/>
                <w:sz w:val="24"/>
              </w:rPr>
              <w:t>平方公里。</w:t>
            </w:r>
          </w:p>
          <w:p>
            <w:pPr>
              <w:pStyle w:val="null3"/>
              <w:numPr>
                <w:ilvl w:val="0"/>
                <w:numId w:val="1"/>
              </w:numPr>
              <w:jc w:val="both"/>
            </w:pPr>
            <w:r>
              <w:rPr>
                <w:rFonts w:ascii="仿宋_GB2312" w:hAnsi="仿宋_GB2312" w:cs="仿宋_GB2312" w:eastAsia="仿宋_GB2312"/>
                <w:sz w:val="24"/>
              </w:rPr>
              <w:t>主要规划内容：</w:t>
            </w:r>
          </w:p>
          <w:p>
            <w:pPr>
              <w:pStyle w:val="null3"/>
              <w:ind w:firstLine="480"/>
              <w:jc w:val="both"/>
            </w:pPr>
            <w:r>
              <w:rPr>
                <w:rFonts w:ascii="仿宋_GB2312" w:hAnsi="仿宋_GB2312" w:cs="仿宋_GB2312" w:eastAsia="仿宋_GB2312"/>
                <w:sz w:val="24"/>
              </w:rPr>
              <w:t>构建安岳县城市体检基础指标体系，包括住房、小区（社区）、街区、城区（城市）</w:t>
            </w:r>
            <w:r>
              <w:rPr>
                <w:rFonts w:ascii="仿宋_GB2312" w:hAnsi="仿宋_GB2312" w:cs="仿宋_GB2312" w:eastAsia="仿宋_GB2312"/>
                <w:sz w:val="24"/>
              </w:rPr>
              <w:t>4</w:t>
            </w:r>
            <w:r>
              <w:rPr>
                <w:rFonts w:ascii="仿宋_GB2312" w:hAnsi="仿宋_GB2312" w:cs="仿宋_GB2312" w:eastAsia="仿宋_GB2312"/>
                <w:sz w:val="24"/>
              </w:rPr>
              <w:t>个维度若干项具体指标。其中住房维度包括安全耐久、功能完备、绿色智能</w:t>
            </w:r>
            <w:r>
              <w:rPr>
                <w:rFonts w:ascii="仿宋_GB2312" w:hAnsi="仿宋_GB2312" w:cs="仿宋_GB2312" w:eastAsia="仿宋_GB2312"/>
                <w:sz w:val="24"/>
              </w:rPr>
              <w:t>3</w:t>
            </w:r>
            <w:r>
              <w:rPr>
                <w:rFonts w:ascii="仿宋_GB2312" w:hAnsi="仿宋_GB2312" w:cs="仿宋_GB2312" w:eastAsia="仿宋_GB2312"/>
                <w:sz w:val="24"/>
              </w:rPr>
              <w:t>个方面，小区（社区）维度包括设施完善、环境宜居、管理健全</w:t>
            </w:r>
            <w:r>
              <w:rPr>
                <w:rFonts w:ascii="仿宋_GB2312" w:hAnsi="仿宋_GB2312" w:cs="仿宋_GB2312" w:eastAsia="仿宋_GB2312"/>
                <w:sz w:val="24"/>
              </w:rPr>
              <w:t>3</w:t>
            </w:r>
            <w:r>
              <w:rPr>
                <w:rFonts w:ascii="仿宋_GB2312" w:hAnsi="仿宋_GB2312" w:cs="仿宋_GB2312" w:eastAsia="仿宋_GB2312"/>
                <w:sz w:val="24"/>
              </w:rPr>
              <w:t>个方面，街区维度包括功能完善、整洁有序、特色活力</w:t>
            </w:r>
            <w:r>
              <w:rPr>
                <w:rFonts w:ascii="仿宋_GB2312" w:hAnsi="仿宋_GB2312" w:cs="仿宋_GB2312" w:eastAsia="仿宋_GB2312"/>
                <w:sz w:val="24"/>
              </w:rPr>
              <w:t>3</w:t>
            </w:r>
            <w:r>
              <w:rPr>
                <w:rFonts w:ascii="仿宋_GB2312" w:hAnsi="仿宋_GB2312" w:cs="仿宋_GB2312" w:eastAsia="仿宋_GB2312"/>
                <w:sz w:val="24"/>
              </w:rPr>
              <w:t>个方面，城区（城市）维度包括生态宜居、历史文化保护利用、产城融合</w:t>
            </w:r>
            <w:r>
              <w:rPr>
                <w:rFonts w:ascii="仿宋_GB2312" w:hAnsi="仿宋_GB2312" w:cs="仿宋_GB2312" w:eastAsia="仿宋_GB2312"/>
                <w:sz w:val="24"/>
              </w:rPr>
              <w:t>-</w:t>
            </w:r>
            <w:r>
              <w:rPr>
                <w:rFonts w:ascii="仿宋_GB2312" w:hAnsi="仿宋_GB2312" w:cs="仿宋_GB2312" w:eastAsia="仿宋_GB2312"/>
                <w:sz w:val="24"/>
              </w:rPr>
              <w:t>职住平衡、安全韧性、智慧高效</w:t>
            </w:r>
            <w:r>
              <w:rPr>
                <w:rFonts w:ascii="仿宋_GB2312" w:hAnsi="仿宋_GB2312" w:cs="仿宋_GB2312" w:eastAsia="仿宋_GB2312"/>
                <w:sz w:val="24"/>
              </w:rPr>
              <w:t>5</w:t>
            </w:r>
            <w:r>
              <w:rPr>
                <w:rFonts w:ascii="仿宋_GB2312" w:hAnsi="仿宋_GB2312" w:cs="仿宋_GB2312" w:eastAsia="仿宋_GB2312"/>
                <w:sz w:val="24"/>
              </w:rPr>
              <w:t xml:space="preserve">个方面，并在此基础之上，将结合安岳县自身实际情况增加特色化指标，确保指标可评价、数据可获取。通过指标的分析与评价，诊断安岳县存在的城市问题，梳理安岳县城市体检“问题清单”“整治清单”，并从城市层面、街区层面、社区层面、住房层面提出针对性的治理对策。 </w:t>
            </w:r>
          </w:p>
          <w:p>
            <w:pPr>
              <w:pStyle w:val="null3"/>
              <w:ind w:firstLine="480"/>
              <w:jc w:val="both"/>
            </w:pPr>
            <w:r>
              <w:rPr>
                <w:rFonts w:ascii="仿宋_GB2312" w:hAnsi="仿宋_GB2312" w:cs="仿宋_GB2312" w:eastAsia="仿宋_GB2312"/>
                <w:sz w:val="24"/>
              </w:rPr>
              <w:t>（二）安岳县城城中村改造</w:t>
            </w:r>
            <w:r>
              <w:rPr>
                <w:rFonts w:ascii="仿宋_GB2312" w:hAnsi="仿宋_GB2312" w:cs="仿宋_GB2312" w:eastAsia="仿宋_GB2312"/>
                <w:sz w:val="24"/>
              </w:rPr>
              <w:t>5</w:t>
            </w:r>
            <w:r>
              <w:rPr>
                <w:rFonts w:ascii="仿宋_GB2312" w:hAnsi="仿宋_GB2312" w:cs="仿宋_GB2312" w:eastAsia="仿宋_GB2312"/>
                <w:sz w:val="24"/>
              </w:rPr>
              <w:t>年攻坚专项规划：</w:t>
            </w:r>
          </w:p>
          <w:p>
            <w:pPr>
              <w:pStyle w:val="null3"/>
              <w:numPr>
                <w:ilvl w:val="0"/>
                <w:numId w:val="1"/>
              </w:numPr>
              <w:jc w:val="both"/>
            </w:pPr>
            <w:r>
              <w:rPr>
                <w:rFonts w:ascii="仿宋_GB2312" w:hAnsi="仿宋_GB2312" w:cs="仿宋_GB2312" w:eastAsia="仿宋_GB2312"/>
                <w:sz w:val="24"/>
              </w:rPr>
              <w:t>规划范围：城市体检范围为中心城区建成区（石桥街道、岳城街道和岳阳镇建成区），面积约</w:t>
            </w:r>
            <w:r>
              <w:rPr>
                <w:rFonts w:ascii="仿宋_GB2312" w:hAnsi="仿宋_GB2312" w:cs="仿宋_GB2312" w:eastAsia="仿宋_GB2312"/>
                <w:sz w:val="24"/>
              </w:rPr>
              <w:t>14</w:t>
            </w:r>
            <w:r>
              <w:rPr>
                <w:rFonts w:ascii="仿宋_GB2312" w:hAnsi="仿宋_GB2312" w:cs="仿宋_GB2312" w:eastAsia="仿宋_GB2312"/>
                <w:sz w:val="24"/>
              </w:rPr>
              <w:t>平方公里。</w:t>
            </w:r>
          </w:p>
          <w:p>
            <w:pPr>
              <w:pStyle w:val="null3"/>
              <w:numPr>
                <w:ilvl w:val="0"/>
                <w:numId w:val="1"/>
              </w:numPr>
              <w:jc w:val="both"/>
            </w:pPr>
            <w:r>
              <w:rPr>
                <w:rFonts w:ascii="仿宋_GB2312" w:hAnsi="仿宋_GB2312" w:cs="仿宋_GB2312" w:eastAsia="仿宋_GB2312"/>
                <w:sz w:val="24"/>
              </w:rPr>
              <w:t>主要规划内容：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）改造范围。摸清城中村总量、分布、规模等情况，合理确定城中村改造范围。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规划任务。从城区统筹协调的角度，结合城中村改造自身条件和交通、公服、景观等周边环境，合理确定城中村改造类型。结合产业发展、住房需求等，研判住房发展趋势，明确城中村改造目标，确定改造方式，提出城中村改造整治类型和主要控制指标等。梳理项目清单，估算项目投资，提出资金筹措安排建议、支持政策建议、组织实施建议等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）城中村改造片区方案设计指引。选取城区拆整结合、综合整治类各一个城中村改造片区公共空间进行片区方案设计指引。</w:t>
            </w:r>
          </w:p>
          <w:p>
            <w:pPr>
              <w:pStyle w:val="null3"/>
              <w:jc w:val="both"/>
            </w:pPr>
            <w:r>
              <w:rPr>
                <w:rFonts w:ascii="仿宋_GB2312" w:hAnsi="仿宋_GB2312" w:cs="仿宋_GB2312" w:eastAsia="仿宋_GB2312"/>
                <w:sz w:val="24"/>
                <w:b/>
              </w:rPr>
              <w:t>成果内容：</w:t>
            </w:r>
            <w:r>
              <w:rPr>
                <w:rFonts w:ascii="仿宋_GB2312" w:hAnsi="仿宋_GB2312" w:cs="仿宋_GB2312" w:eastAsia="仿宋_GB2312"/>
                <w:sz w:val="24"/>
              </w:rPr>
              <w:t>《安岳县城市体检报告》《安岳县城城中村改造</w:t>
            </w:r>
            <w:r>
              <w:rPr>
                <w:rFonts w:ascii="仿宋_GB2312" w:hAnsi="仿宋_GB2312" w:cs="仿宋_GB2312" w:eastAsia="仿宋_GB2312"/>
                <w:sz w:val="24"/>
              </w:rPr>
              <w:t>5</w:t>
            </w:r>
            <w:r>
              <w:rPr>
                <w:rFonts w:ascii="仿宋_GB2312" w:hAnsi="仿宋_GB2312" w:cs="仿宋_GB2312" w:eastAsia="仿宋_GB2312"/>
                <w:sz w:val="24"/>
              </w:rPr>
              <w:t>年攻坚专项规划》纸质成果各</w:t>
            </w:r>
            <w:r>
              <w:rPr>
                <w:rFonts w:ascii="仿宋_GB2312" w:hAnsi="仿宋_GB2312" w:cs="仿宋_GB2312" w:eastAsia="仿宋_GB2312"/>
                <w:sz w:val="24"/>
              </w:rPr>
              <w:t>6</w:t>
            </w:r>
            <w:r>
              <w:rPr>
                <w:rFonts w:ascii="仿宋_GB2312" w:hAnsi="仿宋_GB2312" w:cs="仿宋_GB2312" w:eastAsia="仿宋_GB2312"/>
                <w:sz w:val="24"/>
              </w:rPr>
              <w:t>套，电子版各</w:t>
            </w:r>
            <w:r>
              <w:rPr>
                <w:rFonts w:ascii="仿宋_GB2312" w:hAnsi="仿宋_GB2312" w:cs="仿宋_GB2312" w:eastAsia="仿宋_GB2312"/>
                <w:sz w:val="24"/>
              </w:rPr>
              <w:t>2</w:t>
            </w:r>
            <w:r>
              <w:rPr>
                <w:rFonts w:ascii="仿宋_GB2312" w:hAnsi="仿宋_GB2312" w:cs="仿宋_GB2312" w:eastAsia="仿宋_GB2312"/>
                <w:sz w:val="24"/>
              </w:rPr>
              <w:t>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 约 能 力</w:t>
            </w:r>
          </w:p>
        </w:tc>
        <w:tc>
          <w:tcPr>
            <w:tcW w:type="dxa" w:w="5814"/>
          </w:tcPr>
          <w:p>
            <w:pPr>
              <w:pStyle w:val="null3"/>
              <w:jc w:val="left"/>
            </w:pPr>
            <w:r>
              <w:rPr>
                <w:rFonts w:ascii="仿宋_GB2312" w:hAnsi="仿宋_GB2312" w:cs="仿宋_GB2312" w:eastAsia="仿宋_GB2312"/>
                <w:sz w:val="19"/>
                <w:color w:val="000000"/>
              </w:rPr>
              <w:t>供应商按磋商文件要求提供</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拟 派 往 本 项 目 的 人 员 配 置</w:t>
            </w:r>
          </w:p>
        </w:tc>
        <w:tc>
          <w:tcPr>
            <w:tcW w:type="dxa" w:w="5814"/>
          </w:tcPr>
          <w:p>
            <w:pPr>
              <w:pStyle w:val="null3"/>
              <w:jc w:val="left"/>
            </w:pPr>
            <w:r>
              <w:rPr>
                <w:rFonts w:ascii="仿宋_GB2312" w:hAnsi="仿宋_GB2312" w:cs="仿宋_GB2312" w:eastAsia="仿宋_GB2312"/>
                <w:sz w:val="19"/>
                <w:color w:val="000000"/>
              </w:rPr>
              <w:t>供应商按磋商文件要求提供</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sz w:val="24"/>
                <w:color w:val="000000"/>
              </w:rPr>
              <w:t>1、根据供应商针对本项目</w:t>
            </w:r>
            <w:r>
              <w:rPr>
                <w:rFonts w:ascii="仿宋_GB2312" w:hAnsi="仿宋_GB2312" w:cs="仿宋_GB2312" w:eastAsia="仿宋_GB2312"/>
                <w:sz w:val="24"/>
                <w:color w:val="000000"/>
              </w:rPr>
              <w:t>的需求分析进行综合评</w:t>
            </w:r>
            <w:r>
              <w:rPr>
                <w:rFonts w:ascii="仿宋_GB2312" w:hAnsi="仿宋_GB2312" w:cs="仿宋_GB2312" w:eastAsia="仿宋_GB2312"/>
                <w:sz w:val="24"/>
                <w:color w:val="000000"/>
              </w:rPr>
              <w:t>分：内容包括但不限</w:t>
            </w:r>
            <w:r>
              <w:rPr>
                <w:rFonts w:ascii="仿宋_GB2312" w:hAnsi="仿宋_GB2312" w:cs="仿宋_GB2312" w:eastAsia="仿宋_GB2312"/>
                <w:sz w:val="24"/>
                <w:color w:val="000000"/>
              </w:rPr>
              <w:t>于：安岳县城市体检：</w:t>
            </w:r>
            <w:r>
              <w:rPr>
                <w:rFonts w:ascii="仿宋_GB2312" w:hAnsi="仿宋_GB2312" w:cs="仿宋_GB2312" w:eastAsia="仿宋_GB2312"/>
                <w:sz w:val="24"/>
                <w:color w:val="000000"/>
              </w:rPr>
              <w:t>①安岳县城市体检背景</w:t>
            </w:r>
            <w:r>
              <w:rPr>
                <w:rFonts w:ascii="仿宋_GB2312" w:hAnsi="仿宋_GB2312" w:cs="仿宋_GB2312" w:eastAsia="仿宋_GB2312"/>
                <w:sz w:val="24"/>
                <w:color w:val="000000"/>
              </w:rPr>
              <w:t>理解；②城市体检技术</w:t>
            </w:r>
            <w:r>
              <w:rPr>
                <w:rFonts w:ascii="仿宋_GB2312" w:hAnsi="仿宋_GB2312" w:cs="仿宋_GB2312" w:eastAsia="仿宋_GB2312"/>
                <w:sz w:val="24"/>
                <w:color w:val="000000"/>
              </w:rPr>
              <w:t>路线；③工作组织思</w:t>
            </w:r>
            <w:r>
              <w:rPr>
                <w:rFonts w:ascii="仿宋_GB2312" w:hAnsi="仿宋_GB2312" w:cs="仿宋_GB2312" w:eastAsia="仿宋_GB2312"/>
                <w:sz w:val="24"/>
                <w:color w:val="000000"/>
              </w:rPr>
              <w:t>路；④指标体系设计；</w:t>
            </w:r>
            <w:r>
              <w:rPr>
                <w:rFonts w:ascii="仿宋_GB2312" w:hAnsi="仿宋_GB2312" w:cs="仿宋_GB2312" w:eastAsia="仿宋_GB2312"/>
                <w:sz w:val="24"/>
                <w:color w:val="000000"/>
              </w:rPr>
              <w:t>⑤体检结果应用。</w:t>
            </w:r>
            <w:r>
              <w:rPr>
                <w:rFonts w:ascii="仿宋_GB2312" w:hAnsi="仿宋_GB2312" w:cs="仿宋_GB2312" w:eastAsia="仿宋_GB2312"/>
                <w:sz w:val="24"/>
                <w:color w:val="000000"/>
              </w:rPr>
              <w:t xml:space="preserve">2、安岳 </w:t>
            </w:r>
            <w:r>
              <w:rPr>
                <w:rFonts w:ascii="仿宋_GB2312" w:hAnsi="仿宋_GB2312" w:cs="仿宋_GB2312" w:eastAsia="仿宋_GB2312"/>
                <w:sz w:val="24"/>
                <w:color w:val="000000"/>
              </w:rPr>
              <w:t>县城城中村改造5年攻坚</w:t>
            </w:r>
            <w:r>
              <w:rPr>
                <w:rFonts w:ascii="仿宋_GB2312" w:hAnsi="仿宋_GB2312" w:cs="仿宋_GB2312" w:eastAsia="仿宋_GB2312"/>
                <w:sz w:val="24"/>
                <w:color w:val="000000"/>
              </w:rPr>
              <w:t>专项规划：①安岳县城</w:t>
            </w:r>
            <w:r>
              <w:rPr>
                <w:rFonts w:ascii="仿宋_GB2312" w:hAnsi="仿宋_GB2312" w:cs="仿宋_GB2312" w:eastAsia="仿宋_GB2312"/>
                <w:sz w:val="24"/>
                <w:color w:val="000000"/>
              </w:rPr>
              <w:t>市概况；②城中村政策</w:t>
            </w:r>
            <w:r>
              <w:rPr>
                <w:rFonts w:ascii="仿宋_GB2312" w:hAnsi="仿宋_GB2312" w:cs="仿宋_GB2312" w:eastAsia="仿宋_GB2312"/>
                <w:sz w:val="24"/>
                <w:color w:val="000000"/>
              </w:rPr>
              <w:t>和相关规划解读；③存</w:t>
            </w:r>
            <w:r>
              <w:rPr>
                <w:rFonts w:ascii="仿宋_GB2312" w:hAnsi="仿宋_GB2312" w:cs="仿宋_GB2312" w:eastAsia="仿宋_GB2312"/>
                <w:sz w:val="24"/>
                <w:color w:val="000000"/>
              </w:rPr>
              <w:t>在的突出问题和短板；</w:t>
            </w:r>
            <w:r>
              <w:rPr>
                <w:rFonts w:ascii="仿宋_GB2312" w:hAnsi="仿宋_GB2312" w:cs="仿宋_GB2312" w:eastAsia="仿宋_GB2312"/>
                <w:sz w:val="24"/>
                <w:color w:val="000000"/>
              </w:rPr>
              <w:t>④城中村改造的必要性</w:t>
            </w:r>
            <w:r>
              <w:rPr>
                <w:rFonts w:ascii="仿宋_GB2312" w:hAnsi="仿宋_GB2312" w:cs="仿宋_GB2312" w:eastAsia="仿宋_GB2312"/>
                <w:sz w:val="24"/>
                <w:color w:val="000000"/>
              </w:rPr>
              <w:t>和优势分析；⑤城中村</w:t>
            </w:r>
            <w:r>
              <w:rPr>
                <w:rFonts w:ascii="仿宋_GB2312" w:hAnsi="仿宋_GB2312" w:cs="仿宋_GB2312" w:eastAsia="仿宋_GB2312"/>
                <w:sz w:val="24"/>
                <w:color w:val="000000"/>
              </w:rPr>
              <w:t>改造规划原则和思路。</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后续服务方案</w:t>
            </w:r>
          </w:p>
        </w:tc>
        <w:tc>
          <w:tcPr>
            <w:tcW w:type="dxa" w:w="5814"/>
          </w:tcPr>
          <w:p>
            <w:pPr>
              <w:pStyle w:val="null3"/>
              <w:jc w:val="left"/>
            </w:pPr>
            <w:r>
              <w:rPr>
                <w:rFonts w:ascii="仿宋_GB2312" w:hAnsi="仿宋_GB2312" w:cs="仿宋_GB2312" w:eastAsia="仿宋_GB2312"/>
                <w:sz w:val="24"/>
                <w:color w:val="000000"/>
              </w:rPr>
              <w:t>根据供应商提供的后续</w:t>
            </w:r>
            <w:r>
              <w:rPr>
                <w:rFonts w:ascii="仿宋_GB2312" w:hAnsi="仿宋_GB2312" w:cs="仿宋_GB2312" w:eastAsia="仿宋_GB2312"/>
                <w:sz w:val="24"/>
                <w:color w:val="000000"/>
              </w:rPr>
              <w:t>服务方案进行评审，包</w:t>
            </w:r>
            <w:r>
              <w:rPr>
                <w:rFonts w:ascii="仿宋_GB2312" w:hAnsi="仿宋_GB2312" w:cs="仿宋_GB2312" w:eastAsia="仿宋_GB2312"/>
                <w:sz w:val="24"/>
                <w:color w:val="000000"/>
              </w:rPr>
              <w:t>括：①拟任本项目的成</w:t>
            </w:r>
            <w:r>
              <w:rPr>
                <w:rFonts w:ascii="仿宋_GB2312" w:hAnsi="仿宋_GB2312" w:cs="仿宋_GB2312" w:eastAsia="仿宋_GB2312"/>
                <w:sz w:val="24"/>
                <w:color w:val="000000"/>
              </w:rPr>
              <w:t>员组织分工方案，②工</w:t>
            </w:r>
            <w:r>
              <w:rPr>
                <w:rFonts w:ascii="仿宋_GB2312" w:hAnsi="仿宋_GB2312" w:cs="仿宋_GB2312" w:eastAsia="仿宋_GB2312"/>
                <w:sz w:val="24"/>
                <w:color w:val="000000"/>
              </w:rPr>
              <w:t>作进度控制方案，③成</w:t>
            </w:r>
            <w:r>
              <w:rPr>
                <w:rFonts w:ascii="仿宋_GB2312" w:hAnsi="仿宋_GB2312" w:cs="仿宋_GB2312" w:eastAsia="仿宋_GB2312"/>
                <w:sz w:val="24"/>
                <w:color w:val="000000"/>
              </w:rPr>
              <w:t>果质量保障措施，④后</w:t>
            </w:r>
            <w:r>
              <w:rPr>
                <w:rFonts w:ascii="仿宋_GB2312" w:hAnsi="仿宋_GB2312" w:cs="仿宋_GB2312" w:eastAsia="仿宋_GB2312"/>
                <w:sz w:val="24"/>
                <w:color w:val="000000"/>
              </w:rPr>
              <w:t>续服务计划，⑤后续服</w:t>
            </w:r>
            <w:r>
              <w:rPr>
                <w:rFonts w:ascii="仿宋_GB2312" w:hAnsi="仿宋_GB2312" w:cs="仿宋_GB2312" w:eastAsia="仿宋_GB2312"/>
                <w:sz w:val="24"/>
                <w:color w:val="000000"/>
              </w:rPr>
              <w:t>务承诺。</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自合同签订之日起180日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采购人将严格按照政府采购相关法律法规、《财政部关 于进一步加强政府采购需求和 履约验收管理的指导意见》（财库〔2016〕205号）、《政 府采购需求管理办法》（ 财库〔2021〕22号）及采购文件的质量要求和技术指标、成交 供应商的响应文件及 承诺以及合同约定标准，组织相关部门或单位进行验收。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1、合同签订生效后，达到付款条件起30日内，支付合同总金额的30.00%</w:t>
            </w:r>
          </w:p>
          <w:p>
            <w:pPr>
              <w:pStyle w:val="null3"/>
              <w:jc w:val="left"/>
            </w:pPr>
            <w:r>
              <w:rPr>
                <w:rFonts w:ascii="仿宋_GB2312" w:hAnsi="仿宋_GB2312" w:cs="仿宋_GB2312" w:eastAsia="仿宋_GB2312"/>
              </w:rPr>
              <w:t>2、完成项目初步方案，达到付款条件起30日内，支付合同总金额的30.00%</w:t>
            </w:r>
          </w:p>
          <w:p>
            <w:pPr>
              <w:pStyle w:val="null3"/>
              <w:jc w:val="left"/>
            </w:pPr>
            <w:r>
              <w:rPr>
                <w:rFonts w:ascii="仿宋_GB2312" w:hAnsi="仿宋_GB2312" w:cs="仿宋_GB2312" w:eastAsia="仿宋_GB2312"/>
              </w:rPr>
              <w:t>3、提交正式项目成果，达到付款条件起30日内，支付合同总金额的40.00%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（1）因服务的质量问题发生争议， 由采购人 或其指定的第三方机 构进行质量鉴定 。服务符合标准的，鉴定费由采购人承担；服务不 符合质量标准的，鉴定费由供应商承担。（2）合同履行期间,若双方发生争议，可协商或 由有关部门调解解决，协商或调解不成的，向项目所在地人民法院起诉。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★本项目采购和执行过程中，如有国家（行业、地方、企业、团 体）新规范、标准 和新政策，则按新规范、标准和新政策执行。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投标人特殊资格要求</w:t>
            </w:r>
          </w:p>
        </w:tc>
        <w:tc>
          <w:tcPr>
            <w:tcW w:type="dxa" w:w="3322"/>
          </w:tcPr>
          <w:p>
            <w:pPr>
              <w:pStyle w:val="null3"/>
              <w:jc w:val="left"/>
            </w:pPr>
            <w:r>
              <w:rPr>
                <w:rFonts w:ascii="仿宋_GB2312" w:hAnsi="仿宋_GB2312" w:cs="仿宋_GB2312" w:eastAsia="仿宋_GB2312"/>
              </w:rPr>
              <w:t>供应商具备行政主管部门颁发的有效的城乡规划编制乙级及以上资质。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是否满招标文件的技术及商务要求 的实质性条款。</w:t>
            </w:r>
          </w:p>
        </w:tc>
        <w:tc>
          <w:tcPr>
            <w:tcW w:type="dxa" w:w="3322"/>
          </w:tcPr>
          <w:p>
            <w:pPr>
              <w:pStyle w:val="null3"/>
              <w:jc w:val="left"/>
            </w:pPr>
            <w:r>
              <w:rPr>
                <w:rFonts w:ascii="仿宋_GB2312" w:hAnsi="仿宋_GB2312" w:cs="仿宋_GB2312" w:eastAsia="仿宋_GB2312"/>
              </w:rPr>
              <w:t>按照招标文件第三章技术及商务要求的实质性 条款评审。</w:t>
            </w:r>
          </w:p>
        </w:tc>
        <w:tc>
          <w:tcPr>
            <w:tcW w:type="dxa" w:w="1910"/>
          </w:tcPr>
          <w:p>
            <w:pPr>
              <w:pStyle w:val="null3"/>
              <w:jc w:val="left"/>
            </w:pPr>
            <w:r>
              <w:rPr>
                <w:rFonts w:ascii="仿宋_GB2312" w:hAnsi="仿宋_GB2312" w:cs="仿宋_GB2312" w:eastAsia="仿宋_GB2312"/>
              </w:rPr>
              <w:t>响应文件封面,供应商提供的其他文件和资料（若有）.docx,中小企业声明函,残疾人福利性单位声明函,供应商应提交的相关证明材料,服务应答表,报价表,投标（响应）函,服务方案.docx,监狱企业的证明文件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的需求分析进行综合评分：内容包括但不限于：1、安岳县城市体检：①安岳县城市体检背景理解；②城市体检技术路线；③工作组织思路；④指标体系设计；⑤体检结果应用。2、安岳县城城中村改造5年攻坚专项规划：①安岳县城市概况；②城中村政策和相关规划解读；③存在的突出问题和短板；④城中村改造的必要性和优势分析；⑤城中村改造规划原则和思路。上述内容完善、描述准确，满足项目实际采购需求的得40分。每缺少一项内容扣4分，每有一项存在缺陷或不合理的扣2分，扣完为止， 未提供的不得分。 注：缺陷或不合理是指：①本项目提供的方案中引用法律、规范 、标准存在失效或错误；②分析内容与实际情况不符或与项目无关或与项目不匹配或 项目名称、实施地点、涉及的规范、技术服务标准要求与本项目不一致等；③内容矛盾或表述前后不一致；④复制或套用其他项目内容；以上任意一种情形。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进行评审，包括：①拟任本项目的成员组织分工方案，②工作进度控制方案，③成果质量保障措施，④后续服务计划，⑤后续服务承诺。上述内容满足要求的得20分，每缺少一项内容扣4分，每有一项存在缺陷或不合理的扣2分，扣完为止，未提供的不得分。 注：缺陷或不合理是指：①本项目提供的方案中引用法律、规范 、标准存在失效或错误；②分析内容与实际情况不符或与项目无关或与项目不匹配或 项目名称、实施地点、涉及的规范、技术服务标准要求与本项目不一致等；③内容矛 盾或表述前后不一致；④复制或套用其他项目内容；以上任意一种情形。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供应商2022年1月1日(含)至递交响应文件截止日具有类似项目业绩的，每提供一个得2分，最多得6分。重复不得分。 注：业绩证明材料以合同或中标（成交）通知书为准；（提供复印件并加盖鲜章）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拟派往本项目的人员配备</w:t>
            </w:r>
          </w:p>
        </w:tc>
        <w:tc>
          <w:tcPr>
            <w:tcW w:type="dxa" w:w="2575"/>
          </w:tcPr>
          <w:p>
            <w:pPr>
              <w:pStyle w:val="null3"/>
              <w:jc w:val="left"/>
            </w:pPr>
            <w:r>
              <w:rPr>
                <w:rFonts w:ascii="仿宋_GB2312" w:hAnsi="仿宋_GB2312" w:cs="仿宋_GB2312" w:eastAsia="仿宋_GB2312"/>
              </w:rPr>
              <w:t>1、项目负责人1人： 供应商拟派的项目负责人具有注册城乡（城市）规划师证书的得5分；同时具有城市规划类相关专业中级职称证书的加1分；具有城市规划类相关专业高级职称证书的加2分，具有城市规划类相关专业正高级及以上职称证书的加3分；本项最高得8分；未提供则不得分。 2、技术负责人1人： 供应商拟派的技术负责人具有注册城乡（城市）规划师证书的得3分；同时具有城市规划类相关专业中级职称证书加1分，具有城市规划类相关专业高级及以上职称证书的加2分；本项最高得5分；未提供则不得分。 3、供应商拟投入本项目团队人员： （1）城市规划类专业人员1名：具有注册城乡（城市）规划师证书的得2分；同时具有城市规划类相关专业中级及以上职称证书的加1分，本项最多得3分； 未提供则不得分。 （2）建筑专业人员1名：具有国家二级注册建筑师证书的得1分，具有国家一级注册建筑师证书的得2分；同时具有建筑类相关专业中级及以上职称证书的加1分，本项最多得3分；未提供则不得分。 （3）市政专业人员1名：具有注册公用设备工程师（给水排水）证书得2分；同时具有建筑类相关专业中级及以上职称证书的加1分，本项最多得3分；未提供则不得分。 （4）风景园林专业人员1名：具有风景园林类相关专业中级职称证书的得1分，具有风景园林类相关专业高级及以上职称证书的得2分；本项最多得2分；未提供则不得分。 注：以上人员不重复计分；提供上述人员职称证书复印件及在职证明材料复印件加盖供应商公章；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供应商提供的其他文件和资料（若有）.docx</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详见附件：供应商提供的其他文件和资料（若有）.docx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