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福建省政务云结构化数据库加密系统运维服务项目（2024年度）</w:t>
      </w:r>
    </w:p>
    <w:p>
      <w:pPr>
        <w:pStyle w:val="null3"/>
        <w:jc w:val="center"/>
        <w:outlineLvl w:val="2"/>
      </w:pPr>
      <w:r>
        <w:rPr>
          <w:sz w:val="28"/>
          <w:b/>
        </w:rPr>
        <w:t>备案编号：</w:t>
      </w:r>
      <w:r>
        <w:rPr>
          <w:sz w:val="28"/>
          <w:b/>
        </w:rPr>
        <w:t>CGXM-2024-350001-07700[2024]06077</w:t>
      </w:r>
    </w:p>
    <w:p>
      <w:pPr>
        <w:pStyle w:val="null3"/>
        <w:jc w:val="center"/>
        <w:outlineLvl w:val="2"/>
      </w:pPr>
      <w:r>
        <w:rPr>
          <w:sz w:val="28"/>
          <w:b/>
        </w:rPr>
        <w:t>项目编号：</w:t>
      </w:r>
      <w:r>
        <w:rPr>
          <w:sz w:val="28"/>
          <w:b/>
        </w:rPr>
        <w:t>[350001]FJXFZB[GK]2024027</w:t>
      </w:r>
    </w:p>
    <w:p>
      <w:pPr>
        <w:pStyle w:val="null3"/>
        <w:jc w:val="center"/>
        <w:outlineLvl w:val="2"/>
      </w:pPr>
      <w:r>
        <w:rPr>
          <w:sz w:val="28"/>
          <w:b/>
        </w:rPr>
        <w:t>采购人：</w:t>
      </w:r>
      <w:r>
        <w:rPr>
          <w:sz w:val="28"/>
          <w:b/>
        </w:rPr>
        <w:t>福建省经济信息中心</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福建省政务云结构化数据库加密系统运维服务项目（2024年度）</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CGXM-2024-350001-07700[2024]06077</w:t>
      </w:r>
    </w:p>
    <w:p>
      <w:pPr>
        <w:pStyle w:val="null3"/>
        <w:ind w:firstLine="480"/>
        <w:jc w:val="left"/>
        <w:outlineLvl w:val="2"/>
      </w:pPr>
      <w:r>
        <w:rPr>
          <w:sz w:val="28"/>
          <w:b/>
        </w:rPr>
        <w:t>2、项目编号</w:t>
      </w:r>
      <w:r>
        <w:rPr>
          <w:sz w:val="28"/>
          <w:b/>
        </w:rPr>
        <w:t>：</w:t>
      </w:r>
      <w:r>
        <w:rPr>
          <w:sz w:val="28"/>
          <w:b/>
        </w:rPr>
        <w:t>[350001]FJXFZB[GK]2024027</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福建省经济信息中心</w:t>
      </w:r>
    </w:p>
    <w:p>
      <w:pPr>
        <w:pStyle w:val="null3"/>
        <w:ind w:firstLine="960"/>
        <w:jc w:val="left"/>
      </w:pPr>
      <w:r>
        <w:rPr/>
        <w:t xml:space="preserve"> 地址： </w:t>
      </w:r>
      <w:r>
        <w:rPr/>
        <w:t>福州市鼓楼区屏西路27号</w:t>
      </w:r>
    </w:p>
    <w:p>
      <w:pPr>
        <w:pStyle w:val="null3"/>
        <w:jc w:val="left"/>
      </w:pPr>
      <w:r>
        <w:rPr/>
        <w:t xml:space="preserve"> 邮编： </w:t>
      </w:r>
      <w:r>
        <w:rPr/>
        <w:t>350000</w:t>
      </w:r>
    </w:p>
    <w:p>
      <w:pPr>
        <w:pStyle w:val="null3"/>
        <w:jc w:val="left"/>
      </w:pPr>
      <w:r>
        <w:rPr/>
        <w:t xml:space="preserve"> 联系人： </w:t>
      </w:r>
      <w:r>
        <w:rPr/>
        <w:t>何平</w:t>
      </w:r>
    </w:p>
    <w:p>
      <w:pPr>
        <w:pStyle w:val="null3"/>
        <w:jc w:val="left"/>
      </w:pPr>
      <w:r>
        <w:rPr/>
        <w:t xml:space="preserve"> 联系电话： </w:t>
      </w:r>
      <w:r>
        <w:rPr/>
        <w:t>0591-86303771</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福建省福州市鼓楼区铜盘路466-3号大自然文化创意园5号楼4层</w:t>
      </w:r>
    </w:p>
    <w:p>
      <w:pPr>
        <w:pStyle w:val="null3"/>
        <w:jc w:val="both"/>
      </w:pPr>
      <w:r>
        <w:rPr/>
        <w:t xml:space="preserve"> 邮编： </w:t>
      </w:r>
      <w:r>
        <w:rPr/>
        <w:t>350000</w:t>
      </w:r>
    </w:p>
    <w:p>
      <w:pPr>
        <w:pStyle w:val="null3"/>
        <w:jc w:val="both"/>
      </w:pPr>
      <w:r>
        <w:rPr/>
        <w:t xml:space="preserve"> 联系人： </w:t>
      </w:r>
      <w:r>
        <w:rPr/>
        <w:t>周灵珍、巫晓杰、吴梦婷</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900,000.00</w:t>
      </w:r>
    </w:p>
    <w:p>
      <w:pPr>
        <w:pStyle w:val="null3"/>
        <w:jc w:val="left"/>
      </w:pPr>
      <w:r>
        <w:rPr/>
        <w:t>采购包最高限价（元）: 900,000.00</w:t>
      </w:r>
    </w:p>
    <w:p>
      <w:pPr>
        <w:pStyle w:val="null3"/>
        <w:jc w:val="left"/>
      </w:pPr>
      <w:r>
        <w:rPr/>
        <w:t>采购包保证金金额（元）: 9,000.00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福建省政务云结构化数据库加密系统运维服务项目（2024年度）</w:t>
            </w:r>
          </w:p>
        </w:tc>
        <w:tc>
          <w:tcPr>
            <w:tcW w:type="dxa" w:w="1187"/>
          </w:tcPr>
          <w:p>
            <w:pPr>
              <w:pStyle w:val="null3"/>
              <w:jc w:val="right"/>
            </w:pPr>
            <w:r>
              <w:rPr/>
              <w:t>1.00</w:t>
            </w:r>
          </w:p>
        </w:tc>
        <w:tc>
          <w:tcPr>
            <w:tcW w:type="dxa" w:w="1187"/>
          </w:tcPr>
          <w:p>
            <w:pPr>
              <w:pStyle w:val="null3"/>
              <w:jc w:val="right"/>
            </w:pPr>
            <w:r>
              <w:rPr/>
              <w:t>900,000.00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福建省政务云结构化数据库加密系统运维服务项目（2024年度）</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900,000.00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福建省政务云结构化数据库加密系统运维服务项目（2024年度）</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福建省政务云结构化数据库加密系统运维服务项目（2024年度）</w:t>
            </w:r>
          </w:p>
        </w:tc>
        <w:tc>
          <w:tcPr>
            <w:tcW w:type="dxa" w:w="2076"/>
          </w:tcPr>
          <w:p>
            <w:pPr>
              <w:pStyle w:val="null3"/>
              <w:jc w:val="left"/>
            </w:pPr>
            <w:r>
              <w:rPr/>
              <w:t>福建省政务云结构化数据库加密系统运维服务项目（2024年度）</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900,000.00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载明的中标金额作为收费的计算基数，按差额定率累进法计算。收费费率标准：中标金额在100万元以下部分的，收费费率标准为1.5%；3）代理服务费的缴纳方式：a.中标人应在领取中标通知书的同时按规定的标准一次性向采购代理机构缴清代理服务费；b.代理服务费以银行转账、电汇、汇票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19.6关于“成立年限满1年及以上的投标人，提供经审计的上一年度的年度财务报告”补充说明：经审计的上一年度的年度财务报告是指经审计的2023年度财务报告复印件。19.7投标人出现 《福建省财政厅关于电子化政府采购项目中视为串标情形认定与处理的指导意见》（闽财购〔2018〕30号）文中规定的视为串标情形的，其投标无效。 19.8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 xml:space="preserve"> （2）将招标文件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 xml:space="preserve"> （3）将下列内容增列为招标文件的组成部分（以下简称：“增列内容”）适用本项目的电子招标投标活动，若增列内容与招标文件其他章节内容有冲突，应以增列内容为准：</w:t>
            </w:r>
          </w:p>
          <w:p>
            <w:pPr>
              <w:pStyle w:val="null3"/>
              <w:jc w:val="left"/>
            </w:pPr>
            <w:r>
              <w:rPr/>
              <w:t xml:space="preserve"> ①电子招标投标活动的具体操作流程以福建省政府采购网上公开信息系统设定的为准。</w:t>
            </w:r>
          </w:p>
          <w:p>
            <w:pPr>
              <w:pStyle w:val="null3"/>
              <w:jc w:val="left"/>
            </w:pPr>
            <w:r>
              <w:rPr/>
              <w:t xml:space="preserve"> ②关于电子投标文件：</w:t>
            </w:r>
          </w:p>
          <w:p>
            <w:pPr>
              <w:pStyle w:val="null3"/>
              <w:jc w:val="left"/>
            </w:pPr>
            <w:r>
              <w:rPr/>
              <w:t xml:space="preserve"> a.投标人应按照福建省政府采购网上公开信息系统设定的评审节点编制电子投标文件，否则资格审查小组、评标委员会将按照不利于投标人的内容进行认定。</w:t>
            </w:r>
          </w:p>
          <w:p>
            <w:pPr>
              <w:pStyle w:val="null3"/>
              <w:jc w:val="left"/>
            </w:pPr>
            <w:r>
              <w:rPr/>
              <w:t xml:space="preserve"> 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 xml:space="preserve"> ③关于证明材料或资料：</w:t>
            </w:r>
          </w:p>
          <w:p>
            <w:pPr>
              <w:pStyle w:val="null3"/>
              <w:jc w:val="left"/>
            </w:pPr>
            <w:r>
              <w:rPr/>
              <w:t xml:space="preserve"> 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 xml:space="preserve"> 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 xml:space="preserve"> ④关于“全称”、“投标人代表签字”及“加盖单位公章”：</w:t>
            </w:r>
          </w:p>
          <w:p>
            <w:pPr>
              <w:pStyle w:val="null3"/>
              <w:jc w:val="left"/>
            </w:pPr>
            <w:r>
              <w:rPr/>
              <w:t xml:space="preserve"> a.在电子投标文件中，涉及“全称”和“投标人代表签字”的内容可使用打字录入方式完成。</w:t>
            </w:r>
          </w:p>
          <w:p>
            <w:pPr>
              <w:pStyle w:val="null3"/>
              <w:jc w:val="left"/>
            </w:pPr>
            <w:r>
              <w:rPr/>
              <w:t xml:space="preserve"> b.在电子投标文件中，涉及“加盖单位公章”的内容应使用投标人的CA证书完成，否则投标无效。</w:t>
            </w:r>
          </w:p>
          <w:p>
            <w:pPr>
              <w:pStyle w:val="null3"/>
              <w:jc w:val="left"/>
            </w:pPr>
            <w:r>
              <w:rPr/>
              <w:t xml:space="preserve"> c.在电子投标文件中，若投标人按照本增列内容第④点第b项规定加盖其单位公章，则出现无全称、或投标人代表未签字等情形，不视为投标无效。</w:t>
            </w:r>
          </w:p>
          <w:p>
            <w:pPr>
              <w:pStyle w:val="null3"/>
              <w:jc w:val="left"/>
            </w:pPr>
            <w:r>
              <w:rPr/>
              <w:t xml:space="preserve"> ⑤关于投标人的CA证书：</w:t>
            </w:r>
          </w:p>
          <w:p>
            <w:pPr>
              <w:pStyle w:val="null3"/>
              <w:jc w:val="left"/>
            </w:pPr>
            <w:r>
              <w:rPr/>
              <w:t xml:space="preserve"> a.投标人的CA证书应在系统规定时间内使用CA证书进行电子投标文件的解密操作，逾期未解密的视为放弃投标。</w:t>
            </w:r>
          </w:p>
          <w:p>
            <w:pPr>
              <w:pStyle w:val="null3"/>
              <w:jc w:val="left"/>
            </w:pPr>
            <w:r>
              <w:rPr/>
              <w:t xml:space="preserve"> b.投标人的CA证书可采用信封（包括但不限于：信封、档案袋、文件袋等）作为外包装进行单独包装。外包装密封、不密封皆可。</w:t>
            </w:r>
          </w:p>
          <w:p>
            <w:pPr>
              <w:pStyle w:val="null3"/>
              <w:jc w:val="left"/>
            </w:pPr>
            <w:r>
              <w:rPr/>
              <w:t xml:space="preserve"> c.投标人的CA证书或外包装应标记“项目名称、项目编号、投标人的全称”等内容，以方便识别、使用。</w:t>
            </w:r>
          </w:p>
          <w:p>
            <w:pPr>
              <w:pStyle w:val="null3"/>
              <w:jc w:val="left"/>
            </w:pPr>
            <w:r>
              <w:rPr/>
              <w:t xml:space="preserve"> d.投标人的CA证书应能正常、有效使用，否则产生不利后果由投标人承担责任。</w:t>
            </w:r>
          </w:p>
          <w:p>
            <w:pPr>
              <w:pStyle w:val="null3"/>
              <w:jc w:val="left"/>
            </w:pPr>
            <w:r>
              <w:rPr/>
              <w:t xml:space="preserve"> ⑥关于投标截止时间过后</w:t>
            </w:r>
          </w:p>
          <w:p>
            <w:pPr>
              <w:pStyle w:val="null3"/>
              <w:jc w:val="left"/>
            </w:pPr>
            <w:r>
              <w:rPr/>
              <w:t xml:space="preserve"> a.未按招标文件规定提交投标保证金的，其投标将按无效投标处理。</w:t>
            </w:r>
          </w:p>
          <w:p>
            <w:pPr>
              <w:pStyle w:val="null3"/>
              <w:jc w:val="left"/>
            </w:pPr>
            <w:r>
              <w:rPr/>
              <w:t xml:space="preserve"> b.有下列情形之一的，其投标无效,其保证金不予退还或通过投标保函进行索赔：</w:t>
            </w:r>
          </w:p>
          <w:p>
            <w:pPr>
              <w:pStyle w:val="null3"/>
              <w:jc w:val="left"/>
            </w:pPr>
            <w:r>
              <w:rPr/>
              <w:t xml:space="preserve"> b1不同投标人的电子投标文件具有相同内部识别码；</w:t>
            </w:r>
          </w:p>
          <w:p>
            <w:pPr>
              <w:pStyle w:val="null3"/>
              <w:jc w:val="left"/>
            </w:pPr>
            <w:r>
              <w:rPr/>
              <w:t xml:space="preserve"> b2不同投标人的投标保证金从同一单位或个人的账户转出；</w:t>
            </w:r>
          </w:p>
          <w:p>
            <w:pPr>
              <w:pStyle w:val="null3"/>
              <w:jc w:val="left"/>
            </w:pPr>
            <w:r>
              <w:rPr/>
              <w:t xml:space="preserve"> b3投标人的投标保证金同一采购包下有其他投标人提交的投标保证金；</w:t>
            </w:r>
          </w:p>
          <w:p>
            <w:pPr>
              <w:pStyle w:val="null3"/>
              <w:jc w:val="left"/>
            </w:pPr>
            <w:r>
              <w:rPr/>
              <w:t xml:space="preserve"> b4不同投标人存在串通投标的其他情形。</w:t>
            </w:r>
          </w:p>
          <w:p>
            <w:pPr>
              <w:pStyle w:val="null3"/>
              <w:jc w:val="left"/>
            </w:pPr>
            <w:r>
              <w:rPr/>
              <w:t xml:space="preserve"> 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 xml:space="preserve"> 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不满足招标文件第五章《招标内容及要求》中带★号条款的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投标人未在投标文件中完全响应招标文件第五章招标内容及要求中第“三、商务要求”全部条款的。招标文件有不同表述的，以本条为准。</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技术项（F2×A2）满分为78.0000分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1.技术和服务要求响应情况</w:t>
            </w:r>
          </w:p>
        </w:tc>
        <w:tc>
          <w:tcPr>
            <w:tcW w:type="dxa" w:w="831"/>
          </w:tcPr>
          <w:p>
            <w:pPr>
              <w:pStyle w:val="null3"/>
              <w:jc w:val="right"/>
            </w:pPr>
            <w:r>
              <w:rPr/>
              <w:t>51.0000</w:t>
            </w:r>
          </w:p>
        </w:tc>
        <w:tc>
          <w:tcPr>
            <w:tcW w:type="dxa" w:w="4153"/>
          </w:tcPr>
          <w:p>
            <w:pPr>
              <w:pStyle w:val="null3"/>
              <w:jc w:val="both"/>
            </w:pPr>
            <w:r>
              <w:rPr/>
              <w:t>根据投标人对招标文件“第五章 招标内容及要求”中“二、技术要求”项下内容的响应情况，由评委进行评分：1）带“★”标示的技术参数（共4项）为不允许负偏离的实质性要求，负偏离其投标无效。2）本项评分以[评审指标]计数，[评审指标]共计25项，完全响应技术要求的得51分，其中标注“▲”的技术参数每负偏离一项扣3分（共5项，共15分）； 未标注“★”、“▲”的技术参数每负偏离一项扣1.8分（共20项，共36分），扣完为止，正偏离不加分。</w:t>
            </w:r>
          </w:p>
        </w:tc>
      </w:tr>
      <w:tr>
        <w:tc>
          <w:tcPr>
            <w:tcW w:type="dxa" w:w="3322"/>
          </w:tcPr>
          <w:p>
            <w:pPr>
              <w:pStyle w:val="null3"/>
              <w:jc w:val="both"/>
            </w:pPr>
            <w:r>
              <w:rPr/>
              <w:t>2.技术服务支撑方案</w:t>
            </w:r>
          </w:p>
        </w:tc>
        <w:tc>
          <w:tcPr>
            <w:tcW w:type="dxa" w:w="831"/>
          </w:tcPr>
          <w:p>
            <w:pPr>
              <w:pStyle w:val="null3"/>
              <w:jc w:val="right"/>
            </w:pPr>
            <w:r>
              <w:rPr/>
              <w:t>3.0000</w:t>
            </w:r>
          </w:p>
        </w:tc>
        <w:tc>
          <w:tcPr>
            <w:tcW w:type="dxa" w:w="4153"/>
          </w:tcPr>
          <w:p>
            <w:pPr>
              <w:pStyle w:val="null3"/>
              <w:jc w:val="both"/>
            </w:pPr>
            <w:r>
              <w:rPr/>
              <w:t>根据投标人针对本项目提供的技术服务支撑方案，方案内容包含运行维护计划、运维团队架构、责任分工、运行维护制度建设，在满足招标文件采购需求上进行详细描述，由评委进行评分：方案内容完整、合理、可行性强的得3分；方案内容完整、较合理、可行性较好的得2.8分；方案内容完整、合理性一般、可行性一般的得2.7分；未提供或方案内容不完整的不得分。</w:t>
            </w:r>
          </w:p>
        </w:tc>
      </w:tr>
      <w:tr>
        <w:tc>
          <w:tcPr>
            <w:tcW w:type="dxa" w:w="3322"/>
          </w:tcPr>
          <w:p>
            <w:pPr>
              <w:pStyle w:val="null3"/>
              <w:jc w:val="both"/>
            </w:pPr>
            <w:r>
              <w:rPr/>
              <w:t>3.日常维保服务方案</w:t>
            </w:r>
          </w:p>
        </w:tc>
        <w:tc>
          <w:tcPr>
            <w:tcW w:type="dxa" w:w="831"/>
          </w:tcPr>
          <w:p>
            <w:pPr>
              <w:pStyle w:val="null3"/>
              <w:jc w:val="right"/>
            </w:pPr>
            <w:r>
              <w:rPr/>
              <w:t>3.0000</w:t>
            </w:r>
          </w:p>
        </w:tc>
        <w:tc>
          <w:tcPr>
            <w:tcW w:type="dxa" w:w="4153"/>
          </w:tcPr>
          <w:p>
            <w:pPr>
              <w:pStyle w:val="null3"/>
              <w:jc w:val="both"/>
            </w:pPr>
            <w:r>
              <w:rPr/>
              <w:t>根据投标人针对本项目提供的日常维保服务方案，方案内容包含日常巡检、应用单位数据库加密技术支持，在满足招标文件采购需求上进行详细描述，由评委进行评分：方案内容完整、合理、可行性强的得3分；方案内容完整、较合理、可行性较好的得2.8分；方案内容完整、合理性一般、可行性一般的得2.6分；未提供或方案内容不完整的不得分。</w:t>
            </w:r>
          </w:p>
        </w:tc>
      </w:tr>
      <w:tr>
        <w:tc>
          <w:tcPr>
            <w:tcW w:type="dxa" w:w="3322"/>
          </w:tcPr>
          <w:p>
            <w:pPr>
              <w:pStyle w:val="null3"/>
              <w:jc w:val="both"/>
            </w:pPr>
            <w:r>
              <w:rPr/>
              <w:t>4.应急故障处理方案</w:t>
            </w:r>
          </w:p>
        </w:tc>
        <w:tc>
          <w:tcPr>
            <w:tcW w:type="dxa" w:w="831"/>
          </w:tcPr>
          <w:p>
            <w:pPr>
              <w:pStyle w:val="null3"/>
              <w:jc w:val="right"/>
            </w:pPr>
            <w:r>
              <w:rPr/>
              <w:t>3.0000</w:t>
            </w:r>
          </w:p>
        </w:tc>
        <w:tc>
          <w:tcPr>
            <w:tcW w:type="dxa" w:w="4153"/>
          </w:tcPr>
          <w:p>
            <w:pPr>
              <w:pStyle w:val="null3"/>
              <w:jc w:val="both"/>
            </w:pPr>
            <w:r>
              <w:rPr/>
              <w:t>根据投标人针对本项目提供的应急故障处理方案，方案内容包含故障响应、现场应急救援、故障分析和处理，在满足招标文件采购需求上进行详细描述，由评委进行评分：方案内容完整、合理、可行性强的得3分；方案内容完整、较合理、可行性较好的得2.8分；方案内容完整、合理性一般、可行性一般的得2.7分；未提供或方案内容不完整的不得分。</w:t>
            </w:r>
          </w:p>
        </w:tc>
      </w:tr>
      <w:tr>
        <w:tc>
          <w:tcPr>
            <w:tcW w:type="dxa" w:w="3322"/>
          </w:tcPr>
          <w:p>
            <w:pPr>
              <w:pStyle w:val="null3"/>
              <w:jc w:val="both"/>
            </w:pPr>
            <w:r>
              <w:rPr/>
              <w:t>5.硬件设备保障方案</w:t>
            </w:r>
          </w:p>
        </w:tc>
        <w:tc>
          <w:tcPr>
            <w:tcW w:type="dxa" w:w="831"/>
          </w:tcPr>
          <w:p>
            <w:pPr>
              <w:pStyle w:val="null3"/>
              <w:jc w:val="right"/>
            </w:pPr>
            <w:r>
              <w:rPr/>
              <w:t>3.0000</w:t>
            </w:r>
          </w:p>
        </w:tc>
        <w:tc>
          <w:tcPr>
            <w:tcW w:type="dxa" w:w="4153"/>
          </w:tcPr>
          <w:p>
            <w:pPr>
              <w:pStyle w:val="null3"/>
              <w:jc w:val="both"/>
            </w:pPr>
            <w:r>
              <w:rPr/>
              <w:t>根据投标人针对本项目提供的硬件设备保障方案，方案内容包含设备状态检查、设备日志检查、设备维修或更换，在满足招标文件采购需求上进行详细描述，由评委进行评分：方案内容完整、合理、可行性强的得3分；方案内容完整、较合理、可行性较好的得2.8分；方案内容完整、合理性一般、可行性一般的得2.6分；未提供或方案内容不完整的不得分。</w:t>
            </w:r>
          </w:p>
        </w:tc>
      </w:tr>
      <w:tr>
        <w:tc>
          <w:tcPr>
            <w:tcW w:type="dxa" w:w="3322"/>
          </w:tcPr>
          <w:p>
            <w:pPr>
              <w:pStyle w:val="null3"/>
              <w:jc w:val="both"/>
            </w:pPr>
            <w:r>
              <w:rPr/>
              <w:t>6.应用软件保障方案</w:t>
            </w:r>
          </w:p>
        </w:tc>
        <w:tc>
          <w:tcPr>
            <w:tcW w:type="dxa" w:w="831"/>
          </w:tcPr>
          <w:p>
            <w:pPr>
              <w:pStyle w:val="null3"/>
              <w:jc w:val="right"/>
            </w:pPr>
            <w:r>
              <w:rPr/>
              <w:t>3.0000</w:t>
            </w:r>
          </w:p>
        </w:tc>
        <w:tc>
          <w:tcPr>
            <w:tcW w:type="dxa" w:w="4153"/>
          </w:tcPr>
          <w:p>
            <w:pPr>
              <w:pStyle w:val="null3"/>
              <w:jc w:val="both"/>
            </w:pPr>
            <w:r>
              <w:rPr/>
              <w:t>根据投标人针对本项目提供的应用软件保障方案，方案内容包含软件日志检查、补丁升级，在满足招标文件采购需求上进行详细描述，由评委进行评分：方案内容完整、合理、可行性强的得3分；方案内容完整、较合理、可行性较好的得2.8分；方案内容完整、合理性一般、可行性一般的得2.7分；未提供或方案内容不完整的不得分。</w:t>
            </w:r>
          </w:p>
        </w:tc>
      </w:tr>
      <w:tr>
        <w:tc>
          <w:tcPr>
            <w:tcW w:type="dxa" w:w="3322"/>
          </w:tcPr>
          <w:p>
            <w:pPr>
              <w:pStyle w:val="null3"/>
              <w:jc w:val="both"/>
            </w:pPr>
            <w:r>
              <w:rPr/>
              <w:t>7.系统安全维护服务方案</w:t>
            </w:r>
          </w:p>
        </w:tc>
        <w:tc>
          <w:tcPr>
            <w:tcW w:type="dxa" w:w="831"/>
          </w:tcPr>
          <w:p>
            <w:pPr>
              <w:pStyle w:val="null3"/>
              <w:jc w:val="right"/>
            </w:pPr>
            <w:r>
              <w:rPr/>
              <w:t>3.0000</w:t>
            </w:r>
          </w:p>
        </w:tc>
        <w:tc>
          <w:tcPr>
            <w:tcW w:type="dxa" w:w="4153"/>
          </w:tcPr>
          <w:p>
            <w:pPr>
              <w:pStyle w:val="null3"/>
              <w:jc w:val="both"/>
            </w:pPr>
            <w:r>
              <w:rPr/>
              <w:t>根据投标人针对本项目提供的系统安全维护服务方案，方案内容包含配合安全测评、安全漏洞修复、密钥管理和维护，在满足招标文件采购需求上进行详细描述，由评委进行评分：方案内容完整、合理、可行性强的得3分；方案内容完整、较合理、可行性较好的得2.8分；方案内容完整、合理性一般、可行性一般的得2.6分；未提供或方案内容不完整的不得分。</w:t>
            </w:r>
          </w:p>
        </w:tc>
      </w:tr>
      <w:tr>
        <w:tc>
          <w:tcPr>
            <w:tcW w:type="dxa" w:w="3322"/>
          </w:tcPr>
          <w:p>
            <w:pPr>
              <w:pStyle w:val="null3"/>
              <w:jc w:val="both"/>
            </w:pPr>
            <w:r>
              <w:rPr/>
              <w:t>8.项目保密保障方案</w:t>
            </w:r>
          </w:p>
        </w:tc>
        <w:tc>
          <w:tcPr>
            <w:tcW w:type="dxa" w:w="831"/>
          </w:tcPr>
          <w:p>
            <w:pPr>
              <w:pStyle w:val="null3"/>
              <w:jc w:val="right"/>
            </w:pPr>
            <w:r>
              <w:rPr/>
              <w:t>3.0000</w:t>
            </w:r>
          </w:p>
        </w:tc>
        <w:tc>
          <w:tcPr>
            <w:tcW w:type="dxa" w:w="4153"/>
          </w:tcPr>
          <w:p>
            <w:pPr>
              <w:pStyle w:val="null3"/>
              <w:jc w:val="both"/>
            </w:pPr>
            <w:r>
              <w:rPr/>
              <w:t>根据投标人针对本项目提供的项目保密保障方案，方案内容包含保密要求、保密制度等，在满足招标文件采购需求上进行详细描述，由评委进行评分：方案内容完整、合理、可行性强的得3分；方案内容完整、较合理、可行性较好的得2.8分；方案内容完整、合理性一般、可行性一般的得2.7分；未提供或方案内容不完整的不得分。</w:t>
            </w:r>
          </w:p>
        </w:tc>
      </w:tr>
      <w:tr>
        <w:tc>
          <w:tcPr>
            <w:tcW w:type="dxa" w:w="3322"/>
          </w:tcPr>
          <w:p>
            <w:pPr>
              <w:pStyle w:val="null3"/>
              <w:jc w:val="both"/>
            </w:pPr>
            <w:r>
              <w:rPr/>
              <w:t>9.重要时期保障服务方案</w:t>
            </w:r>
          </w:p>
        </w:tc>
        <w:tc>
          <w:tcPr>
            <w:tcW w:type="dxa" w:w="831"/>
          </w:tcPr>
          <w:p>
            <w:pPr>
              <w:pStyle w:val="null3"/>
              <w:jc w:val="right"/>
            </w:pPr>
            <w:r>
              <w:rPr/>
              <w:t>3.0000</w:t>
            </w:r>
          </w:p>
        </w:tc>
        <w:tc>
          <w:tcPr>
            <w:tcW w:type="dxa" w:w="4153"/>
          </w:tcPr>
          <w:p>
            <w:pPr>
              <w:pStyle w:val="null3"/>
              <w:jc w:val="both"/>
            </w:pPr>
            <w:r>
              <w:rPr/>
              <w:t>根据投标人针对本项目提供的重要时期保障服务方案，方案内容包含春节、全国两会、数字中国建设峰会、国庆节保障服务，在满足招标文件采购需求上进行详细描述，由评委进行评分：方案内容完整、合理、可行性强的得3分；方案内容完整、较合理、可行性较好的得2.8分；方案内容完整、合理性一般、可行性一般的得2.7分；未提供或方案内容不完整的不得分。</w:t>
            </w:r>
          </w:p>
        </w:tc>
      </w:tr>
      <w:tr>
        <w:tc>
          <w:tcPr>
            <w:tcW w:type="dxa" w:w="3322"/>
          </w:tcPr>
          <w:p>
            <w:pPr>
              <w:pStyle w:val="null3"/>
              <w:jc w:val="both"/>
            </w:pPr>
            <w:r>
              <w:rPr/>
              <w:t>10.服务质量保障方案</w:t>
            </w:r>
          </w:p>
        </w:tc>
        <w:tc>
          <w:tcPr>
            <w:tcW w:type="dxa" w:w="831"/>
          </w:tcPr>
          <w:p>
            <w:pPr>
              <w:pStyle w:val="null3"/>
              <w:jc w:val="right"/>
            </w:pPr>
            <w:r>
              <w:rPr/>
              <w:t>3.0000</w:t>
            </w:r>
          </w:p>
        </w:tc>
        <w:tc>
          <w:tcPr>
            <w:tcW w:type="dxa" w:w="4153"/>
          </w:tcPr>
          <w:p>
            <w:pPr>
              <w:pStyle w:val="null3"/>
              <w:jc w:val="both"/>
            </w:pPr>
            <w:r>
              <w:rPr/>
              <w:t>根据投标人针对本项目提供的服务质量保障方案，方案内容包含服务流程保障、服务质量保障、技术保障、团队保障、服务监督，在满足招标文件采购需求上进行详细描述，由评委进行评分：方案内容完整、合理、可行性强的得3分；方案内容完整、较合理、可行性较好的得2.8分；方案内容完整、合理性一般、可行性一般的得2.7分；未提供或方案内容不完整的不得分。</w:t>
            </w:r>
          </w:p>
        </w:tc>
      </w:tr>
    </w:tbl>
    <w:p>
      <w:pPr>
        <w:pStyle w:val="null3"/>
        <w:jc w:val="both"/>
      </w:pPr>
      <w:r>
        <w:rPr/>
        <w:t>商务项（F3×A3）满分为12.0000分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1、项目经理</w:t>
            </w:r>
          </w:p>
        </w:tc>
        <w:tc>
          <w:tcPr>
            <w:tcW w:type="dxa" w:w="831"/>
          </w:tcPr>
          <w:p>
            <w:pPr>
              <w:pStyle w:val="null3"/>
              <w:jc w:val="right"/>
            </w:pPr>
            <w:r>
              <w:rPr/>
              <w:t>2.0000</w:t>
            </w:r>
          </w:p>
        </w:tc>
        <w:tc>
          <w:tcPr>
            <w:tcW w:type="dxa" w:w="4153"/>
          </w:tcPr>
          <w:p>
            <w:pPr>
              <w:pStyle w:val="null3"/>
              <w:jc w:val="both"/>
            </w:pPr>
            <w:r>
              <w:rPr/>
              <w:t>投标人针对本项目拟配备的项目经理，具备具有信息系统项目管理师及注册信息安全专业人员（CISP）证书的得2分。须提供有效的证书复印件及投标截止时间前6个月内(不含投标截止时间当月) 任意一个月由投标人为其缴交的社保证明材料，并加盖投标人公章，未提供或提供的材料不齐全的本项不得分。</w:t>
            </w:r>
          </w:p>
        </w:tc>
      </w:tr>
      <w:tr>
        <w:tc>
          <w:tcPr>
            <w:tcW w:type="dxa" w:w="3322"/>
          </w:tcPr>
          <w:p>
            <w:pPr>
              <w:pStyle w:val="null3"/>
              <w:jc w:val="both"/>
            </w:pPr>
            <w:r>
              <w:rPr/>
              <w:t>2、项目组成员</w:t>
            </w:r>
          </w:p>
        </w:tc>
        <w:tc>
          <w:tcPr>
            <w:tcW w:type="dxa" w:w="831"/>
          </w:tcPr>
          <w:p>
            <w:pPr>
              <w:pStyle w:val="null3"/>
              <w:jc w:val="right"/>
            </w:pPr>
            <w:r>
              <w:rPr/>
              <w:t>2.0000</w:t>
            </w:r>
          </w:p>
        </w:tc>
        <w:tc>
          <w:tcPr>
            <w:tcW w:type="dxa" w:w="4153"/>
          </w:tcPr>
          <w:p>
            <w:pPr>
              <w:pStyle w:val="null3"/>
              <w:jc w:val="both"/>
            </w:pPr>
            <w:r>
              <w:rPr/>
              <w:t>投标人针对本项目拟派本项目技术人员（驻点人员），具备数据库系统工程师认证证书的得2分。须提供有效的证书复印件及投标截止时间前6个月内(不含投标截止时间当月) 任意一个月由投标人为其缴交的社保证明材料，并加盖投标人公章，未提供或提供的材料不齐全的本项不得分。</w:t>
            </w:r>
          </w:p>
        </w:tc>
      </w:tr>
      <w:tr>
        <w:tc>
          <w:tcPr>
            <w:tcW w:type="dxa" w:w="3322"/>
          </w:tcPr>
          <w:p>
            <w:pPr>
              <w:pStyle w:val="null3"/>
              <w:jc w:val="both"/>
            </w:pPr>
            <w:r>
              <w:rPr/>
              <w:t>3、人员承诺</w:t>
            </w:r>
          </w:p>
        </w:tc>
        <w:tc>
          <w:tcPr>
            <w:tcW w:type="dxa" w:w="831"/>
          </w:tcPr>
          <w:p>
            <w:pPr>
              <w:pStyle w:val="null3"/>
              <w:jc w:val="right"/>
            </w:pPr>
            <w:r>
              <w:rPr/>
              <w:t>2.0000</w:t>
            </w:r>
          </w:p>
        </w:tc>
        <w:tc>
          <w:tcPr>
            <w:tcW w:type="dxa" w:w="4153"/>
          </w:tcPr>
          <w:p>
            <w:pPr>
              <w:pStyle w:val="null3"/>
              <w:jc w:val="both"/>
            </w:pPr>
            <w:r>
              <w:rPr/>
              <w:t>投标人承诺项目服务期内不随意更换服务团队人员，若有变动需先向采购人申请，经采购人允许后才能进行更换的得2分。须提供承诺函（格式自拟），未提供的本项不得分。</w:t>
            </w:r>
          </w:p>
        </w:tc>
      </w:tr>
      <w:tr>
        <w:tc>
          <w:tcPr>
            <w:tcW w:type="dxa" w:w="3322"/>
          </w:tcPr>
          <w:p>
            <w:pPr>
              <w:pStyle w:val="null3"/>
              <w:jc w:val="both"/>
            </w:pPr>
            <w:r>
              <w:rPr/>
              <w:t>4、业绩</w:t>
            </w:r>
          </w:p>
        </w:tc>
        <w:tc>
          <w:tcPr>
            <w:tcW w:type="dxa" w:w="831"/>
          </w:tcPr>
          <w:p>
            <w:pPr>
              <w:pStyle w:val="null3"/>
              <w:jc w:val="right"/>
            </w:pPr>
            <w:r>
              <w:rPr/>
              <w:t>3.0000</w:t>
            </w:r>
          </w:p>
        </w:tc>
        <w:tc>
          <w:tcPr>
            <w:tcW w:type="dxa" w:w="4153"/>
          </w:tcPr>
          <w:p>
            <w:pPr>
              <w:pStyle w:val="null3"/>
              <w:jc w:val="both"/>
            </w:pPr>
            <w:r>
              <w:rPr/>
              <w:t>根据投标人提供的2021年1月1日至投标截止时间止（日期以合同签订为准），投标人自身所完成的运维类绩情况，由评委进行评分：每提供一个得0.5分，满分3分。【注：需提供①中标（成交）通知书；②采购合同文本；③业绩项目已履约完毕的，提供能够证明该业绩项目经验收合格或履约完成的相关证明材料。未提供或提供不全的均不得分。】</w:t>
            </w:r>
          </w:p>
        </w:tc>
      </w:tr>
      <w:tr>
        <w:tc>
          <w:tcPr>
            <w:tcW w:type="dxa" w:w="3322"/>
          </w:tcPr>
          <w:p>
            <w:pPr>
              <w:pStyle w:val="null3"/>
              <w:jc w:val="both"/>
            </w:pPr>
            <w:r>
              <w:rPr/>
              <w:t>5、满意度</w:t>
            </w:r>
          </w:p>
        </w:tc>
        <w:tc>
          <w:tcPr>
            <w:tcW w:type="dxa" w:w="831"/>
          </w:tcPr>
          <w:p>
            <w:pPr>
              <w:pStyle w:val="null3"/>
              <w:jc w:val="right"/>
            </w:pPr>
            <w:r>
              <w:rPr/>
              <w:t>3.0000</w:t>
            </w:r>
          </w:p>
        </w:tc>
        <w:tc>
          <w:tcPr>
            <w:tcW w:type="dxa" w:w="4153"/>
          </w:tcPr>
          <w:p>
            <w:pPr>
              <w:pStyle w:val="null3"/>
              <w:jc w:val="both"/>
            </w:pPr>
            <w:r>
              <w:rPr/>
              <w:t>根据投标人2021年1月1日起至本次投标截止日期前(日期以合同签订日期为准)由投标人自身在国内所完成运维类项目满意度评价情况进行评分，每提供一份得1分，满分3分。 须提供业主方出具的满意度评价（满意度指：评价在90分及以上，或者好评、优、满意等表述为满意的评价），未提供的不得分。 注：（1）投标人须同时提供满意度评价项目材料：①采购合同文本复印件；②采购人出具的（须加盖单位或使用部门公章）项目服务满意证明材料；未同时提供以上①②该项不给予计分。（2）本项评分与“业绩”出现提供相同采购单位不重复计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outlineLvl w:val="1"/>
      </w:pPr>
      <w:r>
        <w:rPr>
          <w:rFonts w:ascii="宋体" w:hAnsi="宋体" w:cs="宋体" w:eastAsia="宋体"/>
          <w:sz w:val="24"/>
          <w:b/>
          <w:color w:val="000000"/>
        </w:rPr>
        <w:t>1.1项目情况</w:t>
      </w:r>
    </w:p>
    <w:p>
      <w:pPr>
        <w:pStyle w:val="null3"/>
        <w:ind w:firstLine="480"/>
        <w:jc w:val="both"/>
      </w:pPr>
      <w:r>
        <w:rPr>
          <w:rFonts w:ascii="宋体" w:hAnsi="宋体" w:cs="宋体" w:eastAsia="宋体"/>
          <w:sz w:val="24"/>
          <w:color w:val="000000"/>
        </w:rPr>
        <w:t>2012年3月，福建省经济信息中心建成了全国最早的省级电子政务云平台，面向福建各省直部门提供云计算和服务。云平台建成后，数字福建建设项目原则上必须依托政务云计算平台建设，充分利用政务云计算平台的资源，不再安排资金购置硬件和系统软件，促进福建省电子政务集约化建设。</w:t>
      </w:r>
    </w:p>
    <w:p>
      <w:pPr>
        <w:pStyle w:val="null3"/>
        <w:ind w:firstLine="480"/>
        <w:jc w:val="both"/>
      </w:pPr>
      <w:r>
        <w:rPr>
          <w:rFonts w:ascii="宋体" w:hAnsi="宋体" w:cs="宋体" w:eastAsia="宋体"/>
          <w:sz w:val="24"/>
          <w:color w:val="000000"/>
        </w:rPr>
        <w:t>2015年6月，福建省发改委批复了福建省电子政务(马尾过渡机房)云平台扩容项目实施方案（闽发改数字〔2015〕354号），明确了云平台采用政府购买云服务的建设运营模式，规定了云主机、云存储、云数据库等云服务。</w:t>
      </w:r>
    </w:p>
    <w:p>
      <w:pPr>
        <w:pStyle w:val="null3"/>
        <w:ind w:firstLine="480"/>
        <w:jc w:val="both"/>
      </w:pPr>
      <w:r>
        <w:rPr>
          <w:rFonts w:ascii="宋体" w:hAnsi="宋体" w:cs="宋体" w:eastAsia="宋体"/>
          <w:sz w:val="24"/>
          <w:color w:val="000000"/>
        </w:rPr>
        <w:t>2015年8月，福建省电子政务(马尾过渡机房)云平台正式开通。</w:t>
      </w:r>
    </w:p>
    <w:p>
      <w:pPr>
        <w:pStyle w:val="null3"/>
        <w:ind w:firstLine="480"/>
        <w:jc w:val="both"/>
      </w:pPr>
      <w:r>
        <w:rPr>
          <w:rFonts w:ascii="宋体" w:hAnsi="宋体" w:cs="宋体" w:eastAsia="宋体"/>
          <w:sz w:val="24"/>
          <w:color w:val="000000"/>
        </w:rPr>
        <w:t>2017年10月，福建省电子政务(马尾过渡机房)云平台总体迁移至数字福建云计算中心。数字福建云计算中心（政务云）坐落于数字福建（长乐）产业园区。大楼主体一共五层，其中主机房面积约为3330m²，附属配套面积约为6000m²，机房装修按照A级机房标准建设。</w:t>
      </w:r>
    </w:p>
    <w:p>
      <w:pPr>
        <w:pStyle w:val="null3"/>
        <w:ind w:firstLine="480"/>
        <w:jc w:val="both"/>
      </w:pPr>
      <w:r>
        <w:rPr>
          <w:rFonts w:ascii="宋体" w:hAnsi="宋体" w:cs="宋体" w:eastAsia="宋体"/>
          <w:sz w:val="24"/>
          <w:color w:val="000000"/>
        </w:rPr>
        <w:t>为了更好地为政务云上的数据提供安全防护，</w:t>
      </w:r>
      <w:r>
        <w:rPr>
          <w:rFonts w:ascii="宋体" w:hAnsi="宋体" w:cs="宋体" w:eastAsia="宋体"/>
          <w:sz w:val="24"/>
          <w:color w:val="000000"/>
        </w:rPr>
        <w:t>2018年，福建省经济信息中心启动建设福建省政务云平台结构化数据库加密系统，它与物理安全（门禁、机房）、网络安全、系统与主机安全等一起为福建省政务云平台提供立体、纵深的安全保障防御体系，提高福建省政务云平台的安全防护能力。本系统从技术角度促进安全管理手段的提升，更从技术角度为福建省政务云平台上的数据安全提供防护体系，最终提高福建省政务云平台及平台管理方的管理与技术并重的两手抓、两手硬的安全运维和管理水平。</w:t>
      </w:r>
    </w:p>
    <w:p>
      <w:pPr>
        <w:pStyle w:val="null3"/>
        <w:ind w:firstLine="480"/>
        <w:jc w:val="both"/>
      </w:pPr>
      <w:r>
        <w:rPr>
          <w:rFonts w:ascii="宋体" w:hAnsi="宋体" w:cs="宋体" w:eastAsia="宋体"/>
          <w:sz w:val="24"/>
          <w:color w:val="000000"/>
        </w:rPr>
        <w:t>福建省政务云平台结构化数据库加密系统项目的建设内容是：建设政务云平台数据库加密系统，</w:t>
      </w:r>
      <w:r>
        <w:rPr>
          <w:rFonts w:ascii="宋体" w:hAnsi="宋体" w:cs="宋体" w:eastAsia="宋体"/>
          <w:sz w:val="24"/>
          <w:color w:val="000000"/>
        </w:rPr>
        <w:t>为</w:t>
      </w:r>
      <w:r>
        <w:rPr>
          <w:rFonts w:ascii="宋体" w:hAnsi="宋体" w:cs="宋体" w:eastAsia="宋体"/>
          <w:sz w:val="24"/>
          <w:color w:val="000000"/>
        </w:rPr>
        <w:t>政务外网云平台互联网区和政务网云平台</w:t>
      </w:r>
      <w:r>
        <w:rPr>
          <w:rFonts w:ascii="宋体" w:hAnsi="宋体" w:cs="宋体" w:eastAsia="宋体"/>
          <w:sz w:val="24"/>
          <w:color w:val="000000"/>
        </w:rPr>
        <w:t>上的</w:t>
      </w:r>
      <w:r>
        <w:rPr>
          <w:rFonts w:ascii="宋体" w:hAnsi="宋体" w:cs="宋体" w:eastAsia="宋体"/>
          <w:sz w:val="24"/>
          <w:color w:val="000000"/>
        </w:rPr>
        <w:t>数据库</w:t>
      </w:r>
      <w:r>
        <w:rPr>
          <w:rFonts w:ascii="宋体" w:hAnsi="宋体" w:cs="宋体" w:eastAsia="宋体"/>
          <w:sz w:val="24"/>
          <w:color w:val="000000"/>
        </w:rPr>
        <w:t>提供</w:t>
      </w:r>
      <w:r>
        <w:rPr>
          <w:rFonts w:ascii="宋体" w:hAnsi="宋体" w:cs="宋体" w:eastAsia="宋体"/>
          <w:sz w:val="24"/>
          <w:color w:val="000000"/>
        </w:rPr>
        <w:t>透明加解密、权限管理、密文检索、分权管理、数据服务、系统管理等主要功能，有</w:t>
      </w:r>
      <w:r>
        <w:rPr>
          <w:rFonts w:ascii="宋体" w:hAnsi="宋体" w:cs="宋体" w:eastAsia="宋体"/>
          <w:sz w:val="24"/>
          <w:color w:val="000000"/>
        </w:rPr>
        <w:t>助于</w:t>
      </w:r>
      <w:r>
        <w:rPr>
          <w:rFonts w:ascii="宋体" w:hAnsi="宋体" w:cs="宋体" w:eastAsia="宋体"/>
          <w:sz w:val="24"/>
          <w:color w:val="000000"/>
        </w:rPr>
        <w:t>防止数据泄露，杜绝</w:t>
      </w:r>
      <w:r>
        <w:rPr>
          <w:rFonts w:ascii="宋体" w:hAnsi="宋体" w:cs="宋体" w:eastAsia="宋体"/>
          <w:sz w:val="24"/>
          <w:color w:val="000000"/>
        </w:rPr>
        <w:t>数据</w:t>
      </w:r>
      <w:r>
        <w:rPr>
          <w:rFonts w:ascii="宋体" w:hAnsi="宋体" w:cs="宋体" w:eastAsia="宋体"/>
          <w:sz w:val="24"/>
          <w:color w:val="000000"/>
        </w:rPr>
        <w:t>安全事</w:t>
      </w:r>
      <w:r>
        <w:rPr>
          <w:rFonts w:ascii="宋体" w:hAnsi="宋体" w:cs="宋体" w:eastAsia="宋体"/>
          <w:sz w:val="24"/>
          <w:color w:val="000000"/>
        </w:rPr>
        <w:t>件</w:t>
      </w:r>
      <w:r>
        <w:rPr>
          <w:rFonts w:ascii="宋体" w:hAnsi="宋体" w:cs="宋体" w:eastAsia="宋体"/>
          <w:sz w:val="24"/>
          <w:color w:val="000000"/>
        </w:rPr>
        <w:t>发生。</w:t>
      </w:r>
    </w:p>
    <w:p>
      <w:pPr>
        <w:pStyle w:val="null3"/>
        <w:ind w:firstLine="480"/>
        <w:jc w:val="left"/>
      </w:pPr>
      <w:r>
        <w:rPr>
          <w:rFonts w:ascii="宋体" w:hAnsi="宋体" w:cs="宋体" w:eastAsia="宋体"/>
          <w:sz w:val="24"/>
          <w:color w:val="000000"/>
        </w:rPr>
        <w:t>福建省政务云平台结构化数据库加密系统项目于</w:t>
      </w:r>
      <w:r>
        <w:rPr>
          <w:rFonts w:ascii="宋体" w:hAnsi="宋体" w:cs="宋体" w:eastAsia="宋体"/>
          <w:sz w:val="24"/>
          <w:color w:val="000000"/>
        </w:rPr>
        <w:t>2020年1月21日通过完工验收，2020年12月15日通过竣工验收。截至目前，数据库加密系统已为19个应用单位的37个数据库实例，共1057个字段提供安全、稳定的数据加解密服务。由于软硬件3年的免费质保期已过，为保障数据库加密系统安全稳定运行，需采购运维服务。</w:t>
      </w:r>
    </w:p>
    <w:p>
      <w:pPr>
        <w:pStyle w:val="null3"/>
        <w:ind w:firstLine="480"/>
        <w:jc w:val="left"/>
        <w:outlineLvl w:val="1"/>
      </w:pPr>
      <w:r>
        <w:rPr>
          <w:rFonts w:ascii="宋体" w:hAnsi="宋体" w:cs="宋体" w:eastAsia="宋体"/>
          <w:sz w:val="24"/>
          <w:b/>
          <w:color w:val="000000"/>
        </w:rPr>
        <w:t>1.2系统部署说明</w:t>
      </w:r>
    </w:p>
    <w:p>
      <w:pPr>
        <w:pStyle w:val="null3"/>
        <w:ind w:firstLine="480"/>
        <w:jc w:val="left"/>
      </w:pPr>
      <w:r>
        <w:rPr>
          <w:rFonts w:ascii="宋体" w:hAnsi="宋体" w:cs="宋体" w:eastAsia="宋体"/>
          <w:sz w:val="24"/>
          <w:color w:val="000000"/>
        </w:rPr>
        <w:t>结构化数据库加密系统包括硬件部分（</w:t>
      </w:r>
      <w:r>
        <w:rPr>
          <w:rFonts w:ascii="宋体" w:hAnsi="宋体" w:cs="宋体" w:eastAsia="宋体"/>
          <w:sz w:val="24"/>
          <w:color w:val="000000"/>
        </w:rPr>
        <w:t>4台数据库透明加解密设备，其中2台标配版、2台高配版，总采购价357万元）和软件部分（30.5万元）。系统部署在数字福建云计算中心三楼，其中，2台数据库透明加解密设备（高配版）部署在政务外网云平台互联网区，2台数据库透明加解密设备（普配版）部署在政务信息网云平台。</w:t>
      </w:r>
      <w:r>
        <w:rPr>
          <w:rFonts w:ascii="宋体" w:hAnsi="宋体" w:cs="宋体" w:eastAsia="宋体"/>
          <w:sz w:val="24"/>
          <w:color w:val="000000"/>
        </w:rPr>
        <w:t>数据库加解密设备采用旁路部署方式，</w:t>
      </w:r>
      <w:r>
        <w:rPr>
          <w:rFonts w:ascii="宋体" w:hAnsi="宋体" w:cs="宋体" w:eastAsia="宋体"/>
          <w:sz w:val="24"/>
          <w:color w:val="000000"/>
        </w:rPr>
        <w:t>为</w:t>
      </w:r>
      <w:r>
        <w:rPr>
          <w:rFonts w:ascii="宋体" w:hAnsi="宋体" w:cs="宋体" w:eastAsia="宋体"/>
          <w:sz w:val="24"/>
          <w:color w:val="000000"/>
        </w:rPr>
        <w:t>云</w:t>
      </w:r>
      <w:r>
        <w:rPr>
          <w:rFonts w:ascii="宋体" w:hAnsi="宋体" w:cs="宋体" w:eastAsia="宋体"/>
          <w:sz w:val="24"/>
          <w:color w:val="000000"/>
        </w:rPr>
        <w:t>上</w:t>
      </w:r>
      <w:r>
        <w:rPr>
          <w:rFonts w:ascii="宋体" w:hAnsi="宋体" w:cs="宋体" w:eastAsia="宋体"/>
          <w:sz w:val="24"/>
          <w:color w:val="000000"/>
        </w:rPr>
        <w:t>数据</w:t>
      </w:r>
      <w:r>
        <w:rPr>
          <w:rFonts w:ascii="宋体" w:hAnsi="宋体" w:cs="宋体" w:eastAsia="宋体"/>
          <w:sz w:val="24"/>
          <w:color w:val="000000"/>
        </w:rPr>
        <w:t>提供加解密服务</w:t>
      </w:r>
      <w:r>
        <w:rPr>
          <w:rFonts w:ascii="宋体" w:hAnsi="宋体" w:cs="宋体" w:eastAsia="宋体"/>
          <w:sz w:val="24"/>
          <w:color w:val="000000"/>
        </w:rPr>
        <w:t>。如下图所示。</w:t>
      </w:r>
    </w:p>
    <w:p>
      <w:pPr>
        <w:pStyle w:val="null3"/>
        <w:ind w:firstLine="480"/>
        <w:jc w:val="center"/>
      </w:pPr>
      <w:r>
        <w:drawing>
          <wp:inline distT="0" distR="0" distB="0" distL="0">
            <wp:extent cx="5274310" cy="330738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3307380"/>
                    </a:xfrm>
                    <a:prstGeom prst="rect">
                      <a:avLst/>
                    </a:prstGeom>
                  </pic:spPr>
                </pic:pic>
              </a:graphicData>
            </a:graphic>
          </wp:inline>
        </w:drawing>
      </w:r>
    </w:p>
    <w:p>
      <w:pPr>
        <w:pStyle w:val="null3"/>
        <w:ind w:firstLine="480"/>
        <w:jc w:val="both"/>
      </w:pPr>
      <w:r>
        <w:drawing>
          <wp:inline distT="0" distR="0" distB="0" distL="0">
            <wp:extent cx="5274310" cy="330738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274310" cy="3307380"/>
                    </a:xfrm>
                    <a:prstGeom prst="rect">
                      <a:avLst/>
                    </a:prstGeom>
                  </pic:spPr>
                </pic:pic>
              </a:graphicData>
            </a:graphic>
          </wp:inline>
        </w:drawing>
      </w:r>
    </w:p>
    <w:p>
      <w:pPr>
        <w:pStyle w:val="null3"/>
        <w:jc w:val="both"/>
        <w:outlineLvl w:val="2"/>
      </w:pPr>
      <w:r>
        <w:rPr>
          <w:sz w:val="28"/>
          <w:b/>
        </w:rPr>
        <w:t>二、技术和服务要求（以“★”标示的内容为不允许负偏离的实质性要求）</w:t>
      </w:r>
    </w:p>
    <w:p>
      <w:pPr>
        <w:pStyle w:val="null3"/>
        <w:jc w:val="left"/>
        <w:outlineLvl w:val="1"/>
      </w:pPr>
      <w:r>
        <w:rPr>
          <w:rFonts w:ascii="宋体" w:hAnsi="宋体" w:cs="宋体" w:eastAsia="宋体"/>
          <w:sz w:val="24"/>
          <w:b/>
          <w:shd w:fill="FFFFFF" w:val="clear"/>
        </w:rPr>
        <w:t>★</w:t>
      </w:r>
      <w:r>
        <w:rPr>
          <w:rFonts w:ascii="宋体" w:hAnsi="宋体" w:cs="宋体" w:eastAsia="宋体"/>
          <w:sz w:val="24"/>
          <w:b/>
        </w:rPr>
        <w:t>（一）总体服务要求</w:t>
      </w:r>
    </w:p>
    <w:p>
      <w:pPr>
        <w:pStyle w:val="null3"/>
        <w:ind w:firstLine="480"/>
        <w:jc w:val="both"/>
      </w:pPr>
      <w:r>
        <w:rPr>
          <w:rFonts w:ascii="宋体" w:hAnsi="宋体" w:cs="宋体" w:eastAsia="宋体"/>
          <w:sz w:val="24"/>
        </w:rPr>
        <w:t>本项目维保总体服务要求如下：具备完善的维护服务体系，提供福建省政务云平台结构化数据库加密系统软硬件设备的维保服务。</w:t>
      </w:r>
    </w:p>
    <w:p>
      <w:pPr>
        <w:pStyle w:val="null3"/>
        <w:jc w:val="left"/>
        <w:outlineLvl w:val="1"/>
      </w:pPr>
      <w:r>
        <w:rPr>
          <w:rFonts w:ascii="宋体" w:hAnsi="宋体" w:cs="宋体" w:eastAsia="宋体"/>
          <w:sz w:val="24"/>
          <w:b/>
          <w:shd w:fill="FFFFFF" w:val="clear"/>
        </w:rPr>
        <w:t>★</w:t>
      </w:r>
      <w:r>
        <w:rPr>
          <w:rFonts w:ascii="宋体" w:hAnsi="宋体" w:cs="宋体" w:eastAsia="宋体"/>
          <w:sz w:val="24"/>
          <w:b/>
        </w:rPr>
        <w:t>（二）服务范围和内容</w:t>
      </w:r>
    </w:p>
    <w:p>
      <w:pPr>
        <w:pStyle w:val="null3"/>
        <w:ind w:firstLine="480"/>
        <w:jc w:val="both"/>
      </w:pPr>
      <w:r>
        <w:rPr>
          <w:rFonts w:ascii="宋体" w:hAnsi="宋体" w:cs="宋体" w:eastAsia="宋体"/>
          <w:sz w:val="24"/>
          <w:shd w:fill="FFFFFF" w:val="clear"/>
        </w:rPr>
        <w:t>1.</w:t>
      </w:r>
      <w:r>
        <w:rPr>
          <w:rFonts w:ascii="宋体" w:hAnsi="宋体" w:cs="宋体" w:eastAsia="宋体"/>
          <w:sz w:val="24"/>
        </w:rPr>
        <w:t>服务范围：福建省政务云平台结构化数据库加密系统的硬件设备和软件系统。</w:t>
      </w:r>
    </w:p>
    <w:p>
      <w:pPr>
        <w:pStyle w:val="null3"/>
        <w:ind w:firstLine="480"/>
        <w:jc w:val="both"/>
      </w:pPr>
      <w:r>
        <w:rPr>
          <w:rFonts w:ascii="宋体" w:hAnsi="宋体" w:cs="宋体" w:eastAsia="宋体"/>
          <w:sz w:val="24"/>
        </w:rPr>
        <w:t>1.1硬件设备清单</w:t>
      </w:r>
    </w:p>
    <w:tbl>
      <w:tblPr>
        <w:tblW w:w="0" w:type="auto"/>
        <w:tblBorders>
          <w:top w:val="none" w:color="000000" w:sz="4"/>
          <w:left w:val="none" w:color="000000" w:sz="4"/>
          <w:bottom w:val="none" w:color="000000" w:sz="4"/>
          <w:right w:val="none" w:color="000000" w:sz="4"/>
          <w:insideH w:val="none"/>
          <w:insideV w:val="none"/>
        </w:tblBorders>
      </w:tblPr>
      <w:tblGrid>
        <w:gridCol w:w="599"/>
        <w:gridCol w:w="1737"/>
        <w:gridCol w:w="1102"/>
        <w:gridCol w:w="2294"/>
        <w:gridCol w:w="537"/>
        <w:gridCol w:w="1034"/>
        <w:gridCol w:w="1003"/>
      </w:tblGrid>
      <w:tr>
        <w:tc>
          <w:tcPr>
            <w:tcW w:type="dxa" w:w="599"/>
            <w:tcBorders>
              <w:top w:val="single" w:color="000000" w:sz="4"/>
              <w:left w:val="single" w:color="000000" w:sz="4"/>
              <w:bottom w:val="single" w:color="000000" w:sz="4"/>
              <w:right w:val="single" w:color="000000" w:sz="4"/>
            </w:tcBorders>
            <w:shd w:fill="AEAAAA"/>
            <w:tcMar>
              <w:top w:type="dxa" w:w="0"/>
              <w:left w:type="dxa" w:w="30"/>
              <w:bottom w:type="dxa" w:w="0"/>
              <w:right w:type="dxa" w:w="30"/>
            </w:tcMar>
            <w:vAlign w:val="top"/>
          </w:tcPr>
          <w:p>
            <w:pPr>
              <w:pStyle w:val="null3"/>
              <w:jc w:val="center"/>
            </w:pPr>
            <w:r>
              <w:rPr>
                <w:rFonts w:ascii="宋体" w:hAnsi="宋体" w:cs="宋体" w:eastAsia="宋体"/>
                <w:sz w:val="24"/>
                <w:b/>
              </w:rPr>
              <w:t>序号</w:t>
            </w:r>
          </w:p>
        </w:tc>
        <w:tc>
          <w:tcPr>
            <w:tcW w:type="dxa" w:w="1737"/>
            <w:tcBorders>
              <w:top w:val="single" w:color="000000" w:sz="4"/>
              <w:left w:val="none" w:color="000000" w:sz="4"/>
              <w:bottom w:val="single" w:color="000000" w:sz="4"/>
              <w:right w:val="single" w:color="000000" w:sz="4"/>
            </w:tcBorders>
            <w:shd w:fill="AEAAAA"/>
            <w:tcMar>
              <w:top w:type="dxa" w:w="0"/>
              <w:left w:type="dxa" w:w="30"/>
              <w:bottom w:type="dxa" w:w="0"/>
              <w:right w:type="dxa" w:w="30"/>
            </w:tcMar>
            <w:vAlign w:val="top"/>
          </w:tcPr>
          <w:p>
            <w:pPr>
              <w:pStyle w:val="null3"/>
              <w:ind w:firstLine="226"/>
              <w:jc w:val="center"/>
            </w:pPr>
            <w:r>
              <w:rPr>
                <w:rFonts w:ascii="宋体" w:hAnsi="宋体" w:cs="宋体" w:eastAsia="宋体"/>
                <w:sz w:val="24"/>
                <w:b/>
              </w:rPr>
              <w:t>设备名称</w:t>
            </w:r>
          </w:p>
        </w:tc>
        <w:tc>
          <w:tcPr>
            <w:tcW w:type="dxa" w:w="1102"/>
            <w:tcBorders>
              <w:top w:val="single" w:color="000000" w:sz="4"/>
              <w:left w:val="none" w:color="000000" w:sz="4"/>
              <w:bottom w:val="single" w:color="000000" w:sz="4"/>
              <w:right w:val="single" w:color="000000" w:sz="4"/>
            </w:tcBorders>
            <w:shd w:fill="AEAAAA"/>
            <w:tcMar>
              <w:top w:type="dxa" w:w="0"/>
              <w:left w:type="dxa" w:w="30"/>
              <w:bottom w:type="dxa" w:w="0"/>
              <w:right w:type="dxa" w:w="30"/>
            </w:tcMar>
            <w:vAlign w:val="top"/>
          </w:tcPr>
          <w:p>
            <w:pPr>
              <w:pStyle w:val="null3"/>
              <w:jc w:val="center"/>
            </w:pPr>
            <w:r>
              <w:rPr>
                <w:rFonts w:ascii="宋体" w:hAnsi="宋体" w:cs="宋体" w:eastAsia="宋体"/>
                <w:sz w:val="24"/>
                <w:b/>
              </w:rPr>
              <w:t>品牌</w:t>
            </w:r>
          </w:p>
        </w:tc>
        <w:tc>
          <w:tcPr>
            <w:tcW w:type="dxa" w:w="2294"/>
            <w:tcBorders>
              <w:top w:val="single" w:color="000000" w:sz="4"/>
              <w:left w:val="none" w:color="000000" w:sz="4"/>
              <w:bottom w:val="single" w:color="000000" w:sz="4"/>
              <w:right w:val="single" w:color="000000" w:sz="4"/>
            </w:tcBorders>
            <w:shd w:fill="AEAAAA"/>
            <w:tcMar>
              <w:top w:type="dxa" w:w="0"/>
              <w:left w:type="dxa" w:w="30"/>
              <w:bottom w:type="dxa" w:w="0"/>
              <w:right w:type="dxa" w:w="30"/>
            </w:tcMar>
            <w:vAlign w:val="top"/>
          </w:tcPr>
          <w:p>
            <w:pPr>
              <w:pStyle w:val="null3"/>
              <w:jc w:val="center"/>
            </w:pPr>
            <w:r>
              <w:rPr>
                <w:rFonts w:ascii="宋体" w:hAnsi="宋体" w:cs="宋体" w:eastAsia="宋体"/>
                <w:sz w:val="24"/>
                <w:b/>
              </w:rPr>
              <w:t>型号</w:t>
            </w:r>
          </w:p>
        </w:tc>
        <w:tc>
          <w:tcPr>
            <w:tcW w:type="dxa" w:w="537"/>
            <w:tcBorders>
              <w:top w:val="single" w:color="000000" w:sz="4"/>
              <w:left w:val="none" w:color="000000" w:sz="4"/>
              <w:bottom w:val="single" w:color="000000" w:sz="4"/>
              <w:right w:val="single" w:color="000000" w:sz="4"/>
            </w:tcBorders>
            <w:shd w:fill="AEAAAA"/>
            <w:tcMar>
              <w:top w:type="dxa" w:w="0"/>
              <w:left w:type="dxa" w:w="30"/>
              <w:bottom w:type="dxa" w:w="0"/>
              <w:right w:type="dxa" w:w="30"/>
            </w:tcMar>
            <w:vAlign w:val="top"/>
          </w:tcPr>
          <w:p>
            <w:pPr>
              <w:pStyle w:val="null3"/>
              <w:jc w:val="center"/>
            </w:pPr>
            <w:r>
              <w:rPr>
                <w:rFonts w:ascii="宋体" w:hAnsi="宋体" w:cs="宋体" w:eastAsia="宋体"/>
                <w:sz w:val="24"/>
                <w:b/>
              </w:rPr>
              <w:t>数量</w:t>
            </w:r>
          </w:p>
        </w:tc>
        <w:tc>
          <w:tcPr>
            <w:tcW w:type="dxa" w:w="1034"/>
            <w:tcBorders>
              <w:top w:val="single" w:color="000000" w:sz="4"/>
              <w:left w:val="none" w:color="000000" w:sz="4"/>
              <w:bottom w:val="single" w:color="000000" w:sz="4"/>
              <w:right w:val="single" w:color="000000" w:sz="4"/>
            </w:tcBorders>
            <w:shd w:fill="AEAAAA"/>
            <w:tcMar>
              <w:top w:type="dxa" w:w="0"/>
              <w:left w:type="dxa" w:w="30"/>
              <w:bottom w:type="dxa" w:w="0"/>
              <w:right w:type="dxa" w:w="30"/>
            </w:tcMar>
            <w:vAlign w:val="top"/>
          </w:tcPr>
          <w:p>
            <w:pPr>
              <w:pStyle w:val="null3"/>
              <w:jc w:val="center"/>
            </w:pPr>
            <w:r>
              <w:rPr>
                <w:rFonts w:ascii="宋体" w:hAnsi="宋体" w:cs="宋体" w:eastAsia="宋体"/>
                <w:sz w:val="24"/>
                <w:b/>
              </w:rPr>
              <w:t>网络区域</w:t>
            </w:r>
          </w:p>
        </w:tc>
        <w:tc>
          <w:tcPr>
            <w:tcW w:type="dxa" w:w="1003"/>
            <w:tcBorders>
              <w:top w:val="single" w:color="000000" w:sz="4"/>
              <w:left w:val="none" w:color="000000" w:sz="4"/>
              <w:bottom w:val="single" w:color="000000" w:sz="4"/>
              <w:right w:val="single" w:color="000000" w:sz="4"/>
            </w:tcBorders>
            <w:shd w:fill="AEAAAA"/>
            <w:tcMar>
              <w:top w:type="dxa" w:w="0"/>
              <w:left w:type="dxa" w:w="30"/>
              <w:bottom w:type="dxa" w:w="0"/>
              <w:right w:type="dxa" w:w="30"/>
            </w:tcMar>
            <w:vAlign w:val="top"/>
          </w:tcPr>
          <w:p>
            <w:pPr>
              <w:pStyle w:val="null3"/>
              <w:jc w:val="center"/>
            </w:pPr>
            <w:r>
              <w:rPr>
                <w:rFonts w:ascii="宋体" w:hAnsi="宋体" w:cs="宋体" w:eastAsia="宋体"/>
                <w:sz w:val="24"/>
                <w:b/>
              </w:rPr>
              <w:t>高度</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数据库透明加解密设备（普配版）</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迈科龙</w:t>
            </w:r>
          </w:p>
        </w:tc>
        <w:tc>
          <w:tcPr>
            <w:tcW w:type="dxa" w:w="2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S5100 DBSecurity –XE1500</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政务网</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4U</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数据库透明加解密设备（高配版）</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迈科龙</w:t>
            </w:r>
          </w:p>
        </w:tc>
        <w:tc>
          <w:tcPr>
            <w:tcW w:type="dxa" w:w="2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S5100 DBSecurity –XE2000</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政务外网互联网区</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4U</w:t>
            </w:r>
          </w:p>
        </w:tc>
      </w:tr>
    </w:tbl>
    <w:p>
      <w:pPr>
        <w:pStyle w:val="null3"/>
        <w:ind w:firstLine="480"/>
        <w:jc w:val="both"/>
      </w:pPr>
      <w:r>
        <w:rPr>
          <w:rFonts w:ascii="宋体" w:hAnsi="宋体" w:cs="宋体" w:eastAsia="宋体"/>
          <w:sz w:val="24"/>
        </w:rPr>
        <w:t>1.2软件系统</w:t>
      </w:r>
    </w:p>
    <w:tbl>
      <w:tblPr>
        <w:tblW w:w="0" w:type="auto"/>
        <w:tblBorders>
          <w:top w:val="none" w:color="000000" w:sz="4"/>
          <w:left w:val="none" w:color="000000" w:sz="4"/>
          <w:bottom w:val="none" w:color="000000" w:sz="4"/>
          <w:right w:val="none" w:color="000000" w:sz="4"/>
          <w:insideH w:val="none"/>
          <w:insideV w:val="none"/>
        </w:tblBorders>
      </w:tblPr>
      <w:tblGrid>
        <w:gridCol w:w="2288"/>
        <w:gridCol w:w="2579"/>
        <w:gridCol w:w="3438"/>
      </w:tblGrid>
      <w:tr>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系统名称</w:t>
            </w:r>
          </w:p>
        </w:tc>
        <w:tc>
          <w:tcPr>
            <w:tcW w:type="dxa" w:w="2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功能名称</w:t>
            </w:r>
          </w:p>
        </w:tc>
        <w:tc>
          <w:tcPr>
            <w:tcW w:type="dxa" w:w="3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子功能名称</w:t>
            </w:r>
          </w:p>
        </w:tc>
      </w:tr>
      <w:tr>
        <w:tc>
          <w:tcPr>
            <w:tcW w:type="dxa" w:w="2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政务云数据库数据透明加解密安全代理系统</w:t>
            </w:r>
          </w:p>
        </w:tc>
        <w:tc>
          <w:tcPr>
            <w:tcW w:type="dxa" w:w="2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透明加密</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存储加密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透明访问</w:t>
            </w:r>
          </w:p>
        </w:tc>
      </w:tr>
      <w:tr>
        <w:tc>
          <w:tcPr>
            <w:tcW w:type="dxa" w:w="2288"/>
            <w:vMerge/>
            <w:tcBorders>
              <w:top w:val="none" w:color="000000" w:sz="4"/>
              <w:left w:val="single" w:color="000000" w:sz="4"/>
              <w:bottom w:val="single" w:color="000000" w:sz="4"/>
              <w:right w:val="single" w:color="000000" w:sz="4"/>
            </w:tcBorders>
          </w:tcPr>
          <w:p/>
        </w:tc>
        <w:tc>
          <w:tcPr>
            <w:tcW w:type="dxa" w:w="2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分权管理</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数据库管理员</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安全管理员</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审计管理员</w:t>
            </w:r>
          </w:p>
        </w:tc>
      </w:tr>
      <w:tr>
        <w:tc>
          <w:tcPr>
            <w:tcW w:type="dxa" w:w="2288"/>
            <w:vMerge/>
            <w:tcBorders>
              <w:top w:val="none" w:color="000000" w:sz="4"/>
              <w:left w:val="single" w:color="000000" w:sz="4"/>
              <w:bottom w:val="single" w:color="000000" w:sz="4"/>
              <w:right w:val="single" w:color="000000" w:sz="4"/>
            </w:tcBorders>
          </w:tcPr>
          <w:p/>
        </w:tc>
        <w:tc>
          <w:tcPr>
            <w:tcW w:type="dxa" w:w="2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权限策略</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增强权限控制</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应用系统程序绑定</w:t>
            </w:r>
          </w:p>
        </w:tc>
      </w:tr>
      <w:tr>
        <w:tc>
          <w:tcPr>
            <w:tcW w:type="dxa" w:w="2288"/>
            <w:vMerge/>
            <w:tcBorders>
              <w:top w:val="none" w:color="000000" w:sz="4"/>
              <w:left w:val="single" w:color="000000" w:sz="4"/>
              <w:bottom w:val="single" w:color="000000" w:sz="4"/>
              <w:right w:val="single" w:color="000000" w:sz="4"/>
            </w:tcBorders>
          </w:tcP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数据检索</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高效数据检索</w:t>
            </w:r>
          </w:p>
        </w:tc>
      </w:tr>
      <w:tr>
        <w:tc>
          <w:tcPr>
            <w:tcW w:type="dxa" w:w="2288"/>
            <w:vMerge/>
            <w:tcBorders>
              <w:top w:val="none" w:color="000000" w:sz="4"/>
              <w:left w:val="single" w:color="000000" w:sz="4"/>
              <w:bottom w:val="single" w:color="000000" w:sz="4"/>
              <w:right w:val="single" w:color="000000" w:sz="4"/>
            </w:tcBorders>
          </w:tcPr>
          <w:p/>
        </w:tc>
        <w:tc>
          <w:tcPr>
            <w:tcW w:type="dxa" w:w="2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数据服务</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策略同步与分发</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数据安全加密统一应用服务</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数据安全解统一应用服务</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透明加密统计报表</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数据检索统计报表</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策略分发统计报表</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用户权限统一认证服务接口</w:t>
            </w:r>
          </w:p>
        </w:tc>
      </w:tr>
      <w:tr>
        <w:tc>
          <w:tcPr>
            <w:tcW w:type="dxa" w:w="2288"/>
            <w:vMerge/>
            <w:tcBorders>
              <w:top w:val="none" w:color="000000" w:sz="4"/>
              <w:left w:val="single" w:color="000000" w:sz="4"/>
              <w:bottom w:val="single" w:color="000000" w:sz="4"/>
              <w:right w:val="single" w:color="000000" w:sz="4"/>
            </w:tcBorders>
          </w:tcPr>
          <w:p/>
        </w:tc>
        <w:tc>
          <w:tcPr>
            <w:tcW w:type="dxa" w:w="2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系统管理</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统一用户管理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统一角色管理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统一权限管理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统一登录认证管理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日志管理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数据管理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参数管理</w:t>
            </w:r>
          </w:p>
        </w:tc>
      </w:tr>
      <w:tr>
        <w:tc>
          <w:tcPr>
            <w:tcW w:type="dxa" w:w="2288"/>
            <w:vMerge/>
            <w:tcBorders>
              <w:top w:val="none" w:color="000000" w:sz="4"/>
              <w:left w:val="single" w:color="000000" w:sz="4"/>
              <w:bottom w:val="single" w:color="000000" w:sz="4"/>
              <w:right w:val="single" w:color="000000" w:sz="4"/>
            </w:tcBorders>
          </w:tcPr>
          <w:p/>
        </w:tc>
        <w:tc>
          <w:tcPr>
            <w:tcW w:type="dxa" w:w="2579"/>
            <w:vMerge/>
            <w:tcBorders>
              <w:top w:val="none" w:color="000000" w:sz="4"/>
              <w:left w:val="none" w:color="000000" w:sz="4"/>
              <w:bottom w:val="single" w:color="000000" w:sz="4"/>
              <w:right w:val="single" w:color="000000" w:sz="4"/>
            </w:tcBorders>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策略管理</w:t>
            </w:r>
          </w:p>
        </w:tc>
      </w:tr>
      <w:tr>
        <w:tc>
          <w:tcPr>
            <w:tcW w:type="dxa" w:w="2288"/>
            <w:vMerge/>
            <w:tcBorders>
              <w:top w:val="none" w:color="000000" w:sz="4"/>
              <w:left w:val="single" w:color="000000" w:sz="4"/>
              <w:bottom w:val="single" w:color="000000" w:sz="4"/>
              <w:right w:val="single" w:color="000000" w:sz="4"/>
            </w:tcBorders>
          </w:tcP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双机热备</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双机热备</w:t>
            </w:r>
          </w:p>
        </w:tc>
      </w:tr>
    </w:tbl>
    <w:p>
      <w:pPr>
        <w:pStyle w:val="null3"/>
        <w:jc w:val="both"/>
      </w:pPr>
      <w:r>
        <w:rPr>
          <w:rFonts w:ascii="calibri" w:hAnsi="calibri" w:cs="calibri" w:eastAsia="calibri"/>
          <w:sz w:val="21"/>
        </w:rPr>
        <w:t xml:space="preserve"> </w:t>
      </w:r>
    </w:p>
    <w:p>
      <w:pPr>
        <w:pStyle w:val="null3"/>
        <w:ind w:firstLine="480"/>
        <w:jc w:val="both"/>
      </w:pPr>
      <w:r>
        <w:rPr>
          <w:rFonts w:ascii="宋体" w:hAnsi="宋体" w:cs="宋体" w:eastAsia="宋体"/>
          <w:sz w:val="24"/>
        </w:rPr>
        <w:t>2.服务内容</w:t>
      </w:r>
    </w:p>
    <w:p>
      <w:pPr>
        <w:pStyle w:val="null3"/>
        <w:ind w:firstLine="480"/>
        <w:jc w:val="both"/>
      </w:pPr>
      <w:r>
        <w:rPr>
          <w:rFonts w:ascii="宋体" w:hAnsi="宋体" w:cs="宋体" w:eastAsia="宋体"/>
          <w:sz w:val="24"/>
        </w:rPr>
        <w:t>本项目约定的维保支撑服务包括以下服务项目：</w:t>
      </w:r>
      <w:r>
        <w:rPr>
          <w:rFonts w:ascii="宋体" w:hAnsi="宋体" w:cs="宋体" w:eastAsia="宋体"/>
          <w:sz w:val="24"/>
        </w:rPr>
        <w:t>1）日常运维服务；2）故障处理；3）硬件设备保障；4）软件升级服务。</w:t>
      </w:r>
    </w:p>
    <w:p>
      <w:pPr>
        <w:pStyle w:val="null3"/>
        <w:ind w:firstLine="480"/>
        <w:jc w:val="both"/>
      </w:pPr>
      <w:r>
        <w:rPr>
          <w:rFonts w:ascii="calibri" w:hAnsi="calibri" w:cs="calibri" w:eastAsia="calibri"/>
          <w:sz w:val="21"/>
        </w:rPr>
        <w:t xml:space="preserve"> </w:t>
      </w:r>
    </w:p>
    <w:p>
      <w:pPr>
        <w:pStyle w:val="null3"/>
        <w:jc w:val="left"/>
        <w:outlineLvl w:val="1"/>
      </w:pPr>
      <w:r>
        <w:rPr>
          <w:rFonts w:ascii="宋体" w:hAnsi="宋体" w:cs="宋体" w:eastAsia="宋体"/>
          <w:sz w:val="24"/>
          <w:b/>
        </w:rPr>
        <w:t>（三）系统运行维护及技术服务要求</w:t>
      </w:r>
    </w:p>
    <w:p>
      <w:pPr>
        <w:pStyle w:val="null3"/>
        <w:ind w:firstLine="480"/>
        <w:jc w:val="both"/>
      </w:pPr>
      <w:r>
        <w:rPr>
          <w:rFonts w:ascii="宋体" w:hAnsi="宋体" w:cs="宋体" w:eastAsia="宋体"/>
          <w:sz w:val="24"/>
        </w:rPr>
        <w:t>1.日常运维服务</w:t>
      </w:r>
    </w:p>
    <w:p>
      <w:pPr>
        <w:pStyle w:val="null3"/>
        <w:ind w:firstLine="482"/>
        <w:jc w:val="both"/>
      </w:pPr>
      <w:r>
        <w:rPr>
          <w:rFonts w:ascii="宋体" w:hAnsi="宋体" w:cs="宋体" w:eastAsia="宋体"/>
          <w:sz w:val="24"/>
          <w:b/>
          <w:shd w:fill="FFFFFF" w:val="clear"/>
        </w:rPr>
        <w:t>★</w:t>
      </w:r>
      <w:r>
        <w:rPr>
          <w:rFonts w:ascii="宋体" w:hAnsi="宋体" w:cs="宋体" w:eastAsia="宋体"/>
          <w:sz w:val="24"/>
          <w:b/>
        </w:rPr>
        <w:t>1.1项目团队包含1个项目经理和至少2名项目组成员，并指派1名专业技术人员驻点，</w:t>
      </w:r>
      <w:r>
        <w:rPr>
          <w:rFonts w:ascii="宋体" w:hAnsi="宋体" w:cs="宋体" w:eastAsia="宋体"/>
          <w:sz w:val="24"/>
          <w:b/>
        </w:rPr>
        <w:t>需提供有效的承诺函，格式自拟并加盖投标人单位公章。</w:t>
      </w:r>
    </w:p>
    <w:p>
      <w:pPr>
        <w:pStyle w:val="null3"/>
        <w:ind w:firstLine="482"/>
        <w:jc w:val="both"/>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rPr>
        <w:t>▲</w:t>
      </w:r>
      <w:r>
        <w:rPr>
          <w:rFonts w:ascii="宋体" w:hAnsi="宋体" w:cs="宋体" w:eastAsia="宋体"/>
          <w:sz w:val="24"/>
        </w:rPr>
        <w:t>1.2提供</w:t>
      </w:r>
      <w:r>
        <w:rPr>
          <w:rFonts w:ascii="宋体" w:hAnsi="宋体" w:cs="宋体" w:eastAsia="宋体"/>
          <w:sz w:val="24"/>
        </w:rPr>
        <w:t>技术服务支撑</w:t>
      </w:r>
      <w:r>
        <w:rPr>
          <w:rFonts w:ascii="宋体" w:hAnsi="宋体" w:cs="宋体" w:eastAsia="宋体"/>
          <w:sz w:val="24"/>
        </w:rPr>
        <w:t>和应急预案等日常维护制度，</w:t>
      </w:r>
      <w:r>
        <w:rPr>
          <w:rFonts w:ascii="宋体" w:hAnsi="宋体" w:cs="宋体" w:eastAsia="宋体"/>
          <w:sz w:val="24"/>
        </w:rPr>
        <w:t>有相应的专职技术人员和技术措施</w:t>
      </w:r>
      <w:r>
        <w:rPr>
          <w:rFonts w:ascii="宋体" w:hAnsi="宋体" w:cs="宋体" w:eastAsia="宋体"/>
          <w:sz w:val="24"/>
        </w:rPr>
        <w:t>提供</w:t>
      </w:r>
      <w:r>
        <w:rPr>
          <w:rFonts w:ascii="宋体" w:hAnsi="宋体" w:cs="宋体" w:eastAsia="宋体"/>
          <w:sz w:val="24"/>
        </w:rPr>
        <w:t>7*24小时远程技术支持服务。</w:t>
      </w:r>
    </w:p>
    <w:p>
      <w:pPr>
        <w:pStyle w:val="null3"/>
        <w:ind w:firstLine="482"/>
        <w:jc w:val="both"/>
      </w:pPr>
      <w:r>
        <w:rPr>
          <w:rFonts w:ascii="宋体" w:hAnsi="宋体" w:cs="宋体" w:eastAsia="宋体"/>
          <w:sz w:val="24"/>
          <w:b/>
        </w:rPr>
        <w:t>（评审项</w:t>
      </w:r>
      <w:r>
        <w:rPr>
          <w:rFonts w:ascii="宋体" w:hAnsi="宋体" w:cs="宋体" w:eastAsia="宋体"/>
          <w:sz w:val="24"/>
          <w:b/>
        </w:rPr>
        <w:t>2）</w:t>
      </w:r>
      <w:r>
        <w:rPr>
          <w:rFonts w:ascii="宋体" w:hAnsi="宋体" w:cs="宋体" w:eastAsia="宋体"/>
          <w:sz w:val="24"/>
        </w:rPr>
        <w:t>1.3每天安排技术工程师进行巡检，巡检内容</w:t>
      </w:r>
      <w:r>
        <w:rPr>
          <w:rFonts w:ascii="宋体" w:hAnsi="宋体" w:cs="宋体" w:eastAsia="宋体"/>
          <w:sz w:val="24"/>
        </w:rPr>
        <w:t>包括但不限于数据库加密设备状态检查、数据库加密设备日志检查、主机日志检查等，发现问题及时处理，</w:t>
      </w:r>
      <w:r>
        <w:rPr>
          <w:rFonts w:ascii="宋体" w:hAnsi="宋体" w:cs="宋体" w:eastAsia="宋体"/>
          <w:sz w:val="24"/>
        </w:rPr>
        <w:t>每月提供巡检报告。定期对系统进行健康检查、调整和优化，对重要数据进行备份，并提供相关报告。</w:t>
      </w:r>
    </w:p>
    <w:p>
      <w:pPr>
        <w:pStyle w:val="null3"/>
        <w:ind w:firstLine="482"/>
        <w:jc w:val="both"/>
      </w:pPr>
      <w:r>
        <w:rPr>
          <w:rFonts w:ascii="宋体" w:hAnsi="宋体" w:cs="宋体" w:eastAsia="宋体"/>
          <w:sz w:val="24"/>
          <w:b/>
        </w:rPr>
        <w:t>（评审项</w:t>
      </w:r>
      <w:r>
        <w:rPr>
          <w:rFonts w:ascii="宋体" w:hAnsi="宋体" w:cs="宋体" w:eastAsia="宋体"/>
          <w:sz w:val="24"/>
          <w:b/>
        </w:rPr>
        <w:t>3）</w:t>
      </w:r>
      <w:r>
        <w:rPr>
          <w:rFonts w:ascii="宋体" w:hAnsi="宋体" w:cs="宋体" w:eastAsia="宋体"/>
          <w:sz w:val="24"/>
        </w:rPr>
        <w:t>1.4电话技术支持服务：投标人需设立7×24的值班响应电话，并安排有经验的工程师接受申告（也可由专人负责将电话转至具备支持本项目能力的工程师）。当系统出现故障时，可通过投标人指定的值班响应电话进行报障。</w:t>
      </w:r>
    </w:p>
    <w:p>
      <w:pPr>
        <w:pStyle w:val="null3"/>
        <w:ind w:firstLine="482"/>
        <w:jc w:val="both"/>
      </w:pPr>
      <w:r>
        <w:rPr>
          <w:rFonts w:ascii="宋体" w:hAnsi="宋体" w:cs="宋体" w:eastAsia="宋体"/>
          <w:sz w:val="24"/>
          <w:b/>
        </w:rPr>
        <w:t>（评审项</w:t>
      </w:r>
      <w:r>
        <w:rPr>
          <w:rFonts w:ascii="宋体" w:hAnsi="宋体" w:cs="宋体" w:eastAsia="宋体"/>
          <w:sz w:val="24"/>
          <w:b/>
        </w:rPr>
        <w:t>4）</w:t>
      </w:r>
      <w:r>
        <w:rPr>
          <w:rFonts w:ascii="宋体" w:hAnsi="宋体" w:cs="宋体" w:eastAsia="宋体"/>
          <w:sz w:val="24"/>
        </w:rPr>
        <w:t>1.5为应用单位提供</w:t>
      </w:r>
      <w:r>
        <w:rPr>
          <w:rFonts w:ascii="宋体" w:hAnsi="宋体" w:cs="宋体" w:eastAsia="宋体"/>
          <w:sz w:val="24"/>
        </w:rPr>
        <w:t>实时技术支持。</w:t>
      </w:r>
      <w:r>
        <w:rPr>
          <w:rFonts w:ascii="宋体" w:hAnsi="宋体" w:cs="宋体" w:eastAsia="宋体"/>
          <w:sz w:val="24"/>
        </w:rPr>
        <w:t>配合应用单位进行数据库加解密配置、数据库性能调优等，能</w:t>
      </w:r>
      <w:r>
        <w:rPr>
          <w:rFonts w:ascii="宋体" w:hAnsi="宋体" w:cs="宋体" w:eastAsia="宋体"/>
          <w:sz w:val="24"/>
        </w:rPr>
        <w:t>对系统用户遇到的各种问题进行排查、修复及数据处理。</w:t>
      </w:r>
    </w:p>
    <w:p>
      <w:pPr>
        <w:pStyle w:val="null3"/>
        <w:ind w:firstLine="480"/>
        <w:jc w:val="both"/>
      </w:pPr>
      <w:r>
        <w:rPr>
          <w:rFonts w:ascii="宋体" w:hAnsi="宋体" w:cs="宋体" w:eastAsia="宋体"/>
          <w:sz w:val="24"/>
          <w:b/>
        </w:rPr>
        <w:t>（评审项</w:t>
      </w:r>
      <w:r>
        <w:rPr>
          <w:rFonts w:ascii="宋体" w:hAnsi="宋体" w:cs="宋体" w:eastAsia="宋体"/>
          <w:sz w:val="24"/>
          <w:b/>
        </w:rPr>
        <w:t>5）</w:t>
      </w:r>
      <w:r>
        <w:rPr>
          <w:rFonts w:ascii="宋体" w:hAnsi="宋体" w:cs="宋体" w:eastAsia="宋体"/>
          <w:sz w:val="24"/>
        </w:rPr>
        <w:t>1.6提供数据库加密</w:t>
      </w:r>
      <w:r>
        <w:rPr>
          <w:rFonts w:ascii="宋体" w:hAnsi="宋体" w:cs="宋体" w:eastAsia="宋体"/>
          <w:sz w:val="24"/>
        </w:rPr>
        <w:t>系统各项功能的管理、配置及优化服务；</w:t>
      </w:r>
    </w:p>
    <w:p>
      <w:pPr>
        <w:pStyle w:val="null3"/>
        <w:ind w:firstLine="482"/>
        <w:jc w:val="both"/>
      </w:pPr>
      <w:r>
        <w:rPr>
          <w:rFonts w:ascii="宋体" w:hAnsi="宋体" w:cs="宋体" w:eastAsia="宋体"/>
          <w:sz w:val="24"/>
          <w:b/>
        </w:rPr>
        <w:t>（评审项</w:t>
      </w:r>
      <w:r>
        <w:rPr>
          <w:rFonts w:ascii="宋体" w:hAnsi="宋体" w:cs="宋体" w:eastAsia="宋体"/>
          <w:sz w:val="24"/>
          <w:b/>
        </w:rPr>
        <w:t>6）</w:t>
      </w:r>
      <w:r>
        <w:rPr>
          <w:rFonts w:ascii="宋体" w:hAnsi="宋体" w:cs="宋体" w:eastAsia="宋体"/>
          <w:sz w:val="24"/>
        </w:rPr>
        <w:t>1.7管理系统技术支持QQ群或微信群，及时解答、处理用户提出的系统使用问题，确保系统用户正常使用系统。</w:t>
      </w:r>
    </w:p>
    <w:p>
      <w:pPr>
        <w:pStyle w:val="null3"/>
        <w:ind w:firstLine="482"/>
        <w:jc w:val="both"/>
      </w:pPr>
      <w:r>
        <w:rPr>
          <w:rFonts w:ascii="宋体" w:hAnsi="宋体" w:cs="宋体" w:eastAsia="宋体"/>
          <w:sz w:val="24"/>
          <w:b/>
        </w:rPr>
        <w:t>（评审项</w:t>
      </w:r>
      <w:r>
        <w:rPr>
          <w:rFonts w:ascii="宋体" w:hAnsi="宋体" w:cs="宋体" w:eastAsia="宋体"/>
          <w:sz w:val="24"/>
          <w:b/>
        </w:rPr>
        <w:t>7）</w:t>
      </w:r>
      <w:r>
        <w:rPr>
          <w:rFonts w:ascii="宋体" w:hAnsi="宋体" w:cs="宋体" w:eastAsia="宋体"/>
          <w:sz w:val="24"/>
        </w:rPr>
        <w:t>1.8安全漏洞整改：配合第三方服务机构开展安全测评和渗透测试、漏洞扫描等工作，发现中高风险安全漏洞时，及时进行整改。</w:t>
      </w:r>
    </w:p>
    <w:p>
      <w:pPr>
        <w:pStyle w:val="null3"/>
        <w:ind w:firstLine="482"/>
        <w:jc w:val="both"/>
      </w:pPr>
      <w:r>
        <w:rPr>
          <w:rFonts w:ascii="宋体" w:hAnsi="宋体" w:cs="宋体" w:eastAsia="宋体"/>
          <w:sz w:val="24"/>
          <w:b/>
        </w:rPr>
        <w:t>（评审项</w:t>
      </w:r>
      <w:r>
        <w:rPr>
          <w:rFonts w:ascii="宋体" w:hAnsi="宋体" w:cs="宋体" w:eastAsia="宋体"/>
          <w:sz w:val="24"/>
          <w:b/>
        </w:rPr>
        <w:t>8）</w:t>
      </w:r>
      <w:r>
        <w:rPr>
          <w:rFonts w:ascii="宋体" w:hAnsi="宋体" w:cs="宋体" w:eastAsia="宋体"/>
          <w:sz w:val="24"/>
        </w:rPr>
        <w:t>1.9</w:t>
      </w:r>
      <w:r>
        <w:rPr>
          <w:rFonts w:ascii="宋体" w:hAnsi="宋体" w:cs="宋体" w:eastAsia="宋体"/>
          <w:sz w:val="24"/>
        </w:rPr>
        <w:t>收集整理各类用户反馈的问题，定期向采购人反馈。</w:t>
      </w:r>
      <w:r>
        <w:rPr>
          <w:rFonts w:ascii="宋体" w:hAnsi="宋体" w:cs="宋体" w:eastAsia="宋体"/>
          <w:sz w:val="24"/>
        </w:rPr>
        <w:t>按照采购人要求，提供相关的汇总、统计数据。</w:t>
      </w:r>
    </w:p>
    <w:p>
      <w:pPr>
        <w:pStyle w:val="null3"/>
        <w:ind w:firstLine="480"/>
        <w:jc w:val="left"/>
      </w:pPr>
      <w:r>
        <w:rPr>
          <w:rFonts w:ascii="宋体" w:hAnsi="宋体" w:cs="宋体" w:eastAsia="宋体"/>
          <w:sz w:val="24"/>
          <w:b/>
        </w:rPr>
        <w:t>（评审项</w:t>
      </w:r>
      <w:r>
        <w:rPr>
          <w:rFonts w:ascii="宋体" w:hAnsi="宋体" w:cs="宋体" w:eastAsia="宋体"/>
          <w:sz w:val="24"/>
          <w:b/>
        </w:rPr>
        <w:t>9）</w:t>
      </w:r>
      <w:r>
        <w:rPr>
          <w:rFonts w:ascii="宋体" w:hAnsi="宋体" w:cs="宋体" w:eastAsia="宋体"/>
          <w:sz w:val="24"/>
        </w:rPr>
        <w:t>▲1.10具备对数据库加解密系统中密钥管理和维护</w:t>
      </w:r>
      <w:r>
        <w:rPr>
          <w:rFonts w:ascii="宋体" w:hAnsi="宋体" w:cs="宋体" w:eastAsia="宋体"/>
          <w:sz w:val="24"/>
        </w:rPr>
        <w:t>的能力</w:t>
      </w:r>
      <w:r>
        <w:rPr>
          <w:rFonts w:ascii="宋体" w:hAnsi="宋体" w:cs="宋体" w:eastAsia="宋体"/>
          <w:sz w:val="24"/>
        </w:rPr>
        <w:t>，包括生成、导出</w:t>
      </w:r>
      <w:r>
        <w:rPr>
          <w:rFonts w:ascii="宋体" w:hAnsi="宋体" w:cs="宋体" w:eastAsia="宋体"/>
          <w:sz w:val="24"/>
        </w:rPr>
        <w:t>密钥</w:t>
      </w:r>
      <w:r>
        <w:rPr>
          <w:rFonts w:ascii="宋体" w:hAnsi="宋体" w:cs="宋体" w:eastAsia="宋体"/>
          <w:sz w:val="24"/>
        </w:rPr>
        <w:t>；</w:t>
      </w:r>
    </w:p>
    <w:p>
      <w:pPr>
        <w:pStyle w:val="null3"/>
        <w:ind w:firstLine="480"/>
        <w:jc w:val="left"/>
      </w:pPr>
      <w:r>
        <w:rPr>
          <w:rFonts w:ascii="宋体" w:hAnsi="宋体" w:cs="宋体" w:eastAsia="宋体"/>
          <w:sz w:val="24"/>
          <w:b/>
        </w:rPr>
        <w:t>（评审项</w:t>
      </w:r>
      <w:r>
        <w:rPr>
          <w:rFonts w:ascii="宋体" w:hAnsi="宋体" w:cs="宋体" w:eastAsia="宋体"/>
          <w:sz w:val="24"/>
          <w:b/>
        </w:rPr>
        <w:t>10）</w:t>
      </w:r>
      <w:r>
        <w:rPr>
          <w:rFonts w:ascii="宋体" w:hAnsi="宋体" w:cs="宋体" w:eastAsia="宋体"/>
          <w:sz w:val="24"/>
        </w:rPr>
        <w:t>▲1.11对数据库加解密系统初始化加解密</w:t>
      </w:r>
      <w:r>
        <w:rPr>
          <w:rFonts w:ascii="宋体" w:hAnsi="宋体" w:cs="宋体" w:eastAsia="宋体"/>
          <w:sz w:val="24"/>
        </w:rPr>
        <w:t>过程中</w:t>
      </w:r>
      <w:r>
        <w:rPr>
          <w:rFonts w:ascii="宋体" w:hAnsi="宋体" w:cs="宋体" w:eastAsia="宋体"/>
          <w:sz w:val="24"/>
        </w:rPr>
        <w:t>出现</w:t>
      </w:r>
      <w:r>
        <w:rPr>
          <w:rFonts w:ascii="宋体" w:hAnsi="宋体" w:cs="宋体" w:eastAsia="宋体"/>
          <w:sz w:val="24"/>
        </w:rPr>
        <w:t>的</w:t>
      </w:r>
      <w:r>
        <w:rPr>
          <w:rFonts w:ascii="宋体" w:hAnsi="宋体" w:cs="宋体" w:eastAsia="宋体"/>
          <w:sz w:val="24"/>
        </w:rPr>
        <w:t>问题具备排查和解决</w:t>
      </w:r>
      <w:r>
        <w:rPr>
          <w:rFonts w:ascii="宋体" w:hAnsi="宋体" w:cs="宋体" w:eastAsia="宋体"/>
          <w:sz w:val="24"/>
        </w:rPr>
        <w:t>的</w:t>
      </w:r>
      <w:r>
        <w:rPr>
          <w:rFonts w:ascii="宋体" w:hAnsi="宋体" w:cs="宋体" w:eastAsia="宋体"/>
          <w:sz w:val="24"/>
        </w:rPr>
        <w:t>能力；</w:t>
      </w:r>
    </w:p>
    <w:p>
      <w:pPr>
        <w:pStyle w:val="null3"/>
        <w:ind w:firstLine="480"/>
        <w:jc w:val="left"/>
      </w:pPr>
      <w:r>
        <w:rPr>
          <w:rFonts w:ascii="宋体" w:hAnsi="宋体" w:cs="宋体" w:eastAsia="宋体"/>
          <w:sz w:val="24"/>
          <w:b/>
        </w:rPr>
        <w:t>（评审项</w:t>
      </w:r>
      <w:r>
        <w:rPr>
          <w:rFonts w:ascii="宋体" w:hAnsi="宋体" w:cs="宋体" w:eastAsia="宋体"/>
          <w:sz w:val="24"/>
          <w:b/>
        </w:rPr>
        <w:t>11）</w:t>
      </w:r>
      <w:r>
        <w:rPr>
          <w:rFonts w:ascii="宋体" w:hAnsi="宋体" w:cs="宋体" w:eastAsia="宋体"/>
          <w:sz w:val="24"/>
        </w:rPr>
        <w:t>▲1.12对数据库加解密系统动态加解密</w:t>
      </w:r>
      <w:r>
        <w:rPr>
          <w:rFonts w:ascii="宋体" w:hAnsi="宋体" w:cs="宋体" w:eastAsia="宋体"/>
          <w:sz w:val="24"/>
        </w:rPr>
        <w:t>过程中</w:t>
      </w:r>
      <w:r>
        <w:rPr>
          <w:rFonts w:ascii="宋体" w:hAnsi="宋体" w:cs="宋体" w:eastAsia="宋体"/>
          <w:sz w:val="24"/>
        </w:rPr>
        <w:t>出现</w:t>
      </w:r>
      <w:r>
        <w:rPr>
          <w:rFonts w:ascii="宋体" w:hAnsi="宋体" w:cs="宋体" w:eastAsia="宋体"/>
          <w:sz w:val="24"/>
        </w:rPr>
        <w:t>的</w:t>
      </w:r>
      <w:r>
        <w:rPr>
          <w:rFonts w:ascii="宋体" w:hAnsi="宋体" w:cs="宋体" w:eastAsia="宋体"/>
          <w:sz w:val="24"/>
        </w:rPr>
        <w:t>问题具备排查和解决</w:t>
      </w:r>
      <w:r>
        <w:rPr>
          <w:rFonts w:ascii="宋体" w:hAnsi="宋体" w:cs="宋体" w:eastAsia="宋体"/>
          <w:sz w:val="24"/>
        </w:rPr>
        <w:t>的</w:t>
      </w:r>
      <w:r>
        <w:rPr>
          <w:rFonts w:ascii="宋体" w:hAnsi="宋体" w:cs="宋体" w:eastAsia="宋体"/>
          <w:sz w:val="24"/>
        </w:rPr>
        <w:t>能力；</w:t>
      </w:r>
    </w:p>
    <w:p>
      <w:pPr>
        <w:pStyle w:val="null3"/>
        <w:ind w:firstLine="480"/>
        <w:jc w:val="left"/>
      </w:pPr>
      <w:r>
        <w:rPr>
          <w:rFonts w:ascii="宋体" w:hAnsi="宋体" w:cs="宋体" w:eastAsia="宋体"/>
          <w:sz w:val="24"/>
          <w:b/>
        </w:rPr>
        <w:t>（评审项</w:t>
      </w:r>
      <w:r>
        <w:rPr>
          <w:rFonts w:ascii="宋体" w:hAnsi="宋体" w:cs="宋体" w:eastAsia="宋体"/>
          <w:sz w:val="24"/>
          <w:b/>
        </w:rPr>
        <w:t>12）</w:t>
      </w:r>
      <w:r>
        <w:rPr>
          <w:rFonts w:ascii="宋体" w:hAnsi="宋体" w:cs="宋体" w:eastAsia="宋体"/>
          <w:sz w:val="24"/>
        </w:rPr>
        <w:t>▲1.13对数据库加解密系统出现的最新漏洞具备排查和解决</w:t>
      </w:r>
      <w:r>
        <w:rPr>
          <w:rFonts w:ascii="宋体" w:hAnsi="宋体" w:cs="宋体" w:eastAsia="宋体"/>
          <w:sz w:val="24"/>
        </w:rPr>
        <w:t>的</w:t>
      </w:r>
      <w:r>
        <w:rPr>
          <w:rFonts w:ascii="宋体" w:hAnsi="宋体" w:cs="宋体" w:eastAsia="宋体"/>
          <w:sz w:val="24"/>
        </w:rPr>
        <w:t>能力；</w:t>
      </w:r>
    </w:p>
    <w:p>
      <w:pPr>
        <w:pStyle w:val="null3"/>
        <w:ind w:firstLine="480"/>
        <w:jc w:val="left"/>
      </w:pPr>
      <w:r>
        <w:rPr>
          <w:rFonts w:ascii="宋体" w:hAnsi="宋体" w:cs="宋体" w:eastAsia="宋体"/>
          <w:sz w:val="24"/>
          <w:b/>
        </w:rPr>
        <w:t>（评审项</w:t>
      </w:r>
      <w:r>
        <w:rPr>
          <w:rFonts w:ascii="宋体" w:hAnsi="宋体" w:cs="宋体" w:eastAsia="宋体"/>
          <w:sz w:val="24"/>
          <w:b/>
        </w:rPr>
        <w:t>13）</w:t>
      </w:r>
      <w:r>
        <w:rPr>
          <w:rFonts w:ascii="宋体" w:hAnsi="宋体" w:cs="宋体" w:eastAsia="宋体"/>
          <w:sz w:val="24"/>
        </w:rPr>
        <w:t>1.14对数据库加解密系统出现的其他故障具备排查和解决</w:t>
      </w:r>
      <w:r>
        <w:rPr>
          <w:rFonts w:ascii="宋体" w:hAnsi="宋体" w:cs="宋体" w:eastAsia="宋体"/>
          <w:sz w:val="24"/>
        </w:rPr>
        <w:t>的</w:t>
      </w:r>
      <w:r>
        <w:rPr>
          <w:rFonts w:ascii="宋体" w:hAnsi="宋体" w:cs="宋体" w:eastAsia="宋体"/>
          <w:sz w:val="24"/>
        </w:rPr>
        <w:t>能力。</w:t>
      </w:r>
    </w:p>
    <w:p>
      <w:pPr>
        <w:pStyle w:val="null3"/>
        <w:ind w:firstLine="480"/>
        <w:jc w:val="both"/>
      </w:pPr>
      <w:r>
        <w:rPr>
          <w:rFonts w:ascii="宋体" w:hAnsi="宋体" w:cs="宋体" w:eastAsia="宋体"/>
          <w:sz w:val="24"/>
        </w:rPr>
        <w:t>2.故障处理</w:t>
      </w:r>
    </w:p>
    <w:p>
      <w:pPr>
        <w:pStyle w:val="null3"/>
        <w:ind w:firstLine="482"/>
        <w:jc w:val="both"/>
      </w:pPr>
      <w:r>
        <w:rPr>
          <w:rFonts w:ascii="宋体" w:hAnsi="宋体" w:cs="宋体" w:eastAsia="宋体"/>
          <w:sz w:val="24"/>
          <w:b/>
        </w:rPr>
        <w:t>（评审项</w:t>
      </w:r>
      <w:r>
        <w:rPr>
          <w:rFonts w:ascii="宋体" w:hAnsi="宋体" w:cs="宋体" w:eastAsia="宋体"/>
          <w:sz w:val="24"/>
          <w:b/>
        </w:rPr>
        <w:t>14）</w:t>
      </w:r>
      <w:r>
        <w:rPr>
          <w:rFonts w:ascii="宋体" w:hAnsi="宋体" w:cs="宋体" w:eastAsia="宋体"/>
          <w:sz w:val="24"/>
        </w:rPr>
        <w:t>2.1</w:t>
      </w:r>
      <w:r>
        <w:rPr>
          <w:rFonts w:ascii="宋体" w:hAnsi="宋体" w:cs="宋体" w:eastAsia="宋体"/>
          <w:sz w:val="24"/>
        </w:rPr>
        <w:t>对于通过电话支持不能解决的故障，或者采购人认为应该现场支持解决的故障，投标人应迅速提供现场支持服务，安排经验丰富的技术支持工程师携备件、备品赴现场分析故障原因，制定故障解决方案，并最终排除故障。</w:t>
      </w:r>
    </w:p>
    <w:p>
      <w:pPr>
        <w:pStyle w:val="null3"/>
        <w:ind w:firstLine="480"/>
        <w:jc w:val="both"/>
      </w:pPr>
      <w:r>
        <w:rPr>
          <w:rFonts w:ascii="宋体" w:hAnsi="宋体" w:cs="宋体" w:eastAsia="宋体"/>
          <w:sz w:val="24"/>
          <w:b/>
        </w:rPr>
        <w:t>（评审项</w:t>
      </w:r>
      <w:r>
        <w:rPr>
          <w:rFonts w:ascii="宋体" w:hAnsi="宋体" w:cs="宋体" w:eastAsia="宋体"/>
          <w:sz w:val="24"/>
          <w:b/>
        </w:rPr>
        <w:t>15）</w:t>
      </w:r>
      <w:r>
        <w:rPr>
          <w:rFonts w:ascii="宋体" w:hAnsi="宋体" w:cs="宋体" w:eastAsia="宋体"/>
          <w:sz w:val="24"/>
        </w:rPr>
        <w:t>2.2现场支持响应时间是指在从采购人提出现场支持请求到技术服务人员到达采购人故障现场所需要的时间。现场支持响应时限要求见下表：</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故障级别</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抵达现场时间（</w:t>
            </w:r>
            <w:r>
              <w:rPr>
                <w:rFonts w:ascii="宋体" w:hAnsi="宋体" w:cs="宋体" w:eastAsia="宋体"/>
                <w:sz w:val="24"/>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2小时</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二级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4小时</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三级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24小时</w:t>
            </w:r>
          </w:p>
        </w:tc>
      </w:tr>
    </w:tbl>
    <w:p>
      <w:pPr>
        <w:pStyle w:val="null3"/>
        <w:ind w:firstLine="480"/>
        <w:jc w:val="both"/>
      </w:pPr>
      <w:r>
        <w:rPr>
          <w:rFonts w:ascii="宋体" w:hAnsi="宋体" w:cs="宋体" w:eastAsia="宋体"/>
          <w:sz w:val="24"/>
        </w:rPr>
        <w:t>注：故障</w:t>
      </w:r>
      <w:r>
        <w:rPr>
          <w:rFonts w:ascii="宋体" w:hAnsi="宋体" w:cs="宋体" w:eastAsia="宋体"/>
          <w:sz w:val="24"/>
        </w:rPr>
        <w:t>级别具体</w:t>
      </w:r>
      <w:r>
        <w:rPr>
          <w:rFonts w:ascii="宋体" w:hAnsi="宋体" w:cs="宋体" w:eastAsia="宋体"/>
          <w:sz w:val="24"/>
        </w:rPr>
        <w:t>定义：</w:t>
      </w:r>
    </w:p>
    <w:p>
      <w:pPr>
        <w:pStyle w:val="null3"/>
        <w:ind w:firstLine="480"/>
        <w:jc w:val="both"/>
      </w:pPr>
      <w:r>
        <w:rPr>
          <w:rFonts w:ascii="宋体" w:hAnsi="宋体" w:cs="宋体" w:eastAsia="宋体"/>
          <w:sz w:val="24"/>
        </w:rPr>
        <w:t>（</w:t>
      </w:r>
      <w:r>
        <w:rPr>
          <w:rFonts w:ascii="宋体" w:hAnsi="宋体" w:cs="宋体" w:eastAsia="宋体"/>
          <w:sz w:val="24"/>
        </w:rPr>
        <w:t>1）一级故障是指设备发生严重影响业务的故障或者是主要设备出现系统宕机等现象；</w:t>
      </w:r>
    </w:p>
    <w:p>
      <w:pPr>
        <w:pStyle w:val="null3"/>
        <w:ind w:firstLine="480"/>
        <w:jc w:val="both"/>
      </w:pPr>
      <w:r>
        <w:rPr>
          <w:rFonts w:ascii="宋体" w:hAnsi="宋体" w:cs="宋体" w:eastAsia="宋体"/>
          <w:sz w:val="24"/>
        </w:rPr>
        <w:t>（</w:t>
      </w:r>
      <w:r>
        <w:rPr>
          <w:rFonts w:ascii="宋体" w:hAnsi="宋体" w:cs="宋体" w:eastAsia="宋体"/>
          <w:sz w:val="24"/>
        </w:rPr>
        <w:t>2）二级故障是指设备发生故障，目前没有影响到业务，但如果不尽快处理将造成业务中断或给网络造成重大隐患；</w:t>
      </w:r>
    </w:p>
    <w:p>
      <w:pPr>
        <w:pStyle w:val="null3"/>
        <w:ind w:firstLine="480"/>
        <w:jc w:val="both"/>
      </w:pPr>
      <w:r>
        <w:rPr>
          <w:rFonts w:ascii="宋体" w:hAnsi="宋体" w:cs="宋体" w:eastAsia="宋体"/>
          <w:sz w:val="24"/>
        </w:rPr>
        <w:t>（</w:t>
      </w:r>
      <w:r>
        <w:rPr>
          <w:rFonts w:ascii="宋体" w:hAnsi="宋体" w:cs="宋体" w:eastAsia="宋体"/>
          <w:sz w:val="24"/>
        </w:rPr>
        <w:t>3）三级故障是指设备发生故障但尚未对业务产生直接影响。</w:t>
      </w:r>
    </w:p>
    <w:p>
      <w:pPr>
        <w:pStyle w:val="null3"/>
        <w:ind w:firstLine="482"/>
        <w:jc w:val="both"/>
      </w:pPr>
      <w:r>
        <w:rPr>
          <w:rFonts w:ascii="宋体" w:hAnsi="宋体" w:cs="宋体" w:eastAsia="宋体"/>
          <w:sz w:val="24"/>
          <w:b/>
        </w:rPr>
        <w:t>（评审项</w:t>
      </w:r>
      <w:r>
        <w:rPr>
          <w:rFonts w:ascii="宋体" w:hAnsi="宋体" w:cs="宋体" w:eastAsia="宋体"/>
          <w:sz w:val="24"/>
          <w:b/>
        </w:rPr>
        <w:t>16）</w:t>
      </w:r>
      <w:r>
        <w:rPr>
          <w:rFonts w:ascii="宋体" w:hAnsi="宋体" w:cs="宋体" w:eastAsia="宋体"/>
          <w:sz w:val="24"/>
        </w:rPr>
        <w:t>2.3</w:t>
      </w:r>
      <w:r>
        <w:rPr>
          <w:rFonts w:ascii="宋体" w:hAnsi="宋体" w:cs="宋体" w:eastAsia="宋体"/>
          <w:sz w:val="24"/>
        </w:rPr>
        <w:t>为保证故障得到快速处置，在发生各类突发事件时，投标人应能按规范流程进行</w:t>
      </w:r>
      <w:r>
        <w:rPr>
          <w:rFonts w:ascii="宋体" w:hAnsi="宋体" w:cs="宋体" w:eastAsia="宋体"/>
          <w:sz w:val="24"/>
        </w:rPr>
        <w:t>现场应急救援、故障分析处理，事后及时提供故障处理报告</w:t>
      </w:r>
      <w:r>
        <w:rPr>
          <w:rFonts w:ascii="宋体" w:hAnsi="宋体" w:cs="宋体" w:eastAsia="宋体"/>
          <w:sz w:val="24"/>
        </w:rPr>
        <w:t>。</w:t>
      </w:r>
    </w:p>
    <w:p>
      <w:pPr>
        <w:pStyle w:val="null3"/>
        <w:ind w:firstLine="480"/>
        <w:jc w:val="both"/>
      </w:pPr>
      <w:r>
        <w:rPr>
          <w:rFonts w:ascii="宋体" w:hAnsi="宋体" w:cs="宋体" w:eastAsia="宋体"/>
          <w:sz w:val="24"/>
        </w:rPr>
        <w:t>3.</w:t>
      </w:r>
      <w:r>
        <w:rPr>
          <w:rFonts w:ascii="宋体" w:hAnsi="宋体" w:cs="宋体" w:eastAsia="宋体"/>
          <w:sz w:val="24"/>
        </w:rPr>
        <w:t>硬件设备保障</w:t>
      </w:r>
    </w:p>
    <w:p>
      <w:pPr>
        <w:pStyle w:val="null3"/>
        <w:ind w:firstLine="482"/>
        <w:jc w:val="both"/>
      </w:pPr>
      <w:r>
        <w:rPr>
          <w:rFonts w:ascii="宋体" w:hAnsi="宋体" w:cs="宋体" w:eastAsia="宋体"/>
          <w:sz w:val="24"/>
          <w:b/>
        </w:rPr>
        <w:t>（评审项</w:t>
      </w:r>
      <w:r>
        <w:rPr>
          <w:rFonts w:ascii="宋体" w:hAnsi="宋体" w:cs="宋体" w:eastAsia="宋体"/>
          <w:sz w:val="24"/>
          <w:b/>
        </w:rPr>
        <w:t>17）</w:t>
      </w:r>
      <w:r>
        <w:rPr>
          <w:rFonts w:ascii="宋体" w:hAnsi="宋体" w:cs="宋体" w:eastAsia="宋体"/>
          <w:sz w:val="24"/>
        </w:rPr>
        <w:t>3.1提供本期项目所有数据库加解密设备7×24小时硬件保修服务，负责本期项目数据库加解密设备日常保养、系统维护、故障诊断排除及更换新件、性能调优、技术咨询等。</w:t>
      </w:r>
    </w:p>
    <w:p>
      <w:pPr>
        <w:pStyle w:val="null3"/>
        <w:ind w:firstLine="480"/>
        <w:jc w:val="both"/>
      </w:pPr>
      <w:r>
        <w:rPr>
          <w:rFonts w:ascii="宋体" w:hAnsi="宋体" w:cs="宋体" w:eastAsia="宋体"/>
          <w:sz w:val="24"/>
          <w:shd w:fill="FFFFFF" w:val="clear"/>
        </w:rPr>
        <w:t>★</w:t>
      </w:r>
      <w:r>
        <w:rPr>
          <w:rFonts w:ascii="宋体" w:hAnsi="宋体" w:cs="宋体" w:eastAsia="宋体"/>
          <w:sz w:val="24"/>
        </w:rPr>
        <w:t>3.2保障4台数据库加解密设备安全稳定运行，当硬件设备出现故障时，投标人在规定的时限内，提供设备维修或更换服务（不另外收费，且更换后的设备参数应不低于原设备参数，</w:t>
      </w:r>
      <w:r>
        <w:rPr>
          <w:rFonts w:ascii="宋体" w:hAnsi="宋体" w:cs="宋体" w:eastAsia="宋体"/>
          <w:sz w:val="24"/>
        </w:rPr>
        <w:t>且须与本期维保设备兼容</w:t>
      </w:r>
      <w:r>
        <w:rPr>
          <w:rFonts w:ascii="宋体" w:hAnsi="宋体" w:cs="宋体" w:eastAsia="宋体"/>
          <w:sz w:val="24"/>
        </w:rPr>
        <w:t>），必须要有硬件设备的原厂专业技术员支持解决。</w:t>
      </w:r>
    </w:p>
    <w:p>
      <w:pPr>
        <w:pStyle w:val="null3"/>
        <w:ind w:firstLine="480"/>
        <w:jc w:val="both"/>
      </w:pPr>
      <w:r>
        <w:rPr>
          <w:rFonts w:ascii="宋体" w:hAnsi="宋体" w:cs="宋体" w:eastAsia="宋体"/>
          <w:sz w:val="24"/>
          <w:b/>
        </w:rPr>
        <w:t>（评审项</w:t>
      </w:r>
      <w:r>
        <w:rPr>
          <w:rFonts w:ascii="宋体" w:hAnsi="宋体" w:cs="宋体" w:eastAsia="宋体"/>
          <w:sz w:val="24"/>
          <w:b/>
        </w:rPr>
        <w:t>18）</w:t>
      </w:r>
      <w:r>
        <w:rPr>
          <w:rFonts w:ascii="宋体" w:hAnsi="宋体" w:cs="宋体" w:eastAsia="宋体"/>
          <w:sz w:val="24"/>
        </w:rPr>
        <w:t>3.3</w:t>
      </w:r>
      <w:r>
        <w:rPr>
          <w:rFonts w:ascii="宋体" w:hAnsi="宋体" w:cs="宋体" w:eastAsia="宋体"/>
          <w:sz w:val="24"/>
        </w:rPr>
        <w:t>服务等级及要求</w:t>
      </w:r>
    </w:p>
    <w:p>
      <w:pPr>
        <w:pStyle w:val="null3"/>
        <w:ind w:firstLine="480"/>
        <w:jc w:val="both"/>
      </w:pPr>
      <w:r>
        <w:rPr>
          <w:rFonts w:ascii="宋体" w:hAnsi="宋体" w:cs="宋体" w:eastAsia="宋体"/>
          <w:sz w:val="24"/>
        </w:rPr>
        <w:t>对于硬件维修或更换服务，根据故障</w:t>
      </w:r>
      <w:r>
        <w:rPr>
          <w:rFonts w:ascii="宋体" w:hAnsi="宋体" w:cs="宋体" w:eastAsia="宋体"/>
          <w:sz w:val="24"/>
        </w:rPr>
        <w:t>级别</w:t>
      </w:r>
      <w:r>
        <w:rPr>
          <w:rFonts w:ascii="宋体" w:hAnsi="宋体" w:cs="宋体" w:eastAsia="宋体"/>
          <w:sz w:val="24"/>
        </w:rPr>
        <w:t>划分</w:t>
      </w:r>
      <w:r>
        <w:rPr>
          <w:rFonts w:ascii="宋体" w:hAnsi="宋体" w:cs="宋体" w:eastAsia="宋体"/>
          <w:sz w:val="24"/>
        </w:rPr>
        <w:t>响应时限</w:t>
      </w:r>
      <w:r>
        <w:rPr>
          <w:rFonts w:ascii="宋体" w:hAnsi="宋体" w:cs="宋体" w:eastAsia="宋体"/>
          <w:sz w:val="24"/>
        </w:rPr>
        <w:t>，具体级别和</w:t>
      </w:r>
      <w:r>
        <w:rPr>
          <w:rFonts w:ascii="宋体" w:hAnsi="宋体" w:cs="宋体" w:eastAsia="宋体"/>
          <w:sz w:val="24"/>
        </w:rPr>
        <w:t>响应时限</w:t>
      </w:r>
      <w:r>
        <w:rPr>
          <w:rFonts w:ascii="宋体" w:hAnsi="宋体" w:cs="宋体" w:eastAsia="宋体"/>
          <w:sz w:val="24"/>
        </w:rPr>
        <w:t>要求如下表：</w:t>
      </w:r>
    </w:p>
    <w:tbl>
      <w:tblPr>
        <w:tblW w:w="0" w:type="auto"/>
        <w:tblBorders>
          <w:top w:val="none" w:color="000000" w:sz="4"/>
          <w:left w:val="none" w:color="000000" w:sz="4"/>
          <w:bottom w:val="none" w:color="000000" w:sz="4"/>
          <w:right w:val="none" w:color="000000" w:sz="4"/>
          <w:insideH w:val="none"/>
          <w:insideV w:val="none"/>
        </w:tblBorders>
      </w:tblPr>
      <w:tblGrid>
        <w:gridCol w:w="4227"/>
        <w:gridCol w:w="4077"/>
      </w:tblGrid>
      <w:tr>
        <w:tc>
          <w:tcPr>
            <w:tcW w:type="dxa" w:w="4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故障级别</w:t>
            </w:r>
          </w:p>
        </w:tc>
        <w:tc>
          <w:tcPr>
            <w:tcW w:type="dxa" w:w="4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响应时限（</w:t>
            </w:r>
            <w:r>
              <w:rPr>
                <w:rFonts w:ascii="宋体" w:hAnsi="宋体" w:cs="宋体" w:eastAsia="宋体"/>
                <w:sz w:val="24"/>
              </w:rPr>
              <w:t>≤）</w:t>
            </w:r>
          </w:p>
        </w:tc>
      </w:tr>
      <w:tr>
        <w:tc>
          <w:tcPr>
            <w:tcW w:type="dxa" w:w="4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一级故障</w:t>
            </w:r>
          </w:p>
        </w:tc>
        <w:tc>
          <w:tcPr>
            <w:tcW w:type="dxa" w:w="4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5分钟</w:t>
            </w:r>
          </w:p>
        </w:tc>
      </w:tr>
      <w:tr>
        <w:tc>
          <w:tcPr>
            <w:tcW w:type="dxa" w:w="4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二级故障</w:t>
            </w:r>
          </w:p>
        </w:tc>
        <w:tc>
          <w:tcPr>
            <w:tcW w:type="dxa" w:w="4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15分钟</w:t>
            </w:r>
          </w:p>
        </w:tc>
      </w:tr>
      <w:tr>
        <w:tc>
          <w:tcPr>
            <w:tcW w:type="dxa" w:w="4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三级故障</w:t>
            </w:r>
          </w:p>
        </w:tc>
        <w:tc>
          <w:tcPr>
            <w:tcW w:type="dxa" w:w="4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20分钟</w:t>
            </w:r>
          </w:p>
        </w:tc>
      </w:tr>
    </w:tbl>
    <w:p>
      <w:pPr>
        <w:pStyle w:val="null3"/>
        <w:ind w:firstLine="480"/>
        <w:jc w:val="both"/>
      </w:pPr>
      <w:r>
        <w:rPr>
          <w:rFonts w:ascii="宋体" w:hAnsi="宋体" w:cs="宋体" w:eastAsia="宋体"/>
          <w:sz w:val="24"/>
          <w:b/>
        </w:rPr>
        <w:t>注：故障</w:t>
      </w:r>
      <w:r>
        <w:rPr>
          <w:rFonts w:ascii="宋体" w:hAnsi="宋体" w:cs="宋体" w:eastAsia="宋体"/>
          <w:sz w:val="24"/>
          <w:b/>
        </w:rPr>
        <w:t>级别</w:t>
      </w:r>
      <w:r>
        <w:rPr>
          <w:rFonts w:ascii="宋体" w:hAnsi="宋体" w:cs="宋体" w:eastAsia="宋体"/>
          <w:sz w:val="24"/>
          <w:b/>
        </w:rPr>
        <w:t>定义见</w:t>
      </w: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5</w:t>
      </w:r>
      <w:r>
        <w:rPr>
          <w:rFonts w:ascii="宋体" w:hAnsi="宋体" w:cs="宋体" w:eastAsia="宋体"/>
          <w:sz w:val="24"/>
          <w:b/>
        </w:rPr>
        <w:t>）</w:t>
      </w:r>
    </w:p>
    <w:p>
      <w:pPr>
        <w:pStyle w:val="null3"/>
        <w:ind w:firstLine="480"/>
        <w:jc w:val="both"/>
      </w:pPr>
      <w:r>
        <w:rPr>
          <w:rFonts w:ascii="宋体" w:hAnsi="宋体" w:cs="宋体" w:eastAsia="宋体"/>
          <w:sz w:val="24"/>
        </w:rPr>
        <w:t>4.软件升级服务</w:t>
      </w:r>
    </w:p>
    <w:p>
      <w:pPr>
        <w:pStyle w:val="null3"/>
        <w:ind w:firstLine="480"/>
        <w:jc w:val="left"/>
      </w:pPr>
      <w:r>
        <w:rPr>
          <w:rFonts w:ascii="宋体" w:hAnsi="宋体" w:cs="宋体" w:eastAsia="宋体"/>
          <w:sz w:val="24"/>
          <w:b/>
        </w:rPr>
        <w:t>（评审项</w:t>
      </w:r>
      <w:r>
        <w:rPr>
          <w:rFonts w:ascii="宋体" w:hAnsi="宋体" w:cs="宋体" w:eastAsia="宋体"/>
          <w:sz w:val="24"/>
          <w:b/>
        </w:rPr>
        <w:t>19）</w:t>
      </w:r>
      <w:r>
        <w:rPr>
          <w:rFonts w:ascii="宋体" w:hAnsi="宋体" w:cs="宋体" w:eastAsia="宋体"/>
          <w:sz w:val="24"/>
        </w:rPr>
        <w:t xml:space="preserve"> </w:t>
      </w:r>
      <w:r>
        <w:rPr>
          <w:rFonts w:ascii="宋体" w:hAnsi="宋体" w:cs="宋体" w:eastAsia="宋体"/>
          <w:sz w:val="24"/>
        </w:rPr>
        <w:t>4.1按需</w:t>
      </w:r>
      <w:r>
        <w:rPr>
          <w:rFonts w:ascii="宋体" w:hAnsi="宋体" w:cs="宋体" w:eastAsia="宋体"/>
          <w:sz w:val="24"/>
        </w:rPr>
        <w:t>对应用系统现有功能模块进行优化更新，提供免费的软件升级补丁、系统更新服务，软件升级时必须要由原厂专业技术员支持解决。</w:t>
      </w:r>
    </w:p>
    <w:p>
      <w:pPr>
        <w:pStyle w:val="null3"/>
        <w:ind w:firstLine="480"/>
        <w:jc w:val="left"/>
      </w:pPr>
      <w:r>
        <w:rPr>
          <w:rFonts w:ascii="宋体" w:hAnsi="宋体" w:cs="宋体" w:eastAsia="宋体"/>
          <w:sz w:val="24"/>
          <w:b/>
        </w:rPr>
        <w:t>（评审项</w:t>
      </w:r>
      <w:r>
        <w:rPr>
          <w:rFonts w:ascii="宋体" w:hAnsi="宋体" w:cs="宋体" w:eastAsia="宋体"/>
          <w:sz w:val="24"/>
          <w:b/>
        </w:rPr>
        <w:t>20）</w:t>
      </w:r>
      <w:r>
        <w:rPr>
          <w:rFonts w:ascii="宋体" w:hAnsi="宋体" w:cs="宋体" w:eastAsia="宋体"/>
          <w:sz w:val="24"/>
        </w:rPr>
        <w:t>4.2系统各种异常问题的排查、修复及优化。</w:t>
      </w:r>
    </w:p>
    <w:p>
      <w:pPr>
        <w:pStyle w:val="null3"/>
        <w:ind w:firstLine="480"/>
        <w:jc w:val="left"/>
      </w:pPr>
      <w:r>
        <w:rPr>
          <w:rFonts w:ascii="宋体" w:hAnsi="宋体" w:cs="宋体" w:eastAsia="宋体"/>
          <w:sz w:val="24"/>
        </w:rPr>
        <w:t>5.其他技术服务要求</w:t>
      </w:r>
    </w:p>
    <w:p>
      <w:pPr>
        <w:pStyle w:val="null3"/>
        <w:ind w:firstLine="482"/>
        <w:jc w:val="both"/>
      </w:pPr>
      <w:r>
        <w:rPr>
          <w:rFonts w:ascii="宋体" w:hAnsi="宋体" w:cs="宋体" w:eastAsia="宋体"/>
          <w:sz w:val="24"/>
          <w:b/>
        </w:rPr>
        <w:t>（评审项</w:t>
      </w:r>
      <w:r>
        <w:rPr>
          <w:rFonts w:ascii="宋体" w:hAnsi="宋体" w:cs="宋体" w:eastAsia="宋体"/>
          <w:sz w:val="24"/>
          <w:b/>
        </w:rPr>
        <w:t>21）</w:t>
      </w:r>
      <w:r>
        <w:rPr>
          <w:rFonts w:ascii="宋体" w:hAnsi="宋体" w:cs="宋体" w:eastAsia="宋体"/>
          <w:sz w:val="24"/>
        </w:rPr>
        <w:t>5.1严格遵守《网络安全法》《数据安全法》《保密法》等相关法律法规，以及采购人关于安全保密的规章制度，包括：</w:t>
      </w:r>
    </w:p>
    <w:p>
      <w:pPr>
        <w:pStyle w:val="null3"/>
        <w:ind w:firstLine="480"/>
        <w:jc w:val="both"/>
      </w:pPr>
      <w:r>
        <w:rPr>
          <w:rFonts w:ascii="宋体" w:hAnsi="宋体" w:cs="宋体" w:eastAsia="宋体"/>
          <w:sz w:val="24"/>
        </w:rPr>
        <w:t>5.1.1信息系统相关岗位人员和第三方服务人员必须严格遵守保密法规和信息安全管理规定，上岗前应进行保密培训，签订保密承诺书。人员离岗时要及时办理移交手续，交回各种设备、文档，回收其信息系统访问权限。</w:t>
      </w:r>
    </w:p>
    <w:p>
      <w:pPr>
        <w:pStyle w:val="null3"/>
        <w:ind w:firstLine="480"/>
        <w:jc w:val="both"/>
      </w:pPr>
      <w:r>
        <w:rPr>
          <w:rFonts w:ascii="宋体" w:hAnsi="宋体" w:cs="宋体" w:eastAsia="宋体"/>
          <w:sz w:val="24"/>
        </w:rPr>
        <w:t>5.1.2信息系统相关岗位人员和第三方服务人员在履行职责中知悉的个人隐私、个人信息、商业秘密、保密信息等数据应当依法予以保密，不得泄露或非法向他人提供。</w:t>
      </w:r>
    </w:p>
    <w:p>
      <w:pPr>
        <w:pStyle w:val="null3"/>
        <w:ind w:firstLine="480"/>
        <w:jc w:val="both"/>
      </w:pPr>
      <w:r>
        <w:rPr>
          <w:rFonts w:ascii="宋体" w:hAnsi="宋体" w:cs="宋体" w:eastAsia="宋体"/>
          <w:sz w:val="24"/>
        </w:rPr>
        <w:t>5.1.3禁止在非涉密信息系统上处理涉密信息。禁止将涉密信息系统部署于非涉密网络，或与非涉密网络连通。”</w:t>
      </w:r>
    </w:p>
    <w:p>
      <w:pPr>
        <w:pStyle w:val="null3"/>
        <w:ind w:firstLine="480"/>
        <w:jc w:val="both"/>
      </w:pPr>
      <w:r>
        <w:rPr>
          <w:rFonts w:ascii="宋体" w:hAnsi="宋体" w:cs="宋体" w:eastAsia="宋体"/>
          <w:sz w:val="24"/>
        </w:rPr>
        <w:t>5.1.4严格禁止以下行为（包括且不限于）：①泄露采购人操作系统、数据库相关账户；</w:t>
      </w:r>
    </w:p>
    <w:p>
      <w:pPr>
        <w:pStyle w:val="null3"/>
        <w:jc w:val="both"/>
      </w:pPr>
      <w:r>
        <w:rPr>
          <w:rFonts w:ascii="宋体" w:hAnsi="宋体" w:cs="宋体" w:eastAsia="宋体"/>
          <w:sz w:val="24"/>
        </w:rPr>
        <w:t>②泄露、盗取采购人及应用单位数据库中相关数据；③非法植入后门程序；④故意制造安全漏洞；⑤泄露任何能对采购人安全防控造成风险的信息，如网络拓扑、防火墙策略配置、核心路由配置等。</w:t>
      </w:r>
    </w:p>
    <w:p>
      <w:pPr>
        <w:pStyle w:val="null3"/>
        <w:ind w:firstLine="482"/>
        <w:jc w:val="both"/>
      </w:pPr>
      <w:r>
        <w:rPr>
          <w:rFonts w:ascii="宋体" w:hAnsi="宋体" w:cs="宋体" w:eastAsia="宋体"/>
          <w:sz w:val="24"/>
          <w:b/>
        </w:rPr>
        <w:t>（评审项</w:t>
      </w:r>
      <w:r>
        <w:rPr>
          <w:rFonts w:ascii="宋体" w:hAnsi="宋体" w:cs="宋体" w:eastAsia="宋体"/>
          <w:sz w:val="24"/>
          <w:b/>
        </w:rPr>
        <w:t>22）</w:t>
      </w:r>
      <w:r>
        <w:rPr>
          <w:rFonts w:ascii="宋体" w:hAnsi="宋体" w:cs="宋体" w:eastAsia="宋体"/>
          <w:sz w:val="24"/>
        </w:rPr>
        <w:t>5.2重要时期保障服务：</w:t>
      </w:r>
      <w:r>
        <w:rPr>
          <w:rFonts w:ascii="宋体" w:hAnsi="宋体" w:cs="宋体" w:eastAsia="宋体"/>
          <w:sz w:val="24"/>
        </w:rPr>
        <w:t>在重大节假日和重要敏感时期，应</w:t>
      </w:r>
      <w:r>
        <w:rPr>
          <w:rFonts w:ascii="宋体" w:hAnsi="宋体" w:cs="宋体" w:eastAsia="宋体"/>
          <w:sz w:val="24"/>
        </w:rPr>
        <w:t>24小时有专人值守，确保不发生网络安全事故。</w:t>
      </w:r>
      <w:r>
        <w:rPr>
          <w:rFonts w:ascii="宋体" w:hAnsi="宋体" w:cs="宋体" w:eastAsia="宋体"/>
          <w:sz w:val="24"/>
        </w:rPr>
        <w:t>①</w:t>
      </w:r>
      <w:r>
        <w:rPr>
          <w:rFonts w:ascii="宋体" w:hAnsi="宋体" w:cs="宋体" w:eastAsia="宋体"/>
          <w:sz w:val="24"/>
        </w:rPr>
        <w:t>重保开始前对设备进行健康检查，找出并排除可能存在的隐患。</w:t>
      </w:r>
      <w:r>
        <w:rPr>
          <w:rFonts w:ascii="宋体" w:hAnsi="宋体" w:cs="宋体" w:eastAsia="宋体"/>
          <w:sz w:val="24"/>
        </w:rPr>
        <w:t>②</w:t>
      </w:r>
      <w:r>
        <w:rPr>
          <w:rFonts w:ascii="宋体" w:hAnsi="宋体" w:cs="宋体" w:eastAsia="宋体"/>
          <w:sz w:val="24"/>
        </w:rPr>
        <w:t>建立突发事件应急响应机制。</w:t>
      </w:r>
      <w:r>
        <w:rPr>
          <w:rFonts w:ascii="宋体" w:hAnsi="宋体" w:cs="宋体" w:eastAsia="宋体"/>
          <w:sz w:val="24"/>
        </w:rPr>
        <w:t>③</w:t>
      </w:r>
      <w:r>
        <w:rPr>
          <w:rFonts w:ascii="宋体" w:hAnsi="宋体" w:cs="宋体" w:eastAsia="宋体"/>
          <w:sz w:val="24"/>
          <w:shd w:fill="FFFFFF" w:val="clear"/>
        </w:rPr>
        <w:t>在重保期间，如果系统运行出现故障，投标人应提供</w:t>
      </w:r>
      <w:r>
        <w:rPr>
          <w:rFonts w:ascii="宋体" w:hAnsi="宋体" w:cs="宋体" w:eastAsia="宋体"/>
          <w:sz w:val="24"/>
          <w:shd w:fill="FFFFFF" w:val="clear"/>
        </w:rPr>
        <w:t>7×24小时的响应服务，并在30分钟内做出明确响应和安排。如需现场解决的，具有解决故障能力的工程师在1小时内到达现场。</w:t>
      </w:r>
    </w:p>
    <w:p>
      <w:pPr>
        <w:pStyle w:val="null3"/>
        <w:jc w:val="left"/>
      </w:pPr>
      <w:r>
        <w:rPr>
          <w:rFonts w:ascii="calibri" w:hAnsi="calibri" w:cs="calibri" w:eastAsia="calibri"/>
          <w:sz w:val="24"/>
          <w:b/>
        </w:rPr>
        <w:t xml:space="preserve"> </w:t>
      </w:r>
    </w:p>
    <w:p>
      <w:pPr>
        <w:pStyle w:val="null3"/>
        <w:jc w:val="left"/>
      </w:pPr>
      <w:r>
        <w:rPr>
          <w:rFonts w:ascii="宋体" w:hAnsi="宋体" w:cs="宋体" w:eastAsia="宋体"/>
          <w:sz w:val="24"/>
          <w:b/>
        </w:rPr>
        <w:t>（四）服务保障要求</w:t>
      </w:r>
    </w:p>
    <w:p>
      <w:pPr>
        <w:pStyle w:val="null3"/>
        <w:ind w:firstLine="480"/>
        <w:jc w:val="both"/>
      </w:pPr>
      <w:r>
        <w:rPr>
          <w:rFonts w:ascii="宋体" w:hAnsi="宋体" w:cs="宋体" w:eastAsia="宋体"/>
          <w:sz w:val="24"/>
        </w:rPr>
        <w:t>1.为了确保软硬件设备的可靠性和稳定性，投标人须提供专业的软硬件维保服务。投标人的服务人员在进行技术支持服务前应作好以下准备：</w:t>
      </w:r>
    </w:p>
    <w:p>
      <w:pPr>
        <w:pStyle w:val="null3"/>
        <w:ind w:firstLine="482"/>
        <w:jc w:val="both"/>
      </w:pPr>
      <w:r>
        <w:rPr>
          <w:rFonts w:ascii="宋体" w:hAnsi="宋体" w:cs="宋体" w:eastAsia="宋体"/>
          <w:sz w:val="24"/>
          <w:b/>
        </w:rPr>
        <w:t>（评审项</w:t>
      </w:r>
      <w:r>
        <w:rPr>
          <w:rFonts w:ascii="宋体" w:hAnsi="宋体" w:cs="宋体" w:eastAsia="宋体"/>
          <w:sz w:val="24"/>
          <w:b/>
        </w:rPr>
        <w:t>23）</w:t>
      </w:r>
      <w:r>
        <w:rPr>
          <w:rFonts w:ascii="宋体" w:hAnsi="宋体" w:cs="宋体" w:eastAsia="宋体"/>
          <w:sz w:val="24"/>
        </w:rPr>
        <w:t>1.1查阅</w:t>
      </w:r>
      <w:r>
        <w:rPr>
          <w:rFonts w:ascii="宋体" w:hAnsi="宋体" w:cs="宋体" w:eastAsia="宋体"/>
          <w:sz w:val="24"/>
        </w:rPr>
        <w:t>项目相关材料</w:t>
      </w:r>
      <w:r>
        <w:rPr>
          <w:rFonts w:ascii="宋体" w:hAnsi="宋体" w:cs="宋体" w:eastAsia="宋体"/>
          <w:sz w:val="24"/>
        </w:rPr>
        <w:t>，了解用户设备运行情况及设备以往所发生过的问题及处理办法。</w:t>
      </w:r>
    </w:p>
    <w:p>
      <w:pPr>
        <w:pStyle w:val="null3"/>
        <w:ind w:firstLine="482"/>
        <w:jc w:val="both"/>
      </w:pPr>
      <w:r>
        <w:rPr>
          <w:rFonts w:ascii="宋体" w:hAnsi="宋体" w:cs="宋体" w:eastAsia="宋体"/>
          <w:sz w:val="24"/>
          <w:b/>
        </w:rPr>
        <w:t>（评审项</w:t>
      </w:r>
      <w:r>
        <w:rPr>
          <w:rFonts w:ascii="宋体" w:hAnsi="宋体" w:cs="宋体" w:eastAsia="宋体"/>
          <w:sz w:val="24"/>
          <w:b/>
        </w:rPr>
        <w:t>24）</w:t>
      </w:r>
      <w:r>
        <w:rPr>
          <w:rFonts w:ascii="宋体" w:hAnsi="宋体" w:cs="宋体" w:eastAsia="宋体"/>
          <w:sz w:val="24"/>
        </w:rPr>
        <w:t>1.2准备技术服务工具、技术服务资料、交通工具、必要的备品备件及软件。</w:t>
      </w:r>
    </w:p>
    <w:p>
      <w:pPr>
        <w:pStyle w:val="null3"/>
        <w:ind w:firstLine="482"/>
        <w:jc w:val="both"/>
      </w:pPr>
      <w:r>
        <w:rPr>
          <w:rFonts w:ascii="宋体" w:hAnsi="宋体" w:cs="宋体" w:eastAsia="宋体"/>
          <w:sz w:val="24"/>
          <w:b/>
        </w:rPr>
        <w:t>（评审项</w:t>
      </w:r>
      <w:r>
        <w:rPr>
          <w:rFonts w:ascii="宋体" w:hAnsi="宋体" w:cs="宋体" w:eastAsia="宋体"/>
          <w:sz w:val="24"/>
          <w:b/>
        </w:rPr>
        <w:t>25）</w:t>
      </w:r>
      <w:r>
        <w:rPr>
          <w:rFonts w:ascii="宋体" w:hAnsi="宋体" w:cs="宋体" w:eastAsia="宋体"/>
          <w:sz w:val="24"/>
        </w:rPr>
        <w:t>1.3服务人员抵达现场支持服务时，应按照以下现场服务要求进行：</w:t>
      </w:r>
    </w:p>
    <w:p>
      <w:pPr>
        <w:pStyle w:val="null3"/>
        <w:ind w:firstLine="480"/>
        <w:jc w:val="both"/>
      </w:pPr>
      <w:r>
        <w:rPr>
          <w:rFonts w:ascii="宋体" w:hAnsi="宋体" w:cs="宋体" w:eastAsia="宋体"/>
          <w:sz w:val="24"/>
        </w:rPr>
        <w:t>1）服务人员抵达采购人用户现场，首先提交《作业申请》给用户负责人签字确认。</w:t>
      </w:r>
    </w:p>
    <w:p>
      <w:pPr>
        <w:pStyle w:val="null3"/>
        <w:ind w:firstLine="480"/>
        <w:jc w:val="both"/>
      </w:pPr>
      <w:r>
        <w:rPr>
          <w:rFonts w:ascii="宋体" w:hAnsi="宋体" w:cs="宋体" w:eastAsia="宋体"/>
          <w:sz w:val="24"/>
        </w:rPr>
        <w:t>2）服务人员了解系统运行情况，核实故障现象，并根据故障现象对故障分析、测试、诊断，并制定业务恢复和故障解决技术方案。须保证优先实施业务恢复，在恢复业务的前提下，再进行彻底的故障修复。</w:t>
      </w:r>
    </w:p>
    <w:p>
      <w:pPr>
        <w:pStyle w:val="null3"/>
        <w:ind w:firstLine="480"/>
        <w:jc w:val="both"/>
      </w:pPr>
      <w:r>
        <w:rPr>
          <w:rFonts w:ascii="宋体" w:hAnsi="宋体" w:cs="宋体" w:eastAsia="宋体"/>
          <w:sz w:val="24"/>
        </w:rPr>
        <w:t>3）如果确定为设备硬件故障，投标人需免费进行更换或维修。如果是除应用软件外的系统类软件故障，投标人需为采购人修复软件故障；如果无法修复，投标人需免费提供重新安装服务或者其他解决方法。</w:t>
      </w:r>
    </w:p>
    <w:p>
      <w:pPr>
        <w:pStyle w:val="null3"/>
        <w:ind w:firstLine="480"/>
        <w:jc w:val="both"/>
      </w:pPr>
      <w:r>
        <w:rPr>
          <w:rFonts w:ascii="宋体" w:hAnsi="宋体" w:cs="宋体" w:eastAsia="宋体"/>
          <w:sz w:val="24"/>
        </w:rPr>
        <w:t>4）投标人服务人员在处理故障时不能影响到设备的正常运行，并应有采购人用户维护人员在场协同处理；在必须进行系统重装或系统启动等较大操作时，须经采购人用户维护主管部门批准方可实施。若因投标人服务人员误操作或擅自行事等主观原因给采购人带来损失的，采购人有权向投标人提出索赔。</w:t>
      </w:r>
    </w:p>
    <w:p>
      <w:pPr>
        <w:pStyle w:val="null3"/>
        <w:ind w:firstLine="480"/>
        <w:jc w:val="both"/>
      </w:pPr>
      <w:r>
        <w:rPr>
          <w:rFonts w:ascii="宋体" w:hAnsi="宋体" w:cs="宋体" w:eastAsia="宋体"/>
          <w:sz w:val="24"/>
        </w:rPr>
        <w:t>5）投标人拟派的服务人员在处理故障后，要</w:t>
      </w:r>
      <w:r>
        <w:rPr>
          <w:rFonts w:ascii="宋体" w:hAnsi="宋体" w:cs="宋体" w:eastAsia="宋体"/>
          <w:sz w:val="24"/>
        </w:rPr>
        <w:t>提供故障分析报告，</w:t>
      </w:r>
      <w:r>
        <w:rPr>
          <w:rFonts w:ascii="宋体" w:hAnsi="宋体" w:cs="宋体" w:eastAsia="宋体"/>
          <w:sz w:val="24"/>
        </w:rPr>
        <w:t>向采购人维护人员解释故障原因和解决方法，以及在日常维护中的预防措施。</w:t>
      </w:r>
      <w:r>
        <w:rPr>
          <w:rFonts w:ascii="calibri" w:hAnsi="calibri" w:cs="calibri" w:eastAsia="calibri"/>
          <w:sz w:val="21"/>
          <w:b/>
        </w:rPr>
        <w:t xml:space="preserve"> </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在合同签订后提供招标文件要求的运维服务，运维服务期限为合同生效之日起1年。</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签订合同后，提供符合本招标文件技术要求的服务。</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签订合同后一年内，提供符合招标文件技术要求的服务，服务期满一年后提供项目运维工作记录和运维工作报告、考核结果等项目资料,按招标文件、投标文件、采购合同以及相关行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1、合同签订生效且财政资金拨付到位后，达到付款条件起15日内，支付合同总金额的40.00%</w:t>
            </w:r>
          </w:p>
          <w:p>
            <w:pPr>
              <w:pStyle w:val="null3"/>
              <w:jc w:val="left"/>
            </w:pPr>
            <w:r>
              <w:rPr/>
              <w:t>2、项目运维服务期满、验收合格且财政资金拨付到位后，达到付款条件起15日内，支付合同总金额的60.00%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人在签订政府采购合同后十日内应向采购人缴纳合同总金额5%的履约保证金（可以现金转账、保函等形式缴纳），中标供应商按合同的服务承诺履约，服务期满后无违约，中标人提出申请，采购人全额返还履约保证金。若供应商违约，履约保证金不予退还并承当相应法律责任。</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合同支付方式（招标文件不一致的以此项为准）：1、合同签订生效且财政资金拨付到位后，达到付款条件起15日内，支付合同总金额的40.00% 2、项目运维服务期满、验收合格且财政资金拨付到位后，达到付款条件起15日内，根据考核及验收结果支付余款。</w:t>
            </w:r>
          </w:p>
        </w:tc>
      </w:tr>
    </w:tbl>
    <w:p>
      <w:pPr>
        <w:pStyle w:val="null3"/>
        <w:jc w:val="left"/>
      </w:pPr>
      <w:r>
        <w:rPr/>
        <w:t>其他商务要求</w:t>
      </w:r>
    </w:p>
    <w:p>
      <w:pPr>
        <w:pStyle w:val="null3"/>
        <w:ind w:firstLine="480"/>
        <w:jc w:val="left"/>
      </w:pPr>
      <w:r>
        <w:rPr>
          <w:rFonts w:ascii="宋体" w:hAnsi="宋体" w:cs="宋体" w:eastAsia="宋体"/>
          <w:sz w:val="24"/>
        </w:rPr>
        <w:t>★</w:t>
      </w:r>
      <w:r>
        <w:rPr>
          <w:rFonts w:ascii="宋体" w:hAnsi="宋体" w:cs="宋体" w:eastAsia="宋体"/>
          <w:sz w:val="24"/>
          <w:b/>
        </w:rPr>
        <w:t>9、服务质量考核</w:t>
      </w:r>
    </w:p>
    <w:p>
      <w:pPr>
        <w:pStyle w:val="null3"/>
        <w:ind w:firstLine="480"/>
        <w:jc w:val="both"/>
      </w:pPr>
      <w:r>
        <w:rPr>
          <w:rFonts w:ascii="宋体" w:hAnsi="宋体" w:cs="宋体" w:eastAsia="宋体"/>
          <w:sz w:val="24"/>
        </w:rPr>
        <w:t>9.1.考核主体</w:t>
      </w:r>
    </w:p>
    <w:p>
      <w:pPr>
        <w:pStyle w:val="null3"/>
        <w:ind w:firstLine="480"/>
        <w:jc w:val="both"/>
      </w:pPr>
      <w:r>
        <w:rPr>
          <w:rFonts w:ascii="宋体" w:hAnsi="宋体" w:cs="宋体" w:eastAsia="宋体"/>
          <w:sz w:val="24"/>
        </w:rPr>
        <w:t>由福建省经济信息中心负责对本项目维保服务进行考核评估。</w:t>
      </w:r>
    </w:p>
    <w:p>
      <w:pPr>
        <w:pStyle w:val="null3"/>
        <w:ind w:firstLine="480"/>
        <w:jc w:val="both"/>
      </w:pPr>
      <w:r>
        <w:rPr>
          <w:rFonts w:ascii="宋体" w:hAnsi="宋体" w:cs="宋体" w:eastAsia="宋体"/>
          <w:sz w:val="24"/>
        </w:rPr>
        <w:t>9.2.考核周期</w:t>
      </w:r>
    </w:p>
    <w:p>
      <w:pPr>
        <w:pStyle w:val="null3"/>
        <w:ind w:firstLine="480"/>
        <w:jc w:val="both"/>
      </w:pPr>
      <w:r>
        <w:rPr>
          <w:rFonts w:ascii="宋体" w:hAnsi="宋体" w:cs="宋体" w:eastAsia="宋体"/>
          <w:sz w:val="24"/>
        </w:rPr>
        <w:t>服务考核周期为每年考核一次，通过每年度开展服务考核工作，客观评价维保服务质量。</w:t>
      </w:r>
    </w:p>
    <w:p>
      <w:pPr>
        <w:pStyle w:val="null3"/>
        <w:ind w:firstLine="480"/>
        <w:jc w:val="both"/>
      </w:pPr>
      <w:r>
        <w:rPr>
          <w:rFonts w:ascii="宋体" w:hAnsi="宋体" w:cs="宋体" w:eastAsia="宋体"/>
          <w:sz w:val="24"/>
        </w:rPr>
        <w:t>9.3.服务考核指标及评分标准</w:t>
      </w:r>
    </w:p>
    <w:p>
      <w:pPr>
        <w:pStyle w:val="null3"/>
        <w:ind w:firstLine="480"/>
        <w:jc w:val="both"/>
      </w:pPr>
      <w:r>
        <w:rPr>
          <w:rFonts w:ascii="宋体" w:hAnsi="宋体" w:cs="宋体" w:eastAsia="宋体"/>
          <w:sz w:val="24"/>
        </w:rPr>
        <w:t>9.3.1 故障等级及恢复时限</w:t>
      </w:r>
    </w:p>
    <w:p>
      <w:pPr>
        <w:pStyle w:val="null3"/>
        <w:ind w:firstLine="480"/>
        <w:jc w:val="both"/>
      </w:pPr>
      <w:r>
        <w:rPr>
          <w:rFonts w:ascii="宋体" w:hAnsi="宋体" w:cs="宋体" w:eastAsia="宋体"/>
          <w:sz w:val="24"/>
        </w:rPr>
        <w:t>（</w:t>
      </w:r>
      <w:r>
        <w:rPr>
          <w:rFonts w:ascii="宋体" w:hAnsi="宋体" w:cs="宋体" w:eastAsia="宋体"/>
          <w:sz w:val="24"/>
        </w:rPr>
        <w:t>1）故障等级定义：</w:t>
      </w:r>
    </w:p>
    <w:p>
      <w:pPr>
        <w:pStyle w:val="null3"/>
        <w:ind w:firstLine="480"/>
        <w:jc w:val="both"/>
      </w:pPr>
      <w:r>
        <w:rPr>
          <w:rFonts w:ascii="宋体" w:hAnsi="宋体" w:cs="宋体" w:eastAsia="宋体"/>
          <w:sz w:val="24"/>
        </w:rPr>
        <w:t>根据故障的严重程度和影响程度的不同，故障级别分为三个等级。当故障没有在规定时限内恢复或解决时，故障级别将自动升级。</w:t>
      </w:r>
    </w:p>
    <w:tbl>
      <w:tblPr>
        <w:tblW w:w="0" w:type="auto"/>
        <w:tblBorders>
          <w:top w:val="none" w:color="000000" w:sz="4"/>
          <w:left w:val="none" w:color="000000" w:sz="4"/>
          <w:bottom w:val="none" w:color="000000" w:sz="4"/>
          <w:right w:val="none" w:color="000000" w:sz="4"/>
          <w:insideH w:val="none"/>
          <w:insideV w:val="none"/>
        </w:tblBorders>
      </w:tblPr>
      <w:tblGrid>
        <w:gridCol w:w="1547"/>
        <w:gridCol w:w="6758"/>
      </w:tblGrid>
      <w:tr>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故障等级</w:t>
            </w:r>
          </w:p>
        </w:tc>
        <w:tc>
          <w:tcPr>
            <w:tcW w:type="dxa" w:w="6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故障等级定义</w:t>
            </w:r>
          </w:p>
        </w:tc>
      </w:tr>
      <w:tr>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一级故障</w:t>
            </w:r>
          </w:p>
        </w:tc>
        <w:tc>
          <w:tcPr>
            <w:tcW w:type="dxa" w:w="6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设备发生严重影响业务的故障或者是主要设备出现系统宕机等现象</w:t>
            </w:r>
          </w:p>
        </w:tc>
      </w:tr>
      <w:tr>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二级故障</w:t>
            </w:r>
          </w:p>
        </w:tc>
        <w:tc>
          <w:tcPr>
            <w:tcW w:type="dxa" w:w="6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设备发生故障，目前没有影响到业务，但如果不尽快处理将造成业务中断或给网络造成重大隐患等现象</w:t>
            </w:r>
          </w:p>
        </w:tc>
      </w:tr>
      <w:tr>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三级故障</w:t>
            </w:r>
          </w:p>
        </w:tc>
        <w:tc>
          <w:tcPr>
            <w:tcW w:type="dxa" w:w="6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设备发生故障但尚未对业务产生直接影响的现象</w:t>
            </w:r>
          </w:p>
        </w:tc>
      </w:tr>
    </w:tbl>
    <w:p>
      <w:pPr>
        <w:pStyle w:val="null3"/>
        <w:ind w:firstLine="480"/>
        <w:jc w:val="both"/>
      </w:pPr>
      <w:r>
        <w:rPr>
          <w:rFonts w:ascii="宋体" w:hAnsi="宋体" w:cs="宋体" w:eastAsia="宋体"/>
          <w:sz w:val="24"/>
        </w:rPr>
        <w:t>（</w:t>
      </w:r>
      <w:r>
        <w:rPr>
          <w:rFonts w:ascii="宋体" w:hAnsi="宋体" w:cs="宋体" w:eastAsia="宋体"/>
          <w:sz w:val="24"/>
        </w:rPr>
        <w:t>2）现场响应时限</w:t>
      </w:r>
    </w:p>
    <w:p>
      <w:pPr>
        <w:pStyle w:val="null3"/>
        <w:ind w:firstLine="480"/>
        <w:jc w:val="both"/>
      </w:pPr>
      <w:r>
        <w:rPr>
          <w:rFonts w:ascii="宋体" w:hAnsi="宋体" w:cs="宋体" w:eastAsia="宋体"/>
          <w:sz w:val="24"/>
        </w:rPr>
        <w:t>现场驻点支持响应时限要求见下表：</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故障级别</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抵达现场时间（</w:t>
            </w:r>
            <w:r>
              <w:rPr>
                <w:rFonts w:ascii="宋体" w:hAnsi="宋体" w:cs="宋体" w:eastAsia="宋体"/>
                <w:sz w:val="24"/>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2小时</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二级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4小时</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三级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24小时</w:t>
            </w:r>
          </w:p>
        </w:tc>
      </w:tr>
    </w:tbl>
    <w:p>
      <w:pPr>
        <w:pStyle w:val="null3"/>
        <w:ind w:firstLine="480"/>
        <w:jc w:val="both"/>
      </w:pPr>
      <w:r>
        <w:rPr>
          <w:rFonts w:ascii="宋体" w:hAnsi="宋体" w:cs="宋体" w:eastAsia="宋体"/>
          <w:sz w:val="24"/>
        </w:rPr>
        <w:t>（</w:t>
      </w:r>
      <w:r>
        <w:rPr>
          <w:rFonts w:ascii="宋体" w:hAnsi="宋体" w:cs="宋体" w:eastAsia="宋体"/>
          <w:sz w:val="24"/>
        </w:rPr>
        <w:t>3）故障恢复时限</w:t>
      </w:r>
    </w:p>
    <w:p>
      <w:pPr>
        <w:pStyle w:val="null3"/>
        <w:ind w:firstLine="480"/>
        <w:jc w:val="both"/>
      </w:pPr>
      <w:r>
        <w:rPr>
          <w:rFonts w:ascii="宋体" w:hAnsi="宋体" w:cs="宋体" w:eastAsia="宋体"/>
          <w:sz w:val="24"/>
        </w:rPr>
        <w:t>对于硬件维修或更换服务，根据故障严重程度划分服务等级，具体级别和服务要求如下表：</w:t>
      </w:r>
    </w:p>
    <w:tbl>
      <w:tblPr>
        <w:tblW w:w="0" w:type="auto"/>
        <w:tblBorders>
          <w:top w:val="none" w:color="000000" w:sz="4"/>
          <w:left w:val="none" w:color="000000" w:sz="4"/>
          <w:bottom w:val="none" w:color="000000" w:sz="4"/>
          <w:right w:val="none" w:color="000000" w:sz="4"/>
          <w:insideH w:val="none"/>
          <w:insideV w:val="none"/>
        </w:tblBorders>
      </w:tblPr>
      <w:tblGrid>
        <w:gridCol w:w="4109"/>
        <w:gridCol w:w="4195"/>
      </w:tblGrid>
      <w:tr>
        <w:tc>
          <w:tcPr>
            <w:tcW w:type="dxa" w:w="4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硬件更换服务等级划分</w:t>
            </w:r>
          </w:p>
        </w:tc>
        <w:tc>
          <w:tcPr>
            <w:tcW w:type="dxa" w:w="4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响应时限（</w:t>
            </w:r>
            <w:r>
              <w:rPr>
                <w:rFonts w:ascii="宋体" w:hAnsi="宋体" w:cs="宋体" w:eastAsia="宋体"/>
                <w:sz w:val="24"/>
              </w:rPr>
              <w:t>≤）</w:t>
            </w:r>
          </w:p>
        </w:tc>
      </w:tr>
      <w:tr>
        <w:tc>
          <w:tcPr>
            <w:tcW w:type="dxa" w:w="4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一级故障</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5分钟</w:t>
            </w:r>
          </w:p>
        </w:tc>
      </w:tr>
      <w:tr>
        <w:tc>
          <w:tcPr>
            <w:tcW w:type="dxa" w:w="4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二级故障</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15分钟</w:t>
            </w:r>
          </w:p>
        </w:tc>
      </w:tr>
      <w:tr>
        <w:tc>
          <w:tcPr>
            <w:tcW w:type="dxa" w:w="4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三级故障</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20分钟</w:t>
            </w:r>
          </w:p>
        </w:tc>
      </w:tr>
    </w:tbl>
    <w:p>
      <w:pPr>
        <w:pStyle w:val="null3"/>
        <w:ind w:firstLine="480"/>
        <w:jc w:val="both"/>
      </w:pPr>
      <w:r>
        <w:rPr>
          <w:rFonts w:ascii="宋体" w:hAnsi="宋体" w:cs="宋体" w:eastAsia="宋体"/>
          <w:sz w:val="24"/>
        </w:rPr>
        <w:t>说明：在故障无法解决时，也提供可行的应急解决方案，以保障业务恢复。</w:t>
      </w:r>
    </w:p>
    <w:p>
      <w:pPr>
        <w:pStyle w:val="null3"/>
        <w:ind w:firstLine="480"/>
        <w:jc w:val="both"/>
      </w:pPr>
      <w:r>
        <w:rPr>
          <w:rFonts w:ascii="宋体" w:hAnsi="宋体" w:cs="宋体" w:eastAsia="宋体"/>
          <w:sz w:val="24"/>
        </w:rPr>
        <w:t>9.3.2服务质量考核评分表：</w:t>
      </w:r>
    </w:p>
    <w:tbl>
      <w:tblPr>
        <w:tblW w:w="0" w:type="auto"/>
        <w:tblBorders>
          <w:top w:val="none" w:color="000000" w:sz="4"/>
          <w:left w:val="none" w:color="000000" w:sz="4"/>
          <w:bottom w:val="none" w:color="000000" w:sz="4"/>
          <w:right w:val="none" w:color="000000" w:sz="4"/>
          <w:insideH w:val="none"/>
          <w:insideV w:val="none"/>
        </w:tblBorders>
      </w:tblPr>
      <w:tblGrid>
        <w:gridCol w:w="1122"/>
        <w:gridCol w:w="1262"/>
        <w:gridCol w:w="5330"/>
        <w:gridCol w:w="591"/>
      </w:tblGrid>
      <w:tr>
        <w:tc>
          <w:tcPr>
            <w:tcW w:type="dxa" w:w="112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宋体" w:hAnsi="宋体" w:cs="宋体" w:eastAsia="宋体"/>
                <w:sz w:val="24"/>
              </w:rPr>
              <w:t>服务类别</w:t>
            </w:r>
          </w:p>
        </w:tc>
        <w:tc>
          <w:tcPr>
            <w:tcW w:type="dxa" w:w="126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宋体" w:hAnsi="宋体" w:cs="宋体" w:eastAsia="宋体"/>
                <w:sz w:val="24"/>
              </w:rPr>
              <w:t>服务内容</w:t>
            </w:r>
          </w:p>
        </w:tc>
        <w:tc>
          <w:tcPr>
            <w:tcW w:type="dxa" w:w="533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宋体" w:hAnsi="宋体" w:cs="宋体" w:eastAsia="宋体"/>
                <w:sz w:val="24"/>
              </w:rPr>
              <w:t>服务质量考核标准</w:t>
            </w:r>
          </w:p>
        </w:tc>
        <w:tc>
          <w:tcPr>
            <w:tcW w:type="dxa" w:w="59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宋体" w:hAnsi="宋体" w:cs="宋体" w:eastAsia="宋体"/>
                <w:sz w:val="24"/>
              </w:rPr>
              <w:t>满分</w:t>
            </w:r>
          </w:p>
        </w:tc>
      </w:tr>
      <w:tr>
        <w:tc>
          <w:tcPr>
            <w:tcW w:type="dxa" w:w="1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1.服务方案</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1）技术服务支撑方案</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未提供本服务期技术服务支撑方案扣</w:t>
            </w:r>
            <w:r>
              <w:rPr>
                <w:rFonts w:ascii="宋体" w:hAnsi="宋体" w:cs="宋体" w:eastAsia="宋体"/>
                <w:sz w:val="24"/>
              </w:rPr>
              <w:t>1分。</w:t>
            </w:r>
          </w:p>
        </w:tc>
        <w:tc>
          <w:tcPr>
            <w:tcW w:type="dxa" w:w="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2）应急预案</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未提供应急预案扣</w:t>
            </w:r>
            <w:r>
              <w:rPr>
                <w:rFonts w:ascii="宋体" w:hAnsi="宋体" w:cs="宋体" w:eastAsia="宋体"/>
                <w:sz w:val="24"/>
              </w:rPr>
              <w:t>1分。</w:t>
            </w:r>
          </w:p>
        </w:tc>
        <w:tc>
          <w:tcPr>
            <w:tcW w:type="dxa" w:w="591"/>
            <w:vMerge/>
            <w:tcBorders>
              <w:top w:val="none" w:color="000000" w:sz="4"/>
              <w:left w:val="none" w:color="000000" w:sz="4"/>
              <w:bottom w:val="single" w:color="000000" w:sz="4"/>
              <w:right w:val="single" w:color="000000" w:sz="4"/>
            </w:tcBorders>
          </w:tcP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3）硬件设备保障方案</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未提供硬件设备保障方案扣</w:t>
            </w:r>
            <w:r>
              <w:rPr>
                <w:rFonts w:ascii="宋体" w:hAnsi="宋体" w:cs="宋体" w:eastAsia="宋体"/>
                <w:sz w:val="24"/>
              </w:rPr>
              <w:t>1分。</w:t>
            </w:r>
          </w:p>
        </w:tc>
        <w:tc>
          <w:tcPr>
            <w:tcW w:type="dxa" w:w="591"/>
            <w:vMerge/>
            <w:tcBorders>
              <w:top w:val="none" w:color="000000" w:sz="4"/>
              <w:left w:val="none" w:color="000000" w:sz="4"/>
              <w:bottom w:val="single" w:color="000000" w:sz="4"/>
              <w:right w:val="single" w:color="000000" w:sz="4"/>
            </w:tcBorders>
          </w:tcP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4）应用软件保障方案</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未提供应用软件保障方案扣</w:t>
            </w:r>
            <w:r>
              <w:rPr>
                <w:rFonts w:ascii="宋体" w:hAnsi="宋体" w:cs="宋体" w:eastAsia="宋体"/>
                <w:sz w:val="24"/>
              </w:rPr>
              <w:t>1分。</w:t>
            </w:r>
          </w:p>
        </w:tc>
        <w:tc>
          <w:tcPr>
            <w:tcW w:type="dxa" w:w="591"/>
            <w:vMerge/>
            <w:tcBorders>
              <w:top w:val="none" w:color="000000" w:sz="4"/>
              <w:left w:val="none" w:color="000000" w:sz="4"/>
              <w:bottom w:val="single" w:color="000000" w:sz="4"/>
              <w:right w:val="single" w:color="000000" w:sz="4"/>
            </w:tcBorders>
          </w:tcPr>
          <w:p/>
        </w:tc>
      </w:tr>
      <w:tr>
        <w:tc>
          <w:tcPr>
            <w:tcW w:type="dxa" w:w="1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2.日常运维服务</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1）日常巡检</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每天安排技术工程师进行巡检。每缺少一次扣</w:t>
            </w:r>
            <w:r>
              <w:rPr>
                <w:rFonts w:ascii="宋体" w:hAnsi="宋体" w:cs="宋体" w:eastAsia="宋体"/>
                <w:sz w:val="24"/>
              </w:rPr>
              <w:t>1分，扣完为止。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2）安全漏洞整改</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收到中高风险安全漏洞整改通知，未能在</w:t>
            </w:r>
            <w:r>
              <w:rPr>
                <w:rFonts w:ascii="宋体" w:hAnsi="宋体" w:cs="宋体" w:eastAsia="宋体"/>
                <w:sz w:val="24"/>
              </w:rPr>
              <w:t>5个工作日内完成整改（高风险漏洞必须全部整改，中风险漏洞无法整改的，须说明理由），每发生一次扣2分，扣完为止。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3）远程技术支持</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支撑人员电话关机，扣</w:t>
            </w:r>
            <w:r>
              <w:rPr>
                <w:rFonts w:ascii="宋体" w:hAnsi="宋体" w:cs="宋体" w:eastAsia="宋体"/>
                <w:sz w:val="24"/>
              </w:rPr>
              <w:t>1分，扣完为止。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4）现场技术支持</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驻场人员不在现场，每发现</w:t>
            </w:r>
            <w:r>
              <w:rPr>
                <w:rFonts w:ascii="宋体" w:hAnsi="宋体" w:cs="宋体" w:eastAsia="宋体"/>
                <w:sz w:val="24"/>
              </w:rPr>
              <w:t>1次扣1分，扣完为止。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1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3.应急故障处理</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1）响应及时性</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对于业主报修的问题，服务方需在规定的时间内做出响应，响应每延迟一次，扣</w:t>
            </w:r>
            <w:r>
              <w:rPr>
                <w:rFonts w:ascii="宋体" w:hAnsi="宋体" w:cs="宋体" w:eastAsia="宋体"/>
                <w:sz w:val="24"/>
              </w:rPr>
              <w:t>2分，扣完为止。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2）故障修复及时性</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未能在规定时限完成故障修复的</w:t>
            </w:r>
            <w:r>
              <w:rPr>
                <w:rFonts w:ascii="宋体" w:hAnsi="宋体" w:cs="宋体" w:eastAsia="宋体"/>
                <w:sz w:val="24"/>
              </w:rPr>
              <w:t>,每次扣2分，扣完为止。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r>
      <w:tr>
        <w:tc>
          <w:tcPr>
            <w:tcW w:type="dxa" w:w="1122"/>
            <w:vMerge/>
            <w:tcBorders>
              <w:top w:val="none" w:color="000000" w:sz="4"/>
              <w:left w:val="single" w:color="000000" w:sz="4"/>
              <w:bottom w:val="single" w:color="000000" w:sz="4"/>
              <w:right w:val="single" w:color="000000" w:sz="4"/>
            </w:tcBorders>
          </w:tcP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3）故障处理报告</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每次故障修复后，须在</w:t>
            </w:r>
            <w:r>
              <w:rPr>
                <w:rFonts w:ascii="宋体" w:hAnsi="宋体" w:cs="宋体" w:eastAsia="宋体"/>
                <w:sz w:val="24"/>
              </w:rPr>
              <w:t>3个工作日内提交故障处理报告。每延迟提交一次扣1分，扣完为止。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4.保密规定</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遵守保密规定</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每违反保密规定一次，扣</w:t>
            </w:r>
            <w:r>
              <w:rPr>
                <w:rFonts w:ascii="宋体" w:hAnsi="宋体" w:cs="宋体" w:eastAsia="宋体"/>
                <w:sz w:val="24"/>
              </w:rPr>
              <w:t>5分，扣完为止。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1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5.运维服务质量</w:t>
            </w:r>
          </w:p>
        </w:tc>
        <w:tc>
          <w:tcPr>
            <w:tcW w:type="dxa" w:w="1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服务质量投诉和表扬</w:t>
            </w: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接到应用单位投诉，经核实为服务方问题的，每投诉一次扣</w:t>
            </w:r>
            <w:r>
              <w:rPr>
                <w:rFonts w:ascii="宋体" w:hAnsi="宋体" w:cs="宋体" w:eastAsia="宋体"/>
                <w:sz w:val="24"/>
              </w:rPr>
              <w:t>2分，扣完为止。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1122"/>
            <w:vMerge/>
            <w:tcBorders>
              <w:top w:val="none" w:color="000000" w:sz="4"/>
              <w:left w:val="single" w:color="000000" w:sz="4"/>
              <w:bottom w:val="single" w:color="000000" w:sz="4"/>
              <w:right w:val="single" w:color="000000" w:sz="4"/>
            </w:tcBorders>
          </w:tcPr>
          <w:p/>
        </w:tc>
        <w:tc>
          <w:tcPr>
            <w:tcW w:type="dxa" w:w="1262"/>
            <w:vMerge/>
            <w:tcBorders>
              <w:top w:val="none" w:color="000000" w:sz="4"/>
              <w:left w:val="none" w:color="000000" w:sz="4"/>
              <w:bottom w:val="single" w:color="000000" w:sz="4"/>
              <w:right w:val="single" w:color="000000" w:sz="4"/>
            </w:tcBorders>
          </w:tcPr>
          <w:p/>
        </w:tc>
        <w:tc>
          <w:tcPr>
            <w:tcW w:type="dxa" w:w="5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额外加分：日常运维过程中表现优异，服务态度良好、得到应用部门的书面表扬或感谢的，每次加</w:t>
            </w:r>
            <w:r>
              <w:rPr>
                <w:rFonts w:ascii="宋体" w:hAnsi="宋体" w:cs="宋体" w:eastAsia="宋体"/>
                <w:sz w:val="24"/>
              </w:rPr>
              <w:t>1分，最多5分。</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r>
    </w:tbl>
    <w:p>
      <w:pPr>
        <w:pStyle w:val="null3"/>
        <w:jc w:val="both"/>
      </w:pPr>
      <w:r>
        <w:rPr>
          <w:rFonts w:ascii="宋体" w:hAnsi="宋体" w:cs="宋体" w:eastAsia="宋体"/>
          <w:sz w:val="24"/>
        </w:rPr>
        <w:t xml:space="preserve">    </w:t>
      </w:r>
      <w:r>
        <w:rPr>
          <w:rFonts w:ascii="宋体" w:hAnsi="宋体" w:cs="宋体" w:eastAsia="宋体"/>
          <w:sz w:val="24"/>
        </w:rPr>
        <w:t>每年度服务完成后进行一次服务考核，根据考核结果进行年度服务费用余款的支付。具体办法如下：</w:t>
      </w:r>
    </w:p>
    <w:p>
      <w:pPr>
        <w:pStyle w:val="null3"/>
        <w:ind w:firstLine="480"/>
        <w:jc w:val="both"/>
      </w:pPr>
      <w:r>
        <w:rPr>
          <w:rFonts w:ascii="宋体" w:hAnsi="宋体" w:cs="宋体" w:eastAsia="宋体"/>
          <w:sz w:val="24"/>
        </w:rPr>
        <w:t>①若考核分数≥90分的，支付当年服务费用全部余款；</w:t>
      </w:r>
    </w:p>
    <w:p>
      <w:pPr>
        <w:pStyle w:val="null3"/>
        <w:ind w:firstLine="480"/>
        <w:jc w:val="both"/>
      </w:pPr>
      <w:r>
        <w:rPr>
          <w:rFonts w:ascii="宋体" w:hAnsi="宋体" w:cs="宋体" w:eastAsia="宋体"/>
          <w:sz w:val="24"/>
        </w:rPr>
        <w:t>②若80分≤考核分数＜90分的，则扣除当年服务费用的20%后支付余款；</w:t>
      </w:r>
    </w:p>
    <w:p>
      <w:pPr>
        <w:pStyle w:val="null3"/>
        <w:ind w:firstLine="480"/>
        <w:jc w:val="both"/>
      </w:pPr>
      <w:r>
        <w:rPr>
          <w:rFonts w:ascii="宋体" w:hAnsi="宋体" w:cs="宋体" w:eastAsia="宋体"/>
          <w:sz w:val="24"/>
        </w:rPr>
        <w:t>③若60分≤考核分数＜80分，则扣除当年服务费用的30%后支付余款；</w:t>
      </w:r>
    </w:p>
    <w:p>
      <w:pPr>
        <w:pStyle w:val="null3"/>
        <w:ind w:firstLine="480"/>
        <w:jc w:val="both"/>
      </w:pPr>
      <w:r>
        <w:rPr>
          <w:rFonts w:ascii="宋体" w:hAnsi="宋体" w:cs="宋体" w:eastAsia="宋体"/>
          <w:sz w:val="24"/>
        </w:rPr>
        <w:t>④若考核分数＜60分或发生数据泄露事件、系统瘫痪等重大事件，经认定责任方为中标人的，则采购人有权拒绝支付当年服务费用余款，且采购人保留取消合同的权利。</w:t>
      </w:r>
    </w:p>
    <w:p>
      <w:pPr>
        <w:pStyle w:val="null3"/>
        <w:ind w:firstLine="420"/>
        <w:jc w:val="left"/>
      </w:pPr>
      <w:r>
        <w:rPr>
          <w:rFonts w:ascii="宋体" w:hAnsi="宋体" w:cs="宋体" w:eastAsia="宋体"/>
          <w:sz w:val="24"/>
          <w:color w:val="000000"/>
          <w:shd w:fill="FFFFFF" w:val="clear"/>
        </w:rPr>
        <w:t>★10、违约责任</w:t>
      </w:r>
    </w:p>
    <w:p>
      <w:pPr>
        <w:pStyle w:val="null3"/>
        <w:ind w:firstLine="480"/>
        <w:jc w:val="left"/>
      </w:pPr>
      <w:r>
        <w:rPr>
          <w:rFonts w:ascii="宋体" w:hAnsi="宋体" w:cs="宋体" w:eastAsia="宋体"/>
          <w:sz w:val="24"/>
          <w:color w:val="000000"/>
          <w:shd w:fill="FFFFFF" w:val="clear"/>
        </w:rPr>
        <w:t>10.1因中标人原因造成采购服务合同无法按时签订，视为中标人违约，采购人有权没收其投标保证金，如投标保证金不能弥补中标人违约对采购人造成的损失的，中标人还需另行支付相应的赔偿。</w:t>
      </w:r>
    </w:p>
    <w:p>
      <w:pPr>
        <w:pStyle w:val="null3"/>
        <w:ind w:firstLine="480"/>
        <w:jc w:val="left"/>
      </w:pPr>
      <w:r>
        <w:rPr>
          <w:rFonts w:ascii="宋体" w:hAnsi="宋体" w:cs="宋体" w:eastAsia="宋体"/>
          <w:sz w:val="24"/>
          <w:color w:val="000000"/>
          <w:shd w:fill="FFFFFF" w:val="clear"/>
        </w:rPr>
        <w:t>10.2在签定采购合同之后，中标人要求解除合同的，视为中标人违约，对采购人造成的损失的，中标人需支付相应的赔偿。</w:t>
      </w:r>
    </w:p>
    <w:p>
      <w:pPr>
        <w:pStyle w:val="null3"/>
        <w:ind w:firstLine="480"/>
        <w:jc w:val="left"/>
      </w:pPr>
      <w:r>
        <w:rPr>
          <w:rFonts w:ascii="宋体" w:hAnsi="宋体" w:cs="宋体" w:eastAsia="宋体"/>
          <w:sz w:val="24"/>
          <w:color w:val="000000"/>
          <w:shd w:fill="FFFFFF" w:val="clear"/>
        </w:rPr>
        <w:t>10.3因中标人原因所造成的人员伤亡方面的任何责任应受适用的中国法律规定的管辖和制约。由于中标人违反合同造成采购人货物或财产的灭失或损坏，或因采购人在中国境内使用合同设备遭受第三方侵权指控而产生的相应损失，中标人应承担全部责任，并赔偿给采购人造成的损失。</w:t>
      </w:r>
    </w:p>
    <w:p>
      <w:pPr>
        <w:pStyle w:val="null3"/>
        <w:ind w:firstLine="480"/>
        <w:jc w:val="left"/>
      </w:pPr>
      <w:r>
        <w:rPr>
          <w:rFonts w:ascii="宋体" w:hAnsi="宋体" w:cs="宋体" w:eastAsia="宋体"/>
          <w:sz w:val="24"/>
          <w:color w:val="000000"/>
          <w:shd w:fill="FFFFFF" w:val="clear"/>
        </w:rPr>
        <w:t>10.4因中标人原因发生质量事故、安全事故的，由中标人承担事故全部赔偿责任。同时，采购人有权终止合同，给采购人造成损失的，还应承担赔偿责任。</w:t>
      </w:r>
    </w:p>
    <w:p>
      <w:pPr>
        <w:pStyle w:val="null3"/>
        <w:ind w:firstLine="480"/>
        <w:jc w:val="left"/>
      </w:pPr>
      <w:r>
        <w:rPr>
          <w:rFonts w:ascii="宋体" w:hAnsi="宋体" w:cs="宋体" w:eastAsia="宋体"/>
          <w:sz w:val="24"/>
          <w:color w:val="000000"/>
          <w:shd w:fill="FFFFFF" w:val="clear"/>
        </w:rPr>
        <w:t>10.5中标人派出人员在执行任务过程中，需做好安全防护措施，若发生安全事故，由中标人负全部责任，与采购人无关。</w:t>
      </w:r>
    </w:p>
    <w:p>
      <w:pPr>
        <w:pStyle w:val="null3"/>
        <w:ind w:firstLine="480"/>
        <w:jc w:val="left"/>
      </w:pPr>
      <w:r>
        <w:rPr>
          <w:rFonts w:ascii="宋体" w:hAnsi="宋体" w:cs="宋体" w:eastAsia="宋体"/>
          <w:sz w:val="24"/>
          <w:color w:val="000000"/>
          <w:shd w:fill="FFFFFF" w:val="clear"/>
        </w:rPr>
        <w:t>10.6中标人派出人员在执行任务过程中，因操作不当造成采购人财产损失的，由中标人负全部赔偿责任。</w:t>
      </w:r>
    </w:p>
    <w:p>
      <w:pPr>
        <w:pStyle w:val="null3"/>
        <w:ind w:firstLine="480"/>
        <w:jc w:val="both"/>
      </w:pPr>
      <w:r>
        <w:rPr>
          <w:rFonts w:ascii="宋体" w:hAnsi="宋体" w:cs="宋体" w:eastAsia="宋体"/>
          <w:sz w:val="24"/>
          <w:color w:val="000000"/>
          <w:shd w:fill="FFFFFF" w:val="clear"/>
        </w:rPr>
        <w:t>10.7在明确违约责任后，中标人应在接到书面通知书起三十天内支付违约金、赔偿金等。</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1）投标人应以包括完成本项目所涉及的有关的所有费用进行报价，包括但不限于：维保、检测费用、安装、调试及试运行、验收、劳务、管理、保险、利润、税款及政策性文件规定的各项应有费用及可合理推断的责任和义务。 （2）请中标人按招标文件规定及时与采购人签订政府采购合同。 （3）本项目不允许中标人以任何名义和理由进行转包，如有发现，采购人有权单方终止合同，视为中标人违约。给采购人造成的损失的，中标人还需另行支付相应的赔偿。 （4）本招标文件未明确的其它约定事项或条款，待采购人与中标人签订合同时，由双方协商订立。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[350001]FJXFZB[GK]2024027</w:t>
      </w:r>
    </w:p>
    <w:p>
      <w:pPr>
        <w:pStyle w:val="null3"/>
        <w:jc w:val="left"/>
      </w:pPr>
      <w:r>
        <w:rPr/>
        <w:t>项目名称：</w:t>
      </w:r>
      <w:r>
        <w:rPr/>
        <w:t>福建省政务云结构化数据库加密系统运维服务项目（2024年度）</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福建省政务云结构化数据库加密系统运维服务</w:t>
            </w:r>
          </w:p>
        </w:tc>
        <w:tc>
          <w:tcPr>
            <w:tcW w:type="dxa" w:w="1661"/>
          </w:tcPr>
          <w:p>
            <w:pPr>
              <w:pStyle w:val="null3"/>
              <w:jc w:val="left"/>
            </w:pPr>
            <w:r>
              <w:rPr/>
              <w:t xml:space="preserve"> 900000.0000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[350001]FJXFZB[GK]2024027</w:t>
      </w:r>
    </w:p>
    <w:p>
      <w:pPr>
        <w:pStyle w:val="null3"/>
        <w:jc w:val="left"/>
      </w:pPr>
      <w:r>
        <w:rPr/>
        <w:t>项目名称：</w:t>
      </w:r>
      <w:r>
        <w:rPr/>
        <w:t>福建省政务云结构化数据库加密系统运维服务项目（2024年度）</w:t>
      </w:r>
    </w:p>
    <w:p>
      <w:pPr>
        <w:pStyle w:val="null3"/>
        <w:jc w:val="left"/>
      </w:pPr>
      <w:r>
        <w:rPr/>
        <w:t xml:space="preserve"> 福建省政务云结构化数据库加密系统运维服务项目（2024年度）</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福建省政务云结构化数据库加密系统运维服务项目（2024年度）</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900000.0000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