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EC69EE">
      <w:pPr>
        <w:pStyle w:val="5"/>
        <w:ind w:firstLine="562" w:firstLineChars="200"/>
        <w:jc w:val="left"/>
        <w:outlineLvl w:val="2"/>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pPr>
      <w:r>
        <w:rPr>
          <w:rFonts w:hint="eastAsia" w:ascii="宋体" w:hAnsi="宋体" w:cs="宋体"/>
          <w:b/>
          <w:color w:val="000000" w:themeColor="text1"/>
          <w:kern w:val="2"/>
          <w:sz w:val="28"/>
          <w:szCs w:val="28"/>
          <w:highlight w:val="none"/>
          <w:lang w:val="en-US" w:eastAsia="zh-CN" w:bidi="ar-SA"/>
          <w14:textFill>
            <w14:solidFill>
              <w14:schemeClr w14:val="tx1"/>
            </w14:solidFill>
          </w14:textFill>
        </w:rPr>
        <w:t>3.1</w:t>
      </w:r>
      <w:r>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t>项目概况</w:t>
      </w:r>
    </w:p>
    <w:p w14:paraId="7273CF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76" w:lineRule="exact"/>
        <w:ind w:right="376" w:firstLine="560" w:firstLineChars="200"/>
        <w:jc w:val="both"/>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cs="宋体"/>
          <w:b w:val="0"/>
          <w:bCs w:val="0"/>
          <w:color w:val="000000" w:themeColor="text1"/>
          <w:sz w:val="28"/>
          <w:szCs w:val="28"/>
          <w:highlight w:val="none"/>
          <w:lang w:eastAsia="zh-CN"/>
          <w14:textFill>
            <w14:solidFill>
              <w14:schemeClr w14:val="tx1"/>
            </w14:solidFill>
          </w14:textFill>
        </w:rPr>
        <w:t>本项目拟通过竞争性磋商方式确定一家专业技术服务单位</w:t>
      </w:r>
      <w:r>
        <w:rPr>
          <w:rFonts w:hint="eastAsia" w:ascii="宋体" w:eastAsia="宋体" w:cs="宋体"/>
          <w:b w:val="0"/>
          <w:bCs w:val="0"/>
          <w:color w:val="000000" w:themeColor="text1"/>
          <w:sz w:val="28"/>
          <w:szCs w:val="28"/>
          <w:highlight w:val="none"/>
          <w:lang w:val="en-US" w:eastAsia="zh-CN"/>
          <w14:textFill>
            <w14:solidFill>
              <w14:schemeClr w14:val="tx1"/>
            </w14:solidFill>
          </w14:textFill>
        </w:rPr>
        <w:t>按照四川省自然资源厅 四川省农业农村厅关于印发《永久基本农田保护红线正向优化指南(试行)》的通知（川自然资函[2025]267号）</w:t>
      </w:r>
      <w:r>
        <w:rPr>
          <w:rFonts w:hint="eastAsia" w:ascii="宋体" w:cs="宋体"/>
          <w:b w:val="0"/>
          <w:bCs w:val="0"/>
          <w:color w:val="000000" w:themeColor="text1"/>
          <w:sz w:val="28"/>
          <w:szCs w:val="28"/>
          <w:highlight w:val="none"/>
          <w:lang w:val="en-US" w:eastAsia="zh-CN"/>
          <w14:textFill>
            <w14:solidFill>
              <w14:schemeClr w14:val="tx1"/>
            </w14:solidFill>
          </w14:textFill>
        </w:rPr>
        <w:t>要求，</w:t>
      </w:r>
      <w:r>
        <w:rPr>
          <w:rFonts w:hint="eastAsia" w:ascii="宋体" w:eastAsia="宋体" w:cs="宋体"/>
          <w:b w:val="0"/>
          <w:bCs w:val="0"/>
          <w:color w:val="000000" w:themeColor="text1"/>
          <w:sz w:val="28"/>
          <w:szCs w:val="28"/>
          <w:highlight w:val="none"/>
          <w:lang w:val="en-US" w:eastAsia="zh-CN"/>
          <w14:textFill>
            <w14:solidFill>
              <w14:schemeClr w14:val="tx1"/>
            </w14:solidFill>
          </w14:textFill>
        </w:rPr>
        <w:t>开展苍溪县永久基本农田储备区年度更新及正向优化调整工作</w:t>
      </w:r>
      <w:r>
        <w:rPr>
          <w:rFonts w:hint="eastAsia" w:ascii="宋体" w:hAnsi="宋体" w:cs="宋体"/>
          <w:color w:val="000000" w:themeColor="text1"/>
          <w:sz w:val="28"/>
          <w:szCs w:val="28"/>
          <w:highlight w:val="none"/>
          <w:lang w:val="en-US" w:eastAsia="zh-CN"/>
          <w14:textFill>
            <w14:solidFill>
              <w14:schemeClr w14:val="tx1"/>
            </w14:solidFill>
          </w14:textFill>
        </w:rPr>
        <w:t>。</w:t>
      </w:r>
    </w:p>
    <w:p w14:paraId="625675B8">
      <w:pPr>
        <w:pStyle w:val="5"/>
        <w:ind w:firstLine="562" w:firstLineChars="200"/>
        <w:jc w:val="left"/>
        <w:outlineLvl w:val="2"/>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pPr>
      <w:r>
        <w:rPr>
          <w:rFonts w:hint="eastAsia" w:ascii="宋体" w:hAnsi="宋体" w:cs="宋体"/>
          <w:b/>
          <w:color w:val="000000" w:themeColor="text1"/>
          <w:kern w:val="2"/>
          <w:sz w:val="28"/>
          <w:szCs w:val="28"/>
          <w:highlight w:val="none"/>
          <w:lang w:val="en-US" w:eastAsia="zh-CN" w:bidi="ar-SA"/>
          <w14:textFill>
            <w14:solidFill>
              <w14:schemeClr w14:val="tx1"/>
            </w14:solidFill>
          </w14:textFill>
        </w:rPr>
        <w:t>3.2</w:t>
      </w:r>
      <w:r>
        <w:rPr>
          <w:rFonts w:hint="eastAsia" w:ascii="宋体" w:hAnsi="宋体" w:eastAsia="宋体" w:cs="宋体"/>
          <w:b/>
          <w:color w:val="000000" w:themeColor="text1"/>
          <w:kern w:val="2"/>
          <w:sz w:val="28"/>
          <w:szCs w:val="28"/>
          <w:highlight w:val="none"/>
          <w:lang w:val="en-US" w:eastAsia="zh-CN" w:bidi="ar-SA"/>
          <w14:textFill>
            <w14:solidFill>
              <w14:schemeClr w14:val="tx1"/>
            </w14:solidFill>
          </w14:textFill>
        </w:rPr>
        <w:t>采购内容</w:t>
      </w:r>
    </w:p>
    <w:tbl>
      <w:tblPr>
        <w:tblStyle w:val="3"/>
        <w:tblW w:w="1015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57"/>
        <w:gridCol w:w="1712"/>
        <w:gridCol w:w="844"/>
        <w:gridCol w:w="994"/>
        <w:gridCol w:w="825"/>
        <w:gridCol w:w="768"/>
        <w:gridCol w:w="975"/>
        <w:gridCol w:w="992"/>
        <w:gridCol w:w="1083"/>
        <w:gridCol w:w="1200"/>
      </w:tblGrid>
      <w:tr w14:paraId="0F1A90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65" w:hRule="atLeast"/>
          <w:jc w:val="center"/>
        </w:trPr>
        <w:tc>
          <w:tcPr>
            <w:tcW w:w="757" w:type="dxa"/>
            <w:vAlign w:val="center"/>
          </w:tcPr>
          <w:p w14:paraId="60476466">
            <w:pPr>
              <w:pStyle w:val="5"/>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12" w:type="dxa"/>
            <w:vAlign w:val="center"/>
          </w:tcPr>
          <w:p w14:paraId="138BC0B2">
            <w:pPr>
              <w:pStyle w:val="5"/>
              <w:jc w:val="center"/>
              <w:rPr>
                <w:rFonts w:hint="eastAsia" w:ascii="宋体" w:hAnsi="宋体" w:eastAsia="宋体" w:cs="宋体"/>
                <w:b/>
                <w:bCs/>
                <w:sz w:val="24"/>
                <w:szCs w:val="24"/>
              </w:rPr>
            </w:pPr>
            <w:r>
              <w:rPr>
                <w:rFonts w:hint="eastAsia" w:ascii="宋体" w:hAnsi="宋体" w:eastAsia="宋体" w:cs="宋体"/>
                <w:b/>
                <w:bCs/>
                <w:sz w:val="24"/>
                <w:szCs w:val="24"/>
              </w:rPr>
              <w:t>标的名称</w:t>
            </w:r>
          </w:p>
        </w:tc>
        <w:tc>
          <w:tcPr>
            <w:tcW w:w="844" w:type="dxa"/>
            <w:vAlign w:val="center"/>
          </w:tcPr>
          <w:p w14:paraId="2B613C09">
            <w:pPr>
              <w:pStyle w:val="5"/>
              <w:jc w:val="center"/>
              <w:rPr>
                <w:rFonts w:hint="eastAsia" w:ascii="宋体" w:hAnsi="宋体" w:eastAsia="宋体" w:cs="宋体"/>
                <w:b/>
                <w:bCs/>
                <w:sz w:val="24"/>
                <w:szCs w:val="24"/>
              </w:rPr>
            </w:pPr>
            <w:r>
              <w:rPr>
                <w:rFonts w:hint="eastAsia" w:ascii="宋体" w:hAnsi="宋体" w:eastAsia="宋体" w:cs="宋体"/>
                <w:b/>
                <w:bCs/>
                <w:sz w:val="24"/>
                <w:szCs w:val="24"/>
              </w:rPr>
              <w:t>数量</w:t>
            </w:r>
            <w:r>
              <w:rPr>
                <w:rFonts w:hint="eastAsia" w:ascii="宋体" w:hAnsi="宋体" w:eastAsia="宋体" w:cs="宋体"/>
                <w:b/>
                <w:bCs/>
                <w:sz w:val="24"/>
                <w:szCs w:val="24"/>
              </w:rPr>
              <w:br w:type="textWrapping"/>
            </w:r>
            <w:r>
              <w:rPr>
                <w:rFonts w:hint="eastAsia" w:ascii="宋体" w:hAnsi="宋体" w:eastAsia="宋体" w:cs="宋体"/>
                <w:b/>
                <w:bCs/>
                <w:sz w:val="24"/>
                <w:szCs w:val="24"/>
              </w:rPr>
              <w:t>(计量单位)</w:t>
            </w:r>
          </w:p>
        </w:tc>
        <w:tc>
          <w:tcPr>
            <w:tcW w:w="994" w:type="dxa"/>
            <w:vAlign w:val="center"/>
          </w:tcPr>
          <w:p w14:paraId="2A26654C">
            <w:pPr>
              <w:pStyle w:val="5"/>
              <w:jc w:val="center"/>
              <w:rPr>
                <w:rFonts w:hint="eastAsia" w:ascii="宋体" w:hAnsi="宋体" w:eastAsia="宋体" w:cs="宋体"/>
                <w:b/>
                <w:bCs/>
                <w:sz w:val="24"/>
                <w:szCs w:val="24"/>
              </w:rPr>
            </w:pPr>
            <w:r>
              <w:rPr>
                <w:rFonts w:hint="eastAsia" w:ascii="宋体" w:hAnsi="宋体" w:eastAsia="宋体" w:cs="宋体"/>
                <w:b/>
                <w:bCs/>
                <w:sz w:val="24"/>
                <w:szCs w:val="24"/>
              </w:rPr>
              <w:t>标的金额（</w:t>
            </w:r>
            <w:r>
              <w:rPr>
                <w:rFonts w:hint="eastAsia" w:ascii="宋体" w:hAnsi="宋体" w:eastAsia="宋体" w:cs="宋体"/>
                <w:b/>
                <w:bCs/>
                <w:sz w:val="24"/>
                <w:szCs w:val="24"/>
                <w:lang w:eastAsia="zh-CN"/>
              </w:rPr>
              <w:t>万</w:t>
            </w:r>
            <w:r>
              <w:rPr>
                <w:rFonts w:hint="eastAsia" w:ascii="宋体" w:hAnsi="宋体" w:eastAsia="宋体" w:cs="宋体"/>
                <w:b/>
                <w:bCs/>
                <w:sz w:val="24"/>
                <w:szCs w:val="24"/>
              </w:rPr>
              <w:t>元）</w:t>
            </w:r>
          </w:p>
        </w:tc>
        <w:tc>
          <w:tcPr>
            <w:tcW w:w="825" w:type="dxa"/>
            <w:vAlign w:val="center"/>
          </w:tcPr>
          <w:p w14:paraId="74EC1008">
            <w:pPr>
              <w:pStyle w:val="5"/>
              <w:jc w:val="center"/>
              <w:rPr>
                <w:rFonts w:hint="eastAsia" w:ascii="宋体" w:hAnsi="宋体" w:eastAsia="宋体" w:cs="宋体"/>
                <w:b/>
                <w:bCs/>
                <w:sz w:val="24"/>
                <w:szCs w:val="24"/>
              </w:rPr>
            </w:pPr>
            <w:r>
              <w:rPr>
                <w:rFonts w:hint="eastAsia" w:ascii="宋体" w:hAnsi="宋体" w:eastAsia="宋体" w:cs="宋体"/>
                <w:b/>
                <w:bCs/>
                <w:sz w:val="24"/>
                <w:szCs w:val="24"/>
              </w:rPr>
              <w:t>所属行业</w:t>
            </w:r>
          </w:p>
        </w:tc>
        <w:tc>
          <w:tcPr>
            <w:tcW w:w="768" w:type="dxa"/>
            <w:vAlign w:val="center"/>
          </w:tcPr>
          <w:p w14:paraId="34B2CAF1">
            <w:pPr>
              <w:pStyle w:val="5"/>
              <w:jc w:val="center"/>
              <w:rPr>
                <w:rFonts w:hint="eastAsia" w:ascii="宋体" w:hAnsi="宋体" w:eastAsia="宋体" w:cs="宋体"/>
                <w:b/>
                <w:bCs/>
                <w:sz w:val="24"/>
                <w:szCs w:val="24"/>
              </w:rPr>
            </w:pPr>
            <w:r>
              <w:rPr>
                <w:rFonts w:hint="eastAsia" w:ascii="宋体" w:hAnsi="宋体" w:eastAsia="宋体" w:cs="宋体"/>
                <w:b/>
                <w:bCs/>
                <w:sz w:val="24"/>
                <w:szCs w:val="24"/>
              </w:rPr>
              <w:t>是否涉及核心产品</w:t>
            </w:r>
          </w:p>
        </w:tc>
        <w:tc>
          <w:tcPr>
            <w:tcW w:w="975" w:type="dxa"/>
            <w:vAlign w:val="center"/>
          </w:tcPr>
          <w:p w14:paraId="73638C92">
            <w:pPr>
              <w:pStyle w:val="5"/>
              <w:jc w:val="center"/>
              <w:rPr>
                <w:rFonts w:hint="eastAsia" w:ascii="宋体" w:hAnsi="宋体" w:eastAsia="宋体" w:cs="宋体"/>
                <w:b/>
                <w:bCs/>
                <w:sz w:val="24"/>
                <w:szCs w:val="24"/>
              </w:rPr>
            </w:pPr>
            <w:r>
              <w:rPr>
                <w:rFonts w:hint="eastAsia" w:ascii="宋体" w:hAnsi="宋体" w:eastAsia="宋体" w:cs="宋体"/>
                <w:b/>
                <w:bCs/>
                <w:sz w:val="24"/>
                <w:szCs w:val="24"/>
              </w:rPr>
              <w:t>是否涉及采购进口产品</w:t>
            </w:r>
          </w:p>
        </w:tc>
        <w:tc>
          <w:tcPr>
            <w:tcW w:w="992" w:type="dxa"/>
            <w:vAlign w:val="center"/>
          </w:tcPr>
          <w:p w14:paraId="0DCA2EC8">
            <w:pPr>
              <w:pStyle w:val="5"/>
              <w:jc w:val="center"/>
              <w:rPr>
                <w:rFonts w:hint="eastAsia" w:ascii="宋体" w:hAnsi="宋体" w:eastAsia="宋体" w:cs="宋体"/>
                <w:b/>
                <w:bCs/>
                <w:sz w:val="24"/>
                <w:szCs w:val="24"/>
              </w:rPr>
            </w:pPr>
            <w:r>
              <w:rPr>
                <w:rFonts w:hint="eastAsia" w:ascii="宋体" w:hAnsi="宋体" w:eastAsia="宋体" w:cs="宋体"/>
                <w:b/>
                <w:bCs/>
                <w:sz w:val="24"/>
                <w:szCs w:val="24"/>
              </w:rPr>
              <w:t>是否涉及强制采购节能产品</w:t>
            </w:r>
          </w:p>
        </w:tc>
        <w:tc>
          <w:tcPr>
            <w:tcW w:w="1083" w:type="dxa"/>
            <w:vAlign w:val="center"/>
          </w:tcPr>
          <w:p w14:paraId="69D1ACA6">
            <w:pPr>
              <w:pStyle w:val="5"/>
              <w:jc w:val="center"/>
              <w:rPr>
                <w:rFonts w:hint="eastAsia" w:ascii="宋体" w:hAnsi="宋体" w:eastAsia="宋体" w:cs="宋体"/>
                <w:b/>
                <w:bCs/>
                <w:sz w:val="24"/>
                <w:szCs w:val="24"/>
              </w:rPr>
            </w:pPr>
            <w:r>
              <w:rPr>
                <w:rFonts w:hint="eastAsia" w:ascii="宋体" w:hAnsi="宋体" w:eastAsia="宋体" w:cs="宋体"/>
                <w:b/>
                <w:bCs/>
                <w:sz w:val="24"/>
                <w:szCs w:val="24"/>
              </w:rPr>
              <w:t>是否涉及优先采购节能产品</w:t>
            </w:r>
          </w:p>
        </w:tc>
        <w:tc>
          <w:tcPr>
            <w:tcW w:w="1200" w:type="dxa"/>
            <w:vAlign w:val="center"/>
          </w:tcPr>
          <w:p w14:paraId="1C23E79E">
            <w:pPr>
              <w:pStyle w:val="5"/>
              <w:jc w:val="center"/>
              <w:rPr>
                <w:rFonts w:hint="eastAsia" w:ascii="宋体" w:hAnsi="宋体" w:eastAsia="宋体" w:cs="宋体"/>
                <w:b/>
                <w:bCs/>
                <w:sz w:val="24"/>
                <w:szCs w:val="24"/>
              </w:rPr>
            </w:pPr>
            <w:r>
              <w:rPr>
                <w:rFonts w:hint="eastAsia" w:ascii="宋体" w:hAnsi="宋体" w:eastAsia="宋体" w:cs="宋体"/>
                <w:b/>
                <w:bCs/>
                <w:sz w:val="24"/>
                <w:szCs w:val="24"/>
              </w:rPr>
              <w:t>是否涉及优先采购环境标志产品</w:t>
            </w:r>
          </w:p>
        </w:tc>
      </w:tr>
      <w:tr w14:paraId="4CBF9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35" w:hRule="atLeast"/>
          <w:jc w:val="center"/>
        </w:trPr>
        <w:tc>
          <w:tcPr>
            <w:tcW w:w="757" w:type="dxa"/>
            <w:vAlign w:val="center"/>
          </w:tcPr>
          <w:p w14:paraId="09489309">
            <w:pPr>
              <w:pStyle w:val="5"/>
              <w:jc w:val="center"/>
              <w:rPr>
                <w:rFonts w:hint="eastAsia" w:ascii="宋体" w:hAnsi="宋体" w:eastAsia="宋体" w:cs="宋体"/>
                <w:sz w:val="24"/>
                <w:szCs w:val="24"/>
              </w:rPr>
            </w:pPr>
            <w:r>
              <w:rPr>
                <w:rFonts w:hint="eastAsia" w:ascii="宋体" w:hAnsi="宋体" w:eastAsia="宋体" w:cs="宋体"/>
                <w:sz w:val="24"/>
                <w:szCs w:val="24"/>
              </w:rPr>
              <w:t>1</w:t>
            </w:r>
          </w:p>
        </w:tc>
        <w:tc>
          <w:tcPr>
            <w:tcW w:w="1712" w:type="dxa"/>
            <w:vAlign w:val="center"/>
          </w:tcPr>
          <w:p w14:paraId="2278B144">
            <w:pPr>
              <w:pStyle w:val="5"/>
              <w:jc w:val="center"/>
              <w:rPr>
                <w:rFonts w:hint="eastAsia" w:ascii="宋体" w:hAnsi="宋体" w:eastAsia="宋体" w:cs="宋体"/>
                <w:sz w:val="24"/>
                <w:szCs w:val="24"/>
              </w:rPr>
            </w:pPr>
            <w:r>
              <w:rPr>
                <w:rFonts w:hint="eastAsia" w:ascii="宋体" w:hAnsi="宋体" w:eastAsia="宋体" w:cs="宋体"/>
                <w:sz w:val="24"/>
                <w:szCs w:val="24"/>
                <w:lang w:val="en-US" w:eastAsia="zh-CN"/>
              </w:rPr>
              <w:t>苍溪县永久基本农田正向优化调整项目</w:t>
            </w:r>
          </w:p>
        </w:tc>
        <w:tc>
          <w:tcPr>
            <w:tcW w:w="844" w:type="dxa"/>
            <w:vAlign w:val="center"/>
          </w:tcPr>
          <w:p w14:paraId="18DD12B4">
            <w:pPr>
              <w:pStyle w:val="5"/>
              <w:jc w:val="center"/>
              <w:rPr>
                <w:rFonts w:hint="eastAsia" w:ascii="宋体" w:hAnsi="宋体" w:eastAsia="宋体" w:cs="宋体"/>
                <w:sz w:val="24"/>
                <w:szCs w:val="24"/>
              </w:rPr>
            </w:pPr>
            <w:r>
              <w:rPr>
                <w:rFonts w:hint="eastAsia" w:ascii="宋体" w:hAnsi="宋体" w:eastAsia="宋体" w:cs="宋体"/>
                <w:sz w:val="24"/>
                <w:szCs w:val="24"/>
              </w:rPr>
              <w:t>1.00（项）</w:t>
            </w:r>
          </w:p>
        </w:tc>
        <w:tc>
          <w:tcPr>
            <w:tcW w:w="994" w:type="dxa"/>
            <w:vAlign w:val="center"/>
          </w:tcPr>
          <w:p w14:paraId="0DAEE520">
            <w:pPr>
              <w:pStyle w:val="5"/>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35</w:t>
            </w:r>
          </w:p>
        </w:tc>
        <w:tc>
          <w:tcPr>
            <w:tcW w:w="825" w:type="dxa"/>
            <w:vAlign w:val="center"/>
          </w:tcPr>
          <w:p w14:paraId="42F7E7A2">
            <w:pPr>
              <w:pStyle w:val="5"/>
              <w:jc w:val="center"/>
              <w:rPr>
                <w:rFonts w:hint="eastAsia" w:ascii="宋体" w:hAnsi="宋体" w:eastAsia="宋体" w:cs="宋体"/>
                <w:sz w:val="24"/>
                <w:szCs w:val="24"/>
              </w:rPr>
            </w:pPr>
            <w:r>
              <w:rPr>
                <w:rFonts w:hint="eastAsia" w:ascii="宋体" w:hAnsi="宋体" w:eastAsia="宋体" w:cs="宋体"/>
                <w:sz w:val="24"/>
                <w:szCs w:val="24"/>
              </w:rPr>
              <w:t>其他未列明行业</w:t>
            </w:r>
          </w:p>
        </w:tc>
        <w:tc>
          <w:tcPr>
            <w:tcW w:w="768" w:type="dxa"/>
            <w:vAlign w:val="center"/>
          </w:tcPr>
          <w:p w14:paraId="408F8D62">
            <w:pPr>
              <w:pStyle w:val="5"/>
              <w:jc w:val="center"/>
              <w:rPr>
                <w:rFonts w:hint="eastAsia" w:ascii="宋体" w:hAnsi="宋体" w:eastAsia="宋体" w:cs="宋体"/>
                <w:sz w:val="24"/>
                <w:szCs w:val="24"/>
              </w:rPr>
            </w:pPr>
            <w:r>
              <w:rPr>
                <w:rFonts w:hint="eastAsia" w:ascii="宋体" w:hAnsi="宋体" w:eastAsia="宋体" w:cs="宋体"/>
                <w:sz w:val="24"/>
                <w:szCs w:val="24"/>
              </w:rPr>
              <w:t>否</w:t>
            </w:r>
          </w:p>
        </w:tc>
        <w:tc>
          <w:tcPr>
            <w:tcW w:w="975" w:type="dxa"/>
            <w:vAlign w:val="center"/>
          </w:tcPr>
          <w:p w14:paraId="674FFD09">
            <w:pPr>
              <w:pStyle w:val="5"/>
              <w:jc w:val="center"/>
              <w:rPr>
                <w:rFonts w:hint="eastAsia" w:ascii="宋体" w:hAnsi="宋体" w:eastAsia="宋体" w:cs="宋体"/>
                <w:sz w:val="24"/>
                <w:szCs w:val="24"/>
              </w:rPr>
            </w:pPr>
            <w:r>
              <w:rPr>
                <w:rFonts w:hint="eastAsia" w:ascii="宋体" w:hAnsi="宋体" w:eastAsia="宋体" w:cs="宋体"/>
                <w:sz w:val="24"/>
                <w:szCs w:val="24"/>
              </w:rPr>
              <w:t>否</w:t>
            </w:r>
          </w:p>
        </w:tc>
        <w:tc>
          <w:tcPr>
            <w:tcW w:w="992" w:type="dxa"/>
            <w:vAlign w:val="center"/>
          </w:tcPr>
          <w:p w14:paraId="625FA939">
            <w:pPr>
              <w:pStyle w:val="5"/>
              <w:jc w:val="center"/>
              <w:rPr>
                <w:rFonts w:hint="eastAsia" w:ascii="宋体" w:hAnsi="宋体" w:eastAsia="宋体" w:cs="宋体"/>
                <w:sz w:val="24"/>
                <w:szCs w:val="24"/>
              </w:rPr>
            </w:pPr>
            <w:r>
              <w:rPr>
                <w:rFonts w:hint="eastAsia" w:ascii="宋体" w:hAnsi="宋体" w:eastAsia="宋体" w:cs="宋体"/>
                <w:sz w:val="24"/>
                <w:szCs w:val="24"/>
              </w:rPr>
              <w:t>否</w:t>
            </w:r>
          </w:p>
        </w:tc>
        <w:tc>
          <w:tcPr>
            <w:tcW w:w="1083" w:type="dxa"/>
            <w:vAlign w:val="center"/>
          </w:tcPr>
          <w:p w14:paraId="1A0591E3">
            <w:pPr>
              <w:pStyle w:val="5"/>
              <w:jc w:val="center"/>
              <w:rPr>
                <w:rFonts w:hint="eastAsia" w:ascii="宋体" w:hAnsi="宋体" w:eastAsia="宋体" w:cs="宋体"/>
                <w:sz w:val="24"/>
                <w:szCs w:val="24"/>
              </w:rPr>
            </w:pPr>
            <w:r>
              <w:rPr>
                <w:rFonts w:hint="eastAsia" w:ascii="宋体" w:hAnsi="宋体" w:eastAsia="宋体" w:cs="宋体"/>
                <w:sz w:val="24"/>
                <w:szCs w:val="24"/>
              </w:rPr>
              <w:t>否</w:t>
            </w:r>
          </w:p>
        </w:tc>
        <w:tc>
          <w:tcPr>
            <w:tcW w:w="1200" w:type="dxa"/>
            <w:vAlign w:val="center"/>
          </w:tcPr>
          <w:p w14:paraId="5FD64D4D">
            <w:pPr>
              <w:pStyle w:val="5"/>
              <w:jc w:val="center"/>
              <w:rPr>
                <w:rFonts w:hint="eastAsia" w:ascii="宋体" w:hAnsi="宋体" w:eastAsia="宋体" w:cs="宋体"/>
                <w:sz w:val="24"/>
                <w:szCs w:val="24"/>
              </w:rPr>
            </w:pPr>
            <w:r>
              <w:rPr>
                <w:rFonts w:hint="eastAsia" w:ascii="宋体" w:hAnsi="宋体" w:eastAsia="宋体" w:cs="宋体"/>
                <w:sz w:val="24"/>
                <w:szCs w:val="24"/>
              </w:rPr>
              <w:t>否</w:t>
            </w:r>
          </w:p>
        </w:tc>
      </w:tr>
    </w:tbl>
    <w:p w14:paraId="6EF4C169">
      <w:pPr>
        <w:pStyle w:val="5"/>
        <w:jc w:val="left"/>
        <w:outlineLvl w:val="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报价要求</w:t>
      </w:r>
    </w:p>
    <w:tbl>
      <w:tblPr>
        <w:tblStyle w:val="3"/>
        <w:tblW w:w="10128"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2"/>
        <w:gridCol w:w="2645"/>
        <w:gridCol w:w="2273"/>
        <w:gridCol w:w="1544"/>
        <w:gridCol w:w="1366"/>
        <w:gridCol w:w="1468"/>
      </w:tblGrid>
      <w:tr w14:paraId="254608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08" w:hRule="atLeast"/>
          <w:jc w:val="center"/>
        </w:trPr>
        <w:tc>
          <w:tcPr>
            <w:tcW w:w="832" w:type="dxa"/>
            <w:vAlign w:val="center"/>
          </w:tcPr>
          <w:p w14:paraId="2310E631">
            <w:pPr>
              <w:pStyle w:val="5"/>
              <w:jc w:val="center"/>
              <w:rPr>
                <w:rFonts w:hint="eastAsia" w:ascii="宋体" w:hAnsi="宋体" w:eastAsia="宋体" w:cs="宋体"/>
                <w:b/>
                <w:bCs/>
                <w:sz w:val="28"/>
                <w:szCs w:val="28"/>
              </w:rPr>
            </w:pPr>
            <w:r>
              <w:rPr>
                <w:rFonts w:hint="eastAsia" w:ascii="宋体" w:hAnsi="宋体" w:eastAsia="宋体" w:cs="宋体"/>
                <w:b/>
                <w:bCs/>
                <w:sz w:val="28"/>
                <w:szCs w:val="28"/>
              </w:rPr>
              <w:t>序号</w:t>
            </w:r>
          </w:p>
        </w:tc>
        <w:tc>
          <w:tcPr>
            <w:tcW w:w="2645" w:type="dxa"/>
            <w:vAlign w:val="center"/>
          </w:tcPr>
          <w:p w14:paraId="42D2EB98">
            <w:pPr>
              <w:pStyle w:val="5"/>
              <w:jc w:val="center"/>
              <w:rPr>
                <w:rFonts w:hint="eastAsia" w:ascii="宋体" w:hAnsi="宋体" w:eastAsia="宋体" w:cs="宋体"/>
                <w:b/>
                <w:bCs/>
                <w:sz w:val="28"/>
                <w:szCs w:val="28"/>
              </w:rPr>
            </w:pPr>
            <w:r>
              <w:rPr>
                <w:rFonts w:hint="eastAsia" w:ascii="宋体" w:hAnsi="宋体" w:eastAsia="宋体" w:cs="宋体"/>
                <w:b/>
                <w:bCs/>
                <w:sz w:val="28"/>
                <w:szCs w:val="28"/>
              </w:rPr>
              <w:t>报价内容</w:t>
            </w:r>
          </w:p>
        </w:tc>
        <w:tc>
          <w:tcPr>
            <w:tcW w:w="2273" w:type="dxa"/>
            <w:vAlign w:val="center"/>
          </w:tcPr>
          <w:p w14:paraId="7749717C">
            <w:pPr>
              <w:pStyle w:val="5"/>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数量（计量单位）</w:t>
            </w:r>
          </w:p>
        </w:tc>
        <w:tc>
          <w:tcPr>
            <w:tcW w:w="1544" w:type="dxa"/>
            <w:vAlign w:val="center"/>
          </w:tcPr>
          <w:p w14:paraId="535BE76B">
            <w:pPr>
              <w:pStyle w:val="5"/>
              <w:jc w:val="center"/>
              <w:rPr>
                <w:rFonts w:hint="eastAsia" w:ascii="宋体" w:hAnsi="宋体" w:eastAsia="宋体" w:cs="宋体"/>
                <w:b/>
                <w:bCs/>
                <w:sz w:val="28"/>
                <w:szCs w:val="28"/>
              </w:rPr>
            </w:pPr>
            <w:r>
              <w:rPr>
                <w:rFonts w:hint="eastAsia" w:ascii="宋体" w:hAnsi="宋体" w:eastAsia="宋体" w:cs="宋体"/>
                <w:b/>
                <w:bCs/>
                <w:sz w:val="28"/>
                <w:szCs w:val="28"/>
              </w:rPr>
              <w:t>最高限价</w:t>
            </w:r>
          </w:p>
        </w:tc>
        <w:tc>
          <w:tcPr>
            <w:tcW w:w="1366" w:type="dxa"/>
            <w:vAlign w:val="center"/>
          </w:tcPr>
          <w:p w14:paraId="44C34FC5">
            <w:pPr>
              <w:pStyle w:val="5"/>
              <w:jc w:val="center"/>
              <w:rPr>
                <w:rFonts w:hint="eastAsia" w:ascii="宋体" w:hAnsi="宋体" w:eastAsia="宋体" w:cs="宋体"/>
                <w:b/>
                <w:bCs/>
                <w:sz w:val="28"/>
                <w:szCs w:val="28"/>
              </w:rPr>
            </w:pPr>
            <w:r>
              <w:rPr>
                <w:rFonts w:hint="eastAsia" w:ascii="宋体" w:hAnsi="宋体" w:eastAsia="宋体" w:cs="宋体"/>
                <w:b/>
                <w:bCs/>
                <w:sz w:val="28"/>
                <w:szCs w:val="28"/>
              </w:rPr>
              <w:t>价款形式</w:t>
            </w:r>
          </w:p>
        </w:tc>
        <w:tc>
          <w:tcPr>
            <w:tcW w:w="1468" w:type="dxa"/>
            <w:vAlign w:val="center"/>
          </w:tcPr>
          <w:p w14:paraId="77FA2DCC">
            <w:pPr>
              <w:pStyle w:val="5"/>
              <w:jc w:val="center"/>
              <w:rPr>
                <w:rFonts w:hint="eastAsia" w:ascii="宋体" w:hAnsi="宋体" w:eastAsia="宋体" w:cs="宋体"/>
                <w:b/>
                <w:bCs/>
                <w:sz w:val="28"/>
                <w:szCs w:val="28"/>
              </w:rPr>
            </w:pPr>
            <w:r>
              <w:rPr>
                <w:rFonts w:hint="eastAsia" w:ascii="宋体" w:hAnsi="宋体" w:eastAsia="宋体" w:cs="宋体"/>
                <w:b/>
                <w:bCs/>
                <w:sz w:val="28"/>
                <w:szCs w:val="28"/>
              </w:rPr>
              <w:t>报价说明</w:t>
            </w:r>
          </w:p>
        </w:tc>
      </w:tr>
      <w:tr w14:paraId="63590A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88" w:hRule="atLeast"/>
          <w:jc w:val="center"/>
        </w:trPr>
        <w:tc>
          <w:tcPr>
            <w:tcW w:w="832" w:type="dxa"/>
            <w:vAlign w:val="center"/>
          </w:tcPr>
          <w:p w14:paraId="13D744C6">
            <w:pPr>
              <w:pStyle w:val="5"/>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645" w:type="dxa"/>
            <w:vAlign w:val="center"/>
          </w:tcPr>
          <w:p w14:paraId="3E8AAA54">
            <w:pPr>
              <w:pStyle w:val="5"/>
              <w:jc w:val="center"/>
              <w:rPr>
                <w:rFonts w:hint="eastAsia" w:ascii="宋体" w:hAnsi="宋体" w:eastAsia="宋体" w:cs="宋体"/>
                <w:sz w:val="24"/>
                <w:szCs w:val="24"/>
              </w:rPr>
            </w:pPr>
            <w:r>
              <w:rPr>
                <w:rFonts w:hint="eastAsia" w:ascii="宋体" w:hAnsi="宋体" w:eastAsia="宋体" w:cs="宋体"/>
                <w:sz w:val="24"/>
                <w:szCs w:val="24"/>
                <w:lang w:val="en-US" w:eastAsia="zh-CN"/>
              </w:rPr>
              <w:t>苍溪县永久基本农田正向优化调整项目</w:t>
            </w:r>
          </w:p>
        </w:tc>
        <w:tc>
          <w:tcPr>
            <w:tcW w:w="2273" w:type="dxa"/>
            <w:vAlign w:val="center"/>
          </w:tcPr>
          <w:p w14:paraId="61B27E41">
            <w:pPr>
              <w:pStyle w:val="5"/>
              <w:jc w:val="center"/>
              <w:rPr>
                <w:rFonts w:hint="eastAsia" w:ascii="宋体" w:hAnsi="宋体" w:eastAsia="宋体" w:cs="宋体"/>
                <w:sz w:val="24"/>
                <w:szCs w:val="24"/>
              </w:rPr>
            </w:pPr>
            <w:r>
              <w:rPr>
                <w:rFonts w:hint="eastAsia" w:ascii="宋体" w:hAnsi="宋体" w:eastAsia="宋体" w:cs="宋体"/>
                <w:sz w:val="24"/>
                <w:szCs w:val="24"/>
              </w:rPr>
              <w:t>1.00（项）</w:t>
            </w:r>
          </w:p>
        </w:tc>
        <w:tc>
          <w:tcPr>
            <w:tcW w:w="1544" w:type="dxa"/>
            <w:vAlign w:val="center"/>
          </w:tcPr>
          <w:p w14:paraId="53BC2010">
            <w:pPr>
              <w:pStyle w:val="5"/>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35</w:t>
            </w:r>
            <w:r>
              <w:rPr>
                <w:rFonts w:hint="eastAsia" w:ascii="宋体" w:hAnsi="宋体" w:eastAsia="宋体" w:cs="宋体"/>
                <w:sz w:val="24"/>
                <w:szCs w:val="24"/>
                <w:lang w:val="en-US" w:eastAsia="zh-CN"/>
              </w:rPr>
              <w:t>万元</w:t>
            </w:r>
          </w:p>
        </w:tc>
        <w:tc>
          <w:tcPr>
            <w:tcW w:w="1366" w:type="dxa"/>
            <w:vAlign w:val="center"/>
          </w:tcPr>
          <w:p w14:paraId="31CB6EDB">
            <w:pPr>
              <w:pStyle w:val="5"/>
              <w:jc w:val="center"/>
              <w:rPr>
                <w:rFonts w:hint="eastAsia" w:ascii="宋体" w:hAnsi="宋体" w:eastAsia="宋体" w:cs="宋体"/>
                <w:sz w:val="24"/>
                <w:szCs w:val="24"/>
              </w:rPr>
            </w:pPr>
            <w:r>
              <w:rPr>
                <w:rFonts w:hint="eastAsia" w:ascii="宋体" w:hAnsi="宋体" w:eastAsia="宋体" w:cs="宋体"/>
                <w:sz w:val="24"/>
                <w:szCs w:val="24"/>
                <w:lang w:eastAsia="zh-CN"/>
              </w:rPr>
              <w:t>固定</w:t>
            </w:r>
            <w:r>
              <w:rPr>
                <w:rFonts w:hint="eastAsia" w:ascii="宋体" w:hAnsi="宋体" w:eastAsia="宋体" w:cs="宋体"/>
                <w:sz w:val="24"/>
                <w:szCs w:val="24"/>
              </w:rPr>
              <w:t>总价</w:t>
            </w:r>
          </w:p>
        </w:tc>
        <w:tc>
          <w:tcPr>
            <w:tcW w:w="1468" w:type="dxa"/>
            <w:vAlign w:val="center"/>
          </w:tcPr>
          <w:p w14:paraId="59762231">
            <w:pPr>
              <w:pStyle w:val="5"/>
              <w:jc w:val="center"/>
              <w:rPr>
                <w:rFonts w:hint="eastAsia" w:ascii="宋体" w:hAnsi="宋体" w:eastAsia="宋体" w:cs="宋体"/>
                <w:sz w:val="24"/>
                <w:szCs w:val="24"/>
              </w:rPr>
            </w:pPr>
            <w:r>
              <w:rPr>
                <w:rFonts w:hint="eastAsia" w:ascii="宋体" w:hAnsi="宋体" w:eastAsia="宋体" w:cs="宋体"/>
                <w:sz w:val="24"/>
                <w:szCs w:val="24"/>
              </w:rPr>
              <w:t>无</w:t>
            </w:r>
          </w:p>
        </w:tc>
      </w:tr>
    </w:tbl>
    <w:p w14:paraId="22F08DAD">
      <w:pPr>
        <w:pStyle w:val="5"/>
        <w:keepNext w:val="0"/>
        <w:keepLines w:val="0"/>
        <w:pageBreakBefore w:val="0"/>
        <w:kinsoku/>
        <w:wordWrap/>
        <w:overflowPunct/>
        <w:topLinePunct w:val="0"/>
        <w:autoSpaceDE/>
        <w:autoSpaceDN/>
        <w:bidi w:val="0"/>
        <w:adjustRightInd/>
        <w:snapToGrid/>
        <w:spacing w:line="490" w:lineRule="exact"/>
        <w:ind w:firstLine="562" w:firstLineChars="200"/>
        <w:jc w:val="left"/>
        <w:textAlignment w:val="auto"/>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3.3</w:t>
      </w:r>
      <w:r>
        <w:rPr>
          <w:rFonts w:hint="eastAsia" w:ascii="宋体" w:hAnsi="宋体" w:cs="宋体"/>
          <w:b/>
          <w:bCs/>
          <w:color w:val="000000" w:themeColor="text1"/>
          <w:sz w:val="28"/>
          <w:szCs w:val="28"/>
          <w:highlight w:val="none"/>
          <w:lang w:eastAsia="zh-CN"/>
          <w14:textFill>
            <w14:solidFill>
              <w14:schemeClr w14:val="tx1"/>
            </w14:solidFill>
          </w14:textFill>
        </w:rPr>
        <w:t>技术要求</w:t>
      </w:r>
    </w:p>
    <w:p w14:paraId="3A4EF9B9">
      <w:pPr>
        <w:pStyle w:val="5"/>
        <w:keepNext w:val="0"/>
        <w:keepLines w:val="0"/>
        <w:pageBreakBefore w:val="0"/>
        <w:kinsoku/>
        <w:wordWrap/>
        <w:overflowPunct/>
        <w:topLinePunct w:val="0"/>
        <w:autoSpaceDE/>
        <w:autoSpaceDN/>
        <w:bidi w:val="0"/>
        <w:adjustRightInd/>
        <w:snapToGrid/>
        <w:spacing w:line="490" w:lineRule="exact"/>
        <w:ind w:firstLine="560" w:firstLineChars="200"/>
        <w:jc w:val="left"/>
        <w:textAlignment w:val="auto"/>
        <w:rPr>
          <w:rFonts w:hint="eastAsia" w:ascii="宋体" w:hAnsi="宋体" w:eastAsia="宋体" w:cs="宋体"/>
          <w:color w:val="000000"/>
          <w:kern w:val="0"/>
          <w:sz w:val="28"/>
          <w:szCs w:val="28"/>
          <w:lang w:val="zh-CN" w:eastAsia="zh-CN" w:bidi="ar"/>
        </w:rPr>
      </w:pPr>
      <w:r>
        <w:rPr>
          <w:rFonts w:hint="eastAsia" w:ascii="宋体" w:hAnsi="宋体" w:eastAsia="宋体" w:cs="宋体"/>
          <w:color w:val="000000"/>
          <w:kern w:val="0"/>
          <w:sz w:val="28"/>
          <w:szCs w:val="28"/>
          <w:lang w:val="en-US" w:eastAsia="zh-CN" w:bidi="ar"/>
        </w:rPr>
        <w:t>为贯彻落实《永久基本农田保护红线管理办法》（以下简称《办法》），做好永久基本农田保护红线监督管理，开展永久基本农田储备区建设并实行动态更新，按照“数量不减、质量不降、布局优化、生态改善”的原则优化调整并落实补划，逐步提高永久基本农田中优质耕地的比例</w:t>
      </w:r>
      <w:r>
        <w:rPr>
          <w:rFonts w:hint="eastAsia" w:ascii="宋体" w:hAnsi="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做到优化调整后永久基本农田数量不减，平均图斑面积有上升，平均质量不降低，布局更加科学合理、集中连片。</w:t>
      </w:r>
      <w:r>
        <w:rPr>
          <w:rFonts w:hint="eastAsia" w:ascii="宋体" w:hAnsi="宋体" w:eastAsia="宋体" w:cs="宋体"/>
          <w:color w:val="000000"/>
          <w:kern w:val="0"/>
          <w:sz w:val="28"/>
          <w:szCs w:val="28"/>
          <w:lang w:val="zh-CN" w:eastAsia="zh-CN" w:bidi="ar"/>
        </w:rPr>
        <w:t>结合苍溪</w:t>
      </w:r>
      <w:r>
        <w:rPr>
          <w:rFonts w:hint="eastAsia" w:ascii="宋体" w:hAnsi="宋体" w:eastAsia="宋体" w:cs="宋体"/>
          <w:color w:val="000000"/>
          <w:kern w:val="0"/>
          <w:sz w:val="28"/>
          <w:szCs w:val="28"/>
          <w:lang w:val="en-US" w:eastAsia="zh-CN" w:bidi="ar"/>
        </w:rPr>
        <w:t>县</w:t>
      </w:r>
      <w:r>
        <w:rPr>
          <w:rFonts w:hint="eastAsia" w:ascii="宋体" w:hAnsi="宋体" w:eastAsia="宋体" w:cs="宋体"/>
          <w:color w:val="000000"/>
          <w:kern w:val="0"/>
          <w:sz w:val="28"/>
          <w:szCs w:val="28"/>
          <w:lang w:val="zh-CN" w:eastAsia="zh-CN" w:bidi="ar"/>
        </w:rPr>
        <w:t>实际情况，具体工作内容如下：</w:t>
      </w:r>
    </w:p>
    <w:p w14:paraId="13BECFF3">
      <w:pPr>
        <w:keepNext w:val="0"/>
        <w:keepLines w:val="0"/>
        <w:pageBreakBefore w:val="0"/>
        <w:widowControl/>
        <w:suppressLineNumbers w:val="0"/>
        <w:kinsoku/>
        <w:wordWrap/>
        <w:overflowPunct/>
        <w:topLinePunct w:val="0"/>
        <w:autoSpaceDE/>
        <w:autoSpaceDN/>
        <w:bidi w:val="0"/>
        <w:adjustRightInd/>
        <w:snapToGrid/>
        <w:spacing w:line="576" w:lineRule="exact"/>
        <w:ind w:firstLine="562" w:firstLineChars="20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一、永久基本农田储备区年度更新 </w:t>
      </w:r>
    </w:p>
    <w:p w14:paraId="58E82A41">
      <w:pPr>
        <w:keepNext w:val="0"/>
        <w:keepLines w:val="0"/>
        <w:pageBreakBefore w:val="0"/>
        <w:widowControl/>
        <w:suppressLineNumbers w:val="0"/>
        <w:kinsoku/>
        <w:wordWrap/>
        <w:overflowPunct/>
        <w:topLinePunct w:val="0"/>
        <w:autoSpaceDE/>
        <w:autoSpaceDN/>
        <w:bidi w:val="0"/>
        <w:adjustRightInd/>
        <w:snapToGrid/>
        <w:spacing w:line="576"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根据上级下达的不低于永久基本农田控制数1%的目标，完成全县永久基本农田储备库更新，主要工作内容包括基础资料收集、</w:t>
      </w:r>
      <w:r>
        <w:rPr>
          <w:rFonts w:hint="eastAsia" w:ascii="宋体" w:hAnsi="宋体" w:cs="宋体"/>
          <w:color w:val="000000"/>
          <w:kern w:val="0"/>
          <w:sz w:val="28"/>
          <w:szCs w:val="28"/>
          <w:lang w:val="en-US" w:eastAsia="zh-CN" w:bidi="ar"/>
        </w:rPr>
        <w:t>编制</w:t>
      </w:r>
      <w:r>
        <w:rPr>
          <w:rFonts w:hint="eastAsia" w:ascii="宋体" w:hAnsi="宋体" w:eastAsia="宋体" w:cs="宋体"/>
          <w:color w:val="000000"/>
          <w:kern w:val="0"/>
          <w:sz w:val="28"/>
          <w:szCs w:val="28"/>
          <w:lang w:val="en-US" w:eastAsia="zh-CN" w:bidi="ar"/>
        </w:rPr>
        <w:t>方案、内外业分析、数据库建设、成果汇交等。</w:t>
      </w:r>
    </w:p>
    <w:p w14:paraId="43D1011B">
      <w:pPr>
        <w:keepNext w:val="0"/>
        <w:keepLines w:val="0"/>
        <w:pageBreakBefore w:val="0"/>
        <w:widowControl/>
        <w:suppressLineNumbers w:val="0"/>
        <w:kinsoku/>
        <w:wordWrap/>
        <w:overflowPunct/>
        <w:topLinePunct w:val="0"/>
        <w:autoSpaceDE/>
        <w:autoSpaceDN/>
        <w:bidi w:val="0"/>
        <w:adjustRightInd/>
        <w:snapToGrid/>
        <w:spacing w:line="576" w:lineRule="exact"/>
        <w:ind w:firstLine="562" w:firstLineChars="20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二、永久基本农田优化调整 </w:t>
      </w:r>
    </w:p>
    <w:p w14:paraId="26DDF946">
      <w:pPr>
        <w:keepNext w:val="0"/>
        <w:keepLines w:val="0"/>
        <w:pageBreakBefore w:val="0"/>
        <w:widowControl/>
        <w:suppressLineNumbers w:val="0"/>
        <w:kinsoku/>
        <w:wordWrap/>
        <w:overflowPunct/>
        <w:topLinePunct w:val="0"/>
        <w:autoSpaceDE/>
        <w:autoSpaceDN/>
        <w:bidi w:val="0"/>
        <w:adjustRightInd/>
        <w:snapToGrid/>
        <w:spacing w:line="576" w:lineRule="exact"/>
        <w:ind w:firstLine="562" w:firstLineChars="200"/>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（一）年度评估优化调整 </w:t>
      </w:r>
    </w:p>
    <w:p w14:paraId="13D3A04E">
      <w:pPr>
        <w:keepNext w:val="0"/>
        <w:keepLines w:val="0"/>
        <w:pageBreakBefore w:val="0"/>
        <w:widowControl/>
        <w:suppressLineNumbers w:val="0"/>
        <w:kinsoku/>
        <w:wordWrap/>
        <w:overflowPunct/>
        <w:topLinePunct w:val="0"/>
        <w:autoSpaceDE/>
        <w:autoSpaceDN/>
        <w:bidi w:val="0"/>
        <w:adjustRightInd/>
        <w:snapToGrid/>
        <w:spacing w:line="576"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结合国土空间规划年度体检，对确需对少量永久基本农田布局进行优化调整的，编制永久基本农田优化调整方案。主要工作内容包括：资料收集、内业分析、外业核查、矢量制作、方案编制、资料收集、审核上报等。</w:t>
      </w:r>
    </w:p>
    <w:p w14:paraId="768F20A2">
      <w:pPr>
        <w:keepNext w:val="0"/>
        <w:keepLines w:val="0"/>
        <w:pageBreakBefore w:val="0"/>
        <w:widowControl w:val="0"/>
        <w:numPr>
          <w:ilvl w:val="0"/>
          <w:numId w:val="0"/>
        </w:numPr>
        <w:kinsoku/>
        <w:wordWrap/>
        <w:overflowPunct w:val="0"/>
        <w:topLinePunct w:val="0"/>
        <w:autoSpaceDE w:val="0"/>
        <w:autoSpaceDN w:val="0"/>
        <w:bidi w:val="0"/>
        <w:adjustRightInd/>
        <w:snapToGrid/>
        <w:spacing w:line="490" w:lineRule="exact"/>
        <w:ind w:firstLine="562" w:firstLineChars="200"/>
        <w:jc w:val="both"/>
        <w:textAlignment w:val="auto"/>
        <w:rPr>
          <w:rFonts w:hint="eastAsia" w:ascii="宋体" w:hAnsi="宋体" w:cs="宋体"/>
          <w:b/>
          <w:bCs/>
          <w:color w:val="auto"/>
          <w:w w:val="100"/>
          <w:kern w:val="21"/>
          <w:sz w:val="28"/>
          <w:szCs w:val="28"/>
          <w:lang w:val="en-US" w:eastAsia="zh-CN" w:bidi="ar-SA"/>
        </w:rPr>
      </w:pPr>
      <w:r>
        <w:rPr>
          <w:rFonts w:hint="eastAsia" w:ascii="宋体" w:hAnsi="宋体" w:cs="宋体"/>
          <w:b/>
          <w:bCs/>
          <w:color w:val="auto"/>
          <w:w w:val="100"/>
          <w:kern w:val="21"/>
          <w:sz w:val="28"/>
          <w:szCs w:val="28"/>
          <w:lang w:val="en-US" w:eastAsia="zh-CN" w:bidi="ar-SA"/>
        </w:rPr>
        <w:t xml:space="preserve">（二）农村集体经济组织配套设施建设优化调整 </w:t>
      </w:r>
    </w:p>
    <w:p w14:paraId="607C74A6">
      <w:pPr>
        <w:keepNext w:val="0"/>
        <w:keepLines w:val="0"/>
        <w:pageBreakBefore w:val="0"/>
        <w:widowControl/>
        <w:suppressLineNumbers w:val="0"/>
        <w:kinsoku/>
        <w:wordWrap/>
        <w:overflowPunct/>
        <w:topLinePunct w:val="0"/>
        <w:autoSpaceDE/>
        <w:autoSpaceDN/>
        <w:bidi w:val="0"/>
        <w:adjustRightInd/>
        <w:snapToGrid/>
        <w:spacing w:line="576"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对全县符合政策要求的农村集体经济组织开展必要的灌溉及排水设施、农村道路等配套设施建设进行永农优化调整。主要内容包括：对村级提交的调整数据必要的内外业</w:t>
      </w:r>
      <w:r>
        <w:rPr>
          <w:rFonts w:hint="eastAsia" w:ascii="宋体" w:hAnsi="宋体" w:cs="宋体"/>
          <w:color w:val="000000"/>
          <w:kern w:val="0"/>
          <w:sz w:val="28"/>
          <w:szCs w:val="28"/>
          <w:lang w:val="en-US" w:eastAsia="zh-CN" w:bidi="ar"/>
        </w:rPr>
        <w:t>核实</w:t>
      </w:r>
      <w:r>
        <w:rPr>
          <w:rFonts w:hint="eastAsia" w:ascii="宋体" w:hAnsi="宋体" w:eastAsia="宋体" w:cs="宋体"/>
          <w:color w:val="000000"/>
          <w:kern w:val="0"/>
          <w:sz w:val="28"/>
          <w:szCs w:val="28"/>
          <w:lang w:val="en-US" w:eastAsia="zh-CN" w:bidi="ar"/>
        </w:rPr>
        <w:t>、方案</w:t>
      </w:r>
      <w:r>
        <w:rPr>
          <w:rFonts w:hint="eastAsia" w:ascii="宋体" w:hAnsi="宋体" w:cs="宋体"/>
          <w:color w:val="000000"/>
          <w:kern w:val="0"/>
          <w:sz w:val="28"/>
          <w:szCs w:val="28"/>
          <w:lang w:val="en-US" w:eastAsia="zh-CN" w:bidi="ar"/>
        </w:rPr>
        <w:t>审核</w:t>
      </w:r>
      <w:r>
        <w:rPr>
          <w:rFonts w:hint="eastAsia" w:ascii="宋体" w:hAnsi="宋体" w:eastAsia="宋体" w:cs="宋体"/>
          <w:color w:val="000000"/>
          <w:kern w:val="0"/>
          <w:sz w:val="28"/>
          <w:szCs w:val="28"/>
          <w:lang w:val="en-US" w:eastAsia="zh-CN" w:bidi="ar"/>
        </w:rPr>
        <w:t>、系统录入、审核上报等。</w:t>
      </w:r>
    </w:p>
    <w:p w14:paraId="6539631C">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cs="宋体"/>
          <w:b/>
          <w:bCs/>
          <w:color w:val="auto"/>
          <w:w w:val="100"/>
          <w:kern w:val="21"/>
          <w:sz w:val="28"/>
          <w:szCs w:val="28"/>
          <w:lang w:val="en-US" w:eastAsia="zh-CN" w:bidi="ar-SA"/>
        </w:rPr>
      </w:pPr>
      <w:r>
        <w:rPr>
          <w:rFonts w:hint="eastAsia" w:ascii="宋体" w:hAnsi="宋体" w:cs="宋体"/>
          <w:b/>
          <w:bCs/>
          <w:color w:val="auto"/>
          <w:w w:val="100"/>
          <w:kern w:val="21"/>
          <w:sz w:val="28"/>
          <w:szCs w:val="28"/>
          <w:lang w:val="en-US" w:eastAsia="zh-CN" w:bidi="ar-SA"/>
        </w:rPr>
        <w:t xml:space="preserve">（三）即时纠错 </w:t>
      </w:r>
    </w:p>
    <w:p w14:paraId="5CE0E37B">
      <w:pPr>
        <w:keepNext w:val="0"/>
        <w:keepLines w:val="0"/>
        <w:pageBreakBefore w:val="0"/>
        <w:widowControl/>
        <w:suppressLineNumbers w:val="0"/>
        <w:kinsoku/>
        <w:wordWrap/>
        <w:overflowPunct/>
        <w:topLinePunct w:val="0"/>
        <w:autoSpaceDE/>
        <w:autoSpaceDN/>
        <w:bidi w:val="0"/>
        <w:adjustRightInd/>
        <w:snapToGrid/>
        <w:spacing w:line="576"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对全县符合政策要求的因技术误差等原因将不符合划定要求的合法地块误划入永久基本农田的</w:t>
      </w:r>
      <w:r>
        <w:rPr>
          <w:rFonts w:hint="eastAsia" w:ascii="宋体" w:hAnsi="宋体" w:cs="宋体"/>
          <w:color w:val="000000"/>
          <w:kern w:val="0"/>
          <w:sz w:val="28"/>
          <w:szCs w:val="28"/>
          <w:lang w:val="en-US" w:eastAsia="zh-CN" w:bidi="ar"/>
        </w:rPr>
        <w:t>进行调整</w:t>
      </w:r>
      <w:r>
        <w:rPr>
          <w:rFonts w:hint="eastAsia" w:ascii="宋体" w:hAnsi="宋体" w:eastAsia="宋体" w:cs="宋体"/>
          <w:color w:val="000000"/>
          <w:kern w:val="0"/>
          <w:sz w:val="28"/>
          <w:szCs w:val="28"/>
          <w:lang w:val="en-US" w:eastAsia="zh-CN" w:bidi="ar"/>
        </w:rPr>
        <w:t>。主要内容包括：内业分析、外业核查、矢量制作、方案编制、资料收集、审核上报等。</w:t>
      </w:r>
    </w:p>
    <w:p w14:paraId="7EF9D489">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cs="宋体"/>
          <w:b/>
          <w:bCs/>
          <w:color w:val="auto"/>
          <w:w w:val="100"/>
          <w:kern w:val="21"/>
          <w:sz w:val="28"/>
          <w:szCs w:val="28"/>
          <w:lang w:val="en-US" w:eastAsia="zh-CN" w:bidi="ar-SA"/>
        </w:rPr>
      </w:pPr>
      <w:r>
        <w:rPr>
          <w:rFonts w:hint="eastAsia" w:ascii="宋体" w:hAnsi="宋体" w:cs="宋体"/>
          <w:b/>
          <w:bCs/>
          <w:color w:val="auto"/>
          <w:w w:val="100"/>
          <w:kern w:val="21"/>
          <w:sz w:val="28"/>
          <w:szCs w:val="28"/>
          <w:lang w:val="en-US" w:eastAsia="zh-CN" w:bidi="ar-SA"/>
        </w:rPr>
        <w:t>三、服务范围</w:t>
      </w:r>
    </w:p>
    <w:p w14:paraId="401510E6">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0" w:firstLineChars="200"/>
        <w:jc w:val="both"/>
        <w:textAlignment w:val="auto"/>
        <w:rPr>
          <w:rFonts w:hint="eastAsia" w:ascii="宋体" w:hAnsi="宋体" w:cs="宋体"/>
          <w:b w:val="0"/>
          <w:bCs w:val="0"/>
          <w:color w:val="auto"/>
          <w:w w:val="100"/>
          <w:kern w:val="21"/>
          <w:sz w:val="28"/>
          <w:szCs w:val="28"/>
          <w:lang w:val="en-US" w:eastAsia="zh-CN" w:bidi="ar-SA"/>
        </w:rPr>
      </w:pPr>
      <w:r>
        <w:rPr>
          <w:rFonts w:hint="eastAsia" w:ascii="宋体" w:hAnsi="宋体" w:cs="宋体"/>
          <w:b w:val="0"/>
          <w:bCs w:val="0"/>
          <w:color w:val="auto"/>
          <w:w w:val="100"/>
          <w:kern w:val="21"/>
          <w:sz w:val="28"/>
          <w:szCs w:val="28"/>
          <w:lang w:val="en-US" w:eastAsia="zh-CN" w:bidi="ar-SA"/>
        </w:rPr>
        <w:t>本项目工作范围为苍溪县31个乡镇，包括陵江镇、云峰镇、东青镇、白桥镇、五龙镇、永宁镇、鸳溪镇、三川镇、龙王镇、元坝镇、唤马镇、歧坪镇、白驿镇、漓江镇、文昌镇、岳东镇、石马镇、运山镇、东溪镇、高坡镇、龙山镇、亭子镇、百利镇、黄猫垭镇、河地镇、白鹤乡、浙水乡、月山乡、白山乡、彭店乡、桥溪乡，具体范围以苍溪县最新变更调查数据确定。</w:t>
      </w:r>
    </w:p>
    <w:p w14:paraId="0B2F368D">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cs="宋体"/>
          <w:b/>
          <w:bCs/>
          <w:color w:val="auto"/>
          <w:w w:val="100"/>
          <w:kern w:val="21"/>
          <w:sz w:val="28"/>
          <w:szCs w:val="28"/>
          <w:lang w:val="en-US" w:eastAsia="zh-CN" w:bidi="ar-SA"/>
        </w:rPr>
      </w:pPr>
      <w:r>
        <w:rPr>
          <w:rFonts w:hint="eastAsia" w:ascii="宋体" w:hAnsi="宋体" w:cs="宋体"/>
          <w:b/>
          <w:bCs/>
          <w:color w:val="auto"/>
          <w:w w:val="100"/>
          <w:kern w:val="21"/>
          <w:sz w:val="28"/>
          <w:szCs w:val="28"/>
          <w:lang w:val="en-US" w:eastAsia="zh-CN" w:bidi="ar-SA"/>
        </w:rPr>
        <w:t>四、服务要求</w:t>
      </w:r>
    </w:p>
    <w:p w14:paraId="07153D3B">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00" w:firstLineChars="200"/>
        <w:jc w:val="both"/>
        <w:textAlignment w:val="auto"/>
        <w:rPr>
          <w:rFonts w:hint="default" w:ascii="宋体" w:hAnsi="宋体" w:cs="宋体"/>
          <w:b/>
          <w:bCs/>
          <w:color w:val="auto"/>
          <w:w w:val="100"/>
          <w:kern w:val="21"/>
          <w:sz w:val="28"/>
          <w:szCs w:val="28"/>
          <w:highlight w:val="none"/>
          <w:lang w:val="en-US" w:eastAsia="zh-CN" w:bidi="ar-SA"/>
        </w:rPr>
      </w:pPr>
      <w:r>
        <w:rPr>
          <w:rFonts w:hint="eastAsia" w:ascii="宋体" w:hAnsi="宋体" w:eastAsia="宋体" w:cs="宋体"/>
          <w:color w:val="000000" w:themeColor="text1"/>
          <w:sz w:val="25"/>
          <w:szCs w:val="25"/>
          <w:highlight w:val="none"/>
          <w14:textFill>
            <w14:solidFill>
              <w14:schemeClr w14:val="tx1"/>
            </w14:solidFill>
          </w14:textFill>
        </w:rPr>
        <w:t>★</w:t>
      </w:r>
      <w:r>
        <w:rPr>
          <w:rFonts w:hint="eastAsia" w:ascii="宋体" w:hAnsi="宋体" w:cs="宋体"/>
          <w:b/>
          <w:bCs/>
          <w:color w:val="auto"/>
          <w:w w:val="100"/>
          <w:kern w:val="21"/>
          <w:sz w:val="28"/>
          <w:szCs w:val="28"/>
          <w:highlight w:val="none"/>
          <w:lang w:val="en-US" w:eastAsia="zh-CN" w:bidi="ar-SA"/>
        </w:rPr>
        <w:t>（一）成果要求</w:t>
      </w:r>
    </w:p>
    <w:p w14:paraId="3A143A7A">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cs="宋体"/>
          <w:b w:val="0"/>
          <w:bCs w:val="0"/>
          <w:color w:val="auto"/>
          <w:w w:val="100"/>
          <w:kern w:val="21"/>
          <w:sz w:val="28"/>
          <w:szCs w:val="28"/>
          <w:highlight w:val="none"/>
          <w:lang w:val="en-US" w:eastAsia="zh-CN" w:bidi="ar-SA"/>
        </w:rPr>
      </w:pPr>
      <w:r>
        <w:rPr>
          <w:rFonts w:hint="eastAsia" w:ascii="宋体" w:hAnsi="宋体" w:cs="宋体"/>
          <w:b/>
          <w:bCs/>
          <w:color w:val="auto"/>
          <w:w w:val="100"/>
          <w:kern w:val="21"/>
          <w:sz w:val="28"/>
          <w:szCs w:val="28"/>
          <w:highlight w:val="none"/>
          <w:lang w:val="en-US" w:eastAsia="zh-CN" w:bidi="ar-SA"/>
        </w:rPr>
        <w:t>1、涉及永久基本农田优化调整的所有数据包成果</w:t>
      </w:r>
      <w:r>
        <w:rPr>
          <w:rFonts w:hint="eastAsia" w:ascii="宋体" w:hAnsi="宋体" w:cs="宋体"/>
          <w:b w:val="0"/>
          <w:bCs w:val="0"/>
          <w:color w:val="auto"/>
          <w:w w:val="100"/>
          <w:kern w:val="21"/>
          <w:sz w:val="28"/>
          <w:szCs w:val="28"/>
          <w:highlight w:val="none"/>
          <w:lang w:val="en-US" w:eastAsia="zh-CN" w:bidi="ar-SA"/>
        </w:rPr>
        <w:t>。</w:t>
      </w:r>
    </w:p>
    <w:p w14:paraId="10E89344">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0" w:firstLineChars="200"/>
        <w:jc w:val="both"/>
        <w:textAlignment w:val="auto"/>
        <w:rPr>
          <w:rFonts w:hint="default" w:ascii="宋体" w:hAnsi="宋体" w:cs="宋体"/>
          <w:b w:val="0"/>
          <w:bCs w:val="0"/>
          <w:color w:val="auto"/>
          <w:w w:val="100"/>
          <w:kern w:val="21"/>
          <w:sz w:val="28"/>
          <w:szCs w:val="28"/>
          <w:highlight w:val="none"/>
          <w:lang w:val="en-US" w:eastAsia="zh-CN" w:bidi="ar-SA"/>
        </w:rPr>
      </w:pPr>
      <w:r>
        <w:rPr>
          <w:rFonts w:hint="eastAsia" w:ascii="宋体" w:hAnsi="宋体" w:cs="宋体"/>
          <w:b w:val="0"/>
          <w:bCs w:val="0"/>
          <w:color w:val="auto"/>
          <w:w w:val="100"/>
          <w:kern w:val="21"/>
          <w:sz w:val="28"/>
          <w:szCs w:val="28"/>
          <w:highlight w:val="none"/>
          <w:lang w:val="en-US" w:eastAsia="zh-CN" w:bidi="ar-SA"/>
        </w:rPr>
        <w:t>2、涉及永久基本农田优化调整相关所有表册。</w:t>
      </w:r>
    </w:p>
    <w:p w14:paraId="62D62FCA">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0" w:firstLineChars="200"/>
        <w:jc w:val="both"/>
        <w:textAlignment w:val="auto"/>
        <w:rPr>
          <w:rFonts w:hint="default" w:ascii="宋体" w:hAnsi="宋体" w:cs="宋体"/>
          <w:b w:val="0"/>
          <w:bCs w:val="0"/>
          <w:color w:val="auto"/>
          <w:w w:val="100"/>
          <w:kern w:val="21"/>
          <w:sz w:val="28"/>
          <w:szCs w:val="28"/>
          <w:highlight w:val="none"/>
          <w:lang w:val="en-US" w:eastAsia="zh-CN" w:bidi="ar-SA"/>
        </w:rPr>
      </w:pPr>
      <w:r>
        <w:rPr>
          <w:rFonts w:hint="eastAsia" w:ascii="宋体" w:hAnsi="宋体" w:cs="宋体"/>
          <w:b w:val="0"/>
          <w:bCs w:val="0"/>
          <w:color w:val="auto"/>
          <w:w w:val="100"/>
          <w:kern w:val="21"/>
          <w:sz w:val="28"/>
          <w:szCs w:val="28"/>
          <w:highlight w:val="none"/>
          <w:lang w:val="en-US" w:eastAsia="zh-CN" w:bidi="ar-SA"/>
        </w:rPr>
        <w:t>3、收集的所有涉及永久基本农田优化调整的纸质和佐证资料。</w:t>
      </w:r>
    </w:p>
    <w:p w14:paraId="1EB81DF3">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0" w:firstLineChars="200"/>
        <w:jc w:val="both"/>
        <w:textAlignment w:val="auto"/>
        <w:rPr>
          <w:rFonts w:hint="eastAsia" w:ascii="宋体" w:hAnsi="宋体" w:cs="宋体"/>
          <w:b w:val="0"/>
          <w:bCs w:val="0"/>
          <w:color w:val="auto"/>
          <w:w w:val="100"/>
          <w:kern w:val="21"/>
          <w:sz w:val="28"/>
          <w:szCs w:val="28"/>
          <w:highlight w:val="none"/>
          <w:lang w:val="en-US" w:eastAsia="zh-CN" w:bidi="ar-SA"/>
        </w:rPr>
      </w:pPr>
      <w:r>
        <w:rPr>
          <w:rFonts w:hint="eastAsia" w:ascii="宋体" w:hAnsi="宋体" w:cs="宋体"/>
          <w:b w:val="0"/>
          <w:bCs w:val="0"/>
          <w:color w:val="auto"/>
          <w:w w:val="100"/>
          <w:kern w:val="21"/>
          <w:sz w:val="28"/>
          <w:szCs w:val="28"/>
          <w:highlight w:val="none"/>
          <w:lang w:val="en-US" w:eastAsia="zh-CN" w:bidi="ar-SA"/>
        </w:rPr>
        <w:t>注：（1）所有成果移交采购人1份电子版和必要的纸质档原件，最终成果按最新上级文件提供相关资料为准。做好项目后续维护工作，做好永久基本农田省级系统的录入，并配合采购人使用成果和支持相关培训工作。</w:t>
      </w:r>
    </w:p>
    <w:p w14:paraId="09CCB8E6">
      <w:pPr>
        <w:keepNext w:val="0"/>
        <w:keepLines w:val="0"/>
        <w:pageBreakBefore w:val="0"/>
        <w:widowControl w:val="0"/>
        <w:numPr>
          <w:ilvl w:val="0"/>
          <w:numId w:val="1"/>
        </w:numPr>
        <w:kinsoku/>
        <w:wordWrap/>
        <w:overflowPunct w:val="0"/>
        <w:topLinePunct w:val="0"/>
        <w:autoSpaceDE w:val="0"/>
        <w:autoSpaceDN w:val="0"/>
        <w:bidi w:val="0"/>
        <w:adjustRightInd/>
        <w:snapToGrid/>
        <w:spacing w:line="560" w:lineRule="exact"/>
        <w:ind w:firstLine="560" w:firstLineChars="200"/>
        <w:jc w:val="both"/>
        <w:textAlignment w:val="auto"/>
        <w:rPr>
          <w:rFonts w:hint="eastAsia" w:ascii="宋体" w:hAnsi="宋体" w:cs="宋体"/>
          <w:b w:val="0"/>
          <w:bCs w:val="0"/>
          <w:color w:val="auto"/>
          <w:w w:val="100"/>
          <w:kern w:val="21"/>
          <w:sz w:val="28"/>
          <w:szCs w:val="28"/>
          <w:lang w:val="en-US" w:eastAsia="zh-CN" w:bidi="ar-SA"/>
        </w:rPr>
      </w:pPr>
      <w:r>
        <w:rPr>
          <w:rFonts w:hint="eastAsia" w:ascii="宋体" w:hAnsi="宋体" w:cs="宋体"/>
          <w:b w:val="0"/>
          <w:bCs w:val="0"/>
          <w:color w:val="auto"/>
          <w:w w:val="100"/>
          <w:kern w:val="21"/>
          <w:sz w:val="28"/>
          <w:szCs w:val="28"/>
          <w:lang w:val="en-US" w:eastAsia="zh-CN" w:bidi="ar-SA"/>
        </w:rPr>
        <w:t>本项目要求中所列明的行业政策法规、技术标准、规范等可能出现过期、废除、引用错误等情形。如出现以上情形的，以国家或有关部门最新行业政策法规、技术标准、规范为准，均不影响采购文件、采购活动的有效性。</w:t>
      </w:r>
    </w:p>
    <w:p w14:paraId="311FD476">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eastAsia="宋体" w:cs="宋体"/>
          <w:b w:val="0"/>
          <w:bCs w:val="0"/>
          <w:color w:val="auto"/>
          <w:w w:val="100"/>
          <w:kern w:val="21"/>
          <w:sz w:val="28"/>
          <w:szCs w:val="28"/>
          <w:lang w:val="en-US" w:eastAsia="zh-CN" w:bidi="ar-SA"/>
        </w:rPr>
      </w:pPr>
      <w:r>
        <w:rPr>
          <w:rFonts w:hint="eastAsia" w:ascii="宋体" w:hAnsi="宋体" w:cs="宋体"/>
          <w:b/>
          <w:bCs/>
          <w:color w:val="auto"/>
          <w:w w:val="100"/>
          <w:kern w:val="21"/>
          <w:sz w:val="28"/>
          <w:szCs w:val="28"/>
          <w:lang w:val="en-US" w:eastAsia="zh-CN" w:bidi="ar-SA"/>
        </w:rPr>
        <w:t>（二）</w:t>
      </w:r>
      <w:r>
        <w:rPr>
          <w:rFonts w:hint="eastAsia" w:ascii="宋体" w:hAnsi="宋体" w:eastAsia="宋体" w:cs="宋体"/>
          <w:b/>
          <w:bCs/>
          <w:color w:val="auto"/>
          <w:w w:val="100"/>
          <w:kern w:val="21"/>
          <w:sz w:val="28"/>
          <w:szCs w:val="28"/>
          <w:lang w:val="en-US" w:eastAsia="zh-CN" w:bidi="ar-SA"/>
        </w:rPr>
        <w:t>后续服务要求：</w:t>
      </w:r>
      <w:r>
        <w:rPr>
          <w:rFonts w:hint="eastAsia" w:ascii="宋体" w:hAnsi="宋体" w:eastAsia="宋体" w:cs="宋体"/>
          <w:b w:val="0"/>
          <w:bCs w:val="0"/>
          <w:color w:val="auto"/>
          <w:w w:val="100"/>
          <w:kern w:val="21"/>
          <w:sz w:val="28"/>
          <w:szCs w:val="28"/>
          <w:lang w:val="en-US" w:eastAsia="zh-CN" w:bidi="ar-SA"/>
        </w:rPr>
        <w:t>为采购人提供后续咨询、解答、修改等服务，接到采购人通知在30分钟内响应并为采购人提供解答、咨询、修改等服务。</w:t>
      </w:r>
    </w:p>
    <w:p w14:paraId="532D475D">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eastAsia="宋体" w:cs="宋体"/>
          <w:b/>
          <w:bCs/>
          <w:color w:val="auto"/>
          <w:w w:val="100"/>
          <w:kern w:val="21"/>
          <w:sz w:val="28"/>
          <w:szCs w:val="28"/>
          <w:lang w:val="en-US" w:eastAsia="zh-CN" w:bidi="ar-SA"/>
        </w:rPr>
      </w:pPr>
      <w:r>
        <w:rPr>
          <w:rFonts w:hint="eastAsia" w:ascii="宋体" w:hAnsi="宋体" w:eastAsia="宋体" w:cs="宋体"/>
          <w:b/>
          <w:bCs/>
          <w:color w:val="auto"/>
          <w:w w:val="100"/>
          <w:kern w:val="21"/>
          <w:sz w:val="28"/>
          <w:szCs w:val="28"/>
          <w:lang w:val="en-US" w:eastAsia="zh-CN" w:bidi="ar-SA"/>
        </w:rPr>
        <w:t>（</w:t>
      </w:r>
      <w:r>
        <w:rPr>
          <w:rFonts w:hint="eastAsia" w:ascii="宋体" w:hAnsi="宋体" w:cs="宋体"/>
          <w:b/>
          <w:bCs/>
          <w:color w:val="auto"/>
          <w:w w:val="100"/>
          <w:kern w:val="21"/>
          <w:sz w:val="28"/>
          <w:szCs w:val="28"/>
          <w:lang w:val="en-US" w:eastAsia="zh-CN" w:bidi="ar-SA"/>
        </w:rPr>
        <w:t>三</w:t>
      </w:r>
      <w:r>
        <w:rPr>
          <w:rFonts w:hint="eastAsia" w:ascii="宋体" w:hAnsi="宋体" w:eastAsia="宋体" w:cs="宋体"/>
          <w:b/>
          <w:bCs/>
          <w:color w:val="auto"/>
          <w:w w:val="100"/>
          <w:kern w:val="21"/>
          <w:sz w:val="28"/>
          <w:szCs w:val="28"/>
          <w:lang w:val="en-US" w:eastAsia="zh-CN" w:bidi="ar-SA"/>
        </w:rPr>
        <w:t>）</w:t>
      </w:r>
      <w:r>
        <w:rPr>
          <w:rFonts w:hint="eastAsia" w:ascii="宋体" w:hAnsi="宋体" w:cs="宋体"/>
          <w:b/>
          <w:bCs/>
          <w:color w:val="auto"/>
          <w:w w:val="100"/>
          <w:kern w:val="21"/>
          <w:sz w:val="28"/>
          <w:szCs w:val="28"/>
          <w:lang w:val="en-US" w:eastAsia="zh-CN" w:bidi="ar-SA"/>
        </w:rPr>
        <w:t>其他</w:t>
      </w:r>
      <w:r>
        <w:rPr>
          <w:rFonts w:hint="eastAsia" w:ascii="宋体" w:hAnsi="宋体" w:eastAsia="宋体" w:cs="宋体"/>
          <w:b/>
          <w:bCs/>
          <w:color w:val="auto"/>
          <w:w w:val="100"/>
          <w:kern w:val="21"/>
          <w:sz w:val="28"/>
          <w:szCs w:val="28"/>
          <w:lang w:val="en-US" w:eastAsia="zh-CN" w:bidi="ar-SA"/>
        </w:rPr>
        <w:t>要求</w:t>
      </w:r>
    </w:p>
    <w:p w14:paraId="3BFF9C94">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eastAsia="宋体" w:cs="宋体"/>
          <w:b/>
          <w:bCs/>
          <w:color w:val="auto"/>
          <w:w w:val="100"/>
          <w:kern w:val="21"/>
          <w:sz w:val="28"/>
          <w:szCs w:val="28"/>
          <w:lang w:val="en-US" w:eastAsia="zh-CN" w:bidi="ar-SA"/>
        </w:rPr>
      </w:pPr>
      <w:r>
        <w:rPr>
          <w:rFonts w:hint="eastAsia" w:ascii="宋体" w:hAnsi="宋体" w:eastAsia="宋体" w:cs="宋体"/>
          <w:b/>
          <w:bCs/>
          <w:color w:val="auto"/>
          <w:w w:val="100"/>
          <w:kern w:val="21"/>
          <w:sz w:val="28"/>
          <w:szCs w:val="28"/>
          <w:lang w:val="en-US" w:eastAsia="zh-CN" w:bidi="ar-SA"/>
        </w:rPr>
        <w:t>1、人员要求</w:t>
      </w:r>
    </w:p>
    <w:p w14:paraId="05D1E6F7">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0" w:firstLineChars="200"/>
        <w:jc w:val="both"/>
        <w:textAlignment w:val="auto"/>
        <w:rPr>
          <w:rFonts w:hint="eastAsia" w:ascii="宋体" w:hAnsi="宋体" w:eastAsia="宋体" w:cs="宋体"/>
          <w:b w:val="0"/>
          <w:bCs w:val="0"/>
          <w:color w:val="auto"/>
          <w:w w:val="100"/>
          <w:kern w:val="21"/>
          <w:sz w:val="28"/>
          <w:szCs w:val="28"/>
          <w:lang w:val="en-US" w:eastAsia="zh-CN" w:bidi="ar-SA"/>
        </w:rPr>
      </w:pPr>
      <w:r>
        <w:rPr>
          <w:rFonts w:hint="eastAsia" w:ascii="宋体" w:hAnsi="宋体" w:eastAsia="宋体" w:cs="宋体"/>
          <w:b w:val="0"/>
          <w:bCs w:val="0"/>
          <w:color w:val="auto"/>
          <w:w w:val="100"/>
          <w:kern w:val="21"/>
          <w:sz w:val="28"/>
          <w:szCs w:val="28"/>
          <w:lang w:val="en-US" w:eastAsia="zh-CN" w:bidi="ar-SA"/>
        </w:rPr>
        <w:t>（1）供应商拟投入本项目项目负责人1</w:t>
      </w:r>
      <w:r>
        <w:rPr>
          <w:rFonts w:hint="eastAsia" w:ascii="宋体" w:hAnsi="宋体" w:cs="宋体"/>
          <w:b w:val="0"/>
          <w:bCs w:val="0"/>
          <w:color w:val="auto"/>
          <w:w w:val="100"/>
          <w:kern w:val="21"/>
          <w:sz w:val="28"/>
          <w:szCs w:val="28"/>
          <w:lang w:val="en-US" w:eastAsia="zh-CN" w:bidi="ar-SA"/>
        </w:rPr>
        <w:t>名，项目负责人需</w:t>
      </w:r>
      <w:r>
        <w:rPr>
          <w:rFonts w:hint="eastAsia" w:ascii="宋体" w:hAnsi="宋体" w:eastAsia="宋体" w:cs="宋体"/>
          <w:b w:val="0"/>
          <w:bCs w:val="0"/>
          <w:color w:val="auto"/>
          <w:w w:val="100"/>
          <w:kern w:val="21"/>
          <w:sz w:val="28"/>
          <w:szCs w:val="28"/>
          <w:lang w:val="en-US" w:eastAsia="zh-CN" w:bidi="ar-SA"/>
        </w:rPr>
        <w:t>具有测绘类初级及以上</w:t>
      </w:r>
      <w:r>
        <w:rPr>
          <w:rFonts w:hint="eastAsia" w:ascii="宋体" w:hAnsi="宋体" w:cs="宋体"/>
          <w:b w:val="0"/>
          <w:bCs w:val="0"/>
          <w:color w:val="auto"/>
          <w:w w:val="100"/>
          <w:kern w:val="21"/>
          <w:sz w:val="28"/>
          <w:szCs w:val="28"/>
          <w:lang w:val="en-US" w:eastAsia="zh-CN" w:bidi="ar-SA"/>
        </w:rPr>
        <w:t>技术</w:t>
      </w:r>
      <w:r>
        <w:rPr>
          <w:rFonts w:hint="eastAsia" w:ascii="宋体" w:hAnsi="宋体" w:eastAsia="宋体" w:cs="宋体"/>
          <w:b w:val="0"/>
          <w:bCs w:val="0"/>
          <w:color w:val="auto"/>
          <w:w w:val="100"/>
          <w:kern w:val="21"/>
          <w:sz w:val="28"/>
          <w:szCs w:val="28"/>
          <w:lang w:val="en-US" w:eastAsia="zh-CN" w:bidi="ar-SA"/>
        </w:rPr>
        <w:t>职称。</w:t>
      </w:r>
    </w:p>
    <w:p w14:paraId="7DCA1B5A">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0" w:firstLineChars="200"/>
        <w:jc w:val="both"/>
        <w:textAlignment w:val="auto"/>
        <w:rPr>
          <w:rFonts w:hint="eastAsia" w:ascii="宋体" w:hAnsi="宋体" w:eastAsia="宋体" w:cs="宋体"/>
          <w:b w:val="0"/>
          <w:bCs w:val="0"/>
          <w:color w:val="auto"/>
          <w:w w:val="100"/>
          <w:kern w:val="21"/>
          <w:sz w:val="28"/>
          <w:szCs w:val="28"/>
          <w:lang w:val="en-US" w:eastAsia="zh-CN" w:bidi="ar-SA"/>
        </w:rPr>
      </w:pPr>
      <w:r>
        <w:rPr>
          <w:rFonts w:hint="eastAsia" w:ascii="宋体" w:hAnsi="宋体" w:eastAsia="宋体" w:cs="宋体"/>
          <w:b w:val="0"/>
          <w:bCs w:val="0"/>
          <w:color w:val="auto"/>
          <w:w w:val="100"/>
          <w:kern w:val="21"/>
          <w:sz w:val="28"/>
          <w:szCs w:val="28"/>
          <w:lang w:val="en-US" w:eastAsia="zh-CN" w:bidi="ar-SA"/>
        </w:rPr>
        <w:t>（2）供应商拟投入本项目项目技术负责人1</w:t>
      </w:r>
      <w:r>
        <w:rPr>
          <w:rFonts w:hint="eastAsia" w:ascii="宋体" w:hAnsi="宋体" w:cs="宋体"/>
          <w:b w:val="0"/>
          <w:bCs w:val="0"/>
          <w:color w:val="auto"/>
          <w:w w:val="100"/>
          <w:kern w:val="21"/>
          <w:sz w:val="28"/>
          <w:szCs w:val="28"/>
          <w:lang w:val="en-US" w:eastAsia="zh-CN" w:bidi="ar-SA"/>
        </w:rPr>
        <w:t>名</w:t>
      </w:r>
      <w:r>
        <w:rPr>
          <w:rFonts w:hint="eastAsia" w:ascii="宋体" w:hAnsi="宋体" w:eastAsia="宋体" w:cs="宋体"/>
          <w:b w:val="0"/>
          <w:bCs w:val="0"/>
          <w:color w:val="auto"/>
          <w:w w:val="100"/>
          <w:kern w:val="21"/>
          <w:sz w:val="28"/>
          <w:szCs w:val="28"/>
          <w:lang w:val="en-US" w:eastAsia="zh-CN" w:bidi="ar-SA"/>
        </w:rPr>
        <w:t>：</w:t>
      </w:r>
      <w:r>
        <w:rPr>
          <w:rFonts w:hint="eastAsia" w:ascii="宋体" w:hAnsi="宋体" w:cs="宋体"/>
          <w:b w:val="0"/>
          <w:bCs w:val="0"/>
          <w:color w:val="auto"/>
          <w:w w:val="100"/>
          <w:kern w:val="21"/>
          <w:sz w:val="28"/>
          <w:szCs w:val="28"/>
          <w:lang w:val="en-US" w:eastAsia="zh-CN" w:bidi="ar-SA"/>
        </w:rPr>
        <w:t>项目负责人需</w:t>
      </w:r>
      <w:r>
        <w:rPr>
          <w:rFonts w:hint="eastAsia" w:ascii="宋体" w:hAnsi="宋体" w:eastAsia="宋体" w:cs="宋体"/>
          <w:b w:val="0"/>
          <w:bCs w:val="0"/>
          <w:color w:val="auto"/>
          <w:w w:val="100"/>
          <w:kern w:val="21"/>
          <w:sz w:val="28"/>
          <w:szCs w:val="28"/>
          <w:lang w:val="en-US" w:eastAsia="zh-CN" w:bidi="ar-SA"/>
        </w:rPr>
        <w:t>具有测绘类初级及以上</w:t>
      </w:r>
      <w:r>
        <w:rPr>
          <w:rFonts w:hint="eastAsia" w:ascii="宋体" w:hAnsi="宋体" w:cs="宋体"/>
          <w:b w:val="0"/>
          <w:bCs w:val="0"/>
          <w:color w:val="auto"/>
          <w:w w:val="100"/>
          <w:kern w:val="21"/>
          <w:sz w:val="28"/>
          <w:szCs w:val="28"/>
          <w:lang w:val="en-US" w:eastAsia="zh-CN" w:bidi="ar-SA"/>
        </w:rPr>
        <w:t>技术</w:t>
      </w:r>
      <w:r>
        <w:rPr>
          <w:rFonts w:hint="eastAsia" w:ascii="宋体" w:hAnsi="宋体" w:eastAsia="宋体" w:cs="宋体"/>
          <w:b w:val="0"/>
          <w:bCs w:val="0"/>
          <w:color w:val="auto"/>
          <w:w w:val="100"/>
          <w:kern w:val="21"/>
          <w:sz w:val="28"/>
          <w:szCs w:val="28"/>
          <w:lang w:val="en-US" w:eastAsia="zh-CN" w:bidi="ar-SA"/>
        </w:rPr>
        <w:t>职称。</w:t>
      </w:r>
    </w:p>
    <w:p w14:paraId="7BB9CDEA">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0" w:firstLineChars="200"/>
        <w:jc w:val="both"/>
        <w:textAlignment w:val="auto"/>
        <w:rPr>
          <w:rFonts w:hint="eastAsia" w:ascii="宋体" w:hAnsi="宋体" w:eastAsia="宋体" w:cs="宋体"/>
          <w:b w:val="0"/>
          <w:bCs w:val="0"/>
          <w:color w:val="auto"/>
          <w:w w:val="100"/>
          <w:kern w:val="21"/>
          <w:sz w:val="28"/>
          <w:szCs w:val="28"/>
          <w:lang w:val="en-US" w:eastAsia="zh-CN" w:bidi="ar-SA"/>
        </w:rPr>
      </w:pPr>
      <w:r>
        <w:rPr>
          <w:rFonts w:hint="eastAsia" w:ascii="宋体" w:hAnsi="宋体" w:eastAsia="宋体" w:cs="宋体"/>
          <w:b w:val="0"/>
          <w:bCs w:val="0"/>
          <w:color w:val="auto"/>
          <w:w w:val="100"/>
          <w:kern w:val="21"/>
          <w:sz w:val="28"/>
          <w:szCs w:val="28"/>
          <w:lang w:val="en-US" w:eastAsia="zh-CN" w:bidi="ar-SA"/>
        </w:rPr>
        <w:t>（3）供应商</w:t>
      </w:r>
      <w:r>
        <w:rPr>
          <w:rFonts w:hint="eastAsia" w:ascii="宋体" w:hAnsi="宋体" w:cs="宋体"/>
          <w:b w:val="0"/>
          <w:bCs w:val="0"/>
          <w:color w:val="auto"/>
          <w:w w:val="100"/>
          <w:kern w:val="21"/>
          <w:sz w:val="28"/>
          <w:szCs w:val="28"/>
          <w:lang w:val="en-US" w:eastAsia="zh-CN" w:bidi="ar-SA"/>
        </w:rPr>
        <w:t>拟投入本项目服务团人员需</w:t>
      </w:r>
      <w:r>
        <w:rPr>
          <w:rFonts w:hint="eastAsia" w:ascii="宋体" w:hAnsi="宋体" w:eastAsia="宋体" w:cs="宋体"/>
          <w:b w:val="0"/>
          <w:bCs w:val="0"/>
          <w:color w:val="auto"/>
          <w:w w:val="100"/>
          <w:kern w:val="21"/>
          <w:sz w:val="28"/>
          <w:szCs w:val="28"/>
          <w:lang w:val="en-US" w:eastAsia="zh-CN" w:bidi="ar-SA"/>
        </w:rPr>
        <w:t>具有测绘类初级及以上资格证书或测绘作业证。</w:t>
      </w:r>
    </w:p>
    <w:p w14:paraId="242F37CF">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eastAsia="宋体" w:cs="宋体"/>
          <w:b/>
          <w:bCs/>
          <w:color w:val="auto"/>
          <w:w w:val="100"/>
          <w:kern w:val="21"/>
          <w:sz w:val="28"/>
          <w:szCs w:val="28"/>
          <w:lang w:val="en-US" w:eastAsia="zh-CN" w:bidi="ar-SA"/>
        </w:rPr>
      </w:pPr>
      <w:r>
        <w:rPr>
          <w:rFonts w:hint="eastAsia" w:ascii="宋体" w:hAnsi="宋体" w:cs="宋体"/>
          <w:b/>
          <w:bCs/>
          <w:color w:val="auto"/>
          <w:w w:val="100"/>
          <w:kern w:val="21"/>
          <w:sz w:val="28"/>
          <w:szCs w:val="28"/>
          <w:lang w:val="en-US" w:eastAsia="zh-CN" w:bidi="ar-SA"/>
        </w:rPr>
        <w:t>2</w:t>
      </w:r>
      <w:r>
        <w:rPr>
          <w:rFonts w:hint="eastAsia" w:ascii="宋体" w:hAnsi="宋体" w:eastAsia="宋体" w:cs="宋体"/>
          <w:b/>
          <w:bCs/>
          <w:color w:val="auto"/>
          <w:w w:val="100"/>
          <w:kern w:val="21"/>
          <w:sz w:val="28"/>
          <w:szCs w:val="28"/>
          <w:lang w:val="en-US" w:eastAsia="zh-CN" w:bidi="ar-SA"/>
        </w:rPr>
        <w:t>、服务能力要求</w:t>
      </w:r>
    </w:p>
    <w:p w14:paraId="4844403C">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0" w:firstLineChars="200"/>
        <w:jc w:val="both"/>
        <w:textAlignment w:val="auto"/>
        <w:rPr>
          <w:rFonts w:hint="eastAsia" w:ascii="宋体" w:hAnsi="宋体" w:eastAsia="宋体" w:cs="宋体"/>
          <w:b w:val="0"/>
          <w:bCs w:val="0"/>
          <w:color w:val="auto"/>
          <w:w w:val="100"/>
          <w:kern w:val="21"/>
          <w:sz w:val="28"/>
          <w:szCs w:val="28"/>
          <w:lang w:val="en-US" w:eastAsia="zh-CN" w:bidi="ar-SA"/>
        </w:rPr>
      </w:pPr>
      <w:r>
        <w:rPr>
          <w:rFonts w:hint="eastAsia" w:ascii="宋体" w:hAnsi="宋体" w:cs="宋体"/>
          <w:sz w:val="28"/>
          <w:szCs w:val="28"/>
        </w:rPr>
        <w:t>为提升本项目服务效率和质量，供应商需具有</w:t>
      </w:r>
      <w:r>
        <w:rPr>
          <w:rFonts w:hint="eastAsia" w:ascii="宋体" w:hAnsi="宋体" w:eastAsia="宋体" w:cs="宋体"/>
          <w:b w:val="0"/>
          <w:bCs w:val="0"/>
          <w:color w:val="auto"/>
          <w:w w:val="100"/>
          <w:kern w:val="21"/>
          <w:sz w:val="28"/>
          <w:szCs w:val="28"/>
          <w:lang w:val="en-US" w:eastAsia="zh-CN" w:bidi="ar-SA"/>
        </w:rPr>
        <w:t>自2023年1月1日（含）至递交响应文件截止日，具有类</w:t>
      </w:r>
      <w:r>
        <w:rPr>
          <w:rFonts w:hint="eastAsia" w:ascii="宋体" w:hAnsi="宋体" w:cs="宋体"/>
          <w:b w:val="0"/>
          <w:bCs w:val="0"/>
          <w:color w:val="auto"/>
          <w:w w:val="100"/>
          <w:kern w:val="21"/>
          <w:sz w:val="28"/>
          <w:szCs w:val="28"/>
          <w:lang w:val="en-US" w:eastAsia="zh-CN" w:bidi="ar-SA"/>
        </w:rPr>
        <w:t>似</w:t>
      </w:r>
      <w:r>
        <w:rPr>
          <w:rFonts w:hint="eastAsia" w:ascii="宋体" w:hAnsi="宋体" w:eastAsia="宋体" w:cs="宋体"/>
          <w:b w:val="0"/>
          <w:bCs w:val="0"/>
          <w:color w:val="auto"/>
          <w:w w:val="100"/>
          <w:kern w:val="21"/>
          <w:sz w:val="28"/>
          <w:szCs w:val="28"/>
          <w:lang w:val="en-US" w:eastAsia="zh-CN" w:bidi="ar-SA"/>
        </w:rPr>
        <w:t>项目履约经验。</w:t>
      </w:r>
    </w:p>
    <w:p w14:paraId="68F8F33F">
      <w:pPr>
        <w:keepNext w:val="0"/>
        <w:keepLines w:val="0"/>
        <w:pageBreakBefore w:val="0"/>
        <w:widowControl w:val="0"/>
        <w:numPr>
          <w:ilvl w:val="0"/>
          <w:numId w:val="0"/>
        </w:numPr>
        <w:kinsoku/>
        <w:wordWrap/>
        <w:overflowPunct w:val="0"/>
        <w:topLinePunct w:val="0"/>
        <w:autoSpaceDE w:val="0"/>
        <w:autoSpaceDN w:val="0"/>
        <w:bidi w:val="0"/>
        <w:adjustRightInd/>
        <w:snapToGrid/>
        <w:spacing w:line="560" w:lineRule="exact"/>
        <w:ind w:firstLine="562" w:firstLineChars="200"/>
        <w:jc w:val="both"/>
        <w:textAlignment w:val="auto"/>
        <w:rPr>
          <w:rFonts w:hint="eastAsia" w:ascii="宋体" w:hAnsi="宋体" w:eastAsia="宋体" w:cs="宋体"/>
          <w:b/>
          <w:bCs/>
          <w:color w:val="auto"/>
          <w:w w:val="100"/>
          <w:kern w:val="21"/>
          <w:sz w:val="28"/>
          <w:szCs w:val="28"/>
          <w:lang w:val="en-US" w:eastAsia="zh-CN" w:bidi="ar-SA"/>
        </w:rPr>
      </w:pPr>
      <w:r>
        <w:rPr>
          <w:rFonts w:hint="eastAsia" w:ascii="宋体" w:hAnsi="宋体" w:cs="宋体"/>
          <w:b/>
          <w:bCs/>
          <w:color w:val="auto"/>
          <w:w w:val="100"/>
          <w:kern w:val="21"/>
          <w:sz w:val="28"/>
          <w:szCs w:val="28"/>
          <w:lang w:val="en-US" w:eastAsia="zh-CN" w:bidi="ar-SA"/>
        </w:rPr>
        <w:t>3</w:t>
      </w:r>
      <w:r>
        <w:rPr>
          <w:rFonts w:hint="eastAsia" w:ascii="宋体" w:hAnsi="宋体" w:eastAsia="宋体" w:cs="宋体"/>
          <w:b/>
          <w:bCs/>
          <w:color w:val="auto"/>
          <w:w w:val="100"/>
          <w:kern w:val="21"/>
          <w:sz w:val="28"/>
          <w:szCs w:val="28"/>
          <w:lang w:val="en-US" w:eastAsia="zh-CN" w:bidi="ar-SA"/>
        </w:rPr>
        <w:t>、编制服务方案</w:t>
      </w:r>
      <w:r>
        <w:rPr>
          <w:rFonts w:hint="eastAsia" w:ascii="宋体" w:hAnsi="宋体" w:cs="宋体"/>
          <w:b/>
          <w:bCs/>
          <w:color w:val="auto"/>
          <w:w w:val="100"/>
          <w:kern w:val="21"/>
          <w:sz w:val="28"/>
          <w:szCs w:val="28"/>
          <w:lang w:val="en-US" w:eastAsia="zh-CN" w:bidi="ar-SA"/>
        </w:rPr>
        <w:t>及后续服务方案</w:t>
      </w:r>
      <w:r>
        <w:rPr>
          <w:rFonts w:hint="eastAsia" w:ascii="宋体" w:hAnsi="宋体" w:eastAsia="宋体" w:cs="宋体"/>
          <w:b/>
          <w:bCs/>
          <w:color w:val="auto"/>
          <w:w w:val="100"/>
          <w:kern w:val="21"/>
          <w:sz w:val="28"/>
          <w:szCs w:val="28"/>
          <w:lang w:val="en-US" w:eastAsia="zh-CN" w:bidi="ar-SA"/>
        </w:rPr>
        <w:t>要求</w:t>
      </w:r>
    </w:p>
    <w:p w14:paraId="34411E9C">
      <w:pPr>
        <w:pStyle w:val="5"/>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2"/>
        <w:rPr>
          <w:rFonts w:hint="default" w:ascii="宋体" w:hAnsi="宋体" w:eastAsia="宋体" w:cs="宋体"/>
          <w:b w:val="0"/>
          <w:bCs w:val="0"/>
          <w:color w:val="auto"/>
          <w:w w:val="100"/>
          <w:kern w:val="21"/>
          <w:sz w:val="28"/>
          <w:szCs w:val="28"/>
          <w:lang w:val="en-US" w:eastAsia="zh-CN" w:bidi="ar-SA"/>
        </w:rPr>
      </w:pPr>
      <w:r>
        <w:rPr>
          <w:rFonts w:hint="eastAsia" w:ascii="宋体" w:hAnsi="宋体" w:eastAsia="宋体" w:cs="宋体"/>
          <w:b w:val="0"/>
          <w:bCs w:val="0"/>
          <w:color w:val="auto"/>
          <w:w w:val="100"/>
          <w:kern w:val="21"/>
          <w:sz w:val="28"/>
          <w:szCs w:val="28"/>
          <w:lang w:val="en-US" w:eastAsia="zh-CN" w:bidi="ar-SA"/>
        </w:rPr>
        <w:t>供应商应充分理解项目需求，针对本项目制定详细的项目实施方案内容包括：①技术方案（本项目的理解、技术路线）； ②项目管理方案（项目管理机构图、内部管理的职责分工）；③质量保证措施（质量保证体系、质量管控措施）； ④工期保障措施方案（工期进度安排、工期进度保障措施）；⑤保密制度与方案（保密制度、安全保密措施）；后续服务方案内容包括：①后期服务承诺；②后期服务体系；③后期服务保障措施。</w:t>
      </w:r>
    </w:p>
    <w:p w14:paraId="14B28101">
      <w:pPr>
        <w:pStyle w:val="5"/>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outlineLvl w:val="2"/>
        <w:rPr>
          <w:rFonts w:hint="eastAsia" w:ascii="宋体" w:hAnsi="宋体" w:eastAsia="宋体" w:cs="宋体"/>
          <w:b w:val="0"/>
          <w:bCs w:val="0"/>
          <w:color w:val="auto"/>
          <w:w w:val="100"/>
          <w:kern w:val="21"/>
          <w:sz w:val="28"/>
          <w:szCs w:val="28"/>
          <w:lang w:val="en-US" w:eastAsia="zh-CN" w:bidi="ar-SA"/>
        </w:rPr>
      </w:pPr>
    </w:p>
    <w:p w14:paraId="3295B56E">
      <w:pPr>
        <w:pStyle w:val="5"/>
        <w:keepNext w:val="0"/>
        <w:keepLines w:val="0"/>
        <w:pageBreakBefore w:val="0"/>
        <w:widowControl/>
        <w:kinsoku/>
        <w:wordWrap/>
        <w:overflowPunct/>
        <w:topLinePunct w:val="0"/>
        <w:autoSpaceDE/>
        <w:autoSpaceDN/>
        <w:bidi w:val="0"/>
        <w:adjustRightInd/>
        <w:snapToGrid/>
        <w:spacing w:line="440" w:lineRule="exact"/>
        <w:ind w:firstLine="562" w:firstLineChars="200"/>
        <w:jc w:val="left"/>
        <w:textAlignment w:val="auto"/>
        <w:outlineLvl w:val="2"/>
        <w:rPr>
          <w:rFonts w:hint="eastAsia" w:ascii="宋体" w:hAnsi="宋体" w:eastAsia="宋体" w:cs="宋体"/>
          <w:b/>
          <w:color w:val="000000" w:themeColor="text1"/>
          <w:sz w:val="28"/>
          <w:szCs w:val="28"/>
          <w:highlight w:val="none"/>
          <w:lang w:eastAsia="zh-CN"/>
          <w14:textFill>
            <w14:solidFill>
              <w14:schemeClr w14:val="tx1"/>
            </w14:solidFill>
          </w14:textFill>
        </w:rPr>
      </w:pPr>
    </w:p>
    <w:p w14:paraId="0F9BB1F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4AE9E5"/>
    <w:multiLevelType w:val="singleLevel"/>
    <w:tmpl w:val="DF4AE9E5"/>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B1C0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rPr>
  </w:style>
  <w:style w:type="paragraph" w:customStyle="1" w:styleId="5">
    <w:name w:val="null3"/>
    <w:qFormat/>
    <w:uiPriority w:val="0"/>
    <w:rPr>
      <w:rFonts w:ascii="Calibri" w:hAnsi="Calibri" w:eastAsia="宋体" w:cs="Arial"/>
      <w:sz w:val="20"/>
      <w:szCs w:val="20"/>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2026-07-03T06:35:21Z</dcterms:created>
  <dc:creator>Administrator</dc:creator>
  <cp:lastModifiedBy>你爸爸超可爱</cp:lastModifiedBy>
  <dcterms:modified xsi:type="dcterms:W3CDTF">2026-07-03T06:35:25Z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eyJoZGlkIjoiYzZjYWU4ZDlkMTkyZTE0MzY0MWY2NGZiYjJhNjkzNDkiLCJ1c2VySWQiOiIzOTY5NDkwNDgifQ==</vt:lpwstr>
  </property>
  <property fmtid="{D5CDD505-2E9C-101B-9397-08002B2CF9AE}" pid="4" name="ICV">
    <vt:lpwstr>DC1E3F3F4BAF4CB18909B5EF16AC430E_12</vt:lpwstr>
  </property>
</Properties>
</file>