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F18455">
      <w:pPr>
        <w:adjustRightInd w:val="0"/>
        <w:snapToGrid w:val="0"/>
        <w:jc w:val="center"/>
        <w:rPr>
          <w:rFonts w:hint="eastAsia" w:ascii="宋体" w:hAnsi="宋体"/>
          <w:bCs/>
          <w:szCs w:val="32"/>
        </w:rPr>
      </w:pPr>
      <w:r>
        <w:rPr>
          <w:rFonts w:hint="eastAsia"/>
          <w:b/>
          <w:sz w:val="44"/>
        </w:rPr>
        <w:drawing>
          <wp:anchor distT="0" distB="0" distL="114300" distR="114300" simplePos="0" relativeHeight="251659264" behindDoc="1" locked="0" layoutInCell="1" allowOverlap="1">
            <wp:simplePos x="0" y="0"/>
            <wp:positionH relativeFrom="column">
              <wp:posOffset>4242435</wp:posOffset>
            </wp:positionH>
            <wp:positionV relativeFrom="paragraph">
              <wp:posOffset>31115</wp:posOffset>
            </wp:positionV>
            <wp:extent cx="1628775" cy="600075"/>
            <wp:effectExtent l="0" t="0" r="1905" b="9525"/>
            <wp:wrapTight wrapText="bothSides">
              <wp:wrapPolygon>
                <wp:start x="-126" y="0"/>
                <wp:lineTo x="-126" y="21257"/>
                <wp:lineTo x="21600" y="21257"/>
                <wp:lineTo x="21600" y="0"/>
                <wp:lineTo x="-126" y="0"/>
              </wp:wrapPolygon>
            </wp:wrapTight>
            <wp:docPr id="11"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无标题"/>
                    <pic:cNvPicPr>
                      <a:picLocks noChangeAspect="1"/>
                    </pic:cNvPicPr>
                  </pic:nvPicPr>
                  <pic:blipFill>
                    <a:blip r:embed="rId7"/>
                    <a:stretch>
                      <a:fillRect/>
                    </a:stretch>
                  </pic:blipFill>
                  <pic:spPr>
                    <a:xfrm>
                      <a:off x="0" y="0"/>
                      <a:ext cx="1628775" cy="600075"/>
                    </a:xfrm>
                    <a:prstGeom prst="rect">
                      <a:avLst/>
                    </a:prstGeom>
                    <a:noFill/>
                    <a:ln>
                      <a:noFill/>
                    </a:ln>
                  </pic:spPr>
                </pic:pic>
              </a:graphicData>
            </a:graphic>
          </wp:anchor>
        </w:drawing>
      </w:r>
      <w:r>
        <w:rPr>
          <w:rFonts w:hint="eastAsia" w:ascii="宋体" w:hAnsi="宋体"/>
          <w:b/>
          <w:sz w:val="32"/>
          <w:szCs w:val="32"/>
        </w:rPr>
        <w:t xml:space="preserve">                                           </w:t>
      </w:r>
    </w:p>
    <w:p w14:paraId="586EAD69">
      <w:pPr>
        <w:ind w:right="-281"/>
        <w:jc w:val="right"/>
        <w:rPr>
          <w:rFonts w:ascii="Bookman Old Style" w:hAnsi="Bookman Old Style"/>
          <w:b/>
          <w:sz w:val="28"/>
        </w:rPr>
      </w:pPr>
    </w:p>
    <w:p w14:paraId="28FF6ACA">
      <w:pPr>
        <w:spacing w:after="240" w:afterLines="100" w:line="500" w:lineRule="exact"/>
        <w:jc w:val="center"/>
        <w:rPr>
          <w:b/>
          <w:sz w:val="44"/>
          <w:szCs w:val="44"/>
        </w:rPr>
      </w:pPr>
    </w:p>
    <w:p w14:paraId="69B09275">
      <w:pPr>
        <w:spacing w:after="240" w:afterLines="100" w:line="500" w:lineRule="exact"/>
        <w:jc w:val="center"/>
        <w:rPr>
          <w:b/>
          <w:sz w:val="52"/>
          <w:szCs w:val="52"/>
        </w:rPr>
      </w:pPr>
    </w:p>
    <w:p w14:paraId="35EF92DB">
      <w:pPr>
        <w:spacing w:after="240" w:afterLines="100" w:line="500" w:lineRule="exact"/>
        <w:jc w:val="center"/>
        <w:rPr>
          <w:b/>
          <w:sz w:val="52"/>
          <w:szCs w:val="52"/>
        </w:rPr>
      </w:pPr>
      <w:r>
        <w:rPr>
          <w:rFonts w:hint="eastAsia"/>
          <w:b/>
          <w:sz w:val="52"/>
          <w:szCs w:val="52"/>
        </w:rPr>
        <w:t>中国科学院上海技术物理研究所</w:t>
      </w:r>
    </w:p>
    <w:p w14:paraId="42E1BB2B">
      <w:pPr>
        <w:spacing w:after="240" w:afterLines="100"/>
        <w:jc w:val="center"/>
        <w:rPr>
          <w:b/>
          <w:sz w:val="52"/>
          <w:szCs w:val="52"/>
        </w:rPr>
      </w:pPr>
      <w:r>
        <w:rPr>
          <w:rFonts w:hint="eastAsia"/>
          <w:b/>
          <w:sz w:val="52"/>
          <w:szCs w:val="52"/>
        </w:rPr>
        <w:t>椭圆偏振光谱仪采购项目</w:t>
      </w:r>
    </w:p>
    <w:p w14:paraId="68D631C4">
      <w:pPr>
        <w:spacing w:line="360" w:lineRule="auto"/>
        <w:jc w:val="center"/>
        <w:rPr>
          <w:b/>
          <w:sz w:val="44"/>
        </w:rPr>
      </w:pPr>
    </w:p>
    <w:p w14:paraId="7C40218A">
      <w:pPr>
        <w:spacing w:line="360" w:lineRule="auto"/>
        <w:rPr>
          <w:b/>
          <w:sz w:val="44"/>
        </w:rPr>
      </w:pPr>
    </w:p>
    <w:p w14:paraId="43539635">
      <w:pPr>
        <w:spacing w:line="360" w:lineRule="auto"/>
        <w:jc w:val="center"/>
        <w:rPr>
          <w:rFonts w:hint="eastAsia" w:ascii="宋体" w:hAnsi="宋体"/>
          <w:b/>
          <w:szCs w:val="21"/>
        </w:rPr>
      </w:pPr>
      <w:r>
        <w:rPr>
          <w:rFonts w:hint="eastAsia" w:ascii="宋体" w:hAnsi="宋体"/>
          <w:b/>
          <w:sz w:val="72"/>
          <w:szCs w:val="52"/>
        </w:rPr>
        <w:t>招</w:t>
      </w:r>
      <w:r>
        <w:rPr>
          <w:rFonts w:ascii="宋体" w:hAnsi="宋体"/>
          <w:b/>
          <w:sz w:val="72"/>
          <w:szCs w:val="52"/>
        </w:rPr>
        <w:t xml:space="preserve">  </w:t>
      </w:r>
      <w:r>
        <w:rPr>
          <w:rFonts w:hint="eastAsia" w:ascii="宋体" w:hAnsi="宋体"/>
          <w:b/>
          <w:sz w:val="72"/>
          <w:szCs w:val="52"/>
        </w:rPr>
        <w:t>标</w:t>
      </w:r>
      <w:r>
        <w:rPr>
          <w:rFonts w:ascii="宋体" w:hAnsi="宋体"/>
          <w:b/>
          <w:sz w:val="72"/>
          <w:szCs w:val="52"/>
        </w:rPr>
        <w:t xml:space="preserve">  </w:t>
      </w:r>
      <w:r>
        <w:rPr>
          <w:rFonts w:hint="eastAsia" w:ascii="宋体" w:hAnsi="宋体"/>
          <w:b/>
          <w:sz w:val="72"/>
          <w:szCs w:val="52"/>
        </w:rPr>
        <w:t>文</w:t>
      </w:r>
      <w:r>
        <w:rPr>
          <w:rFonts w:ascii="宋体" w:hAnsi="宋体"/>
          <w:b/>
          <w:sz w:val="72"/>
          <w:szCs w:val="52"/>
        </w:rPr>
        <w:t xml:space="preserve">  </w:t>
      </w:r>
      <w:r>
        <w:rPr>
          <w:rFonts w:hint="eastAsia" w:ascii="宋体" w:hAnsi="宋体"/>
          <w:b/>
          <w:sz w:val="72"/>
          <w:szCs w:val="52"/>
        </w:rPr>
        <w:t>件</w:t>
      </w:r>
    </w:p>
    <w:p w14:paraId="78B63875">
      <w:pPr>
        <w:spacing w:line="360" w:lineRule="auto"/>
        <w:jc w:val="center"/>
        <w:rPr>
          <w:rFonts w:hint="eastAsia" w:ascii="宋体" w:hAnsi="宋体"/>
          <w:b/>
          <w:sz w:val="32"/>
          <w:szCs w:val="32"/>
        </w:rPr>
      </w:pPr>
    </w:p>
    <w:p w14:paraId="01A0CC1B">
      <w:pPr>
        <w:spacing w:line="360" w:lineRule="auto"/>
        <w:jc w:val="center"/>
        <w:rPr>
          <w:rFonts w:hint="eastAsia" w:ascii="宋体" w:hAnsi="宋体"/>
          <w:b/>
          <w:sz w:val="30"/>
          <w:szCs w:val="30"/>
        </w:rPr>
      </w:pPr>
    </w:p>
    <w:p w14:paraId="10C2D4FE">
      <w:pPr>
        <w:spacing w:line="360" w:lineRule="auto"/>
        <w:jc w:val="center"/>
        <w:rPr>
          <w:rFonts w:hint="eastAsia" w:ascii="宋体" w:hAnsi="宋体"/>
          <w:b/>
          <w:sz w:val="30"/>
          <w:szCs w:val="30"/>
        </w:rPr>
      </w:pPr>
    </w:p>
    <w:p w14:paraId="1D71DC0F">
      <w:pPr>
        <w:spacing w:line="360" w:lineRule="auto"/>
        <w:ind w:firstLine="2168" w:firstLineChars="600"/>
        <w:rPr>
          <w:b/>
          <w:sz w:val="32"/>
          <w:u w:val="single"/>
        </w:rPr>
      </w:pPr>
      <w:r>
        <w:rPr>
          <w:rFonts w:hint="eastAsia" w:ascii="宋体" w:hAnsi="宋体"/>
          <w:b/>
          <w:sz w:val="36"/>
          <w:szCs w:val="36"/>
        </w:rPr>
        <w:t>招标编号：</w:t>
      </w:r>
      <w:r>
        <w:rPr>
          <w:rFonts w:hint="eastAsia" w:ascii="宋体" w:hAnsi="宋体"/>
          <w:b/>
          <w:sz w:val="36"/>
          <w:szCs w:val="36"/>
          <w:u w:val="single"/>
        </w:rPr>
        <w:t>OITC-G260303018</w:t>
      </w:r>
    </w:p>
    <w:p w14:paraId="3413EAE1">
      <w:pPr>
        <w:spacing w:line="360" w:lineRule="auto"/>
        <w:jc w:val="center"/>
        <w:rPr>
          <w:b/>
          <w:sz w:val="32"/>
        </w:rPr>
      </w:pPr>
    </w:p>
    <w:p w14:paraId="7B267724">
      <w:pPr>
        <w:spacing w:line="360" w:lineRule="auto"/>
        <w:jc w:val="center"/>
        <w:rPr>
          <w:b/>
          <w:sz w:val="32"/>
        </w:rPr>
      </w:pPr>
    </w:p>
    <w:p w14:paraId="0DB58785">
      <w:pPr>
        <w:adjustRightInd w:val="0"/>
        <w:snapToGrid w:val="0"/>
        <w:spacing w:before="120"/>
        <w:ind w:firstLine="1204" w:firstLineChars="300"/>
        <w:rPr>
          <w:rFonts w:hint="eastAsia" w:ascii="宋体" w:hAnsi="宋体"/>
          <w:b/>
          <w:bCs/>
          <w:snapToGrid w:val="0"/>
          <w:spacing w:val="20"/>
          <w:sz w:val="36"/>
          <w:szCs w:val="36"/>
          <w:u w:val="single"/>
        </w:rPr>
      </w:pPr>
      <w:r>
        <w:rPr>
          <w:rFonts w:hint="eastAsia" w:ascii="宋体" w:hAnsi="宋体"/>
          <w:b/>
          <w:bCs/>
          <w:snapToGrid w:val="0"/>
          <w:spacing w:val="20"/>
          <w:sz w:val="36"/>
          <w:szCs w:val="36"/>
        </w:rPr>
        <w:t>采购人：中国科学院上海技术物理研究所</w:t>
      </w:r>
    </w:p>
    <w:p w14:paraId="081CB6B0">
      <w:pPr>
        <w:adjustRightInd w:val="0"/>
        <w:snapToGrid w:val="0"/>
        <w:spacing w:before="120"/>
        <w:ind w:firstLine="1204" w:firstLineChars="300"/>
        <w:rPr>
          <w:rFonts w:hint="eastAsia" w:ascii="宋体" w:hAnsi="宋体"/>
          <w:b/>
          <w:bCs/>
          <w:snapToGrid w:val="0"/>
          <w:spacing w:val="20"/>
          <w:sz w:val="36"/>
          <w:szCs w:val="36"/>
        </w:rPr>
      </w:pPr>
      <w:r>
        <w:rPr>
          <w:rFonts w:hint="eastAsia" w:ascii="宋体" w:hAnsi="宋体"/>
          <w:b/>
          <w:bCs/>
          <w:snapToGrid w:val="0"/>
          <w:spacing w:val="20"/>
          <w:sz w:val="36"/>
          <w:szCs w:val="36"/>
        </w:rPr>
        <w:t>采购代理机构：东方国际招标有限责任公司</w:t>
      </w:r>
    </w:p>
    <w:p w14:paraId="50992859">
      <w:pPr>
        <w:adjustRightInd w:val="0"/>
        <w:snapToGrid w:val="0"/>
        <w:jc w:val="center"/>
        <w:rPr>
          <w:rFonts w:hint="eastAsia" w:ascii="宋体" w:hAnsi="宋体"/>
          <w:b/>
          <w:snapToGrid w:val="0"/>
          <w:sz w:val="36"/>
          <w:szCs w:val="36"/>
        </w:rPr>
      </w:pPr>
    </w:p>
    <w:p w14:paraId="1EADB0D5">
      <w:pPr>
        <w:adjustRightInd w:val="0"/>
        <w:snapToGrid w:val="0"/>
        <w:jc w:val="center"/>
        <w:rPr>
          <w:rFonts w:hint="eastAsia" w:ascii="宋体" w:hAnsi="宋体"/>
          <w:b/>
          <w:snapToGrid w:val="0"/>
          <w:sz w:val="36"/>
          <w:szCs w:val="36"/>
        </w:rPr>
      </w:pPr>
    </w:p>
    <w:p w14:paraId="08658E55">
      <w:pPr>
        <w:adjustRightInd w:val="0"/>
        <w:snapToGrid w:val="0"/>
        <w:jc w:val="center"/>
        <w:rPr>
          <w:rFonts w:hint="eastAsia" w:ascii="宋体" w:hAnsi="宋体"/>
          <w:b/>
          <w:sz w:val="32"/>
          <w:szCs w:val="32"/>
        </w:rPr>
      </w:pPr>
      <w:r>
        <w:rPr>
          <w:rFonts w:hint="eastAsia" w:ascii="宋体" w:hAnsi="宋体"/>
          <w:b/>
          <w:snapToGrid w:val="0"/>
          <w:sz w:val="36"/>
          <w:szCs w:val="36"/>
        </w:rPr>
        <w:t>2026年10月</w:t>
      </w:r>
    </w:p>
    <w:p w14:paraId="52EB2CF3">
      <w:pPr>
        <w:jc w:val="center"/>
        <w:rPr>
          <w:rFonts w:ascii="黑体" w:eastAsia="黑体"/>
          <w:b/>
          <w:kern w:val="44"/>
          <w:sz w:val="48"/>
          <w:szCs w:val="20"/>
        </w:rPr>
      </w:pPr>
      <w:r>
        <w:br w:type="page"/>
      </w:r>
      <w:bookmarkStart w:id="2" w:name="_GoBack"/>
      <w:bookmarkEnd w:id="2"/>
      <w:bookmarkStart w:id="0" w:name="_Toc129880039"/>
      <w:bookmarkStart w:id="1" w:name="_Toc512937852"/>
      <w:r>
        <w:rPr>
          <w:rFonts w:hint="eastAsia" w:ascii="宋体" w:hAnsi="宋体"/>
          <w:b/>
          <w:sz w:val="30"/>
          <w:szCs w:val="30"/>
        </w:rPr>
        <w:t>第八部分 采购需求</w:t>
      </w:r>
      <w:bookmarkEnd w:id="0"/>
    </w:p>
    <w:bookmarkEnd w:id="1"/>
    <w:p w14:paraId="23284F07">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5C6C96D5">
      <w:pPr>
        <w:adjustRightInd w:val="0"/>
        <w:snapToGrid w:val="0"/>
        <w:jc w:val="center"/>
        <w:rPr>
          <w:rFonts w:hint="eastAsia" w:ascii="宋体" w:hAnsi="宋体"/>
          <w:b/>
          <w:sz w:val="30"/>
          <w:szCs w:val="30"/>
        </w:rPr>
      </w:pPr>
    </w:p>
    <w:tbl>
      <w:tblPr>
        <w:tblStyle w:val="39"/>
        <w:tblW w:w="67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38"/>
        <w:gridCol w:w="3675"/>
        <w:gridCol w:w="2127"/>
      </w:tblGrid>
      <w:tr w14:paraId="72975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938" w:type="dxa"/>
            <w:vAlign w:val="center"/>
          </w:tcPr>
          <w:p w14:paraId="4CE35AAC">
            <w:pPr>
              <w:jc w:val="center"/>
              <w:rPr>
                <w:rFonts w:ascii="宋体" w:hAnsi="Bookman Old Style"/>
                <w:sz w:val="24"/>
              </w:rPr>
            </w:pPr>
            <w:r>
              <w:rPr>
                <w:rFonts w:hint="eastAsia" w:ascii="宋体" w:hAnsi="Bookman Old Style"/>
                <w:sz w:val="24"/>
              </w:rPr>
              <w:t>包号</w:t>
            </w:r>
          </w:p>
        </w:tc>
        <w:tc>
          <w:tcPr>
            <w:tcW w:w="3675" w:type="dxa"/>
            <w:vAlign w:val="center"/>
          </w:tcPr>
          <w:p w14:paraId="491A4489">
            <w:pPr>
              <w:jc w:val="center"/>
              <w:rPr>
                <w:rFonts w:ascii="宋体" w:hAnsi="Bookman Old Style"/>
                <w:sz w:val="24"/>
              </w:rPr>
            </w:pPr>
            <w:r>
              <w:rPr>
                <w:rFonts w:hint="eastAsia" w:ascii="宋体" w:hAnsi="Bookman Old Style"/>
                <w:sz w:val="24"/>
              </w:rPr>
              <w:t>货物名称</w:t>
            </w:r>
          </w:p>
        </w:tc>
        <w:tc>
          <w:tcPr>
            <w:tcW w:w="2127" w:type="dxa"/>
            <w:vAlign w:val="center"/>
          </w:tcPr>
          <w:p w14:paraId="0FC423A0">
            <w:pPr>
              <w:jc w:val="center"/>
              <w:rPr>
                <w:rFonts w:ascii="宋体" w:hAnsi="Bookman Old Style"/>
                <w:sz w:val="24"/>
              </w:rPr>
            </w:pPr>
            <w:r>
              <w:rPr>
                <w:rFonts w:hint="eastAsia" w:ascii="宋体" w:hAnsi="Bookman Old Style"/>
                <w:sz w:val="24"/>
              </w:rPr>
              <w:t>数量</w:t>
            </w:r>
          </w:p>
        </w:tc>
      </w:tr>
      <w:tr w14:paraId="247D6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938" w:type="dxa"/>
            <w:vAlign w:val="center"/>
          </w:tcPr>
          <w:p w14:paraId="339109EA">
            <w:pPr>
              <w:jc w:val="center"/>
              <w:rPr>
                <w:rFonts w:ascii="宋体"/>
                <w:sz w:val="24"/>
              </w:rPr>
            </w:pPr>
            <w:r>
              <w:rPr>
                <w:rFonts w:hint="eastAsia" w:ascii="宋体"/>
                <w:sz w:val="24"/>
              </w:rPr>
              <w:t>1</w:t>
            </w:r>
          </w:p>
        </w:tc>
        <w:tc>
          <w:tcPr>
            <w:tcW w:w="3675" w:type="dxa"/>
            <w:vAlign w:val="center"/>
          </w:tcPr>
          <w:p w14:paraId="5E361D90">
            <w:pPr>
              <w:jc w:val="center"/>
              <w:rPr>
                <w:rFonts w:ascii="Bookman Old Style" w:hAnsi="Bookman Old Style"/>
                <w:sz w:val="24"/>
              </w:rPr>
            </w:pPr>
            <w:r>
              <w:rPr>
                <w:rFonts w:hint="eastAsia" w:ascii="Bookman Old Style" w:hAnsi="Bookman Old Style"/>
                <w:sz w:val="24"/>
              </w:rPr>
              <w:t>椭圆偏振光谱仪</w:t>
            </w:r>
          </w:p>
        </w:tc>
        <w:tc>
          <w:tcPr>
            <w:tcW w:w="2127" w:type="dxa"/>
            <w:vAlign w:val="center"/>
          </w:tcPr>
          <w:p w14:paraId="5D19090F">
            <w:pPr>
              <w:jc w:val="center"/>
              <w:rPr>
                <w:rFonts w:ascii="宋体" w:hAnsi="Bookman Old Style"/>
                <w:sz w:val="24"/>
              </w:rPr>
            </w:pPr>
            <w:r>
              <w:rPr>
                <w:rFonts w:hint="eastAsia" w:ascii="宋体" w:hAnsi="Bookman Old Style"/>
                <w:sz w:val="24"/>
              </w:rPr>
              <w:t>1套</w:t>
            </w:r>
          </w:p>
        </w:tc>
      </w:tr>
    </w:tbl>
    <w:p w14:paraId="79BC415C">
      <w:pPr>
        <w:adjustRightInd w:val="0"/>
        <w:snapToGrid w:val="0"/>
        <w:jc w:val="center"/>
        <w:rPr>
          <w:rFonts w:hint="eastAsia" w:ascii="宋体" w:hAnsi="宋体"/>
          <w:b/>
          <w:sz w:val="30"/>
          <w:szCs w:val="30"/>
        </w:rPr>
      </w:pPr>
    </w:p>
    <w:p w14:paraId="462467D3">
      <w:pPr>
        <w:adjustRightInd w:val="0"/>
        <w:snapToGrid w:val="0"/>
        <w:jc w:val="center"/>
        <w:rPr>
          <w:rFonts w:hint="eastAsia" w:ascii="宋体" w:hAnsi="宋体"/>
          <w:b/>
          <w:sz w:val="30"/>
          <w:szCs w:val="30"/>
        </w:rPr>
      </w:pPr>
    </w:p>
    <w:p w14:paraId="7DAFD7CD">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5DF6BE9E">
      <w:pPr>
        <w:adjustRightInd w:val="0"/>
        <w:snapToGrid w:val="0"/>
        <w:rPr>
          <w:rFonts w:hint="eastAsia" w:ascii="宋体" w:hAnsi="宋体"/>
          <w:szCs w:val="21"/>
        </w:rPr>
      </w:pPr>
    </w:p>
    <w:p w14:paraId="5DFBAA02">
      <w:pPr>
        <w:adjustRightInd w:val="0"/>
        <w:snapToGrid w:val="0"/>
        <w:rPr>
          <w:rFonts w:hint="eastAsia" w:ascii="宋体" w:hAnsi="宋体"/>
          <w:szCs w:val="21"/>
        </w:rPr>
      </w:pPr>
    </w:p>
    <w:p w14:paraId="1AB5FD2C">
      <w:pPr>
        <w:adjustRightInd w:val="0"/>
        <w:snapToGrid w:val="0"/>
        <w:rPr>
          <w:rFonts w:hint="eastAsia" w:ascii="宋体" w:hAnsi="宋体"/>
          <w:szCs w:val="21"/>
        </w:rPr>
      </w:pPr>
    </w:p>
    <w:p w14:paraId="52BE50C8">
      <w:pPr>
        <w:adjustRightInd w:val="0"/>
        <w:snapToGrid w:val="0"/>
        <w:spacing w:line="360" w:lineRule="auto"/>
        <w:rPr>
          <w:rFonts w:hint="eastAsia" w:ascii="宋体" w:hAnsi="宋体"/>
          <w:b/>
          <w:sz w:val="28"/>
          <w:szCs w:val="28"/>
        </w:rPr>
      </w:pPr>
      <w:r>
        <w:rPr>
          <w:rFonts w:ascii="宋体" w:hAnsi="宋体"/>
          <w:b/>
          <w:sz w:val="30"/>
          <w:szCs w:val="30"/>
        </w:rPr>
        <w:br w:type="page"/>
      </w:r>
      <w:r>
        <w:rPr>
          <w:rFonts w:hint="eastAsia" w:ascii="宋体" w:hAnsi="宋体"/>
          <w:b/>
          <w:sz w:val="28"/>
          <w:szCs w:val="28"/>
        </w:rPr>
        <w:t>一、总则</w:t>
      </w:r>
    </w:p>
    <w:p w14:paraId="6A2DF3A7">
      <w:pPr>
        <w:adjustRightInd w:val="0"/>
        <w:snapToGrid w:val="0"/>
        <w:spacing w:line="300" w:lineRule="auto"/>
        <w:rPr>
          <w:rFonts w:hint="eastAsia" w:ascii="宋体" w:hAnsi="宋体"/>
          <w:b/>
          <w:sz w:val="24"/>
        </w:rPr>
      </w:pPr>
      <w:r>
        <w:rPr>
          <w:rFonts w:ascii="宋体" w:hAnsi="宋体"/>
          <w:b/>
          <w:sz w:val="24"/>
        </w:rPr>
        <w:t>1</w:t>
      </w:r>
      <w:r>
        <w:rPr>
          <w:rFonts w:hint="eastAsia" w:ascii="宋体" w:hAnsi="宋体"/>
          <w:b/>
          <w:sz w:val="24"/>
        </w:rPr>
        <w:t>、投标要求</w:t>
      </w:r>
    </w:p>
    <w:p w14:paraId="7FE93630">
      <w:pPr>
        <w:spacing w:line="30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30D0DE8D">
      <w:pPr>
        <w:spacing w:line="30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57F69EAA">
      <w:pPr>
        <w:spacing w:line="30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w:t>
      </w:r>
    </w:p>
    <w:p w14:paraId="2B31B8A0">
      <w:pPr>
        <w:spacing w:line="30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2D8495F0">
      <w:pPr>
        <w:adjustRightInd w:val="0"/>
        <w:snapToGrid w:val="0"/>
        <w:spacing w:line="300" w:lineRule="auto"/>
        <w:rPr>
          <w:rFonts w:hint="eastAsia" w:ascii="宋体" w:hAnsi="宋体"/>
          <w:b/>
          <w:sz w:val="24"/>
        </w:rPr>
      </w:pPr>
      <w:r>
        <w:rPr>
          <w:rFonts w:hint="eastAsia" w:ascii="宋体" w:hAnsi="宋体"/>
          <w:b/>
          <w:sz w:val="24"/>
        </w:rPr>
        <w:t>2、评标标准</w:t>
      </w:r>
    </w:p>
    <w:p w14:paraId="5278DA6C">
      <w:pPr>
        <w:spacing w:line="30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016050F5">
      <w:pPr>
        <w:spacing w:line="30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670E73CF">
      <w:pPr>
        <w:spacing w:line="30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307DBDDE">
      <w:pPr>
        <w:spacing w:line="30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62E9C1A4">
      <w:pPr>
        <w:spacing w:line="300" w:lineRule="auto"/>
        <w:ind w:left="554" w:hanging="554" w:hangingChars="231"/>
        <w:rPr>
          <w:rFonts w:hint="eastAsia"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3CB6A22C">
      <w:pPr>
        <w:adjustRightInd w:val="0"/>
        <w:snapToGrid w:val="0"/>
        <w:spacing w:line="300" w:lineRule="auto"/>
        <w:rPr>
          <w:rFonts w:hint="eastAsia" w:ascii="宋体" w:hAnsi="宋体"/>
          <w:b/>
          <w:sz w:val="24"/>
        </w:rPr>
      </w:pPr>
      <w:r>
        <w:rPr>
          <w:rFonts w:hint="eastAsia" w:ascii="宋体" w:hAnsi="宋体"/>
          <w:b/>
          <w:sz w:val="24"/>
        </w:rPr>
        <w:t>3、工作条件</w:t>
      </w:r>
    </w:p>
    <w:p w14:paraId="4578338C">
      <w:pPr>
        <w:spacing w:line="30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2F5E593A">
      <w:pPr>
        <w:spacing w:line="30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5191D7F7">
      <w:pPr>
        <w:spacing w:line="30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63170D06">
      <w:pPr>
        <w:spacing w:line="30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065B8769">
      <w:pPr>
        <w:spacing w:line="300" w:lineRule="auto"/>
        <w:ind w:left="554" w:hanging="554" w:hangingChars="231"/>
        <w:rPr>
          <w:rFonts w:eastAsia="黑体"/>
          <w:b/>
          <w:bCs/>
          <w:kern w:val="44"/>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00666DA9">
      <w:pPr>
        <w:adjustRightInd w:val="0"/>
        <w:snapToGrid w:val="0"/>
        <w:spacing w:line="300" w:lineRule="auto"/>
        <w:rPr>
          <w:rFonts w:hint="eastAsia" w:ascii="宋体" w:hAnsi="宋体"/>
          <w:b/>
          <w:sz w:val="24"/>
        </w:rPr>
      </w:pPr>
      <w:r>
        <w:rPr>
          <w:rFonts w:hint="eastAsia" w:ascii="宋体" w:hAnsi="宋体"/>
          <w:b/>
          <w:sz w:val="24"/>
        </w:rPr>
        <w:t>4、验收标准</w:t>
      </w:r>
    </w:p>
    <w:p w14:paraId="7489ADCE">
      <w:pPr>
        <w:spacing w:line="30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60DDA7A1">
      <w:pPr>
        <w:spacing w:line="30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3274B404">
      <w:pPr>
        <w:spacing w:line="30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422ABFD7">
      <w:pPr>
        <w:spacing w:line="30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7D0E7265">
      <w:pPr>
        <w:adjustRightInd w:val="0"/>
        <w:snapToGrid w:val="0"/>
        <w:spacing w:line="300" w:lineRule="auto"/>
        <w:rPr>
          <w:rFonts w:hint="eastAsia" w:ascii="宋体" w:hAnsi="宋体"/>
          <w:b/>
          <w:sz w:val="24"/>
        </w:rPr>
      </w:pPr>
    </w:p>
    <w:p w14:paraId="2E477DFC">
      <w:pPr>
        <w:adjustRightInd w:val="0"/>
        <w:snapToGrid w:val="0"/>
        <w:spacing w:line="300" w:lineRule="auto"/>
        <w:ind w:left="360" w:hanging="360"/>
        <w:rPr>
          <w:rFonts w:hint="eastAsia" w:ascii="宋体" w:hAnsi="宋体"/>
          <w:b/>
          <w:sz w:val="24"/>
        </w:rPr>
      </w:pPr>
      <w:r>
        <w:rPr>
          <w:rFonts w:hint="eastAsia" w:ascii="宋体" w:hAnsi="宋体"/>
          <w:b/>
          <w:sz w:val="24"/>
        </w:rPr>
        <w:t>5、如在具体技术规格中有本总则不一致之处，以具体技术规格中的要求为准。</w:t>
      </w:r>
    </w:p>
    <w:p w14:paraId="07B8F89A">
      <w:pPr>
        <w:adjustRightInd w:val="0"/>
        <w:snapToGrid w:val="0"/>
        <w:spacing w:line="300" w:lineRule="auto"/>
        <w:rPr>
          <w:rFonts w:hint="eastAsia" w:ascii="宋体" w:hAnsi="宋体"/>
          <w:b/>
          <w:sz w:val="24"/>
        </w:rPr>
      </w:pPr>
    </w:p>
    <w:p w14:paraId="5E25ED6E">
      <w:pPr>
        <w:adjustRightInd w:val="0"/>
        <w:snapToGrid w:val="0"/>
        <w:spacing w:line="300" w:lineRule="auto"/>
        <w:rPr>
          <w:rFonts w:hint="eastAsia" w:ascii="宋体" w:hAnsi="宋体"/>
          <w:b/>
          <w:sz w:val="24"/>
        </w:rPr>
      </w:pPr>
      <w:r>
        <w:rPr>
          <w:rFonts w:hint="eastAsia"/>
          <w:b/>
          <w:bCs/>
          <w:sz w:val="24"/>
        </w:rPr>
        <w:t>6、本采购需求书中标注“★”号条款的为实质性要求，不满足其投标将视为无效投标被拒绝。</w:t>
      </w:r>
    </w:p>
    <w:p w14:paraId="70128BB8">
      <w:pPr>
        <w:adjustRightInd w:val="0"/>
        <w:snapToGrid w:val="0"/>
        <w:spacing w:line="300" w:lineRule="auto"/>
        <w:rPr>
          <w:rFonts w:hint="eastAsia" w:ascii="宋体" w:hAnsi="宋体"/>
          <w:b/>
          <w:sz w:val="24"/>
          <w:szCs w:val="22"/>
        </w:rPr>
      </w:pPr>
      <w:r>
        <w:rPr>
          <w:rFonts w:hint="eastAsia" w:ascii="宋体" w:hAnsi="宋体"/>
          <w:b/>
          <w:sz w:val="24"/>
          <w:szCs w:val="22"/>
        </w:rPr>
        <w:t>6.1、 对于技术要求及技术方案要求中的</w:t>
      </w:r>
      <w:r>
        <w:rPr>
          <w:rFonts w:hint="eastAsia"/>
          <w:b/>
          <w:bCs/>
          <w:sz w:val="24"/>
        </w:rPr>
        <w:t>“★”号技术条款：</w:t>
      </w:r>
      <w:r>
        <w:rPr>
          <w:rFonts w:hint="eastAsia" w:ascii="宋体" w:hAnsi="宋体"/>
          <w:b/>
          <w:sz w:val="24"/>
          <w:szCs w:val="22"/>
        </w:rPr>
        <w:t>为证明所投货物参数的真实性，投标商需提供</w:t>
      </w:r>
      <w:r>
        <w:rPr>
          <w:rFonts w:hint="eastAsia" w:ascii="宋体" w:hAnsi="宋体"/>
          <w:b/>
          <w:sz w:val="24"/>
        </w:rPr>
        <w:t>制造厂公开发布的印刷资料或检测机构出具的检测报告</w:t>
      </w:r>
      <w:r>
        <w:rPr>
          <w:rFonts w:hint="eastAsia" w:ascii="宋体" w:hAnsi="宋体"/>
          <w:b/>
          <w:sz w:val="24"/>
          <w:szCs w:val="22"/>
        </w:rPr>
        <w:t>否则视同不满足。</w:t>
      </w:r>
    </w:p>
    <w:p w14:paraId="12870E3A">
      <w:pPr>
        <w:adjustRightInd w:val="0"/>
        <w:snapToGrid w:val="0"/>
        <w:spacing w:line="300" w:lineRule="auto"/>
        <w:rPr>
          <w:rFonts w:hint="eastAsia" w:ascii="宋体" w:hAnsi="宋体"/>
          <w:b/>
          <w:sz w:val="24"/>
          <w:szCs w:val="22"/>
        </w:rPr>
      </w:pPr>
      <w:r>
        <w:rPr>
          <w:rFonts w:hint="eastAsia" w:ascii="宋体" w:hAnsi="宋体"/>
          <w:b/>
          <w:sz w:val="24"/>
          <w:szCs w:val="22"/>
        </w:rPr>
        <w:t>6.2、 对于其他</w:t>
      </w:r>
      <w:r>
        <w:rPr>
          <w:rFonts w:hint="eastAsia"/>
          <w:b/>
          <w:bCs/>
          <w:sz w:val="24"/>
        </w:rPr>
        <w:t>“★”号条款：投标文件中内容必须响应并提供承诺，无需提供技术支持材料。</w:t>
      </w:r>
    </w:p>
    <w:p w14:paraId="62398EA0">
      <w:pPr>
        <w:adjustRightInd w:val="0"/>
        <w:snapToGrid w:val="0"/>
        <w:spacing w:line="360" w:lineRule="auto"/>
        <w:rPr>
          <w:rFonts w:hint="eastAsia" w:ascii="宋体" w:hAnsi="宋体"/>
          <w:b/>
          <w:sz w:val="24"/>
        </w:rPr>
      </w:pPr>
    </w:p>
    <w:p w14:paraId="55217BDF">
      <w:pPr>
        <w:adjustRightInd w:val="0"/>
        <w:snapToGrid w:val="0"/>
        <w:spacing w:line="360" w:lineRule="auto"/>
        <w:rPr>
          <w:rFonts w:hint="eastAsia" w:ascii="宋体" w:hAnsi="宋体"/>
          <w:b/>
          <w:sz w:val="28"/>
          <w:szCs w:val="28"/>
        </w:rPr>
      </w:pPr>
      <w:r>
        <w:rPr>
          <w:rFonts w:ascii="宋体" w:hAnsi="宋体"/>
          <w:b/>
          <w:sz w:val="28"/>
        </w:rPr>
        <w:br w:type="page"/>
      </w:r>
      <w:r>
        <w:rPr>
          <w:rFonts w:hint="eastAsia" w:ascii="宋体" w:hAnsi="宋体"/>
          <w:b/>
          <w:sz w:val="28"/>
          <w:szCs w:val="28"/>
        </w:rPr>
        <w:t>二、具体技术规格</w:t>
      </w:r>
    </w:p>
    <w:p w14:paraId="0099FB7F">
      <w:pPr>
        <w:jc w:val="center"/>
        <w:rPr>
          <w:b/>
          <w:sz w:val="24"/>
        </w:rPr>
      </w:pPr>
    </w:p>
    <w:p w14:paraId="2E51F6AD">
      <w:pPr>
        <w:jc w:val="center"/>
        <w:rPr>
          <w:b/>
          <w:sz w:val="24"/>
        </w:rPr>
      </w:pPr>
      <w:r>
        <w:rPr>
          <w:rFonts w:hint="eastAsia"/>
          <w:b/>
          <w:sz w:val="24"/>
        </w:rPr>
        <w:t>椭圆偏振光谱仪</w:t>
      </w:r>
    </w:p>
    <w:p w14:paraId="197125E4">
      <w:pPr>
        <w:rPr>
          <w:b/>
          <w:sz w:val="24"/>
        </w:rPr>
      </w:pPr>
    </w:p>
    <w:p w14:paraId="24C74F0B">
      <w:pPr>
        <w:numPr>
          <w:ilvl w:val="0"/>
          <w:numId w:val="1"/>
        </w:numPr>
        <w:spacing w:line="360" w:lineRule="auto"/>
        <w:rPr>
          <w:rFonts w:hint="eastAsia" w:ascii="宋体" w:hAnsi="宋体"/>
          <w:b/>
          <w:sz w:val="24"/>
        </w:rPr>
      </w:pPr>
      <w:r>
        <w:rPr>
          <w:rFonts w:hint="eastAsia" w:ascii="宋体" w:hAnsi="宋体"/>
          <w:b/>
          <w:bCs/>
          <w:sz w:val="24"/>
        </w:rPr>
        <w:t>综述</w:t>
      </w:r>
    </w:p>
    <w:p w14:paraId="0D302577">
      <w:pPr>
        <w:spacing w:line="360" w:lineRule="auto"/>
        <w:jc w:val="left"/>
        <w:rPr>
          <w:rFonts w:hint="eastAsia" w:ascii="宋体" w:hAnsi="宋体"/>
          <w:sz w:val="24"/>
        </w:rPr>
      </w:pPr>
      <w:r>
        <w:rPr>
          <w:rFonts w:hint="eastAsia" w:ascii="宋体" w:hAnsi="宋体"/>
          <w:sz w:val="24"/>
        </w:rPr>
        <w:t>1、设备名称：椭圆偏振光谱仪</w:t>
      </w:r>
    </w:p>
    <w:p w14:paraId="0B19F481">
      <w:pPr>
        <w:spacing w:line="360" w:lineRule="auto"/>
        <w:jc w:val="left"/>
        <w:rPr>
          <w:rFonts w:hint="eastAsia" w:ascii="宋体" w:hAnsi="宋体"/>
          <w:sz w:val="24"/>
        </w:rPr>
      </w:pPr>
      <w:r>
        <w:rPr>
          <w:rFonts w:hint="eastAsia" w:ascii="宋体" w:hAnsi="宋体"/>
          <w:sz w:val="24"/>
        </w:rPr>
        <w:t>2、数量：1套</w:t>
      </w:r>
    </w:p>
    <w:p w14:paraId="7DC59F69">
      <w:pPr>
        <w:spacing w:line="360" w:lineRule="auto"/>
        <w:jc w:val="left"/>
        <w:rPr>
          <w:rFonts w:hint="eastAsia" w:ascii="宋体" w:hAnsi="宋体"/>
          <w:sz w:val="24"/>
        </w:rPr>
      </w:pPr>
      <w:r>
        <w:rPr>
          <w:rFonts w:hint="eastAsia" w:ascii="宋体" w:hAnsi="宋体"/>
          <w:sz w:val="24"/>
        </w:rPr>
        <w:t>3、交货期：</w:t>
      </w:r>
      <w:r>
        <w:rPr>
          <w:rFonts w:hint="eastAsia"/>
          <w:sz w:val="24"/>
        </w:rPr>
        <w:t>合同生效后9个月内验收完成</w:t>
      </w:r>
    </w:p>
    <w:p w14:paraId="21817D97">
      <w:pPr>
        <w:spacing w:line="360" w:lineRule="auto"/>
        <w:jc w:val="left"/>
        <w:rPr>
          <w:rFonts w:hint="eastAsia" w:ascii="宋体" w:hAnsi="宋体"/>
          <w:sz w:val="24"/>
        </w:rPr>
      </w:pPr>
      <w:r>
        <w:rPr>
          <w:rFonts w:hint="eastAsia" w:ascii="宋体" w:hAnsi="宋体"/>
          <w:sz w:val="24"/>
        </w:rPr>
        <w:t>4、质保期：到货最终验收合格后免费质保1年</w:t>
      </w:r>
    </w:p>
    <w:p w14:paraId="7FBBBE14">
      <w:pPr>
        <w:spacing w:line="360" w:lineRule="auto"/>
        <w:rPr>
          <w:sz w:val="24"/>
        </w:rPr>
      </w:pPr>
    </w:p>
    <w:p w14:paraId="6077F641">
      <w:pPr>
        <w:spacing w:line="360" w:lineRule="auto"/>
        <w:rPr>
          <w:rFonts w:hint="eastAsia" w:ascii="宋体" w:hAnsi="宋体"/>
          <w:b/>
          <w:sz w:val="24"/>
        </w:rPr>
      </w:pPr>
      <w:r>
        <w:rPr>
          <w:rFonts w:hint="eastAsia" w:ascii="宋体" w:hAnsi="宋体"/>
          <w:b/>
          <w:sz w:val="24"/>
        </w:rPr>
        <w:t>二</w:t>
      </w:r>
      <w:r>
        <w:rPr>
          <w:rFonts w:ascii="宋体" w:hAnsi="宋体"/>
          <w:b/>
          <w:sz w:val="24"/>
        </w:rPr>
        <w:t>、</w:t>
      </w:r>
      <w:r>
        <w:rPr>
          <w:rFonts w:hint="eastAsia" w:ascii="宋体" w:hAnsi="宋体"/>
          <w:b/>
          <w:sz w:val="24"/>
        </w:rPr>
        <w:t>计量标准</w:t>
      </w:r>
    </w:p>
    <w:p w14:paraId="752F1884">
      <w:pPr>
        <w:spacing w:line="360" w:lineRule="auto"/>
        <w:ind w:firstLine="480" w:firstLineChars="200"/>
        <w:rPr>
          <w:sz w:val="24"/>
        </w:rPr>
      </w:pPr>
      <w:r>
        <w:rPr>
          <w:rFonts w:hint="eastAsia"/>
          <w:sz w:val="24"/>
        </w:rPr>
        <w:t>设备的设计和制造符合出厂技术指标要求，并符合ISO国际标准；所有的可更换零部件和各种仪表的计量单位和标出单位应全部采用国际单位（SI）标准；设备符合有关国际和中国国家安全标准，以及相应的安全与健康及环保要求。</w:t>
      </w:r>
    </w:p>
    <w:p w14:paraId="2ACC784A">
      <w:pPr>
        <w:spacing w:line="360" w:lineRule="auto"/>
        <w:rPr>
          <w:b/>
          <w:bCs/>
          <w:sz w:val="24"/>
        </w:rPr>
      </w:pPr>
    </w:p>
    <w:p w14:paraId="012F7DF0">
      <w:pPr>
        <w:spacing w:line="360" w:lineRule="auto"/>
        <w:rPr>
          <w:b/>
          <w:bCs/>
          <w:sz w:val="24"/>
        </w:rPr>
      </w:pPr>
      <w:r>
        <w:rPr>
          <w:rFonts w:hint="eastAsia"/>
          <w:b/>
          <w:bCs/>
          <w:sz w:val="24"/>
        </w:rPr>
        <w:t>三、技术要求</w:t>
      </w:r>
    </w:p>
    <w:p w14:paraId="15FF0581">
      <w:pPr>
        <w:spacing w:line="360" w:lineRule="auto"/>
        <w:rPr>
          <w:sz w:val="24"/>
        </w:rPr>
      </w:pPr>
      <w:r>
        <w:rPr>
          <w:rFonts w:hint="eastAsia"/>
          <w:b/>
          <w:bCs/>
          <w:sz w:val="24"/>
        </w:rPr>
        <w:t>★</w:t>
      </w:r>
      <w:r>
        <w:rPr>
          <w:rFonts w:hint="eastAsia"/>
          <w:b/>
          <w:sz w:val="24"/>
        </w:rPr>
        <w:t>1 核心技术指标</w:t>
      </w:r>
      <w:r>
        <w:rPr>
          <w:rFonts w:hint="eastAsia"/>
          <w:sz w:val="24"/>
        </w:rPr>
        <w:t xml:space="preserve">： </w:t>
      </w:r>
    </w:p>
    <w:p w14:paraId="7382EADF">
      <w:pPr>
        <w:spacing w:line="360" w:lineRule="auto"/>
        <w:rPr>
          <w:sz w:val="24"/>
        </w:rPr>
      </w:pPr>
      <w:r>
        <w:rPr>
          <w:rFonts w:hint="eastAsia"/>
          <w:sz w:val="24"/>
        </w:rPr>
        <w:t>★1.1 光谱范围210-1690nm；</w:t>
      </w:r>
    </w:p>
    <w:p w14:paraId="00795D85">
      <w:pPr>
        <w:spacing w:line="360" w:lineRule="auto"/>
        <w:rPr>
          <w:sz w:val="24"/>
        </w:rPr>
      </w:pPr>
      <w:r>
        <w:rPr>
          <w:rFonts w:hint="eastAsia"/>
          <w:sz w:val="24"/>
        </w:rPr>
        <w:t>★1.2单点测量时间：最短光谱采集时间≤0.06秒(全光谱测试，测试光谱点≥600点）；</w:t>
      </w:r>
    </w:p>
    <w:p w14:paraId="4B0573C8">
      <w:pPr>
        <w:spacing w:line="360" w:lineRule="auto"/>
        <w:rPr>
          <w:sz w:val="24"/>
        </w:rPr>
      </w:pPr>
      <w:r>
        <w:rPr>
          <w:rFonts w:hint="eastAsia"/>
          <w:sz w:val="24"/>
        </w:rPr>
        <w:t>★1.3动态数据采集速率：1分钟可采集数据≥1000个，(全光谱测试，测试光谱点≥600点）。</w:t>
      </w:r>
    </w:p>
    <w:p w14:paraId="2B37AFE7">
      <w:pPr>
        <w:spacing w:line="360" w:lineRule="auto"/>
        <w:rPr>
          <w:b/>
          <w:bCs/>
          <w:sz w:val="24"/>
        </w:rPr>
      </w:pPr>
    </w:p>
    <w:p w14:paraId="1263F39B">
      <w:pPr>
        <w:spacing w:line="360" w:lineRule="auto"/>
        <w:rPr>
          <w:b/>
          <w:bCs/>
          <w:sz w:val="24"/>
        </w:rPr>
      </w:pPr>
      <w:r>
        <w:rPr>
          <w:rFonts w:hint="eastAsia"/>
          <w:b/>
          <w:bCs/>
          <w:sz w:val="24"/>
        </w:rPr>
        <w:t>2 其它技术指标：</w:t>
      </w:r>
    </w:p>
    <w:p w14:paraId="581268FA">
      <w:pPr>
        <w:spacing w:line="360" w:lineRule="auto"/>
        <w:rPr>
          <w:sz w:val="24"/>
        </w:rPr>
      </w:pPr>
      <w:r>
        <w:rPr>
          <w:rFonts w:hint="eastAsia"/>
          <w:sz w:val="24"/>
        </w:rPr>
        <w:t>2.1 测试准确性（测空气）：95%测试波长满足：Ψ=45°±0.075°，Δ=0°±0.05°；</w:t>
      </w:r>
    </w:p>
    <w:p w14:paraId="4D71300F">
      <w:pPr>
        <w:spacing w:line="360" w:lineRule="auto"/>
        <w:rPr>
          <w:sz w:val="24"/>
        </w:rPr>
      </w:pPr>
      <w:r>
        <w:rPr>
          <w:rFonts w:hint="eastAsia"/>
          <w:sz w:val="24"/>
        </w:rPr>
        <w:t>测试重复性（测空气）：δΨ≤0.015°，δΨ≤0.015°；</w:t>
      </w:r>
    </w:p>
    <w:p w14:paraId="0A4DA085">
      <w:pPr>
        <w:spacing w:line="360" w:lineRule="auto"/>
        <w:rPr>
          <w:sz w:val="24"/>
        </w:rPr>
      </w:pPr>
      <w:r>
        <w:rPr>
          <w:rFonts w:hint="eastAsia"/>
          <w:sz w:val="24"/>
        </w:rPr>
        <w:t>2.2 膜厚重复测量：≤0.005nm （30次SiO2厚度测量的标准偏差，样品为标称25nm热氧化层的硅片）；</w:t>
      </w:r>
    </w:p>
    <w:p w14:paraId="5F13C576">
      <w:pPr>
        <w:spacing w:line="360" w:lineRule="auto"/>
        <w:rPr>
          <w:sz w:val="24"/>
        </w:rPr>
      </w:pPr>
      <w:r>
        <w:rPr>
          <w:rFonts w:hint="eastAsia"/>
          <w:sz w:val="24"/>
        </w:rPr>
        <w:t>2.3具备MBE原位在线检测能力</w:t>
      </w:r>
      <w:r>
        <w:rPr>
          <w:rFonts w:hint="eastAsia"/>
        </w:rPr>
        <w:t>，</w:t>
      </w:r>
      <w:r>
        <w:rPr>
          <w:rFonts w:hint="eastAsia"/>
          <w:sz w:val="24"/>
        </w:rPr>
        <w:t>安装窗口适配CF35标准法兰；</w:t>
      </w:r>
    </w:p>
    <w:p w14:paraId="148B3415">
      <w:pPr>
        <w:spacing w:line="360" w:lineRule="auto"/>
        <w:rPr>
          <w:sz w:val="24"/>
        </w:rPr>
      </w:pPr>
      <w:r>
        <w:rPr>
          <w:rFonts w:hint="eastAsia"/>
          <w:sz w:val="24"/>
        </w:rPr>
        <w:t>2.4 石英窗口光谱透过范围满足210-1690nm，透过率＞85%；</w:t>
      </w:r>
    </w:p>
    <w:p w14:paraId="3B59D8E7">
      <w:pPr>
        <w:spacing w:line="360" w:lineRule="auto"/>
        <w:rPr>
          <w:sz w:val="24"/>
        </w:rPr>
      </w:pPr>
      <w:r>
        <w:rPr>
          <w:rFonts w:hint="eastAsia"/>
          <w:sz w:val="24"/>
        </w:rPr>
        <w:t>2.5 在线用匹配支架满足光斑的俯仰调整；</w:t>
      </w:r>
    </w:p>
    <w:p w14:paraId="00E2F681">
      <w:pPr>
        <w:spacing w:line="360" w:lineRule="auto"/>
        <w:rPr>
          <w:sz w:val="24"/>
        </w:rPr>
      </w:pPr>
      <w:r>
        <w:rPr>
          <w:rFonts w:hint="eastAsia"/>
          <w:sz w:val="24"/>
        </w:rPr>
        <w:t>2.6 光斑直径2-5mm。</w:t>
      </w:r>
    </w:p>
    <w:p w14:paraId="1E176B83">
      <w:pPr>
        <w:spacing w:line="360" w:lineRule="auto"/>
        <w:rPr>
          <w:sz w:val="24"/>
        </w:rPr>
      </w:pPr>
    </w:p>
    <w:p w14:paraId="0384405C">
      <w:pPr>
        <w:spacing w:line="560" w:lineRule="exact"/>
        <w:rPr>
          <w:b/>
          <w:bCs/>
          <w:sz w:val="24"/>
        </w:rPr>
      </w:pPr>
      <w:r>
        <w:rPr>
          <w:rFonts w:hint="eastAsia"/>
          <w:b/>
          <w:bCs/>
          <w:sz w:val="24"/>
        </w:rPr>
        <w:t>四</w:t>
      </w:r>
      <w:r>
        <w:rPr>
          <w:b/>
          <w:bCs/>
          <w:sz w:val="24"/>
        </w:rPr>
        <w:t>、包装与运输：</w:t>
      </w:r>
    </w:p>
    <w:p w14:paraId="03A5B825">
      <w:pPr>
        <w:spacing w:line="360" w:lineRule="auto"/>
        <w:ind w:firstLine="19" w:firstLineChars="8"/>
        <w:rPr>
          <w:rFonts w:hint="eastAsia"/>
          <w:bCs/>
          <w:sz w:val="24"/>
        </w:rPr>
      </w:pPr>
      <w:r>
        <w:rPr>
          <w:rFonts w:hint="eastAsia"/>
          <w:bCs/>
          <w:sz w:val="24"/>
        </w:rPr>
        <w:t>5</w:t>
      </w:r>
      <w:r>
        <w:rPr>
          <w:bCs/>
          <w:sz w:val="24"/>
        </w:rPr>
        <w:t>.1 乙方需要准备所需包装箱，保证货物到达之后各项功能完好无损</w:t>
      </w:r>
      <w:r>
        <w:rPr>
          <w:rFonts w:hint="eastAsia"/>
          <w:bCs/>
          <w:sz w:val="24"/>
        </w:rPr>
        <w:t>。</w:t>
      </w:r>
    </w:p>
    <w:p w14:paraId="07960D71">
      <w:pPr>
        <w:spacing w:line="360" w:lineRule="auto"/>
        <w:ind w:firstLine="19" w:firstLineChars="8"/>
        <w:rPr>
          <w:rFonts w:hint="eastAsia"/>
          <w:bCs/>
          <w:sz w:val="24"/>
        </w:rPr>
      </w:pPr>
      <w:r>
        <w:rPr>
          <w:rFonts w:hint="eastAsia"/>
          <w:bCs/>
          <w:sz w:val="24"/>
        </w:rPr>
        <w:t>5</w:t>
      </w:r>
      <w:r>
        <w:rPr>
          <w:bCs/>
          <w:sz w:val="24"/>
        </w:rPr>
        <w:t>.2 乙方发货前应先通知甲方，得到甲方确认，并通知后装运、发货</w:t>
      </w:r>
      <w:r>
        <w:rPr>
          <w:rFonts w:hint="eastAsia"/>
          <w:bCs/>
          <w:sz w:val="24"/>
        </w:rPr>
        <w:t>。</w:t>
      </w:r>
    </w:p>
    <w:p w14:paraId="228E6768">
      <w:pPr>
        <w:spacing w:line="360" w:lineRule="auto"/>
        <w:ind w:firstLine="19" w:firstLineChars="8"/>
        <w:rPr>
          <w:bCs/>
          <w:sz w:val="24"/>
        </w:rPr>
      </w:pPr>
    </w:p>
    <w:p w14:paraId="4C21B737">
      <w:pPr>
        <w:spacing w:line="560" w:lineRule="exact"/>
        <w:rPr>
          <w:b/>
          <w:bCs/>
          <w:sz w:val="24"/>
        </w:rPr>
      </w:pPr>
      <w:r>
        <w:rPr>
          <w:rFonts w:hint="eastAsia"/>
          <w:b/>
          <w:bCs/>
          <w:sz w:val="24"/>
        </w:rPr>
        <w:t>五</w:t>
      </w:r>
      <w:r>
        <w:rPr>
          <w:b/>
          <w:bCs/>
          <w:sz w:val="24"/>
        </w:rPr>
        <w:t>、安装与调试</w:t>
      </w:r>
    </w:p>
    <w:p w14:paraId="447EA48A">
      <w:pPr>
        <w:spacing w:line="560" w:lineRule="exact"/>
        <w:rPr>
          <w:sz w:val="24"/>
        </w:rPr>
      </w:pPr>
      <w:r>
        <w:rPr>
          <w:sz w:val="24"/>
        </w:rPr>
        <w:t>1货到客户现场后，乙方负责货物就位、安装、调试的所有工作。</w:t>
      </w:r>
    </w:p>
    <w:p w14:paraId="497B2556">
      <w:pPr>
        <w:spacing w:line="560" w:lineRule="exact"/>
        <w:rPr>
          <w:sz w:val="24"/>
        </w:rPr>
      </w:pPr>
      <w:r>
        <w:rPr>
          <w:sz w:val="24"/>
        </w:rPr>
        <w:t>2乙方提供货物应满足甲方场地的实际情况，实地踏勘测量甲方现场，乙方须充分理解配合甲方使用要求，乙方在产品交付时不得以现场实际情况与场地说明不符作为其产品最终性能无法符合技术协议要求的理由。</w:t>
      </w:r>
    </w:p>
    <w:p w14:paraId="145440F7">
      <w:pPr>
        <w:spacing w:line="560" w:lineRule="exact"/>
        <w:rPr>
          <w:sz w:val="24"/>
        </w:rPr>
      </w:pPr>
    </w:p>
    <w:p w14:paraId="7F4D0CB5">
      <w:pPr>
        <w:spacing w:line="560" w:lineRule="exact"/>
        <w:rPr>
          <w:b/>
          <w:bCs/>
          <w:sz w:val="24"/>
        </w:rPr>
      </w:pPr>
      <w:r>
        <w:rPr>
          <w:rFonts w:hint="eastAsia"/>
          <w:b/>
          <w:bCs/>
          <w:sz w:val="24"/>
        </w:rPr>
        <w:t>六</w:t>
      </w:r>
      <w:r>
        <w:rPr>
          <w:b/>
          <w:bCs/>
          <w:sz w:val="24"/>
        </w:rPr>
        <w:t>、验收</w:t>
      </w:r>
    </w:p>
    <w:p w14:paraId="49ED78CF">
      <w:pPr>
        <w:spacing w:line="560" w:lineRule="exact"/>
        <w:rPr>
          <w:sz w:val="24"/>
        </w:rPr>
      </w:pPr>
      <w:r>
        <w:rPr>
          <w:sz w:val="24"/>
        </w:rPr>
        <w:t>1 正式验收分类</w:t>
      </w:r>
    </w:p>
    <w:p w14:paraId="36407D2F">
      <w:pPr>
        <w:spacing w:line="560" w:lineRule="exact"/>
        <w:rPr>
          <w:sz w:val="24"/>
        </w:rPr>
      </w:pPr>
      <w:r>
        <w:rPr>
          <w:sz w:val="24"/>
        </w:rPr>
        <w:t>正式验收分开箱验收与运行验收两个阶段进行：</w:t>
      </w:r>
    </w:p>
    <w:p w14:paraId="630F41B3">
      <w:pPr>
        <w:spacing w:line="560" w:lineRule="exact"/>
        <w:rPr>
          <w:sz w:val="24"/>
        </w:rPr>
      </w:pPr>
      <w:r>
        <w:rPr>
          <w:sz w:val="24"/>
        </w:rPr>
        <w:t>开箱验收：货物到达甲方现场后、安装调试前，由甲乙双方对设备到货情况进行查验。</w:t>
      </w:r>
    </w:p>
    <w:p w14:paraId="5B5850C2">
      <w:pPr>
        <w:spacing w:line="560" w:lineRule="exact"/>
        <w:rPr>
          <w:sz w:val="24"/>
        </w:rPr>
      </w:pPr>
      <w:r>
        <w:rPr>
          <w:sz w:val="24"/>
        </w:rPr>
        <w:t>运行验收：安装调试完成后，由甲乙双方按招标要求、技术协议等对各项技术参数逐条验收。</w:t>
      </w:r>
    </w:p>
    <w:p w14:paraId="661F0F6C">
      <w:pPr>
        <w:spacing w:line="560" w:lineRule="exact"/>
        <w:rPr>
          <w:sz w:val="24"/>
        </w:rPr>
      </w:pPr>
      <w:r>
        <w:rPr>
          <w:rFonts w:hint="eastAsia"/>
          <w:sz w:val="24"/>
        </w:rPr>
        <w:t>1</w:t>
      </w:r>
      <w:r>
        <w:rPr>
          <w:sz w:val="24"/>
        </w:rPr>
        <w:t>.</w:t>
      </w:r>
      <w:r>
        <w:rPr>
          <w:rFonts w:hint="eastAsia"/>
          <w:sz w:val="24"/>
        </w:rPr>
        <w:t>1</w:t>
      </w:r>
      <w:r>
        <w:rPr>
          <w:sz w:val="24"/>
        </w:rPr>
        <w:t>开箱验收</w:t>
      </w:r>
    </w:p>
    <w:p w14:paraId="509F801E">
      <w:pPr>
        <w:spacing w:line="560" w:lineRule="exact"/>
        <w:rPr>
          <w:sz w:val="24"/>
        </w:rPr>
      </w:pPr>
      <w:r>
        <w:rPr>
          <w:rFonts w:hint="eastAsia"/>
          <w:sz w:val="24"/>
        </w:rPr>
        <w:t>1</w:t>
      </w:r>
      <w:r>
        <w:rPr>
          <w:sz w:val="24"/>
        </w:rPr>
        <w:t>.</w:t>
      </w:r>
      <w:r>
        <w:rPr>
          <w:rFonts w:hint="eastAsia"/>
          <w:sz w:val="24"/>
        </w:rPr>
        <w:t>1</w:t>
      </w:r>
      <w:r>
        <w:rPr>
          <w:sz w:val="24"/>
        </w:rPr>
        <w:t>.1 验收人员：甲乙双方人员，必要时请甲方当地国家商检机构；</w:t>
      </w:r>
    </w:p>
    <w:p w14:paraId="1202EF98">
      <w:pPr>
        <w:spacing w:line="560" w:lineRule="exact"/>
        <w:rPr>
          <w:sz w:val="24"/>
        </w:rPr>
      </w:pPr>
      <w:r>
        <w:rPr>
          <w:rFonts w:hint="eastAsia"/>
          <w:sz w:val="24"/>
        </w:rPr>
        <w:t>1</w:t>
      </w:r>
      <w:r>
        <w:rPr>
          <w:sz w:val="24"/>
        </w:rPr>
        <w:t>.</w:t>
      </w:r>
      <w:r>
        <w:rPr>
          <w:rFonts w:hint="eastAsia"/>
          <w:sz w:val="24"/>
        </w:rPr>
        <w:t>1</w:t>
      </w:r>
      <w:r>
        <w:rPr>
          <w:sz w:val="24"/>
        </w:rPr>
        <w:t>.2验收地点：甲方指定地点现场；</w:t>
      </w:r>
    </w:p>
    <w:p w14:paraId="15AE54E4">
      <w:pPr>
        <w:spacing w:line="560" w:lineRule="exact"/>
        <w:rPr>
          <w:sz w:val="24"/>
        </w:rPr>
      </w:pPr>
      <w:r>
        <w:rPr>
          <w:rFonts w:hint="eastAsia"/>
          <w:sz w:val="24"/>
        </w:rPr>
        <w:t>1</w:t>
      </w:r>
      <w:r>
        <w:rPr>
          <w:sz w:val="24"/>
        </w:rPr>
        <w:t>.</w:t>
      </w:r>
      <w:r>
        <w:rPr>
          <w:rFonts w:hint="eastAsia"/>
          <w:sz w:val="24"/>
        </w:rPr>
        <w:t>1</w:t>
      </w:r>
      <w:r>
        <w:rPr>
          <w:sz w:val="24"/>
        </w:rPr>
        <w:t>.3 验收时间：设备到达甲方指定地点现场后、在甲方指定地点安装调试前；</w:t>
      </w:r>
    </w:p>
    <w:p w14:paraId="5BFB6AEB">
      <w:pPr>
        <w:spacing w:line="560" w:lineRule="exact"/>
        <w:rPr>
          <w:sz w:val="24"/>
        </w:rPr>
      </w:pPr>
      <w:r>
        <w:rPr>
          <w:rFonts w:hint="eastAsia"/>
          <w:sz w:val="24"/>
        </w:rPr>
        <w:t>1</w:t>
      </w:r>
      <w:r>
        <w:rPr>
          <w:sz w:val="24"/>
        </w:rPr>
        <w:t>.</w:t>
      </w:r>
      <w:r>
        <w:rPr>
          <w:rFonts w:hint="eastAsia"/>
          <w:sz w:val="24"/>
        </w:rPr>
        <w:t>1</w:t>
      </w:r>
      <w:r>
        <w:rPr>
          <w:sz w:val="24"/>
        </w:rPr>
        <w:t>.4 验收内容：主要就订购设备的品种、数量、规格型号和随机配件等进行开箱清点货物；</w:t>
      </w:r>
    </w:p>
    <w:p w14:paraId="5741AD22">
      <w:pPr>
        <w:spacing w:line="560" w:lineRule="exact"/>
        <w:rPr>
          <w:sz w:val="24"/>
        </w:rPr>
      </w:pPr>
      <w:r>
        <w:rPr>
          <w:rFonts w:hint="eastAsia"/>
          <w:sz w:val="24"/>
        </w:rPr>
        <w:t>1</w:t>
      </w:r>
      <w:r>
        <w:rPr>
          <w:sz w:val="24"/>
        </w:rPr>
        <w:t>.</w:t>
      </w:r>
      <w:r>
        <w:rPr>
          <w:rFonts w:hint="eastAsia"/>
          <w:sz w:val="24"/>
        </w:rPr>
        <w:t>1</w:t>
      </w:r>
      <w:r>
        <w:rPr>
          <w:sz w:val="24"/>
        </w:rPr>
        <w:t>.5 开箱验收通知：由甲方通知乙方，要求进行设备开箱验收；乙方在接到甲方的通知后七个工作日内派人员到甲方指定地点进行设备开箱验收；</w:t>
      </w:r>
    </w:p>
    <w:p w14:paraId="0D9BE38C">
      <w:pPr>
        <w:spacing w:line="560" w:lineRule="exact"/>
        <w:rPr>
          <w:sz w:val="24"/>
        </w:rPr>
      </w:pPr>
      <w:r>
        <w:rPr>
          <w:rFonts w:hint="eastAsia"/>
          <w:sz w:val="24"/>
        </w:rPr>
        <w:t>1</w:t>
      </w:r>
      <w:r>
        <w:rPr>
          <w:sz w:val="24"/>
        </w:rPr>
        <w:t>.</w:t>
      </w:r>
      <w:r>
        <w:rPr>
          <w:rFonts w:hint="eastAsia"/>
          <w:sz w:val="24"/>
        </w:rPr>
        <w:t>1</w:t>
      </w:r>
      <w:r>
        <w:rPr>
          <w:sz w:val="24"/>
        </w:rPr>
        <w:t>.6 根据开箱验收情况，由甲乙双方代表签署设备开箱验收备忘录。如发现设备损坏或规格型号与合同不符等情况，将按合同由乙方承担责任。</w:t>
      </w:r>
    </w:p>
    <w:p w14:paraId="30751E71">
      <w:pPr>
        <w:spacing w:line="560" w:lineRule="exact"/>
        <w:rPr>
          <w:sz w:val="24"/>
        </w:rPr>
      </w:pPr>
      <w:r>
        <w:rPr>
          <w:rFonts w:hint="eastAsia"/>
          <w:sz w:val="24"/>
        </w:rPr>
        <w:t>1</w:t>
      </w:r>
      <w:r>
        <w:rPr>
          <w:sz w:val="24"/>
        </w:rPr>
        <w:t>.</w:t>
      </w:r>
      <w:r>
        <w:rPr>
          <w:rFonts w:hint="eastAsia"/>
          <w:sz w:val="24"/>
        </w:rPr>
        <w:t>2</w:t>
      </w:r>
      <w:r>
        <w:rPr>
          <w:sz w:val="24"/>
        </w:rPr>
        <w:t xml:space="preserve"> 运行验收</w:t>
      </w:r>
    </w:p>
    <w:p w14:paraId="181DB1D1">
      <w:pPr>
        <w:spacing w:line="560" w:lineRule="exact"/>
        <w:rPr>
          <w:sz w:val="24"/>
        </w:rPr>
      </w:pPr>
      <w:r>
        <w:rPr>
          <w:rFonts w:hint="eastAsia"/>
          <w:sz w:val="24"/>
        </w:rPr>
        <w:t>1</w:t>
      </w:r>
      <w:r>
        <w:rPr>
          <w:sz w:val="24"/>
        </w:rPr>
        <w:t>.</w:t>
      </w:r>
      <w:r>
        <w:rPr>
          <w:rFonts w:hint="eastAsia"/>
          <w:sz w:val="24"/>
        </w:rPr>
        <w:t>2</w:t>
      </w:r>
      <w:r>
        <w:rPr>
          <w:sz w:val="24"/>
        </w:rPr>
        <w:t>.1 验收人员：甲乙双方有关人员，必要时请甲方当地国家商检机构参加；</w:t>
      </w:r>
    </w:p>
    <w:p w14:paraId="463B4D75">
      <w:pPr>
        <w:spacing w:line="560" w:lineRule="exact"/>
        <w:rPr>
          <w:sz w:val="24"/>
        </w:rPr>
      </w:pPr>
      <w:r>
        <w:rPr>
          <w:rFonts w:hint="eastAsia"/>
          <w:sz w:val="24"/>
        </w:rPr>
        <w:t>1</w:t>
      </w:r>
      <w:r>
        <w:rPr>
          <w:sz w:val="24"/>
        </w:rPr>
        <w:t>.</w:t>
      </w:r>
      <w:r>
        <w:rPr>
          <w:rFonts w:hint="eastAsia"/>
          <w:sz w:val="24"/>
        </w:rPr>
        <w:t>2</w:t>
      </w:r>
      <w:r>
        <w:rPr>
          <w:sz w:val="24"/>
        </w:rPr>
        <w:t>.2 验收地点：甲方现场；</w:t>
      </w:r>
    </w:p>
    <w:p w14:paraId="6C17539F">
      <w:pPr>
        <w:spacing w:line="560" w:lineRule="exact"/>
        <w:rPr>
          <w:sz w:val="24"/>
        </w:rPr>
      </w:pPr>
      <w:r>
        <w:rPr>
          <w:rFonts w:hint="eastAsia"/>
          <w:sz w:val="24"/>
        </w:rPr>
        <w:t>1</w:t>
      </w:r>
      <w:r>
        <w:rPr>
          <w:sz w:val="24"/>
        </w:rPr>
        <w:t>.</w:t>
      </w:r>
      <w:r>
        <w:rPr>
          <w:rFonts w:hint="eastAsia"/>
          <w:sz w:val="24"/>
        </w:rPr>
        <w:t>2</w:t>
      </w:r>
      <w:r>
        <w:rPr>
          <w:sz w:val="24"/>
        </w:rPr>
        <w:t>.3 验收时间：乙方在甲方指定地点完成设备安装与调试后；</w:t>
      </w:r>
    </w:p>
    <w:p w14:paraId="55EFFDF6">
      <w:pPr>
        <w:spacing w:line="560" w:lineRule="exact"/>
        <w:rPr>
          <w:sz w:val="24"/>
        </w:rPr>
      </w:pPr>
      <w:r>
        <w:rPr>
          <w:rFonts w:hint="eastAsia"/>
          <w:sz w:val="24"/>
        </w:rPr>
        <w:t>1</w:t>
      </w:r>
      <w:r>
        <w:rPr>
          <w:sz w:val="24"/>
        </w:rPr>
        <w:t>.</w:t>
      </w:r>
      <w:r>
        <w:rPr>
          <w:rFonts w:hint="eastAsia"/>
          <w:sz w:val="24"/>
        </w:rPr>
        <w:t>2</w:t>
      </w:r>
      <w:r>
        <w:rPr>
          <w:sz w:val="24"/>
        </w:rPr>
        <w:t>.4 验收内容: 设备安装与调试后，按照合同及技术协议中的验收标准和规定，甲乙双方验收人员就设备的运行性能、技术参数等进行检查核对，逐条验收。</w:t>
      </w:r>
    </w:p>
    <w:p w14:paraId="72EEA24D">
      <w:pPr>
        <w:spacing w:line="360" w:lineRule="auto"/>
        <w:ind w:firstLine="19" w:firstLineChars="8"/>
        <w:rPr>
          <w:bCs/>
          <w:sz w:val="24"/>
        </w:rPr>
      </w:pPr>
    </w:p>
    <w:p w14:paraId="47D55F4E">
      <w:pPr>
        <w:spacing w:line="560" w:lineRule="exact"/>
        <w:rPr>
          <w:b/>
          <w:bCs/>
          <w:sz w:val="24"/>
        </w:rPr>
      </w:pPr>
      <w:r>
        <w:rPr>
          <w:rFonts w:hint="eastAsia"/>
          <w:b/>
          <w:bCs/>
          <w:sz w:val="24"/>
        </w:rPr>
        <w:t>七、</w:t>
      </w:r>
      <w:r>
        <w:rPr>
          <w:b/>
          <w:bCs/>
          <w:sz w:val="24"/>
        </w:rPr>
        <w:t>提供相关培训与资料</w:t>
      </w:r>
    </w:p>
    <w:p w14:paraId="5FB60C93">
      <w:pPr>
        <w:spacing w:line="560" w:lineRule="exact"/>
        <w:rPr>
          <w:sz w:val="24"/>
        </w:rPr>
      </w:pPr>
      <w:r>
        <w:rPr>
          <w:sz w:val="24"/>
        </w:rPr>
        <w:t>1 乙方负责对客户设备操作、维修等相关人员进行现场培训，保证甲方人员能够熟练使用设备。</w:t>
      </w:r>
    </w:p>
    <w:p w14:paraId="660D4A0D">
      <w:pPr>
        <w:spacing w:line="560" w:lineRule="exact"/>
        <w:rPr>
          <w:sz w:val="24"/>
        </w:rPr>
      </w:pPr>
      <w:r>
        <w:rPr>
          <w:sz w:val="24"/>
        </w:rPr>
        <w:t>2培训内容包括：仪器技术原理、操作、数据处理、基本维护等。</w:t>
      </w:r>
    </w:p>
    <w:p w14:paraId="26DECF15">
      <w:pPr>
        <w:spacing w:line="560" w:lineRule="exact"/>
        <w:rPr>
          <w:sz w:val="24"/>
        </w:rPr>
      </w:pPr>
      <w:r>
        <w:rPr>
          <w:sz w:val="24"/>
        </w:rPr>
        <w:t>3 乙方应提供整机出厂合格文件和设备使用说明书。</w:t>
      </w:r>
    </w:p>
    <w:p w14:paraId="425B707C">
      <w:pPr>
        <w:spacing w:line="560" w:lineRule="exact"/>
        <w:rPr>
          <w:sz w:val="24"/>
        </w:rPr>
      </w:pPr>
    </w:p>
    <w:p w14:paraId="48F71C6A">
      <w:pPr>
        <w:spacing w:line="560" w:lineRule="exact"/>
        <w:rPr>
          <w:b/>
          <w:bCs/>
          <w:sz w:val="24"/>
        </w:rPr>
      </w:pPr>
      <w:r>
        <w:rPr>
          <w:rFonts w:hint="eastAsia"/>
          <w:b/>
          <w:bCs/>
          <w:sz w:val="24"/>
        </w:rPr>
        <w:t>八</w:t>
      </w:r>
      <w:r>
        <w:rPr>
          <w:b/>
          <w:bCs/>
          <w:sz w:val="24"/>
        </w:rPr>
        <w:t>、质保及服务：</w:t>
      </w:r>
    </w:p>
    <w:p w14:paraId="4B09E067">
      <w:pPr>
        <w:spacing w:line="560" w:lineRule="exact"/>
        <w:rPr>
          <w:sz w:val="24"/>
        </w:rPr>
      </w:pPr>
      <w:r>
        <w:rPr>
          <w:sz w:val="24"/>
        </w:rPr>
        <w:t>1 验收合格后免费质保一年。</w:t>
      </w:r>
    </w:p>
    <w:p w14:paraId="54F2BDB6">
      <w:pPr>
        <w:spacing w:line="420" w:lineRule="exact"/>
        <w:rPr>
          <w:sz w:val="24"/>
        </w:rPr>
      </w:pPr>
      <w:r>
        <w:rPr>
          <w:sz w:val="24"/>
        </w:rPr>
        <w:t>2 服务响应：在机器发生故障时,保修期内乙方应在工作日24小时內明确回复；如果未能解決问题,工程师应在工作日72时内到达现场,遇到重大故障时,在工作日48小时内到达现场。</w:t>
      </w:r>
    </w:p>
    <w:p w14:paraId="7F64D757">
      <w:pPr>
        <w:spacing w:line="420" w:lineRule="exact"/>
        <w:rPr>
          <w:sz w:val="24"/>
        </w:rPr>
      </w:pPr>
      <w:r>
        <w:rPr>
          <w:sz w:val="24"/>
        </w:rPr>
        <w:t>3 服务费用：在设备保修期内的，所有服务费用（包括交通、住宿、工资）均由乙方承担,因设备本身原因造成的设备损坏则由乙方承担（不含耗材）；在设备质保期外的，请据实报出维修的收费标准。</w:t>
      </w:r>
    </w:p>
    <w:p w14:paraId="5AA617D8">
      <w:pPr>
        <w:spacing w:line="420" w:lineRule="exact"/>
        <w:rPr>
          <w:sz w:val="24"/>
        </w:rPr>
      </w:pPr>
      <w:r>
        <w:rPr>
          <w:sz w:val="24"/>
        </w:rPr>
        <w:t>4 甲方在设备运行期间，如发生机器的零件损坏，乙方应在工作日24小时内明确回复维修供货期限。</w:t>
      </w:r>
    </w:p>
    <w:p w14:paraId="30EDA165">
      <w:pPr>
        <w:spacing w:line="360" w:lineRule="auto"/>
        <w:rPr>
          <w:rFonts w:hint="eastAsia" w:ascii="宋体" w:hAnsi="宋体"/>
          <w:sz w:val="24"/>
          <w:szCs w:val="32"/>
        </w:rPr>
      </w:pPr>
    </w:p>
    <w:p w14:paraId="2755770F">
      <w:pPr>
        <w:spacing w:line="360" w:lineRule="auto"/>
        <w:rPr>
          <w:b/>
          <w:sz w:val="24"/>
        </w:rPr>
      </w:pPr>
      <w:r>
        <w:rPr>
          <w:rFonts w:hint="eastAsia"/>
          <w:b/>
          <w:sz w:val="24"/>
        </w:rPr>
        <w:t>九、订货数量：</w:t>
      </w:r>
    </w:p>
    <w:p w14:paraId="14C54C59">
      <w:pPr>
        <w:spacing w:line="360" w:lineRule="auto"/>
        <w:ind w:firstLine="240" w:firstLineChars="100"/>
        <w:rPr>
          <w:sz w:val="24"/>
        </w:rPr>
      </w:pPr>
      <w:r>
        <w:rPr>
          <w:rFonts w:hint="eastAsia"/>
          <w:sz w:val="24"/>
        </w:rPr>
        <w:t xml:space="preserve"> 1套。</w:t>
      </w:r>
    </w:p>
    <w:p w14:paraId="700EBA43">
      <w:pPr>
        <w:spacing w:line="360" w:lineRule="auto"/>
        <w:rPr>
          <w:sz w:val="24"/>
        </w:rPr>
      </w:pPr>
    </w:p>
    <w:p w14:paraId="000C8492">
      <w:pPr>
        <w:spacing w:line="360" w:lineRule="auto"/>
        <w:rPr>
          <w:b/>
          <w:sz w:val="24"/>
        </w:rPr>
      </w:pPr>
      <w:r>
        <w:rPr>
          <w:rFonts w:hint="eastAsia"/>
          <w:b/>
          <w:sz w:val="24"/>
        </w:rPr>
        <w:t>十、交货日期和交货地点（项目现场）：</w:t>
      </w:r>
    </w:p>
    <w:p w14:paraId="7B467BA0">
      <w:pPr>
        <w:spacing w:line="360" w:lineRule="auto"/>
        <w:rPr>
          <w:sz w:val="24"/>
        </w:rPr>
      </w:pPr>
      <w:r>
        <w:rPr>
          <w:rFonts w:hint="eastAsia"/>
          <w:sz w:val="24"/>
        </w:rPr>
        <w:t xml:space="preserve">   交货日期：合同生效后9个月内验收完成</w:t>
      </w:r>
    </w:p>
    <w:p w14:paraId="5A0197DF">
      <w:pPr>
        <w:spacing w:line="360" w:lineRule="auto"/>
        <w:rPr>
          <w:sz w:val="24"/>
        </w:rPr>
      </w:pPr>
      <w:r>
        <w:rPr>
          <w:rFonts w:hint="eastAsia"/>
          <w:sz w:val="24"/>
        </w:rPr>
        <w:t xml:space="preserve">   交货地点：用户指定地点（上海）</w:t>
      </w:r>
    </w:p>
    <w:p w14:paraId="0A2C191C">
      <w:pPr>
        <w:spacing w:line="360" w:lineRule="auto"/>
        <w:rPr>
          <w:sz w:val="24"/>
        </w:rPr>
      </w:pPr>
    </w:p>
    <w:p w14:paraId="58CC0B81">
      <w:pPr>
        <w:spacing w:line="360" w:lineRule="auto"/>
        <w:rPr>
          <w:sz w:val="24"/>
        </w:rPr>
      </w:pPr>
      <w:r>
        <w:rPr>
          <w:rFonts w:hint="eastAsia" w:ascii="宋体" w:hAnsi="宋体"/>
          <w:sz w:val="24"/>
        </w:rPr>
        <w:t>★</w:t>
      </w:r>
      <w:r>
        <w:rPr>
          <w:rFonts w:hint="eastAsia"/>
          <w:b/>
          <w:bCs/>
          <w:sz w:val="24"/>
        </w:rPr>
        <w:t>十一、付款方式：</w:t>
      </w:r>
    </w:p>
    <w:p w14:paraId="26E246E1">
      <w:pPr>
        <w:spacing w:line="360" w:lineRule="auto"/>
        <w:rPr>
          <w:sz w:val="24"/>
        </w:rPr>
      </w:pPr>
      <w:r>
        <w:rPr>
          <w:rFonts w:hint="eastAsia"/>
          <w:sz w:val="24"/>
        </w:rPr>
        <w:t xml:space="preserve">   对于国产产品，100%凭用户代表签字并加盖单位印章后的验收报告支付；</w:t>
      </w:r>
    </w:p>
    <w:p w14:paraId="51C5F89C">
      <w:pPr>
        <w:spacing w:line="360" w:lineRule="auto"/>
        <w:rPr>
          <w:rFonts w:hint="eastAsia" w:ascii="宋体" w:hAnsi="宋体"/>
          <w:b/>
          <w:sz w:val="30"/>
          <w:szCs w:val="30"/>
        </w:rPr>
      </w:pPr>
      <w:r>
        <w:rPr>
          <w:rFonts w:hint="eastAsia"/>
          <w:sz w:val="24"/>
        </w:rPr>
        <w:t xml:space="preserve">   对于进口产品，买方在合同签订后支付设备总额100%信用证。发货后，凭装箱单、运单、形式发票等承兑信用证的90%，L/C金额的10%在设备最终验收合格后凭买方签字盖章的最终验收报告支付。</w:t>
      </w:r>
      <w:r>
        <w:rPr>
          <w:rFonts w:hint="eastAsia"/>
          <w:b/>
          <w:bCs/>
          <w:sz w:val="24"/>
        </w:rPr>
        <w:t>（卖方负责办理出口许可，见出口许可证及运单支付费用；签订外贸合同后6个月内若未办理出口许可证，采购人有权无条件取消合同。若不需要出口许可证，卖方需书面承诺。）</w:t>
      </w:r>
    </w:p>
    <w:p w14:paraId="32DF4E77">
      <w:pPr>
        <w:spacing w:line="360" w:lineRule="auto"/>
        <w:rPr>
          <w:rFonts w:hint="eastAsia" w:ascii="宋体" w:hAnsi="宋体"/>
          <w:b/>
          <w:sz w:val="30"/>
          <w:szCs w:val="30"/>
        </w:rPr>
      </w:pP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Malgun Gothic Semilight"/>
    <w:panose1 w:val="020B0604020202020204"/>
    <w:charset w:val="86"/>
    <w:family w:val="swiss"/>
    <w:pitch w:val="default"/>
    <w:sig w:usb0="00000000" w:usb1="00000000" w:usb2="0000007F" w:usb3="00000000" w:csb0="003F01FF"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2EEBCA72">
    <w:panose1 w:val="020B0502040204020203"/>
    <w:charset w:val="86"/>
    <w:family w:val="auto"/>
    <w:pitch w:val="default"/>
    <w:sig w:usb0="00000001" w:usb1="00000000" w:usb2="00000000" w:usb3="00000000" w:csb0="003E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07DCD">
    <w:pPr>
      <w:pStyle w:val="25"/>
      <w:jc w:val="center"/>
    </w:pPr>
    <w:r>
      <w:fldChar w:fldCharType="begin"/>
    </w:r>
    <w:r>
      <w:instrText xml:space="preserve">PAGE   \* MERGEFORMAT</w:instrText>
    </w:r>
    <w:r>
      <w:fldChar w:fldCharType="separate"/>
    </w:r>
    <w:r>
      <w:rPr>
        <w:lang w:val="zh-CN"/>
      </w:rPr>
      <w:t>92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DE27C">
    <w:pPr>
      <w:pStyle w:val="25"/>
      <w:jc w:val="center"/>
    </w:pPr>
    <w:r>
      <w:fldChar w:fldCharType="begin"/>
    </w:r>
    <w:r>
      <w:instrText xml:space="preserve">PAGE   \* MERGEFORMAT</w:instrText>
    </w:r>
    <w:r>
      <w:fldChar w:fldCharType="separate"/>
    </w:r>
    <w:r>
      <w:rPr>
        <w:lang w:val="zh-CN"/>
      </w:rPr>
      <w:t>71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3BD6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099C09"/>
    <w:multiLevelType w:val="multilevel"/>
    <w:tmpl w:val="1F099C09"/>
    <w:lvl w:ilvl="0" w:tentative="0">
      <w:start w:val="1"/>
      <w:numFmt w:val="japaneseCounting"/>
      <w:suff w:val="nothing"/>
      <w:lvlText w:val="%1、"/>
      <w:lvlJc w:val="left"/>
      <w:pPr>
        <w:ind w:left="480" w:hanging="480"/>
      </w:pPr>
      <w:rPr>
        <w:rFonts w:hint="eastAsia" w:cs="Times New Roman"/>
      </w:rPr>
    </w:lvl>
    <w:lvl w:ilvl="1" w:tentative="0">
      <w:start w:val="1"/>
      <w:numFmt w:val="decimal"/>
      <w:lvlText w:val="%2."/>
      <w:lvlJc w:val="left"/>
      <w:pPr>
        <w:tabs>
          <w:tab w:val="left" w:pos="780"/>
        </w:tabs>
        <w:ind w:left="780" w:hanging="360"/>
      </w:pPr>
      <w:rPr>
        <w:rFonts w:hint="eastAsia" w:cs="Times New Roman"/>
      </w:rPr>
    </w:lvl>
    <w:lvl w:ilvl="2" w:tentative="0">
      <w:start w:val="0"/>
      <w:numFmt w:val="bullet"/>
      <w:lvlText w:val="＊"/>
      <w:lvlJc w:val="left"/>
      <w:pPr>
        <w:tabs>
          <w:tab w:val="left" w:pos="1200"/>
        </w:tabs>
        <w:ind w:left="1200" w:hanging="360"/>
      </w:pPr>
      <w:rPr>
        <w:rFonts w:hint="eastAsia" w:ascii="宋体" w:hAnsi="宋体" w:eastAsia="宋体"/>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2ODBlYzc0NjRkMTZiZDAzOTQwZmVlNGQ5MmQwMDMifQ=="/>
  </w:docVars>
  <w:rsids>
    <w:rsidRoot w:val="00FA3835"/>
    <w:rsid w:val="00003C95"/>
    <w:rsid w:val="000050A2"/>
    <w:rsid w:val="00017CDA"/>
    <w:rsid w:val="00027C8D"/>
    <w:rsid w:val="00040005"/>
    <w:rsid w:val="000543E7"/>
    <w:rsid w:val="0006010D"/>
    <w:rsid w:val="000668DC"/>
    <w:rsid w:val="00081ADD"/>
    <w:rsid w:val="000969BB"/>
    <w:rsid w:val="000973D2"/>
    <w:rsid w:val="000B12EC"/>
    <w:rsid w:val="000B636A"/>
    <w:rsid w:val="000C1F98"/>
    <w:rsid w:val="000C325D"/>
    <w:rsid w:val="000C505C"/>
    <w:rsid w:val="000D1A3C"/>
    <w:rsid w:val="000E0B0C"/>
    <w:rsid w:val="000E17D4"/>
    <w:rsid w:val="000E4DA9"/>
    <w:rsid w:val="000F0512"/>
    <w:rsid w:val="000F4571"/>
    <w:rsid w:val="00103352"/>
    <w:rsid w:val="00105333"/>
    <w:rsid w:val="00107AF4"/>
    <w:rsid w:val="001140D0"/>
    <w:rsid w:val="001235CA"/>
    <w:rsid w:val="00130EDF"/>
    <w:rsid w:val="001318F0"/>
    <w:rsid w:val="00136F3B"/>
    <w:rsid w:val="00137D93"/>
    <w:rsid w:val="00141D35"/>
    <w:rsid w:val="001437EA"/>
    <w:rsid w:val="001444BD"/>
    <w:rsid w:val="00144505"/>
    <w:rsid w:val="00144DDA"/>
    <w:rsid w:val="0014761F"/>
    <w:rsid w:val="00153F11"/>
    <w:rsid w:val="00154444"/>
    <w:rsid w:val="00154F47"/>
    <w:rsid w:val="00155A34"/>
    <w:rsid w:val="00164E27"/>
    <w:rsid w:val="0018672D"/>
    <w:rsid w:val="001921CA"/>
    <w:rsid w:val="00194900"/>
    <w:rsid w:val="001A0E56"/>
    <w:rsid w:val="001A6E63"/>
    <w:rsid w:val="001B195C"/>
    <w:rsid w:val="001B62CC"/>
    <w:rsid w:val="001B66E1"/>
    <w:rsid w:val="001B6E57"/>
    <w:rsid w:val="001C22AC"/>
    <w:rsid w:val="001D7301"/>
    <w:rsid w:val="001E1467"/>
    <w:rsid w:val="001E152C"/>
    <w:rsid w:val="001E3480"/>
    <w:rsid w:val="001F18B7"/>
    <w:rsid w:val="001F1D2B"/>
    <w:rsid w:val="001F5FAD"/>
    <w:rsid w:val="001F79B6"/>
    <w:rsid w:val="002024C7"/>
    <w:rsid w:val="00206639"/>
    <w:rsid w:val="00206D30"/>
    <w:rsid w:val="0021259E"/>
    <w:rsid w:val="00213C28"/>
    <w:rsid w:val="00224FE7"/>
    <w:rsid w:val="0023232E"/>
    <w:rsid w:val="00233C8A"/>
    <w:rsid w:val="00240E7B"/>
    <w:rsid w:val="00247ED0"/>
    <w:rsid w:val="00251DB7"/>
    <w:rsid w:val="002630C9"/>
    <w:rsid w:val="002672D1"/>
    <w:rsid w:val="00275598"/>
    <w:rsid w:val="002761A3"/>
    <w:rsid w:val="0028124D"/>
    <w:rsid w:val="00282A80"/>
    <w:rsid w:val="00282F14"/>
    <w:rsid w:val="002872A9"/>
    <w:rsid w:val="00292E0B"/>
    <w:rsid w:val="002B44BD"/>
    <w:rsid w:val="002B6E7A"/>
    <w:rsid w:val="002B7380"/>
    <w:rsid w:val="002C47B5"/>
    <w:rsid w:val="002D5C47"/>
    <w:rsid w:val="002D6107"/>
    <w:rsid w:val="002E03AA"/>
    <w:rsid w:val="002E34AD"/>
    <w:rsid w:val="002E6A76"/>
    <w:rsid w:val="002F1704"/>
    <w:rsid w:val="002F6DE0"/>
    <w:rsid w:val="002F6FCA"/>
    <w:rsid w:val="002F7EF8"/>
    <w:rsid w:val="002F7F80"/>
    <w:rsid w:val="00301191"/>
    <w:rsid w:val="00322611"/>
    <w:rsid w:val="003248D5"/>
    <w:rsid w:val="00326D72"/>
    <w:rsid w:val="0033189B"/>
    <w:rsid w:val="00334AA9"/>
    <w:rsid w:val="003442AE"/>
    <w:rsid w:val="0034443A"/>
    <w:rsid w:val="003474B8"/>
    <w:rsid w:val="00351CB8"/>
    <w:rsid w:val="00353722"/>
    <w:rsid w:val="00353E66"/>
    <w:rsid w:val="00357C16"/>
    <w:rsid w:val="003637C6"/>
    <w:rsid w:val="003732CC"/>
    <w:rsid w:val="00373B63"/>
    <w:rsid w:val="00374F9A"/>
    <w:rsid w:val="00381539"/>
    <w:rsid w:val="00382C0C"/>
    <w:rsid w:val="003944C7"/>
    <w:rsid w:val="00397F24"/>
    <w:rsid w:val="003A298A"/>
    <w:rsid w:val="003B4F45"/>
    <w:rsid w:val="003B6193"/>
    <w:rsid w:val="003C147E"/>
    <w:rsid w:val="003C172D"/>
    <w:rsid w:val="003C4938"/>
    <w:rsid w:val="003C7092"/>
    <w:rsid w:val="003C785A"/>
    <w:rsid w:val="003D2B81"/>
    <w:rsid w:val="003F5F7A"/>
    <w:rsid w:val="004043A2"/>
    <w:rsid w:val="00404EA5"/>
    <w:rsid w:val="004132C8"/>
    <w:rsid w:val="00415144"/>
    <w:rsid w:val="00420D92"/>
    <w:rsid w:val="00421F2C"/>
    <w:rsid w:val="0042297A"/>
    <w:rsid w:val="00423C6D"/>
    <w:rsid w:val="00433C0B"/>
    <w:rsid w:val="004362C7"/>
    <w:rsid w:val="0044106E"/>
    <w:rsid w:val="00446E68"/>
    <w:rsid w:val="00447503"/>
    <w:rsid w:val="00457522"/>
    <w:rsid w:val="0046038A"/>
    <w:rsid w:val="00461A87"/>
    <w:rsid w:val="00461ED3"/>
    <w:rsid w:val="00471176"/>
    <w:rsid w:val="00484FF8"/>
    <w:rsid w:val="004A0EB1"/>
    <w:rsid w:val="004A3B49"/>
    <w:rsid w:val="004A5C14"/>
    <w:rsid w:val="004B3476"/>
    <w:rsid w:val="004B36B8"/>
    <w:rsid w:val="004C387C"/>
    <w:rsid w:val="004D0AB9"/>
    <w:rsid w:val="004E042A"/>
    <w:rsid w:val="004E4504"/>
    <w:rsid w:val="004F0FDE"/>
    <w:rsid w:val="004F191B"/>
    <w:rsid w:val="004F3E07"/>
    <w:rsid w:val="005023D6"/>
    <w:rsid w:val="005048A3"/>
    <w:rsid w:val="00504FD3"/>
    <w:rsid w:val="00506914"/>
    <w:rsid w:val="005111E5"/>
    <w:rsid w:val="00512882"/>
    <w:rsid w:val="005143FF"/>
    <w:rsid w:val="00516FEB"/>
    <w:rsid w:val="005244F5"/>
    <w:rsid w:val="00524665"/>
    <w:rsid w:val="00543C0A"/>
    <w:rsid w:val="0054699B"/>
    <w:rsid w:val="00546BA1"/>
    <w:rsid w:val="005515EB"/>
    <w:rsid w:val="0055226E"/>
    <w:rsid w:val="00552E7C"/>
    <w:rsid w:val="005601D0"/>
    <w:rsid w:val="00560FEA"/>
    <w:rsid w:val="005613B2"/>
    <w:rsid w:val="0056304A"/>
    <w:rsid w:val="00564690"/>
    <w:rsid w:val="0057066D"/>
    <w:rsid w:val="00572671"/>
    <w:rsid w:val="00591688"/>
    <w:rsid w:val="005916DF"/>
    <w:rsid w:val="00595627"/>
    <w:rsid w:val="00595D3F"/>
    <w:rsid w:val="00595EAC"/>
    <w:rsid w:val="005A2F5B"/>
    <w:rsid w:val="005A52D6"/>
    <w:rsid w:val="005C574A"/>
    <w:rsid w:val="005D09A0"/>
    <w:rsid w:val="005D479D"/>
    <w:rsid w:val="005E416B"/>
    <w:rsid w:val="005E7A21"/>
    <w:rsid w:val="005F24B2"/>
    <w:rsid w:val="0060103A"/>
    <w:rsid w:val="00602911"/>
    <w:rsid w:val="00602A7A"/>
    <w:rsid w:val="0060509A"/>
    <w:rsid w:val="006125F5"/>
    <w:rsid w:val="00612A9B"/>
    <w:rsid w:val="00614D00"/>
    <w:rsid w:val="0061681D"/>
    <w:rsid w:val="006225E2"/>
    <w:rsid w:val="0062676A"/>
    <w:rsid w:val="00640DB1"/>
    <w:rsid w:val="006416E9"/>
    <w:rsid w:val="0064545D"/>
    <w:rsid w:val="00646C82"/>
    <w:rsid w:val="00647CD5"/>
    <w:rsid w:val="006548A6"/>
    <w:rsid w:val="00655478"/>
    <w:rsid w:val="00664D7F"/>
    <w:rsid w:val="0067271A"/>
    <w:rsid w:val="00673641"/>
    <w:rsid w:val="006858B6"/>
    <w:rsid w:val="00696A30"/>
    <w:rsid w:val="0069730F"/>
    <w:rsid w:val="006A377B"/>
    <w:rsid w:val="006B0930"/>
    <w:rsid w:val="006C4384"/>
    <w:rsid w:val="006C5135"/>
    <w:rsid w:val="006C546E"/>
    <w:rsid w:val="006D29F2"/>
    <w:rsid w:val="006E2DE0"/>
    <w:rsid w:val="006E5A8E"/>
    <w:rsid w:val="0070081C"/>
    <w:rsid w:val="0071653B"/>
    <w:rsid w:val="00721985"/>
    <w:rsid w:val="00724C84"/>
    <w:rsid w:val="007252A8"/>
    <w:rsid w:val="00725C0A"/>
    <w:rsid w:val="0073119D"/>
    <w:rsid w:val="0073199C"/>
    <w:rsid w:val="00732469"/>
    <w:rsid w:val="007376B0"/>
    <w:rsid w:val="00740508"/>
    <w:rsid w:val="00743776"/>
    <w:rsid w:val="00751428"/>
    <w:rsid w:val="00752FEF"/>
    <w:rsid w:val="0075674B"/>
    <w:rsid w:val="00761F2B"/>
    <w:rsid w:val="00763B74"/>
    <w:rsid w:val="007731D0"/>
    <w:rsid w:val="00775B16"/>
    <w:rsid w:val="00785A0A"/>
    <w:rsid w:val="00787CED"/>
    <w:rsid w:val="007967F8"/>
    <w:rsid w:val="007A3772"/>
    <w:rsid w:val="007B6DFC"/>
    <w:rsid w:val="007C2696"/>
    <w:rsid w:val="007C4C31"/>
    <w:rsid w:val="007C5EA5"/>
    <w:rsid w:val="007D381E"/>
    <w:rsid w:val="007D3EE2"/>
    <w:rsid w:val="007E03CA"/>
    <w:rsid w:val="007E6193"/>
    <w:rsid w:val="007F2F97"/>
    <w:rsid w:val="007F30CC"/>
    <w:rsid w:val="007F387D"/>
    <w:rsid w:val="007F7152"/>
    <w:rsid w:val="008156CB"/>
    <w:rsid w:val="008203E6"/>
    <w:rsid w:val="00822633"/>
    <w:rsid w:val="00830107"/>
    <w:rsid w:val="00831B02"/>
    <w:rsid w:val="00833174"/>
    <w:rsid w:val="00835158"/>
    <w:rsid w:val="00846609"/>
    <w:rsid w:val="00852958"/>
    <w:rsid w:val="0085467F"/>
    <w:rsid w:val="00864F77"/>
    <w:rsid w:val="008661F8"/>
    <w:rsid w:val="008712FA"/>
    <w:rsid w:val="00875D97"/>
    <w:rsid w:val="00876AA9"/>
    <w:rsid w:val="00876EFF"/>
    <w:rsid w:val="00882892"/>
    <w:rsid w:val="00883AB2"/>
    <w:rsid w:val="008861B2"/>
    <w:rsid w:val="00887A5A"/>
    <w:rsid w:val="00896377"/>
    <w:rsid w:val="008A09F5"/>
    <w:rsid w:val="008A4B18"/>
    <w:rsid w:val="008A738C"/>
    <w:rsid w:val="008B2645"/>
    <w:rsid w:val="008C20FE"/>
    <w:rsid w:val="008C36D3"/>
    <w:rsid w:val="008D0675"/>
    <w:rsid w:val="008D1425"/>
    <w:rsid w:val="008D2736"/>
    <w:rsid w:val="008D3BC8"/>
    <w:rsid w:val="008D6454"/>
    <w:rsid w:val="008D6F23"/>
    <w:rsid w:val="008E2A0E"/>
    <w:rsid w:val="008E5EB5"/>
    <w:rsid w:val="008E68D7"/>
    <w:rsid w:val="008F04C7"/>
    <w:rsid w:val="008F21A5"/>
    <w:rsid w:val="008F2440"/>
    <w:rsid w:val="00904FF5"/>
    <w:rsid w:val="00914619"/>
    <w:rsid w:val="009202C8"/>
    <w:rsid w:val="009246BA"/>
    <w:rsid w:val="00930CDE"/>
    <w:rsid w:val="00935AA1"/>
    <w:rsid w:val="009451DC"/>
    <w:rsid w:val="009467F2"/>
    <w:rsid w:val="00946FC8"/>
    <w:rsid w:val="0095142B"/>
    <w:rsid w:val="0095655E"/>
    <w:rsid w:val="00956752"/>
    <w:rsid w:val="00966DE4"/>
    <w:rsid w:val="009718ED"/>
    <w:rsid w:val="0097297B"/>
    <w:rsid w:val="0098154C"/>
    <w:rsid w:val="0098549E"/>
    <w:rsid w:val="009857EF"/>
    <w:rsid w:val="009941D8"/>
    <w:rsid w:val="009A2C18"/>
    <w:rsid w:val="009B36A1"/>
    <w:rsid w:val="009C0A0B"/>
    <w:rsid w:val="009C14BD"/>
    <w:rsid w:val="009D1AF8"/>
    <w:rsid w:val="009D32B1"/>
    <w:rsid w:val="009E1C84"/>
    <w:rsid w:val="009E32D4"/>
    <w:rsid w:val="009E4080"/>
    <w:rsid w:val="009E4DCB"/>
    <w:rsid w:val="009E580F"/>
    <w:rsid w:val="009F04FC"/>
    <w:rsid w:val="009F5A6A"/>
    <w:rsid w:val="00A01B3A"/>
    <w:rsid w:val="00A0205F"/>
    <w:rsid w:val="00A04E9D"/>
    <w:rsid w:val="00A06893"/>
    <w:rsid w:val="00A14987"/>
    <w:rsid w:val="00A21886"/>
    <w:rsid w:val="00A25682"/>
    <w:rsid w:val="00A2638C"/>
    <w:rsid w:val="00A27417"/>
    <w:rsid w:val="00A27AFD"/>
    <w:rsid w:val="00A354A8"/>
    <w:rsid w:val="00A4031E"/>
    <w:rsid w:val="00A44A2B"/>
    <w:rsid w:val="00A46F60"/>
    <w:rsid w:val="00A53234"/>
    <w:rsid w:val="00A56F9C"/>
    <w:rsid w:val="00A57F47"/>
    <w:rsid w:val="00A8225A"/>
    <w:rsid w:val="00AA029F"/>
    <w:rsid w:val="00AA3454"/>
    <w:rsid w:val="00AA48B5"/>
    <w:rsid w:val="00AA7A0D"/>
    <w:rsid w:val="00AB113B"/>
    <w:rsid w:val="00AD2FD2"/>
    <w:rsid w:val="00AD41E6"/>
    <w:rsid w:val="00AD4ECF"/>
    <w:rsid w:val="00AD70C8"/>
    <w:rsid w:val="00AE094D"/>
    <w:rsid w:val="00AE4892"/>
    <w:rsid w:val="00AF6067"/>
    <w:rsid w:val="00B04039"/>
    <w:rsid w:val="00B07AAD"/>
    <w:rsid w:val="00B15273"/>
    <w:rsid w:val="00B16887"/>
    <w:rsid w:val="00B1746F"/>
    <w:rsid w:val="00B27A2B"/>
    <w:rsid w:val="00B3039B"/>
    <w:rsid w:val="00B31F00"/>
    <w:rsid w:val="00B351A2"/>
    <w:rsid w:val="00B41959"/>
    <w:rsid w:val="00B42C18"/>
    <w:rsid w:val="00B43CF7"/>
    <w:rsid w:val="00B44327"/>
    <w:rsid w:val="00B53944"/>
    <w:rsid w:val="00B61FDD"/>
    <w:rsid w:val="00B71934"/>
    <w:rsid w:val="00B74050"/>
    <w:rsid w:val="00B758E7"/>
    <w:rsid w:val="00B75B80"/>
    <w:rsid w:val="00B81149"/>
    <w:rsid w:val="00B8672D"/>
    <w:rsid w:val="00B94FB1"/>
    <w:rsid w:val="00BC7FBC"/>
    <w:rsid w:val="00BD11D6"/>
    <w:rsid w:val="00BD2A3B"/>
    <w:rsid w:val="00BD646D"/>
    <w:rsid w:val="00BD6A33"/>
    <w:rsid w:val="00BD7ED0"/>
    <w:rsid w:val="00BE5E06"/>
    <w:rsid w:val="00BE643E"/>
    <w:rsid w:val="00BE7CED"/>
    <w:rsid w:val="00BF59BF"/>
    <w:rsid w:val="00C056B5"/>
    <w:rsid w:val="00C10630"/>
    <w:rsid w:val="00C12939"/>
    <w:rsid w:val="00C14E3B"/>
    <w:rsid w:val="00C23BA4"/>
    <w:rsid w:val="00C241B2"/>
    <w:rsid w:val="00C24609"/>
    <w:rsid w:val="00C27A10"/>
    <w:rsid w:val="00C34485"/>
    <w:rsid w:val="00C40AB3"/>
    <w:rsid w:val="00C41C3A"/>
    <w:rsid w:val="00C43805"/>
    <w:rsid w:val="00C43E24"/>
    <w:rsid w:val="00C45235"/>
    <w:rsid w:val="00C54174"/>
    <w:rsid w:val="00C60EF2"/>
    <w:rsid w:val="00C615B2"/>
    <w:rsid w:val="00C702F0"/>
    <w:rsid w:val="00C74553"/>
    <w:rsid w:val="00C8112C"/>
    <w:rsid w:val="00C82BE1"/>
    <w:rsid w:val="00C84C38"/>
    <w:rsid w:val="00C87EF4"/>
    <w:rsid w:val="00CA0EA5"/>
    <w:rsid w:val="00CA623E"/>
    <w:rsid w:val="00CA630F"/>
    <w:rsid w:val="00CB4EB2"/>
    <w:rsid w:val="00CB7A41"/>
    <w:rsid w:val="00CC50EC"/>
    <w:rsid w:val="00CC7A0B"/>
    <w:rsid w:val="00CD013D"/>
    <w:rsid w:val="00CD0A52"/>
    <w:rsid w:val="00CD0EEF"/>
    <w:rsid w:val="00CD64CD"/>
    <w:rsid w:val="00CE2041"/>
    <w:rsid w:val="00CE3059"/>
    <w:rsid w:val="00CE4960"/>
    <w:rsid w:val="00CE56FA"/>
    <w:rsid w:val="00CE5B6F"/>
    <w:rsid w:val="00CF0912"/>
    <w:rsid w:val="00D0060C"/>
    <w:rsid w:val="00D027B8"/>
    <w:rsid w:val="00D04134"/>
    <w:rsid w:val="00D0571C"/>
    <w:rsid w:val="00D0679B"/>
    <w:rsid w:val="00D07095"/>
    <w:rsid w:val="00D11879"/>
    <w:rsid w:val="00D12547"/>
    <w:rsid w:val="00D22D44"/>
    <w:rsid w:val="00D378BA"/>
    <w:rsid w:val="00D40668"/>
    <w:rsid w:val="00D47429"/>
    <w:rsid w:val="00D60794"/>
    <w:rsid w:val="00D6263A"/>
    <w:rsid w:val="00D6312E"/>
    <w:rsid w:val="00D75701"/>
    <w:rsid w:val="00D778D7"/>
    <w:rsid w:val="00D80BB4"/>
    <w:rsid w:val="00D83934"/>
    <w:rsid w:val="00D861C3"/>
    <w:rsid w:val="00D862C1"/>
    <w:rsid w:val="00D91A0C"/>
    <w:rsid w:val="00D9239C"/>
    <w:rsid w:val="00D95955"/>
    <w:rsid w:val="00D979AB"/>
    <w:rsid w:val="00DA590C"/>
    <w:rsid w:val="00DA703D"/>
    <w:rsid w:val="00DB54CF"/>
    <w:rsid w:val="00DC1546"/>
    <w:rsid w:val="00DD2172"/>
    <w:rsid w:val="00DD4A09"/>
    <w:rsid w:val="00DD4C25"/>
    <w:rsid w:val="00DD6A1F"/>
    <w:rsid w:val="00DE4C00"/>
    <w:rsid w:val="00DE5C67"/>
    <w:rsid w:val="00DF2449"/>
    <w:rsid w:val="00DF7ACF"/>
    <w:rsid w:val="00E004CA"/>
    <w:rsid w:val="00E03391"/>
    <w:rsid w:val="00E0373B"/>
    <w:rsid w:val="00E07308"/>
    <w:rsid w:val="00E14474"/>
    <w:rsid w:val="00E179B5"/>
    <w:rsid w:val="00E24E2D"/>
    <w:rsid w:val="00E26286"/>
    <w:rsid w:val="00E30AC2"/>
    <w:rsid w:val="00E33D84"/>
    <w:rsid w:val="00E34813"/>
    <w:rsid w:val="00E356D2"/>
    <w:rsid w:val="00E401B3"/>
    <w:rsid w:val="00E458DA"/>
    <w:rsid w:val="00E5687E"/>
    <w:rsid w:val="00E62E4A"/>
    <w:rsid w:val="00E639CC"/>
    <w:rsid w:val="00E63D5B"/>
    <w:rsid w:val="00E671AD"/>
    <w:rsid w:val="00E83E40"/>
    <w:rsid w:val="00E857B8"/>
    <w:rsid w:val="00E907E5"/>
    <w:rsid w:val="00E943B8"/>
    <w:rsid w:val="00EA11F7"/>
    <w:rsid w:val="00EA20B9"/>
    <w:rsid w:val="00EA4549"/>
    <w:rsid w:val="00EA5CEA"/>
    <w:rsid w:val="00ED0B37"/>
    <w:rsid w:val="00ED22DF"/>
    <w:rsid w:val="00ED460F"/>
    <w:rsid w:val="00ED4C66"/>
    <w:rsid w:val="00ED646D"/>
    <w:rsid w:val="00ED6781"/>
    <w:rsid w:val="00EE4BD8"/>
    <w:rsid w:val="00EF3685"/>
    <w:rsid w:val="00EF4226"/>
    <w:rsid w:val="00EF5BA0"/>
    <w:rsid w:val="00F13600"/>
    <w:rsid w:val="00F15FC0"/>
    <w:rsid w:val="00F17042"/>
    <w:rsid w:val="00F175D1"/>
    <w:rsid w:val="00F21DA9"/>
    <w:rsid w:val="00F22A75"/>
    <w:rsid w:val="00F3059E"/>
    <w:rsid w:val="00F30C1E"/>
    <w:rsid w:val="00F3185D"/>
    <w:rsid w:val="00F340C8"/>
    <w:rsid w:val="00F35217"/>
    <w:rsid w:val="00F35C50"/>
    <w:rsid w:val="00F37B8F"/>
    <w:rsid w:val="00F42D68"/>
    <w:rsid w:val="00F436FE"/>
    <w:rsid w:val="00F500D2"/>
    <w:rsid w:val="00F51A9D"/>
    <w:rsid w:val="00F56311"/>
    <w:rsid w:val="00F57792"/>
    <w:rsid w:val="00F60048"/>
    <w:rsid w:val="00F6185A"/>
    <w:rsid w:val="00F73FE2"/>
    <w:rsid w:val="00F74944"/>
    <w:rsid w:val="00F8497C"/>
    <w:rsid w:val="00F91E41"/>
    <w:rsid w:val="00FA238D"/>
    <w:rsid w:val="00FA3835"/>
    <w:rsid w:val="00FA6816"/>
    <w:rsid w:val="00FB5D79"/>
    <w:rsid w:val="00FE3D91"/>
    <w:rsid w:val="00FE55D2"/>
    <w:rsid w:val="00FF5179"/>
    <w:rsid w:val="00FF728E"/>
    <w:rsid w:val="01C46016"/>
    <w:rsid w:val="01FF0791"/>
    <w:rsid w:val="020B291A"/>
    <w:rsid w:val="023C5239"/>
    <w:rsid w:val="026343D0"/>
    <w:rsid w:val="02B96008"/>
    <w:rsid w:val="03DD00B3"/>
    <w:rsid w:val="043E5D1C"/>
    <w:rsid w:val="04CA1795"/>
    <w:rsid w:val="051B3A05"/>
    <w:rsid w:val="053E2C54"/>
    <w:rsid w:val="060B495F"/>
    <w:rsid w:val="06723290"/>
    <w:rsid w:val="06F02823"/>
    <w:rsid w:val="0762073E"/>
    <w:rsid w:val="07D96582"/>
    <w:rsid w:val="08D95292"/>
    <w:rsid w:val="09120680"/>
    <w:rsid w:val="093F343F"/>
    <w:rsid w:val="09972663"/>
    <w:rsid w:val="09A45050"/>
    <w:rsid w:val="09FA1199"/>
    <w:rsid w:val="0A5B05D9"/>
    <w:rsid w:val="0ADF594B"/>
    <w:rsid w:val="0AE0030A"/>
    <w:rsid w:val="0BA90827"/>
    <w:rsid w:val="0C721436"/>
    <w:rsid w:val="0CAD246E"/>
    <w:rsid w:val="0D515D8F"/>
    <w:rsid w:val="0D6B0DE4"/>
    <w:rsid w:val="0D77408F"/>
    <w:rsid w:val="0D8A6F81"/>
    <w:rsid w:val="0DE131B7"/>
    <w:rsid w:val="0E39045D"/>
    <w:rsid w:val="0E936CC2"/>
    <w:rsid w:val="0EE967FA"/>
    <w:rsid w:val="0F136F00"/>
    <w:rsid w:val="0F4075C9"/>
    <w:rsid w:val="0F4672D5"/>
    <w:rsid w:val="0F4E40DD"/>
    <w:rsid w:val="0F6F4465"/>
    <w:rsid w:val="0FB3237E"/>
    <w:rsid w:val="109E4280"/>
    <w:rsid w:val="10E279BE"/>
    <w:rsid w:val="11443809"/>
    <w:rsid w:val="122264FF"/>
    <w:rsid w:val="122E6778"/>
    <w:rsid w:val="124949E7"/>
    <w:rsid w:val="128B5428"/>
    <w:rsid w:val="13285904"/>
    <w:rsid w:val="13465DF0"/>
    <w:rsid w:val="139D57EB"/>
    <w:rsid w:val="147C5547"/>
    <w:rsid w:val="14AF0EEB"/>
    <w:rsid w:val="15D708BB"/>
    <w:rsid w:val="15F52619"/>
    <w:rsid w:val="17342C9B"/>
    <w:rsid w:val="17CB6513"/>
    <w:rsid w:val="17E30CEE"/>
    <w:rsid w:val="185D6BC0"/>
    <w:rsid w:val="194F6D87"/>
    <w:rsid w:val="199030D2"/>
    <w:rsid w:val="19AE7309"/>
    <w:rsid w:val="1A18361C"/>
    <w:rsid w:val="1A902BB0"/>
    <w:rsid w:val="1B9E3D36"/>
    <w:rsid w:val="1BBA3A2F"/>
    <w:rsid w:val="1C686EB5"/>
    <w:rsid w:val="1C746B04"/>
    <w:rsid w:val="1C8F2A04"/>
    <w:rsid w:val="1D8B6157"/>
    <w:rsid w:val="1EBB10CB"/>
    <w:rsid w:val="1F747257"/>
    <w:rsid w:val="1FBC56BB"/>
    <w:rsid w:val="1FC27D9E"/>
    <w:rsid w:val="20365C75"/>
    <w:rsid w:val="20863AF3"/>
    <w:rsid w:val="20FD3BD3"/>
    <w:rsid w:val="218B2C39"/>
    <w:rsid w:val="21BB6183"/>
    <w:rsid w:val="22597BF6"/>
    <w:rsid w:val="227819CB"/>
    <w:rsid w:val="229D08A0"/>
    <w:rsid w:val="23206DE1"/>
    <w:rsid w:val="23256975"/>
    <w:rsid w:val="23423424"/>
    <w:rsid w:val="23EA6B2E"/>
    <w:rsid w:val="240C4724"/>
    <w:rsid w:val="243F7370"/>
    <w:rsid w:val="24E93CA3"/>
    <w:rsid w:val="257C53A7"/>
    <w:rsid w:val="26053E04"/>
    <w:rsid w:val="26B50445"/>
    <w:rsid w:val="26B57194"/>
    <w:rsid w:val="26DD3CEE"/>
    <w:rsid w:val="27352686"/>
    <w:rsid w:val="27F05BD9"/>
    <w:rsid w:val="285745BD"/>
    <w:rsid w:val="29AF0845"/>
    <w:rsid w:val="2A8E004C"/>
    <w:rsid w:val="2B6A1BE2"/>
    <w:rsid w:val="2C8E3C12"/>
    <w:rsid w:val="2CB90995"/>
    <w:rsid w:val="2D5179CF"/>
    <w:rsid w:val="2EA8566A"/>
    <w:rsid w:val="2ED5581D"/>
    <w:rsid w:val="2F25260C"/>
    <w:rsid w:val="300551AF"/>
    <w:rsid w:val="301241C3"/>
    <w:rsid w:val="308A097E"/>
    <w:rsid w:val="30A36F13"/>
    <w:rsid w:val="318850D4"/>
    <w:rsid w:val="319039E6"/>
    <w:rsid w:val="32085AE3"/>
    <w:rsid w:val="32273586"/>
    <w:rsid w:val="327F0D3B"/>
    <w:rsid w:val="32F4742E"/>
    <w:rsid w:val="331A4758"/>
    <w:rsid w:val="3353631D"/>
    <w:rsid w:val="335D7E9A"/>
    <w:rsid w:val="3369385E"/>
    <w:rsid w:val="33CA23C6"/>
    <w:rsid w:val="346D3BA5"/>
    <w:rsid w:val="350E3B42"/>
    <w:rsid w:val="351101A8"/>
    <w:rsid w:val="351433FA"/>
    <w:rsid w:val="35C0542C"/>
    <w:rsid w:val="365E7494"/>
    <w:rsid w:val="36B05A61"/>
    <w:rsid w:val="372B2789"/>
    <w:rsid w:val="37CE32A7"/>
    <w:rsid w:val="384F06F9"/>
    <w:rsid w:val="395026E3"/>
    <w:rsid w:val="39A43A9C"/>
    <w:rsid w:val="3A2B0CF2"/>
    <w:rsid w:val="3AC54CA3"/>
    <w:rsid w:val="3AE72E6B"/>
    <w:rsid w:val="3AFF33E8"/>
    <w:rsid w:val="3B381919"/>
    <w:rsid w:val="3B9A36AF"/>
    <w:rsid w:val="3C2D3B80"/>
    <w:rsid w:val="3D476359"/>
    <w:rsid w:val="3D9A658C"/>
    <w:rsid w:val="3DAE1A1E"/>
    <w:rsid w:val="3DE10046"/>
    <w:rsid w:val="3DEE1D80"/>
    <w:rsid w:val="3DF338D5"/>
    <w:rsid w:val="3EA378DA"/>
    <w:rsid w:val="3ED61844"/>
    <w:rsid w:val="3EF73899"/>
    <w:rsid w:val="3F651E10"/>
    <w:rsid w:val="3F6F78D3"/>
    <w:rsid w:val="42260EEC"/>
    <w:rsid w:val="426C16E4"/>
    <w:rsid w:val="42EE0B0F"/>
    <w:rsid w:val="434F16A7"/>
    <w:rsid w:val="43D85920"/>
    <w:rsid w:val="442F62DC"/>
    <w:rsid w:val="443076C3"/>
    <w:rsid w:val="443353EB"/>
    <w:rsid w:val="44376845"/>
    <w:rsid w:val="443B5FD6"/>
    <w:rsid w:val="44A65B45"/>
    <w:rsid w:val="459220B9"/>
    <w:rsid w:val="46020963"/>
    <w:rsid w:val="46DB7A17"/>
    <w:rsid w:val="47971775"/>
    <w:rsid w:val="48333FF5"/>
    <w:rsid w:val="485E6BC5"/>
    <w:rsid w:val="48E62910"/>
    <w:rsid w:val="49FA5FEB"/>
    <w:rsid w:val="4A3E0C6F"/>
    <w:rsid w:val="4B3E6DFA"/>
    <w:rsid w:val="4B914BF5"/>
    <w:rsid w:val="4C7D3400"/>
    <w:rsid w:val="4CB230FF"/>
    <w:rsid w:val="4CF15E8D"/>
    <w:rsid w:val="4D413CB4"/>
    <w:rsid w:val="4E9133C2"/>
    <w:rsid w:val="4EDE2D9E"/>
    <w:rsid w:val="4EE564B0"/>
    <w:rsid w:val="4F3512E0"/>
    <w:rsid w:val="4F8D414D"/>
    <w:rsid w:val="4FFC159D"/>
    <w:rsid w:val="51181E16"/>
    <w:rsid w:val="515C56CF"/>
    <w:rsid w:val="51CD3614"/>
    <w:rsid w:val="522400A9"/>
    <w:rsid w:val="52417FE8"/>
    <w:rsid w:val="531539E5"/>
    <w:rsid w:val="535350EA"/>
    <w:rsid w:val="53D55AFF"/>
    <w:rsid w:val="53FC6986"/>
    <w:rsid w:val="54A60BE9"/>
    <w:rsid w:val="557A42D3"/>
    <w:rsid w:val="55942700"/>
    <w:rsid w:val="559A7000"/>
    <w:rsid w:val="5628185A"/>
    <w:rsid w:val="56770AFB"/>
    <w:rsid w:val="573C6F55"/>
    <w:rsid w:val="57D63A28"/>
    <w:rsid w:val="57F95C42"/>
    <w:rsid w:val="581B6CF3"/>
    <w:rsid w:val="58527420"/>
    <w:rsid w:val="58584F50"/>
    <w:rsid w:val="585F0652"/>
    <w:rsid w:val="589D1393"/>
    <w:rsid w:val="58EF1411"/>
    <w:rsid w:val="591A5625"/>
    <w:rsid w:val="5980136F"/>
    <w:rsid w:val="59DD58A1"/>
    <w:rsid w:val="5AE900E2"/>
    <w:rsid w:val="5B0A0784"/>
    <w:rsid w:val="5C533A65"/>
    <w:rsid w:val="5C7F1F93"/>
    <w:rsid w:val="5CE21551"/>
    <w:rsid w:val="5D55380D"/>
    <w:rsid w:val="5D89084C"/>
    <w:rsid w:val="5E72647F"/>
    <w:rsid w:val="5E834DD9"/>
    <w:rsid w:val="5F236DE7"/>
    <w:rsid w:val="5F7B57F5"/>
    <w:rsid w:val="5FEE7E35"/>
    <w:rsid w:val="608E3660"/>
    <w:rsid w:val="608F520E"/>
    <w:rsid w:val="614C50B2"/>
    <w:rsid w:val="617B7B59"/>
    <w:rsid w:val="620B4DE2"/>
    <w:rsid w:val="621505DC"/>
    <w:rsid w:val="625D22A8"/>
    <w:rsid w:val="62914838"/>
    <w:rsid w:val="63025693"/>
    <w:rsid w:val="633628F1"/>
    <w:rsid w:val="63B24A02"/>
    <w:rsid w:val="63D178A8"/>
    <w:rsid w:val="63F7561D"/>
    <w:rsid w:val="64187FBF"/>
    <w:rsid w:val="64685B6A"/>
    <w:rsid w:val="648D7D30"/>
    <w:rsid w:val="657340D8"/>
    <w:rsid w:val="65C0401D"/>
    <w:rsid w:val="662648F8"/>
    <w:rsid w:val="665F1537"/>
    <w:rsid w:val="67C5680D"/>
    <w:rsid w:val="67D53EC8"/>
    <w:rsid w:val="67D85B6C"/>
    <w:rsid w:val="67F21FD7"/>
    <w:rsid w:val="68ED6A71"/>
    <w:rsid w:val="69317B0A"/>
    <w:rsid w:val="69F67FAD"/>
    <w:rsid w:val="6A9734A6"/>
    <w:rsid w:val="6AB836E4"/>
    <w:rsid w:val="6BFA67BA"/>
    <w:rsid w:val="6C67192F"/>
    <w:rsid w:val="6CE60189"/>
    <w:rsid w:val="6D7D1F79"/>
    <w:rsid w:val="6DE05CAB"/>
    <w:rsid w:val="6DFB21AE"/>
    <w:rsid w:val="6E04301E"/>
    <w:rsid w:val="6E2476C2"/>
    <w:rsid w:val="6EEB6121"/>
    <w:rsid w:val="6F135C55"/>
    <w:rsid w:val="6F215C44"/>
    <w:rsid w:val="6F5A2F04"/>
    <w:rsid w:val="6FDA0E9E"/>
    <w:rsid w:val="71AA1F21"/>
    <w:rsid w:val="723C62EB"/>
    <w:rsid w:val="72BF17D4"/>
    <w:rsid w:val="72F340F1"/>
    <w:rsid w:val="732820F7"/>
    <w:rsid w:val="734D446A"/>
    <w:rsid w:val="735C36EF"/>
    <w:rsid w:val="74063FA7"/>
    <w:rsid w:val="740972B4"/>
    <w:rsid w:val="746B0D64"/>
    <w:rsid w:val="74C17ED6"/>
    <w:rsid w:val="74C80B12"/>
    <w:rsid w:val="759B0467"/>
    <w:rsid w:val="774A1FD3"/>
    <w:rsid w:val="77FE4FE3"/>
    <w:rsid w:val="78C830A0"/>
    <w:rsid w:val="78CD4747"/>
    <w:rsid w:val="78D36201"/>
    <w:rsid w:val="792F1A3C"/>
    <w:rsid w:val="793270FF"/>
    <w:rsid w:val="79332946"/>
    <w:rsid w:val="79B5177D"/>
    <w:rsid w:val="79CD520C"/>
    <w:rsid w:val="7A0A1C0C"/>
    <w:rsid w:val="7A463EB9"/>
    <w:rsid w:val="7A8377B3"/>
    <w:rsid w:val="7AB91175"/>
    <w:rsid w:val="7AD3647C"/>
    <w:rsid w:val="7B0501C8"/>
    <w:rsid w:val="7C2654C8"/>
    <w:rsid w:val="7CD608CD"/>
    <w:rsid w:val="7D831878"/>
    <w:rsid w:val="7D9D4043"/>
    <w:rsid w:val="7DA3437E"/>
    <w:rsid w:val="7E9D0BC6"/>
    <w:rsid w:val="7EAA70A1"/>
    <w:rsid w:val="7EB82E43"/>
    <w:rsid w:val="7F8942DD"/>
    <w:rsid w:val="7FBD2D9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8"/>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9"/>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50"/>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1"/>
    <w:qFormat/>
    <w:uiPriority w:val="99"/>
    <w:pPr>
      <w:tabs>
        <w:tab w:val="center" w:pos="4153"/>
        <w:tab w:val="right" w:pos="8306"/>
      </w:tabs>
      <w:snapToGrid w:val="0"/>
      <w:jc w:val="left"/>
    </w:pPr>
    <w:rPr>
      <w:sz w:val="18"/>
      <w:szCs w:val="18"/>
    </w:rPr>
  </w:style>
  <w:style w:type="paragraph" w:styleId="26">
    <w:name w:val="header"/>
    <w:basedOn w:val="1"/>
    <w:link w:val="52"/>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Subtitle"/>
    <w:basedOn w:val="1"/>
    <w:next w:val="1"/>
    <w:qFormat/>
    <w:uiPriority w:val="11"/>
    <w:pPr>
      <w:spacing w:before="100" w:beforeLines="100"/>
      <w:jc w:val="left"/>
    </w:pPr>
    <w:rPr>
      <w:rFonts w:ascii="Cambria" w:hAnsi="Cambria" w:eastAsia="黑体"/>
      <w:b/>
      <w:color w:val="585858"/>
      <w:spacing w:val="15"/>
      <w:sz w:val="28"/>
      <w:szCs w:val="28"/>
    </w:rPr>
  </w:style>
  <w:style w:type="paragraph" w:styleId="30">
    <w:name w:val="toc 6"/>
    <w:basedOn w:val="1"/>
    <w:next w:val="1"/>
    <w:qFormat/>
    <w:uiPriority w:val="0"/>
    <w:pPr>
      <w:ind w:left="2100" w:leftChars="1000"/>
    </w:pPr>
    <w:rPr>
      <w:rFonts w:ascii="Cambria" w:hAnsi="Cambria"/>
      <w:szCs w:val="21"/>
    </w:rPr>
  </w:style>
  <w:style w:type="paragraph" w:styleId="31">
    <w:name w:val="Body Text Indent 3"/>
    <w:basedOn w:val="1"/>
    <w:link w:val="53"/>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2">
    <w:name w:val="toc 2"/>
    <w:basedOn w:val="1"/>
    <w:next w:val="1"/>
    <w:qFormat/>
    <w:uiPriority w:val="0"/>
    <w:pPr>
      <w:spacing w:before="120" w:line="360" w:lineRule="auto"/>
    </w:pPr>
    <w:rPr>
      <w:rFonts w:ascii="仿宋_GB2312" w:hAnsi="宋体" w:eastAsia="仿宋_GB2312" w:cs="仿宋_GB2312"/>
      <w:b/>
      <w:bCs/>
      <w:sz w:val="24"/>
    </w:rPr>
  </w:style>
  <w:style w:type="paragraph" w:styleId="33">
    <w:name w:val="toc 9"/>
    <w:basedOn w:val="1"/>
    <w:next w:val="1"/>
    <w:qFormat/>
    <w:uiPriority w:val="0"/>
    <w:pPr>
      <w:ind w:left="3360" w:leftChars="1600"/>
    </w:pPr>
    <w:rPr>
      <w:rFonts w:ascii="Cambria" w:hAnsi="Cambria"/>
      <w:szCs w:val="21"/>
    </w:rPr>
  </w:style>
  <w:style w:type="paragraph" w:styleId="34">
    <w:name w:val="Body Text 2"/>
    <w:basedOn w:val="1"/>
    <w:qFormat/>
    <w:uiPriority w:val="0"/>
    <w:pPr>
      <w:widowControl/>
    </w:pPr>
    <w:rPr>
      <w:kern w:val="0"/>
      <w:sz w:val="20"/>
      <w:szCs w:val="20"/>
      <w:lang w:eastAsia="en-US"/>
    </w:rPr>
  </w:style>
  <w:style w:type="paragraph" w:styleId="3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6">
    <w:name w:val="index 1"/>
    <w:basedOn w:val="1"/>
    <w:next w:val="1"/>
    <w:qFormat/>
    <w:uiPriority w:val="0"/>
    <w:rPr>
      <w:rFonts w:ascii="Cambria" w:hAnsi="Cambria"/>
      <w:szCs w:val="21"/>
    </w:rPr>
  </w:style>
  <w:style w:type="paragraph" w:styleId="37">
    <w:name w:val="Title"/>
    <w:basedOn w:val="1"/>
    <w:qFormat/>
    <w:uiPriority w:val="0"/>
    <w:pPr>
      <w:jc w:val="center"/>
    </w:pPr>
    <w:rPr>
      <w:sz w:val="30"/>
    </w:rPr>
  </w:style>
  <w:style w:type="paragraph" w:styleId="38">
    <w:name w:val="annotation subject"/>
    <w:basedOn w:val="14"/>
    <w:next w:val="14"/>
    <w:link w:val="54"/>
    <w:qFormat/>
    <w:uiPriority w:val="0"/>
    <w:rPr>
      <w:rFonts w:ascii="Times New Roman" w:hAnsi="Times New Roman"/>
      <w:b/>
      <w:bCs/>
      <w:szCs w:val="24"/>
    </w:rPr>
  </w:style>
  <w:style w:type="table" w:styleId="40">
    <w:name w:val="Table Grid"/>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22"/>
    <w:rPr>
      <w:b/>
      <w:bCs/>
    </w:rPr>
  </w:style>
  <w:style w:type="character" w:styleId="43">
    <w:name w:val="page number"/>
    <w:qFormat/>
    <w:uiPriority w:val="0"/>
  </w:style>
  <w:style w:type="character" w:styleId="44">
    <w:name w:val="FollowedHyperlink"/>
    <w:qFormat/>
    <w:uiPriority w:val="0"/>
    <w:rPr>
      <w:color w:val="800080"/>
      <w:u w:val="single"/>
    </w:rPr>
  </w:style>
  <w:style w:type="character" w:styleId="45">
    <w:name w:val="Emphasis"/>
    <w:qFormat/>
    <w:uiPriority w:val="20"/>
    <w:rPr>
      <w:i/>
      <w:iCs/>
    </w:rPr>
  </w:style>
  <w:style w:type="character" w:styleId="46">
    <w:name w:val="Hyperlink"/>
    <w:qFormat/>
    <w:uiPriority w:val="99"/>
    <w:rPr>
      <w:color w:val="0000FF"/>
      <w:u w:val="single"/>
    </w:rPr>
  </w:style>
  <w:style w:type="character" w:styleId="47">
    <w:name w:val="annotation reference"/>
    <w:qFormat/>
    <w:uiPriority w:val="99"/>
    <w:rPr>
      <w:sz w:val="21"/>
      <w:szCs w:val="21"/>
    </w:rPr>
  </w:style>
  <w:style w:type="character" w:customStyle="1" w:styleId="48">
    <w:name w:val="批注文字 字符"/>
    <w:link w:val="14"/>
    <w:qFormat/>
    <w:uiPriority w:val="99"/>
    <w:rPr>
      <w:rFonts w:ascii="Cambria" w:hAnsi="Cambria"/>
      <w:kern w:val="2"/>
      <w:sz w:val="21"/>
      <w:szCs w:val="21"/>
    </w:rPr>
  </w:style>
  <w:style w:type="character" w:customStyle="1" w:styleId="49">
    <w:name w:val="纯文本 字符"/>
    <w:link w:val="20"/>
    <w:qFormat/>
    <w:uiPriority w:val="99"/>
    <w:rPr>
      <w:rFonts w:ascii="宋体" w:hAnsi="Courier New"/>
      <w:kern w:val="2"/>
      <w:sz w:val="21"/>
    </w:rPr>
  </w:style>
  <w:style w:type="character" w:customStyle="1" w:styleId="50">
    <w:name w:val="日期 字符"/>
    <w:link w:val="22"/>
    <w:qFormat/>
    <w:uiPriority w:val="0"/>
    <w:rPr>
      <w:rFonts w:eastAsia="宋体"/>
      <w:kern w:val="2"/>
      <w:sz w:val="21"/>
      <w:lang w:val="en-US" w:eastAsia="zh-CN" w:bidi="ar-SA"/>
    </w:rPr>
  </w:style>
  <w:style w:type="character" w:customStyle="1" w:styleId="51">
    <w:name w:val="页脚 字符"/>
    <w:link w:val="25"/>
    <w:qFormat/>
    <w:uiPriority w:val="99"/>
    <w:rPr>
      <w:kern w:val="2"/>
      <w:sz w:val="18"/>
      <w:szCs w:val="18"/>
    </w:rPr>
  </w:style>
  <w:style w:type="character" w:customStyle="1" w:styleId="52">
    <w:name w:val="页眉 字符"/>
    <w:link w:val="26"/>
    <w:qFormat/>
    <w:uiPriority w:val="0"/>
    <w:rPr>
      <w:kern w:val="2"/>
      <w:sz w:val="18"/>
      <w:szCs w:val="18"/>
    </w:rPr>
  </w:style>
  <w:style w:type="character" w:customStyle="1" w:styleId="53">
    <w:name w:val="正文文本缩进 3 字符"/>
    <w:link w:val="31"/>
    <w:qFormat/>
    <w:uiPriority w:val="0"/>
    <w:rPr>
      <w:rFonts w:ascii="宋体" w:hAnsi="Cambria" w:cs="宋体"/>
      <w:sz w:val="24"/>
      <w:szCs w:val="24"/>
    </w:rPr>
  </w:style>
  <w:style w:type="character" w:customStyle="1" w:styleId="54">
    <w:name w:val="批注主题 字符"/>
    <w:link w:val="38"/>
    <w:qFormat/>
    <w:uiPriority w:val="0"/>
    <w:rPr>
      <w:rFonts w:ascii="Cambria" w:hAnsi="Cambria"/>
      <w:b/>
      <w:bCs/>
      <w:kern w:val="2"/>
      <w:sz w:val="21"/>
      <w:szCs w:val="24"/>
    </w:rPr>
  </w:style>
  <w:style w:type="character" w:customStyle="1" w:styleId="55">
    <w:name w:val="Char"/>
    <w:qFormat/>
    <w:uiPriority w:val="0"/>
    <w:rPr>
      <w:rFonts w:ascii="宋体" w:hAnsi="Courier New" w:eastAsia="宋体"/>
      <w:kern w:val="2"/>
      <w:sz w:val="21"/>
      <w:lang w:val="en-US" w:eastAsia="zh-CN" w:bidi="ar-SA"/>
    </w:rPr>
  </w:style>
  <w:style w:type="paragraph" w:customStyle="1" w:styleId="56">
    <w:name w:val="Char1"/>
    <w:basedOn w:val="1"/>
    <w:qFormat/>
    <w:uiPriority w:val="0"/>
    <w:rPr>
      <w:rFonts w:ascii="Tahoma" w:hAnsi="Tahoma"/>
      <w:sz w:val="24"/>
      <w:szCs w:val="20"/>
    </w:rPr>
  </w:style>
  <w:style w:type="paragraph" w:customStyle="1" w:styleId="57">
    <w:name w:val="彩色列表 - 强调文字颜色 11"/>
    <w:basedOn w:val="1"/>
    <w:qFormat/>
    <w:uiPriority w:val="34"/>
    <w:pPr>
      <w:ind w:firstLine="420" w:firstLineChars="200"/>
    </w:pPr>
    <w:rPr>
      <w:rFonts w:ascii="Calibri" w:hAnsi="Calibri"/>
      <w:szCs w:val="22"/>
    </w:rPr>
  </w:style>
  <w:style w:type="paragraph" w:customStyle="1" w:styleId="58">
    <w:name w:val="正文文本 21"/>
    <w:basedOn w:val="1"/>
    <w:qFormat/>
    <w:uiPriority w:val="0"/>
    <w:pPr>
      <w:adjustRightInd w:val="0"/>
      <w:spacing w:before="120" w:line="360" w:lineRule="auto"/>
      <w:ind w:firstLine="480"/>
      <w:textAlignment w:val="baseline"/>
    </w:pPr>
    <w:rPr>
      <w:sz w:val="24"/>
      <w:szCs w:val="20"/>
    </w:rPr>
  </w:style>
  <w:style w:type="paragraph" w:customStyle="1" w:styleId="59">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60">
    <w:name w:val="正文文本缩进 21"/>
    <w:basedOn w:val="1"/>
    <w:qFormat/>
    <w:uiPriority w:val="0"/>
    <w:pPr>
      <w:adjustRightInd w:val="0"/>
      <w:spacing w:before="120"/>
      <w:ind w:firstLine="420"/>
      <w:textAlignment w:val="baseline"/>
    </w:pPr>
    <w:rPr>
      <w:sz w:val="24"/>
      <w:szCs w:val="20"/>
    </w:rPr>
  </w:style>
  <w:style w:type="character" w:customStyle="1" w:styleId="61">
    <w:name w:val="Char2"/>
    <w:qFormat/>
    <w:uiPriority w:val="0"/>
    <w:rPr>
      <w:rFonts w:ascii="宋体" w:hAnsi="Courier New" w:eastAsia="宋体" w:cs="宋体"/>
      <w:kern w:val="2"/>
      <w:sz w:val="21"/>
      <w:szCs w:val="21"/>
      <w:lang w:val="en-US" w:eastAsia="zh-CN"/>
    </w:rPr>
  </w:style>
  <w:style w:type="paragraph" w:customStyle="1" w:styleId="62">
    <w:name w:val="标题1"/>
    <w:basedOn w:val="37"/>
    <w:qFormat/>
    <w:uiPriority w:val="0"/>
    <w:pPr>
      <w:spacing w:before="240" w:after="240"/>
      <w:outlineLvl w:val="0"/>
    </w:pPr>
    <w:rPr>
      <w:rFonts w:ascii="Arial" w:hAnsi="Arial" w:cs="Arial"/>
      <w:b/>
      <w:bCs/>
      <w:spacing w:val="2"/>
      <w:sz w:val="44"/>
      <w:szCs w:val="44"/>
    </w:rPr>
  </w:style>
  <w:style w:type="paragraph" w:customStyle="1" w:styleId="63">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4">
    <w:name w:val="样式"/>
    <w:basedOn w:val="1"/>
    <w:next w:val="20"/>
    <w:qFormat/>
    <w:uiPriority w:val="0"/>
    <w:rPr>
      <w:rFonts w:ascii="宋体" w:hAnsi="Courier New" w:cs="宋体"/>
      <w:szCs w:val="21"/>
    </w:rPr>
  </w:style>
  <w:style w:type="paragraph" w:customStyle="1" w:styleId="65">
    <w:name w:val="Char11"/>
    <w:basedOn w:val="1"/>
    <w:qFormat/>
    <w:uiPriority w:val="0"/>
    <w:rPr>
      <w:rFonts w:ascii="Tahoma" w:hAnsi="Tahoma"/>
      <w:sz w:val="24"/>
      <w:szCs w:val="20"/>
    </w:rPr>
  </w:style>
  <w:style w:type="paragraph" w:customStyle="1" w:styleId="66">
    <w:name w:val="Char Char Char Char"/>
    <w:basedOn w:val="1"/>
    <w:qFormat/>
    <w:uiPriority w:val="0"/>
    <w:pPr>
      <w:spacing w:after="160" w:line="240" w:lineRule="exact"/>
    </w:pPr>
    <w:rPr>
      <w:rFonts w:ascii="Cambria" w:hAnsi="Cambria"/>
      <w:szCs w:val="21"/>
    </w:rPr>
  </w:style>
  <w:style w:type="paragraph" w:customStyle="1" w:styleId="67">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8">
    <w:name w:val="List Paragraph"/>
    <w:basedOn w:val="1"/>
    <w:qFormat/>
    <w:uiPriority w:val="34"/>
    <w:pPr>
      <w:ind w:left="205" w:right="169" w:firstLine="655"/>
    </w:pPr>
    <w:rPr>
      <w:rFonts w:ascii="Cambria" w:hAnsi="Cambria"/>
      <w:szCs w:val="21"/>
    </w:rPr>
  </w:style>
  <w:style w:type="table" w:customStyle="1" w:styleId="69">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70">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71">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2">
    <w:name w:val="null3"/>
    <w:qFormat/>
    <w:uiPriority w:val="0"/>
    <w:rPr>
      <w:rFonts w:hint="eastAsia" w:ascii="Calibri" w:hAnsi="Calibri" w:eastAsia="宋体" w:cs="Times New Roman"/>
      <w:lang w:val="en-US" w:eastAsia="zh-Hans" w:bidi="ar-SA"/>
    </w:rPr>
  </w:style>
  <w:style w:type="paragraph" w:customStyle="1" w:styleId="73">
    <w:name w:val="_Style 71"/>
    <w:unhideWhenUsed/>
    <w:qFormat/>
    <w:uiPriority w:val="99"/>
    <w:rPr>
      <w:rFonts w:ascii="Times New Roman" w:hAnsi="Times New Roman" w:eastAsia="宋体" w:cs="Times New Roman"/>
      <w:kern w:val="2"/>
      <w:sz w:val="21"/>
      <w:szCs w:val="24"/>
      <w:lang w:val="en-US" w:eastAsia="zh-CN" w:bidi="ar-SA"/>
    </w:rPr>
  </w:style>
  <w:style w:type="paragraph" w:customStyle="1" w:styleId="74">
    <w:name w:val="List Paragraph1"/>
    <w:basedOn w:val="1"/>
    <w:qFormat/>
    <w:uiPriority w:val="99"/>
    <w:pPr>
      <w:ind w:firstLine="420" w:firstLineChars="200"/>
    </w:pPr>
  </w:style>
  <w:style w:type="paragraph" w:customStyle="1" w:styleId="75">
    <w:name w:val="列出段落1"/>
    <w:basedOn w:val="1"/>
    <w:qFormat/>
    <w:uiPriority w:val="0"/>
    <w:pPr>
      <w:spacing w:line="300" w:lineRule="auto"/>
      <w:ind w:firstLine="420" w:firstLineChars="200"/>
    </w:pPr>
    <w:rPr>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8</Pages>
  <Words>4750</Words>
  <Characters>5503</Characters>
  <Lines>1728</Lines>
  <Paragraphs>1586</Paragraphs>
  <TotalTime>6</TotalTime>
  <ScaleCrop>false</ScaleCrop>
  <LinksUpToDate>false</LinksUpToDate>
  <CharactersWithSpaces>5639</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2022-06-01T03:50:00Z</dcterms:created>
  <dc:creator>caowuning</dc:creator>
  <cp:lastModifiedBy>sw wang</cp:lastModifiedBy>
  <cp:lastPrinted>2009-04-21T09:03:00Z</cp:lastPrinted>
  <dcterms:modified xsi:type="dcterms:W3CDTF">2026-10-08T12:06:10Z</dcterms:modified>
  <dc:title>北 京 市 政 府 采 购</dc:title>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20EB0EF69694454CA91B44985B5DE793_13</vt:lpwstr>
  </property>
  <property fmtid="{D5CDD505-2E9C-101B-9397-08002B2CF9AE}" pid="4" name="KSOTemplateDocerSaveRecord">
    <vt:lpwstr>eyJoZGlkIjoiMTMxNDlmMGYwMGExYmU0YTc1ODk5MDYyYTUxYTA2MDAiLCJ1c2VySWQiOiI5NTA1NjAyNDkifQ==</vt:lpwstr>
  </property>
</Properties>
</file>