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EEDA1E">
      <w:pPr>
        <w:jc w:val="center"/>
        <w:rPr>
          <w:rFonts w:hint="eastAsia" w:ascii="宋体" w:hAnsi="宋体"/>
          <w:b/>
          <w:color w:val="auto"/>
          <w:sz w:val="28"/>
          <w:szCs w:val="28"/>
          <w:highlight w:val="none"/>
        </w:rPr>
      </w:pPr>
      <w:bookmarkStart w:id="0" w:name="_Toc227991412"/>
      <w:bookmarkStart w:id="1" w:name="_Toc292200550"/>
    </w:p>
    <w:p w14:paraId="52B341F6">
      <w:pPr>
        <w:spacing w:line="360" w:lineRule="auto"/>
        <w:jc w:val="center"/>
        <w:outlineLvl w:val="0"/>
        <w:rPr>
          <w:rFonts w:hint="eastAsia" w:ascii="宋体" w:hAnsi="宋体" w:eastAsia="宋体" w:cs="宋体"/>
          <w:b/>
          <w:bCs/>
          <w:color w:val="auto"/>
          <w:sz w:val="60"/>
          <w:szCs w:val="72"/>
          <w:highlight w:val="none"/>
          <w:lang w:eastAsia="zh-CN"/>
        </w:rPr>
      </w:pPr>
      <w:r>
        <w:rPr>
          <w:rFonts w:hint="eastAsia" w:ascii="宋体" w:hAnsi="宋体" w:eastAsia="宋体" w:cs="宋体"/>
          <w:b/>
          <w:bCs/>
          <w:color w:val="auto"/>
          <w:sz w:val="60"/>
          <w:szCs w:val="72"/>
          <w:highlight w:val="none"/>
          <w:lang w:eastAsia="zh-CN"/>
        </w:rPr>
        <w:t>红河职业技术学院数智校园建设项目—工程类</w:t>
      </w:r>
    </w:p>
    <w:p w14:paraId="313732F0">
      <w:pPr>
        <w:jc w:val="center"/>
        <w:rPr>
          <w:rFonts w:hint="eastAsia" w:ascii="宋体" w:hAnsi="宋体" w:eastAsia="宋体" w:cs="宋体"/>
          <w:b/>
          <w:bCs/>
          <w:color w:val="auto"/>
          <w:sz w:val="72"/>
          <w:szCs w:val="96"/>
          <w:highlight w:val="none"/>
        </w:rPr>
      </w:pPr>
    </w:p>
    <w:p w14:paraId="41D8D73E">
      <w:pPr>
        <w:jc w:val="center"/>
        <w:rPr>
          <w:rFonts w:hint="eastAsia" w:ascii="宋体" w:hAnsi="宋体" w:eastAsia="宋体" w:cs="宋体"/>
          <w:b/>
          <w:bCs/>
          <w:color w:val="auto"/>
          <w:sz w:val="72"/>
          <w:szCs w:val="96"/>
          <w:highlight w:val="none"/>
        </w:rPr>
      </w:pPr>
    </w:p>
    <w:p w14:paraId="7D76DCE7">
      <w:pPr>
        <w:jc w:val="center"/>
        <w:outlineLvl w:val="0"/>
        <w:rPr>
          <w:rFonts w:hint="eastAsia" w:ascii="宋体" w:hAnsi="宋体" w:eastAsia="宋体" w:cs="宋体"/>
          <w:b/>
          <w:bCs/>
          <w:color w:val="auto"/>
          <w:sz w:val="72"/>
          <w:szCs w:val="96"/>
          <w:highlight w:val="none"/>
        </w:rPr>
      </w:pPr>
      <w:bookmarkStart w:id="2" w:name="_Toc13130"/>
      <w:r>
        <w:rPr>
          <w:rFonts w:hint="eastAsia" w:ascii="宋体" w:hAnsi="宋体" w:eastAsia="宋体" w:cs="宋体"/>
          <w:b/>
          <w:bCs/>
          <w:color w:val="auto"/>
          <w:sz w:val="72"/>
          <w:szCs w:val="96"/>
          <w:highlight w:val="none"/>
        </w:rPr>
        <w:t>竞争性磋商文件</w:t>
      </w:r>
      <w:bookmarkEnd w:id="2"/>
    </w:p>
    <w:p w14:paraId="7D05DB8F">
      <w:pPr>
        <w:jc w:val="center"/>
        <w:outlineLvl w:val="0"/>
        <w:rPr>
          <w:rFonts w:hint="eastAsia" w:ascii="宋体" w:hAnsi="宋体" w:eastAsia="宋体" w:cs="宋体"/>
          <w:b/>
          <w:color w:val="auto"/>
          <w:sz w:val="28"/>
          <w:szCs w:val="28"/>
          <w:highlight w:val="none"/>
          <w:lang w:eastAsia="zh-CN"/>
        </w:rPr>
      </w:pPr>
      <w:bookmarkStart w:id="3" w:name="_Toc7701"/>
      <w:r>
        <w:rPr>
          <w:rFonts w:hint="eastAsia" w:ascii="宋体" w:hAnsi="宋体" w:eastAsia="宋体" w:cs="宋体"/>
          <w:b/>
          <w:color w:val="auto"/>
          <w:sz w:val="28"/>
          <w:szCs w:val="28"/>
          <w:highlight w:val="none"/>
        </w:rPr>
        <w:t>项目编号：</w:t>
      </w:r>
      <w:bookmarkEnd w:id="3"/>
      <w:r>
        <w:rPr>
          <w:rFonts w:hint="eastAsia" w:ascii="宋体" w:hAnsi="宋体" w:eastAsia="宋体" w:cs="宋体"/>
          <w:b/>
          <w:color w:val="auto"/>
          <w:sz w:val="28"/>
          <w:szCs w:val="28"/>
          <w:highlight w:val="none"/>
          <w:lang w:eastAsia="zh-CN"/>
        </w:rPr>
        <w:t>SSZB2026062</w:t>
      </w:r>
    </w:p>
    <w:p w14:paraId="6834EB18">
      <w:pPr>
        <w:rPr>
          <w:rFonts w:hint="eastAsia" w:ascii="宋体" w:hAnsi="宋体" w:eastAsia="宋体" w:cs="宋体"/>
          <w:b/>
          <w:color w:val="auto"/>
          <w:sz w:val="36"/>
          <w:szCs w:val="32"/>
          <w:highlight w:val="none"/>
        </w:rPr>
      </w:pPr>
    </w:p>
    <w:p w14:paraId="6864E64F">
      <w:pPr>
        <w:rPr>
          <w:rFonts w:hint="eastAsia" w:ascii="宋体" w:hAnsi="宋体" w:eastAsia="宋体" w:cs="宋体"/>
          <w:b/>
          <w:color w:val="auto"/>
          <w:sz w:val="36"/>
          <w:szCs w:val="32"/>
          <w:highlight w:val="none"/>
        </w:rPr>
      </w:pPr>
    </w:p>
    <w:p w14:paraId="3E13A78E">
      <w:pPr>
        <w:rPr>
          <w:rFonts w:hint="eastAsia" w:ascii="宋体" w:hAnsi="宋体" w:eastAsia="宋体" w:cs="宋体"/>
          <w:b/>
          <w:color w:val="auto"/>
          <w:sz w:val="36"/>
          <w:szCs w:val="32"/>
          <w:highlight w:val="none"/>
        </w:rPr>
      </w:pPr>
    </w:p>
    <w:p w14:paraId="75A26134">
      <w:pPr>
        <w:rPr>
          <w:rFonts w:hint="eastAsia" w:ascii="宋体" w:hAnsi="宋体" w:eastAsia="宋体" w:cs="宋体"/>
          <w:b/>
          <w:color w:val="auto"/>
          <w:sz w:val="36"/>
          <w:szCs w:val="32"/>
          <w:highlight w:val="none"/>
        </w:rPr>
      </w:pPr>
    </w:p>
    <w:p w14:paraId="1C2759BC">
      <w:pPr>
        <w:rPr>
          <w:rFonts w:hint="eastAsia" w:ascii="宋体" w:hAnsi="宋体" w:eastAsia="宋体" w:cs="宋体"/>
          <w:b/>
          <w:color w:val="auto"/>
          <w:sz w:val="36"/>
          <w:szCs w:val="32"/>
          <w:highlight w:val="none"/>
        </w:rPr>
      </w:pPr>
    </w:p>
    <w:p w14:paraId="4C8329D6">
      <w:pPr>
        <w:rPr>
          <w:rFonts w:hint="eastAsia" w:ascii="宋体" w:hAnsi="宋体" w:eastAsia="宋体" w:cs="宋体"/>
          <w:b/>
          <w:color w:val="auto"/>
          <w:sz w:val="36"/>
          <w:szCs w:val="32"/>
          <w:highlight w:val="none"/>
        </w:rPr>
      </w:pPr>
    </w:p>
    <w:p w14:paraId="44430E32">
      <w:pPr>
        <w:rPr>
          <w:rFonts w:hint="eastAsia" w:ascii="宋体" w:hAnsi="宋体" w:eastAsia="宋体" w:cs="宋体"/>
          <w:b/>
          <w:color w:val="auto"/>
          <w:sz w:val="36"/>
          <w:szCs w:val="32"/>
          <w:highlight w:val="none"/>
        </w:rPr>
      </w:pPr>
    </w:p>
    <w:p w14:paraId="2B43D7FC">
      <w:pPr>
        <w:spacing w:line="360" w:lineRule="auto"/>
        <w:ind w:firstLine="1405" w:firstLineChars="500"/>
        <w:outlineLvl w:val="0"/>
        <w:rPr>
          <w:rFonts w:hint="default" w:ascii="宋体" w:hAnsi="宋体" w:eastAsia="宋体" w:cs="宋体"/>
          <w:b/>
          <w:bCs/>
          <w:i w:val="0"/>
          <w:iCs w:val="0"/>
          <w:color w:val="auto"/>
          <w:spacing w:val="-20"/>
          <w:sz w:val="28"/>
          <w:szCs w:val="28"/>
          <w:highlight w:val="none"/>
          <w:u w:val="none"/>
          <w:lang w:val="en-US" w:eastAsia="zh-CN"/>
        </w:rPr>
      </w:pPr>
      <w:bookmarkStart w:id="4" w:name="_Toc22402"/>
      <w:r>
        <w:rPr>
          <w:rFonts w:hint="eastAsia" w:asciiTheme="minorEastAsia" w:hAnsiTheme="minorEastAsia" w:eastAsiaTheme="minorEastAsia" w:cstheme="minorEastAsia"/>
          <w:b/>
          <w:bCs/>
          <w:color w:val="auto"/>
          <w:sz w:val="28"/>
          <w:szCs w:val="28"/>
          <w:highlight w:val="none"/>
        </w:rPr>
        <w:t xml:space="preserve">采   购  </w:t>
      </w:r>
      <w:r>
        <w:rPr>
          <w:rFonts w:hint="eastAsia" w:asciiTheme="minorEastAsia" w:hAnsiTheme="minorEastAsia" w:eastAsiaTheme="minorEastAsia" w:cstheme="minorEastAsia"/>
          <w:b/>
          <w:bCs/>
          <w:color w:val="auto"/>
          <w:sz w:val="28"/>
          <w:szCs w:val="28"/>
          <w:highlight w:val="none"/>
          <w:lang w:val="en-US" w:eastAsia="zh-CN"/>
        </w:rPr>
        <w:t xml:space="preserve"> </w:t>
      </w:r>
      <w:r>
        <w:rPr>
          <w:rFonts w:hint="eastAsia" w:asciiTheme="minorEastAsia" w:hAnsiTheme="minorEastAsia" w:eastAsiaTheme="minorEastAsia" w:cstheme="minorEastAsia"/>
          <w:b/>
          <w:bCs/>
          <w:color w:val="auto"/>
          <w:sz w:val="28"/>
          <w:szCs w:val="28"/>
          <w:highlight w:val="none"/>
        </w:rPr>
        <w:t>人</w:t>
      </w:r>
      <w:r>
        <w:rPr>
          <w:rFonts w:hint="eastAsia" w:ascii="宋体" w:hAnsi="宋体" w:eastAsia="宋体" w:cs="宋体"/>
          <w:b/>
          <w:bCs/>
          <w:color w:val="auto"/>
          <w:sz w:val="28"/>
          <w:szCs w:val="28"/>
          <w:highlight w:val="none"/>
        </w:rPr>
        <w:t>：</w:t>
      </w:r>
      <w:bookmarkEnd w:id="4"/>
      <w:r>
        <w:rPr>
          <w:rFonts w:hint="eastAsia" w:ascii="宋体" w:hAnsi="宋体" w:eastAsia="宋体" w:cs="宋体"/>
          <w:b/>
          <w:bCs/>
          <w:i w:val="0"/>
          <w:iCs w:val="0"/>
          <w:color w:val="auto"/>
          <w:sz w:val="28"/>
          <w:szCs w:val="28"/>
          <w:highlight w:val="none"/>
          <w:u w:val="single"/>
          <w:lang w:eastAsia="zh-CN"/>
        </w:rPr>
        <w:t>红河职业技术学院</w:t>
      </w:r>
    </w:p>
    <w:p w14:paraId="784524A2">
      <w:pPr>
        <w:spacing w:line="360" w:lineRule="auto"/>
        <w:ind w:firstLine="1405" w:firstLineChars="500"/>
        <w:rPr>
          <w:rFonts w:hint="eastAsia" w:ascii="宋体" w:hAnsi="宋体" w:eastAsia="宋体" w:cs="宋体"/>
          <w:b/>
          <w:bCs/>
          <w:i w:val="0"/>
          <w:iCs w:val="0"/>
          <w:color w:val="auto"/>
          <w:sz w:val="28"/>
          <w:szCs w:val="28"/>
          <w:highlight w:val="none"/>
          <w:u w:val="none"/>
        </w:rPr>
      </w:pPr>
      <w:r>
        <w:rPr>
          <w:rFonts w:hint="eastAsia" w:ascii="宋体" w:hAnsi="宋体" w:eastAsia="宋体" w:cs="宋体"/>
          <w:b/>
          <w:bCs/>
          <w:i w:val="0"/>
          <w:iCs w:val="0"/>
          <w:color w:val="auto"/>
          <w:sz w:val="28"/>
          <w:szCs w:val="28"/>
          <w:highlight w:val="none"/>
          <w:u w:val="none"/>
          <w:lang w:eastAsia="zh-CN"/>
        </w:rPr>
        <w:t>采购代理机构</w:t>
      </w:r>
      <w:r>
        <w:rPr>
          <w:rFonts w:hint="eastAsia" w:ascii="宋体" w:hAnsi="宋体" w:eastAsia="宋体" w:cs="宋体"/>
          <w:b/>
          <w:bCs/>
          <w:i w:val="0"/>
          <w:iCs w:val="0"/>
          <w:color w:val="auto"/>
          <w:sz w:val="28"/>
          <w:szCs w:val="28"/>
          <w:highlight w:val="none"/>
          <w:u w:val="none"/>
        </w:rPr>
        <w:t>：</w:t>
      </w:r>
      <w:r>
        <w:rPr>
          <w:rFonts w:hint="eastAsia" w:ascii="宋体" w:hAnsi="宋体" w:eastAsia="宋体" w:cs="宋体"/>
          <w:b/>
          <w:bCs/>
          <w:i w:val="0"/>
          <w:iCs w:val="0"/>
          <w:color w:val="auto"/>
          <w:sz w:val="28"/>
          <w:szCs w:val="28"/>
          <w:highlight w:val="none"/>
          <w:u w:val="single"/>
          <w:lang w:eastAsia="zh-CN"/>
        </w:rPr>
        <w:t>红河州顺胜项目管理有限公司</w:t>
      </w:r>
    </w:p>
    <w:p w14:paraId="560E0213">
      <w:pPr>
        <w:tabs>
          <w:tab w:val="left" w:pos="1215"/>
          <w:tab w:val="center" w:pos="5093"/>
        </w:tabs>
        <w:spacing w:line="360" w:lineRule="auto"/>
        <w:rPr>
          <w:rFonts w:hint="eastAsia" w:ascii="宋体" w:hAnsi="宋体" w:eastAsia="宋体" w:cs="宋体"/>
          <w:b/>
          <w:bCs/>
          <w:i w:val="0"/>
          <w:iCs w:val="0"/>
          <w:color w:val="auto"/>
          <w:sz w:val="28"/>
          <w:szCs w:val="28"/>
          <w:highlight w:val="none"/>
          <w:u w:val="single"/>
          <w:lang w:val="en-US" w:eastAsia="zh-CN"/>
        </w:rPr>
      </w:pPr>
      <w:r>
        <w:rPr>
          <w:rFonts w:hint="eastAsia" w:ascii="宋体" w:hAnsi="宋体" w:eastAsia="宋体" w:cs="宋体"/>
          <w:b/>
          <w:bCs/>
          <w:i w:val="0"/>
          <w:iCs w:val="0"/>
          <w:color w:val="auto"/>
          <w:sz w:val="28"/>
          <w:szCs w:val="28"/>
          <w:highlight w:val="none"/>
          <w:u w:val="none"/>
        </w:rPr>
        <w:tab/>
      </w:r>
      <w:r>
        <w:rPr>
          <w:rFonts w:hint="eastAsia" w:ascii="宋体" w:hAnsi="宋体" w:eastAsia="宋体" w:cs="宋体"/>
          <w:b/>
          <w:bCs/>
          <w:i w:val="0"/>
          <w:iCs w:val="0"/>
          <w:color w:val="auto"/>
          <w:sz w:val="28"/>
          <w:szCs w:val="28"/>
          <w:highlight w:val="none"/>
          <w:u w:val="none"/>
          <w:lang w:val="en-US" w:eastAsia="zh-CN"/>
        </w:rPr>
        <w:t xml:space="preserve"> </w:t>
      </w:r>
      <w:r>
        <w:rPr>
          <w:rFonts w:hint="eastAsia" w:ascii="宋体" w:hAnsi="宋体" w:eastAsia="宋体" w:cs="宋体"/>
          <w:b/>
          <w:bCs/>
          <w:i w:val="0"/>
          <w:iCs w:val="0"/>
          <w:color w:val="auto"/>
          <w:sz w:val="28"/>
          <w:szCs w:val="28"/>
          <w:highlight w:val="none"/>
          <w:u w:val="none"/>
        </w:rPr>
        <w:t xml:space="preserve">日     </w:t>
      </w:r>
      <w:r>
        <w:rPr>
          <w:rFonts w:hint="eastAsia" w:ascii="宋体" w:hAnsi="宋体" w:eastAsia="宋体" w:cs="宋体"/>
          <w:b/>
          <w:bCs/>
          <w:i w:val="0"/>
          <w:iCs w:val="0"/>
          <w:color w:val="auto"/>
          <w:sz w:val="28"/>
          <w:szCs w:val="28"/>
          <w:highlight w:val="none"/>
          <w:u w:val="none"/>
          <w:lang w:val="en-US" w:eastAsia="zh-CN"/>
        </w:rPr>
        <w:t xml:space="preserve">   </w:t>
      </w:r>
      <w:r>
        <w:rPr>
          <w:rFonts w:hint="eastAsia" w:ascii="宋体" w:hAnsi="宋体" w:eastAsia="宋体" w:cs="宋体"/>
          <w:b/>
          <w:bCs/>
          <w:i w:val="0"/>
          <w:iCs w:val="0"/>
          <w:color w:val="auto"/>
          <w:sz w:val="28"/>
          <w:szCs w:val="28"/>
          <w:highlight w:val="none"/>
          <w:u w:val="none"/>
        </w:rPr>
        <w:t>期：</w:t>
      </w:r>
      <w:r>
        <w:rPr>
          <w:rFonts w:hint="eastAsia" w:ascii="宋体" w:hAnsi="宋体" w:eastAsia="宋体" w:cs="宋体"/>
          <w:b/>
          <w:bCs/>
          <w:i w:val="0"/>
          <w:iCs w:val="0"/>
          <w:color w:val="auto"/>
          <w:sz w:val="28"/>
          <w:szCs w:val="28"/>
          <w:highlight w:val="none"/>
          <w:u w:val="single"/>
          <w:lang w:val="en-US" w:eastAsia="zh-CN"/>
        </w:rPr>
        <w:t>二〇二六</w:t>
      </w:r>
      <w:r>
        <w:rPr>
          <w:rFonts w:hint="eastAsia" w:ascii="宋体" w:hAnsi="宋体" w:eastAsia="宋体" w:cs="宋体"/>
          <w:b/>
          <w:bCs/>
          <w:i w:val="0"/>
          <w:iCs w:val="0"/>
          <w:color w:val="auto"/>
          <w:sz w:val="28"/>
          <w:szCs w:val="28"/>
          <w:highlight w:val="none"/>
          <w:u w:val="single"/>
        </w:rPr>
        <w:t>年</w:t>
      </w:r>
      <w:r>
        <w:rPr>
          <w:rFonts w:hint="eastAsia" w:ascii="宋体" w:hAnsi="宋体" w:eastAsia="宋体" w:cs="宋体"/>
          <w:b/>
          <w:bCs/>
          <w:i w:val="0"/>
          <w:iCs w:val="0"/>
          <w:color w:val="auto"/>
          <w:sz w:val="28"/>
          <w:szCs w:val="28"/>
          <w:highlight w:val="none"/>
          <w:u w:val="single"/>
          <w:lang w:val="en-US" w:eastAsia="zh-CN"/>
        </w:rPr>
        <w:t>九</w:t>
      </w:r>
      <w:r>
        <w:rPr>
          <w:rFonts w:hint="eastAsia" w:ascii="宋体" w:hAnsi="宋体" w:eastAsia="宋体" w:cs="宋体"/>
          <w:b/>
          <w:bCs/>
          <w:i w:val="0"/>
          <w:iCs w:val="0"/>
          <w:color w:val="auto"/>
          <w:sz w:val="28"/>
          <w:szCs w:val="28"/>
          <w:highlight w:val="none"/>
          <w:u w:val="single"/>
        </w:rPr>
        <w:t>月</w:t>
      </w:r>
    </w:p>
    <w:p w14:paraId="27D532FB">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sdt>
      <w:sdtPr>
        <w:rPr>
          <w:rFonts w:hint="eastAsia" w:ascii="宋体" w:hAnsi="宋体" w:eastAsia="宋体" w:cs="宋体"/>
          <w:bCs/>
          <w:caps/>
          <w:smallCaps/>
          <w:color w:val="auto"/>
          <w:kern w:val="2"/>
          <w:sz w:val="40"/>
          <w:szCs w:val="20"/>
          <w:highlight w:val="none"/>
          <w:lang w:val="zh-CN"/>
        </w:rPr>
        <w:id w:val="25565756"/>
        <w:showingPlcHdr/>
      </w:sdtPr>
      <w:sdtEndPr>
        <w:rPr>
          <w:rStyle w:val="70"/>
          <w:rFonts w:hint="eastAsia" w:ascii="宋体" w:hAnsi="宋体" w:eastAsia="宋体" w:cs="宋体"/>
          <w:bCs w:val="0"/>
          <w:caps w:val="0"/>
          <w:smallCaps/>
          <w:color w:val="auto"/>
          <w:kern w:val="2"/>
          <w:sz w:val="18"/>
          <w:szCs w:val="18"/>
          <w:highlight w:val="none"/>
          <w:lang w:val="en-US"/>
        </w:rPr>
      </w:sdtEndPr>
      <w:sdtContent>
        <w:p w14:paraId="1A1DAB09">
          <w:pPr>
            <w:pStyle w:val="51"/>
            <w:tabs>
              <w:tab w:val="right" w:leader="dot" w:pos="10176"/>
            </w:tabs>
            <w:rPr>
              <w:rStyle w:val="70"/>
              <w:rFonts w:hint="eastAsia" w:ascii="宋体" w:hAnsi="宋体" w:eastAsia="宋体" w:cs="宋体"/>
              <w:color w:val="auto"/>
              <w:highlight w:val="none"/>
            </w:rPr>
          </w:pPr>
          <w:r>
            <w:rPr>
              <w:rFonts w:hint="eastAsia" w:ascii="宋体" w:hAnsi="宋体" w:cs="宋体"/>
              <w:bCs/>
              <w:caps/>
              <w:smallCaps/>
              <w:color w:val="auto"/>
              <w:kern w:val="2"/>
              <w:sz w:val="40"/>
              <w:szCs w:val="20"/>
              <w:highlight w:val="none"/>
              <w:lang w:val="zh-CN"/>
            </w:rPr>
            <w:t xml:space="preserve">     </w:t>
          </w:r>
        </w:p>
      </w:sdtContent>
    </w:sdt>
    <w:sdt>
      <w:sdtPr>
        <w:rPr>
          <w:rFonts w:ascii="宋体" w:hAnsi="宋体" w:eastAsia="宋体" w:cstheme="minorBidi"/>
          <w:color w:val="auto"/>
          <w:sz w:val="21"/>
          <w:szCs w:val="22"/>
          <w:highlight w:val="none"/>
          <w:lang w:val="en-US" w:eastAsia="zh-CN" w:bidi="ar-SA"/>
        </w:rPr>
        <w:id w:val="147459647"/>
        <w15:color w:val="DBDBDB"/>
        <w:docPartObj>
          <w:docPartGallery w:val="Table of Contents"/>
          <w:docPartUnique/>
        </w:docPartObj>
      </w:sdtPr>
      <w:sdtEndPr>
        <w:rPr>
          <w:rFonts w:hint="eastAsia" w:ascii="宋体" w:hAnsi="宋体" w:eastAsia="宋体" w:cs="宋体"/>
          <w:bCs/>
          <w:color w:val="auto"/>
          <w:kern w:val="2"/>
          <w:sz w:val="22"/>
          <w:szCs w:val="30"/>
          <w:highlight w:val="none"/>
          <w:lang w:val="en-US" w:eastAsia="zh-CN" w:bidi="ar-SA"/>
        </w:rPr>
      </w:sdtEndPr>
      <w:sdtContent>
        <w:p w14:paraId="3486D9D6">
          <w:pPr>
            <w:spacing w:before="0" w:beforeLines="0" w:after="0" w:afterLines="0" w:line="240" w:lineRule="auto"/>
            <w:ind w:left="0" w:leftChars="0" w:right="0" w:rightChars="0"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录</w:t>
          </w:r>
        </w:p>
        <w:p w14:paraId="62785106">
          <w:pPr>
            <w:pStyle w:val="426"/>
            <w:tabs>
              <w:tab w:val="right" w:leader="dot" w:pos="10186"/>
            </w:tabs>
            <w:rPr>
              <w:rFonts w:hint="eastAsia" w:ascii="宋体" w:hAnsi="宋体" w:eastAsia="宋体" w:cs="宋体"/>
              <w:color w:val="auto"/>
              <w:sz w:val="28"/>
              <w:szCs w:val="28"/>
              <w:highlight w:val="none"/>
            </w:rPr>
          </w:pPr>
          <w:r>
            <w:rPr>
              <w:rFonts w:hint="eastAsia" w:ascii="宋体" w:hAnsi="宋体" w:eastAsia="宋体" w:cs="宋体"/>
              <w:b/>
              <w:bCs/>
              <w:color w:val="auto"/>
              <w:kern w:val="2"/>
              <w:sz w:val="28"/>
              <w:szCs w:val="28"/>
              <w:highlight w:val="none"/>
            </w:rPr>
            <w:fldChar w:fldCharType="begin"/>
          </w:r>
          <w:r>
            <w:rPr>
              <w:rFonts w:hint="eastAsia" w:ascii="宋体" w:hAnsi="宋体" w:eastAsia="宋体" w:cs="宋体"/>
              <w:b/>
              <w:bCs/>
              <w:color w:val="auto"/>
              <w:kern w:val="2"/>
              <w:sz w:val="28"/>
              <w:szCs w:val="28"/>
              <w:highlight w:val="none"/>
            </w:rPr>
            <w:instrText xml:space="preserve">TOC \o "1-1" \h \u </w:instrText>
          </w:r>
          <w:r>
            <w:rPr>
              <w:rFonts w:hint="eastAsia" w:ascii="宋体" w:hAnsi="宋体" w:eastAsia="宋体" w:cs="宋体"/>
              <w:b/>
              <w:bCs/>
              <w:color w:val="auto"/>
              <w:kern w:val="2"/>
              <w:sz w:val="28"/>
              <w:szCs w:val="28"/>
              <w:highlight w:val="none"/>
            </w:rPr>
            <w:fldChar w:fldCharType="separate"/>
          </w:r>
        </w:p>
        <w:p w14:paraId="384193DB">
          <w:pPr>
            <w:pStyle w:val="426"/>
            <w:tabs>
              <w:tab w:val="right" w:leader="dot" w:pos="1018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kern w:val="2"/>
              <w:sz w:val="28"/>
              <w:szCs w:val="28"/>
              <w:highlight w:val="none"/>
            </w:rPr>
            <w:fldChar w:fldCharType="begin"/>
          </w:r>
          <w:r>
            <w:rPr>
              <w:rFonts w:hint="eastAsia" w:ascii="宋体" w:hAnsi="宋体" w:eastAsia="宋体" w:cs="宋体"/>
              <w:bCs/>
              <w:color w:val="auto"/>
              <w:kern w:val="2"/>
              <w:sz w:val="28"/>
              <w:szCs w:val="28"/>
              <w:highlight w:val="none"/>
            </w:rPr>
            <w:instrText xml:space="preserve"> HYPERLINK \l _Toc32189 </w:instrText>
          </w:r>
          <w:r>
            <w:rPr>
              <w:rFonts w:hint="eastAsia" w:ascii="宋体" w:hAnsi="宋体" w:eastAsia="宋体" w:cs="宋体"/>
              <w:bCs/>
              <w:color w:val="auto"/>
              <w:kern w:val="2"/>
              <w:sz w:val="28"/>
              <w:szCs w:val="28"/>
              <w:highlight w:val="none"/>
            </w:rPr>
            <w:fldChar w:fldCharType="separate"/>
          </w:r>
          <w:r>
            <w:rPr>
              <w:rFonts w:hint="eastAsia" w:ascii="宋体" w:hAnsi="宋体" w:eastAsia="宋体" w:cs="宋体"/>
              <w:bCs/>
              <w:color w:val="auto"/>
              <w:kern w:val="2"/>
              <w:sz w:val="28"/>
              <w:szCs w:val="28"/>
              <w:highlight w:val="none"/>
            </w:rPr>
            <w:t>第一章  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_Toc32189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kern w:val="2"/>
              <w:sz w:val="28"/>
              <w:szCs w:val="28"/>
              <w:highlight w:val="none"/>
            </w:rPr>
            <w:fldChar w:fldCharType="end"/>
          </w:r>
        </w:p>
        <w:p w14:paraId="1D9065C9">
          <w:pPr>
            <w:pStyle w:val="426"/>
            <w:tabs>
              <w:tab w:val="right" w:leader="dot" w:pos="1018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kern w:val="2"/>
              <w:sz w:val="28"/>
              <w:szCs w:val="28"/>
              <w:highlight w:val="none"/>
            </w:rPr>
            <w:fldChar w:fldCharType="begin"/>
          </w:r>
          <w:r>
            <w:rPr>
              <w:rFonts w:hint="eastAsia" w:ascii="宋体" w:hAnsi="宋体" w:eastAsia="宋体" w:cs="宋体"/>
              <w:bCs/>
              <w:color w:val="auto"/>
              <w:kern w:val="2"/>
              <w:sz w:val="28"/>
              <w:szCs w:val="28"/>
              <w:highlight w:val="none"/>
            </w:rPr>
            <w:instrText xml:space="preserve"> HYPERLINK \l _Toc12965 </w:instrText>
          </w:r>
          <w:r>
            <w:rPr>
              <w:rFonts w:hint="eastAsia" w:ascii="宋体" w:hAnsi="宋体" w:eastAsia="宋体" w:cs="宋体"/>
              <w:bCs/>
              <w:color w:val="auto"/>
              <w:kern w:val="2"/>
              <w:sz w:val="28"/>
              <w:szCs w:val="28"/>
              <w:highlight w:val="none"/>
            </w:rPr>
            <w:fldChar w:fldCharType="separate"/>
          </w:r>
          <w:r>
            <w:rPr>
              <w:rFonts w:hint="eastAsia" w:ascii="宋体" w:hAnsi="宋体" w:eastAsia="宋体" w:cs="宋体"/>
              <w:color w:val="auto"/>
              <w:sz w:val="28"/>
              <w:szCs w:val="28"/>
              <w:highlight w:val="none"/>
            </w:rPr>
            <w:t>第二章  磋商须知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_Toc12965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kern w:val="2"/>
              <w:sz w:val="28"/>
              <w:szCs w:val="28"/>
              <w:highlight w:val="none"/>
            </w:rPr>
            <w:fldChar w:fldCharType="end"/>
          </w:r>
        </w:p>
        <w:p w14:paraId="1C4A561F">
          <w:pPr>
            <w:pStyle w:val="426"/>
            <w:tabs>
              <w:tab w:val="right" w:leader="dot" w:pos="1018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kern w:val="2"/>
              <w:sz w:val="28"/>
              <w:szCs w:val="28"/>
              <w:highlight w:val="none"/>
            </w:rPr>
            <w:fldChar w:fldCharType="begin"/>
          </w:r>
          <w:r>
            <w:rPr>
              <w:rFonts w:hint="eastAsia" w:ascii="宋体" w:hAnsi="宋体" w:eastAsia="宋体" w:cs="宋体"/>
              <w:bCs/>
              <w:color w:val="auto"/>
              <w:kern w:val="2"/>
              <w:sz w:val="28"/>
              <w:szCs w:val="28"/>
              <w:highlight w:val="none"/>
            </w:rPr>
            <w:instrText xml:space="preserve"> HYPERLINK \l _Toc5198 </w:instrText>
          </w:r>
          <w:r>
            <w:rPr>
              <w:rFonts w:hint="eastAsia" w:ascii="宋体" w:hAnsi="宋体" w:eastAsia="宋体" w:cs="宋体"/>
              <w:bCs/>
              <w:color w:val="auto"/>
              <w:kern w:val="2"/>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评审办法（综合评分法）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_Toc5198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kern w:val="2"/>
              <w:sz w:val="28"/>
              <w:szCs w:val="28"/>
              <w:highlight w:val="none"/>
            </w:rPr>
            <w:fldChar w:fldCharType="end"/>
          </w:r>
        </w:p>
        <w:p w14:paraId="5BFF669E">
          <w:pPr>
            <w:pStyle w:val="426"/>
            <w:tabs>
              <w:tab w:val="right" w:leader="dot" w:pos="1018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kern w:val="2"/>
              <w:sz w:val="28"/>
              <w:szCs w:val="28"/>
              <w:highlight w:val="none"/>
            </w:rPr>
            <w:fldChar w:fldCharType="begin"/>
          </w:r>
          <w:r>
            <w:rPr>
              <w:rFonts w:hint="eastAsia" w:ascii="宋体" w:hAnsi="宋体" w:eastAsia="宋体" w:cs="宋体"/>
              <w:bCs/>
              <w:color w:val="auto"/>
              <w:kern w:val="2"/>
              <w:sz w:val="28"/>
              <w:szCs w:val="28"/>
              <w:highlight w:val="none"/>
            </w:rPr>
            <w:instrText xml:space="preserve"> HYPERLINK \l _Toc5693 </w:instrText>
          </w:r>
          <w:r>
            <w:rPr>
              <w:rFonts w:hint="eastAsia" w:ascii="宋体" w:hAnsi="宋体" w:eastAsia="宋体" w:cs="宋体"/>
              <w:bCs/>
              <w:color w:val="auto"/>
              <w:kern w:val="2"/>
              <w:sz w:val="28"/>
              <w:szCs w:val="28"/>
              <w:highlight w:val="none"/>
            </w:rPr>
            <w:fldChar w:fldCharType="separate"/>
          </w:r>
          <w:r>
            <w:rPr>
              <w:rFonts w:hint="eastAsia" w:ascii="宋体" w:hAnsi="宋体" w:eastAsia="宋体" w:cs="宋体"/>
              <w:color w:val="auto"/>
              <w:sz w:val="28"/>
              <w:szCs w:val="28"/>
              <w:highlight w:val="none"/>
            </w:rPr>
            <w:t>第四章  合</w:t>
          </w:r>
          <w:r>
            <w:rPr>
              <w:rFonts w:hint="eastAsia" w:ascii="宋体" w:hAnsi="宋体" w:eastAsia="宋体" w:cs="宋体"/>
              <w:bCs/>
              <w:color w:val="auto"/>
              <w:sz w:val="28"/>
              <w:szCs w:val="28"/>
              <w:highlight w:val="none"/>
            </w:rPr>
            <w:t>同</w:t>
          </w:r>
          <w:r>
            <w:rPr>
              <w:rFonts w:hint="eastAsia" w:ascii="宋体" w:hAnsi="宋体" w:eastAsia="宋体" w:cs="宋体"/>
              <w:color w:val="auto"/>
              <w:sz w:val="28"/>
              <w:szCs w:val="28"/>
              <w:highlight w:val="none"/>
            </w:rPr>
            <w:t>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_Toc5693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36</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kern w:val="2"/>
              <w:sz w:val="28"/>
              <w:szCs w:val="28"/>
              <w:highlight w:val="none"/>
            </w:rPr>
            <w:fldChar w:fldCharType="end"/>
          </w:r>
        </w:p>
        <w:p w14:paraId="2DE17C75">
          <w:pPr>
            <w:pStyle w:val="426"/>
            <w:tabs>
              <w:tab w:val="right" w:leader="dot" w:pos="1018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kern w:val="2"/>
              <w:sz w:val="28"/>
              <w:szCs w:val="28"/>
              <w:highlight w:val="none"/>
            </w:rPr>
            <w:fldChar w:fldCharType="begin"/>
          </w:r>
          <w:r>
            <w:rPr>
              <w:rFonts w:hint="eastAsia" w:ascii="宋体" w:hAnsi="宋体" w:eastAsia="宋体" w:cs="宋体"/>
              <w:bCs/>
              <w:color w:val="auto"/>
              <w:kern w:val="2"/>
              <w:sz w:val="28"/>
              <w:szCs w:val="28"/>
              <w:highlight w:val="none"/>
            </w:rPr>
            <w:instrText xml:space="preserve"> HYPERLINK \l _Toc22434 </w:instrText>
          </w:r>
          <w:r>
            <w:rPr>
              <w:rFonts w:hint="eastAsia" w:ascii="宋体" w:hAnsi="宋体" w:eastAsia="宋体" w:cs="宋体"/>
              <w:bCs/>
              <w:color w:val="auto"/>
              <w:kern w:val="2"/>
              <w:sz w:val="28"/>
              <w:szCs w:val="28"/>
              <w:highlight w:val="none"/>
            </w:rPr>
            <w:fldChar w:fldCharType="separate"/>
          </w:r>
          <w:r>
            <w:rPr>
              <w:rFonts w:hint="eastAsia" w:ascii="宋体" w:hAnsi="宋体" w:eastAsia="宋体" w:cs="宋体"/>
              <w:color w:val="auto"/>
              <w:sz w:val="28"/>
              <w:szCs w:val="28"/>
              <w:highlight w:val="none"/>
            </w:rPr>
            <w:t>第五章  技术标准和要求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_Toc22434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66</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kern w:val="2"/>
              <w:sz w:val="28"/>
              <w:szCs w:val="28"/>
              <w:highlight w:val="none"/>
            </w:rPr>
            <w:fldChar w:fldCharType="end"/>
          </w:r>
        </w:p>
        <w:p w14:paraId="1103328E">
          <w:pPr>
            <w:pStyle w:val="426"/>
            <w:tabs>
              <w:tab w:val="right" w:leader="dot" w:pos="1018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kern w:val="2"/>
              <w:sz w:val="28"/>
              <w:szCs w:val="28"/>
              <w:highlight w:val="none"/>
            </w:rPr>
            <w:fldChar w:fldCharType="begin"/>
          </w:r>
          <w:r>
            <w:rPr>
              <w:rFonts w:hint="eastAsia" w:ascii="宋体" w:hAnsi="宋体" w:eastAsia="宋体" w:cs="宋体"/>
              <w:bCs/>
              <w:color w:val="auto"/>
              <w:kern w:val="2"/>
              <w:sz w:val="28"/>
              <w:szCs w:val="28"/>
              <w:highlight w:val="none"/>
            </w:rPr>
            <w:instrText xml:space="preserve"> HYPERLINK \l _Toc18309 </w:instrText>
          </w:r>
          <w:r>
            <w:rPr>
              <w:rFonts w:hint="eastAsia" w:ascii="宋体" w:hAnsi="宋体" w:eastAsia="宋体" w:cs="宋体"/>
              <w:bCs/>
              <w:color w:val="auto"/>
              <w:kern w:val="2"/>
              <w:sz w:val="28"/>
              <w:szCs w:val="28"/>
              <w:highlight w:val="none"/>
            </w:rPr>
            <w:fldChar w:fldCharType="separate"/>
          </w:r>
          <w:r>
            <w:rPr>
              <w:rFonts w:hint="eastAsia" w:ascii="宋体" w:hAnsi="宋体" w:eastAsia="宋体" w:cs="宋体"/>
              <w:color w:val="auto"/>
              <w:sz w:val="28"/>
              <w:szCs w:val="28"/>
              <w:highlight w:val="none"/>
            </w:rPr>
            <w:t xml:space="preserve">第六章 </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设计图纸</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_Toc18309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68</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kern w:val="2"/>
              <w:sz w:val="28"/>
              <w:szCs w:val="28"/>
              <w:highlight w:val="none"/>
            </w:rPr>
            <w:fldChar w:fldCharType="end"/>
          </w:r>
        </w:p>
        <w:p w14:paraId="40050532">
          <w:pPr>
            <w:pStyle w:val="426"/>
            <w:tabs>
              <w:tab w:val="right" w:leader="dot" w:pos="10186"/>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kern w:val="2"/>
              <w:sz w:val="28"/>
              <w:szCs w:val="28"/>
              <w:highlight w:val="none"/>
            </w:rPr>
            <w:fldChar w:fldCharType="begin"/>
          </w:r>
          <w:r>
            <w:rPr>
              <w:rFonts w:hint="eastAsia" w:ascii="宋体" w:hAnsi="宋体" w:eastAsia="宋体" w:cs="宋体"/>
              <w:bCs/>
              <w:color w:val="auto"/>
              <w:kern w:val="2"/>
              <w:sz w:val="28"/>
              <w:szCs w:val="28"/>
              <w:highlight w:val="none"/>
            </w:rPr>
            <w:instrText xml:space="preserve"> HYPERLINK \l _Toc19991 </w:instrText>
          </w:r>
          <w:r>
            <w:rPr>
              <w:rFonts w:hint="eastAsia" w:ascii="宋体" w:hAnsi="宋体" w:eastAsia="宋体" w:cs="宋体"/>
              <w:bCs/>
              <w:color w:val="auto"/>
              <w:kern w:val="2"/>
              <w:sz w:val="28"/>
              <w:szCs w:val="28"/>
              <w:highlight w:val="none"/>
            </w:rPr>
            <w:fldChar w:fldCharType="separate"/>
          </w:r>
          <w:r>
            <w:rPr>
              <w:rFonts w:hint="eastAsia" w:ascii="宋体" w:hAnsi="宋体" w:eastAsia="宋体" w:cs="宋体"/>
              <w:color w:val="auto"/>
              <w:sz w:val="28"/>
              <w:szCs w:val="28"/>
              <w:highlight w:val="none"/>
            </w:rPr>
            <w:t>第</w:t>
          </w:r>
          <w:r>
            <w:rPr>
              <w:rFonts w:hint="eastAsia" w:ascii="宋体" w:hAnsi="宋体" w:eastAsia="宋体" w:cs="宋体"/>
              <w:color w:val="auto"/>
              <w:sz w:val="28"/>
              <w:szCs w:val="28"/>
              <w:highlight w:val="none"/>
              <w:lang w:val="en-US" w:eastAsia="zh-CN"/>
            </w:rPr>
            <w:t>七</w:t>
          </w:r>
          <w:r>
            <w:rPr>
              <w:rFonts w:hint="eastAsia" w:ascii="宋体" w:hAnsi="宋体" w:eastAsia="宋体" w:cs="宋体"/>
              <w:color w:val="auto"/>
              <w:sz w:val="28"/>
              <w:szCs w:val="28"/>
              <w:highlight w:val="none"/>
            </w:rPr>
            <w:t>章  竞争性磋商响应文件格式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_Toc19991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69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kern w:val="2"/>
              <w:sz w:val="28"/>
              <w:szCs w:val="28"/>
              <w:highlight w:val="none"/>
            </w:rPr>
            <w:fldChar w:fldCharType="end"/>
          </w:r>
        </w:p>
        <w:p w14:paraId="0D813016">
          <w:pPr>
            <w:pStyle w:val="426"/>
            <w:tabs>
              <w:tab w:val="right" w:leader="dot" w:pos="10186"/>
            </w:tabs>
            <w:rPr>
              <w:rFonts w:hint="eastAsia" w:ascii="宋体" w:hAnsi="宋体" w:eastAsia="宋体" w:cs="宋体"/>
              <w:color w:val="auto"/>
              <w:sz w:val="28"/>
              <w:szCs w:val="28"/>
              <w:highlight w:val="none"/>
            </w:rPr>
          </w:pPr>
        </w:p>
        <w:p w14:paraId="722264AE">
          <w:pPr>
            <w:tabs>
              <w:tab w:val="left" w:pos="1980"/>
            </w:tabs>
            <w:spacing w:line="360" w:lineRule="exact"/>
            <w:jc w:val="both"/>
            <w:outlineLvl w:val="9"/>
            <w:rPr>
              <w:rFonts w:hint="eastAsia" w:ascii="宋体" w:hAnsi="宋体" w:eastAsia="宋体" w:cs="宋体"/>
              <w:bCs/>
              <w:color w:val="auto"/>
              <w:kern w:val="2"/>
              <w:sz w:val="22"/>
              <w:szCs w:val="30"/>
              <w:highlight w:val="none"/>
              <w:lang w:val="en-US" w:eastAsia="zh-CN" w:bidi="ar-SA"/>
            </w:rPr>
          </w:pPr>
          <w:r>
            <w:rPr>
              <w:rFonts w:hint="eastAsia" w:ascii="宋体" w:hAnsi="宋体" w:eastAsia="宋体" w:cs="宋体"/>
              <w:bCs/>
              <w:color w:val="auto"/>
              <w:kern w:val="2"/>
              <w:sz w:val="28"/>
              <w:szCs w:val="28"/>
              <w:highlight w:val="none"/>
            </w:rPr>
            <w:fldChar w:fldCharType="end"/>
          </w:r>
        </w:p>
      </w:sdtContent>
    </w:sdt>
    <w:p w14:paraId="010E502A">
      <w:pPr>
        <w:tabs>
          <w:tab w:val="left" w:pos="1980"/>
        </w:tabs>
        <w:spacing w:line="360" w:lineRule="exact"/>
        <w:jc w:val="both"/>
        <w:outlineLvl w:val="9"/>
        <w:rPr>
          <w:rFonts w:hint="eastAsia" w:ascii="宋体" w:hAnsi="宋体" w:eastAsia="宋体" w:cs="宋体"/>
          <w:bCs/>
          <w:color w:val="auto"/>
          <w:kern w:val="2"/>
          <w:sz w:val="22"/>
          <w:szCs w:val="30"/>
          <w:highlight w:val="none"/>
          <w:lang w:val="en-US" w:eastAsia="zh-CN" w:bidi="ar-SA"/>
        </w:rPr>
      </w:pPr>
    </w:p>
    <w:p w14:paraId="05BC29E9">
      <w:pPr>
        <w:tabs>
          <w:tab w:val="left" w:pos="5693"/>
        </w:tabs>
        <w:bidi w:val="0"/>
        <w:jc w:val="left"/>
        <w:rPr>
          <w:rFonts w:hint="eastAsia" w:ascii="宋体" w:hAnsi="宋体" w:eastAsia="宋体" w:cs="宋体"/>
          <w:color w:val="auto"/>
          <w:sz w:val="22"/>
          <w:szCs w:val="22"/>
          <w:highlight w:val="none"/>
          <w:lang w:val="en-US" w:eastAsia="zh-CN" w:bidi="ar-SA"/>
        </w:rPr>
        <w:sectPr>
          <w:headerReference r:id="rId6" w:type="first"/>
          <w:footerReference r:id="rId9" w:type="first"/>
          <w:headerReference r:id="rId4" w:type="default"/>
          <w:footerReference r:id="rId7" w:type="default"/>
          <w:headerReference r:id="rId5" w:type="even"/>
          <w:footerReference r:id="rId8" w:type="even"/>
          <w:pgSz w:w="11910" w:h="16840"/>
          <w:pgMar w:top="913" w:right="856" w:bottom="913" w:left="868" w:header="340" w:footer="227" w:gutter="0"/>
          <w:pgNumType w:chapStyle="3"/>
          <w:cols w:space="720" w:num="1"/>
          <w:docGrid w:linePitch="299" w:charSpace="0"/>
        </w:sectPr>
      </w:pPr>
      <w:r>
        <w:rPr>
          <w:rFonts w:hint="eastAsia" w:ascii="宋体" w:hAnsi="宋体" w:eastAsia="宋体" w:cs="宋体"/>
          <w:color w:val="auto"/>
          <w:sz w:val="22"/>
          <w:szCs w:val="22"/>
          <w:highlight w:val="none"/>
          <w:lang w:val="en-US" w:eastAsia="zh-CN" w:bidi="ar-SA"/>
        </w:rPr>
        <w:tab/>
      </w:r>
    </w:p>
    <w:bookmarkEnd w:id="0"/>
    <w:bookmarkEnd w:id="1"/>
    <w:p w14:paraId="04C0219B">
      <w:pPr>
        <w:tabs>
          <w:tab w:val="left" w:pos="1980"/>
        </w:tabs>
        <w:spacing w:line="360" w:lineRule="exact"/>
        <w:jc w:val="center"/>
        <w:outlineLvl w:val="0"/>
        <w:rPr>
          <w:rFonts w:hint="eastAsia" w:ascii="宋体" w:hAnsi="宋体" w:eastAsia="宋体" w:cs="宋体"/>
          <w:b/>
          <w:bCs/>
          <w:color w:val="auto"/>
          <w:kern w:val="2"/>
          <w:sz w:val="44"/>
          <w:szCs w:val="44"/>
          <w:highlight w:val="none"/>
        </w:rPr>
      </w:pPr>
      <w:bookmarkStart w:id="5" w:name="_Toc536534303"/>
      <w:bookmarkStart w:id="6" w:name="_Toc32189"/>
      <w:bookmarkStart w:id="7" w:name="_Toc16014"/>
      <w:bookmarkStart w:id="8" w:name="_Toc227991413"/>
      <w:bookmarkStart w:id="9" w:name="_Toc519587933"/>
      <w:bookmarkStart w:id="10" w:name="_Toc487037688"/>
      <w:bookmarkStart w:id="11" w:name="_Toc292200559"/>
      <w:r>
        <w:rPr>
          <w:rFonts w:hint="eastAsia" w:ascii="宋体" w:hAnsi="宋体" w:eastAsia="宋体" w:cs="宋体"/>
          <w:color w:val="auto"/>
          <w:sz w:val="30"/>
          <w:highlight w:val="none"/>
        </w:rPr>
        <mc:AlternateContent>
          <mc:Choice Requires="wps">
            <w:drawing>
              <wp:anchor distT="0" distB="0" distL="114300" distR="114300" simplePos="0" relativeHeight="251659264" behindDoc="0" locked="0" layoutInCell="1" hidden="1" allowOverlap="1">
                <wp:simplePos x="0" y="0"/>
                <wp:positionH relativeFrom="column">
                  <wp:posOffset>-678180</wp:posOffset>
                </wp:positionH>
                <wp:positionV relativeFrom="paragraph">
                  <wp:posOffset>-603250</wp:posOffset>
                </wp:positionV>
                <wp:extent cx="63500" cy="63500"/>
                <wp:effectExtent l="0" t="0" r="0" b="0"/>
                <wp:wrapNone/>
                <wp:docPr id="8" name="矩形 8" descr="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"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_x0000_s1026" o:spid="_x0000_s1026" o:spt="1" alt="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" style="position:absolute;left:0pt;margin-left:-53.4pt;margin-top:-47.5pt;height:5pt;width:5pt;visibility:hidden;z-index:251659264;mso-width-relative:page;mso-height-relative:page;" fillcolor="#FFFFFF" filled="t" stroked="t" coordsize="21600,21600" o:gfxdata="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">
                <v:fill on="t" focussize="0,0"/>
                <v:stroke color="#000000" joinstyle="miter"/>
                <v:imagedata o:title=""/>
                <o:lock v:ext="edit" aspectratio="f"/>
              </v:rect>
            </w:pict>
          </mc:Fallback>
        </mc:AlternateContent>
      </w:r>
      <w:r>
        <w:rPr>
          <w:rFonts w:hint="eastAsia" w:ascii="宋体" w:hAnsi="宋体" w:eastAsia="宋体" w:cs="宋体"/>
          <w:b/>
          <w:bCs/>
          <w:color w:val="auto"/>
          <w:kern w:val="2"/>
          <w:sz w:val="30"/>
          <w:szCs w:val="30"/>
          <w:highlight w:val="none"/>
        </w:rPr>
        <w:t>第一章  竞争性磋商</w:t>
      </w:r>
      <w:bookmarkStart w:id="12" w:name="_Toc519007706"/>
      <w:bookmarkStart w:id="13" w:name="_Toc487037683"/>
      <w:r>
        <w:rPr>
          <w:rFonts w:hint="eastAsia" w:ascii="宋体" w:hAnsi="宋体" w:eastAsia="宋体" w:cs="宋体"/>
          <w:b/>
          <w:bCs/>
          <w:color w:val="auto"/>
          <w:kern w:val="2"/>
          <w:sz w:val="30"/>
          <w:szCs w:val="30"/>
          <w:highlight w:val="none"/>
        </w:rPr>
        <w:t>公告</w:t>
      </w:r>
      <w:bookmarkEnd w:id="5"/>
      <w:bookmarkEnd w:id="6"/>
    </w:p>
    <w:bookmarkEnd w:id="12"/>
    <w:bookmarkEnd w:id="13"/>
    <w:p w14:paraId="6DEE7FBF">
      <w:pPr>
        <w:tabs>
          <w:tab w:val="left" w:pos="1980"/>
          <w:tab w:val="center" w:pos="5093"/>
          <w:tab w:val="center" w:pos="5293"/>
          <w:tab w:val="left" w:pos="8335"/>
          <w:tab w:val="left" w:pos="9315"/>
        </w:tabs>
        <w:spacing w:line="360" w:lineRule="auto"/>
        <w:jc w:val="center"/>
        <w:outlineLvl w:val="0"/>
        <w:rPr>
          <w:rFonts w:hint="eastAsia" w:ascii="宋体" w:hAnsi="宋体" w:eastAsia="宋体" w:cs="宋体"/>
          <w:b/>
          <w:bCs/>
          <w:color w:val="auto"/>
          <w:kern w:val="2"/>
          <w:sz w:val="28"/>
          <w:szCs w:val="28"/>
          <w:highlight w:val="none"/>
          <w:lang w:eastAsia="zh-CN"/>
        </w:rPr>
      </w:pPr>
      <w:bookmarkStart w:id="14" w:name="_Toc30526"/>
      <w:r>
        <w:rPr>
          <w:rFonts w:hint="eastAsia" w:ascii="宋体" w:hAnsi="宋体" w:eastAsia="宋体" w:cs="宋体"/>
          <w:b/>
          <w:bCs/>
          <w:color w:val="auto"/>
          <w:kern w:val="2"/>
          <w:sz w:val="28"/>
          <w:szCs w:val="28"/>
          <w:highlight w:val="none"/>
          <w:lang w:eastAsia="zh-CN"/>
        </w:rPr>
        <w:t>红河职业技术学院数智校园建设项目—工程类竞争性磋商公告</w:t>
      </w:r>
      <w:bookmarkEnd w:id="14"/>
    </w:p>
    <w:p w14:paraId="6C84892B">
      <w:pPr>
        <w:widowControl w:val="0"/>
        <w:tabs>
          <w:tab w:val="left" w:pos="1980"/>
        </w:tabs>
        <w:adjustRightInd/>
        <w:snapToGrid/>
        <w:spacing w:after="0" w:line="240" w:lineRule="auto"/>
        <w:jc w:val="center"/>
        <w:outlineLvl w:val="0"/>
        <w:rPr>
          <w:rFonts w:hint="eastAsia" w:ascii="宋体" w:hAnsi="宋体" w:eastAsia="宋体" w:cs="宋体"/>
          <w:b/>
          <w:bCs/>
          <w:color w:val="auto"/>
          <w:kern w:val="2"/>
          <w:sz w:val="24"/>
          <w:szCs w:val="24"/>
          <w:highlight w:val="none"/>
          <w:lang w:val="en-US" w:eastAsia="zh-CN"/>
        </w:rPr>
      </w:pPr>
      <w:bookmarkStart w:id="15" w:name="_Toc24057"/>
      <w:bookmarkStart w:id="16" w:name="_Toc525741688"/>
      <w:bookmarkStart w:id="17" w:name="_Toc525207115"/>
      <w:bookmarkStart w:id="18" w:name="_Toc525049630"/>
      <w:r>
        <w:rPr>
          <w:rFonts w:hint="eastAsia" w:ascii="宋体" w:hAnsi="宋体" w:eastAsia="宋体" w:cs="宋体"/>
          <w:b/>
          <w:bCs/>
          <w:color w:val="auto"/>
          <w:kern w:val="2"/>
          <w:sz w:val="24"/>
          <w:szCs w:val="24"/>
          <w:highlight w:val="none"/>
        </w:rPr>
        <w:t>项目编号：</w:t>
      </w:r>
      <w:bookmarkEnd w:id="15"/>
      <w:r>
        <w:rPr>
          <w:rFonts w:hint="eastAsia" w:ascii="宋体" w:hAnsi="宋体" w:eastAsia="宋体" w:cs="宋体"/>
          <w:b/>
          <w:bCs/>
          <w:color w:val="auto"/>
          <w:kern w:val="2"/>
          <w:sz w:val="24"/>
          <w:szCs w:val="24"/>
          <w:highlight w:val="none"/>
          <w:lang w:eastAsia="zh-CN"/>
        </w:rPr>
        <w:t>SSZB2026062</w:t>
      </w:r>
    </w:p>
    <w:tbl>
      <w:tblPr>
        <w:tblStyle w:val="113"/>
        <w:tblW w:w="10236" w:type="dxa"/>
        <w:tblInd w:w="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6"/>
      </w:tblGrid>
      <w:tr w14:paraId="1D3068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236" w:type="dxa"/>
            <w:vAlign w:val="top"/>
          </w:tcPr>
          <w:p w14:paraId="1F2EDCA4">
            <w:pPr>
              <w:keepNext w:val="0"/>
              <w:keepLines w:val="0"/>
              <w:pageBreakBefore w:val="0"/>
              <w:kinsoku/>
              <w:wordWrap/>
              <w:overflowPunct/>
              <w:topLinePunct w:val="0"/>
              <w:autoSpaceDE/>
              <w:autoSpaceDN/>
              <w:bidi w:val="0"/>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项目概况</w:t>
            </w:r>
          </w:p>
          <w:p w14:paraId="0A2F38AE">
            <w:pPr>
              <w:keepNext w:val="0"/>
              <w:keepLines w:val="0"/>
              <w:pageBreakBefore w:val="0"/>
              <w:kinsoku/>
              <w:wordWrap/>
              <w:overflowPunct/>
              <w:topLinePunct w:val="0"/>
              <w:autoSpaceDE/>
              <w:autoSpaceDN/>
              <w:bidi w:val="0"/>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红河职业技术学院数智校园建设项目—工程类</w:t>
            </w:r>
            <w:r>
              <w:rPr>
                <w:rFonts w:hint="eastAsia" w:ascii="宋体" w:hAnsi="宋体" w:eastAsia="宋体" w:cs="宋体"/>
                <w:color w:val="auto"/>
                <w:sz w:val="24"/>
                <w:szCs w:val="24"/>
                <w:highlight w:val="none"/>
                <w:rtl w:val="0"/>
                <w:lang w:eastAsia="zh-CN"/>
              </w:rPr>
              <w:t>的潜在供应商在</w:t>
            </w:r>
            <w:r>
              <w:rPr>
                <w:rFonts w:hint="eastAsia" w:ascii="宋体" w:hAnsi="宋体" w:eastAsia="宋体" w:cs="宋体"/>
                <w:color w:val="auto"/>
                <w:sz w:val="24"/>
                <w:szCs w:val="24"/>
                <w:highlight w:val="none"/>
                <w:lang w:eastAsia="zh-CN"/>
              </w:rPr>
              <w:t>政府采购云平台</w:t>
            </w:r>
            <w:r>
              <w:rPr>
                <w:rFonts w:hint="eastAsia" w:ascii="宋体" w:hAnsi="宋体" w:eastAsia="宋体" w:cs="宋体"/>
                <w:color w:val="auto"/>
                <w:sz w:val="24"/>
                <w:szCs w:val="24"/>
                <w:highlight w:val="none"/>
                <w:lang w:eastAsia="zh-CN"/>
              </w:rPr>
              <w:fldChar w:fldCharType="begin"/>
            </w:r>
            <w:r>
              <w:rPr>
                <w:rFonts w:hint="eastAsia" w:ascii="宋体" w:hAnsi="宋体" w:eastAsia="宋体" w:cs="宋体"/>
                <w:color w:val="auto"/>
                <w:sz w:val="24"/>
                <w:szCs w:val="24"/>
                <w:highlight w:val="none"/>
                <w:lang w:eastAsia="zh-CN"/>
              </w:rPr>
              <w:instrText xml:space="preserve"> HYPERLINK "https://login.zcygov.cn/user-login/" \l "/login）网上获取采购文件及其他采购资料" \t "_blank" </w:instrText>
            </w:r>
            <w:r>
              <w:rPr>
                <w:rFonts w:hint="eastAsia" w:ascii="宋体" w:hAnsi="宋体" w:eastAsia="宋体" w:cs="宋体"/>
                <w:color w:val="auto"/>
                <w:sz w:val="24"/>
                <w:szCs w:val="24"/>
                <w:highlight w:val="none"/>
                <w:lang w:eastAsia="zh-CN"/>
              </w:rPr>
              <w:fldChar w:fldCharType="separate"/>
            </w:r>
            <w:r>
              <w:rPr>
                <w:rFonts w:hint="eastAsia" w:ascii="宋体" w:hAnsi="宋体" w:eastAsia="宋体" w:cs="宋体"/>
                <w:color w:val="auto"/>
                <w:sz w:val="24"/>
                <w:szCs w:val="24"/>
                <w:highlight w:val="none"/>
                <w:lang w:val="en-US" w:eastAsia="zh-CN"/>
              </w:rPr>
              <w:t>（https://www.zcygov.cn/)</w:t>
            </w:r>
            <w:r>
              <w:rPr>
                <w:rFonts w:hint="eastAsia" w:ascii="宋体" w:hAnsi="宋体" w:eastAsia="宋体" w:cs="宋体"/>
                <w:color w:val="auto"/>
                <w:sz w:val="24"/>
                <w:szCs w:val="24"/>
                <w:highlight w:val="none"/>
                <w:lang w:eastAsia="zh-CN"/>
              </w:rPr>
              <w:t>网上获取采购文件及其他采购资料</w:t>
            </w:r>
            <w:r>
              <w:rPr>
                <w:rFonts w:hint="eastAsia" w:ascii="宋体" w:hAnsi="宋体" w:eastAsia="宋体" w:cs="宋体"/>
                <w:color w:val="auto"/>
                <w:sz w:val="24"/>
                <w:szCs w:val="24"/>
                <w:highlight w:val="none"/>
                <w:lang w:eastAsia="zh-CN"/>
              </w:rPr>
              <w:fldChar w:fldCharType="end"/>
            </w:r>
            <w:r>
              <w:rPr>
                <w:rFonts w:hint="eastAsia" w:ascii="宋体" w:hAnsi="宋体" w:eastAsia="宋体" w:cs="宋体"/>
                <w:color w:val="auto"/>
                <w:sz w:val="24"/>
                <w:szCs w:val="24"/>
                <w:highlight w:val="none"/>
                <w:lang w:eastAsia="zh-CN"/>
              </w:rPr>
              <w:t>。此为报名获取竞争性磋商文件的唯一途径获取采购文件，并于</w:t>
            </w:r>
            <w:r>
              <w:rPr>
                <w:rFonts w:hint="eastAsia" w:ascii="宋体" w:hAnsi="宋体" w:eastAsia="宋体" w:cs="宋体"/>
                <w:color w:val="auto"/>
                <w:sz w:val="24"/>
                <w:szCs w:val="24"/>
                <w:highlight w:val="none"/>
                <w:shd w:val="clear"/>
                <w:lang w:eastAsia="zh-CN"/>
              </w:rPr>
              <w:t>2026年10月09日14时30分</w:t>
            </w:r>
            <w:r>
              <w:rPr>
                <w:rFonts w:hint="eastAsia" w:ascii="宋体" w:hAnsi="宋体" w:eastAsia="宋体" w:cs="宋体"/>
                <w:color w:val="auto"/>
                <w:sz w:val="24"/>
                <w:szCs w:val="24"/>
                <w:highlight w:val="none"/>
                <w:lang w:eastAsia="zh-CN"/>
              </w:rPr>
              <w:t>（北京时间）前提交响应文件。</w:t>
            </w:r>
          </w:p>
        </w:tc>
      </w:tr>
    </w:tbl>
    <w:p w14:paraId="50924FA8">
      <w:pPr>
        <w:pStyle w:val="59"/>
        <w:keepNext w:val="0"/>
        <w:keepLines w:val="0"/>
        <w:pageBreakBefore w:val="0"/>
        <w:kinsoku/>
        <w:wordWrap/>
        <w:overflowPunct/>
        <w:topLinePunct w:val="0"/>
        <w:autoSpaceDE/>
        <w:autoSpaceDN/>
        <w:bidi w:val="0"/>
        <w:spacing w:before="0" w:line="360" w:lineRule="auto"/>
        <w:jc w:val="both"/>
        <w:textAlignment w:val="auto"/>
        <w:rPr>
          <w:rFonts w:hint="eastAsia" w:ascii="宋体" w:hAnsi="宋体" w:eastAsia="宋体" w:cs="宋体"/>
          <w:color w:val="auto"/>
          <w:sz w:val="24"/>
          <w:szCs w:val="24"/>
          <w:highlight w:val="none"/>
        </w:rPr>
      </w:pPr>
      <w:bookmarkStart w:id="19" w:name="_Toc531610837"/>
      <w:bookmarkStart w:id="20" w:name="_Toc536534305"/>
      <w:bookmarkStart w:id="21" w:name="_Toc536534035"/>
      <w:bookmarkStart w:id="22" w:name="_Toc12483"/>
      <w:bookmarkStart w:id="23" w:name="_Toc381002982"/>
      <w:bookmarkStart w:id="24" w:name="_Toc517963425"/>
      <w:bookmarkStart w:id="25" w:name="_Toc525207109"/>
      <w:bookmarkStart w:id="26" w:name="_Toc525741682"/>
      <w:bookmarkStart w:id="27" w:name="_Toc466305599"/>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bookmarkEnd w:id="19"/>
      <w:bookmarkEnd w:id="20"/>
      <w:bookmarkEnd w:id="21"/>
      <w:r>
        <w:rPr>
          <w:rFonts w:hint="eastAsia" w:ascii="宋体" w:hAnsi="宋体" w:eastAsia="宋体" w:cs="宋体"/>
          <w:color w:val="auto"/>
          <w:sz w:val="24"/>
          <w:szCs w:val="24"/>
          <w:highlight w:val="none"/>
        </w:rPr>
        <w:t>项目基本情况</w:t>
      </w:r>
      <w:bookmarkEnd w:id="22"/>
    </w:p>
    <w:bookmarkEnd w:id="23"/>
    <w:bookmarkEnd w:id="24"/>
    <w:bookmarkEnd w:id="25"/>
    <w:bookmarkEnd w:id="26"/>
    <w:bookmarkEnd w:id="27"/>
    <w:p w14:paraId="73EFDFE8">
      <w:pPr>
        <w:keepNext w:val="0"/>
        <w:keepLines w:val="0"/>
        <w:pageBreakBefore w:val="0"/>
        <w:widowControl w:val="0"/>
        <w:kinsoku/>
        <w:wordWrap/>
        <w:overflowPunct/>
        <w:topLinePunct w:val="0"/>
        <w:autoSpaceDE/>
        <w:autoSpaceDN/>
        <w:bidi w:val="0"/>
        <w:adjustRightInd/>
        <w:snapToGrid/>
        <w:spacing w:after="0" w:line="360" w:lineRule="auto"/>
        <w:ind w:right="504" w:rightChars="229"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.1项目编号：</w:t>
      </w:r>
      <w:r>
        <w:rPr>
          <w:rFonts w:hint="eastAsia" w:ascii="宋体" w:hAnsi="宋体" w:eastAsia="宋体" w:cs="宋体"/>
          <w:color w:val="auto"/>
          <w:kern w:val="2"/>
          <w:sz w:val="24"/>
          <w:szCs w:val="24"/>
          <w:highlight w:val="none"/>
          <w:lang w:eastAsia="zh-CN"/>
        </w:rPr>
        <w:t>SSZB2026062；</w:t>
      </w:r>
    </w:p>
    <w:p w14:paraId="3EA261C8">
      <w:pPr>
        <w:keepNext w:val="0"/>
        <w:keepLines w:val="0"/>
        <w:pageBreakBefore w:val="0"/>
        <w:widowControl w:val="0"/>
        <w:kinsoku/>
        <w:wordWrap/>
        <w:overflowPunct/>
        <w:topLinePunct w:val="0"/>
        <w:autoSpaceDE/>
        <w:autoSpaceDN/>
        <w:bidi w:val="0"/>
        <w:adjustRightInd/>
        <w:snapToGrid/>
        <w:spacing w:after="0" w:line="360" w:lineRule="auto"/>
        <w:ind w:right="504" w:rightChars="229" w:firstLine="480"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1.2项目名称：红河职业技术学院数智校园建设项目—工程类；</w:t>
      </w:r>
    </w:p>
    <w:p w14:paraId="557D91F6">
      <w:pPr>
        <w:keepNext w:val="0"/>
        <w:keepLines w:val="0"/>
        <w:pageBreakBefore w:val="0"/>
        <w:widowControl w:val="0"/>
        <w:kinsoku/>
        <w:wordWrap/>
        <w:overflowPunct/>
        <w:topLinePunct w:val="0"/>
        <w:autoSpaceDE/>
        <w:autoSpaceDN/>
        <w:bidi w:val="0"/>
        <w:adjustRightInd/>
        <w:snapToGrid/>
        <w:spacing w:after="0" w:line="360" w:lineRule="auto"/>
        <w:ind w:right="504" w:rightChars="229"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1.3采购方式：竞争性磋商；</w:t>
      </w:r>
    </w:p>
    <w:p w14:paraId="57685E3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4预算资金</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817600.00</w:t>
      </w:r>
      <w:r>
        <w:rPr>
          <w:rFonts w:hint="eastAsia" w:ascii="宋体" w:hAnsi="宋体" w:eastAsia="宋体" w:cs="宋体"/>
          <w:color w:val="auto"/>
          <w:kern w:val="2"/>
          <w:sz w:val="24"/>
          <w:szCs w:val="24"/>
          <w:highlight w:val="none"/>
          <w:lang w:eastAsia="zh-CN"/>
        </w:rPr>
        <w:t>元</w:t>
      </w:r>
      <w:r>
        <w:rPr>
          <w:rFonts w:hint="eastAsia" w:ascii="宋体" w:hAnsi="宋体" w:eastAsia="宋体" w:cs="宋体"/>
          <w:color w:val="auto"/>
          <w:kern w:val="2"/>
          <w:sz w:val="24"/>
          <w:szCs w:val="24"/>
          <w:highlight w:val="none"/>
        </w:rPr>
        <w:t>；</w:t>
      </w:r>
    </w:p>
    <w:p w14:paraId="0C1783F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1.5</w:t>
      </w:r>
      <w:r>
        <w:rPr>
          <w:rFonts w:hint="eastAsia" w:ascii="宋体" w:hAnsi="宋体" w:eastAsia="宋体" w:cs="宋体"/>
          <w:color w:val="auto"/>
          <w:kern w:val="2"/>
          <w:sz w:val="24"/>
          <w:szCs w:val="24"/>
          <w:highlight w:val="none"/>
          <w:lang w:eastAsia="zh-CN"/>
        </w:rPr>
        <w:t>最高限价：817600.00元</w:t>
      </w:r>
      <w:r>
        <w:rPr>
          <w:rFonts w:hint="eastAsia" w:ascii="宋体" w:hAnsi="宋体" w:eastAsia="宋体" w:cs="宋体"/>
          <w:color w:val="auto"/>
          <w:kern w:val="2"/>
          <w:sz w:val="24"/>
          <w:szCs w:val="24"/>
          <w:highlight w:val="none"/>
          <w:lang w:val="en-US" w:eastAsia="zh-CN"/>
        </w:rPr>
        <w:t>（具体以招标控制价为准）</w:t>
      </w:r>
      <w:r>
        <w:rPr>
          <w:rFonts w:hint="eastAsia" w:ascii="宋体" w:hAnsi="宋体" w:eastAsia="宋体" w:cs="宋体"/>
          <w:color w:val="auto"/>
          <w:kern w:val="2"/>
          <w:sz w:val="24"/>
          <w:szCs w:val="24"/>
          <w:highlight w:val="none"/>
        </w:rPr>
        <w:t>；</w:t>
      </w:r>
    </w:p>
    <w:p w14:paraId="7322ACC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lang w:eastAsia="zh-CN"/>
        </w:rPr>
        <w:t>建设内容</w:t>
      </w:r>
      <w:r>
        <w:rPr>
          <w:rFonts w:hint="eastAsia" w:ascii="宋体" w:hAnsi="宋体" w:eastAsia="宋体" w:cs="宋体"/>
          <w:color w:val="auto"/>
          <w:kern w:val="2"/>
          <w:sz w:val="24"/>
          <w:szCs w:val="24"/>
          <w:highlight w:val="none"/>
        </w:rPr>
        <w:t>：建设280间标准教室，实施内容包含布线施工，PVC管线、排插、网线、电源线等主辅材，机柜及设备安装调试等</w:t>
      </w:r>
      <w:r>
        <w:rPr>
          <w:rFonts w:hint="eastAsia" w:ascii="宋体" w:hAnsi="宋体" w:eastAsia="宋体" w:cs="宋体"/>
          <w:color w:val="auto"/>
          <w:kern w:val="2"/>
          <w:sz w:val="24"/>
          <w:szCs w:val="24"/>
          <w:highlight w:val="none"/>
          <w:lang w:eastAsia="zh-CN"/>
        </w:rPr>
        <w:t>。（具体内容以</w:t>
      </w:r>
      <w:r>
        <w:rPr>
          <w:rFonts w:hint="eastAsia" w:ascii="宋体" w:hAnsi="宋体" w:eastAsia="宋体" w:cs="宋体"/>
          <w:color w:val="auto"/>
          <w:kern w:val="2"/>
          <w:sz w:val="24"/>
          <w:szCs w:val="24"/>
          <w:highlight w:val="none"/>
          <w:lang w:val="en-US" w:eastAsia="zh-CN"/>
        </w:rPr>
        <w:t>采购</w:t>
      </w:r>
      <w:r>
        <w:rPr>
          <w:rFonts w:hint="eastAsia" w:ascii="宋体" w:hAnsi="宋体" w:eastAsia="宋体" w:cs="宋体"/>
          <w:color w:val="auto"/>
          <w:kern w:val="2"/>
          <w:sz w:val="24"/>
          <w:szCs w:val="24"/>
          <w:highlight w:val="none"/>
          <w:lang w:eastAsia="zh-CN"/>
        </w:rPr>
        <w:t>清单、</w:t>
      </w:r>
      <w:r>
        <w:rPr>
          <w:rFonts w:hint="eastAsia" w:ascii="宋体" w:hAnsi="宋体" w:eastAsia="宋体" w:cs="宋体"/>
          <w:color w:val="auto"/>
          <w:kern w:val="2"/>
          <w:sz w:val="24"/>
          <w:szCs w:val="24"/>
          <w:highlight w:val="none"/>
          <w:lang w:val="en-US" w:eastAsia="zh-CN"/>
        </w:rPr>
        <w:t>设计图纸</w:t>
      </w:r>
      <w:r>
        <w:rPr>
          <w:rFonts w:hint="eastAsia" w:ascii="宋体" w:hAnsi="宋体" w:eastAsia="宋体" w:cs="宋体"/>
          <w:color w:val="auto"/>
          <w:kern w:val="2"/>
          <w:sz w:val="24"/>
          <w:szCs w:val="24"/>
          <w:highlight w:val="none"/>
          <w:lang w:eastAsia="zh-CN"/>
        </w:rPr>
        <w:t>为准）</w:t>
      </w:r>
    </w:p>
    <w:p w14:paraId="4C8FD94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计划工期：</w:t>
      </w:r>
      <w:r>
        <w:rPr>
          <w:rFonts w:hint="eastAsia" w:ascii="宋体" w:hAnsi="宋体" w:eastAsia="宋体" w:cs="宋体"/>
          <w:color w:val="auto"/>
          <w:kern w:val="2"/>
          <w:sz w:val="24"/>
          <w:szCs w:val="24"/>
          <w:highlight w:val="none"/>
          <w:lang w:val="en-US" w:eastAsia="zh-CN"/>
        </w:rPr>
        <w:t>合同签订后，60天内建设完成</w:t>
      </w:r>
      <w:r>
        <w:rPr>
          <w:rFonts w:hint="eastAsia" w:ascii="宋体" w:hAnsi="宋体" w:eastAsia="宋体" w:cs="宋体"/>
          <w:color w:val="auto"/>
          <w:kern w:val="2"/>
          <w:sz w:val="24"/>
          <w:szCs w:val="24"/>
          <w:highlight w:val="none"/>
          <w:lang w:eastAsia="zh-CN"/>
        </w:rPr>
        <w:t>；</w:t>
      </w:r>
    </w:p>
    <w:p w14:paraId="4D299B6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1.8项目地点：具体地点由红河职业技术学院指定；</w:t>
      </w:r>
    </w:p>
    <w:p w14:paraId="18DF5C2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9</w:t>
      </w:r>
      <w:r>
        <w:rPr>
          <w:rFonts w:hint="eastAsia" w:ascii="宋体" w:hAnsi="宋体" w:eastAsia="宋体" w:cs="宋体"/>
          <w:color w:val="auto"/>
          <w:kern w:val="2"/>
          <w:sz w:val="24"/>
          <w:szCs w:val="24"/>
          <w:highlight w:val="none"/>
        </w:rPr>
        <w:t>质量要求：</w:t>
      </w:r>
      <w:r>
        <w:rPr>
          <w:rFonts w:hint="eastAsia" w:ascii="宋体" w:hAnsi="宋体" w:eastAsia="宋体" w:cs="宋体"/>
          <w:color w:val="auto"/>
          <w:kern w:val="2"/>
          <w:sz w:val="24"/>
          <w:szCs w:val="24"/>
          <w:highlight w:val="none"/>
          <w:lang w:eastAsia="zh-CN"/>
        </w:rPr>
        <w:t>符合国家、地方及现行行业质量验收规范和标准，一次性验收合格</w:t>
      </w:r>
      <w:r>
        <w:rPr>
          <w:rFonts w:hint="eastAsia" w:ascii="宋体" w:hAnsi="宋体" w:eastAsia="宋体" w:cs="宋体"/>
          <w:color w:val="auto"/>
          <w:kern w:val="2"/>
          <w:sz w:val="24"/>
          <w:szCs w:val="24"/>
          <w:highlight w:val="none"/>
        </w:rPr>
        <w:t>；</w:t>
      </w:r>
    </w:p>
    <w:p w14:paraId="1F43484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10</w:t>
      </w:r>
      <w:r>
        <w:rPr>
          <w:rFonts w:hint="eastAsia" w:ascii="宋体" w:hAnsi="宋体" w:eastAsia="宋体" w:cs="宋体"/>
          <w:color w:val="auto"/>
          <w:kern w:val="2"/>
          <w:sz w:val="24"/>
          <w:szCs w:val="24"/>
          <w:highlight w:val="none"/>
        </w:rPr>
        <w:t>标段划分：本项目为1个合同段进行采购。</w:t>
      </w:r>
      <w:bookmarkStart w:id="28" w:name="_Toc531610838"/>
      <w:bookmarkStart w:id="29" w:name="_Toc536534036"/>
      <w:bookmarkStart w:id="30" w:name="_Toc536534306"/>
    </w:p>
    <w:p w14:paraId="6295511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1.11本项目不接受联合体。</w:t>
      </w:r>
    </w:p>
    <w:p w14:paraId="359DB53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val="en-US" w:eastAsia="zh-CN"/>
        </w:rPr>
        <w:t>2</w:t>
      </w:r>
      <w:r>
        <w:rPr>
          <w:rFonts w:hint="eastAsia" w:ascii="宋体" w:hAnsi="宋体" w:eastAsia="宋体" w:cs="宋体"/>
          <w:b/>
          <w:color w:val="auto"/>
          <w:kern w:val="2"/>
          <w:sz w:val="24"/>
          <w:szCs w:val="24"/>
          <w:highlight w:val="none"/>
        </w:rPr>
        <w:t>、磋商申请人资格要求</w:t>
      </w:r>
      <w:bookmarkEnd w:id="28"/>
      <w:bookmarkEnd w:id="29"/>
      <w:bookmarkEnd w:id="30"/>
    </w:p>
    <w:p w14:paraId="125FFF7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满足《中华人民共和国政府采购法》第二十二条规定</w:t>
      </w:r>
      <w:r>
        <w:rPr>
          <w:rFonts w:hint="eastAsia" w:ascii="宋体" w:hAnsi="宋体" w:eastAsia="宋体" w:cs="宋体"/>
          <w:color w:val="auto"/>
          <w:kern w:val="2"/>
          <w:sz w:val="24"/>
          <w:szCs w:val="24"/>
          <w:highlight w:val="none"/>
          <w:lang w:eastAsia="zh-CN"/>
        </w:rPr>
        <w:t>：</w:t>
      </w:r>
    </w:p>
    <w:p w14:paraId="0912E19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2.1.1具有独立承担民事责任的能力；</w:t>
      </w:r>
    </w:p>
    <w:p w14:paraId="6AB4DCA4">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2.1.2</w:t>
      </w:r>
      <w:r>
        <w:rPr>
          <w:rFonts w:hint="eastAsia" w:ascii="宋体" w:hAnsi="宋体" w:eastAsia="宋体" w:cs="宋体"/>
          <w:color w:val="auto"/>
          <w:kern w:val="2"/>
          <w:sz w:val="24"/>
          <w:szCs w:val="24"/>
          <w:highlight w:val="none"/>
        </w:rPr>
        <w:t>具有良好的商业信誉和健全的财务会计制度</w:t>
      </w:r>
      <w:r>
        <w:rPr>
          <w:rFonts w:hint="eastAsia" w:ascii="宋体" w:hAnsi="宋体" w:eastAsia="宋体" w:cs="宋体"/>
          <w:color w:val="auto"/>
          <w:kern w:val="2"/>
          <w:sz w:val="24"/>
          <w:szCs w:val="24"/>
          <w:highlight w:val="none"/>
          <w:lang w:val="en-US" w:eastAsia="zh-CN"/>
        </w:rPr>
        <w:t>；</w:t>
      </w:r>
    </w:p>
    <w:p w14:paraId="3E0D1D0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2.1.3</w:t>
      </w:r>
      <w:r>
        <w:rPr>
          <w:rFonts w:hint="eastAsia" w:ascii="宋体" w:hAnsi="宋体" w:eastAsia="宋体" w:cs="宋体"/>
          <w:color w:val="auto"/>
          <w:kern w:val="2"/>
          <w:sz w:val="24"/>
          <w:szCs w:val="24"/>
          <w:highlight w:val="none"/>
        </w:rPr>
        <w:t>有依法缴纳税收和社会保障资金的良好记录</w:t>
      </w:r>
      <w:r>
        <w:rPr>
          <w:rFonts w:hint="eastAsia" w:ascii="宋体" w:hAnsi="宋体" w:eastAsia="宋体" w:cs="宋体"/>
          <w:color w:val="auto"/>
          <w:kern w:val="2"/>
          <w:sz w:val="24"/>
          <w:szCs w:val="24"/>
          <w:highlight w:val="none"/>
          <w:lang w:eastAsia="zh-CN"/>
        </w:rPr>
        <w:t>；</w:t>
      </w:r>
    </w:p>
    <w:p w14:paraId="71FD663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2.1.4</w:t>
      </w:r>
      <w:r>
        <w:rPr>
          <w:rFonts w:hint="eastAsia" w:ascii="宋体" w:hAnsi="宋体" w:eastAsia="宋体" w:cs="宋体"/>
          <w:color w:val="auto"/>
          <w:kern w:val="2"/>
          <w:sz w:val="24"/>
          <w:szCs w:val="24"/>
          <w:highlight w:val="none"/>
        </w:rPr>
        <w:t>具有履行合同所必需的设备和专业技术能力</w:t>
      </w:r>
      <w:r>
        <w:rPr>
          <w:rFonts w:hint="eastAsia" w:ascii="宋体" w:hAnsi="宋体" w:eastAsia="宋体" w:cs="宋体"/>
          <w:color w:val="auto"/>
          <w:kern w:val="2"/>
          <w:sz w:val="24"/>
          <w:szCs w:val="24"/>
          <w:highlight w:val="none"/>
          <w:lang w:val="en-US" w:eastAsia="zh-CN"/>
        </w:rPr>
        <w:t>；</w:t>
      </w:r>
    </w:p>
    <w:p w14:paraId="5F0A8F1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2.1.5参加政府采购活动前三年内，在经营活动中没有重大违法记录；</w:t>
      </w:r>
    </w:p>
    <w:p w14:paraId="0B44B9BA">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2.1.6法律、行政法规规定的其他条件</w:t>
      </w:r>
    </w:p>
    <w:p w14:paraId="3C2707A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eastAsia="zh-CN"/>
        </w:rPr>
        <w:t>本项目非专门面向中小微企业采购，采购标对应的中小企业划型标准所属行业：建筑业。《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扶持中小企业政策：针对小微企业报价给予3%的扣除，用扣除后的价格参加评审。监狱企业、残疾人福利性单位提供的产品视同小型、微型企业。</w:t>
      </w:r>
    </w:p>
    <w:p w14:paraId="4F447123">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p>
    <w:p w14:paraId="2094426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2.3.1须具备建设行政主管部门颁发的建筑工程施工总承包叁级（含叁级）及以上资质并在人员、设备、资金等方面具有相应的施工能力（具有设备安装资质或承诺具有设备安装的能力），具有有效的安全生产许可证</w:t>
      </w:r>
      <w:r>
        <w:rPr>
          <w:rFonts w:hint="eastAsia" w:ascii="宋体" w:hAnsi="宋体" w:eastAsia="宋体" w:cs="宋体"/>
          <w:color w:val="auto"/>
          <w:sz w:val="24"/>
          <w:szCs w:val="24"/>
          <w:highlight w:val="none"/>
          <w:lang w:eastAsia="zh-CN"/>
        </w:rPr>
        <w:t xml:space="preserve">； </w:t>
      </w:r>
    </w:p>
    <w:p w14:paraId="3FD90B1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2.3.2拟任本项目负责人须具有建设行政主管部门核发的建筑工程专业贰级及以上注册建造师证和有效的安全生产考核合格证书（B证年检合格）；拟派的项目负责人的注册建造师证书及安全生产考核证注册单位需与磋商申请人名称一致。</w:t>
      </w:r>
    </w:p>
    <w:p w14:paraId="226E7E02">
      <w:pPr>
        <w:pStyle w:val="59"/>
        <w:spacing w:before="0" w:after="0" w:line="360" w:lineRule="auto"/>
        <w:jc w:val="both"/>
        <w:rPr>
          <w:rFonts w:ascii="宋体" w:hAnsi="宋体" w:cs="宋体"/>
          <w:sz w:val="24"/>
          <w:szCs w:val="24"/>
          <w:highlight w:val="none"/>
        </w:rPr>
      </w:pPr>
      <w:r>
        <w:rPr>
          <w:rFonts w:hint="eastAsia" w:ascii="宋体" w:hAnsi="宋体" w:eastAsia="宋体" w:cs="宋体"/>
          <w:b/>
          <w:color w:val="auto"/>
          <w:kern w:val="2"/>
          <w:sz w:val="24"/>
          <w:szCs w:val="24"/>
          <w:highlight w:val="none"/>
          <w:lang w:val="en-US" w:eastAsia="zh-CN"/>
        </w:rPr>
        <w:t>3、</w:t>
      </w:r>
      <w:bookmarkStart w:id="31" w:name="_Toc6628"/>
      <w:bookmarkStart w:id="32" w:name="_Toc525741684"/>
      <w:bookmarkStart w:id="33" w:name="_Toc525049624"/>
      <w:bookmarkStart w:id="34" w:name="_Toc536534307"/>
      <w:bookmarkStart w:id="35" w:name="_Toc525207111"/>
      <w:bookmarkStart w:id="36" w:name="_Toc536534037"/>
      <w:bookmarkStart w:id="37" w:name="_Toc531610839"/>
      <w:bookmarkStart w:id="38" w:name="_Toc19803"/>
      <w:bookmarkStart w:id="39" w:name="_Toc21846"/>
      <w:bookmarkStart w:id="40" w:name="_Toc15405"/>
      <w:bookmarkStart w:id="41" w:name="_Toc361822239"/>
      <w:bookmarkStart w:id="42" w:name="_Toc363197981"/>
      <w:bookmarkStart w:id="43" w:name="_Toc421887686"/>
      <w:r>
        <w:rPr>
          <w:rFonts w:hint="eastAsia" w:ascii="宋体" w:hAnsi="宋体" w:cs="宋体"/>
          <w:sz w:val="24"/>
          <w:szCs w:val="24"/>
          <w:highlight w:val="none"/>
        </w:rPr>
        <w:t>资格审查方法</w:t>
      </w:r>
      <w:bookmarkEnd w:id="31"/>
      <w:bookmarkEnd w:id="32"/>
      <w:bookmarkEnd w:id="33"/>
      <w:bookmarkEnd w:id="34"/>
      <w:bookmarkEnd w:id="35"/>
      <w:bookmarkEnd w:id="36"/>
      <w:bookmarkEnd w:id="37"/>
      <w:bookmarkEnd w:id="38"/>
      <w:bookmarkEnd w:id="39"/>
      <w:bookmarkEnd w:id="40"/>
    </w:p>
    <w:bookmarkEnd w:id="41"/>
    <w:bookmarkEnd w:id="42"/>
    <w:bookmarkEnd w:id="43"/>
    <w:p w14:paraId="6021EC9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sz w:val="24"/>
          <w:szCs w:val="24"/>
          <w:highlight w:val="none"/>
        </w:rPr>
      </w:pPr>
      <w:bookmarkStart w:id="44" w:name="_Toc361822240"/>
      <w:bookmarkStart w:id="45" w:name="_Toc421887687"/>
      <w:bookmarkStart w:id="46" w:name="_Toc363197982"/>
      <w:r>
        <w:rPr>
          <w:rFonts w:hint="eastAsia" w:ascii="宋体" w:hAnsi="宋体" w:eastAsia="宋体" w:cs="宋体"/>
          <w:sz w:val="24"/>
          <w:szCs w:val="24"/>
          <w:highlight w:val="none"/>
        </w:rPr>
        <w:t>本项目对磋商申请人的资格审查采用资格后审方式，主要资格审查标准和内容详见磋商文件中的资格审查文件，只有资格后审合格的磋商申请人才能进入评审程序。</w:t>
      </w:r>
    </w:p>
    <w:bookmarkEnd w:id="44"/>
    <w:bookmarkEnd w:id="45"/>
    <w:bookmarkEnd w:id="46"/>
    <w:p w14:paraId="5F8FC43D">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val="en-US" w:eastAsia="zh-CN"/>
        </w:rPr>
        <w:t>4、</w:t>
      </w:r>
      <w:r>
        <w:rPr>
          <w:rFonts w:hint="eastAsia" w:ascii="宋体" w:hAnsi="宋体" w:eastAsia="宋体" w:cs="宋体"/>
          <w:b/>
          <w:color w:val="auto"/>
          <w:kern w:val="2"/>
          <w:sz w:val="24"/>
          <w:szCs w:val="24"/>
          <w:highlight w:val="none"/>
        </w:rPr>
        <w:t>磋商文件的获取</w:t>
      </w:r>
    </w:p>
    <w:p w14:paraId="192966A0">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4.1时间：2026年9月22日至2026年9月30日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磋商文件的发售期限自开始之日起不得少于5个工作日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09E5C4E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4.2地点：政府采购云平台（网址：https://www.zcygov.cn/)。</w:t>
      </w:r>
    </w:p>
    <w:p w14:paraId="3EC55B1F">
      <w:pPr>
        <w:keepNext w:val="0"/>
        <w:keepLines w:val="0"/>
        <w:pageBreakBefore w:val="0"/>
        <w:widowControl w:val="0"/>
        <w:kinsoku/>
        <w:wordWrap/>
        <w:overflowPunct/>
        <w:topLinePunct w:val="0"/>
        <w:autoSpaceDE/>
        <w:autoSpaceDN/>
        <w:bidi w:val="0"/>
        <w:adjustRightInd/>
        <w:snapToGrid/>
        <w:spacing w:after="0" w:line="360" w:lineRule="auto"/>
        <w:ind w:firstLine="482"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本项目不发放纸质采购文件</w:t>
      </w:r>
      <w:r>
        <w:rPr>
          <w:rFonts w:hint="eastAsia" w:ascii="宋体" w:hAnsi="宋体" w:eastAsia="宋体" w:cs="宋体"/>
          <w:color w:val="auto"/>
          <w:sz w:val="24"/>
          <w:szCs w:val="24"/>
          <w:highlight w:val="none"/>
          <w:lang w:val="en-US" w:eastAsia="zh-CN"/>
        </w:rPr>
        <w:t>，供应商可自行在“政府采购云平台”下载采购文件（操作路径：登录“政府采购云平台”-项目采购-获取采购文件-找到本项目-点击“申请获取采购文件”），电子响应文件制作须基于“政府采购云平台”获取的采购文件编制。</w:t>
      </w:r>
    </w:p>
    <w:p w14:paraId="54428A79">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4.3网上获取。</w:t>
      </w:r>
    </w:p>
    <w:p w14:paraId="72E4FCF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凡有意参加投标者，请于本采购文件获取时间内，登录“政府采购云平台（网址：https://www.zcygov.cn/)”，凭企业数字证书（CA）在网上获取采购文件及其他采购资料。</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一）若供应商未办理数字证书（CA）的，可选择办理云南壹证通CA。CA申领链接：http://yzt.ynsmartcert.cn/cms/ca0063.html云南壹证通CA可支持线上、线下两种办理方式，并提供7*24小时全天候客户服务支持，客服热线400-004-0628。（紧急CA办理电话：19988166369）政府采购云平台支持多家CA服务商，供应商可自行选择办理。</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（二）数字证书（CA）申领完成之后进入政府采购云平台，企业账号与数字证书（CA）进行绑定，凭企业数字证书（CA）进行项目报名及免费下载招标文件。</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（三）按上述要求获取文件的供应商视为已合法获取本项目采购文件，具备本项目的投标（磋商或磋商）资格。</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（四）如有问题可拨打政采云客户服务热线95763进行咨询，数字证书（CA）问题可咨询24小时技术支持热线400-004-0628（紧急办理可拨：19988166369）。</w:t>
      </w:r>
      <w:r>
        <w:rPr>
          <w:rFonts w:hint="eastAsia" w:ascii="宋体" w:hAnsi="宋体" w:eastAsia="宋体" w:cs="宋体"/>
          <w:color w:val="auto"/>
          <w:sz w:val="24"/>
          <w:szCs w:val="24"/>
          <w:highlight w:val="none"/>
          <w:lang w:val="en-US" w:eastAsia="zh-CN"/>
        </w:rPr>
        <w:br w:type="textWrapping"/>
      </w:r>
      <w:r>
        <w:rPr>
          <w:rFonts w:hint="eastAsia" w:ascii="宋体" w:hAnsi="宋体" w:eastAsia="宋体" w:cs="宋体"/>
          <w:color w:val="auto"/>
          <w:sz w:val="24"/>
          <w:szCs w:val="24"/>
          <w:highlight w:val="none"/>
          <w:lang w:val="en-US" w:eastAsia="zh-CN"/>
        </w:rPr>
        <w:t>注：云南省外供应商在政采云平台办理的其他CA可直接使用，无需重复办理。</w:t>
      </w:r>
    </w:p>
    <w:p w14:paraId="702C0D7A">
      <w:pPr>
        <w:pStyle w:val="24"/>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4.4售价：0元。</w:t>
      </w:r>
    </w:p>
    <w:p w14:paraId="7EF16967">
      <w:pPr>
        <w:keepNext w:val="0"/>
        <w:keepLines w:val="0"/>
        <w:pageBreakBefore w:val="0"/>
        <w:widowControl w:val="0"/>
        <w:kinsoku/>
        <w:wordWrap/>
        <w:overflowPunct/>
        <w:topLinePunct w:val="0"/>
        <w:autoSpaceDE/>
        <w:autoSpaceDN/>
        <w:bidi w:val="0"/>
        <w:adjustRightInd/>
        <w:snapToGrid/>
        <w:spacing w:after="0" w:line="360" w:lineRule="auto"/>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lang w:val="en-US" w:eastAsia="zh-CN"/>
        </w:rPr>
        <w:t>5</w:t>
      </w:r>
      <w:r>
        <w:rPr>
          <w:rFonts w:hint="eastAsia" w:ascii="宋体" w:hAnsi="宋体" w:eastAsia="宋体" w:cs="宋体"/>
          <w:b/>
          <w:bCs/>
          <w:color w:val="auto"/>
          <w:kern w:val="2"/>
          <w:sz w:val="24"/>
          <w:szCs w:val="24"/>
          <w:highlight w:val="none"/>
        </w:rPr>
        <w:t>、响应文件</w:t>
      </w:r>
      <w:r>
        <w:rPr>
          <w:rFonts w:hint="eastAsia" w:ascii="宋体" w:hAnsi="宋体" w:eastAsia="宋体" w:cs="宋体"/>
          <w:b/>
          <w:bCs/>
          <w:color w:val="auto"/>
          <w:kern w:val="2"/>
          <w:sz w:val="24"/>
          <w:szCs w:val="24"/>
          <w:highlight w:val="none"/>
          <w:lang w:eastAsia="zh-CN"/>
        </w:rPr>
        <w:t>提交</w:t>
      </w:r>
    </w:p>
    <w:p w14:paraId="345C027D">
      <w:pPr>
        <w:spacing w:after="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1截止时间：</w:t>
      </w:r>
      <w:r>
        <w:rPr>
          <w:rFonts w:hint="eastAsia" w:asciiTheme="minorEastAsia" w:hAnsiTheme="minorEastAsia" w:eastAsiaTheme="minorEastAsia" w:cstheme="minorEastAsia"/>
          <w:color w:val="auto"/>
          <w:sz w:val="24"/>
          <w:szCs w:val="24"/>
          <w:highlight w:val="none"/>
          <w:lang w:eastAsia="zh-CN"/>
        </w:rPr>
        <w:t>2026年10月09日14时30分（北京时间）</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bCs/>
          <w:color w:val="auto"/>
          <w:sz w:val="24"/>
          <w:szCs w:val="24"/>
          <w:highlight w:val="none"/>
        </w:rPr>
        <w:t>从</w:t>
      </w:r>
      <w:r>
        <w:rPr>
          <w:rFonts w:hint="eastAsia" w:asciiTheme="minorEastAsia" w:hAnsiTheme="minorEastAsia" w:eastAsiaTheme="minorEastAsia" w:cstheme="minorEastAsia"/>
          <w:b/>
          <w:bCs/>
          <w:color w:val="auto"/>
          <w:sz w:val="24"/>
          <w:szCs w:val="24"/>
          <w:highlight w:val="none"/>
          <w:lang w:val="en-US" w:eastAsia="zh-CN"/>
        </w:rPr>
        <w:t>采购</w:t>
      </w:r>
      <w:r>
        <w:rPr>
          <w:rFonts w:hint="eastAsia" w:asciiTheme="minorEastAsia" w:hAnsiTheme="minorEastAsia" w:eastAsiaTheme="minorEastAsia" w:cstheme="minorEastAsia"/>
          <w:b/>
          <w:bCs/>
          <w:color w:val="auto"/>
          <w:sz w:val="24"/>
          <w:szCs w:val="24"/>
          <w:highlight w:val="none"/>
        </w:rPr>
        <w:t>文件开始发出之日起至供应商提交首次响应文件截止之日止不得少于10日</w:t>
      </w:r>
      <w:r>
        <w:rPr>
          <w:rFonts w:hint="eastAsia" w:asciiTheme="minorEastAsia" w:hAnsiTheme="minorEastAsia" w:eastAsiaTheme="minorEastAsia" w:cstheme="minorEastAsia"/>
          <w:color w:val="auto"/>
          <w:sz w:val="24"/>
          <w:szCs w:val="24"/>
          <w:highlight w:val="none"/>
        </w:rPr>
        <w:t>）；</w:t>
      </w:r>
    </w:p>
    <w:p w14:paraId="3974A09B">
      <w:pPr>
        <w:spacing w:after="0" w:line="360" w:lineRule="auto"/>
        <w:ind w:firstLine="480" w:firstLineChars="200"/>
        <w:rPr>
          <w:rFonts w:hint="eastAsia" w:asciiTheme="minorEastAsia" w:hAnsiTheme="minorEastAsia" w:eastAsiaTheme="minorEastAsia" w:cstheme="minorEastAsia"/>
          <w:color w:val="auto"/>
          <w:sz w:val="24"/>
          <w:szCs w:val="24"/>
          <w:highlight w:val="none"/>
          <w:rtl w:val="0"/>
        </w:rPr>
      </w:pPr>
      <w:r>
        <w:rPr>
          <w:rFonts w:hint="eastAsia" w:asciiTheme="minorEastAsia" w:hAnsiTheme="minorEastAsia" w:eastAsiaTheme="minorEastAsia" w:cstheme="minorEastAsia"/>
          <w:color w:val="auto"/>
          <w:sz w:val="24"/>
          <w:szCs w:val="24"/>
          <w:highlight w:val="none"/>
          <w:rtl w:val="0"/>
          <w:lang w:val="en-US" w:eastAsia="zh-CN"/>
        </w:rPr>
        <w:t>5.2</w:t>
      </w:r>
      <w:r>
        <w:rPr>
          <w:rFonts w:hint="eastAsia" w:asciiTheme="minorEastAsia" w:hAnsiTheme="minorEastAsia" w:eastAsiaTheme="minorEastAsia" w:cstheme="minorEastAsia"/>
          <w:color w:val="auto"/>
          <w:sz w:val="24"/>
          <w:szCs w:val="24"/>
          <w:highlight w:val="none"/>
          <w:rtl w:val="0"/>
        </w:rPr>
        <w:t>地点：</w:t>
      </w:r>
      <w:r>
        <w:rPr>
          <w:rFonts w:hint="eastAsia" w:asciiTheme="minorEastAsia" w:hAnsiTheme="minorEastAsia" w:eastAsiaTheme="minorEastAsia" w:cstheme="minorEastAsia"/>
          <w:color w:val="auto"/>
          <w:sz w:val="24"/>
          <w:szCs w:val="24"/>
          <w:highlight w:val="none"/>
          <w:lang w:val="en-US" w:eastAsia="zh-CN"/>
        </w:rPr>
        <w:t>政府采购云平台（网址：https://www.zcygov.cn/)。</w:t>
      </w:r>
    </w:p>
    <w:p w14:paraId="70DC0572">
      <w:pPr>
        <w:spacing w:after="0" w:line="360" w:lineRule="auto"/>
        <w:ind w:firstLine="480" w:firstLineChars="200"/>
        <w:rPr>
          <w:rFonts w:hint="eastAsia" w:asciiTheme="minorEastAsia" w:hAnsiTheme="minorEastAsia" w:eastAsiaTheme="minorEastAsia" w:cstheme="minorEastAsia"/>
          <w:color w:val="auto"/>
          <w:sz w:val="24"/>
          <w:szCs w:val="24"/>
          <w:highlight w:val="none"/>
          <w:rtl w:val="0"/>
        </w:rPr>
      </w:pPr>
      <w:r>
        <w:rPr>
          <w:rFonts w:hint="eastAsia" w:asciiTheme="minorEastAsia" w:hAnsiTheme="minorEastAsia" w:eastAsiaTheme="minorEastAsia" w:cstheme="minorEastAsia"/>
          <w:color w:val="auto"/>
          <w:sz w:val="24"/>
          <w:szCs w:val="24"/>
          <w:highlight w:val="none"/>
          <w:rtl w:val="0"/>
          <w:lang w:val="en-US" w:eastAsia="zh-CN"/>
        </w:rPr>
        <w:t>注：</w:t>
      </w:r>
      <w:r>
        <w:rPr>
          <w:rFonts w:hint="eastAsia" w:asciiTheme="minorEastAsia" w:hAnsiTheme="minorEastAsia" w:eastAsiaTheme="minorEastAsia" w:cstheme="minorEastAsia"/>
          <w:color w:val="auto"/>
          <w:sz w:val="24"/>
          <w:szCs w:val="24"/>
          <w:highlight w:val="none"/>
          <w:lang w:val="en-US" w:eastAsia="zh-CN"/>
        </w:rPr>
        <w:fldChar w:fldCharType="begin"/>
      </w:r>
      <w:r>
        <w:rPr>
          <w:rFonts w:hint="eastAsia" w:asciiTheme="minorEastAsia" w:hAnsiTheme="minorEastAsia" w:eastAsiaTheme="minorEastAsia" w:cstheme="minorEastAsia"/>
          <w:color w:val="auto"/>
          <w:sz w:val="24"/>
          <w:szCs w:val="24"/>
          <w:highlight w:val="none"/>
          <w:lang w:val="en-US" w:eastAsia="zh-CN"/>
        </w:rPr>
        <w:instrText xml:space="preserve"> = 1 \* GB3 \* MERGEFORMAT </w:instrText>
      </w:r>
      <w:r>
        <w:rPr>
          <w:rFonts w:hint="eastAsia" w:asciiTheme="minorEastAsia" w:hAnsiTheme="minorEastAsia" w:eastAsiaTheme="minorEastAsia" w:cstheme="minorEastAsia"/>
          <w:color w:val="auto"/>
          <w:sz w:val="24"/>
          <w:szCs w:val="24"/>
          <w:highlight w:val="none"/>
          <w:lang w:val="en-US" w:eastAsia="zh-CN"/>
        </w:rPr>
        <w:fldChar w:fldCharType="separate"/>
      </w:r>
      <w:r>
        <w:rPr>
          <w:color w:val="auto"/>
          <w:highlight w:val="none"/>
        </w:rPr>
        <w:t>①</w:t>
      </w:r>
      <w:r>
        <w:rPr>
          <w:rFonts w:hint="eastAsia" w:asciiTheme="minorEastAsia" w:hAnsiTheme="minorEastAsia" w:eastAsiaTheme="minorEastAsia" w:cstheme="minorEastAsia"/>
          <w:color w:val="auto"/>
          <w:sz w:val="24"/>
          <w:szCs w:val="24"/>
          <w:highlight w:val="none"/>
          <w:lang w:val="en-US" w:eastAsia="zh-CN"/>
        </w:rPr>
        <w:fldChar w:fldCharType="end"/>
      </w:r>
      <w:r>
        <w:rPr>
          <w:rFonts w:hint="eastAsia" w:asciiTheme="minorEastAsia" w:hAnsiTheme="minorEastAsia" w:eastAsiaTheme="minorEastAsia" w:cstheme="minorEastAsia"/>
          <w:color w:val="auto"/>
          <w:sz w:val="24"/>
          <w:szCs w:val="24"/>
          <w:highlight w:val="none"/>
          <w:rtl w:val="0"/>
          <w:lang w:val="en-US" w:eastAsia="zh-CN"/>
        </w:rPr>
        <w:t>供应商</w:t>
      </w:r>
      <w:r>
        <w:rPr>
          <w:rFonts w:hint="eastAsia" w:asciiTheme="minorEastAsia" w:hAnsiTheme="minorEastAsia" w:eastAsiaTheme="minorEastAsia" w:cstheme="minorEastAsia"/>
          <w:color w:val="auto"/>
          <w:sz w:val="24"/>
          <w:szCs w:val="24"/>
          <w:highlight w:val="none"/>
          <w:rtl w:val="0"/>
        </w:rPr>
        <w:t>应按照本项目</w:t>
      </w:r>
      <w:r>
        <w:rPr>
          <w:rFonts w:hint="eastAsia" w:asciiTheme="minorEastAsia" w:hAnsiTheme="minorEastAsia" w:eastAsiaTheme="minorEastAsia" w:cstheme="minorEastAsia"/>
          <w:color w:val="auto"/>
          <w:sz w:val="24"/>
          <w:szCs w:val="24"/>
          <w:highlight w:val="none"/>
          <w:rtl w:val="0"/>
          <w:lang w:val="en-US" w:eastAsia="zh-CN"/>
        </w:rPr>
        <w:t>采购</w:t>
      </w:r>
      <w:r>
        <w:rPr>
          <w:rFonts w:hint="eastAsia" w:asciiTheme="minorEastAsia" w:hAnsiTheme="minorEastAsia" w:eastAsiaTheme="minorEastAsia" w:cstheme="minorEastAsia"/>
          <w:color w:val="auto"/>
          <w:sz w:val="24"/>
          <w:szCs w:val="24"/>
          <w:highlight w:val="none"/>
          <w:rtl w:val="0"/>
        </w:rPr>
        <w:t>文件和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政府采购云平台”</w:t>
      </w:r>
      <w:r>
        <w:rPr>
          <w:rFonts w:hint="eastAsia" w:asciiTheme="minorEastAsia" w:hAnsiTheme="minorEastAsia" w:eastAsiaTheme="minorEastAsia" w:cstheme="minorEastAsia"/>
          <w:color w:val="auto"/>
          <w:sz w:val="24"/>
          <w:szCs w:val="24"/>
          <w:highlight w:val="none"/>
          <w:rtl w:val="0"/>
        </w:rPr>
        <w:t>的要求编制、加密</w:t>
      </w:r>
      <w:r>
        <w:rPr>
          <w:rFonts w:hint="eastAsia" w:asciiTheme="minorEastAsia" w:hAnsiTheme="minorEastAsia" w:eastAsiaTheme="minorEastAsia" w:cstheme="minorEastAsia"/>
          <w:color w:val="auto"/>
          <w:sz w:val="24"/>
          <w:szCs w:val="24"/>
          <w:highlight w:val="none"/>
          <w:rtl w:val="0"/>
          <w:lang w:val="en-US" w:eastAsia="zh-CN"/>
        </w:rPr>
        <w:t>响应文件，并</w:t>
      </w:r>
      <w:r>
        <w:rPr>
          <w:rFonts w:hint="eastAsia" w:asciiTheme="minorEastAsia" w:hAnsiTheme="minorEastAsia" w:eastAsiaTheme="minorEastAsia" w:cstheme="minorEastAsia"/>
          <w:color w:val="auto"/>
          <w:sz w:val="24"/>
          <w:szCs w:val="24"/>
          <w:highlight w:val="none"/>
          <w:rtl w:val="0"/>
        </w:rPr>
        <w:t>在响应文件提交截止时间前上传至</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政府采购云平台”</w:t>
      </w:r>
      <w:r>
        <w:rPr>
          <w:rFonts w:hint="eastAsia" w:asciiTheme="minorEastAsia" w:hAnsiTheme="minorEastAsia" w:eastAsiaTheme="minorEastAsia" w:cstheme="minorEastAsia"/>
          <w:color w:val="auto"/>
          <w:sz w:val="24"/>
          <w:szCs w:val="24"/>
          <w:highlight w:val="none"/>
          <w:rtl w:val="0"/>
        </w:rPr>
        <w:t>，响应文件提交截止时间前未完成响应文件上传的，视为撤回响应文件。</w:t>
      </w:r>
    </w:p>
    <w:p w14:paraId="550526DE">
      <w:pPr>
        <w:spacing w:after="0" w:line="360" w:lineRule="auto"/>
        <w:ind w:firstLine="480" w:firstLineChars="200"/>
        <w:rPr>
          <w:rFonts w:hint="eastAsia" w:asciiTheme="minorEastAsia" w:hAnsiTheme="minorEastAsia" w:eastAsiaTheme="minorEastAsia" w:cstheme="minorEastAsia"/>
          <w:color w:val="auto"/>
          <w:sz w:val="24"/>
          <w:szCs w:val="24"/>
          <w:highlight w:val="none"/>
          <w:rtl w:val="0"/>
          <w:lang w:val="en-US" w:eastAsia="zh-CN"/>
        </w:rPr>
      </w:pPr>
      <w:r>
        <w:rPr>
          <w:rFonts w:hint="eastAsia" w:asciiTheme="minorEastAsia" w:hAnsiTheme="minorEastAsia" w:eastAsiaTheme="minorEastAsia" w:cstheme="minorEastAsia"/>
          <w:color w:val="auto"/>
          <w:sz w:val="24"/>
          <w:szCs w:val="24"/>
          <w:highlight w:val="none"/>
          <w:lang w:val="en-US" w:eastAsia="zh-CN"/>
        </w:rPr>
        <w:fldChar w:fldCharType="begin"/>
      </w:r>
      <w:r>
        <w:rPr>
          <w:rFonts w:hint="eastAsia" w:asciiTheme="minorEastAsia" w:hAnsiTheme="minorEastAsia" w:eastAsiaTheme="minorEastAsia" w:cstheme="minorEastAsia"/>
          <w:color w:val="auto"/>
          <w:sz w:val="24"/>
          <w:szCs w:val="24"/>
          <w:highlight w:val="none"/>
          <w:lang w:val="en-US" w:eastAsia="zh-CN"/>
        </w:rPr>
        <w:instrText xml:space="preserve"> = 2 \* GB3 \* MERGEFORMAT </w:instrText>
      </w:r>
      <w:r>
        <w:rPr>
          <w:rFonts w:hint="eastAsia" w:asciiTheme="minorEastAsia" w:hAnsiTheme="minorEastAsia" w:eastAsiaTheme="minorEastAsia" w:cstheme="minorEastAsia"/>
          <w:color w:val="auto"/>
          <w:sz w:val="24"/>
          <w:szCs w:val="24"/>
          <w:highlight w:val="none"/>
          <w:lang w:val="en-US" w:eastAsia="zh-CN"/>
        </w:rPr>
        <w:fldChar w:fldCharType="separate"/>
      </w:r>
      <w:r>
        <w:rPr>
          <w:color w:val="auto"/>
          <w:highlight w:val="none"/>
        </w:rPr>
        <w:t>②</w:t>
      </w:r>
      <w:r>
        <w:rPr>
          <w:rFonts w:hint="eastAsia" w:asciiTheme="minorEastAsia" w:hAnsiTheme="minorEastAsia" w:eastAsiaTheme="minorEastAsia" w:cstheme="minorEastAsia"/>
          <w:color w:val="auto"/>
          <w:sz w:val="24"/>
          <w:szCs w:val="24"/>
          <w:highlight w:val="none"/>
          <w:lang w:val="en-US" w:eastAsia="zh-CN"/>
        </w:rPr>
        <w:fldChar w:fldCharType="end"/>
      </w:r>
      <w:r>
        <w:rPr>
          <w:rFonts w:hint="eastAsia" w:asciiTheme="minorEastAsia" w:hAnsiTheme="minorEastAsia" w:eastAsiaTheme="minorEastAsia" w:cstheme="minorEastAsia"/>
          <w:color w:val="auto"/>
          <w:sz w:val="24"/>
          <w:szCs w:val="24"/>
          <w:highlight w:val="none"/>
          <w:rtl w:val="0"/>
          <w:lang w:val="en-US" w:eastAsia="zh-CN"/>
        </w:rPr>
        <w:t>供应商</w:t>
      </w:r>
      <w:r>
        <w:rPr>
          <w:rFonts w:hint="eastAsia" w:asciiTheme="minorEastAsia" w:hAnsiTheme="minorEastAsia" w:eastAsiaTheme="minorEastAsia" w:cstheme="minorEastAsia"/>
          <w:color w:val="auto"/>
          <w:sz w:val="24"/>
          <w:szCs w:val="24"/>
          <w:highlight w:val="none"/>
          <w:rtl w:val="0"/>
        </w:rPr>
        <w:t>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政府采购云平台”</w:t>
      </w:r>
      <w:r>
        <w:rPr>
          <w:rFonts w:hint="eastAsia" w:asciiTheme="minorEastAsia" w:hAnsiTheme="minorEastAsia" w:eastAsiaTheme="minorEastAsia" w:cstheme="minorEastAsia"/>
          <w:color w:val="auto"/>
          <w:sz w:val="24"/>
          <w:szCs w:val="24"/>
          <w:highlight w:val="none"/>
          <w:rtl w:val="0"/>
        </w:rPr>
        <w:t>提交电子版响应文件时，请填写参加远程采购活动经办人联系方式。</w:t>
      </w:r>
      <w:r>
        <w:rPr>
          <w:rFonts w:hint="eastAsia" w:asciiTheme="minorEastAsia" w:hAnsiTheme="minorEastAsia" w:eastAsiaTheme="minorEastAsia" w:cstheme="minorEastAsia"/>
          <w:color w:val="auto"/>
          <w:sz w:val="24"/>
          <w:szCs w:val="24"/>
          <w:highlight w:val="none"/>
          <w:rtl w:val="0"/>
          <w:lang w:val="en-US" w:eastAsia="zh-CN"/>
        </w:rPr>
        <w:t>并于开标当日在系统上等待代理机构通知最后报价。</w:t>
      </w:r>
    </w:p>
    <w:p w14:paraId="2965BDB3">
      <w:pPr>
        <w:widowControl w:val="0"/>
        <w:adjustRightInd/>
        <w:snapToGrid/>
        <w:spacing w:after="0" w:line="360" w:lineRule="auto"/>
        <w:jc w:val="both"/>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lang w:val="en-US" w:eastAsia="zh-CN"/>
        </w:rPr>
        <w:t>6</w:t>
      </w:r>
      <w:r>
        <w:rPr>
          <w:rFonts w:hint="eastAsia" w:asciiTheme="minorEastAsia" w:hAnsiTheme="minorEastAsia" w:eastAsiaTheme="minorEastAsia" w:cstheme="minorEastAsia"/>
          <w:b/>
          <w:bCs/>
          <w:color w:val="auto"/>
          <w:kern w:val="2"/>
          <w:sz w:val="24"/>
          <w:szCs w:val="24"/>
          <w:highlight w:val="none"/>
        </w:rPr>
        <w:t>、开启</w:t>
      </w:r>
    </w:p>
    <w:p w14:paraId="679B885C">
      <w:pPr>
        <w:spacing w:after="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1时间：</w:t>
      </w:r>
      <w:r>
        <w:rPr>
          <w:rFonts w:hint="eastAsia" w:asciiTheme="minorEastAsia" w:hAnsiTheme="minorEastAsia" w:eastAsiaTheme="minorEastAsia" w:cstheme="minorEastAsia"/>
          <w:color w:val="auto"/>
          <w:sz w:val="24"/>
          <w:szCs w:val="24"/>
          <w:highlight w:val="none"/>
          <w:lang w:eastAsia="zh-CN"/>
        </w:rPr>
        <w:t>2026年10月09日14时30分</w:t>
      </w:r>
      <w:r>
        <w:rPr>
          <w:rFonts w:hint="eastAsia" w:asciiTheme="minorEastAsia" w:hAnsiTheme="minorEastAsia" w:eastAsiaTheme="minorEastAsia" w:cstheme="minorEastAsia"/>
          <w:color w:val="auto"/>
          <w:sz w:val="24"/>
          <w:szCs w:val="24"/>
          <w:highlight w:val="none"/>
        </w:rPr>
        <w:t>（北京时间）</w:t>
      </w:r>
      <w:r>
        <w:rPr>
          <w:rFonts w:hint="eastAsia" w:asciiTheme="minorEastAsia" w:hAnsiTheme="minorEastAsia" w:eastAsiaTheme="minorEastAsia" w:cstheme="minorEastAsia"/>
          <w:color w:val="auto"/>
          <w:sz w:val="24"/>
          <w:szCs w:val="24"/>
          <w:highlight w:val="none"/>
          <w:lang w:eastAsia="zh-CN"/>
        </w:rPr>
        <w:t>。</w:t>
      </w:r>
    </w:p>
    <w:p w14:paraId="067E8F00">
      <w:pPr>
        <w:spacing w:after="0" w:line="360" w:lineRule="auto"/>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2开启方式：“政采云”平台网上开标(磋商申请人无需到现场）</w:t>
      </w:r>
      <w:r>
        <w:rPr>
          <w:rFonts w:hint="eastAsia" w:asciiTheme="minorEastAsia" w:hAnsiTheme="minorEastAsia" w:eastAsiaTheme="minorEastAsia" w:cstheme="minorEastAsia"/>
          <w:color w:val="auto"/>
          <w:sz w:val="24"/>
          <w:szCs w:val="24"/>
          <w:highlight w:val="none"/>
          <w:lang w:eastAsia="zh-CN"/>
        </w:rPr>
        <w:t>。</w:t>
      </w:r>
    </w:p>
    <w:p w14:paraId="5DC69A57">
      <w:pPr>
        <w:spacing w:after="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6.3</w:t>
      </w:r>
      <w:r>
        <w:rPr>
          <w:rFonts w:hint="eastAsia" w:asciiTheme="minorEastAsia" w:hAnsiTheme="minorEastAsia" w:eastAsiaTheme="minorEastAsia" w:cstheme="minorEastAsia"/>
          <w:color w:val="auto"/>
          <w:sz w:val="24"/>
          <w:szCs w:val="24"/>
          <w:highlight w:val="none"/>
        </w:rPr>
        <w:t>地点：</w:t>
      </w:r>
      <w:r>
        <w:rPr>
          <w:rFonts w:hint="eastAsia" w:asciiTheme="minorEastAsia" w:hAnsiTheme="minorEastAsia" w:eastAsiaTheme="minorEastAsia" w:cstheme="minorEastAsia"/>
          <w:color w:val="auto"/>
          <w:sz w:val="24"/>
          <w:szCs w:val="24"/>
          <w:highlight w:val="none"/>
          <w:lang w:eastAsia="zh-CN"/>
        </w:rPr>
        <w:t>红河州顺胜项目管理有限公司（蒙自市吉庆路48号3楼、4楼、5楼）</w:t>
      </w:r>
      <w:r>
        <w:rPr>
          <w:rFonts w:hint="eastAsia" w:asciiTheme="minorEastAsia" w:hAnsiTheme="minorEastAsia" w:eastAsiaTheme="minorEastAsia" w:cstheme="minorEastAsia"/>
          <w:color w:val="auto"/>
          <w:sz w:val="24"/>
          <w:szCs w:val="24"/>
          <w:highlight w:val="none"/>
        </w:rPr>
        <w:t>。</w:t>
      </w:r>
    </w:p>
    <w:p w14:paraId="640AF9FA">
      <w:pPr>
        <w:widowControl w:val="0"/>
        <w:adjustRightInd/>
        <w:snapToGrid/>
        <w:spacing w:after="0" w:line="360" w:lineRule="auto"/>
        <w:jc w:val="both"/>
        <w:rPr>
          <w:rFonts w:hint="eastAsia" w:asciiTheme="minorEastAsia" w:hAnsiTheme="minorEastAsia" w:eastAsiaTheme="minorEastAsia" w:cstheme="minorEastAsia"/>
          <w:b/>
          <w:bCs/>
          <w:color w:val="auto"/>
          <w:kern w:val="2"/>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rPr>
        <w:t>7、公告期限</w:t>
      </w:r>
    </w:p>
    <w:p w14:paraId="69B0535E">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7.1自本公告发布之日起5个工作日。</w:t>
      </w:r>
    </w:p>
    <w:p w14:paraId="72D5EFC9">
      <w:pPr>
        <w:widowControl w:val="0"/>
        <w:adjustRightInd/>
        <w:snapToGrid/>
        <w:spacing w:after="0" w:line="360" w:lineRule="auto"/>
        <w:jc w:val="both"/>
        <w:rPr>
          <w:rFonts w:hint="eastAsia" w:asciiTheme="minorEastAsia" w:hAnsiTheme="minorEastAsia" w:eastAsiaTheme="minorEastAsia" w:cstheme="minorEastAsia"/>
          <w:b/>
          <w:bCs/>
          <w:color w:val="auto"/>
          <w:kern w:val="2"/>
          <w:sz w:val="24"/>
          <w:szCs w:val="24"/>
          <w:highlight w:val="none"/>
        </w:rPr>
      </w:pPr>
      <w:r>
        <w:rPr>
          <w:rFonts w:hint="eastAsia" w:asciiTheme="minorEastAsia" w:hAnsiTheme="minorEastAsia" w:eastAsiaTheme="minorEastAsia" w:cstheme="minorEastAsia"/>
          <w:b/>
          <w:bCs/>
          <w:color w:val="auto"/>
          <w:kern w:val="2"/>
          <w:sz w:val="24"/>
          <w:szCs w:val="24"/>
          <w:highlight w:val="none"/>
          <w:lang w:val="en-US" w:eastAsia="zh-CN"/>
        </w:rPr>
        <w:t>8、</w:t>
      </w:r>
      <w:r>
        <w:rPr>
          <w:rFonts w:hint="eastAsia" w:asciiTheme="minorEastAsia" w:hAnsiTheme="minorEastAsia" w:eastAsiaTheme="minorEastAsia" w:cstheme="minorEastAsia"/>
          <w:b/>
          <w:bCs/>
          <w:color w:val="auto"/>
          <w:kern w:val="2"/>
          <w:sz w:val="24"/>
          <w:szCs w:val="24"/>
          <w:highlight w:val="none"/>
        </w:rPr>
        <w:t>其他补充事宜</w:t>
      </w:r>
    </w:p>
    <w:p w14:paraId="1F69EDD0">
      <w:pPr>
        <w:spacing w:after="0"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1发布公告的媒介</w:t>
      </w:r>
    </w:p>
    <w:p w14:paraId="6B50606A">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次采购公告同时在“云南省政府采购网”、“政府采购云平台”上发布，供应商应在递交投标文件前随时查看，以获取最新信息。因供应商未及时查看网站信息导致的一切不利后果由供应商自负。对其他网站或媒体转载的公告内容采购人和采购代理机构不承担任何责任。</w:t>
      </w:r>
    </w:p>
    <w:p w14:paraId="768089D8">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注：只有完全满足以上条件的供应商，才可参与磋商。供应商为满足以上条件虚报材料的，一经查实，该响应文件将作废标处理。</w:t>
      </w:r>
    </w:p>
    <w:p w14:paraId="0F17D07E">
      <w:pPr>
        <w:spacing w:line="360" w:lineRule="auto"/>
        <w:rPr>
          <w:rFonts w:hint="eastAsia" w:asciiTheme="minorEastAsia" w:hAnsiTheme="minorEastAsia" w:eastAsiaTheme="minorEastAsia" w:cstheme="minorEastAsia"/>
          <w:b/>
          <w:bCs/>
          <w:color w:val="auto"/>
          <w:kern w:val="2"/>
          <w:sz w:val="24"/>
          <w:szCs w:val="24"/>
          <w:highlight w:val="none"/>
          <w:lang w:val="en-US" w:eastAsia="zh-CN"/>
        </w:rPr>
      </w:pPr>
      <w:r>
        <w:rPr>
          <w:rFonts w:hint="eastAsia" w:asciiTheme="minorEastAsia" w:hAnsiTheme="minorEastAsia" w:eastAsiaTheme="minorEastAsia" w:cstheme="minorEastAsia"/>
          <w:b/>
          <w:bCs/>
          <w:color w:val="auto"/>
          <w:kern w:val="2"/>
          <w:sz w:val="24"/>
          <w:szCs w:val="24"/>
          <w:highlight w:val="none"/>
          <w:lang w:val="en-US" w:eastAsia="zh-CN"/>
        </w:rPr>
        <w:t>9、</w:t>
      </w:r>
      <w:r>
        <w:rPr>
          <w:rFonts w:hint="eastAsia" w:asciiTheme="minorEastAsia" w:hAnsiTheme="minorEastAsia" w:eastAsiaTheme="minorEastAsia" w:cstheme="minorEastAsia"/>
          <w:b/>
          <w:bCs/>
          <w:color w:val="auto"/>
          <w:kern w:val="2"/>
          <w:sz w:val="24"/>
          <w:szCs w:val="24"/>
          <w:highlight w:val="none"/>
        </w:rPr>
        <w:t>凡对本次采购提出询问，请按以下方式联系</w:t>
      </w:r>
    </w:p>
    <w:p w14:paraId="3B9B9FA1">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9.1采购人信息</w:t>
      </w:r>
    </w:p>
    <w:p w14:paraId="2CF6493F">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名  称：红河职业技术学院</w:t>
      </w:r>
    </w:p>
    <w:p w14:paraId="13E4E4CD">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地  址：</w:t>
      </w:r>
      <w:r>
        <w:rPr>
          <w:rFonts w:hint="eastAsia" w:asciiTheme="minorEastAsia" w:hAnsiTheme="minorEastAsia" w:eastAsiaTheme="minorEastAsia" w:cstheme="minorEastAsia"/>
          <w:color w:val="auto"/>
          <w:sz w:val="24"/>
          <w:szCs w:val="24"/>
          <w:highlight w:val="none"/>
          <w:lang w:val="en-US" w:eastAsia="zh-CN"/>
        </w:rPr>
        <w:t>红河州蒙自市红河大道南侧、世家寨西南侧</w:t>
      </w:r>
    </w:p>
    <w:p w14:paraId="35C4AF0D">
      <w:pPr>
        <w:spacing w:after="0" w:line="360" w:lineRule="auto"/>
        <w:ind w:firstLine="480" w:firstLineChars="20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联系人：</w:t>
      </w:r>
      <w:r>
        <w:rPr>
          <w:rFonts w:hint="eastAsia" w:asciiTheme="minorEastAsia" w:hAnsiTheme="minorEastAsia" w:eastAsiaTheme="minorEastAsia" w:cstheme="minorEastAsia"/>
          <w:color w:val="auto"/>
          <w:sz w:val="24"/>
          <w:szCs w:val="24"/>
          <w:highlight w:val="none"/>
          <w:lang w:val="en-US" w:eastAsia="zh-CN"/>
        </w:rPr>
        <w:t>李老师</w:t>
      </w:r>
    </w:p>
    <w:p w14:paraId="7AE32367">
      <w:pPr>
        <w:spacing w:after="0" w:line="360" w:lineRule="auto"/>
        <w:ind w:firstLine="480" w:firstLineChars="200"/>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联系方式：</w:t>
      </w:r>
      <w:r>
        <w:rPr>
          <w:rFonts w:hint="eastAsia" w:asciiTheme="minorEastAsia" w:hAnsiTheme="minorEastAsia" w:eastAsiaTheme="minorEastAsia" w:cstheme="minorEastAsia"/>
          <w:color w:val="auto"/>
          <w:sz w:val="24"/>
          <w:szCs w:val="24"/>
          <w:highlight w:val="none"/>
          <w:lang w:val="en-US" w:eastAsia="zh-CN"/>
        </w:rPr>
        <w:t>0873-3060326</w:t>
      </w:r>
    </w:p>
    <w:p w14:paraId="6273C402">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9.2采购代理机构信息</w:t>
      </w:r>
    </w:p>
    <w:p w14:paraId="76AC4752">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名  称：红河州顺胜项目管理有限公司</w:t>
      </w:r>
    </w:p>
    <w:p w14:paraId="6740537A">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  址：蒙自市吉庆路48号</w:t>
      </w:r>
    </w:p>
    <w:p w14:paraId="03BBB2B9">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联系人：李甜甜、孙磊</w:t>
      </w:r>
    </w:p>
    <w:p w14:paraId="2773F28B">
      <w:pPr>
        <w:spacing w:after="0"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联系方式：0873-3660355</w:t>
      </w:r>
    </w:p>
    <w:p w14:paraId="3AFA25C2">
      <w:pPr>
        <w:spacing w:after="0" w:line="410" w:lineRule="exact"/>
        <w:rPr>
          <w:rFonts w:hint="eastAsia" w:asciiTheme="minorEastAsia" w:hAnsiTheme="minorEastAsia" w:eastAsiaTheme="minorEastAsia" w:cstheme="minorEastAsia"/>
          <w:color w:val="auto"/>
          <w:sz w:val="24"/>
          <w:szCs w:val="24"/>
          <w:highlight w:val="none"/>
          <w:lang w:val="en-US" w:eastAsia="zh-CN"/>
        </w:rPr>
      </w:pPr>
    </w:p>
    <w:p w14:paraId="4B7830EB">
      <w:pPr>
        <w:spacing w:after="0" w:line="410" w:lineRule="exact"/>
        <w:rPr>
          <w:rFonts w:hint="eastAsia" w:asciiTheme="minorEastAsia" w:hAnsiTheme="minorEastAsia" w:eastAsiaTheme="minorEastAsia" w:cstheme="minorEastAsia"/>
          <w:color w:val="auto"/>
          <w:sz w:val="24"/>
          <w:szCs w:val="24"/>
          <w:highlight w:val="none"/>
          <w:lang w:val="en-US" w:eastAsia="zh-CN"/>
        </w:rPr>
      </w:pPr>
    </w:p>
    <w:p w14:paraId="6F482C59">
      <w:pPr>
        <w:rPr>
          <w:rFonts w:hint="eastAsia" w:ascii="宋体" w:hAnsi="宋体" w:eastAsia="宋体" w:cs="宋体"/>
          <w:b/>
          <w:color w:val="auto"/>
          <w:sz w:val="24"/>
          <w:szCs w:val="24"/>
          <w:highlight w:val="none"/>
        </w:rPr>
      </w:pPr>
    </w:p>
    <w:bookmarkEnd w:id="16"/>
    <w:bookmarkEnd w:id="17"/>
    <w:bookmarkEnd w:id="18"/>
    <w:p w14:paraId="51A7CA0B">
      <w:pPr>
        <w:rPr>
          <w:rFonts w:hint="eastAsia" w:ascii="宋体" w:hAnsi="宋体" w:eastAsia="宋体" w:cs="宋体"/>
          <w:color w:val="auto"/>
          <w:sz w:val="40"/>
          <w:highlight w:val="none"/>
        </w:rPr>
      </w:pPr>
      <w:r>
        <w:rPr>
          <w:rFonts w:hint="eastAsia" w:ascii="宋体" w:hAnsi="宋体" w:eastAsia="宋体" w:cs="宋体"/>
          <w:color w:val="auto"/>
          <w:sz w:val="40"/>
          <w:highlight w:val="none"/>
        </w:rPr>
        <w:br w:type="page"/>
      </w:r>
    </w:p>
    <w:p w14:paraId="2A23038E">
      <w:pPr>
        <w:pStyle w:val="2"/>
        <w:spacing w:line="440" w:lineRule="exact"/>
        <w:jc w:val="center"/>
        <w:rPr>
          <w:rFonts w:hint="eastAsia" w:ascii="宋体" w:hAnsi="宋体" w:eastAsia="宋体" w:cs="宋体"/>
          <w:color w:val="auto"/>
          <w:sz w:val="40"/>
          <w:highlight w:val="none"/>
        </w:rPr>
      </w:pPr>
      <w:bookmarkStart w:id="47" w:name="_Toc12965"/>
      <w:r>
        <w:rPr>
          <w:rFonts w:hint="eastAsia" w:ascii="宋体" w:hAnsi="宋体" w:eastAsia="宋体" w:cs="宋体"/>
          <w:color w:val="auto"/>
          <w:sz w:val="40"/>
          <w:highlight w:val="none"/>
        </w:rPr>
        <w:t>第二章  磋商须知</w:t>
      </w:r>
      <w:bookmarkEnd w:id="7"/>
      <w:bookmarkEnd w:id="47"/>
    </w:p>
    <w:p w14:paraId="0C152664">
      <w:pPr>
        <w:spacing w:line="440" w:lineRule="exact"/>
        <w:jc w:val="center"/>
        <w:outlineLvl w:val="9"/>
        <w:rPr>
          <w:rFonts w:hint="eastAsia" w:ascii="宋体" w:hAnsi="宋体" w:eastAsia="宋体" w:cs="宋体"/>
          <w:b/>
          <w:color w:val="auto"/>
          <w:sz w:val="28"/>
          <w:highlight w:val="none"/>
        </w:rPr>
      </w:pPr>
      <w:bookmarkStart w:id="48" w:name="_Toc517963430"/>
      <w:r>
        <w:rPr>
          <w:rFonts w:hint="eastAsia" w:ascii="宋体" w:hAnsi="宋体" w:eastAsia="宋体" w:cs="宋体"/>
          <w:b/>
          <w:color w:val="auto"/>
          <w:sz w:val="28"/>
          <w:highlight w:val="none"/>
        </w:rPr>
        <w:t>磋商申请人</w:t>
      </w:r>
      <w:r>
        <w:rPr>
          <w:rFonts w:hint="eastAsia" w:ascii="宋体" w:hAnsi="宋体" w:eastAsia="宋体" w:cs="宋体"/>
          <w:b/>
          <w:color w:val="auto"/>
          <w:sz w:val="28"/>
          <w:highlight w:val="none"/>
          <w:lang w:bidi="zh-CN"/>
        </w:rPr>
        <w:t>须知</w:t>
      </w:r>
      <w:r>
        <w:rPr>
          <w:rFonts w:hint="eastAsia" w:ascii="宋体" w:hAnsi="宋体" w:eastAsia="宋体" w:cs="宋体"/>
          <w:b/>
          <w:color w:val="auto"/>
          <w:sz w:val="28"/>
          <w:highlight w:val="none"/>
        </w:rPr>
        <w:t>前</w:t>
      </w:r>
      <w:bookmarkEnd w:id="48"/>
      <w:r>
        <w:rPr>
          <w:rFonts w:hint="eastAsia" w:ascii="宋体" w:hAnsi="宋体" w:eastAsia="宋体" w:cs="宋体"/>
          <w:b/>
          <w:color w:val="auto"/>
          <w:sz w:val="28"/>
          <w:highlight w:val="none"/>
        </w:rPr>
        <w:t>附表</w:t>
      </w:r>
    </w:p>
    <w:tbl>
      <w:tblPr>
        <w:tblStyle w:val="113"/>
        <w:tblW w:w="107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2361"/>
        <w:gridCol w:w="7587"/>
      </w:tblGrid>
      <w:tr w14:paraId="3FF55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11" w:type="dxa"/>
            <w:vAlign w:val="center"/>
          </w:tcPr>
          <w:p w14:paraId="384B3246">
            <w:pPr>
              <w:spacing w:after="0" w:line="38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条款号</w:t>
            </w:r>
          </w:p>
        </w:tc>
        <w:tc>
          <w:tcPr>
            <w:tcW w:w="2361" w:type="dxa"/>
            <w:vAlign w:val="center"/>
          </w:tcPr>
          <w:p w14:paraId="076074C6">
            <w:pPr>
              <w:spacing w:after="0" w:line="38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条 款 名 称</w:t>
            </w:r>
          </w:p>
        </w:tc>
        <w:tc>
          <w:tcPr>
            <w:tcW w:w="7587" w:type="dxa"/>
          </w:tcPr>
          <w:p w14:paraId="6F3A96B3">
            <w:pPr>
              <w:spacing w:after="0" w:line="38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编 列 内 容</w:t>
            </w:r>
          </w:p>
        </w:tc>
      </w:tr>
      <w:tr w14:paraId="614CA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jc w:val="center"/>
        </w:trPr>
        <w:tc>
          <w:tcPr>
            <w:tcW w:w="811" w:type="dxa"/>
            <w:vAlign w:val="center"/>
          </w:tcPr>
          <w:p w14:paraId="4BBE5009">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1.1.2</w:t>
            </w:r>
          </w:p>
        </w:tc>
        <w:tc>
          <w:tcPr>
            <w:tcW w:w="2361" w:type="dxa"/>
            <w:vAlign w:val="center"/>
          </w:tcPr>
          <w:p w14:paraId="09CD3D62">
            <w:pPr>
              <w:spacing w:after="0"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采购人</w:t>
            </w:r>
          </w:p>
        </w:tc>
        <w:tc>
          <w:tcPr>
            <w:tcW w:w="7587" w:type="dxa"/>
            <w:vAlign w:val="center"/>
          </w:tcPr>
          <w:p w14:paraId="7B29D2A6">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采购人：红河职业技术学院</w:t>
            </w:r>
          </w:p>
          <w:p w14:paraId="25C9F4A9">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地  址：红河州蒙自市红河大道南侧、世家寨西南侧</w:t>
            </w:r>
          </w:p>
          <w:p w14:paraId="38B163BD">
            <w:pPr>
              <w:spacing w:after="0" w:line="36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联系人：李老师</w:t>
            </w:r>
          </w:p>
          <w:p w14:paraId="09F7E9D4">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联系方式：0873-3060326</w:t>
            </w:r>
          </w:p>
        </w:tc>
      </w:tr>
      <w:tr w14:paraId="4346C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8" w:hRule="atLeast"/>
          <w:jc w:val="center"/>
        </w:trPr>
        <w:tc>
          <w:tcPr>
            <w:tcW w:w="811" w:type="dxa"/>
            <w:vAlign w:val="center"/>
          </w:tcPr>
          <w:p w14:paraId="33A8BECB">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1.1.3</w:t>
            </w:r>
          </w:p>
        </w:tc>
        <w:tc>
          <w:tcPr>
            <w:tcW w:w="2361" w:type="dxa"/>
            <w:vAlign w:val="center"/>
          </w:tcPr>
          <w:p w14:paraId="403333D3">
            <w:pPr>
              <w:spacing w:after="0"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采购代理机构</w:t>
            </w:r>
          </w:p>
        </w:tc>
        <w:tc>
          <w:tcPr>
            <w:tcW w:w="7587" w:type="dxa"/>
          </w:tcPr>
          <w:p w14:paraId="4B72C87D">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采购代理机构：红河州顺胜项目管理有限公司 </w:t>
            </w:r>
          </w:p>
          <w:p w14:paraId="3D899BD1">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地  址：蒙自市吉庆路48号</w:t>
            </w:r>
          </w:p>
          <w:p w14:paraId="012A2D2B">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联系人：李甜甜、孙磊</w:t>
            </w:r>
          </w:p>
          <w:p w14:paraId="460DCC9B">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联系方式：0873-3660355</w:t>
            </w:r>
          </w:p>
        </w:tc>
      </w:tr>
      <w:tr w14:paraId="3D9C7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11" w:type="dxa"/>
            <w:vAlign w:val="center"/>
          </w:tcPr>
          <w:p w14:paraId="4EDA3EAE">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1.1.4</w:t>
            </w:r>
          </w:p>
        </w:tc>
        <w:tc>
          <w:tcPr>
            <w:tcW w:w="2361" w:type="dxa"/>
            <w:vAlign w:val="center"/>
          </w:tcPr>
          <w:p w14:paraId="2233F960">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587" w:type="dxa"/>
            <w:vAlign w:val="center"/>
          </w:tcPr>
          <w:p w14:paraId="5998A3A0">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红河职业技术学院数智校园建设项目—工程类</w:t>
            </w:r>
          </w:p>
        </w:tc>
      </w:tr>
      <w:tr w14:paraId="12299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9" w:hRule="atLeast"/>
          <w:jc w:val="center"/>
        </w:trPr>
        <w:tc>
          <w:tcPr>
            <w:tcW w:w="811" w:type="dxa"/>
            <w:vAlign w:val="center"/>
          </w:tcPr>
          <w:p w14:paraId="07FE0961">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1.1.5</w:t>
            </w:r>
          </w:p>
        </w:tc>
        <w:tc>
          <w:tcPr>
            <w:tcW w:w="2361" w:type="dxa"/>
            <w:vAlign w:val="center"/>
          </w:tcPr>
          <w:p w14:paraId="69D84C6A">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项目地点</w:t>
            </w:r>
          </w:p>
        </w:tc>
        <w:tc>
          <w:tcPr>
            <w:tcW w:w="7587" w:type="dxa"/>
            <w:vAlign w:val="center"/>
          </w:tcPr>
          <w:p w14:paraId="3D65C4AC">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具体地点由红河职业技术学院指定</w:t>
            </w:r>
          </w:p>
        </w:tc>
      </w:tr>
      <w:tr w14:paraId="6B5421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jc w:val="center"/>
        </w:trPr>
        <w:tc>
          <w:tcPr>
            <w:tcW w:w="811" w:type="dxa"/>
            <w:vAlign w:val="center"/>
          </w:tcPr>
          <w:p w14:paraId="11D91D3C">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w:t>
            </w:r>
          </w:p>
        </w:tc>
        <w:tc>
          <w:tcPr>
            <w:tcW w:w="2361" w:type="dxa"/>
            <w:vAlign w:val="center"/>
          </w:tcPr>
          <w:p w14:paraId="5078E445">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7587" w:type="dxa"/>
            <w:vAlign w:val="center"/>
          </w:tcPr>
          <w:p w14:paraId="6011AC81">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财政资金</w:t>
            </w:r>
          </w:p>
        </w:tc>
      </w:tr>
      <w:tr w14:paraId="5E29D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811" w:type="dxa"/>
            <w:vAlign w:val="center"/>
          </w:tcPr>
          <w:p w14:paraId="700A5332">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w:t>
            </w:r>
          </w:p>
        </w:tc>
        <w:tc>
          <w:tcPr>
            <w:tcW w:w="2361" w:type="dxa"/>
            <w:vAlign w:val="center"/>
          </w:tcPr>
          <w:p w14:paraId="0AC6A288">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7587" w:type="dxa"/>
            <w:vAlign w:val="center"/>
          </w:tcPr>
          <w:p w14:paraId="45F767F0">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090FE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jc w:val="center"/>
        </w:trPr>
        <w:tc>
          <w:tcPr>
            <w:tcW w:w="811" w:type="dxa"/>
            <w:vAlign w:val="center"/>
          </w:tcPr>
          <w:p w14:paraId="4C2D7706">
            <w:pPr>
              <w:spacing w:after="0" w:line="380" w:lineRule="exact"/>
              <w:jc w:val="cente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1.2.3</w:t>
            </w:r>
          </w:p>
        </w:tc>
        <w:tc>
          <w:tcPr>
            <w:tcW w:w="2361" w:type="dxa"/>
            <w:vAlign w:val="center"/>
          </w:tcPr>
          <w:p w14:paraId="4FFCE122">
            <w:pPr>
              <w:spacing w:after="0" w:line="360" w:lineRule="exact"/>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预算资金及最高限价</w:t>
            </w:r>
          </w:p>
        </w:tc>
        <w:tc>
          <w:tcPr>
            <w:tcW w:w="7587" w:type="dxa"/>
            <w:vAlign w:val="center"/>
          </w:tcPr>
          <w:p w14:paraId="2DB261E9">
            <w:pPr>
              <w:spacing w:after="0" w:line="360" w:lineRule="exact"/>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预算资金：817600.00元</w:t>
            </w:r>
          </w:p>
          <w:p w14:paraId="07B95AF4">
            <w:pPr>
              <w:spacing w:after="0" w:line="360" w:lineRule="exact"/>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最高限价：817600.00元（具体以招标控制价为准）</w:t>
            </w:r>
          </w:p>
        </w:tc>
      </w:tr>
      <w:tr w14:paraId="457C4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 w:hRule="atLeast"/>
          <w:jc w:val="center"/>
        </w:trPr>
        <w:tc>
          <w:tcPr>
            <w:tcW w:w="811" w:type="dxa"/>
            <w:vAlign w:val="center"/>
          </w:tcPr>
          <w:p w14:paraId="4C7988D1">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w:t>
            </w:r>
          </w:p>
        </w:tc>
        <w:tc>
          <w:tcPr>
            <w:tcW w:w="2361" w:type="dxa"/>
            <w:vAlign w:val="center"/>
          </w:tcPr>
          <w:p w14:paraId="2CB638E2">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计划工期</w:t>
            </w:r>
          </w:p>
        </w:tc>
        <w:tc>
          <w:tcPr>
            <w:tcW w:w="7587" w:type="dxa"/>
            <w:vAlign w:val="center"/>
          </w:tcPr>
          <w:p w14:paraId="6E7D538F">
            <w:pPr>
              <w:spacing w:after="0" w:line="360" w:lineRule="exact"/>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合同签订后，60天内建设完成</w:t>
            </w:r>
          </w:p>
        </w:tc>
      </w:tr>
      <w:tr w14:paraId="38DFD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811" w:type="dxa"/>
            <w:vAlign w:val="center"/>
          </w:tcPr>
          <w:p w14:paraId="0349318B">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1.3.2</w:t>
            </w:r>
          </w:p>
        </w:tc>
        <w:tc>
          <w:tcPr>
            <w:tcW w:w="2361" w:type="dxa"/>
            <w:vAlign w:val="center"/>
          </w:tcPr>
          <w:p w14:paraId="3FFEF3C9">
            <w:pPr>
              <w:spacing w:after="0"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建设内容</w:t>
            </w:r>
          </w:p>
          <w:p w14:paraId="1FE0BE4E">
            <w:pPr>
              <w:spacing w:after="0" w:line="3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（采购需求）</w:t>
            </w:r>
          </w:p>
        </w:tc>
        <w:tc>
          <w:tcPr>
            <w:tcW w:w="7587" w:type="dxa"/>
            <w:vAlign w:val="center"/>
          </w:tcPr>
          <w:p w14:paraId="00ECE776">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建设280间标准教室，实施内容包含布线施工，PVC管线、排插、网线、电源线等主辅材，机柜及设备安装调试等。（具体内容以采购清单、设计图纸为准）</w:t>
            </w:r>
          </w:p>
        </w:tc>
      </w:tr>
      <w:tr w14:paraId="13C43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811" w:type="dxa"/>
            <w:vAlign w:val="center"/>
          </w:tcPr>
          <w:p w14:paraId="153BF873">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1.4.1</w:t>
            </w:r>
          </w:p>
        </w:tc>
        <w:tc>
          <w:tcPr>
            <w:tcW w:w="2361" w:type="dxa"/>
            <w:vAlign w:val="center"/>
          </w:tcPr>
          <w:p w14:paraId="41D77095">
            <w:pPr>
              <w:spacing w:after="0" w:line="32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磋商申请人资格要求</w:t>
            </w:r>
          </w:p>
        </w:tc>
        <w:tc>
          <w:tcPr>
            <w:tcW w:w="7587" w:type="dxa"/>
          </w:tcPr>
          <w:p w14:paraId="4CF52391">
            <w:pPr>
              <w:spacing w:after="0" w:line="360" w:lineRule="exact"/>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1.资格条件</w:t>
            </w:r>
          </w:p>
          <w:p w14:paraId="29BCAF55">
            <w:pPr>
              <w:spacing w:after="0" w:line="360" w:lineRule="exac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1.1满足《中华人民共和国政府采购法》第二十二条规定；</w:t>
            </w:r>
          </w:p>
          <w:p w14:paraId="5A5944D5">
            <w:pPr>
              <w:pStyle w:val="24"/>
              <w:bidi w:val="0"/>
              <w:rPr>
                <w:rFonts w:hint="eastAsia"/>
                <w:highlight w:val="none"/>
                <w:lang w:val="en-US" w:eastAsia="zh-CN"/>
              </w:rPr>
            </w:pPr>
            <w:r>
              <w:rPr>
                <w:rFonts w:hint="eastAsia"/>
                <w:highlight w:val="none"/>
                <w:lang w:val="en-US" w:eastAsia="zh-CN"/>
              </w:rPr>
              <w:t>（1）具有独立承担民事责任的能力：有效的企业法人营业执照或其他组织证明文件，具备有效的营业执照或事业单位法人证书或其他类似的法定证明文件。</w:t>
            </w:r>
          </w:p>
          <w:p w14:paraId="6879EB9F">
            <w:pPr>
              <w:pStyle w:val="24"/>
              <w:bidi w:val="0"/>
              <w:rPr>
                <w:rFonts w:hint="eastAsia"/>
                <w:highlight w:val="none"/>
                <w:lang w:val="en-US" w:eastAsia="zh-CN"/>
              </w:rPr>
            </w:pPr>
            <w:r>
              <w:rPr>
                <w:rFonts w:hint="eastAsia"/>
                <w:highlight w:val="none"/>
                <w:lang w:val="en-US" w:eastAsia="zh-CN"/>
              </w:rPr>
              <w:t>（2）具有良好的商业信誉和健全的财务会计制度：提供2024年至今任意一年经会计师事务所审计机构审计的审计报告及财务报表（包括资产负债表、利润表、现金流量表及财务情况说明书（附注））或投标文件递交截止时间前3个月内由银行开具的资信证明文件（或资金证明文件），成立不满1年的供应商提供自成立以来公司内部完整的财务报表（包括资产负债表、利润表、现金流量表）或投标文件递交截止时间前3个月内由银行开具的资信证明文件（或资金证明文件）。</w:t>
            </w:r>
          </w:p>
          <w:p w14:paraId="166BD5AD">
            <w:pPr>
              <w:pStyle w:val="24"/>
              <w:bidi w:val="0"/>
              <w:rPr>
                <w:rFonts w:hint="eastAsia"/>
                <w:highlight w:val="none"/>
                <w:lang w:val="en-US" w:eastAsia="zh-CN"/>
              </w:rPr>
            </w:pPr>
            <w:r>
              <w:rPr>
                <w:rFonts w:hint="eastAsia"/>
                <w:highlight w:val="none"/>
                <w:lang w:val="en-US" w:eastAsia="zh-CN"/>
              </w:rPr>
              <w:t>（3）有依法缴纳税收和社会保障资金的良好记录：①提供在2025年1月至本项目响应文件提交截止时间前任意3个月税务局税收通用缴款书或银行电子缴税（费）凭证或税务局出具纳税情况的相关证明，依法免税的，应提供依法免税的相关证明文件（或提供国家税务局开具的“无欠税证明”）。成立不满3个月的新企业提供情况说明，此项不作废标条件；②提供在2025年1月至本项目响应文件提交截止时间前任意3个月社会保险费缴款书或银行电子缴税（费）凭证或社保管理部门出具的有效的缴款证明，依法免缴的，应提供依法免缴的相关证明文件。成立不满3个月的新企业提供情况说明，此项不作废标条件。</w:t>
            </w:r>
          </w:p>
          <w:p w14:paraId="7A0C2E04">
            <w:pPr>
              <w:pStyle w:val="24"/>
              <w:bidi w:val="0"/>
              <w:rPr>
                <w:rFonts w:hint="eastAsia"/>
                <w:highlight w:val="none"/>
                <w:lang w:val="en-US" w:eastAsia="zh-CN"/>
              </w:rPr>
            </w:pPr>
            <w:r>
              <w:rPr>
                <w:rFonts w:hint="eastAsia"/>
                <w:highlight w:val="none"/>
                <w:lang w:val="en-US" w:eastAsia="zh-CN"/>
              </w:rPr>
              <w:t>（4）具有履行合同所必需的设备和专业技术能力：提供具有履行合同所必需的设备和专业技术能力相应的证明材料（书面声明或承诺书）。</w:t>
            </w:r>
          </w:p>
          <w:p w14:paraId="38ED3687">
            <w:pPr>
              <w:pStyle w:val="24"/>
              <w:bidi w:val="0"/>
              <w:rPr>
                <w:rFonts w:hint="eastAsia"/>
                <w:highlight w:val="none"/>
                <w:lang w:val="en-US" w:eastAsia="zh-CN"/>
              </w:rPr>
            </w:pPr>
            <w:r>
              <w:rPr>
                <w:rFonts w:hint="eastAsia"/>
                <w:highlight w:val="none"/>
                <w:lang w:val="en-US" w:eastAsia="zh-CN"/>
              </w:rPr>
              <w:t>（5）参加政府采购活动前三年内，在经营活动中没有重大违法记录：提供书面声明（重大违法记录，是指磋商人因违法经营受到刑事处罚或者责令停产停业、吊销许可证或者执照、较大数额罚款等行政处罚）。</w:t>
            </w:r>
          </w:p>
          <w:p w14:paraId="05F55B48">
            <w:pPr>
              <w:pStyle w:val="24"/>
              <w:bidi w:val="0"/>
              <w:rPr>
                <w:rFonts w:hint="eastAsia"/>
                <w:highlight w:val="none"/>
                <w:lang w:val="en-US" w:eastAsia="zh-CN"/>
              </w:rPr>
            </w:pPr>
            <w:r>
              <w:rPr>
                <w:rFonts w:hint="eastAsia"/>
                <w:highlight w:val="none"/>
                <w:lang w:val="en-US" w:eastAsia="zh-CN"/>
              </w:rPr>
              <w:t>（6）法律、行政法规规定的其他条件。</w:t>
            </w:r>
          </w:p>
          <w:p w14:paraId="4B71C69F">
            <w:pPr>
              <w:pStyle w:val="24"/>
              <w:bidi w:val="0"/>
              <w:rPr>
                <w:rFonts w:hint="eastAsia"/>
                <w:highlight w:val="none"/>
                <w:lang w:val="en-US" w:eastAsia="zh-CN"/>
              </w:rPr>
            </w:pPr>
            <w:r>
              <w:rPr>
                <w:rFonts w:hint="eastAsia"/>
                <w:highlight w:val="none"/>
                <w:lang w:val="en-US" w:eastAsia="zh-CN"/>
              </w:rPr>
              <w:t>①信誉良好，当前未因不良行为记录被行政主管部门暂停或取消投标资格或未被列入“信用中国”网站（http://www.creditchina.gov.cn/）失信被执行人；经信用中国（www.creditchina.gov.cn）、中国政府采购网（www.ccgp.gov.cn）等渠道查询后，列入失信被执行人、重大税收违法失信名单、政府采购严重违法失信行为记录名单的，取消投标资格。（由采购人或采购代理机构在开标当天进行查询）。</w:t>
            </w:r>
          </w:p>
          <w:p w14:paraId="1E919D60">
            <w:pPr>
              <w:pStyle w:val="24"/>
              <w:bidi w:val="0"/>
              <w:rPr>
                <w:rFonts w:hint="eastAsia"/>
                <w:highlight w:val="none"/>
                <w:lang w:val="en-US" w:eastAsia="zh-CN"/>
              </w:rPr>
            </w:pPr>
            <w:r>
              <w:rPr>
                <w:rFonts w:hint="eastAsia"/>
                <w:highlight w:val="none"/>
                <w:lang w:val="en-US" w:eastAsia="zh-CN"/>
              </w:rPr>
              <w:t>②单位负责人为同一人或者存在直接控股、管理关系的不同供应商，不得参加同一合同项下的政府采购活动。</w:t>
            </w:r>
          </w:p>
          <w:p w14:paraId="621A4BF8">
            <w:pPr>
              <w:pStyle w:val="24"/>
              <w:bidi w:val="0"/>
              <w:rPr>
                <w:rFonts w:hint="eastAsia"/>
                <w:highlight w:val="none"/>
                <w:lang w:eastAsia="zh-CN"/>
              </w:rPr>
            </w:pPr>
            <w:r>
              <w:rPr>
                <w:rFonts w:hint="eastAsia"/>
                <w:highlight w:val="none"/>
                <w:lang w:val="en-US" w:eastAsia="zh-CN"/>
              </w:rPr>
              <w:t>1.2</w:t>
            </w:r>
            <w:r>
              <w:rPr>
                <w:rFonts w:hint="eastAsia"/>
                <w:highlight w:val="none"/>
                <w:lang w:eastAsia="zh-CN"/>
              </w:rPr>
              <w:t>落实政府采购政策需满足的资格要求：本项目非专门面向中小微企业采购，采购标对应的中小企业划型标准所属行业：建筑业。《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扶持中小企业政策：针对小微企业报价给予3%的扣除，用扣除后的价格参加评审。监狱企业、残疾人福利性单位提供的产品视同小型、微型企业。</w:t>
            </w:r>
          </w:p>
          <w:p w14:paraId="5E6F6881">
            <w:pPr>
              <w:pStyle w:val="24"/>
              <w:bidi w:val="0"/>
              <w:rPr>
                <w:rFonts w:hint="eastAsia"/>
                <w:highlight w:val="none"/>
              </w:rPr>
            </w:pPr>
            <w:r>
              <w:rPr>
                <w:rFonts w:hint="eastAsia"/>
                <w:highlight w:val="none"/>
                <w:lang w:val="en-US" w:eastAsia="zh-CN"/>
              </w:rPr>
              <w:t>1.3</w:t>
            </w:r>
            <w:r>
              <w:rPr>
                <w:rFonts w:hint="eastAsia"/>
                <w:highlight w:val="none"/>
              </w:rPr>
              <w:t>本项目的特定资格要求：</w:t>
            </w:r>
          </w:p>
          <w:p w14:paraId="63672E96">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①须具备建设行政主管部门颁发的建筑工程施工总承包叁级（含叁级）及以上资质并在人员、设备、资金等方面具有相应的施工能力（具有设备安装资质或承诺具有设备安装的能力），具有有效的安全生产许可证； </w:t>
            </w:r>
          </w:p>
          <w:p w14:paraId="6FADB373">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②拟任本项目负责人须具有建设行政主管部门核发的建筑工程专业贰级及以上注册建造师证和有效的安全生产考核合格证书（B证年检合格）；拟派的项目负责人的注册建造师证书及安全生产考核证注册单位需与磋商申请人名称一致。。</w:t>
            </w:r>
          </w:p>
          <w:p w14:paraId="4E7677C9">
            <w:pPr>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注：只有完全满足以上条件的供应商，才可参与磋商。供应商为满足以上条件虚报材料的，一经查实，该响应文件将作废标处理。</w:t>
            </w:r>
          </w:p>
        </w:tc>
      </w:tr>
      <w:tr w14:paraId="0E348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3AA83312">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1.4.2</w:t>
            </w:r>
          </w:p>
        </w:tc>
        <w:tc>
          <w:tcPr>
            <w:tcW w:w="2361" w:type="dxa"/>
            <w:vAlign w:val="center"/>
          </w:tcPr>
          <w:p w14:paraId="22FC3781">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是否接受联合体磋商</w:t>
            </w:r>
          </w:p>
        </w:tc>
        <w:tc>
          <w:tcPr>
            <w:tcW w:w="7587" w:type="dxa"/>
            <w:vAlign w:val="center"/>
          </w:tcPr>
          <w:p w14:paraId="1F24CBB2">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不接受</w:t>
            </w:r>
          </w:p>
          <w:p w14:paraId="1B97A5CB">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本项目接受联合体磋商</w:t>
            </w:r>
          </w:p>
        </w:tc>
      </w:tr>
      <w:tr w14:paraId="1AECD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811" w:type="dxa"/>
            <w:tcBorders>
              <w:top w:val="single" w:color="auto" w:sz="4" w:space="0"/>
            </w:tcBorders>
            <w:vAlign w:val="center"/>
          </w:tcPr>
          <w:p w14:paraId="49A4426F">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1.9.1</w:t>
            </w:r>
          </w:p>
        </w:tc>
        <w:tc>
          <w:tcPr>
            <w:tcW w:w="2361" w:type="dxa"/>
            <w:tcBorders>
              <w:top w:val="single" w:color="auto" w:sz="4" w:space="0"/>
            </w:tcBorders>
            <w:vAlign w:val="center"/>
          </w:tcPr>
          <w:p w14:paraId="10C008DD">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7587" w:type="dxa"/>
            <w:tcBorders>
              <w:top w:val="single" w:color="auto" w:sz="4" w:space="0"/>
            </w:tcBorders>
          </w:tcPr>
          <w:p w14:paraId="4057B22A">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不统一组织，自行踏勘</w:t>
            </w:r>
          </w:p>
          <w:p w14:paraId="2D95D448">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组织，组织集体踏勘。</w:t>
            </w:r>
          </w:p>
        </w:tc>
      </w:tr>
      <w:tr w14:paraId="782677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3774CF5D">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1.10.1</w:t>
            </w:r>
          </w:p>
        </w:tc>
        <w:tc>
          <w:tcPr>
            <w:tcW w:w="2361" w:type="dxa"/>
            <w:vAlign w:val="center"/>
          </w:tcPr>
          <w:p w14:paraId="5BC8A9A2">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磋商预备会</w:t>
            </w:r>
          </w:p>
        </w:tc>
        <w:tc>
          <w:tcPr>
            <w:tcW w:w="7587" w:type="dxa"/>
          </w:tcPr>
          <w:p w14:paraId="4FA795CC">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不召开</w:t>
            </w:r>
          </w:p>
          <w:p w14:paraId="3579B274">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 xml:space="preserve">召开,召开时间：        召开地点：        </w:t>
            </w:r>
          </w:p>
        </w:tc>
      </w:tr>
      <w:tr w14:paraId="08347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00255BDA">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2.2</w:t>
            </w:r>
          </w:p>
        </w:tc>
        <w:tc>
          <w:tcPr>
            <w:tcW w:w="2361" w:type="dxa"/>
            <w:vAlign w:val="center"/>
          </w:tcPr>
          <w:p w14:paraId="58D7FEF9">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磋商申请人要求澄清     采购文件的截止时间</w:t>
            </w:r>
          </w:p>
        </w:tc>
        <w:tc>
          <w:tcPr>
            <w:tcW w:w="7587" w:type="dxa"/>
            <w:vAlign w:val="center"/>
          </w:tcPr>
          <w:p w14:paraId="637B7925">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磋商截止时间 5天前</w:t>
            </w:r>
          </w:p>
        </w:tc>
      </w:tr>
      <w:tr w14:paraId="3FE13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 w:hRule="atLeast"/>
          <w:jc w:val="center"/>
        </w:trPr>
        <w:tc>
          <w:tcPr>
            <w:tcW w:w="811" w:type="dxa"/>
            <w:vAlign w:val="center"/>
          </w:tcPr>
          <w:p w14:paraId="21D83A5B">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2.2.1</w:t>
            </w:r>
          </w:p>
        </w:tc>
        <w:tc>
          <w:tcPr>
            <w:tcW w:w="2361" w:type="dxa"/>
            <w:vAlign w:val="center"/>
          </w:tcPr>
          <w:p w14:paraId="75D7E391">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磋商截止时间</w:t>
            </w:r>
          </w:p>
        </w:tc>
        <w:tc>
          <w:tcPr>
            <w:tcW w:w="7587" w:type="dxa"/>
            <w:vAlign w:val="center"/>
          </w:tcPr>
          <w:p w14:paraId="0D63378A">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2026年10月09日14时30分（北京时间）</w:t>
            </w:r>
          </w:p>
        </w:tc>
      </w:tr>
      <w:tr w14:paraId="349C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811" w:type="dxa"/>
            <w:vAlign w:val="center"/>
          </w:tcPr>
          <w:p w14:paraId="4C493314">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w:t>
            </w:r>
          </w:p>
        </w:tc>
        <w:tc>
          <w:tcPr>
            <w:tcW w:w="2361" w:type="dxa"/>
            <w:vAlign w:val="center"/>
          </w:tcPr>
          <w:p w14:paraId="0C3B3EE4">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磋商申请人确认收到     </w:t>
            </w:r>
            <w:r>
              <w:rPr>
                <w:rFonts w:hint="eastAsia" w:ascii="宋体" w:hAnsi="宋体" w:eastAsia="宋体" w:cs="宋体"/>
                <w:color w:val="auto"/>
                <w:sz w:val="21"/>
                <w:szCs w:val="21"/>
                <w:highlight w:val="none"/>
                <w:lang w:eastAsia="zh-CN"/>
              </w:rPr>
              <w:t>竞争性磋商</w:t>
            </w:r>
            <w:r>
              <w:rPr>
                <w:rFonts w:hint="eastAsia" w:ascii="宋体" w:hAnsi="宋体" w:eastAsia="宋体" w:cs="宋体"/>
                <w:color w:val="auto"/>
                <w:sz w:val="21"/>
                <w:szCs w:val="21"/>
                <w:highlight w:val="none"/>
              </w:rPr>
              <w:t>文件澄清的时间</w:t>
            </w:r>
            <w:r>
              <w:rPr>
                <w:rFonts w:hint="eastAsia" w:ascii="宋体" w:hAnsi="宋体" w:eastAsia="宋体" w:cs="宋体"/>
                <w:color w:val="auto"/>
                <w:sz w:val="21"/>
                <w:szCs w:val="21"/>
                <w:highlight w:val="none"/>
                <w:lang w:val="en-US" w:eastAsia="zh-CN"/>
              </w:rPr>
              <w:t>和方式</w:t>
            </w:r>
          </w:p>
        </w:tc>
        <w:tc>
          <w:tcPr>
            <w:tcW w:w="7587" w:type="dxa"/>
            <w:vAlign w:val="center"/>
          </w:tcPr>
          <w:p w14:paraId="0F3A57DF">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时间：</w:t>
            </w:r>
            <w:r>
              <w:rPr>
                <w:rFonts w:hint="eastAsia" w:ascii="宋体" w:hAnsi="宋体" w:eastAsia="宋体" w:cs="宋体"/>
                <w:color w:val="auto"/>
                <w:sz w:val="21"/>
                <w:szCs w:val="21"/>
                <w:highlight w:val="none"/>
              </w:rPr>
              <w:t>发出后 1 个工作日内</w:t>
            </w:r>
          </w:p>
          <w:p w14:paraId="6DFB6101">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自行登录“政府采购云平台”（网址：https://www.zcygov.cn/)获取澄清，无须回复确认已收到该澄清。</w:t>
            </w:r>
          </w:p>
        </w:tc>
      </w:tr>
      <w:tr w14:paraId="63989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jc w:val="center"/>
        </w:trPr>
        <w:tc>
          <w:tcPr>
            <w:tcW w:w="811" w:type="dxa"/>
            <w:vAlign w:val="center"/>
          </w:tcPr>
          <w:p w14:paraId="0D4AFE8F">
            <w:pPr>
              <w:spacing w:after="0" w:line="380" w:lineRule="exact"/>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2.3.</w:t>
            </w:r>
            <w:r>
              <w:rPr>
                <w:rFonts w:hint="eastAsia" w:ascii="宋体" w:hAnsi="宋体" w:eastAsia="宋体" w:cs="宋体"/>
                <w:color w:val="auto"/>
                <w:szCs w:val="24"/>
                <w:highlight w:val="none"/>
                <w:lang w:val="en-US" w:eastAsia="zh-CN"/>
              </w:rPr>
              <w:t>3</w:t>
            </w:r>
          </w:p>
        </w:tc>
        <w:tc>
          <w:tcPr>
            <w:tcW w:w="2361" w:type="dxa"/>
            <w:vAlign w:val="center"/>
          </w:tcPr>
          <w:p w14:paraId="303E521B">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构成响应文件的其他材料</w:t>
            </w:r>
          </w:p>
        </w:tc>
        <w:tc>
          <w:tcPr>
            <w:tcW w:w="7587" w:type="dxa"/>
            <w:vAlign w:val="center"/>
          </w:tcPr>
          <w:p w14:paraId="67BD7EBA">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按采购文件格式中的要求提供</w:t>
            </w:r>
          </w:p>
        </w:tc>
      </w:tr>
      <w:tr w14:paraId="7A50B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811" w:type="dxa"/>
            <w:vAlign w:val="center"/>
          </w:tcPr>
          <w:p w14:paraId="11451821">
            <w:pPr>
              <w:spacing w:after="0" w:line="380" w:lineRule="exact"/>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3.3</w:t>
            </w:r>
          </w:p>
        </w:tc>
        <w:tc>
          <w:tcPr>
            <w:tcW w:w="2361" w:type="dxa"/>
            <w:vAlign w:val="center"/>
          </w:tcPr>
          <w:p w14:paraId="306F9E5E">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磋商有效期</w:t>
            </w:r>
          </w:p>
        </w:tc>
        <w:tc>
          <w:tcPr>
            <w:tcW w:w="7587" w:type="dxa"/>
            <w:vAlign w:val="center"/>
          </w:tcPr>
          <w:p w14:paraId="0AE9998B">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磋商截止之日起90日历天</w:t>
            </w:r>
          </w:p>
        </w:tc>
      </w:tr>
      <w:tr w14:paraId="0E4F0C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412AF621">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3.4</w:t>
            </w:r>
          </w:p>
        </w:tc>
        <w:tc>
          <w:tcPr>
            <w:tcW w:w="2361" w:type="dxa"/>
            <w:vAlign w:val="center"/>
          </w:tcPr>
          <w:p w14:paraId="6F45155A">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7587" w:type="dxa"/>
          </w:tcPr>
          <w:p w14:paraId="1FED5EA2">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□不要求递交磋商保证金</w:t>
            </w:r>
          </w:p>
          <w:p w14:paraId="2E80B899">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☑要求递交磋商保证金</w:t>
            </w:r>
          </w:p>
          <w:p w14:paraId="67BB7CD7">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一、保证金的提交方式：</w:t>
            </w:r>
            <w:r>
              <w:rPr>
                <w:rFonts w:hint="eastAsia" w:ascii="宋体" w:hAnsi="宋体" w:eastAsia="宋体" w:cs="Times New Roman"/>
                <w:color w:val="auto"/>
                <w:sz w:val="21"/>
                <w:szCs w:val="21"/>
                <w:highlight w:val="none"/>
              </w:rPr>
              <w:t>支票、汇票、本票、</w:t>
            </w:r>
            <w:r>
              <w:rPr>
                <w:rFonts w:hint="eastAsia" w:ascii="宋体" w:hAnsi="宋体" w:eastAsia="宋体" w:cs="宋体"/>
                <w:color w:val="auto"/>
                <w:sz w:val="21"/>
                <w:szCs w:val="21"/>
                <w:highlight w:val="none"/>
              </w:rPr>
              <w:t>银行转账、银行保函、投标保证保险。</w:t>
            </w:r>
          </w:p>
          <w:p w14:paraId="5302C803">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（一）银行转账：投标（交易）保证金应以磋商申请人自身的名义提交，并且必须从其基本账户转出，不得以分支机构其他名义提交（按照规定，磋商申请人可以为自然人的项目除外）。</w:t>
            </w:r>
          </w:p>
          <w:p w14:paraId="49910E08">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银行保函：保函申请人必须是磋商申请人，受益人必须是磋商申请人，保证人必须是磋商申请人基本账号的开户银行；银行保函必须正确填写受益人和申请人的全称，并与竞争性磋商文件规定的名称相一致，以免造成投标无效。</w:t>
            </w:r>
          </w:p>
          <w:p w14:paraId="79A0F1C8">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保证保险：1.当磋商申请人未能按照竞争性磋商文件要求履行招标义务而导致采购人受到损失时，由保险公司按照保险合同对采购人的损失承担代偿责任。2.磋商申请人在支付磋商保证金保险费时，必须使用基本账号资金支付购买，未从基本账户转出支付保费造成经济纠纷的应由企业自行承担。3.在投标保证保险中，磋商申请人为投保人，采购人为被保险人。</w:t>
            </w:r>
          </w:p>
          <w:p w14:paraId="6FD75A38">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二、磋商保证金的提交时间</w:t>
            </w:r>
          </w:p>
          <w:p w14:paraId="3E097770">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磋商申请人需在投标截止时间前递交保证金，到账时间以实际到达专用账号时间为准，未在投标截止时间前到账的保证金视为未提交；</w:t>
            </w:r>
          </w:p>
          <w:p w14:paraId="66BBE76E">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三、磋商保证金的办理程序</w:t>
            </w:r>
          </w:p>
          <w:p w14:paraId="43FB9674">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采用银行转账方式：</w:t>
            </w:r>
          </w:p>
          <w:p w14:paraId="5B62548B">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标段名称：</w:t>
            </w:r>
            <w:r>
              <w:rPr>
                <w:rFonts w:hint="eastAsia" w:ascii="宋体" w:hAnsi="宋体" w:eastAsia="宋体" w:cs="宋体"/>
                <w:b/>
                <w:bCs/>
                <w:color w:val="auto"/>
                <w:sz w:val="21"/>
                <w:szCs w:val="21"/>
                <w:highlight w:val="none"/>
                <w:lang w:eastAsia="zh-CN"/>
              </w:rPr>
              <w:t>红河职业技术学院数智校园建设项目—工程类</w:t>
            </w:r>
            <w:r>
              <w:rPr>
                <w:rFonts w:hint="eastAsia" w:ascii="宋体" w:hAnsi="宋体" w:eastAsia="宋体" w:cs="宋体"/>
                <w:color w:val="auto"/>
                <w:sz w:val="21"/>
                <w:szCs w:val="21"/>
                <w:highlight w:val="none"/>
                <w:lang w:eastAsia="zh-CN"/>
              </w:rPr>
              <w:t>；</w:t>
            </w:r>
          </w:p>
          <w:p w14:paraId="0D50EF47">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户名：</w:t>
            </w:r>
            <w:r>
              <w:rPr>
                <w:rFonts w:hint="eastAsia" w:ascii="宋体" w:hAnsi="宋体" w:eastAsia="宋体" w:cs="宋体"/>
                <w:b/>
                <w:bCs/>
                <w:color w:val="auto"/>
                <w:sz w:val="21"/>
                <w:szCs w:val="21"/>
                <w:highlight w:val="none"/>
                <w:lang w:eastAsia="zh-CN"/>
              </w:rPr>
              <w:t>红河州顺胜项目管理有限公司</w:t>
            </w:r>
            <w:r>
              <w:rPr>
                <w:rFonts w:hint="eastAsia" w:ascii="宋体" w:hAnsi="宋体" w:eastAsia="宋体" w:cs="宋体"/>
                <w:color w:val="auto"/>
                <w:sz w:val="21"/>
                <w:szCs w:val="21"/>
                <w:highlight w:val="none"/>
                <w:lang w:eastAsia="zh-CN"/>
              </w:rPr>
              <w:t>；</w:t>
            </w:r>
          </w:p>
          <w:p w14:paraId="074C15FF">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开户行：</w:t>
            </w:r>
            <w:r>
              <w:rPr>
                <w:rFonts w:hint="eastAsia" w:ascii="宋体" w:hAnsi="宋体" w:eastAsia="宋体" w:cs="宋体"/>
                <w:b/>
                <w:bCs/>
                <w:color w:val="auto"/>
                <w:sz w:val="21"/>
                <w:szCs w:val="21"/>
                <w:highlight w:val="none"/>
                <w:lang w:eastAsia="zh-CN"/>
              </w:rPr>
              <w:t>招商银行红河分行营业部</w:t>
            </w:r>
            <w:r>
              <w:rPr>
                <w:rFonts w:hint="eastAsia" w:ascii="宋体" w:hAnsi="宋体" w:eastAsia="宋体" w:cs="宋体"/>
                <w:color w:val="auto"/>
                <w:sz w:val="21"/>
                <w:szCs w:val="21"/>
                <w:highlight w:val="none"/>
                <w:lang w:eastAsia="zh-CN"/>
              </w:rPr>
              <w:t>；</w:t>
            </w:r>
          </w:p>
          <w:p w14:paraId="0AEE68AD">
            <w:pPr>
              <w:spacing w:after="0" w:line="300" w:lineRule="exact"/>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rPr>
              <w:t>保证金提交账号：</w:t>
            </w:r>
            <w:r>
              <w:rPr>
                <w:rFonts w:hint="eastAsia" w:ascii="宋体" w:hAnsi="宋体" w:eastAsia="宋体" w:cs="宋体"/>
                <w:b/>
                <w:bCs/>
                <w:color w:val="auto"/>
                <w:sz w:val="21"/>
                <w:szCs w:val="21"/>
                <w:highlight w:val="none"/>
                <w:lang w:eastAsia="zh-CN"/>
              </w:rPr>
              <w:t>873900424310902；</w:t>
            </w:r>
          </w:p>
          <w:p w14:paraId="283B5E70">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根据《云南省招标投标条例》本项目可以收取保证金</w:t>
            </w:r>
            <w:r>
              <w:rPr>
                <w:rFonts w:hint="eastAsia" w:ascii="宋体" w:hAnsi="宋体" w:eastAsia="宋体" w:cs="宋体"/>
                <w:color w:val="auto"/>
                <w:sz w:val="21"/>
                <w:szCs w:val="21"/>
                <w:highlight w:val="none"/>
                <w:lang w:val="en-US" w:eastAsia="zh-CN"/>
              </w:rPr>
              <w:t>16352.00</w:t>
            </w:r>
            <w:r>
              <w:rPr>
                <w:rFonts w:hint="eastAsia" w:ascii="宋体" w:hAnsi="宋体" w:eastAsia="宋体" w:cs="宋体"/>
                <w:color w:val="auto"/>
                <w:sz w:val="21"/>
                <w:szCs w:val="21"/>
                <w:highlight w:val="none"/>
              </w:rPr>
              <w:t>元，为降低企业交易成本，根据《云南省发展和改革委员会等部门关于鼓励减免政府投资项目磋商保证金的通知》（云发改交易管理〔2023〕397号），</w:t>
            </w:r>
            <w:r>
              <w:rPr>
                <w:rFonts w:hint="eastAsia" w:ascii="宋体" w:hAnsi="宋体" w:eastAsia="宋体" w:cs="宋体"/>
                <w:b/>
                <w:bCs/>
                <w:color w:val="auto"/>
                <w:sz w:val="21"/>
                <w:szCs w:val="21"/>
                <w:highlight w:val="none"/>
              </w:rPr>
              <w:t>本项目收取磋商保证金</w:t>
            </w:r>
            <w:r>
              <w:rPr>
                <w:rFonts w:hint="eastAsia" w:ascii="宋体" w:hAnsi="宋体" w:eastAsia="宋体" w:cs="宋体"/>
                <w:b/>
                <w:bCs/>
                <w:color w:val="auto"/>
                <w:sz w:val="21"/>
                <w:szCs w:val="21"/>
                <w:highlight w:val="none"/>
                <w:lang w:val="en-US" w:eastAsia="zh-CN"/>
              </w:rPr>
              <w:t>7000</w:t>
            </w:r>
            <w:r>
              <w:rPr>
                <w:rFonts w:hint="eastAsia" w:ascii="宋体" w:hAnsi="宋体" w:eastAsia="宋体" w:cs="宋体"/>
                <w:b/>
                <w:bCs/>
                <w:color w:val="auto"/>
                <w:sz w:val="21"/>
                <w:szCs w:val="21"/>
                <w:highlight w:val="none"/>
              </w:rPr>
              <w:t>.00元（大写：</w:t>
            </w:r>
            <w:r>
              <w:rPr>
                <w:rFonts w:hint="eastAsia" w:ascii="宋体" w:hAnsi="宋体" w:eastAsia="宋体" w:cs="宋体"/>
                <w:b/>
                <w:bCs/>
                <w:color w:val="auto"/>
                <w:sz w:val="21"/>
                <w:szCs w:val="21"/>
                <w:highlight w:val="none"/>
                <w:lang w:val="en-US" w:eastAsia="zh-CN"/>
              </w:rPr>
              <w:t>柒仟元整</w:t>
            </w:r>
            <w:r>
              <w:rPr>
                <w:rFonts w:hint="eastAsia" w:ascii="宋体" w:hAnsi="宋体" w:eastAsia="宋体" w:cs="宋体"/>
                <w:b/>
                <w:bCs/>
                <w:color w:val="auto"/>
                <w:sz w:val="21"/>
                <w:szCs w:val="21"/>
                <w:highlight w:val="none"/>
              </w:rPr>
              <w:t>）</w:t>
            </w:r>
            <w:r>
              <w:rPr>
                <w:rFonts w:hint="eastAsia" w:ascii="宋体" w:hAnsi="宋体" w:eastAsia="宋体" w:cs="宋体"/>
                <w:color w:val="auto"/>
                <w:sz w:val="21"/>
                <w:szCs w:val="21"/>
                <w:highlight w:val="none"/>
              </w:rPr>
              <w:t>。</w:t>
            </w:r>
          </w:p>
          <w:p w14:paraId="2A0233D0">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办理程序：</w:t>
            </w:r>
          </w:p>
          <w:p w14:paraId="6619AC4C">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潜在磋商申请人转账到保证金代理机构银行账户后，潜在磋商申请人在本单位基本账户找到交易明细，选择打印本次转账电子回执单并附入标书文件中。无需到代理机构更换保证金收据；若保证金无法到账请联系财务人员：</w:t>
            </w:r>
            <w:r>
              <w:rPr>
                <w:rFonts w:hint="eastAsia" w:ascii="宋体" w:hAnsi="宋体" w:eastAsia="宋体" w:cs="宋体"/>
                <w:color w:val="auto"/>
                <w:sz w:val="21"/>
                <w:szCs w:val="21"/>
                <w:highlight w:val="none"/>
                <w:lang w:val="en-US" w:eastAsia="zh-CN"/>
              </w:rPr>
              <w:t>杨师</w:t>
            </w:r>
            <w:r>
              <w:rPr>
                <w:rFonts w:hint="eastAsia" w:ascii="宋体" w:hAnsi="宋体" w:eastAsia="宋体" w:cs="宋体"/>
                <w:color w:val="auto"/>
                <w:sz w:val="21"/>
                <w:szCs w:val="21"/>
                <w:highlight w:val="none"/>
              </w:rPr>
              <w:t>（0873-3660355）。</w:t>
            </w:r>
          </w:p>
          <w:p w14:paraId="00B6066D">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☑（二）采用银行保函方式：</w:t>
            </w:r>
          </w:p>
          <w:p w14:paraId="3C33DE75">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办理程序：</w:t>
            </w:r>
          </w:p>
          <w:p w14:paraId="4C2B5795">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为支持和促进中小企业发展，进一步发挥政府采购政策功能，鼓励供应商使用保险/保函替代投标、履约保证金，支持供应商基于成交项目进行应收账款融资。供应商可登录【红河州政府采购金融服务平台】进行了解。</w:t>
            </w:r>
          </w:p>
          <w:p w14:paraId="0D3943D9">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直达链接：https://jinrong.zcygov.cn/luban/finance/honghe。办理完成后并打印回执附入标书文件中。</w:t>
            </w:r>
          </w:p>
          <w:p w14:paraId="0F106399">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☑（三）采用投标保证保险方式：</w:t>
            </w:r>
          </w:p>
          <w:p w14:paraId="3C75D26B">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办理程序：</w:t>
            </w:r>
          </w:p>
          <w:p w14:paraId="62553AA3">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为支持和促进中小企业发展，进一步发挥政府采购政策功能，鼓励供应商使用保险/保函替代投标、履约保证金，支持供应商基于成交项目进行应收账款融资。供应商可登录【红河州政府采购金融服务平台】进行了解。</w:t>
            </w:r>
          </w:p>
          <w:p w14:paraId="79ECF21D">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直达链接：https://jinrong.zcygov.cn/luban/finance/honghe。办理完成后并打印回执附入标书文件中。</w:t>
            </w:r>
          </w:p>
          <w:p w14:paraId="44486A5F">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注：1、保证金必须从磋商申请人的法人基本账户划出；</w:t>
            </w:r>
          </w:p>
          <w:p w14:paraId="1EB592F4">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2、保证金到账时间以保证金专用账户实际到账时间为准，未在投标截止时间前到账的保证金无效；</w:t>
            </w:r>
          </w:p>
          <w:p w14:paraId="3E1C4DF7">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3、拒绝私人账户汇款及银行存现；</w:t>
            </w:r>
          </w:p>
          <w:p w14:paraId="67EEFFCE">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4、磋商保证金一般不得超过投标估算值的2%，最高不能超过80万元。</w:t>
            </w:r>
          </w:p>
          <w:p w14:paraId="75A000D5">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请潜在磋商申请人在跨行转账时考虑以下因素：1、按照人民银行相关规定，跨行转账在工作日下午4点半前办理手续，可以保证实时跨行到账；2、跨行转账尽量采用电汇方式。</w:t>
            </w:r>
          </w:p>
          <w:p w14:paraId="1D44D653">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、磋商保证金受理地点和时间</w:t>
            </w:r>
          </w:p>
          <w:p w14:paraId="3BA58924">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受理时间：投标截止时间前</w:t>
            </w:r>
          </w:p>
          <w:p w14:paraId="54668AEC">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受理地点：</w:t>
            </w:r>
            <w:r>
              <w:rPr>
                <w:rFonts w:hint="eastAsia" w:ascii="宋体" w:hAnsi="宋体" w:eastAsia="宋体" w:cs="宋体"/>
                <w:color w:val="auto"/>
                <w:sz w:val="21"/>
                <w:szCs w:val="21"/>
                <w:highlight w:val="none"/>
                <w:lang w:eastAsia="zh-CN"/>
              </w:rPr>
              <w:t>蒙自市吉庆路48号</w:t>
            </w:r>
          </w:p>
          <w:p w14:paraId="622E29B0">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【磋商保证金退还】：成交通知书发出之日起5个工作日内退还未成交人的磋商保证金，自采购合同签订之日起5个工作日内退还成交人的磋商保证金。</w:t>
            </w:r>
          </w:p>
          <w:p w14:paraId="375F3001">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有下列情形之一的，保证金不予退还：</w:t>
            </w:r>
          </w:p>
          <w:p w14:paraId="1F904E83">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①已缴纳保证金，无故不参加招标会议；</w:t>
            </w:r>
          </w:p>
          <w:p w14:paraId="4C8DB5B6">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②在提交响应文件截止时间后到响应文件规定的投标有效期终止之前，磋商申请人撤回响应文件的；</w:t>
            </w:r>
          </w:p>
          <w:p w14:paraId="4071F035">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③成交通知书发出后，成交人无故放弃成交项目的或无正当理由不与采购人签订合同的，或者拒不缴纳所要求的履约保证金的。</w:t>
            </w:r>
          </w:p>
        </w:tc>
      </w:tr>
      <w:tr w14:paraId="55E5F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jc w:val="center"/>
        </w:trPr>
        <w:tc>
          <w:tcPr>
            <w:tcW w:w="811" w:type="dxa"/>
            <w:vAlign w:val="center"/>
          </w:tcPr>
          <w:p w14:paraId="4B6A9B8A">
            <w:pPr>
              <w:spacing w:after="0" w:line="380" w:lineRule="exact"/>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3.5.</w:t>
            </w:r>
            <w:r>
              <w:rPr>
                <w:rFonts w:hint="eastAsia" w:ascii="宋体" w:hAnsi="宋体" w:eastAsia="宋体" w:cs="宋体"/>
                <w:color w:val="auto"/>
                <w:szCs w:val="24"/>
                <w:highlight w:val="none"/>
                <w:lang w:val="en-US" w:eastAsia="zh-CN"/>
              </w:rPr>
              <w:t>3</w:t>
            </w:r>
          </w:p>
        </w:tc>
        <w:tc>
          <w:tcPr>
            <w:tcW w:w="2361" w:type="dxa"/>
            <w:vAlign w:val="center"/>
          </w:tcPr>
          <w:p w14:paraId="0BD7D2D7">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近三年发生的诉讼及     仲裁情况的年份要求</w:t>
            </w:r>
          </w:p>
        </w:tc>
        <w:tc>
          <w:tcPr>
            <w:tcW w:w="7587" w:type="dxa"/>
            <w:vAlign w:val="center"/>
          </w:tcPr>
          <w:p w14:paraId="0DFF878F">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近三年（202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年01月01日至今）</w:t>
            </w:r>
          </w:p>
        </w:tc>
      </w:tr>
      <w:tr w14:paraId="7F8F3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515F5622">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3.6</w:t>
            </w:r>
          </w:p>
        </w:tc>
        <w:tc>
          <w:tcPr>
            <w:tcW w:w="2361" w:type="dxa"/>
            <w:vAlign w:val="center"/>
          </w:tcPr>
          <w:p w14:paraId="5D8B1C36">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               备选磋商方案</w:t>
            </w:r>
          </w:p>
        </w:tc>
        <w:tc>
          <w:tcPr>
            <w:tcW w:w="7587" w:type="dxa"/>
            <w:vAlign w:val="center"/>
          </w:tcPr>
          <w:p w14:paraId="7A967546">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1"/>
                <w:szCs w:val="21"/>
                <w:highlight w:val="none"/>
              </w:rPr>
              <w:t xml:space="preserve">不允许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允 许</w:t>
            </w:r>
          </w:p>
        </w:tc>
      </w:tr>
      <w:tr w14:paraId="50113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1BADF438">
            <w:pPr>
              <w:spacing w:after="0" w:line="380" w:lineRule="exact"/>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3.7.</w:t>
            </w:r>
            <w:r>
              <w:rPr>
                <w:rFonts w:hint="eastAsia" w:ascii="宋体" w:hAnsi="宋体" w:eastAsia="宋体" w:cs="宋体"/>
                <w:color w:val="auto"/>
                <w:szCs w:val="24"/>
                <w:highlight w:val="none"/>
                <w:lang w:val="en-US" w:eastAsia="zh-CN"/>
              </w:rPr>
              <w:t>1</w:t>
            </w:r>
          </w:p>
        </w:tc>
        <w:tc>
          <w:tcPr>
            <w:tcW w:w="2361" w:type="dxa"/>
            <w:vAlign w:val="center"/>
          </w:tcPr>
          <w:p w14:paraId="66EC0E09">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7587" w:type="dxa"/>
            <w:vAlign w:val="center"/>
          </w:tcPr>
          <w:p w14:paraId="4CBBC888">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响应文件全部采用电子文档，磋商申请人应安装客户端软件—“政采云电子交易客户端”，并按照采购文件和政采云电子交易平台的要求编制，编制后应进行电子签章、签名及加密，签字或盖章应按第七章“竞争性磋商响应文件格式”要求，采用单位数字证书电子签章，在需要电子签章的地方进行电子签章，无需逐页电子签章。</w:t>
            </w:r>
          </w:p>
        </w:tc>
      </w:tr>
      <w:tr w14:paraId="3CA6E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jc w:val="center"/>
        </w:trPr>
        <w:tc>
          <w:tcPr>
            <w:tcW w:w="811" w:type="dxa"/>
            <w:vAlign w:val="center"/>
          </w:tcPr>
          <w:p w14:paraId="78586EED">
            <w:pPr>
              <w:spacing w:after="0" w:line="380" w:lineRule="exact"/>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3.7.</w:t>
            </w:r>
            <w:r>
              <w:rPr>
                <w:rFonts w:hint="eastAsia" w:ascii="宋体" w:hAnsi="宋体" w:eastAsia="宋体" w:cs="宋体"/>
                <w:color w:val="auto"/>
                <w:szCs w:val="24"/>
                <w:highlight w:val="none"/>
                <w:lang w:val="en-US" w:eastAsia="zh-CN"/>
              </w:rPr>
              <w:t>7</w:t>
            </w:r>
          </w:p>
        </w:tc>
        <w:tc>
          <w:tcPr>
            <w:tcW w:w="2361" w:type="dxa"/>
            <w:vAlign w:val="center"/>
          </w:tcPr>
          <w:p w14:paraId="19618C46">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           响应文件</w:t>
            </w:r>
            <w:r>
              <w:rPr>
                <w:rFonts w:hint="eastAsia" w:ascii="宋体" w:hAnsi="宋体" w:eastAsia="宋体" w:cs="宋体"/>
                <w:color w:val="auto"/>
                <w:sz w:val="21"/>
                <w:szCs w:val="21"/>
                <w:highlight w:val="none"/>
                <w:lang w:val="en-US" w:eastAsia="zh-CN"/>
              </w:rPr>
              <w:t>递交及</w:t>
            </w:r>
            <w:r>
              <w:rPr>
                <w:rFonts w:hint="eastAsia" w:ascii="宋体" w:hAnsi="宋体" w:eastAsia="宋体" w:cs="宋体"/>
                <w:color w:val="auto"/>
                <w:sz w:val="21"/>
                <w:szCs w:val="21"/>
                <w:highlight w:val="none"/>
              </w:rPr>
              <w:t>份数</w:t>
            </w:r>
          </w:p>
        </w:tc>
        <w:tc>
          <w:tcPr>
            <w:tcW w:w="7587" w:type="dxa"/>
            <w:vAlign w:val="center"/>
          </w:tcPr>
          <w:p w14:paraId="59E83494">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供应商应当在响应文件提交截止时间前将加密的响应文件上传至“政府采购云平台”。注：成交人在领取成交通知书时补交纸质版全套响应文件正本1份，副本</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份。</w:t>
            </w:r>
          </w:p>
        </w:tc>
      </w:tr>
      <w:tr w14:paraId="2166A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0C003289">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4.1.1</w:t>
            </w:r>
          </w:p>
        </w:tc>
        <w:tc>
          <w:tcPr>
            <w:tcW w:w="2361" w:type="dxa"/>
            <w:vAlign w:val="center"/>
          </w:tcPr>
          <w:p w14:paraId="6865F56C">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成交供应商补交响应文件</w:t>
            </w:r>
            <w:r>
              <w:rPr>
                <w:rFonts w:hint="eastAsia" w:ascii="宋体" w:hAnsi="宋体" w:eastAsia="宋体" w:cs="宋体"/>
                <w:color w:val="auto"/>
                <w:sz w:val="21"/>
                <w:szCs w:val="21"/>
                <w:highlight w:val="none"/>
              </w:rPr>
              <w:t>装订要求</w:t>
            </w:r>
          </w:p>
        </w:tc>
        <w:tc>
          <w:tcPr>
            <w:tcW w:w="7587" w:type="dxa"/>
            <w:vAlign w:val="center"/>
          </w:tcPr>
          <w:p w14:paraId="2D60D898">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竞争性磋商响应文件应装订成册，不得采用活页装订；</w:t>
            </w:r>
          </w:p>
        </w:tc>
      </w:tr>
      <w:tr w14:paraId="67DFCE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jc w:val="center"/>
        </w:trPr>
        <w:tc>
          <w:tcPr>
            <w:tcW w:w="811" w:type="dxa"/>
            <w:vAlign w:val="center"/>
          </w:tcPr>
          <w:p w14:paraId="35155A65">
            <w:pPr>
              <w:spacing w:after="0" w:line="380" w:lineRule="exact"/>
              <w:jc w:val="center"/>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4.</w:t>
            </w:r>
            <w:r>
              <w:rPr>
                <w:rFonts w:hint="eastAsia" w:ascii="宋体" w:hAnsi="宋体" w:eastAsia="宋体" w:cs="宋体"/>
                <w:color w:val="auto"/>
                <w:szCs w:val="24"/>
                <w:highlight w:val="none"/>
                <w:lang w:val="en-US" w:eastAsia="zh-CN"/>
              </w:rPr>
              <w:t>2</w:t>
            </w:r>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val="en-US" w:eastAsia="zh-CN"/>
              </w:rPr>
              <w:t>1</w:t>
            </w:r>
          </w:p>
        </w:tc>
        <w:tc>
          <w:tcPr>
            <w:tcW w:w="2361" w:type="dxa"/>
            <w:vAlign w:val="center"/>
          </w:tcPr>
          <w:p w14:paraId="30172C2B">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递交竞争性磋商响应文件时间、地点</w:t>
            </w:r>
          </w:p>
        </w:tc>
        <w:tc>
          <w:tcPr>
            <w:tcW w:w="7587" w:type="dxa"/>
          </w:tcPr>
          <w:p w14:paraId="7B8D62E2">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2026年10月09日14时30分（北京时间）</w:t>
            </w:r>
            <w:r>
              <w:rPr>
                <w:rFonts w:hint="eastAsia" w:ascii="宋体" w:hAnsi="宋体" w:eastAsia="宋体" w:cs="宋体"/>
                <w:color w:val="auto"/>
                <w:sz w:val="21"/>
                <w:szCs w:val="21"/>
                <w:highlight w:val="none"/>
              </w:rPr>
              <w:t>以前</w:t>
            </w:r>
          </w:p>
          <w:p w14:paraId="138B6E31">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lang w:val="en-US" w:eastAsia="zh-CN"/>
              </w:rPr>
              <w:t xml:space="preserve">通过“政府采购云平台”（网址：https://www.zcygov.cn/) 进行网上递交。          </w:t>
            </w:r>
          </w:p>
          <w:p w14:paraId="415A4995">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w:t>
            </w:r>
            <w:r>
              <w:rPr>
                <w:rFonts w:hint="eastAsia" w:ascii="宋体" w:hAnsi="宋体" w:eastAsia="宋体" w:cs="宋体"/>
                <w:color w:val="auto"/>
                <w:sz w:val="21"/>
                <w:szCs w:val="21"/>
                <w:highlight w:val="none"/>
                <w:rtl w:val="0"/>
                <w:lang w:val="en-US" w:eastAsia="zh-CN"/>
              </w:rPr>
              <w:t>1.供应商应按照本项目采购文件和</w:t>
            </w:r>
            <w:r>
              <w:rPr>
                <w:rFonts w:hint="eastAsia" w:ascii="宋体" w:hAnsi="宋体" w:eastAsia="宋体" w:cs="宋体"/>
                <w:color w:val="auto"/>
                <w:sz w:val="21"/>
                <w:szCs w:val="21"/>
                <w:highlight w:val="none"/>
                <w:lang w:val="en-US" w:eastAsia="zh-CN"/>
              </w:rPr>
              <w:t>“政府采购云平台”</w:t>
            </w:r>
            <w:r>
              <w:rPr>
                <w:rFonts w:hint="eastAsia" w:ascii="宋体" w:hAnsi="宋体" w:eastAsia="宋体" w:cs="宋体"/>
                <w:color w:val="auto"/>
                <w:sz w:val="21"/>
                <w:szCs w:val="21"/>
                <w:highlight w:val="none"/>
                <w:rtl w:val="0"/>
                <w:lang w:val="en-US" w:eastAsia="zh-CN"/>
              </w:rPr>
              <w:t>的要求编制、加密响应文件，并在响应文件提交截止时间前上传至</w:t>
            </w:r>
            <w:r>
              <w:rPr>
                <w:rFonts w:hint="eastAsia" w:ascii="宋体" w:hAnsi="宋体" w:eastAsia="宋体" w:cs="宋体"/>
                <w:color w:val="auto"/>
                <w:sz w:val="21"/>
                <w:szCs w:val="21"/>
                <w:highlight w:val="none"/>
                <w:lang w:val="en-US" w:eastAsia="zh-CN"/>
              </w:rPr>
              <w:t>“政府采购云平台”</w:t>
            </w:r>
            <w:r>
              <w:rPr>
                <w:rFonts w:hint="eastAsia" w:ascii="宋体" w:hAnsi="宋体" w:eastAsia="宋体" w:cs="宋体"/>
                <w:color w:val="auto"/>
                <w:sz w:val="21"/>
                <w:szCs w:val="21"/>
                <w:highlight w:val="none"/>
                <w:rtl w:val="0"/>
                <w:lang w:val="en-US" w:eastAsia="zh-CN"/>
              </w:rPr>
              <w:t>，响应文件提交截止时间前未完成响应文件上传的，视为撤回响应文件。                                                            2.供应商在</w:t>
            </w:r>
            <w:r>
              <w:rPr>
                <w:rFonts w:hint="eastAsia" w:ascii="宋体" w:hAnsi="宋体" w:eastAsia="宋体" w:cs="宋体"/>
                <w:color w:val="auto"/>
                <w:sz w:val="21"/>
                <w:szCs w:val="21"/>
                <w:highlight w:val="none"/>
                <w:lang w:val="en-US" w:eastAsia="zh-CN"/>
              </w:rPr>
              <w:t>“政府采购云平台”</w:t>
            </w:r>
            <w:r>
              <w:rPr>
                <w:rFonts w:hint="eastAsia" w:ascii="宋体" w:hAnsi="宋体" w:eastAsia="宋体" w:cs="宋体"/>
                <w:color w:val="auto"/>
                <w:sz w:val="21"/>
                <w:szCs w:val="21"/>
                <w:highlight w:val="none"/>
                <w:rtl w:val="0"/>
                <w:lang w:val="en-US" w:eastAsia="zh-CN"/>
              </w:rPr>
              <w:t>提交电子版响应文件时，请填写参加远程采购活动经办人联系方式。并于开标当日在系统上等待代理机构通知最后报价。</w:t>
            </w:r>
          </w:p>
        </w:tc>
      </w:tr>
      <w:tr w14:paraId="481A0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6946E2BF">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4.2.2</w:t>
            </w:r>
          </w:p>
        </w:tc>
        <w:tc>
          <w:tcPr>
            <w:tcW w:w="2361" w:type="dxa"/>
            <w:vAlign w:val="center"/>
          </w:tcPr>
          <w:p w14:paraId="25197AEF">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                       竞争性磋商响应文件</w:t>
            </w:r>
          </w:p>
        </w:tc>
        <w:tc>
          <w:tcPr>
            <w:tcW w:w="7587" w:type="dxa"/>
            <w:vAlign w:val="center"/>
          </w:tcPr>
          <w:p w14:paraId="10E26DED">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□是</w:t>
            </w:r>
          </w:p>
        </w:tc>
      </w:tr>
      <w:tr w14:paraId="00F87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811" w:type="dxa"/>
            <w:vAlign w:val="center"/>
          </w:tcPr>
          <w:p w14:paraId="7A5013A0">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4.2.3</w:t>
            </w:r>
          </w:p>
        </w:tc>
        <w:tc>
          <w:tcPr>
            <w:tcW w:w="2361" w:type="dxa"/>
            <w:vAlign w:val="center"/>
          </w:tcPr>
          <w:p w14:paraId="4C6FED97">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磋商时间和地点</w:t>
            </w:r>
          </w:p>
        </w:tc>
        <w:tc>
          <w:tcPr>
            <w:tcW w:w="7587" w:type="dxa"/>
            <w:vAlign w:val="center"/>
          </w:tcPr>
          <w:p w14:paraId="2C766F3B">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磋商时间：</w:t>
            </w:r>
            <w:r>
              <w:rPr>
                <w:rFonts w:hint="eastAsia" w:ascii="宋体" w:hAnsi="宋体" w:eastAsia="宋体" w:cs="宋体"/>
                <w:color w:val="auto"/>
                <w:sz w:val="21"/>
                <w:szCs w:val="21"/>
                <w:highlight w:val="none"/>
                <w:lang w:eastAsia="zh-CN"/>
              </w:rPr>
              <w:t>2026年10月09日14时30分（北京时间）</w:t>
            </w:r>
          </w:p>
          <w:p w14:paraId="6F911092">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磋商地点：</w:t>
            </w:r>
            <w:r>
              <w:rPr>
                <w:rFonts w:hint="eastAsia" w:ascii="宋体" w:hAnsi="宋体" w:eastAsia="宋体" w:cs="宋体"/>
                <w:color w:val="auto"/>
                <w:sz w:val="21"/>
                <w:szCs w:val="21"/>
                <w:highlight w:val="none"/>
                <w:lang w:eastAsia="zh-CN"/>
              </w:rPr>
              <w:t>红河州顺胜项目管理有限公司（蒙自市吉庆路48号3楼、4楼、5楼）</w:t>
            </w:r>
          </w:p>
        </w:tc>
      </w:tr>
      <w:tr w14:paraId="4AC16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14142167">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5.2</w:t>
            </w:r>
          </w:p>
        </w:tc>
        <w:tc>
          <w:tcPr>
            <w:tcW w:w="2361" w:type="dxa"/>
            <w:vAlign w:val="center"/>
          </w:tcPr>
          <w:p w14:paraId="700BF85C">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磋商程序</w:t>
            </w:r>
          </w:p>
        </w:tc>
        <w:tc>
          <w:tcPr>
            <w:tcW w:w="7587" w:type="dxa"/>
            <w:vAlign w:val="center"/>
          </w:tcPr>
          <w:p w14:paraId="13C92569">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按照平台自动提取所有供应商的顺序当众开标</w:t>
            </w:r>
          </w:p>
        </w:tc>
      </w:tr>
      <w:tr w14:paraId="07D2C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05E23654">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6.1</w:t>
            </w:r>
          </w:p>
        </w:tc>
        <w:tc>
          <w:tcPr>
            <w:tcW w:w="2361" w:type="dxa"/>
            <w:vAlign w:val="center"/>
          </w:tcPr>
          <w:p w14:paraId="07083463">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磋商小组的组建</w:t>
            </w:r>
          </w:p>
        </w:tc>
        <w:tc>
          <w:tcPr>
            <w:tcW w:w="7587" w:type="dxa"/>
            <w:vAlign w:val="center"/>
          </w:tcPr>
          <w:p w14:paraId="1A049530">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磋商小组人数：3人以上单数</w:t>
            </w:r>
          </w:p>
          <w:p w14:paraId="3A7DF926">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磋商小组构成：</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代表不超过评委总数的三分之一，经济、技术专家不低于评委总数的三分之二</w:t>
            </w:r>
          </w:p>
          <w:p w14:paraId="2CB11F0C">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评标专家确定方式：随机抽取</w:t>
            </w:r>
          </w:p>
        </w:tc>
      </w:tr>
      <w:tr w14:paraId="51AE13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768F9F34">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6.3</w:t>
            </w:r>
          </w:p>
        </w:tc>
        <w:tc>
          <w:tcPr>
            <w:tcW w:w="2361" w:type="dxa"/>
            <w:vAlign w:val="center"/>
          </w:tcPr>
          <w:p w14:paraId="70D369F6">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评标办法</w:t>
            </w:r>
          </w:p>
        </w:tc>
        <w:tc>
          <w:tcPr>
            <w:tcW w:w="7587" w:type="dxa"/>
            <w:vAlign w:val="center"/>
          </w:tcPr>
          <w:p w14:paraId="35F76DE4">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w:t>
            </w:r>
          </w:p>
        </w:tc>
      </w:tr>
      <w:tr w14:paraId="75B4F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53807331">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7.1.2</w:t>
            </w:r>
          </w:p>
        </w:tc>
        <w:tc>
          <w:tcPr>
            <w:tcW w:w="2361" w:type="dxa"/>
            <w:vAlign w:val="center"/>
          </w:tcPr>
          <w:p w14:paraId="3E8A057F">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是否授权磋商小组         确定成交单位</w:t>
            </w:r>
          </w:p>
        </w:tc>
        <w:tc>
          <w:tcPr>
            <w:tcW w:w="7587" w:type="dxa"/>
            <w:vAlign w:val="center"/>
          </w:tcPr>
          <w:p w14:paraId="36961899">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是</w:t>
            </w:r>
          </w:p>
          <w:p w14:paraId="43D4AE5F">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■否,由磋商小组根据采购文件评审办法的相关规定推荐成交单位，</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根据相关规定确定成交。</w:t>
            </w:r>
          </w:p>
        </w:tc>
      </w:tr>
      <w:tr w14:paraId="770DE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811" w:type="dxa"/>
            <w:vAlign w:val="center"/>
          </w:tcPr>
          <w:p w14:paraId="7F1BB076">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7.3</w:t>
            </w:r>
          </w:p>
        </w:tc>
        <w:tc>
          <w:tcPr>
            <w:tcW w:w="2361" w:type="dxa"/>
            <w:vAlign w:val="center"/>
          </w:tcPr>
          <w:p w14:paraId="4D84A7CD">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7587" w:type="dxa"/>
            <w:vAlign w:val="center"/>
          </w:tcPr>
          <w:p w14:paraId="17CCE4F8">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■不提交 </w:t>
            </w:r>
          </w:p>
          <w:p w14:paraId="0ADD33AD">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8"/>
                <w:szCs w:val="28"/>
                <w:highlight w:val="none"/>
                <w:lang w:eastAsia="zh-CN"/>
              </w:rPr>
              <w:t>□</w:t>
            </w:r>
            <w:r>
              <w:rPr>
                <w:rFonts w:hint="eastAsia" w:asciiTheme="minorEastAsia" w:hAnsiTheme="minorEastAsia" w:eastAsiaTheme="minorEastAsia" w:cstheme="minorEastAsia"/>
                <w:color w:val="auto"/>
                <w:sz w:val="21"/>
                <w:szCs w:val="21"/>
                <w:highlight w:val="none"/>
              </w:rPr>
              <w:t>提交</w:t>
            </w:r>
          </w:p>
          <w:p w14:paraId="4F5C56BA">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履约保证金的形式：支票、汇票、本票</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保险/</w:t>
            </w:r>
            <w:r>
              <w:rPr>
                <w:rFonts w:hint="eastAsia" w:asciiTheme="minorEastAsia" w:hAnsiTheme="minorEastAsia" w:eastAsiaTheme="minorEastAsia" w:cstheme="minorEastAsia"/>
                <w:color w:val="auto"/>
                <w:sz w:val="21"/>
                <w:szCs w:val="21"/>
                <w:highlight w:val="none"/>
              </w:rPr>
              <w:t>保函等非现金形式</w:t>
            </w:r>
          </w:p>
          <w:p w14:paraId="06F50D79">
            <w:pPr>
              <w:spacing w:after="0" w:line="30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履约保证金的金额：</w:t>
            </w:r>
            <w:r>
              <w:rPr>
                <w:rFonts w:hint="eastAsia" w:asciiTheme="minorEastAsia" w:hAnsiTheme="minorEastAsia" w:eastAsiaTheme="minorEastAsia" w:cstheme="minorEastAsia"/>
                <w:color w:val="auto"/>
                <w:sz w:val="21"/>
                <w:szCs w:val="21"/>
                <w:highlight w:val="none"/>
                <w:u w:val="single"/>
                <w:lang w:val="en-US" w:eastAsia="zh-CN"/>
              </w:rPr>
              <w:t xml:space="preserve"> / </w:t>
            </w:r>
            <w:r>
              <w:rPr>
                <w:rFonts w:hint="eastAsia" w:asciiTheme="minorEastAsia" w:hAnsiTheme="minorEastAsia" w:eastAsiaTheme="minorEastAsia" w:cstheme="minorEastAsia"/>
                <w:color w:val="auto"/>
                <w:sz w:val="21"/>
                <w:szCs w:val="21"/>
                <w:highlight w:val="none"/>
              </w:rPr>
              <w:t>；</w:t>
            </w:r>
          </w:p>
          <w:p w14:paraId="68B7E1CD">
            <w:pPr>
              <w:spacing w:after="0" w:line="41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注：履约保证金的数额不得超过政府采购合同金额的10%。</w:t>
            </w:r>
            <w:r>
              <w:rPr>
                <w:rFonts w:hint="eastAsia" w:asciiTheme="minorEastAsia" w:hAnsiTheme="minorEastAsia" w:eastAsiaTheme="minorEastAsia" w:cstheme="minorEastAsia"/>
                <w:color w:val="auto"/>
                <w:sz w:val="21"/>
                <w:szCs w:val="21"/>
                <w:highlight w:val="none"/>
                <w:lang w:val="en-US" w:eastAsia="zh-CN"/>
              </w:rPr>
              <w:t>为支持和促进中小企业发展，进一步发挥政府采购政策功能，鼓励供应商使用</w:t>
            </w:r>
            <w:r>
              <w:rPr>
                <w:rFonts w:hint="eastAsia" w:asciiTheme="minorEastAsia" w:hAnsiTheme="minorEastAsia" w:eastAsiaTheme="minorEastAsia" w:cstheme="minorEastAsia"/>
                <w:b/>
                <w:bCs/>
                <w:color w:val="auto"/>
                <w:sz w:val="21"/>
                <w:szCs w:val="21"/>
                <w:highlight w:val="none"/>
                <w:lang w:val="en-US" w:eastAsia="zh-CN"/>
              </w:rPr>
              <w:t>保险/保函替代履约保证金</w:t>
            </w:r>
            <w:r>
              <w:rPr>
                <w:rFonts w:hint="eastAsia" w:asciiTheme="minorEastAsia" w:hAnsiTheme="minorEastAsia" w:eastAsiaTheme="minorEastAsia" w:cstheme="minorEastAsia"/>
                <w:color w:val="auto"/>
                <w:sz w:val="21"/>
                <w:szCs w:val="21"/>
                <w:highlight w:val="none"/>
                <w:lang w:val="en-US" w:eastAsia="zh-CN"/>
              </w:rPr>
              <w:t>，供应商可登录【红河州政府采购金融服务平台】进行了解。</w:t>
            </w:r>
          </w:p>
          <w:p w14:paraId="03976FF5">
            <w:pPr>
              <w:spacing w:after="0" w:line="360" w:lineRule="exact"/>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直达链接：</w:t>
            </w:r>
            <w:r>
              <w:rPr>
                <w:rFonts w:hint="eastAsia" w:asciiTheme="minorEastAsia" w:hAnsiTheme="minorEastAsia" w:eastAsiaTheme="minorEastAsia" w:cstheme="minorEastAsia"/>
                <w:b w:val="0"/>
                <w:bCs w:val="0"/>
                <w:color w:val="auto"/>
                <w:sz w:val="21"/>
                <w:szCs w:val="21"/>
                <w:highlight w:val="none"/>
                <w:lang w:val="en-US" w:eastAsia="zh-CN"/>
              </w:rPr>
              <w:t>https://jinrong.zcygov.cn/luban/finance/honghe</w:t>
            </w:r>
          </w:p>
        </w:tc>
      </w:tr>
      <w:tr w14:paraId="5882A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811" w:type="dxa"/>
            <w:vAlign w:val="center"/>
          </w:tcPr>
          <w:p w14:paraId="0C779B87">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w:t>
            </w:r>
          </w:p>
        </w:tc>
        <w:tc>
          <w:tcPr>
            <w:tcW w:w="9948" w:type="dxa"/>
            <w:gridSpan w:val="2"/>
            <w:vAlign w:val="center"/>
          </w:tcPr>
          <w:p w14:paraId="5521B3A4">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r>
      <w:tr w14:paraId="14220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28F42E42">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10.1</w:t>
            </w:r>
          </w:p>
        </w:tc>
        <w:tc>
          <w:tcPr>
            <w:tcW w:w="2361" w:type="dxa"/>
            <w:vAlign w:val="center"/>
          </w:tcPr>
          <w:p w14:paraId="6080F70E">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报价说明</w:t>
            </w:r>
          </w:p>
        </w:tc>
        <w:tc>
          <w:tcPr>
            <w:tcW w:w="7587" w:type="dxa"/>
            <w:vAlign w:val="center"/>
          </w:tcPr>
          <w:p w14:paraId="0A1998F4">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）磋商报价</w:t>
            </w:r>
            <w:r>
              <w:rPr>
                <w:rFonts w:hint="eastAsia" w:ascii="宋体" w:hAnsi="宋体" w:eastAsia="宋体" w:cs="宋体"/>
                <w:color w:val="auto"/>
                <w:sz w:val="21"/>
                <w:szCs w:val="21"/>
                <w:highlight w:val="none"/>
              </w:rPr>
              <w:t>方式：以</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总价的方式进行报价；本项目报价为分次报价，</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申请人响应文件中的报价作为第一次报价，成交价以最终报价为准。</w:t>
            </w:r>
          </w:p>
          <w:p w14:paraId="2C0403BD">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w:t>
            </w:r>
            <w:r>
              <w:rPr>
                <w:rFonts w:hint="eastAsia" w:ascii="宋体" w:hAnsi="宋体" w:eastAsia="宋体" w:cs="宋体"/>
                <w:color w:val="auto"/>
                <w:sz w:val="21"/>
                <w:szCs w:val="21"/>
                <w:highlight w:val="none"/>
              </w:rPr>
              <w:t>结果以第二轮报价为最终报价。</w:t>
            </w:r>
          </w:p>
          <w:p w14:paraId="692C945C">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磋商小组</w:t>
            </w:r>
            <w:r>
              <w:rPr>
                <w:rFonts w:hint="eastAsia" w:ascii="宋体" w:hAnsi="宋体" w:eastAsia="宋体" w:cs="宋体"/>
                <w:color w:val="auto"/>
                <w:sz w:val="21"/>
                <w:szCs w:val="21"/>
                <w:highlight w:val="none"/>
              </w:rPr>
              <w:t>发现</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报价明显低于其他</w:t>
            </w:r>
            <w:r>
              <w:rPr>
                <w:rFonts w:hint="eastAsia" w:ascii="宋体" w:hAnsi="宋体" w:eastAsia="宋体" w:cs="宋体"/>
                <w:color w:val="auto"/>
                <w:sz w:val="21"/>
                <w:szCs w:val="21"/>
                <w:highlight w:val="none"/>
                <w:lang w:eastAsia="zh-CN"/>
              </w:rPr>
              <w:t>磋商报价</w:t>
            </w:r>
            <w:r>
              <w:rPr>
                <w:rFonts w:hint="eastAsia" w:ascii="宋体" w:hAnsi="宋体" w:eastAsia="宋体" w:cs="宋体"/>
                <w:color w:val="auto"/>
                <w:sz w:val="21"/>
                <w:szCs w:val="21"/>
                <w:highlight w:val="none"/>
              </w:rPr>
              <w:t>，或者在设有拦标价（控制价）明显低于拦标价（控制价），使得其</w:t>
            </w:r>
            <w:r>
              <w:rPr>
                <w:rFonts w:hint="eastAsia" w:ascii="宋体" w:hAnsi="宋体" w:eastAsia="宋体" w:cs="宋体"/>
                <w:color w:val="auto"/>
                <w:sz w:val="21"/>
                <w:szCs w:val="21"/>
                <w:highlight w:val="none"/>
                <w:lang w:eastAsia="zh-CN"/>
              </w:rPr>
              <w:t>磋商报价</w:t>
            </w:r>
            <w:r>
              <w:rPr>
                <w:rFonts w:hint="eastAsia" w:ascii="宋体" w:hAnsi="宋体" w:eastAsia="宋体" w:cs="宋体"/>
                <w:color w:val="auto"/>
                <w:sz w:val="21"/>
                <w:szCs w:val="21"/>
                <w:highlight w:val="none"/>
              </w:rPr>
              <w:t>可能低于其个别成本的，</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应作出书面说明并提供相应的证明材料。</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不能合理说明或者不能提供相应证明材料的，由评标委员会认定该</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以低于成本报价竞标，其投标作废处理。</w:t>
            </w:r>
          </w:p>
          <w:p w14:paraId="4A451540">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）计价依据及计价模式</w:t>
            </w:r>
            <w:r>
              <w:rPr>
                <w:rFonts w:hint="eastAsia" w:ascii="宋体" w:hAnsi="宋体" w:eastAsia="宋体" w:cs="宋体"/>
                <w:color w:val="auto"/>
                <w:sz w:val="21"/>
                <w:szCs w:val="21"/>
                <w:highlight w:val="none"/>
                <w:lang w:eastAsia="zh-CN"/>
              </w:rPr>
              <w:t>：</w:t>
            </w:r>
          </w:p>
          <w:p w14:paraId="7B419573">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依据«云南省建设工程造价计价标准（2020）版)»和现行计价相关的规章规程执行</w:t>
            </w:r>
            <w:r>
              <w:rPr>
                <w:rFonts w:hint="eastAsia" w:ascii="宋体" w:hAnsi="宋体" w:eastAsia="宋体" w:cs="宋体"/>
                <w:color w:val="auto"/>
                <w:sz w:val="21"/>
                <w:szCs w:val="21"/>
                <w:highlight w:val="none"/>
              </w:rPr>
              <w:t xml:space="preserve">，按实际完成工程量结算。 </w:t>
            </w:r>
          </w:p>
          <w:p w14:paraId="7E79D09F">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）本项目的材料价格由甲乙双方根据当地材料价格信息或市场情况确定。</w:t>
            </w:r>
          </w:p>
          <w:p w14:paraId="74B63B90">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）竣工结算价的确定：按照审计部门审定后的竣工结算价</w:t>
            </w:r>
            <w:r>
              <w:rPr>
                <w:rFonts w:hint="eastAsia" w:ascii="宋体" w:hAnsi="宋体" w:eastAsia="宋体" w:cs="宋体"/>
                <w:color w:val="auto"/>
                <w:sz w:val="21"/>
                <w:szCs w:val="21"/>
                <w:highlight w:val="none"/>
                <w:lang w:eastAsia="zh-CN"/>
              </w:rPr>
              <w:t>作为最终结算价</w:t>
            </w:r>
            <w:r>
              <w:rPr>
                <w:rFonts w:hint="eastAsia" w:ascii="宋体" w:hAnsi="宋体" w:eastAsia="宋体" w:cs="宋体"/>
                <w:color w:val="auto"/>
                <w:sz w:val="21"/>
                <w:szCs w:val="21"/>
                <w:highlight w:val="none"/>
              </w:rPr>
              <w:t>。</w:t>
            </w:r>
          </w:p>
          <w:p w14:paraId="31B4ACAE">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报价时应充分考虑所有可能影响到报价的价格因素，以采购预算价为基础，</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应根据市场行情及其自身的能力对本项目进行报价，且</w:t>
            </w:r>
            <w:r>
              <w:rPr>
                <w:rFonts w:hint="eastAsia" w:ascii="宋体" w:hAnsi="宋体" w:eastAsia="宋体" w:cs="宋体"/>
                <w:color w:val="auto"/>
                <w:sz w:val="21"/>
                <w:szCs w:val="21"/>
                <w:highlight w:val="none"/>
                <w:lang w:eastAsia="zh-CN"/>
              </w:rPr>
              <w:t>磋商报价</w:t>
            </w:r>
            <w:r>
              <w:rPr>
                <w:rFonts w:hint="eastAsia" w:ascii="宋体" w:hAnsi="宋体" w:eastAsia="宋体" w:cs="宋体"/>
                <w:color w:val="auto"/>
                <w:sz w:val="21"/>
                <w:szCs w:val="21"/>
                <w:highlight w:val="none"/>
              </w:rPr>
              <w:t>是指本项目从成交起到合同履约完成所发生的一切费用。</w:t>
            </w:r>
          </w:p>
        </w:tc>
      </w:tr>
      <w:tr w14:paraId="744F9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9" w:hRule="atLeast"/>
          <w:jc w:val="center"/>
        </w:trPr>
        <w:tc>
          <w:tcPr>
            <w:tcW w:w="811" w:type="dxa"/>
            <w:tcBorders>
              <w:top w:val="single" w:color="auto" w:sz="4" w:space="0"/>
              <w:bottom w:val="single" w:color="auto" w:sz="4" w:space="0"/>
              <w:right w:val="single" w:color="auto" w:sz="4" w:space="0"/>
            </w:tcBorders>
            <w:vAlign w:val="center"/>
          </w:tcPr>
          <w:p w14:paraId="7050AA88">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10.2</w:t>
            </w:r>
          </w:p>
        </w:tc>
        <w:tc>
          <w:tcPr>
            <w:tcW w:w="2361" w:type="dxa"/>
            <w:tcBorders>
              <w:top w:val="single" w:color="auto" w:sz="4" w:space="0"/>
              <w:left w:val="single" w:color="auto" w:sz="4" w:space="0"/>
              <w:bottom w:val="single" w:color="auto" w:sz="4" w:space="0"/>
              <w:right w:val="single" w:color="auto" w:sz="4" w:space="0"/>
            </w:tcBorders>
            <w:vAlign w:val="center"/>
          </w:tcPr>
          <w:p w14:paraId="007A0E38">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知识产权</w:t>
            </w:r>
          </w:p>
        </w:tc>
        <w:tc>
          <w:tcPr>
            <w:tcW w:w="7587" w:type="dxa"/>
            <w:tcBorders>
              <w:top w:val="single" w:color="auto" w:sz="4" w:space="0"/>
              <w:left w:val="single" w:color="auto" w:sz="4" w:space="0"/>
              <w:bottom w:val="single" w:color="auto" w:sz="4" w:space="0"/>
            </w:tcBorders>
            <w:vAlign w:val="center"/>
          </w:tcPr>
          <w:p w14:paraId="2EBF8F9B">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磋商申请单位必须遵守《中华人民共和国保守国家秘密法》、《中华人民共和国保守国家秘密法实施条例》规定做好保密工作，构成本磋商文件各个组成部分的文件，未经</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书面同意，磋商申请人不得擅自复印和用于非本磋商项目所需的其他目的。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全部或者部分使用未成交人磋商响应文件中的技术成果或技术方案时，需征得其书面同意，并不得擅自复印或提供给第三人。</w:t>
            </w:r>
          </w:p>
        </w:tc>
      </w:tr>
      <w:tr w14:paraId="0BBB1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5" w:hRule="atLeast"/>
          <w:jc w:val="center"/>
        </w:trPr>
        <w:tc>
          <w:tcPr>
            <w:tcW w:w="811" w:type="dxa"/>
            <w:tcBorders>
              <w:top w:val="single" w:color="auto" w:sz="4" w:space="0"/>
              <w:bottom w:val="single" w:color="auto" w:sz="4" w:space="0"/>
              <w:right w:val="single" w:color="auto" w:sz="4" w:space="0"/>
            </w:tcBorders>
            <w:vAlign w:val="center"/>
          </w:tcPr>
          <w:p w14:paraId="20F2F66C">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10.3</w:t>
            </w:r>
          </w:p>
        </w:tc>
        <w:tc>
          <w:tcPr>
            <w:tcW w:w="2361" w:type="dxa"/>
            <w:tcBorders>
              <w:top w:val="single" w:color="auto" w:sz="4" w:space="0"/>
              <w:left w:val="single" w:color="auto" w:sz="4" w:space="0"/>
              <w:bottom w:val="single" w:color="auto" w:sz="4" w:space="0"/>
              <w:right w:val="single" w:color="auto" w:sz="4" w:space="0"/>
            </w:tcBorders>
            <w:vAlign w:val="center"/>
          </w:tcPr>
          <w:p w14:paraId="24090D02">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解释权</w:t>
            </w:r>
          </w:p>
        </w:tc>
        <w:tc>
          <w:tcPr>
            <w:tcW w:w="7587" w:type="dxa"/>
            <w:tcBorders>
              <w:top w:val="single" w:color="auto" w:sz="4" w:space="0"/>
              <w:left w:val="single" w:color="auto" w:sz="4" w:space="0"/>
              <w:bottom w:val="single" w:color="auto" w:sz="4" w:space="0"/>
            </w:tcBorders>
            <w:vAlign w:val="center"/>
          </w:tcPr>
          <w:p w14:paraId="7FCD2261">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全过程阶段的规定，按磋商公告、磋商申请人须知、评审办法、磋商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负责解释。</w:t>
            </w:r>
          </w:p>
        </w:tc>
      </w:tr>
      <w:tr w14:paraId="2B4F9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 w:hRule="atLeast"/>
          <w:jc w:val="center"/>
        </w:trPr>
        <w:tc>
          <w:tcPr>
            <w:tcW w:w="811" w:type="dxa"/>
            <w:tcBorders>
              <w:top w:val="single" w:color="auto" w:sz="4" w:space="0"/>
              <w:bottom w:val="single" w:color="auto" w:sz="4" w:space="0"/>
              <w:right w:val="single" w:color="auto" w:sz="4" w:space="0"/>
            </w:tcBorders>
            <w:vAlign w:val="center"/>
          </w:tcPr>
          <w:p w14:paraId="1265F96C">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10.4</w:t>
            </w:r>
          </w:p>
        </w:tc>
        <w:tc>
          <w:tcPr>
            <w:tcW w:w="2361" w:type="dxa"/>
            <w:tcBorders>
              <w:top w:val="single" w:color="auto" w:sz="4" w:space="0"/>
              <w:left w:val="single" w:color="auto" w:sz="4" w:space="0"/>
              <w:bottom w:val="single" w:color="auto" w:sz="4" w:space="0"/>
              <w:right w:val="single" w:color="auto" w:sz="4" w:space="0"/>
            </w:tcBorders>
            <w:vAlign w:val="center"/>
          </w:tcPr>
          <w:p w14:paraId="2F0B7A92">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政府采购政策功能    （若有时提供）</w:t>
            </w:r>
          </w:p>
        </w:tc>
        <w:tc>
          <w:tcPr>
            <w:tcW w:w="7587" w:type="dxa"/>
            <w:tcBorders>
              <w:top w:val="single" w:color="auto" w:sz="4" w:space="0"/>
              <w:left w:val="single" w:color="auto" w:sz="4" w:space="0"/>
              <w:bottom w:val="single" w:color="auto" w:sz="4" w:space="0"/>
            </w:tcBorders>
            <w:vAlign w:val="center"/>
          </w:tcPr>
          <w:p w14:paraId="55DCFB3F">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促进中小企业发展管理办法》(财库〔2020〕46号)、《财政部关于进一步加大政府采购支持中小企业力度的通知》的规定、《财政部、司法部关于政府采购支持监狱企业发展有关问题的通知》(财库[2014]68号)、《关于促进残疾人就业政府采购政策的通知》（财库[2017]141号）。</w:t>
            </w:r>
          </w:p>
        </w:tc>
      </w:tr>
      <w:tr w14:paraId="18E7D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1" w:hRule="atLeast"/>
          <w:jc w:val="center"/>
        </w:trPr>
        <w:tc>
          <w:tcPr>
            <w:tcW w:w="811" w:type="dxa"/>
            <w:tcBorders>
              <w:top w:val="single" w:color="auto" w:sz="4" w:space="0"/>
              <w:bottom w:val="single" w:color="auto" w:sz="4" w:space="0"/>
              <w:right w:val="single" w:color="auto" w:sz="4" w:space="0"/>
            </w:tcBorders>
            <w:vAlign w:val="center"/>
          </w:tcPr>
          <w:p w14:paraId="483E316E">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10.5</w:t>
            </w:r>
          </w:p>
        </w:tc>
        <w:tc>
          <w:tcPr>
            <w:tcW w:w="2361" w:type="dxa"/>
            <w:tcBorders>
              <w:top w:val="single" w:color="auto" w:sz="4" w:space="0"/>
              <w:left w:val="single" w:color="auto" w:sz="4" w:space="0"/>
              <w:bottom w:val="single" w:color="auto" w:sz="4" w:space="0"/>
              <w:right w:val="single" w:color="auto" w:sz="4" w:space="0"/>
            </w:tcBorders>
            <w:vAlign w:val="center"/>
          </w:tcPr>
          <w:p w14:paraId="40DA3EC8">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分包</w:t>
            </w:r>
          </w:p>
        </w:tc>
        <w:tc>
          <w:tcPr>
            <w:tcW w:w="7587" w:type="dxa"/>
            <w:tcBorders>
              <w:top w:val="single" w:color="auto" w:sz="4" w:space="0"/>
              <w:left w:val="single" w:color="auto" w:sz="4" w:space="0"/>
              <w:bottom w:val="single" w:color="auto" w:sz="4" w:space="0"/>
            </w:tcBorders>
            <w:vAlign w:val="center"/>
          </w:tcPr>
          <w:p w14:paraId="6F52CF57">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不允许</w:t>
            </w:r>
          </w:p>
          <w:p w14:paraId="39731255">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允许,分包内容要求:——</w:t>
            </w:r>
          </w:p>
          <w:p w14:paraId="7D025831">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18"/>
                <w:szCs w:val="18"/>
                <w:highlight w:val="none"/>
              </w:rPr>
              <w:t xml:space="preserve"> </w:t>
            </w:r>
            <w:r>
              <w:rPr>
                <w:rFonts w:hint="eastAsia" w:ascii="宋体" w:hAnsi="宋体" w:eastAsia="宋体" w:cs="宋体"/>
                <w:color w:val="auto"/>
                <w:sz w:val="21"/>
                <w:szCs w:val="21"/>
                <w:highlight w:val="none"/>
              </w:rPr>
              <w:t>分包金额要求:——       接受分包的第三人资质要求:——</w:t>
            </w:r>
          </w:p>
        </w:tc>
      </w:tr>
      <w:tr w14:paraId="08B47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 w:hRule="atLeast"/>
          <w:jc w:val="center"/>
        </w:trPr>
        <w:tc>
          <w:tcPr>
            <w:tcW w:w="811" w:type="dxa"/>
            <w:tcBorders>
              <w:top w:val="single" w:color="auto" w:sz="4" w:space="0"/>
              <w:bottom w:val="single" w:color="auto" w:sz="4" w:space="0"/>
              <w:right w:val="single" w:color="auto" w:sz="4" w:space="0"/>
            </w:tcBorders>
            <w:vAlign w:val="center"/>
          </w:tcPr>
          <w:p w14:paraId="59C22DFC">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10.6</w:t>
            </w:r>
          </w:p>
        </w:tc>
        <w:tc>
          <w:tcPr>
            <w:tcW w:w="2361" w:type="dxa"/>
            <w:tcBorders>
              <w:top w:val="single" w:color="auto" w:sz="4" w:space="0"/>
              <w:left w:val="single" w:color="auto" w:sz="4" w:space="0"/>
              <w:bottom w:val="single" w:color="auto" w:sz="4" w:space="0"/>
              <w:right w:val="single" w:color="auto" w:sz="4" w:space="0"/>
            </w:tcBorders>
            <w:vAlign w:val="center"/>
          </w:tcPr>
          <w:p w14:paraId="37B65D83">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7587" w:type="dxa"/>
            <w:tcBorders>
              <w:top w:val="single" w:color="auto" w:sz="4" w:space="0"/>
              <w:left w:val="single" w:color="auto" w:sz="4" w:space="0"/>
              <w:bottom w:val="single" w:color="auto" w:sz="4" w:space="0"/>
            </w:tcBorders>
            <w:vAlign w:val="center"/>
          </w:tcPr>
          <w:p w14:paraId="219DE103">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不允许</w:t>
            </w:r>
          </w:p>
          <w:p w14:paraId="3D26B7C3">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允许细微偏离</w:t>
            </w:r>
          </w:p>
        </w:tc>
      </w:tr>
      <w:tr w14:paraId="249554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811" w:type="dxa"/>
            <w:tcBorders>
              <w:top w:val="single" w:color="auto" w:sz="4" w:space="0"/>
              <w:bottom w:val="single" w:color="auto" w:sz="4" w:space="0"/>
              <w:right w:val="single" w:color="auto" w:sz="4" w:space="0"/>
            </w:tcBorders>
            <w:vAlign w:val="center"/>
          </w:tcPr>
          <w:p w14:paraId="75EA64A9">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10.8</w:t>
            </w:r>
          </w:p>
        </w:tc>
        <w:tc>
          <w:tcPr>
            <w:tcW w:w="2361" w:type="dxa"/>
            <w:tcBorders>
              <w:top w:val="single" w:color="auto" w:sz="4" w:space="0"/>
              <w:left w:val="single" w:color="auto" w:sz="4" w:space="0"/>
              <w:bottom w:val="single" w:color="auto" w:sz="4" w:space="0"/>
              <w:right w:val="single" w:color="auto" w:sz="4" w:space="0"/>
            </w:tcBorders>
            <w:vAlign w:val="center"/>
          </w:tcPr>
          <w:p w14:paraId="598690B5">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词语的定义</w:t>
            </w:r>
          </w:p>
        </w:tc>
        <w:tc>
          <w:tcPr>
            <w:tcW w:w="7587" w:type="dxa"/>
            <w:tcBorders>
              <w:top w:val="single" w:color="auto" w:sz="4" w:space="0"/>
              <w:left w:val="single" w:color="auto" w:sz="4" w:space="0"/>
              <w:bottom w:val="single" w:color="auto" w:sz="4" w:space="0"/>
            </w:tcBorders>
            <w:vAlign w:val="center"/>
          </w:tcPr>
          <w:p w14:paraId="0EE2D923">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1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”系指获得资金或贷款的国家机关、企事业单位或者其他社会组织，或称业主。</w:t>
            </w:r>
          </w:p>
          <w:p w14:paraId="3F2F02E7">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2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”系指向</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提交</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”的投标产品中标后，即为“</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w:t>
            </w:r>
          </w:p>
          <w:p w14:paraId="54AB7E7A">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3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采购代理机构</w:t>
            </w:r>
            <w:r>
              <w:rPr>
                <w:rFonts w:hint="eastAsia" w:ascii="宋体" w:hAnsi="宋体" w:eastAsia="宋体" w:cs="宋体"/>
                <w:color w:val="auto"/>
                <w:sz w:val="21"/>
                <w:szCs w:val="21"/>
                <w:highlight w:val="none"/>
              </w:rPr>
              <w:t>”系指依法备案，从事招标代理业务并提供相关服务的社会中介组织。</w:t>
            </w:r>
          </w:p>
          <w:p w14:paraId="11AF58EC">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4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“服务”系指</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规定的需</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承担的如运输、保险</w:t>
            </w:r>
            <w:r>
              <w:rPr>
                <w:rFonts w:hint="eastAsia" w:ascii="宋体" w:hAnsi="宋体" w:eastAsia="宋体" w:cs="宋体"/>
                <w:color w:val="auto"/>
                <w:sz w:val="21"/>
                <w:szCs w:val="21"/>
                <w:highlight w:val="none"/>
                <w:lang w:eastAsia="zh-CN"/>
              </w:rPr>
              <w:t>及其他服务</w:t>
            </w:r>
            <w:r>
              <w:rPr>
                <w:rFonts w:hint="eastAsia" w:ascii="宋体" w:hAnsi="宋体" w:eastAsia="宋体" w:cs="宋体"/>
                <w:color w:val="auto"/>
                <w:sz w:val="21"/>
                <w:szCs w:val="21"/>
                <w:highlight w:val="none"/>
              </w:rPr>
              <w:t>， 或指导安装、调试、提供技术协助、培训</w:t>
            </w:r>
            <w:r>
              <w:rPr>
                <w:rFonts w:hint="eastAsia" w:ascii="宋体" w:hAnsi="宋体" w:eastAsia="宋体" w:cs="宋体"/>
                <w:color w:val="auto"/>
                <w:sz w:val="21"/>
                <w:szCs w:val="21"/>
                <w:highlight w:val="none"/>
                <w:lang w:eastAsia="zh-CN"/>
              </w:rPr>
              <w:t>及其他</w:t>
            </w:r>
            <w:r>
              <w:rPr>
                <w:rFonts w:hint="eastAsia" w:ascii="宋体" w:hAnsi="宋体" w:eastAsia="宋体" w:cs="宋体"/>
                <w:color w:val="auto"/>
                <w:sz w:val="21"/>
                <w:szCs w:val="21"/>
                <w:highlight w:val="none"/>
              </w:rPr>
              <w:t>义务。</w:t>
            </w:r>
          </w:p>
          <w:p w14:paraId="3BEA1420">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5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“单位公章”系指刻有工商登记部门核准并登记的法人名称全称的公章，简称“公章”。</w:t>
            </w:r>
          </w:p>
          <w:p w14:paraId="5361494C">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6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⑥</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法人”系指具有民事权利能力和民事行为能力，依法独立享有民事权利和承担民事义务的组织。简言之，法人是具有民事权利主体资格的社会组织。我国的法人主要有四种：机关法人、事业法人、企业法人和社团法人。</w:t>
            </w:r>
          </w:p>
          <w:p w14:paraId="49D0F083">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7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⑦</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“企业法人”系</w:t>
            </w:r>
            <w:r>
              <w:rPr>
                <w:rFonts w:hint="eastAsia" w:ascii="宋体" w:hAnsi="宋体" w:eastAsia="宋体" w:cs="宋体"/>
                <w:color w:val="auto"/>
                <w:sz w:val="21"/>
                <w:szCs w:val="21"/>
                <w:highlight w:val="none"/>
                <w:lang w:eastAsia="zh-CN"/>
              </w:rPr>
              <w:t>指</w:t>
            </w:r>
            <w:r>
              <w:rPr>
                <w:rFonts w:hint="eastAsia" w:ascii="宋体" w:hAnsi="宋体" w:eastAsia="宋体" w:cs="宋体"/>
                <w:color w:val="auto"/>
                <w:sz w:val="21"/>
                <w:szCs w:val="21"/>
                <w:highlight w:val="none"/>
              </w:rPr>
              <w:t>依照《中华人民共和国公司法》在中国境内设立的有限责任公司和股份有限公司。</w:t>
            </w:r>
          </w:p>
          <w:p w14:paraId="4CFDADDA">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8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⑧</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“法定代表人”系指依照法律或法人组织章程规定，代表法人行使职权的负责人。</w:t>
            </w:r>
          </w:p>
          <w:p w14:paraId="18653695">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9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⑨</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“书面”表示有收到证明的书面通讯(如电报、传真、信函)。</w:t>
            </w:r>
          </w:p>
          <w:p w14:paraId="6BA8B16C">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10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⑩</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“天”系指日历天数。</w:t>
            </w:r>
          </w:p>
        </w:tc>
      </w:tr>
      <w:tr w14:paraId="65E80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11" w:type="dxa"/>
            <w:tcBorders>
              <w:top w:val="single" w:color="auto" w:sz="4" w:space="0"/>
              <w:bottom w:val="single" w:color="auto" w:sz="4" w:space="0"/>
              <w:right w:val="single" w:color="auto" w:sz="4" w:space="0"/>
            </w:tcBorders>
            <w:vAlign w:val="center"/>
          </w:tcPr>
          <w:p w14:paraId="5252AB0D">
            <w:pPr>
              <w:spacing w:after="0"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10.9</w:t>
            </w:r>
          </w:p>
        </w:tc>
        <w:tc>
          <w:tcPr>
            <w:tcW w:w="2361" w:type="dxa"/>
            <w:tcBorders>
              <w:top w:val="single" w:color="auto" w:sz="4" w:space="0"/>
              <w:left w:val="single" w:color="auto" w:sz="4" w:space="0"/>
              <w:bottom w:val="single" w:color="auto" w:sz="4" w:space="0"/>
              <w:right w:val="single" w:color="auto" w:sz="4" w:space="0"/>
            </w:tcBorders>
            <w:vAlign w:val="center"/>
          </w:tcPr>
          <w:p w14:paraId="56E2E40E">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其他未尽事宜</w:t>
            </w:r>
          </w:p>
        </w:tc>
        <w:tc>
          <w:tcPr>
            <w:tcW w:w="7587" w:type="dxa"/>
            <w:tcBorders>
              <w:top w:val="single" w:color="auto" w:sz="4" w:space="0"/>
              <w:left w:val="single" w:color="auto" w:sz="4" w:space="0"/>
              <w:bottom w:val="single" w:color="auto" w:sz="4" w:space="0"/>
            </w:tcBorders>
            <w:vAlign w:val="center"/>
          </w:tcPr>
          <w:p w14:paraId="4648980B">
            <w:pPr>
              <w:spacing w:after="0" w:line="300" w:lineRule="exact"/>
              <w:rPr>
                <w:rFonts w:hint="eastAsia" w:ascii="宋体" w:hAnsi="宋体" w:eastAsia="宋体" w:cs="宋体"/>
                <w:color w:val="auto"/>
                <w:sz w:val="21"/>
                <w:szCs w:val="21"/>
                <w:highlight w:val="none"/>
                <w:lang w:eastAsia="zh-CN"/>
              </w:rPr>
            </w:pPr>
            <w:bookmarkStart w:id="49" w:name="_Toc524621588"/>
            <w:bookmarkStart w:id="50" w:name="_Toc526759805"/>
            <w:r>
              <w:rPr>
                <w:rFonts w:hint="eastAsia" w:ascii="宋体" w:hAnsi="宋体" w:eastAsia="宋体" w:cs="宋体"/>
                <w:color w:val="auto"/>
                <w:sz w:val="21"/>
                <w:szCs w:val="21"/>
                <w:highlight w:val="none"/>
              </w:rPr>
              <w:t>中标方完成接入甲方现有校园网工作</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支持现场踏勘</w:t>
            </w:r>
            <w:r>
              <w:rPr>
                <w:rFonts w:hint="eastAsia" w:ascii="宋体" w:hAnsi="宋体" w:eastAsia="宋体" w:cs="宋体"/>
                <w:color w:val="auto"/>
                <w:sz w:val="21"/>
                <w:szCs w:val="21"/>
                <w:highlight w:val="none"/>
                <w:lang w:eastAsia="zh-CN"/>
              </w:rPr>
              <w:t>。</w:t>
            </w:r>
          </w:p>
          <w:p w14:paraId="60F84C1E">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本采购文件未尽事宜，按现行相关法律法规执行。</w:t>
            </w:r>
            <w:bookmarkEnd w:id="49"/>
            <w:bookmarkEnd w:id="50"/>
          </w:p>
        </w:tc>
      </w:tr>
      <w:tr w14:paraId="3B92C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11" w:type="dxa"/>
            <w:tcBorders>
              <w:top w:val="single" w:color="auto" w:sz="4" w:space="0"/>
              <w:bottom w:val="single" w:color="auto" w:sz="4" w:space="0"/>
              <w:right w:val="single" w:color="auto" w:sz="4" w:space="0"/>
            </w:tcBorders>
            <w:vAlign w:val="center"/>
          </w:tcPr>
          <w:p w14:paraId="18E83EBD">
            <w:pPr>
              <w:spacing w:after="0" w:line="380" w:lineRule="exact"/>
              <w:jc w:val="center"/>
              <w:rPr>
                <w:rFonts w:hint="default" w:ascii="宋体" w:hAnsi="宋体" w:eastAsia="宋体" w:cs="宋体"/>
                <w:color w:val="auto"/>
                <w:sz w:val="21"/>
                <w:szCs w:val="21"/>
                <w:highlight w:val="none"/>
                <w:lang w:val="en-US" w:eastAsia="zh-CN"/>
              </w:rPr>
            </w:pPr>
            <w:bookmarkStart w:id="51" w:name="_Toc517963432"/>
            <w:r>
              <w:rPr>
                <w:rFonts w:hint="eastAsia" w:ascii="宋体" w:hAnsi="宋体" w:eastAsia="宋体" w:cs="宋体"/>
                <w:color w:val="auto"/>
                <w:sz w:val="21"/>
                <w:szCs w:val="21"/>
                <w:highlight w:val="none"/>
                <w:lang w:val="en-US" w:eastAsia="zh-CN"/>
              </w:rPr>
              <w:t>10.10</w:t>
            </w:r>
          </w:p>
        </w:tc>
        <w:tc>
          <w:tcPr>
            <w:tcW w:w="2361" w:type="dxa"/>
            <w:tcBorders>
              <w:top w:val="single" w:color="auto" w:sz="4" w:space="0"/>
              <w:left w:val="single" w:color="auto" w:sz="4" w:space="0"/>
              <w:bottom w:val="single" w:color="auto" w:sz="4" w:space="0"/>
              <w:right w:val="single" w:color="auto" w:sz="4" w:space="0"/>
            </w:tcBorders>
            <w:vAlign w:val="center"/>
          </w:tcPr>
          <w:p w14:paraId="62319303">
            <w:pPr>
              <w:spacing w:after="0" w:line="3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采购标的物对应的中小企业划分标准所属行业为</w:t>
            </w:r>
          </w:p>
        </w:tc>
        <w:tc>
          <w:tcPr>
            <w:tcW w:w="7587" w:type="dxa"/>
            <w:tcBorders>
              <w:top w:val="single" w:color="auto" w:sz="4" w:space="0"/>
              <w:left w:val="single" w:color="auto" w:sz="4" w:space="0"/>
              <w:bottom w:val="single" w:color="auto" w:sz="4" w:space="0"/>
            </w:tcBorders>
            <w:vAlign w:val="center"/>
          </w:tcPr>
          <w:p w14:paraId="738BFAAA">
            <w:pPr>
              <w:spacing w:after="0" w:line="30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建筑业</w:t>
            </w:r>
          </w:p>
        </w:tc>
      </w:tr>
    </w:tbl>
    <w:p w14:paraId="68ECD429">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515C46B9">
      <w:pPr>
        <w:adjustRightInd/>
        <w:snapToGrid/>
        <w:spacing w:after="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1.总则</w:t>
      </w:r>
      <w:bookmarkEnd w:id="51"/>
    </w:p>
    <w:p w14:paraId="6EB749E7">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52" w:name="_bookmark14"/>
      <w:bookmarkEnd w:id="52"/>
      <w:r>
        <w:rPr>
          <w:rFonts w:hint="eastAsia" w:ascii="宋体" w:hAnsi="宋体" w:eastAsia="宋体" w:cs="宋体"/>
          <w:b/>
          <w:bCs/>
          <w:color w:val="auto"/>
          <w:sz w:val="24"/>
          <w:szCs w:val="24"/>
          <w:highlight w:val="none"/>
        </w:rPr>
        <w:t>1.1 项目概况</w:t>
      </w:r>
    </w:p>
    <w:p w14:paraId="296C0E76">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1.1.1根据《中华人民共和国政府采购法》、《云南省政府采购管理暂行办法》、《政府采购竞争性磋商采购方式管理暂行办法》（财库〔2014〕214号）等法律法规的规定，本项目</w:t>
      </w:r>
      <w:r>
        <w:rPr>
          <w:rFonts w:hint="eastAsia" w:ascii="宋体" w:hAnsi="宋体" w:eastAsia="宋体" w:cs="宋体"/>
          <w:color w:val="auto"/>
          <w:sz w:val="24"/>
          <w:szCs w:val="24"/>
          <w:highlight w:val="none"/>
          <w:lang w:eastAsia="zh-CN"/>
        </w:rPr>
        <w:t>已</w:t>
      </w:r>
      <w:r>
        <w:rPr>
          <w:rFonts w:hint="eastAsia" w:ascii="宋体" w:hAnsi="宋体" w:eastAsia="宋体" w:cs="宋体"/>
          <w:color w:val="auto"/>
          <w:sz w:val="24"/>
          <w:szCs w:val="24"/>
          <w:highlight w:val="none"/>
        </w:rPr>
        <w:t>具备磋商条件，现对本项目进行磋商采购。</w:t>
      </w:r>
    </w:p>
    <w:p w14:paraId="7AC0378D">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：详见“磋商申请人须知前附表”；</w:t>
      </w:r>
    </w:p>
    <w:p w14:paraId="74A242D7">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：详见“磋商申请人须知前附表”；</w:t>
      </w:r>
    </w:p>
    <w:p w14:paraId="47C6B14C">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1.1.4项目名称：详见“磋商申请人须知前附表”；</w:t>
      </w:r>
    </w:p>
    <w:p w14:paraId="4A26F76C">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1.1.5项目地点：</w:t>
      </w:r>
      <w:bookmarkStart w:id="53" w:name="_bookmark15"/>
      <w:bookmarkEnd w:id="53"/>
      <w:r>
        <w:rPr>
          <w:rFonts w:hint="eastAsia" w:ascii="宋体" w:hAnsi="宋体" w:eastAsia="宋体" w:cs="宋体"/>
          <w:color w:val="auto"/>
          <w:sz w:val="24"/>
          <w:szCs w:val="24"/>
          <w:highlight w:val="none"/>
        </w:rPr>
        <w:t>详见“磋商申请人须知前附表”；</w:t>
      </w:r>
    </w:p>
    <w:p w14:paraId="4DDA7F8D">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 资金来源和落实情况</w:t>
      </w:r>
    </w:p>
    <w:p w14:paraId="6E05FDE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1.2.1资金来源：详见“磋商申请人须知前附表”；</w:t>
      </w:r>
    </w:p>
    <w:p w14:paraId="6231868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1.2.2资金落实情况：</w:t>
      </w:r>
      <w:bookmarkStart w:id="54" w:name="_bookmark16"/>
      <w:bookmarkEnd w:id="54"/>
      <w:r>
        <w:rPr>
          <w:rFonts w:hint="eastAsia" w:ascii="宋体" w:hAnsi="宋体" w:eastAsia="宋体" w:cs="宋体"/>
          <w:color w:val="auto"/>
          <w:sz w:val="24"/>
          <w:szCs w:val="24"/>
          <w:highlight w:val="none"/>
        </w:rPr>
        <w:t>详见“磋商申请人须知前附表”；</w:t>
      </w:r>
    </w:p>
    <w:p w14:paraId="25166A9D">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1.3 </w:t>
      </w:r>
      <w:r>
        <w:rPr>
          <w:rFonts w:hint="eastAsia" w:ascii="宋体" w:hAnsi="宋体" w:eastAsia="宋体" w:cs="宋体"/>
          <w:b/>
          <w:bCs/>
          <w:color w:val="auto"/>
          <w:sz w:val="24"/>
          <w:szCs w:val="24"/>
          <w:highlight w:val="none"/>
          <w:lang w:eastAsia="zh-CN"/>
        </w:rPr>
        <w:t>建设内容</w:t>
      </w:r>
      <w:r>
        <w:rPr>
          <w:rFonts w:hint="eastAsia" w:ascii="宋体" w:hAnsi="宋体" w:eastAsia="宋体" w:cs="宋体"/>
          <w:b/>
          <w:bCs/>
          <w:color w:val="auto"/>
          <w:sz w:val="24"/>
          <w:szCs w:val="24"/>
          <w:highlight w:val="none"/>
        </w:rPr>
        <w:t>、计划工期</w:t>
      </w:r>
    </w:p>
    <w:p w14:paraId="52B9A27D">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1.3.1计划工期：详见“磋商申请人须知前附表”；</w:t>
      </w:r>
    </w:p>
    <w:p w14:paraId="27D19F9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4"/>
          <w:highlight w:val="none"/>
          <w:lang w:eastAsia="zh-CN"/>
        </w:rPr>
        <w:t>建设内容</w:t>
      </w:r>
      <w:r>
        <w:rPr>
          <w:rFonts w:hint="eastAsia" w:ascii="宋体" w:hAnsi="宋体" w:eastAsia="宋体" w:cs="宋体"/>
          <w:color w:val="auto"/>
          <w:sz w:val="24"/>
          <w:szCs w:val="24"/>
          <w:highlight w:val="none"/>
        </w:rPr>
        <w:t>：详见“磋商申请人须知前附表”；</w:t>
      </w:r>
    </w:p>
    <w:p w14:paraId="36A421A3">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55" w:name="_bookmark17"/>
      <w:bookmarkEnd w:id="55"/>
      <w:r>
        <w:rPr>
          <w:rFonts w:hint="eastAsia" w:ascii="宋体" w:hAnsi="宋体" w:eastAsia="宋体" w:cs="宋体"/>
          <w:b/>
          <w:bCs/>
          <w:color w:val="auto"/>
          <w:sz w:val="24"/>
          <w:szCs w:val="24"/>
          <w:highlight w:val="none"/>
        </w:rPr>
        <w:t>1.4 磋商申请人资格要求（适用于未进行资格预审的）</w:t>
      </w:r>
    </w:p>
    <w:p w14:paraId="51E67DBE">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1.4.1磋商申请人应具备承担本项目的资质条件、能力和信誉；</w:t>
      </w:r>
    </w:p>
    <w:p w14:paraId="1F0FC56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资质条件：详见“磋商申请人须知前附表”；</w:t>
      </w:r>
    </w:p>
    <w:p w14:paraId="3279FE32">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财务状况及财务能力要求：详见“磋商申请人须知前附表”；</w:t>
      </w:r>
    </w:p>
    <w:p w14:paraId="34A02B2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信誉要求：详见“磋商申请人须知前附表”；</w:t>
      </w:r>
    </w:p>
    <w:p w14:paraId="75E8FC0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其他要求：详见“磋商申请人须知前附表”。</w:t>
      </w:r>
    </w:p>
    <w:p w14:paraId="4B581CF7">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1.4.2磋商申请人须知前附表规定接受联合体磋商的，除应符合本章第 1.4.1 项和磋商申请人须知前附表的要求外，还应遵守以下规定：</w:t>
      </w:r>
    </w:p>
    <w:p w14:paraId="2AF09A1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联合体各方应按竞争性磋商文件提供的格式签订联合体协议书，明确联合体牵头人和各方权利义务；</w:t>
      </w:r>
    </w:p>
    <w:p w14:paraId="2BA0E313">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由同一专业的单位组成的联合体，按照资质等级较低的单位确定资质等级；</w:t>
      </w:r>
    </w:p>
    <w:p w14:paraId="354C4ECE">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联合体各方不得再以自己名义单独或参加其他联合体在同一标段中磋商。</w:t>
      </w:r>
    </w:p>
    <w:p w14:paraId="528D1228">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1.4.3磋商申请人不得存在下列情形之一：</w:t>
      </w:r>
    </w:p>
    <w:p w14:paraId="04627B1F">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存在利害关系可能影响磋商公正性的法人、其他组织或者个人，不得参加磋商。单位负责人为同一人或者存在控股、管理关系；</w:t>
      </w:r>
    </w:p>
    <w:p w14:paraId="53F57337">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为本项目提供采购代理服务的；</w:t>
      </w:r>
    </w:p>
    <w:p w14:paraId="4471D4B3">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与本项目的代建人或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同为一个法定代表人的；</w:t>
      </w:r>
    </w:p>
    <w:p w14:paraId="5B201C10">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与本项目的代建人或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相互控股或参股的；</w:t>
      </w:r>
    </w:p>
    <w:p w14:paraId="3821203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与本项目的代建人或</w:t>
      </w:r>
      <w:r>
        <w:rPr>
          <w:rFonts w:hint="eastAsia" w:ascii="宋体" w:hAnsi="宋体" w:eastAsia="宋体" w:cs="宋体"/>
          <w:color w:val="auto"/>
          <w:sz w:val="24"/>
          <w:szCs w:val="24"/>
          <w:highlight w:val="none"/>
          <w:lang w:eastAsia="zh-CN"/>
        </w:rPr>
        <w:t>采购代理机构</w:t>
      </w:r>
      <w:r>
        <w:rPr>
          <w:rFonts w:hint="eastAsia" w:ascii="宋体" w:hAnsi="宋体" w:eastAsia="宋体" w:cs="宋体"/>
          <w:color w:val="auto"/>
          <w:sz w:val="24"/>
          <w:szCs w:val="24"/>
          <w:highlight w:val="none"/>
        </w:rPr>
        <w:t>相互任职或工作的；</w:t>
      </w:r>
    </w:p>
    <w:p w14:paraId="5DC143A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被责令停业的；</w:t>
      </w:r>
    </w:p>
    <w:p w14:paraId="33CC7E28">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被暂停或取消磋商资格的；</w:t>
      </w:r>
    </w:p>
    <w:p w14:paraId="6DB13520">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8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⑻</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财产被接管或冻结的；</w:t>
      </w:r>
    </w:p>
    <w:p w14:paraId="7A881C4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9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⑼</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在最近三年内有骗取中标或严重违约或重大工程质量问题的。</w:t>
      </w:r>
    </w:p>
    <w:p w14:paraId="5A3BE49F">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56" w:name="_bookmark18"/>
      <w:bookmarkEnd w:id="56"/>
      <w:bookmarkStart w:id="57" w:name="_Toc529362396"/>
      <w:bookmarkStart w:id="58" w:name="_Toc529362113"/>
      <w:r>
        <w:rPr>
          <w:rFonts w:hint="eastAsia" w:ascii="宋体" w:hAnsi="宋体" w:eastAsia="宋体" w:cs="宋体"/>
          <w:b/>
          <w:bCs/>
          <w:color w:val="auto"/>
          <w:sz w:val="24"/>
          <w:szCs w:val="24"/>
          <w:highlight w:val="none"/>
        </w:rPr>
        <w:t>1.5费用承担</w:t>
      </w:r>
      <w:bookmarkEnd w:id="57"/>
      <w:bookmarkEnd w:id="58"/>
    </w:p>
    <w:p w14:paraId="7BD8E7EE">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1.5.1磋商申请人准备和参加投标活动发生的费用自理； </w:t>
      </w:r>
    </w:p>
    <w:p w14:paraId="7D641D9C">
      <w:pPr>
        <w:pageBreakBefore w:val="0"/>
        <w:kinsoku/>
        <w:wordWrap/>
        <w:overflowPunct/>
        <w:topLinePunct w:val="0"/>
        <w:autoSpaceDE/>
        <w:autoSpaceDN/>
        <w:bidi w:val="0"/>
        <w:spacing w:after="0" w:line="52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1.5.2</w:t>
      </w:r>
      <w:r>
        <w:rPr>
          <w:rFonts w:hint="eastAsia" w:ascii="宋体" w:hAnsi="宋体" w:eastAsia="宋体" w:cs="宋体"/>
          <w:color w:val="auto"/>
          <w:sz w:val="24"/>
          <w:szCs w:val="24"/>
          <w:highlight w:val="none"/>
          <w:lang w:eastAsia="zh-CN"/>
        </w:rPr>
        <w:t>招标代理</w:t>
      </w:r>
      <w:r>
        <w:rPr>
          <w:rFonts w:hint="eastAsia" w:ascii="宋体" w:hAnsi="宋体" w:eastAsia="宋体" w:cs="宋体"/>
          <w:color w:val="auto"/>
          <w:sz w:val="24"/>
          <w:szCs w:val="24"/>
          <w:highlight w:val="none"/>
        </w:rPr>
        <w:t>服务费：</w:t>
      </w:r>
      <w:r>
        <w:rPr>
          <w:rFonts w:hint="eastAsia" w:ascii="宋体" w:hAnsi="宋体" w:eastAsia="宋体" w:cs="宋体"/>
          <w:color w:val="auto"/>
          <w:sz w:val="24"/>
          <w:szCs w:val="24"/>
          <w:highlight w:val="none"/>
          <w:lang w:eastAsia="zh-CN"/>
        </w:rPr>
        <w:t>按照国家发展和改革委员会《关于进一步放开建设项目专业服务价格的通知》（发改价格〔2015〕299号）的精神，参照“关于印发《云南省建设工程招标代理服务收费参考意见》的通知（云建招协〔2024〕58号）”收费执行，由成交人在领取成交通知书时向招标代理机构支付，支付方式：银行转账或现金支付。</w:t>
      </w:r>
    </w:p>
    <w:p w14:paraId="4803F25C">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 保密</w:t>
      </w:r>
    </w:p>
    <w:p w14:paraId="0CD6E33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参与采购活动的各方应对采购文件和</w:t>
      </w:r>
      <w:r>
        <w:rPr>
          <w:rFonts w:hint="eastAsia" w:ascii="宋体" w:hAnsi="宋体" w:eastAsia="宋体" w:cs="宋体"/>
          <w:color w:val="auto"/>
          <w:sz w:val="24"/>
          <w:highlight w:val="none"/>
        </w:rPr>
        <w:t>响应文件</w:t>
      </w:r>
      <w:r>
        <w:rPr>
          <w:rFonts w:hint="eastAsia" w:ascii="宋体" w:hAnsi="宋体" w:eastAsia="宋体" w:cs="宋体"/>
          <w:color w:val="auto"/>
          <w:sz w:val="24"/>
          <w:szCs w:val="24"/>
          <w:highlight w:val="none"/>
        </w:rPr>
        <w:t>中的商业和技术等秘密保密，违者应对由此造成的后果承担法律责任。</w:t>
      </w:r>
    </w:p>
    <w:p w14:paraId="38F0E108">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59" w:name="_bookmark20"/>
      <w:bookmarkEnd w:id="59"/>
      <w:r>
        <w:rPr>
          <w:rFonts w:hint="eastAsia" w:ascii="宋体" w:hAnsi="宋体" w:eastAsia="宋体" w:cs="宋体"/>
          <w:b/>
          <w:bCs/>
          <w:color w:val="auto"/>
          <w:sz w:val="24"/>
          <w:szCs w:val="24"/>
          <w:highlight w:val="none"/>
        </w:rPr>
        <w:t>1.7 语言文字</w:t>
      </w:r>
    </w:p>
    <w:p w14:paraId="4BEC1A48">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除专用术语外，与采购有关的语言均使用中文。必要时专用术语应附有中文注释。</w:t>
      </w:r>
    </w:p>
    <w:p w14:paraId="24C0631B">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60" w:name="_bookmark21"/>
      <w:bookmarkEnd w:id="60"/>
      <w:r>
        <w:rPr>
          <w:rFonts w:hint="eastAsia" w:ascii="宋体" w:hAnsi="宋体" w:eastAsia="宋体" w:cs="宋体"/>
          <w:b/>
          <w:bCs/>
          <w:color w:val="auto"/>
          <w:sz w:val="24"/>
          <w:szCs w:val="24"/>
          <w:highlight w:val="none"/>
        </w:rPr>
        <w:t>1.8计量单位</w:t>
      </w:r>
    </w:p>
    <w:p w14:paraId="2A56992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6D7E418A">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61" w:name="_bookmark22"/>
      <w:bookmarkEnd w:id="61"/>
      <w:r>
        <w:rPr>
          <w:rFonts w:hint="eastAsia" w:ascii="宋体" w:hAnsi="宋体" w:eastAsia="宋体" w:cs="宋体"/>
          <w:b/>
          <w:bCs/>
          <w:color w:val="auto"/>
          <w:sz w:val="24"/>
          <w:szCs w:val="24"/>
          <w:highlight w:val="none"/>
        </w:rPr>
        <w:t>1.9 踏勘现场</w:t>
      </w:r>
    </w:p>
    <w:p w14:paraId="4D932CD6">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本项目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不组织踏勘现场，磋商申请人自行踏勘。</w:t>
      </w:r>
    </w:p>
    <w:p w14:paraId="061E6C28">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磋商申请人踏勘现场发生的费用自理。</w:t>
      </w:r>
    </w:p>
    <w:p w14:paraId="46BC74EF">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除</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的原因外，磋商申请人自行负责在踏勘现场中所发生的人员伤亡和财产损失。</w:t>
      </w:r>
    </w:p>
    <w:p w14:paraId="4F4508DB">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62" w:name="_bookmark23"/>
      <w:bookmarkEnd w:id="62"/>
      <w:r>
        <w:rPr>
          <w:rFonts w:hint="eastAsia" w:ascii="宋体" w:hAnsi="宋体" w:eastAsia="宋体" w:cs="宋体"/>
          <w:b/>
          <w:bCs/>
          <w:color w:val="auto"/>
          <w:sz w:val="24"/>
          <w:szCs w:val="24"/>
          <w:highlight w:val="none"/>
        </w:rPr>
        <w:t>1.10 磋商预备会</w:t>
      </w:r>
    </w:p>
    <w:p w14:paraId="4CFB03A3">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1.10.1</w:t>
      </w:r>
      <w:r>
        <w:rPr>
          <w:rFonts w:hint="eastAsia" w:ascii="宋体" w:hAnsi="宋体" w:eastAsia="宋体" w:cs="宋体"/>
          <w:color w:val="auto"/>
          <w:sz w:val="24"/>
          <w:szCs w:val="24"/>
          <w:highlight w:val="none"/>
        </w:rPr>
        <w:t>不召开磋商预备会。</w:t>
      </w:r>
    </w:p>
    <w:p w14:paraId="3872F8A7">
      <w:pPr>
        <w:adjustRightInd/>
        <w:snapToGrid/>
        <w:spacing w:after="0"/>
        <w:jc w:val="both"/>
        <w:rPr>
          <w:rFonts w:hint="eastAsia" w:ascii="宋体" w:hAnsi="宋体" w:eastAsia="宋体" w:cs="宋体"/>
          <w:b/>
          <w:bCs/>
          <w:color w:val="auto"/>
          <w:sz w:val="28"/>
          <w:szCs w:val="28"/>
          <w:highlight w:val="none"/>
        </w:rPr>
      </w:pPr>
      <w:bookmarkStart w:id="63" w:name="_bookmark24"/>
      <w:bookmarkEnd w:id="63"/>
      <w:r>
        <w:rPr>
          <w:rFonts w:hint="eastAsia" w:ascii="宋体" w:hAnsi="宋体" w:eastAsia="宋体" w:cs="宋体"/>
          <w:b/>
          <w:bCs/>
          <w:color w:val="auto"/>
          <w:sz w:val="28"/>
          <w:szCs w:val="28"/>
          <w:highlight w:val="none"/>
        </w:rPr>
        <w:t>2.竞争性磋商文件</w:t>
      </w:r>
    </w:p>
    <w:p w14:paraId="5013FA13">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64" w:name="_bookmark25"/>
      <w:bookmarkEnd w:id="64"/>
      <w:r>
        <w:rPr>
          <w:rFonts w:hint="eastAsia" w:ascii="宋体" w:hAnsi="宋体" w:eastAsia="宋体" w:cs="宋体"/>
          <w:b/>
          <w:bCs/>
          <w:color w:val="auto"/>
          <w:sz w:val="24"/>
          <w:szCs w:val="24"/>
          <w:highlight w:val="none"/>
        </w:rPr>
        <w:t>2.1竞争性磋商文件的组成</w:t>
      </w:r>
    </w:p>
    <w:p w14:paraId="7A8844D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磋商公告；</w:t>
      </w:r>
    </w:p>
    <w:p w14:paraId="1908026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磋商须知；</w:t>
      </w:r>
    </w:p>
    <w:p w14:paraId="082105C8">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评审办法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综合评分法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837C472">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合同条款及格式；</w:t>
      </w:r>
    </w:p>
    <w:p w14:paraId="6959DC2E">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技术标准和要求；</w:t>
      </w:r>
    </w:p>
    <w:p w14:paraId="769A0EAD">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设计图纸</w:t>
      </w:r>
      <w:r>
        <w:rPr>
          <w:rFonts w:hint="eastAsia" w:ascii="宋体" w:hAnsi="宋体" w:eastAsia="宋体" w:cs="宋体"/>
          <w:color w:val="auto"/>
          <w:sz w:val="24"/>
          <w:szCs w:val="24"/>
          <w:highlight w:val="none"/>
        </w:rPr>
        <w:t>；</w:t>
      </w:r>
    </w:p>
    <w:p w14:paraId="460C945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竞争性磋商响应文件格式；</w:t>
      </w:r>
    </w:p>
    <w:p w14:paraId="1509E590">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根据本章磋商申请人须知前附表第 2.2 款对竞争性磋商文件所作的澄清、修改，构成采购文件的组成部分。</w:t>
      </w:r>
    </w:p>
    <w:p w14:paraId="42E1EBC8">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65" w:name="_bookmark26"/>
      <w:bookmarkEnd w:id="65"/>
      <w:r>
        <w:rPr>
          <w:rFonts w:hint="eastAsia" w:ascii="宋体" w:hAnsi="宋体" w:eastAsia="宋体" w:cs="宋体"/>
          <w:b/>
          <w:bCs/>
          <w:color w:val="auto"/>
          <w:sz w:val="24"/>
          <w:szCs w:val="24"/>
          <w:highlight w:val="none"/>
        </w:rPr>
        <w:t>2.2 竞争性磋商文件的澄清</w:t>
      </w:r>
    </w:p>
    <w:p w14:paraId="2524C89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2.2.1 磋商截止时间：详见“磋商申请人须知前附表”</w:t>
      </w:r>
      <w:r>
        <w:rPr>
          <w:rFonts w:hint="eastAsia" w:ascii="宋体" w:hAnsi="宋体" w:eastAsia="宋体" w:cs="宋体"/>
          <w:color w:val="auto"/>
          <w:sz w:val="24"/>
          <w:szCs w:val="24"/>
          <w:highlight w:val="none"/>
          <w:lang w:eastAsia="zh-CN"/>
        </w:rPr>
        <w:t>。</w:t>
      </w:r>
    </w:p>
    <w:p w14:paraId="4EF446AA">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66" w:name="_bookmark27"/>
      <w:bookmarkEnd w:id="66"/>
      <w:r>
        <w:rPr>
          <w:rFonts w:hint="eastAsia" w:ascii="宋体" w:hAnsi="宋体" w:eastAsia="宋体" w:cs="宋体"/>
          <w:color w:val="auto"/>
          <w:sz w:val="24"/>
          <w:szCs w:val="24"/>
          <w:highlight w:val="none"/>
        </w:rPr>
        <w:t>2.2.2磋商申请人应仔细阅读和检查采购文件的全部内容。如发现缺页或附件不全，应及时向采购人提出，以便补齐。如有疑问，应在“磋商申请人须知前附表”规定的时间前，使用CA数字证书登录“政府采购云平台”（网址：https://www.zcygov.cn/)，在“询问”菜单提出，要求采购人对采购文件予以澄清。磋商申请人自行登录“政府采购云平台”（网址：https://www.zcygov.cn/)获取澄清，无须回复确认已收到该澄清。</w:t>
      </w:r>
    </w:p>
    <w:p w14:paraId="0A5206B7">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2.3 竞争性磋商文件的修改</w:t>
      </w:r>
    </w:p>
    <w:p w14:paraId="3F03AF2A">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提交首次响应文件截止之日前，采购人、采购代理机构可以对已发出的磋商文件进行必要的修改，修改的内容作为磋商文件的组成部分。采购人、采购代理机构通过“政府采购云平台”（网址：https://www.zcygov.cn/)发出采购文件修改。所有获取了采购文件的潜在磋商申请人登录“政府采购云平台”（网址：https://www.zcygov.cn/)凭企业身份认证数字证书（CA）查看修改内容。</w:t>
      </w:r>
    </w:p>
    <w:p w14:paraId="6AF6D00E">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修改的内容可能影响响应文件编制的，采购人、采购代理机构应当在提交首次响应文件截止时间至少5日前，以书面形式通知所有获取磋商文件的磋商申请人；不足5日的，采购人、采购代理机构应当顺延提交首次响应文件截止时间。</w:t>
      </w:r>
    </w:p>
    <w:p w14:paraId="101DD14A">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2.3.3采购代理机构发出的所有补充、修改和变更文件均作为磋商文件的组成部分，与磋商文件具有同等法律效力。当采购文件、采购文件澄清、采购文件修改文件内容前后相互矛盾时，以最后发出的为准。</w:t>
      </w:r>
    </w:p>
    <w:p w14:paraId="0BE11161">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 竞争性磋商文件的解释</w:t>
      </w:r>
    </w:p>
    <w:p w14:paraId="2B8EC017">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采购文件最终解释权归</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所有解释均依据本采购文件及有关的法律、法规；在评审时，若出现采购文件无明确说明和处理的情况时，由磋商小组讨论确定处理方案；磋商小组成员之间对处理方案有争议时，采取少数服从多数的投票方式确定。</w:t>
      </w:r>
    </w:p>
    <w:p w14:paraId="1D2EC361">
      <w:pPr>
        <w:adjustRightInd/>
        <w:snapToGrid/>
        <w:spacing w:after="0"/>
        <w:jc w:val="both"/>
        <w:rPr>
          <w:rFonts w:hint="eastAsia" w:ascii="宋体" w:hAnsi="宋体" w:eastAsia="宋体" w:cs="宋体"/>
          <w:b/>
          <w:bCs/>
          <w:color w:val="auto"/>
          <w:sz w:val="28"/>
          <w:szCs w:val="28"/>
          <w:highlight w:val="none"/>
        </w:rPr>
      </w:pPr>
      <w:bookmarkStart w:id="67" w:name="_bookmark29"/>
      <w:bookmarkEnd w:id="67"/>
      <w:r>
        <w:rPr>
          <w:rFonts w:hint="eastAsia" w:ascii="宋体" w:hAnsi="宋体" w:eastAsia="宋体" w:cs="宋体"/>
          <w:b/>
          <w:bCs/>
          <w:color w:val="auto"/>
          <w:sz w:val="28"/>
          <w:szCs w:val="28"/>
          <w:highlight w:val="none"/>
        </w:rPr>
        <w:t>3.竞争性磋商响应文件</w:t>
      </w:r>
    </w:p>
    <w:p w14:paraId="7D16B21E">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68" w:name="_bookmark30"/>
      <w:bookmarkEnd w:id="68"/>
      <w:r>
        <w:rPr>
          <w:rFonts w:hint="eastAsia" w:ascii="宋体" w:hAnsi="宋体" w:eastAsia="宋体" w:cs="宋体"/>
          <w:b/>
          <w:bCs/>
          <w:color w:val="auto"/>
          <w:sz w:val="24"/>
          <w:szCs w:val="24"/>
          <w:highlight w:val="none"/>
        </w:rPr>
        <w:t>3.1竞争性磋商响应文件的组成</w:t>
      </w:r>
    </w:p>
    <w:p w14:paraId="266E6173">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3.1.1竞争性磋商响应文件应包括下列内容：</w:t>
      </w:r>
    </w:p>
    <w:p w14:paraId="76768212">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1.磋商函</w:t>
      </w:r>
    </w:p>
    <w:p w14:paraId="15C35477">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2.磋商报价一览表</w:t>
      </w:r>
    </w:p>
    <w:p w14:paraId="7D3C5528">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3.法定代表人身份证明书</w:t>
      </w:r>
    </w:p>
    <w:p w14:paraId="3C72F09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4.授权委托书</w:t>
      </w:r>
    </w:p>
    <w:p w14:paraId="60839C42">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5.磋商保证金</w:t>
      </w:r>
    </w:p>
    <w:p w14:paraId="503EDA2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6.施工组织设计</w:t>
      </w:r>
    </w:p>
    <w:p w14:paraId="5970B887">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7.项目管理机构</w:t>
      </w:r>
    </w:p>
    <w:p w14:paraId="5D5122D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8.资格审查资料</w:t>
      </w:r>
    </w:p>
    <w:p w14:paraId="7DD6334D">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类似业绩</w:t>
      </w:r>
    </w:p>
    <w:p w14:paraId="2CF539E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10.近年发生的诉讼及仲裁情况</w:t>
      </w:r>
    </w:p>
    <w:p w14:paraId="3A87A2E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承诺书</w:t>
      </w:r>
    </w:p>
    <w:p w14:paraId="32DF997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中小企业声明函 </w:t>
      </w:r>
    </w:p>
    <w:p w14:paraId="3FFA275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其他材料</w:t>
      </w:r>
    </w:p>
    <w:p w14:paraId="718B3FA5">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69" w:name="_bookmark31"/>
      <w:bookmarkEnd w:id="69"/>
      <w:r>
        <w:rPr>
          <w:rFonts w:hint="eastAsia" w:ascii="宋体" w:hAnsi="宋体" w:eastAsia="宋体" w:cs="宋体"/>
          <w:b/>
          <w:bCs/>
          <w:color w:val="auto"/>
          <w:sz w:val="24"/>
          <w:szCs w:val="24"/>
          <w:highlight w:val="none"/>
        </w:rPr>
        <w:t>3.2 磋商报价</w:t>
      </w:r>
    </w:p>
    <w:p w14:paraId="4C8612E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bookmarkStart w:id="70" w:name="_bookmark32"/>
      <w:bookmarkEnd w:id="70"/>
      <w:r>
        <w:rPr>
          <w:rFonts w:hint="eastAsia" w:ascii="宋体" w:hAnsi="宋体" w:eastAsia="宋体" w:cs="宋体"/>
          <w:color w:val="auto"/>
          <w:sz w:val="24"/>
          <w:szCs w:val="24"/>
          <w:highlight w:val="none"/>
        </w:rPr>
        <w:t>详见“磋商申请人须知前附表”</w:t>
      </w:r>
    </w:p>
    <w:p w14:paraId="5424E9F1">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3.3 磋商有效期</w:t>
      </w:r>
    </w:p>
    <w:p w14:paraId="14B2636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在磋商申请人须知前附表规定的磋商有效期内，磋商申请人不得要求撤销或修改其竞争性磋商响应文件。</w:t>
      </w:r>
    </w:p>
    <w:p w14:paraId="13814620">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出现特殊情况需要延长磋商有效期的，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以书面形式通知所有磋商申请人延长磋商有效期。磋商申请人同意延长的，应相应延长其磋商保证金的有效期，但不得要求或被允许修改或撤销其竞争性磋商响应文件；磋商申请人拒绝延长的，其磋商失效，但磋商申请人有权收回其磋商保证金。</w:t>
      </w:r>
    </w:p>
    <w:p w14:paraId="0AE02F14">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71" w:name="_bookmark33"/>
      <w:bookmarkEnd w:id="71"/>
      <w:r>
        <w:rPr>
          <w:rFonts w:hint="eastAsia" w:ascii="宋体" w:hAnsi="宋体" w:eastAsia="宋体" w:cs="宋体"/>
          <w:b/>
          <w:bCs/>
          <w:color w:val="auto"/>
          <w:sz w:val="24"/>
          <w:szCs w:val="24"/>
          <w:highlight w:val="none"/>
        </w:rPr>
        <w:t>3.4 磋商保证金</w:t>
      </w:r>
    </w:p>
    <w:p w14:paraId="6E12A94C">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磋商申请人在递交竞争性磋商响应文件的同时，应按磋商申请人须知前附表规定的金额递交磋商保证金，并作为其竞争性磋商响应文件的组成部分。联合体磋商的，其磋商保证金由牵头人递交，并应符合磋商申请人前附表的规定。</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在竞争性磋商文件中要求磋商申请人提交磋商保证金的，磋商申请人应当在磋商截止时间前按照要求提交。否则，该竞争性磋商响应文件将被拒绝或作废标处理。磋商保证金不得超过磋商总价的百分之二，磋商保证金有效期应当与磋商有效期一致。磋商保证金可以是</w:t>
      </w:r>
      <w:r>
        <w:rPr>
          <w:rFonts w:hint="eastAsia" w:ascii="宋体" w:hAnsi="宋体" w:eastAsia="宋体" w:cs="宋体"/>
          <w:color w:val="auto"/>
          <w:sz w:val="24"/>
          <w:szCs w:val="24"/>
          <w:highlight w:val="none"/>
          <w:lang w:eastAsia="zh-CN"/>
        </w:rPr>
        <w:t>支票、汇票、本票、保函、银行转账、投标保证保险</w:t>
      </w:r>
      <w:r>
        <w:rPr>
          <w:rFonts w:hint="eastAsia" w:ascii="宋体" w:hAnsi="宋体" w:eastAsia="宋体" w:cs="宋体"/>
          <w:color w:val="auto"/>
          <w:sz w:val="24"/>
          <w:szCs w:val="24"/>
          <w:highlight w:val="none"/>
        </w:rPr>
        <w:t>等方式的，磋商保证金必须从磋商申请人的基本账户转出。</w:t>
      </w:r>
    </w:p>
    <w:p w14:paraId="2108B88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磋商申请人不按本章第 3.4.1 项要求提交磋商保证金的，其竞争性磋商响应文件作废标处理。</w:t>
      </w:r>
    </w:p>
    <w:p w14:paraId="47EF81DA">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3.4.3未成交的磋商保证金，在成交通知书发出5个工作日内退还至磋商申请人的基本账户中。成交人的磋商保证金，在成交人签订合同后5个工作日内退还。</w:t>
      </w:r>
    </w:p>
    <w:p w14:paraId="567AA75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 有下列情形之一的，磋商保证金将不予退还：</w:t>
      </w:r>
    </w:p>
    <w:p w14:paraId="6BB381A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(1）磋商申请人在规定的磋商有效期内撤销或修改其竞争性磋商响应文件；</w:t>
      </w:r>
    </w:p>
    <w:p w14:paraId="64744AED">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(2）成交单位在收到成交通知书后，无正当理由拒签合同协议书或未按采购文件规定提交履约担保。</w:t>
      </w:r>
    </w:p>
    <w:p w14:paraId="2F0828F6">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72" w:name="_bookmark34"/>
      <w:bookmarkEnd w:id="72"/>
      <w:r>
        <w:rPr>
          <w:rFonts w:hint="eastAsia" w:ascii="宋体" w:hAnsi="宋体" w:eastAsia="宋体" w:cs="宋体"/>
          <w:b/>
          <w:bCs/>
          <w:color w:val="auto"/>
          <w:sz w:val="24"/>
          <w:szCs w:val="24"/>
          <w:highlight w:val="none"/>
        </w:rPr>
        <w:t>3.5 资格审查资料</w:t>
      </w:r>
    </w:p>
    <w:p w14:paraId="6E8AF333">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3.5.1“磋商申请人基本情况表”应附磋商申请人有效的营业执照副本等证明材料复印件；</w:t>
      </w:r>
    </w:p>
    <w:p w14:paraId="463FEA67">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3.5.2财务要求：具体要求详见磋商申请人须知前附表； </w:t>
      </w:r>
    </w:p>
    <w:p w14:paraId="6DB67DBD">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3.5.3近年发生的诉讼及仲裁情况： 具体要求详见磋商申请人须知前附表；</w:t>
      </w:r>
    </w:p>
    <w:p w14:paraId="11659AD0">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3.5.4信誉要求：具体要求见磋商申请人须知前附表；</w:t>
      </w:r>
    </w:p>
    <w:p w14:paraId="1235D232">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3.5.5项目负责人资格要求：具体要求详见磋商申请人须知前附表；</w:t>
      </w:r>
    </w:p>
    <w:p w14:paraId="7AD48F76">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3.5.6其他：具体要求详见磋商申请人须知前附表；</w:t>
      </w:r>
    </w:p>
    <w:p w14:paraId="17D2A792">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3.6 备选磋商方案</w:t>
      </w:r>
    </w:p>
    <w:p w14:paraId="666871BC">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磋商申请人须知前附表另有规定外，磋商申请人不得递交备选磋商方案。允许磋商申请人递交备选磋商方案的，只有成交单位所递交的备选磋商方案方可予以考虑。磋商小组认为成交单位的备选磋商方案优于其按照竞争性磋商文件要求编制的磋商方案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可以接受该备选磋商方案。</w:t>
      </w:r>
    </w:p>
    <w:p w14:paraId="182BA4C8">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73" w:name="_bookmark36"/>
      <w:bookmarkEnd w:id="73"/>
      <w:r>
        <w:rPr>
          <w:rFonts w:hint="eastAsia" w:ascii="宋体" w:hAnsi="宋体" w:eastAsia="宋体" w:cs="宋体"/>
          <w:b/>
          <w:bCs/>
          <w:color w:val="auto"/>
          <w:sz w:val="24"/>
          <w:szCs w:val="24"/>
          <w:highlight w:val="none"/>
        </w:rPr>
        <w:t>3.7 竞争性磋商响应文件的编制</w:t>
      </w:r>
    </w:p>
    <w:p w14:paraId="1529461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3.7.1响应文件全部采用电子文档，磋商申请人应安装客户端软件—“政采云电子交易客户端”，并按照采购文件和政采云电子交易平台的要求编制，编制后应进行电子签章、签名及加密</w:t>
      </w:r>
      <w:r>
        <w:rPr>
          <w:rFonts w:hint="eastAsia" w:ascii="宋体" w:hAnsi="宋体" w:eastAsia="宋体" w:cs="宋体"/>
          <w:color w:val="auto"/>
          <w:sz w:val="24"/>
          <w:szCs w:val="24"/>
          <w:highlight w:val="none"/>
          <w:lang w:eastAsia="zh-CN"/>
        </w:rPr>
        <w:t>，签字或盖章</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按第七章“竞争性磋商响应文件格式”要求，采用单位数字证书电子签章，在需要电子签章的地方进行电子签章，无需逐页电子签章</w:t>
      </w:r>
      <w:r>
        <w:rPr>
          <w:rFonts w:hint="eastAsia" w:ascii="宋体" w:hAnsi="宋体" w:eastAsia="宋体" w:cs="宋体"/>
          <w:color w:val="auto"/>
          <w:sz w:val="24"/>
          <w:szCs w:val="24"/>
          <w:highlight w:val="none"/>
        </w:rPr>
        <w:t>；</w:t>
      </w:r>
    </w:p>
    <w:p w14:paraId="61B1A5F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3.7.2如响应文件提交的电子标书不满足采购文件要求或开标时无法读取导入或解密，其响应文件将不予受理； </w:t>
      </w:r>
    </w:p>
    <w:p w14:paraId="3589B13F">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3.7.3响应文件中提供的资料（扫描件），内容必须清晰可辨，若内容模糊，无法辨识，均视为未提供。</w:t>
      </w:r>
    </w:p>
    <w:p w14:paraId="7D9CED2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3.7.4磋商申请人进行电子交易应安装客户端软件—“政采云电子交易客户端”，并按照采购文件和电子交易平台的要求编制并加密响应文件。磋商申请人未按规定加密的响应文件，电子交易平台将拒收并提示； </w:t>
      </w:r>
    </w:p>
    <w:p w14:paraId="22CCCDDF">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3.7.5使用“政采云电子交易客户端”需要提前申领CA数字证书，申领流程见“政府采购云平台”相应模块； </w:t>
      </w:r>
    </w:p>
    <w:p w14:paraId="1D9219E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3.7.6为确保网上操作合法、有效和安全，磋商申请人应当在响应文件提交截止时间前完成在“政府采购云平台”的身份认证，确保在电子交易过程中能够对相关数据电文进行加密和使用电子签名。</w:t>
      </w:r>
    </w:p>
    <w:p w14:paraId="547C9408">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3.7.</w:t>
      </w:r>
      <w:r>
        <w:rPr>
          <w:rFonts w:hint="eastAsia" w:ascii="宋体" w:hAnsi="宋体" w:eastAsia="宋体" w:cs="宋体"/>
          <w:color w:val="auto"/>
          <w:sz w:val="24"/>
          <w:szCs w:val="24"/>
          <w:highlight w:val="none"/>
          <w:lang w:val="en-US" w:eastAsia="zh-CN"/>
        </w:rPr>
        <w:t>7供应商应当在响应文件提交截止时间前将加密的响应文件上传至“政府采购云平台”。注：成交人在领取成交通知书时补交纸质版全套响应文件正本1份，副本1份。</w:t>
      </w:r>
    </w:p>
    <w:p w14:paraId="26790176">
      <w:pPr>
        <w:adjustRightInd/>
        <w:snapToGrid/>
        <w:spacing w:after="0"/>
        <w:jc w:val="both"/>
        <w:rPr>
          <w:rFonts w:hint="eastAsia" w:ascii="宋体" w:hAnsi="宋体" w:eastAsia="宋体" w:cs="宋体"/>
          <w:b/>
          <w:bCs/>
          <w:color w:val="auto"/>
          <w:sz w:val="28"/>
          <w:szCs w:val="28"/>
          <w:highlight w:val="none"/>
        </w:rPr>
      </w:pPr>
      <w:bookmarkStart w:id="74" w:name="_bookmark37"/>
      <w:bookmarkEnd w:id="74"/>
      <w:r>
        <w:rPr>
          <w:rFonts w:hint="eastAsia" w:ascii="宋体" w:hAnsi="宋体" w:eastAsia="宋体" w:cs="宋体"/>
          <w:b/>
          <w:bCs/>
          <w:color w:val="auto"/>
          <w:sz w:val="28"/>
          <w:szCs w:val="28"/>
          <w:highlight w:val="none"/>
        </w:rPr>
        <w:t>4.磋商申请</w:t>
      </w:r>
    </w:p>
    <w:p w14:paraId="0A5C9E4C">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75" w:name="_bookmark38"/>
      <w:bookmarkEnd w:id="75"/>
      <w:r>
        <w:rPr>
          <w:rFonts w:hint="eastAsia" w:ascii="宋体" w:hAnsi="宋体" w:eastAsia="宋体" w:cs="宋体"/>
          <w:b/>
          <w:bCs/>
          <w:color w:val="auto"/>
          <w:sz w:val="24"/>
          <w:szCs w:val="24"/>
          <w:highlight w:val="none"/>
        </w:rPr>
        <w:t>4.1 成交供应商补交响应文件装订要求</w:t>
      </w:r>
    </w:p>
    <w:p w14:paraId="0EDF4BAC">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竞争性磋商响应文件应装订成册，不得采用活页装订</w:t>
      </w:r>
    </w:p>
    <w:p w14:paraId="04BBFFAC">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 磋商申请人应竞争性磋商响应文件的递交</w:t>
      </w:r>
    </w:p>
    <w:p w14:paraId="001A390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4.2.1在“磋商申请人须知前附表”2.2.1项规定的磋商截止时间前递交竞争性磋商响应文件。</w:t>
      </w:r>
    </w:p>
    <w:p w14:paraId="56C0ED8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4.2.2除“磋商申请人须知前附表”另有规定外，磋商申请人所递交的竞争性磋商响应文件不予退还。</w:t>
      </w:r>
    </w:p>
    <w:p w14:paraId="7833714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4.2.3磋商申请人递交竞争性磋商响应文件的地点：详见“磋商申请人须知前附表”。</w:t>
      </w:r>
    </w:p>
    <w:p w14:paraId="7C71BF3A">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4.2.4磋商申请人应当在磋商文件要求的截止时间前，按照本项目采购文件和“政府采购云平台”的要求编制、加密响应文件，并在响应文件提交截止时间前上传至“政府采购云平台”，响应文件提交截止时间前未完成响应文件上传的，视为撤回响应文件。</w:t>
      </w:r>
    </w:p>
    <w:p w14:paraId="400FF910">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竞争性磋商申请文件的修改与撤回</w:t>
      </w:r>
    </w:p>
    <w:p w14:paraId="07CA7526">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4.3.1本章第4.2.1款规定的磋商截止时间前，磋商申请人可以修改或撤回已递交的响应文件，无须书面形式通知采购人。</w:t>
      </w:r>
    </w:p>
    <w:p w14:paraId="1AD268F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4.3.2修改的响应文件应按照电子响应文件编制规定进行编制、密封、标记和递交。</w:t>
      </w:r>
    </w:p>
    <w:p w14:paraId="4761CEF6">
      <w:pPr>
        <w:adjustRightInd/>
        <w:snapToGrid/>
        <w:spacing w:after="0"/>
        <w:jc w:val="both"/>
        <w:rPr>
          <w:rFonts w:hint="eastAsia" w:ascii="宋体" w:hAnsi="宋体" w:eastAsia="宋体" w:cs="宋体"/>
          <w:b/>
          <w:bCs/>
          <w:color w:val="auto"/>
          <w:sz w:val="28"/>
          <w:szCs w:val="28"/>
          <w:highlight w:val="none"/>
        </w:rPr>
      </w:pPr>
      <w:bookmarkStart w:id="76" w:name="_bookmark42"/>
      <w:bookmarkEnd w:id="76"/>
      <w:r>
        <w:rPr>
          <w:rFonts w:hint="eastAsia" w:ascii="宋体" w:hAnsi="宋体" w:eastAsia="宋体" w:cs="宋体"/>
          <w:b/>
          <w:bCs/>
          <w:color w:val="auto"/>
          <w:sz w:val="28"/>
          <w:szCs w:val="28"/>
          <w:highlight w:val="none"/>
        </w:rPr>
        <w:t>5.磋商</w:t>
      </w:r>
    </w:p>
    <w:p w14:paraId="77073BD4">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5.1磋商时间和地点</w:t>
      </w:r>
    </w:p>
    <w:p w14:paraId="7C06A0A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在磋商须知前附表 2.2.1 项规定的磋商截止时间（磋商时间）和磋商申请人须知前附表规定的地点参加公开磋商。</w:t>
      </w:r>
    </w:p>
    <w:p w14:paraId="58C0F816">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77" w:name="_bookmark43"/>
      <w:bookmarkEnd w:id="77"/>
      <w:r>
        <w:rPr>
          <w:rFonts w:hint="eastAsia" w:ascii="宋体" w:hAnsi="宋体" w:eastAsia="宋体" w:cs="宋体"/>
          <w:b/>
          <w:bCs/>
          <w:color w:val="auto"/>
          <w:sz w:val="24"/>
          <w:szCs w:val="24"/>
          <w:highlight w:val="none"/>
        </w:rPr>
        <w:t>5.2 磋商程序</w:t>
      </w:r>
    </w:p>
    <w:p w14:paraId="568DCC76">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磋商会由</w:t>
      </w:r>
      <w:r>
        <w:rPr>
          <w:rFonts w:hint="eastAsia" w:ascii="宋体" w:hAnsi="宋体" w:eastAsia="宋体" w:cs="宋体"/>
          <w:color w:val="auto"/>
          <w:sz w:val="24"/>
          <w:szCs w:val="24"/>
          <w:highlight w:val="none"/>
          <w:lang w:eastAsia="zh-CN"/>
        </w:rPr>
        <w:t>红河州顺胜项目管理有限公司</w:t>
      </w:r>
      <w:r>
        <w:rPr>
          <w:rFonts w:hint="eastAsia" w:ascii="宋体" w:hAnsi="宋体" w:eastAsia="宋体" w:cs="宋体"/>
          <w:color w:val="auto"/>
          <w:sz w:val="24"/>
          <w:szCs w:val="24"/>
          <w:highlight w:val="none"/>
        </w:rPr>
        <w:t>代表主持按下列程序进行：</w:t>
      </w:r>
    </w:p>
    <w:p w14:paraId="4EE4CB3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5.2.1</w:t>
      </w:r>
      <w:r>
        <w:rPr>
          <w:rFonts w:hint="eastAsia" w:ascii="宋体" w:hAnsi="宋体" w:eastAsia="宋体" w:cs="宋体"/>
          <w:color w:val="auto"/>
          <w:sz w:val="24"/>
          <w:highlight w:val="none"/>
        </w:rPr>
        <w:t>CA 签到：</w:t>
      </w:r>
      <w:r>
        <w:rPr>
          <w:rFonts w:hint="eastAsia" w:ascii="宋体" w:hAnsi="宋体" w:eastAsia="宋体" w:cs="宋体"/>
          <w:color w:val="auto"/>
          <w:sz w:val="24"/>
          <w:highlight w:val="none"/>
          <w:lang w:eastAsia="zh-CN"/>
        </w:rPr>
        <w:t>磋商申请</w:t>
      </w:r>
      <w:r>
        <w:rPr>
          <w:rFonts w:hint="eastAsia" w:ascii="宋体" w:hAnsi="宋体" w:eastAsia="宋体" w:cs="宋体"/>
          <w:color w:val="auto"/>
          <w:sz w:val="24"/>
          <w:highlight w:val="none"/>
        </w:rPr>
        <w:t>单位需在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截止时间前30分钟内登录政府采购云平台 （https://www.zcygov.cn/）进入开标。</w:t>
      </w:r>
    </w:p>
    <w:p w14:paraId="72ABF3D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5.2.2</w:t>
      </w:r>
      <w:r>
        <w:rPr>
          <w:rFonts w:hint="eastAsia" w:ascii="宋体" w:hAnsi="宋体" w:eastAsia="宋体" w:cs="宋体"/>
          <w:color w:val="auto"/>
          <w:sz w:val="24"/>
          <w:highlight w:val="none"/>
        </w:rPr>
        <w:t>文件解密：开标时间到，待项目负责人开启文件解密后，磋商申请人使用编制生成</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文件的同一把CA锁在线进行解密。因磋商申请人原因造成</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文件未解密的，视为撤销其</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 xml:space="preserve">文件。 </w:t>
      </w:r>
    </w:p>
    <w:p w14:paraId="12FFCE4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5.2.3</w:t>
      </w:r>
      <w:r>
        <w:rPr>
          <w:rFonts w:hint="eastAsia" w:ascii="宋体" w:hAnsi="宋体" w:eastAsia="宋体" w:cs="宋体"/>
          <w:color w:val="auto"/>
          <w:sz w:val="24"/>
          <w:highlight w:val="none"/>
        </w:rPr>
        <w:t>磋商报价表确认及签字：磋商申请人自行查看已公布的磋商申请人名称、</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价格和</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 xml:space="preserve">文件规定的其他开标内容。确认本单位内容无误后进行在线CA签章，因磋商申请人原因未签字的，视为默认。（备注：请直接选择 CA 锁内的法人章签章即可，请勿签公章或手写签字） </w:t>
      </w:r>
    </w:p>
    <w:p w14:paraId="2BE9A84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textAlignment w:val="baseline"/>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5.2.4</w:t>
      </w:r>
      <w:r>
        <w:rPr>
          <w:rFonts w:hint="eastAsia" w:ascii="宋体" w:hAnsi="宋体" w:eastAsia="宋体" w:cs="宋体"/>
          <w:color w:val="auto"/>
          <w:sz w:val="24"/>
          <w:highlight w:val="none"/>
        </w:rPr>
        <w:t>经评审通过初步审查的磋商申请人，在线等候磋商二次报价，二次报价结束后，磋商申请人可以退出系统，开标结束后进入评标环节。</w:t>
      </w:r>
    </w:p>
    <w:p w14:paraId="537985C2">
      <w:pPr>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textAlignment w:val="baseline"/>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注：磋商报价高于</w:t>
      </w:r>
      <w:r>
        <w:rPr>
          <w:rFonts w:hint="eastAsia" w:ascii="宋体" w:hAnsi="宋体" w:eastAsia="宋体" w:cs="宋体"/>
          <w:b/>
          <w:bCs/>
          <w:color w:val="auto"/>
          <w:sz w:val="24"/>
          <w:highlight w:val="none"/>
          <w:lang w:eastAsia="zh-CN"/>
        </w:rPr>
        <w:t>最高限价</w:t>
      </w:r>
      <w:r>
        <w:rPr>
          <w:rFonts w:hint="eastAsia" w:ascii="宋体" w:hAnsi="宋体" w:eastAsia="宋体" w:cs="宋体"/>
          <w:b/>
          <w:bCs/>
          <w:color w:val="auto"/>
          <w:sz w:val="24"/>
          <w:highlight w:val="none"/>
        </w:rPr>
        <w:t>时，为废标。最终报价不得高于一次报价，否则视为无效报价；采购人不承诺最低价成交。</w:t>
      </w:r>
    </w:p>
    <w:p w14:paraId="53F43F65">
      <w:pPr>
        <w:adjustRightInd/>
        <w:snapToGrid/>
        <w:spacing w:after="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6.磋商</w:t>
      </w:r>
    </w:p>
    <w:p w14:paraId="360314C8">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78" w:name="_bookmark45"/>
      <w:bookmarkEnd w:id="78"/>
      <w:r>
        <w:rPr>
          <w:rFonts w:hint="eastAsia" w:ascii="宋体" w:hAnsi="宋体" w:eastAsia="宋体" w:cs="宋体"/>
          <w:b/>
          <w:bCs/>
          <w:color w:val="auto"/>
          <w:sz w:val="24"/>
          <w:szCs w:val="24"/>
          <w:highlight w:val="none"/>
        </w:rPr>
        <w:t>6.1 磋商小组</w:t>
      </w:r>
    </w:p>
    <w:p w14:paraId="7F114DEA">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评审由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依法组建的磋商小组负责。磋商小组由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和评审专家共3人以上单数组成。磋商小组成员人数以及技术、经济等方面专家的确定方式见磋商申请人须知前附表。</w:t>
      </w:r>
    </w:p>
    <w:p w14:paraId="0F0AC73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磋商小组成员有下列情形之一的，应当回避：</w:t>
      </w:r>
    </w:p>
    <w:p w14:paraId="50DC776C">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或磋商申请人的主要负责人的近亲属；</w:t>
      </w:r>
    </w:p>
    <w:p w14:paraId="61ED2166">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项目主管部门或者行政监督部门的人员；</w:t>
      </w:r>
    </w:p>
    <w:p w14:paraId="05004F20">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与磋商申请人有经济利益关系，可能影响对磋商公正评审的；</w:t>
      </w:r>
    </w:p>
    <w:p w14:paraId="3282CC7F">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曾因在招标、评标以及其他与招标投标有关活动中从事违法行为而受过行政处罚或刑事处罚的。</w:t>
      </w:r>
    </w:p>
    <w:p w14:paraId="47254C5A">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79" w:name="_bookmark46"/>
      <w:bookmarkEnd w:id="79"/>
      <w:r>
        <w:rPr>
          <w:rFonts w:hint="eastAsia" w:ascii="宋体" w:hAnsi="宋体" w:eastAsia="宋体" w:cs="宋体"/>
          <w:b/>
          <w:bCs/>
          <w:color w:val="auto"/>
          <w:sz w:val="24"/>
          <w:szCs w:val="24"/>
          <w:highlight w:val="none"/>
        </w:rPr>
        <w:t>6.2 磋商原则</w:t>
      </w:r>
    </w:p>
    <w:p w14:paraId="5602016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评审活动遵循公平、公正、科学和择优的原则。</w:t>
      </w:r>
    </w:p>
    <w:p w14:paraId="27854354">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0" w:name="_bookmark47"/>
      <w:bookmarkEnd w:id="80"/>
      <w:r>
        <w:rPr>
          <w:rFonts w:hint="eastAsia" w:ascii="宋体" w:hAnsi="宋体" w:eastAsia="宋体" w:cs="宋体"/>
          <w:b/>
          <w:bCs/>
          <w:color w:val="auto"/>
          <w:sz w:val="24"/>
          <w:szCs w:val="24"/>
          <w:highlight w:val="none"/>
        </w:rPr>
        <w:t>6.3 评标</w:t>
      </w:r>
    </w:p>
    <w:p w14:paraId="025013C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磋商小组按照第三章“评审办法”规定的方法、评审因素、标准和程序对竞争性磋商响应文件进行评审。第三章“评审办法”没有规定的方法、评审因素和标准，不作为评审依据。</w:t>
      </w:r>
    </w:p>
    <w:p w14:paraId="359C0F60">
      <w:pPr>
        <w:adjustRightInd/>
        <w:snapToGrid/>
        <w:spacing w:after="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7.合同授予</w:t>
      </w:r>
    </w:p>
    <w:p w14:paraId="31710954">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1" w:name="_bookmark49"/>
      <w:bookmarkEnd w:id="81"/>
      <w:r>
        <w:rPr>
          <w:rFonts w:hint="eastAsia" w:ascii="宋体" w:hAnsi="宋体" w:eastAsia="宋体" w:cs="宋体"/>
          <w:b/>
          <w:bCs/>
          <w:color w:val="auto"/>
          <w:sz w:val="24"/>
          <w:szCs w:val="24"/>
          <w:highlight w:val="none"/>
        </w:rPr>
        <w:t>7.1定标方式</w:t>
      </w:r>
    </w:p>
    <w:p w14:paraId="7499F892">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除磋商申请人须知前附表规定磋商小组直接确定成交单位外，</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根据磋商小组提出的书面评审报告和推荐的成交候选人自行确定成交单位,磋商小组推荐成交候选人的人数见磋商申请人须知前附表。</w:t>
      </w:r>
    </w:p>
    <w:p w14:paraId="076607DE">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 成交候选人不能作为成交单位的情形：</w:t>
      </w:r>
    </w:p>
    <w:p w14:paraId="40C8B34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成交候选人放弃成交的；</w:t>
      </w:r>
    </w:p>
    <w:p w14:paraId="6D62329F">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因不可抗力不能履行合同的；</w:t>
      </w:r>
    </w:p>
    <w:p w14:paraId="1E57CD28">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成交候选人公示期满后，在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规定的时限内，不能到场商签合同的；</w:t>
      </w:r>
    </w:p>
    <w:p w14:paraId="6FD4AEBF">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未按照竞争性磋商文件要求提交履约保证金的；</w:t>
      </w:r>
    </w:p>
    <w:p w14:paraId="34AA5C9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被查实存在影响成交结果的违法行为等情形的；</w:t>
      </w:r>
    </w:p>
    <w:p w14:paraId="6D5B43B0">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其他不符合成交条件情形的。</w:t>
      </w:r>
    </w:p>
    <w:p w14:paraId="0D5F159B">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可以按照磋商小组提出的成交候选人名单，自行确定其他成交候选人为成交单位。</w:t>
      </w:r>
    </w:p>
    <w:p w14:paraId="311800FF">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2" w:name="_bookmark50"/>
      <w:bookmarkEnd w:id="82"/>
      <w:r>
        <w:rPr>
          <w:rFonts w:hint="eastAsia" w:ascii="宋体" w:hAnsi="宋体" w:eastAsia="宋体" w:cs="宋体"/>
          <w:b/>
          <w:bCs/>
          <w:color w:val="auto"/>
          <w:sz w:val="24"/>
          <w:szCs w:val="24"/>
          <w:highlight w:val="none"/>
        </w:rPr>
        <w:t>7.2 成交通知</w:t>
      </w:r>
    </w:p>
    <w:p w14:paraId="0711677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在本章第 3.3.1款规定的磋商有效期内，</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以书面形式向成交单位人发出成交通知书，同时将未成交结果通知未成交的磋商申请人。</w:t>
      </w:r>
    </w:p>
    <w:p w14:paraId="2397A164">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7.3 履约担保</w:t>
      </w:r>
    </w:p>
    <w:p w14:paraId="7F9C159C">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在签订合同前，成交单位应按磋商申请人须知前附表规定的金额、担保形式向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提交履约担保。</w:t>
      </w:r>
    </w:p>
    <w:p w14:paraId="04B5514A">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 采用“经评审的最低价投标法”招标的项目，成交单位必须向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提交低价担保。联合体中标的，其低价担保由牵头人递交，并应符合磋商申请人须知前附表规定的金额、担保形式。</w:t>
      </w:r>
    </w:p>
    <w:p w14:paraId="3F8FFFBA">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7.3.3 成交单位不能按本章第 7.3.1 或 7.3.2 项要求提交担保的，视为放弃成交，其磋商保证金不予退还，给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造成的损失超过磋商保证金数额的，成交单位还应当对超过部分予以赔偿。</w:t>
      </w:r>
    </w:p>
    <w:p w14:paraId="374E8823">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3" w:name="_bookmark52"/>
      <w:bookmarkEnd w:id="83"/>
      <w:r>
        <w:rPr>
          <w:rFonts w:hint="eastAsia" w:ascii="宋体" w:hAnsi="宋体" w:eastAsia="宋体" w:cs="宋体"/>
          <w:b/>
          <w:bCs/>
          <w:color w:val="auto"/>
          <w:sz w:val="24"/>
          <w:szCs w:val="24"/>
          <w:highlight w:val="none"/>
        </w:rPr>
        <w:t>7.4 签订合同</w:t>
      </w:r>
    </w:p>
    <w:p w14:paraId="261B742F">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7.4.1 </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和成交单位应当自成交通知书发出之日起30天内，根据竞争性磋商文件和成交单位的竞争性磋商响应文件订立书面合同。成交单位无正当理由拒签合同的，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取消其成交资格，其磋商保证金不予退还；给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造成的损失超过磋商保证金数额的，成交单位还应当对超过部分予以赔偿。</w:t>
      </w:r>
    </w:p>
    <w:p w14:paraId="7739018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7.4.2 发出成交通知书后，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无正当理由拒签合同的，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向成交单位退还磋商保证金；给成交单位造成损失的，还应当赔偿损失。</w:t>
      </w:r>
    </w:p>
    <w:p w14:paraId="76C4532B">
      <w:pPr>
        <w:adjustRightInd/>
        <w:snapToGrid/>
        <w:spacing w:after="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8.重新磋商和不再磋商</w:t>
      </w:r>
    </w:p>
    <w:p w14:paraId="46F80835">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4" w:name="_bookmark54"/>
      <w:bookmarkEnd w:id="84"/>
      <w:r>
        <w:rPr>
          <w:rFonts w:hint="eastAsia" w:ascii="宋体" w:hAnsi="宋体" w:eastAsia="宋体" w:cs="宋体"/>
          <w:b/>
          <w:bCs/>
          <w:color w:val="auto"/>
          <w:sz w:val="24"/>
          <w:szCs w:val="24"/>
          <w:highlight w:val="none"/>
        </w:rPr>
        <w:t>8.1 重新磋商</w:t>
      </w:r>
    </w:p>
    <w:p w14:paraId="6C9AEF14">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将重新磋商：</w:t>
      </w:r>
    </w:p>
    <w:p w14:paraId="39877782">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①磋商截止时间止，磋商申请人少于3个的；</w:t>
      </w:r>
    </w:p>
    <w:p w14:paraId="7E20C111">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②经磋商小组评审后否决所有磋商。</w:t>
      </w:r>
    </w:p>
    <w:p w14:paraId="5D41466B">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5" w:name="_bookmark55"/>
      <w:bookmarkEnd w:id="85"/>
      <w:r>
        <w:rPr>
          <w:rFonts w:hint="eastAsia" w:ascii="宋体" w:hAnsi="宋体" w:eastAsia="宋体" w:cs="宋体"/>
          <w:b/>
          <w:bCs/>
          <w:color w:val="auto"/>
          <w:sz w:val="24"/>
          <w:szCs w:val="24"/>
          <w:highlight w:val="none"/>
        </w:rPr>
        <w:t>8.2 不再磋商</w:t>
      </w:r>
    </w:p>
    <w:p w14:paraId="67952859">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重新磋商后磋商申请人仍少于3个或者所有磋商被否决的，属于必须审批或核准的工程建设项目，经原审批或核准部门批准后不再进行磋商。</w:t>
      </w:r>
    </w:p>
    <w:p w14:paraId="06388BDE">
      <w:pPr>
        <w:adjustRightInd/>
        <w:snapToGrid/>
        <w:spacing w:after="0"/>
        <w:jc w:val="both"/>
        <w:rPr>
          <w:rFonts w:hint="eastAsia" w:ascii="宋体" w:hAnsi="宋体" w:eastAsia="宋体" w:cs="宋体"/>
          <w:b/>
          <w:bCs/>
          <w:color w:val="auto"/>
          <w:sz w:val="28"/>
          <w:szCs w:val="28"/>
          <w:highlight w:val="none"/>
        </w:rPr>
      </w:pPr>
      <w:bookmarkStart w:id="86" w:name="_bookmark56"/>
      <w:bookmarkEnd w:id="86"/>
      <w:r>
        <w:rPr>
          <w:rFonts w:hint="eastAsia" w:ascii="宋体" w:hAnsi="宋体" w:eastAsia="宋体" w:cs="宋体"/>
          <w:b/>
          <w:bCs/>
          <w:color w:val="auto"/>
          <w:sz w:val="28"/>
          <w:szCs w:val="28"/>
          <w:highlight w:val="none"/>
        </w:rPr>
        <w:t>9.纪律和监督</w:t>
      </w:r>
    </w:p>
    <w:p w14:paraId="044EA89D">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7" w:name="_bookmark57"/>
      <w:bookmarkEnd w:id="87"/>
      <w:r>
        <w:rPr>
          <w:rFonts w:hint="eastAsia" w:ascii="宋体" w:hAnsi="宋体" w:eastAsia="宋体" w:cs="宋体"/>
          <w:b/>
          <w:bCs/>
          <w:color w:val="auto"/>
          <w:sz w:val="24"/>
          <w:szCs w:val="24"/>
          <w:highlight w:val="none"/>
        </w:rPr>
        <w:t>9.1 对</w:t>
      </w:r>
      <w:r>
        <w:rPr>
          <w:rFonts w:hint="eastAsia" w:ascii="宋体" w:hAnsi="宋体" w:eastAsia="宋体" w:cs="宋体"/>
          <w:b/>
          <w:bCs/>
          <w:color w:val="auto"/>
          <w:sz w:val="24"/>
          <w:szCs w:val="24"/>
          <w:highlight w:val="none"/>
          <w:lang w:eastAsia="zh-CN"/>
        </w:rPr>
        <w:t>采购人</w:t>
      </w:r>
      <w:r>
        <w:rPr>
          <w:rFonts w:hint="eastAsia" w:ascii="宋体" w:hAnsi="宋体" w:eastAsia="宋体" w:cs="宋体"/>
          <w:b/>
          <w:bCs/>
          <w:color w:val="auto"/>
          <w:sz w:val="24"/>
          <w:szCs w:val="24"/>
          <w:highlight w:val="none"/>
        </w:rPr>
        <w:t>的纪律要求</w:t>
      </w:r>
    </w:p>
    <w:p w14:paraId="421F435E">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不得泄漏招标投标活动中应当保密的情况和资料，不得与磋商申请人串通损害国家利益、社会公共利益或者他人合法权益。</w:t>
      </w:r>
    </w:p>
    <w:p w14:paraId="77D5564A">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8" w:name="_bookmark58"/>
      <w:bookmarkEnd w:id="88"/>
      <w:r>
        <w:rPr>
          <w:rFonts w:hint="eastAsia" w:ascii="宋体" w:hAnsi="宋体" w:eastAsia="宋体" w:cs="宋体"/>
          <w:b/>
          <w:bCs/>
          <w:color w:val="auto"/>
          <w:sz w:val="24"/>
          <w:szCs w:val="24"/>
          <w:highlight w:val="none"/>
        </w:rPr>
        <w:t>9.2 对磋商申请人的纪律要求</w:t>
      </w:r>
    </w:p>
    <w:p w14:paraId="5C0B435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磋商申请人不得相互串通磋商或者与</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串通投标，不得向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或者磋商小组成员行贿谋取成交，不得以他人名义磋商或者以其他方式弄虚作假骗取成交；磋商申请人不得以任何方式干扰、影响评审工作。</w:t>
      </w:r>
    </w:p>
    <w:p w14:paraId="02987842">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bookmarkStart w:id="89" w:name="_bookmark59"/>
      <w:bookmarkEnd w:id="89"/>
      <w:r>
        <w:rPr>
          <w:rFonts w:hint="eastAsia" w:ascii="宋体" w:hAnsi="宋体" w:eastAsia="宋体" w:cs="宋体"/>
          <w:b/>
          <w:bCs/>
          <w:color w:val="auto"/>
          <w:sz w:val="24"/>
          <w:szCs w:val="24"/>
          <w:highlight w:val="none"/>
        </w:rPr>
        <w:t>9.3 对磋商小组成员的纪律要求</w:t>
      </w:r>
    </w:p>
    <w:p w14:paraId="7E64F755">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磋商小组成员不得收受他人的财物或者其他好处，不得向他人</w:t>
      </w:r>
      <w:r>
        <w:rPr>
          <w:rFonts w:hint="eastAsia" w:ascii="宋体" w:hAnsi="宋体" w:eastAsia="宋体" w:cs="宋体"/>
          <w:color w:val="auto"/>
          <w:sz w:val="24"/>
          <w:szCs w:val="24"/>
          <w:highlight w:val="none"/>
          <w:lang w:eastAsia="zh-CN"/>
        </w:rPr>
        <w:t>透露</w:t>
      </w:r>
      <w:r>
        <w:rPr>
          <w:rFonts w:hint="eastAsia" w:ascii="宋体" w:hAnsi="宋体" w:eastAsia="宋体" w:cs="宋体"/>
          <w:color w:val="auto"/>
          <w:sz w:val="24"/>
          <w:szCs w:val="24"/>
          <w:highlight w:val="none"/>
        </w:rPr>
        <w:t>对竞争性磋商响应文件的评审和比较、成交候选人的推荐情况以及评审有关的其他情况。在评审活动中，磋商小组成员不得擅离职守，影响评审程序正常进行，不得使用第三章“评审办法”没有规定的评审因素和标准进行评审。</w:t>
      </w:r>
    </w:p>
    <w:p w14:paraId="608EFA93">
      <w:pPr>
        <w:pageBreakBefore w:val="0"/>
        <w:kinsoku/>
        <w:wordWrap/>
        <w:overflowPunct/>
        <w:topLinePunct w:val="0"/>
        <w:autoSpaceDE/>
        <w:autoSpaceDN/>
        <w:bidi w:val="0"/>
        <w:spacing w:after="0" w:line="52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9.4 对与评审活动有关的工作人员的纪律要求</w:t>
      </w:r>
    </w:p>
    <w:p w14:paraId="0F5B304C">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与评审活动有关的工作人员不得收受他人的财物或者其他好处，不得向他人</w:t>
      </w:r>
      <w:r>
        <w:rPr>
          <w:rFonts w:hint="eastAsia" w:ascii="宋体" w:hAnsi="宋体" w:eastAsia="宋体" w:cs="宋体"/>
          <w:color w:val="auto"/>
          <w:sz w:val="24"/>
          <w:szCs w:val="24"/>
          <w:highlight w:val="none"/>
          <w:lang w:eastAsia="zh-CN"/>
        </w:rPr>
        <w:t>透露</w:t>
      </w:r>
      <w:r>
        <w:rPr>
          <w:rFonts w:hint="eastAsia" w:ascii="宋体" w:hAnsi="宋体" w:eastAsia="宋体" w:cs="宋体"/>
          <w:color w:val="auto"/>
          <w:sz w:val="24"/>
          <w:szCs w:val="24"/>
          <w:highlight w:val="none"/>
        </w:rPr>
        <w:t>对竞争性磋商响应文件的评审和比较、成交单位的推荐情况以及评审有关的其他情况。在评审活动中，与评审活动有关的工作人员不得擅离职守，影响评审程序正常进行。</w:t>
      </w:r>
    </w:p>
    <w:p w14:paraId="16955606">
      <w:pPr>
        <w:spacing w:after="0" w:line="520" w:lineRule="exact"/>
        <w:rPr>
          <w:rFonts w:hint="eastAsia" w:asciiTheme="minorEastAsia" w:hAnsiTheme="minorEastAsia" w:eastAsiaTheme="minorEastAsia" w:cstheme="minorEastAsia"/>
          <w:b/>
          <w:bCs/>
          <w:color w:val="auto"/>
          <w:sz w:val="24"/>
          <w:szCs w:val="24"/>
          <w:highlight w:val="none"/>
        </w:rPr>
      </w:pPr>
      <w:bookmarkStart w:id="90" w:name="_bookmark61"/>
      <w:bookmarkEnd w:id="90"/>
      <w:r>
        <w:rPr>
          <w:rFonts w:hint="eastAsia" w:asciiTheme="minorEastAsia" w:hAnsiTheme="minorEastAsia" w:eastAsiaTheme="minorEastAsia" w:cstheme="minorEastAsia"/>
          <w:b/>
          <w:bCs/>
          <w:color w:val="auto"/>
          <w:sz w:val="24"/>
          <w:szCs w:val="24"/>
          <w:highlight w:val="none"/>
        </w:rPr>
        <w:t>9.5质疑和投诉</w:t>
      </w:r>
    </w:p>
    <w:p w14:paraId="5E1BD423">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9.5.1质疑提出与答复</w:t>
      </w:r>
    </w:p>
    <w:p w14:paraId="196EE580">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供应商认为采购文件、采购过程、中标或者成交结果使自己的权益受到损害的，可以在知道或者应知其权益受到损害之日起7个工作日内，</w:t>
      </w:r>
      <w:r>
        <w:rPr>
          <w:rFonts w:hint="eastAsia" w:asciiTheme="minorEastAsia" w:hAnsiTheme="minorEastAsia" w:eastAsiaTheme="minorEastAsia" w:cstheme="minorEastAsia"/>
          <w:color w:val="auto"/>
          <w:sz w:val="24"/>
          <w:szCs w:val="24"/>
          <w:highlight w:val="none"/>
          <w:lang w:val="en-US" w:eastAsia="zh-CN"/>
        </w:rPr>
        <w:t>登录政府采购云平台（网址：https://www.zcygov.cn/)</w:t>
      </w:r>
      <w:r>
        <w:rPr>
          <w:rFonts w:hint="eastAsia" w:asciiTheme="minorEastAsia" w:hAnsiTheme="minorEastAsia" w:eastAsiaTheme="minorEastAsia" w:cstheme="minorEastAsia"/>
          <w:color w:val="auto"/>
          <w:sz w:val="24"/>
          <w:szCs w:val="24"/>
          <w:highlight w:val="none"/>
        </w:rPr>
        <w:t>向采购人、采购代理机构提出质疑。</w:t>
      </w:r>
    </w:p>
    <w:p w14:paraId="6873C940">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2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提出质疑的供应商（以下简称质疑供应商）应当是参与所质疑项目采购活动的供应商。以联合体形式参加政府采购活动的，其投诉应当由组成联合体的所有供应商共同提出。</w:t>
      </w:r>
    </w:p>
    <w:p w14:paraId="3D2788B3">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67ADBF4A">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4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⑷</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供应商提出质疑应当提交质疑函和必要的证明材料。质疑函应当包括下列内容：</w:t>
      </w:r>
    </w:p>
    <w:p w14:paraId="50594393">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①供应商的姓名或者名称、地址、邮编、联系人及联系电话；</w:t>
      </w:r>
    </w:p>
    <w:p w14:paraId="04EB32DF">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②质疑项目的名称、编号；</w:t>
      </w:r>
    </w:p>
    <w:p w14:paraId="0249EEEA">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③具体、明确的质疑事项和与质疑事项相关的请求；</w:t>
      </w:r>
    </w:p>
    <w:p w14:paraId="63DBCD7D">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④事实依据；</w:t>
      </w:r>
    </w:p>
    <w:p w14:paraId="6F9236EC">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⑤必要的法律依据；</w:t>
      </w:r>
    </w:p>
    <w:p w14:paraId="4162551B">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⑥提出质疑的日期。</w:t>
      </w:r>
    </w:p>
    <w:p w14:paraId="4FF0ED5F">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5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⑸</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供应商为自然人的，应当由本人签字；供应商为法人或者其他组织的，应当由法定代表人、主要负责人，或者其授权代表签字或者盖章，并加盖公章。</w:t>
      </w:r>
    </w:p>
    <w:p w14:paraId="11442F30">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6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highlight w:val="none"/>
        </w:rPr>
        <w:t>⑹</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采购人、采购代理机构不得拒收质疑供应商在法定质疑期内发出的质疑函，应当在收到质疑函后7个工作日内作出答复，并以书面形式通知质疑供应商和其他有关供应商。</w:t>
      </w:r>
    </w:p>
    <w:p w14:paraId="3F5D898D">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9.5.2投诉提出与投诉处理</w:t>
      </w:r>
    </w:p>
    <w:p w14:paraId="589D2A91">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1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⑴</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质疑供应商对采购人、采购代理机构的答复不满意，或者采购人、采购代理机构未在规定时间内作出答复的，可以在答复期满后15个工作日内向《政府采购质疑和投诉办法》（中华人民共和国财政部令第94号）规定的部门提起投诉。</w:t>
      </w:r>
    </w:p>
    <w:p w14:paraId="49F9C0A0">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2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⑵</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5EF38E8A">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①投诉人和被投诉人的姓名或者名称、通讯地址、邮编、联系人及联系电话；</w:t>
      </w:r>
    </w:p>
    <w:p w14:paraId="02C686D2">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②质疑和质疑答复情况说明及相关证明材料；</w:t>
      </w:r>
    </w:p>
    <w:p w14:paraId="6E2723E2">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③具体、明确的投诉事项和与投诉事项相关的投诉请求；</w:t>
      </w:r>
    </w:p>
    <w:p w14:paraId="7D8C4714">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④事实依据；</w:t>
      </w:r>
    </w:p>
    <w:p w14:paraId="3D6AB067">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⑤法律依据；</w:t>
      </w:r>
    </w:p>
    <w:p w14:paraId="66E0A6EB">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⑥提起投诉的日期。</w:t>
      </w:r>
    </w:p>
    <w:p w14:paraId="1E238C37">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3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⑶</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投诉人为自然人的，应当由本人签字；投诉人为法人或者其他组织的，应当由法定代表人、主要负责人，或者其授权代表签字或者盖章，并加盖公章。</w:t>
      </w:r>
    </w:p>
    <w:p w14:paraId="15153430">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4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⑷</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投诉人提起投诉应当符合下列条件：</w:t>
      </w:r>
    </w:p>
    <w:p w14:paraId="0E873AB7">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①提起投诉前已依法进行质疑；</w:t>
      </w:r>
    </w:p>
    <w:p w14:paraId="17CD1E7C">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②投诉书内容符合本办法的规定；</w:t>
      </w:r>
    </w:p>
    <w:p w14:paraId="06D22928">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③在投诉有效期限内提起投诉；</w:t>
      </w:r>
    </w:p>
    <w:p w14:paraId="4B26030D">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④同一投诉事项未经财政部门投诉处理；</w:t>
      </w:r>
    </w:p>
    <w:p w14:paraId="5B147142">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⑤财政部规定的其他条件。</w:t>
      </w:r>
    </w:p>
    <w:p w14:paraId="22326B86">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5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⑸</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供应商投诉的事项不得超出已质疑事项的范围，但基于质疑答复内容提出的投诉事项除外。</w:t>
      </w:r>
    </w:p>
    <w:p w14:paraId="5B1756BC">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 6 \* GB2 \* MERGEFORMAT </w:instrText>
      </w:r>
      <w:r>
        <w:rPr>
          <w:rFonts w:hint="eastAsia" w:asciiTheme="minorEastAsia" w:hAnsiTheme="minorEastAsia" w:eastAsiaTheme="minorEastAsia" w:cstheme="minorEastAsia"/>
          <w:color w:val="auto"/>
          <w:sz w:val="24"/>
          <w:szCs w:val="24"/>
          <w:highlight w:val="none"/>
        </w:rPr>
        <w:fldChar w:fldCharType="separate"/>
      </w:r>
      <w:r>
        <w:rPr>
          <w:rFonts w:hint="eastAsia" w:asciiTheme="minorEastAsia" w:hAnsiTheme="minorEastAsia" w:eastAsiaTheme="minorEastAsia" w:cstheme="minorEastAsia"/>
          <w:color w:val="auto"/>
          <w:sz w:val="24"/>
          <w:szCs w:val="24"/>
          <w:highlight w:val="none"/>
        </w:rPr>
        <w:t>⑹</w:t>
      </w:r>
      <w:r>
        <w:rPr>
          <w:rFonts w:hint="eastAsia" w:asciiTheme="minorEastAsia" w:hAnsiTheme="minorEastAsia" w:eastAsiaTheme="minorEastAsia" w:cstheme="minorEastAsia"/>
          <w:color w:val="auto"/>
          <w:sz w:val="24"/>
          <w:szCs w:val="24"/>
          <w:highlight w:val="none"/>
        </w:rPr>
        <w:fldChar w:fldCharType="end"/>
      </w:r>
      <w:r>
        <w:rPr>
          <w:rFonts w:hint="eastAsia" w:asciiTheme="minorEastAsia" w:hAnsiTheme="minorEastAsia" w:eastAsiaTheme="minorEastAsia" w:cstheme="minorEastAsia"/>
          <w:color w:val="auto"/>
          <w:sz w:val="24"/>
          <w:szCs w:val="24"/>
          <w:highlight w:val="none"/>
        </w:rPr>
        <w:t>投诉人有下列行为之一的，属于虚假、恶意投诉，由财政部门列入不良行为记录名单，禁止其1至3年内参加政府采购活动：</w:t>
      </w:r>
    </w:p>
    <w:p w14:paraId="433FC9B5">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①捏造事实；</w:t>
      </w:r>
    </w:p>
    <w:p w14:paraId="665D128D">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②提供虚假材料；</w:t>
      </w:r>
    </w:p>
    <w:p w14:paraId="24707002">
      <w:pPr>
        <w:numPr>
          <w:ilvl w:val="0"/>
          <w:numId w:val="0"/>
        </w:numPr>
        <w:spacing w:after="0" w:line="540" w:lineRule="exact"/>
        <w:ind w:left="400" w:left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③以非法手段取得证明材料。证据来源的合法性存在明显疑问，投诉人无法证明其取得方式合法的，视为以非法手段取得证明材料。</w:t>
      </w:r>
    </w:p>
    <w:p w14:paraId="72891A0D">
      <w:p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⑺财政部门收到投诉书后，按照《政府采购质疑和投诉办法》（中华人民共和国财政部令第94号）相关规定处理。</w:t>
      </w:r>
    </w:p>
    <w:p w14:paraId="693CBFB8">
      <w:pPr>
        <w:numPr>
          <w:ilvl w:val="0"/>
          <w:numId w:val="0"/>
        </w:numPr>
        <w:spacing w:after="0" w:line="540" w:lineRule="exact"/>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9.5.3质疑函和投诉书应当使用中文。</w:t>
      </w:r>
    </w:p>
    <w:p w14:paraId="73083174">
      <w:pPr>
        <w:numPr>
          <w:ilvl w:val="0"/>
          <w:numId w:val="0"/>
        </w:numPr>
        <w:spacing w:after="0" w:line="540" w:lineRule="exact"/>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9.5.4（1）接收质疑函的方式：书面方式；</w:t>
      </w:r>
    </w:p>
    <w:p w14:paraId="5485B6BB">
      <w:pPr>
        <w:numPr>
          <w:ilvl w:val="0"/>
          <w:numId w:val="0"/>
        </w:numPr>
        <w:spacing w:after="0" w:line="540" w:lineRule="exact"/>
        <w:ind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（2）接收质疑函的部门：红河州顺胜项目管理有限公司 ；</w:t>
      </w:r>
    </w:p>
    <w:p w14:paraId="6FF99A8B">
      <w:pPr>
        <w:numPr>
          <w:ilvl w:val="0"/>
          <w:numId w:val="0"/>
        </w:numPr>
        <w:spacing w:after="0" w:line="540" w:lineRule="exact"/>
        <w:ind w:firstLine="960" w:firstLineChars="4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（3）联系人、联系电话：李甜甜、孙磊、0873-3660355；</w:t>
      </w:r>
    </w:p>
    <w:p w14:paraId="331D6068">
      <w:pPr>
        <w:spacing w:after="0" w:line="540" w:lineRule="exact"/>
        <w:ind w:firstLine="960" w:firstLineChars="400"/>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（4）通讯地址：蒙自市吉庆路48号。</w:t>
      </w:r>
    </w:p>
    <w:p w14:paraId="2BACBDF5">
      <w:pPr>
        <w:adjustRightInd/>
        <w:snapToGrid/>
        <w:spacing w:after="0"/>
        <w:jc w:val="both"/>
        <w:rPr>
          <w:rFonts w:hint="eastAsia" w:ascii="宋体" w:hAnsi="宋体" w:eastAsia="宋体" w:cs="宋体"/>
          <w:b/>
          <w:bCs/>
          <w:color w:val="auto"/>
          <w:sz w:val="28"/>
          <w:szCs w:val="28"/>
          <w:highlight w:val="none"/>
        </w:rPr>
      </w:pPr>
      <w:bookmarkStart w:id="91" w:name="_bookmark62"/>
      <w:bookmarkEnd w:id="91"/>
      <w:r>
        <w:rPr>
          <w:rFonts w:hint="eastAsia" w:ascii="宋体" w:hAnsi="宋体" w:eastAsia="宋体" w:cs="宋体"/>
          <w:b/>
          <w:bCs/>
          <w:color w:val="auto"/>
          <w:sz w:val="28"/>
          <w:szCs w:val="28"/>
          <w:highlight w:val="none"/>
        </w:rPr>
        <w:t>10.需要补充的其他内容</w:t>
      </w:r>
    </w:p>
    <w:p w14:paraId="0797DF63">
      <w:pPr>
        <w:pageBreakBefore w:val="0"/>
        <w:kinsoku/>
        <w:wordWrap/>
        <w:overflowPunct/>
        <w:topLinePunct w:val="0"/>
        <w:autoSpaceDE/>
        <w:autoSpaceDN/>
        <w:bidi w:val="0"/>
        <w:spacing w:after="0"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需要补充的其他内容：见磋商申请人须知前附表。</w:t>
      </w:r>
    </w:p>
    <w:p w14:paraId="2A7226E2">
      <w:pPr>
        <w:adjustRightInd/>
        <w:snapToGrid/>
        <w:spacing w:after="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14:paraId="2BE53567">
      <w:pP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附表一：问题澄清通知</w:t>
      </w:r>
    </w:p>
    <w:p w14:paraId="7828E54F">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问题澄清的通知</w:t>
      </w:r>
    </w:p>
    <w:p w14:paraId="0B8B3AEA">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p w14:paraId="7985102F">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（磋商申请人名称）</w:t>
      </w:r>
    </w:p>
    <w:p w14:paraId="38715213">
      <w:pPr>
        <w:rPr>
          <w:rFonts w:hint="eastAsia" w:ascii="宋体" w:hAnsi="宋体" w:eastAsia="宋体" w:cs="宋体"/>
          <w:color w:val="auto"/>
          <w:sz w:val="24"/>
          <w:szCs w:val="24"/>
          <w:highlight w:val="none"/>
        </w:rPr>
      </w:pPr>
    </w:p>
    <w:p w14:paraId="6410ADD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（项目名称）磋商的磋商小组，对你方的竞争性磋商响应文件进行了仔细的审查，现需你方对下列问题以书面形式予以澄清：</w:t>
      </w:r>
    </w:p>
    <w:p w14:paraId="6703A4D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36BC094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42D203B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6B8AF273">
      <w:pPr>
        <w:spacing w:line="360" w:lineRule="auto"/>
        <w:rPr>
          <w:rFonts w:hint="eastAsia" w:ascii="宋体" w:hAnsi="宋体" w:eastAsia="宋体" w:cs="宋体"/>
          <w:color w:val="auto"/>
          <w:sz w:val="24"/>
          <w:szCs w:val="24"/>
          <w:highlight w:val="none"/>
        </w:rPr>
      </w:pPr>
    </w:p>
    <w:p w14:paraId="5BE1487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时前递交至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（详细地址） 或传真至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（传真号码）。采用传真方式的，应在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时前将原件递交至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（详细地址）。</w:t>
      </w:r>
    </w:p>
    <w:p w14:paraId="430FEAE1">
      <w:pPr>
        <w:spacing w:line="360" w:lineRule="auto"/>
        <w:rPr>
          <w:rFonts w:hint="eastAsia" w:ascii="宋体" w:hAnsi="宋体" w:eastAsia="宋体" w:cs="宋体"/>
          <w:color w:val="auto"/>
          <w:sz w:val="24"/>
          <w:szCs w:val="24"/>
          <w:highlight w:val="none"/>
        </w:rPr>
      </w:pPr>
    </w:p>
    <w:p w14:paraId="683C7141">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eastAsia="zh-CN"/>
        </w:rPr>
        <w:t>组长</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23CEFC78">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日</w:t>
      </w:r>
    </w:p>
    <w:p w14:paraId="23D549BE">
      <w:pPr>
        <w:outlineLvl w:val="9"/>
        <w:rPr>
          <w:rFonts w:hint="eastAsia" w:ascii="宋体" w:hAnsi="宋体" w:eastAsia="宋体" w:cs="宋体"/>
          <w:b/>
          <w:bCs/>
          <w:color w:val="auto"/>
          <w:sz w:val="24"/>
          <w:szCs w:val="24"/>
          <w:highlight w:val="none"/>
        </w:rPr>
      </w:pPr>
    </w:p>
    <w:p w14:paraId="37BB4AF4">
      <w:pPr>
        <w:pStyle w:val="80"/>
        <w:rPr>
          <w:rFonts w:hint="eastAsia" w:ascii="宋体" w:hAnsi="宋体" w:eastAsia="宋体" w:cs="宋体"/>
          <w:b/>
          <w:bCs/>
          <w:color w:val="auto"/>
          <w:sz w:val="24"/>
          <w:szCs w:val="24"/>
          <w:highlight w:val="none"/>
        </w:rPr>
      </w:pPr>
    </w:p>
    <w:p w14:paraId="065B8F66">
      <w:pPr>
        <w:pStyle w:val="80"/>
        <w:rPr>
          <w:rFonts w:hint="eastAsia" w:ascii="宋体" w:hAnsi="宋体" w:eastAsia="宋体" w:cs="宋体"/>
          <w:b/>
          <w:bCs/>
          <w:color w:val="auto"/>
          <w:sz w:val="24"/>
          <w:szCs w:val="24"/>
          <w:highlight w:val="none"/>
        </w:rPr>
      </w:pPr>
    </w:p>
    <w:p w14:paraId="5A7284B2">
      <w:pPr>
        <w:pStyle w:val="80"/>
        <w:rPr>
          <w:rFonts w:hint="eastAsia" w:ascii="宋体" w:hAnsi="宋体" w:eastAsia="宋体" w:cs="宋体"/>
          <w:b/>
          <w:bCs/>
          <w:color w:val="auto"/>
          <w:sz w:val="24"/>
          <w:szCs w:val="24"/>
          <w:highlight w:val="none"/>
        </w:rPr>
      </w:pPr>
    </w:p>
    <w:p w14:paraId="162614C4">
      <w:pPr>
        <w:pStyle w:val="80"/>
        <w:rPr>
          <w:rFonts w:hint="eastAsia" w:ascii="宋体" w:hAnsi="宋体" w:eastAsia="宋体" w:cs="宋体"/>
          <w:b/>
          <w:bCs/>
          <w:color w:val="auto"/>
          <w:sz w:val="24"/>
          <w:szCs w:val="24"/>
          <w:highlight w:val="none"/>
        </w:rPr>
      </w:pPr>
    </w:p>
    <w:p w14:paraId="4AE13BDF">
      <w:pPr>
        <w:pStyle w:val="80"/>
        <w:rPr>
          <w:rFonts w:hint="eastAsia" w:ascii="宋体" w:hAnsi="宋体" w:eastAsia="宋体" w:cs="宋体"/>
          <w:b/>
          <w:bCs/>
          <w:color w:val="auto"/>
          <w:sz w:val="24"/>
          <w:szCs w:val="24"/>
          <w:highlight w:val="none"/>
        </w:rPr>
      </w:pPr>
    </w:p>
    <w:p w14:paraId="3349913C">
      <w:pPr>
        <w:pStyle w:val="80"/>
        <w:rPr>
          <w:rFonts w:hint="eastAsia" w:ascii="宋体" w:hAnsi="宋体" w:eastAsia="宋体" w:cs="宋体"/>
          <w:b/>
          <w:bCs/>
          <w:color w:val="auto"/>
          <w:sz w:val="24"/>
          <w:szCs w:val="24"/>
          <w:highlight w:val="none"/>
        </w:rPr>
      </w:pPr>
    </w:p>
    <w:p w14:paraId="36D7E3F1">
      <w:pPr>
        <w:pStyle w:val="80"/>
        <w:rPr>
          <w:rFonts w:hint="eastAsia" w:ascii="宋体" w:hAnsi="宋体" w:eastAsia="宋体" w:cs="宋体"/>
          <w:b/>
          <w:bCs/>
          <w:color w:val="auto"/>
          <w:sz w:val="24"/>
          <w:szCs w:val="24"/>
          <w:highlight w:val="none"/>
        </w:rPr>
      </w:pPr>
    </w:p>
    <w:p w14:paraId="2CBA0BD3">
      <w:pPr>
        <w:pStyle w:val="80"/>
        <w:rPr>
          <w:rFonts w:hint="eastAsia" w:ascii="宋体" w:hAnsi="宋体" w:eastAsia="宋体" w:cs="宋体"/>
          <w:b/>
          <w:bCs/>
          <w:color w:val="auto"/>
          <w:sz w:val="24"/>
          <w:szCs w:val="24"/>
          <w:highlight w:val="none"/>
        </w:rPr>
      </w:pPr>
    </w:p>
    <w:p w14:paraId="2E4232E7">
      <w:pPr>
        <w:pStyle w:val="80"/>
        <w:rPr>
          <w:rFonts w:hint="eastAsia" w:ascii="宋体" w:hAnsi="宋体" w:eastAsia="宋体" w:cs="宋体"/>
          <w:b/>
          <w:bCs/>
          <w:color w:val="auto"/>
          <w:sz w:val="24"/>
          <w:szCs w:val="24"/>
          <w:highlight w:val="none"/>
        </w:rPr>
      </w:pPr>
    </w:p>
    <w:p w14:paraId="588494BA">
      <w:pPr>
        <w:pStyle w:val="80"/>
        <w:rPr>
          <w:rFonts w:hint="eastAsia" w:ascii="宋体" w:hAnsi="宋体" w:eastAsia="宋体" w:cs="宋体"/>
          <w:b/>
          <w:bCs/>
          <w:color w:val="auto"/>
          <w:sz w:val="24"/>
          <w:szCs w:val="24"/>
          <w:highlight w:val="none"/>
        </w:rPr>
      </w:pPr>
    </w:p>
    <w:p w14:paraId="4CBBC220">
      <w:pPr>
        <w:pStyle w:val="80"/>
        <w:rPr>
          <w:rFonts w:hint="eastAsia" w:ascii="宋体" w:hAnsi="宋体" w:eastAsia="宋体" w:cs="宋体"/>
          <w:b/>
          <w:bCs/>
          <w:color w:val="auto"/>
          <w:sz w:val="24"/>
          <w:szCs w:val="24"/>
          <w:highlight w:val="none"/>
        </w:rPr>
      </w:pPr>
    </w:p>
    <w:p w14:paraId="3D63F851">
      <w:pPr>
        <w:outlineLvl w:val="9"/>
        <w:rPr>
          <w:rFonts w:hint="eastAsia" w:ascii="宋体" w:hAnsi="宋体" w:eastAsia="宋体" w:cs="宋体"/>
          <w:b/>
          <w:bCs/>
          <w:color w:val="auto"/>
          <w:sz w:val="24"/>
          <w:szCs w:val="24"/>
          <w:highlight w:val="none"/>
        </w:rPr>
      </w:pPr>
    </w:p>
    <w:p w14:paraId="4C4B6A50">
      <w:pPr>
        <w:outlineLvl w:val="9"/>
        <w:rPr>
          <w:rFonts w:hint="eastAsia" w:ascii="宋体" w:hAnsi="宋体" w:eastAsia="宋体" w:cs="宋体"/>
          <w:b/>
          <w:bCs/>
          <w:color w:val="auto"/>
          <w:sz w:val="24"/>
          <w:szCs w:val="24"/>
          <w:highlight w:val="none"/>
        </w:rPr>
      </w:pPr>
    </w:p>
    <w:p w14:paraId="45EE74E4">
      <w:pPr>
        <w:outlineLvl w:val="9"/>
        <w:rPr>
          <w:rFonts w:hint="eastAsia" w:ascii="宋体" w:hAnsi="宋体" w:eastAsia="宋体" w:cs="宋体"/>
          <w:b/>
          <w:bCs/>
          <w:color w:val="auto"/>
          <w:sz w:val="24"/>
          <w:szCs w:val="24"/>
          <w:highlight w:val="none"/>
        </w:rPr>
      </w:pPr>
    </w:p>
    <w:p w14:paraId="1EEBE1BF">
      <w:pPr>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附表二：问题的澄清</w:t>
      </w:r>
    </w:p>
    <w:p w14:paraId="00FFAACE">
      <w:pPr>
        <w:jc w:val="center"/>
        <w:outlineLvl w:val="0"/>
        <w:rPr>
          <w:rFonts w:hint="eastAsia" w:ascii="宋体" w:hAnsi="宋体" w:eastAsia="宋体" w:cs="宋体"/>
          <w:b/>
          <w:bCs/>
          <w:color w:val="auto"/>
          <w:sz w:val="24"/>
          <w:szCs w:val="24"/>
          <w:highlight w:val="none"/>
        </w:rPr>
      </w:pPr>
      <w:bookmarkStart w:id="92" w:name="_Toc20649"/>
      <w:r>
        <w:rPr>
          <w:rFonts w:hint="eastAsia" w:ascii="宋体" w:hAnsi="宋体" w:eastAsia="宋体" w:cs="宋体"/>
          <w:b/>
          <w:bCs/>
          <w:color w:val="auto"/>
          <w:sz w:val="24"/>
          <w:szCs w:val="24"/>
          <w:highlight w:val="none"/>
        </w:rPr>
        <w:t>问题的澄清</w:t>
      </w:r>
      <w:bookmarkEnd w:id="92"/>
    </w:p>
    <w:p w14:paraId="3FE3A6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5A79B3D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w:t>
      </w:r>
    </w:p>
    <w:p w14:paraId="4855FD39">
      <w:pPr>
        <w:rPr>
          <w:rFonts w:hint="eastAsia" w:ascii="宋体" w:hAnsi="宋体" w:eastAsia="宋体" w:cs="宋体"/>
          <w:color w:val="auto"/>
          <w:sz w:val="24"/>
          <w:szCs w:val="24"/>
          <w:highlight w:val="none"/>
        </w:rPr>
      </w:pPr>
    </w:p>
    <w:p w14:paraId="0B44D14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462024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74D4CC7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3ED3B1A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72197720">
      <w:pPr>
        <w:rPr>
          <w:rFonts w:hint="eastAsia" w:ascii="宋体" w:hAnsi="宋体" w:eastAsia="宋体" w:cs="宋体"/>
          <w:color w:val="auto"/>
          <w:sz w:val="24"/>
          <w:szCs w:val="24"/>
          <w:highlight w:val="none"/>
        </w:rPr>
      </w:pPr>
    </w:p>
    <w:p w14:paraId="0B4649D9">
      <w:pPr>
        <w:rPr>
          <w:rFonts w:hint="eastAsia" w:ascii="宋体" w:hAnsi="宋体" w:eastAsia="宋体" w:cs="宋体"/>
          <w:color w:val="auto"/>
          <w:sz w:val="24"/>
          <w:szCs w:val="24"/>
          <w:highlight w:val="none"/>
        </w:rPr>
      </w:pPr>
    </w:p>
    <w:p w14:paraId="0022ABC1">
      <w:pPr>
        <w:rPr>
          <w:rFonts w:hint="eastAsia" w:ascii="宋体" w:hAnsi="宋体" w:eastAsia="宋体" w:cs="宋体"/>
          <w:color w:val="auto"/>
          <w:sz w:val="24"/>
          <w:szCs w:val="24"/>
          <w:highlight w:val="none"/>
        </w:rPr>
      </w:pPr>
    </w:p>
    <w:p w14:paraId="59E73F16">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10A0677A">
      <w:pPr>
        <w:jc w:val="right"/>
        <w:rPr>
          <w:rFonts w:hint="eastAsia" w:ascii="宋体" w:hAnsi="宋体" w:eastAsia="宋体" w:cs="宋体"/>
          <w:color w:val="auto"/>
          <w:sz w:val="24"/>
          <w:szCs w:val="24"/>
          <w:highlight w:val="none"/>
        </w:rPr>
      </w:pPr>
    </w:p>
    <w:p w14:paraId="64189946">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1ADEB09E">
      <w:pPr>
        <w:jc w:val="right"/>
        <w:rPr>
          <w:rFonts w:hint="eastAsia" w:ascii="宋体" w:hAnsi="宋体" w:eastAsia="宋体" w:cs="宋体"/>
          <w:color w:val="auto"/>
          <w:sz w:val="24"/>
          <w:szCs w:val="24"/>
          <w:highlight w:val="none"/>
        </w:rPr>
      </w:pPr>
    </w:p>
    <w:p w14:paraId="6C374391">
      <w:pPr>
        <w:jc w:val="right"/>
        <w:rPr>
          <w:rFonts w:ascii="微软雅黑" w:hAnsi="微软雅黑"/>
          <w:color w:val="auto"/>
          <w:sz w:val="24"/>
          <w:szCs w:val="24"/>
          <w:highlight w:val="none"/>
        </w:rPr>
        <w:sectPr>
          <w:headerReference r:id="rId10" w:type="first"/>
          <w:footerReference r:id="rId12" w:type="first"/>
          <w:footerReference r:id="rId11" w:type="default"/>
          <w:pgSz w:w="11910" w:h="16840"/>
          <w:pgMar w:top="913" w:right="856" w:bottom="913" w:left="868" w:header="340" w:footer="227" w:gutter="0"/>
          <w:pgNumType w:fmt="decimal" w:start="1"/>
          <w:cols w:space="720" w:num="1"/>
          <w:titlePg/>
          <w:docGrid w:linePitch="299" w:charSpace="0"/>
        </w:sectPr>
      </w:pPr>
      <w:r>
        <w:rPr>
          <w:rFonts w:hint="eastAsia" w:ascii="微软雅黑" w:hAnsi="微软雅黑"/>
          <w:color w:val="auto"/>
          <w:sz w:val="24"/>
          <w:szCs w:val="24"/>
          <w:highlight w:val="none"/>
        </w:rPr>
        <w:t xml:space="preserve">年 </w:t>
      </w:r>
      <w:r>
        <w:rPr>
          <w:rFonts w:hint="eastAsia" w:ascii="微软雅黑" w:hAnsi="微软雅黑"/>
          <w:color w:val="auto"/>
          <w:sz w:val="24"/>
          <w:szCs w:val="24"/>
          <w:highlight w:val="none"/>
        </w:rPr>
        <w:tab/>
      </w:r>
      <w:r>
        <w:rPr>
          <w:rFonts w:hint="eastAsia" w:ascii="微软雅黑" w:hAnsi="微软雅黑"/>
          <w:color w:val="auto"/>
          <w:sz w:val="24"/>
          <w:szCs w:val="24"/>
          <w:highlight w:val="none"/>
        </w:rPr>
        <w:t xml:space="preserve">月 </w:t>
      </w:r>
      <w:r>
        <w:rPr>
          <w:rFonts w:hint="eastAsia" w:ascii="微软雅黑" w:hAnsi="微软雅黑"/>
          <w:color w:val="auto"/>
          <w:sz w:val="24"/>
          <w:szCs w:val="24"/>
          <w:highlight w:val="none"/>
        </w:rPr>
        <w:tab/>
      </w:r>
      <w:r>
        <w:rPr>
          <w:rFonts w:hint="eastAsia" w:ascii="微软雅黑" w:hAnsi="微软雅黑"/>
          <w:color w:val="auto"/>
          <w:sz w:val="24"/>
          <w:szCs w:val="24"/>
          <w:highlight w:val="none"/>
        </w:rPr>
        <w:t>日</w:t>
      </w:r>
    </w:p>
    <w:p w14:paraId="1318B3DD">
      <w:pPr>
        <w:pStyle w:val="2"/>
        <w:spacing w:line="440" w:lineRule="exact"/>
        <w:jc w:val="center"/>
        <w:rPr>
          <w:rFonts w:hint="eastAsia" w:ascii="宋体" w:hAnsi="宋体" w:eastAsia="宋体" w:cs="宋体"/>
          <w:color w:val="auto"/>
          <w:sz w:val="40"/>
          <w:highlight w:val="none"/>
        </w:rPr>
      </w:pPr>
      <w:bookmarkStart w:id="93" w:name="_Toc530733561"/>
      <w:bookmarkStart w:id="94" w:name="_Toc5198"/>
      <w:bookmarkStart w:id="95" w:name="_Toc31179"/>
      <w:bookmarkStart w:id="96" w:name="_Toc468962371"/>
      <w:bookmarkStart w:id="97" w:name="_Toc468367787"/>
      <w:bookmarkStart w:id="98" w:name="_Toc466120028"/>
      <w:bookmarkStart w:id="99" w:name="_Toc472062102"/>
      <w:bookmarkStart w:id="100" w:name="_Toc468280346"/>
      <w:r>
        <w:rPr>
          <w:rFonts w:hint="eastAsia" w:ascii="宋体" w:hAnsi="宋体" w:eastAsia="宋体" w:cs="宋体"/>
          <w:color w:val="auto"/>
          <w:sz w:val="40"/>
          <w:highlight w:val="none"/>
        </w:rPr>
        <w:t xml:space="preserve">第三章 </w:t>
      </w:r>
      <w:r>
        <w:rPr>
          <w:rFonts w:hint="eastAsia" w:ascii="宋体" w:hAnsi="宋体" w:eastAsia="宋体" w:cs="宋体"/>
          <w:color w:val="auto"/>
          <w:sz w:val="40"/>
          <w:highlight w:val="none"/>
          <w:lang w:val="en-US" w:eastAsia="zh-CN"/>
        </w:rPr>
        <w:t xml:space="preserve"> </w:t>
      </w:r>
      <w:r>
        <w:rPr>
          <w:rFonts w:hint="eastAsia" w:ascii="宋体" w:hAnsi="宋体" w:eastAsia="宋体" w:cs="宋体"/>
          <w:color w:val="auto"/>
          <w:sz w:val="40"/>
          <w:highlight w:val="none"/>
        </w:rPr>
        <w:t>评审办法（综合评分法）</w:t>
      </w:r>
      <w:bookmarkEnd w:id="93"/>
      <w:bookmarkEnd w:id="94"/>
      <w:bookmarkEnd w:id="95"/>
    </w:p>
    <w:p w14:paraId="0C570B38">
      <w:pPr>
        <w:pStyle w:val="3"/>
        <w:spacing w:before="120" w:after="120" w:line="440" w:lineRule="exact"/>
        <w:jc w:val="center"/>
        <w:rPr>
          <w:rFonts w:hint="eastAsia" w:ascii="宋体" w:hAnsi="宋体" w:eastAsia="宋体" w:cs="宋体"/>
          <w:color w:val="auto"/>
          <w:sz w:val="28"/>
          <w:highlight w:val="none"/>
        </w:rPr>
      </w:pPr>
      <w:bookmarkStart w:id="101" w:name="_bookmark66"/>
      <w:bookmarkEnd w:id="101"/>
      <w:bookmarkStart w:id="102" w:name="_Toc517963434"/>
      <w:bookmarkStart w:id="103" w:name="_Toc1417"/>
      <w:bookmarkStart w:id="104" w:name="_Toc530733562"/>
      <w:r>
        <w:rPr>
          <w:rFonts w:hint="eastAsia" w:ascii="宋体" w:hAnsi="宋体" w:eastAsia="宋体" w:cs="宋体"/>
          <w:color w:val="auto"/>
          <w:sz w:val="28"/>
          <w:highlight w:val="none"/>
        </w:rPr>
        <w:t>评审办法前附表</w:t>
      </w:r>
      <w:bookmarkEnd w:id="102"/>
      <w:bookmarkEnd w:id="103"/>
      <w:bookmarkEnd w:id="104"/>
    </w:p>
    <w:tbl>
      <w:tblPr>
        <w:tblStyle w:val="6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5"/>
        <w:gridCol w:w="578"/>
        <w:gridCol w:w="4548"/>
        <w:gridCol w:w="4759"/>
      </w:tblGrid>
      <w:tr w14:paraId="66FB8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0" w:type="auto"/>
            <w:vAlign w:val="center"/>
          </w:tcPr>
          <w:p w14:paraId="05F11125">
            <w:pPr>
              <w:spacing w:after="0" w:line="300" w:lineRule="exact"/>
              <w:jc w:val="center"/>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标准</w:t>
            </w:r>
          </w:p>
        </w:tc>
        <w:tc>
          <w:tcPr>
            <w:tcW w:w="0" w:type="auto"/>
            <w:vAlign w:val="center"/>
          </w:tcPr>
          <w:p w14:paraId="375E14D6">
            <w:pPr>
              <w:spacing w:after="0" w:line="300" w:lineRule="exact"/>
              <w:jc w:val="center"/>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评审因素</w:t>
            </w:r>
          </w:p>
        </w:tc>
        <w:tc>
          <w:tcPr>
            <w:tcW w:w="4548" w:type="dxa"/>
            <w:vAlign w:val="center"/>
          </w:tcPr>
          <w:p w14:paraId="5C1CA890">
            <w:pPr>
              <w:spacing w:after="0" w:line="300" w:lineRule="exact"/>
              <w:jc w:val="center"/>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评 审 标 准</w:t>
            </w:r>
          </w:p>
        </w:tc>
        <w:tc>
          <w:tcPr>
            <w:tcW w:w="4759" w:type="dxa"/>
            <w:vAlign w:val="center"/>
          </w:tcPr>
          <w:p w14:paraId="5FFCFC78">
            <w:pPr>
              <w:spacing w:after="0" w:line="300" w:lineRule="exact"/>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要求说明</w:t>
            </w:r>
          </w:p>
        </w:tc>
      </w:tr>
      <w:tr w14:paraId="062FF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6" w:hRule="exact"/>
          <w:jc w:val="center"/>
        </w:trPr>
        <w:tc>
          <w:tcPr>
            <w:tcW w:w="0" w:type="auto"/>
            <w:vMerge w:val="restart"/>
            <w:vAlign w:val="center"/>
          </w:tcPr>
          <w:p w14:paraId="6AD8F234">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资格审查要求</w:t>
            </w:r>
          </w:p>
        </w:tc>
        <w:tc>
          <w:tcPr>
            <w:tcW w:w="0" w:type="auto"/>
            <w:vAlign w:val="center"/>
          </w:tcPr>
          <w:p w14:paraId="657CC424">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营业执照</w:t>
            </w:r>
          </w:p>
        </w:tc>
        <w:tc>
          <w:tcPr>
            <w:tcW w:w="4548" w:type="dxa"/>
            <w:vAlign w:val="center"/>
          </w:tcPr>
          <w:p w14:paraId="433251A6">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具有独立承担民事责任的能力</w:t>
            </w:r>
          </w:p>
        </w:tc>
        <w:tc>
          <w:tcPr>
            <w:tcW w:w="4759" w:type="dxa"/>
            <w:vAlign w:val="center"/>
          </w:tcPr>
          <w:p w14:paraId="100DC5FA">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有效的企业法人营业执照或其他组织证明文件，具备有效的营业执照或事业单位法人证书或其他类似的法定证明文件。</w:t>
            </w:r>
          </w:p>
        </w:tc>
      </w:tr>
      <w:tr w14:paraId="0AA5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5" w:hRule="exact"/>
          <w:jc w:val="center"/>
        </w:trPr>
        <w:tc>
          <w:tcPr>
            <w:tcW w:w="0" w:type="auto"/>
            <w:vMerge w:val="continue"/>
            <w:vAlign w:val="center"/>
          </w:tcPr>
          <w:p w14:paraId="20CA8791">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61709FE4">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财务报告</w:t>
            </w:r>
          </w:p>
        </w:tc>
        <w:tc>
          <w:tcPr>
            <w:tcW w:w="4548" w:type="dxa"/>
            <w:vAlign w:val="center"/>
          </w:tcPr>
          <w:p w14:paraId="02AC2601">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具有良好的商业信誉和健全的财务会计制度</w:t>
            </w:r>
          </w:p>
        </w:tc>
        <w:tc>
          <w:tcPr>
            <w:tcW w:w="4759" w:type="dxa"/>
            <w:vAlign w:val="center"/>
          </w:tcPr>
          <w:p w14:paraId="297457E5">
            <w:pPr>
              <w:spacing w:after="0" w:line="300" w:lineRule="exact"/>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eastAsia="zh-CN"/>
              </w:rPr>
              <w:t>提供2024年至今任意一年经会计师事务所审计机构审计的审计报告及财务报表（包括资产负债表、利润表、现金流量表及财务情况说明书（附注））或投标文件递交截止时间前3个月内由银行开具的资信证明文件（或资金证明文件），成立不满1年的供应商提供自成立以来公司内部完整的财务报表（包括资产负债表、利润表、现金流量表）或投标文件递交截止时间前3个月内由银行开具的资信证明文件（或资金证明文件）</w:t>
            </w:r>
          </w:p>
        </w:tc>
      </w:tr>
      <w:tr w14:paraId="45CE9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3" w:hRule="exact"/>
          <w:jc w:val="center"/>
        </w:trPr>
        <w:tc>
          <w:tcPr>
            <w:tcW w:w="0" w:type="auto"/>
            <w:vMerge w:val="continue"/>
            <w:vAlign w:val="center"/>
          </w:tcPr>
          <w:p w14:paraId="5A65D56B">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4738FBD4">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其他</w:t>
            </w:r>
          </w:p>
        </w:tc>
        <w:tc>
          <w:tcPr>
            <w:tcW w:w="4548" w:type="dxa"/>
            <w:vAlign w:val="center"/>
          </w:tcPr>
          <w:p w14:paraId="79684593">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1.有依法缴纳税收和社会保障资金的良好记录</w:t>
            </w:r>
          </w:p>
        </w:tc>
        <w:tc>
          <w:tcPr>
            <w:tcW w:w="4759" w:type="dxa"/>
            <w:vAlign w:val="center"/>
          </w:tcPr>
          <w:p w14:paraId="42B63D67">
            <w:pPr>
              <w:spacing w:after="0" w:line="300" w:lineRule="exact"/>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eastAsia="zh-CN"/>
              </w:rPr>
              <w:t>①提供在2025年1月至本项目响应文件提交截止时间前任意3个月税务局税收通用缴款书或银行电子缴税（费）凭证或税务局出具纳税情况的相关证明，依法免税的，应提供依法免税的相关证明文件（或提供国家税务局开具的“无欠税证明”）。成立不满3个月的新企业提供情况说明，此项不作废标条件；②提供在2025年1月至本项目响应文件提交截止时间前任意3个月社会保险费缴款书或银行电子缴税（费）凭证或社保管理部门出具的有效的缴款证明，依法免缴的，应提供依法免缴的相关证明文件。成立不满3个月的新企业提供情况说明，此项不作废标条件。</w:t>
            </w:r>
          </w:p>
        </w:tc>
      </w:tr>
      <w:tr w14:paraId="0E1FF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exact"/>
          <w:jc w:val="center"/>
        </w:trPr>
        <w:tc>
          <w:tcPr>
            <w:tcW w:w="0" w:type="auto"/>
            <w:vMerge w:val="continue"/>
            <w:vAlign w:val="center"/>
          </w:tcPr>
          <w:p w14:paraId="4F4AAA00">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Align w:val="center"/>
          </w:tcPr>
          <w:p w14:paraId="0FF4AE77">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其他</w:t>
            </w:r>
          </w:p>
        </w:tc>
        <w:tc>
          <w:tcPr>
            <w:tcW w:w="4548" w:type="dxa"/>
            <w:vAlign w:val="center"/>
          </w:tcPr>
          <w:p w14:paraId="340363C7">
            <w:pPr>
              <w:numPr>
                <w:ilvl w:val="0"/>
                <w:numId w:val="0"/>
              </w:num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2.具有履行合同所必需的设备和专业技术能力</w:t>
            </w:r>
          </w:p>
        </w:tc>
        <w:tc>
          <w:tcPr>
            <w:tcW w:w="4759" w:type="dxa"/>
            <w:vAlign w:val="center"/>
          </w:tcPr>
          <w:p w14:paraId="23C2E336">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提供具有履行合同所必需的设备和专业技术能力相应的证明材料（书面声明或承诺书）。</w:t>
            </w:r>
          </w:p>
        </w:tc>
      </w:tr>
      <w:tr w14:paraId="289B1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exact"/>
          <w:jc w:val="center"/>
        </w:trPr>
        <w:tc>
          <w:tcPr>
            <w:tcW w:w="0" w:type="auto"/>
            <w:vMerge w:val="continue"/>
            <w:vAlign w:val="center"/>
          </w:tcPr>
          <w:p w14:paraId="592E69CE">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Align w:val="center"/>
          </w:tcPr>
          <w:p w14:paraId="5C0596BF">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其他</w:t>
            </w:r>
          </w:p>
        </w:tc>
        <w:tc>
          <w:tcPr>
            <w:tcW w:w="4548" w:type="dxa"/>
            <w:vAlign w:val="center"/>
          </w:tcPr>
          <w:p w14:paraId="6F6B9BA0">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3.参加政府采购活动前三年内在经营活动中没有重大违法记录</w:t>
            </w:r>
          </w:p>
        </w:tc>
        <w:tc>
          <w:tcPr>
            <w:tcW w:w="4759" w:type="dxa"/>
            <w:vAlign w:val="center"/>
          </w:tcPr>
          <w:p w14:paraId="01867D7F">
            <w:pPr>
              <w:spacing w:after="0" w:line="300" w:lineRule="exact"/>
              <w:rPr>
                <w:rFonts w:hint="default" w:asciiTheme="minorEastAsia" w:hAnsiTheme="minorEastAsia" w:eastAsiaTheme="minorEastAsia" w:cstheme="minorEastAsia"/>
                <w:color w:val="auto"/>
                <w:sz w:val="22"/>
                <w:szCs w:val="22"/>
                <w:highlight w:val="none"/>
                <w:lang w:val="en-US" w:eastAsia="zh-CN"/>
              </w:rPr>
            </w:pPr>
            <w:r>
              <w:rPr>
                <w:rFonts w:hint="default" w:asciiTheme="minorEastAsia" w:hAnsiTheme="minorEastAsia" w:eastAsiaTheme="minorEastAsia" w:cstheme="minorEastAsia"/>
                <w:color w:val="auto"/>
                <w:sz w:val="22"/>
                <w:szCs w:val="22"/>
                <w:highlight w:val="none"/>
                <w:lang w:val="en-US" w:eastAsia="zh-CN"/>
              </w:rPr>
              <w:t>提供书面声明（重大违法记录，是指磋商人因违法经营受到刑事处罚或者责令停产停业、吊销许可证或者执照、较大数额罚款等行政处罚）</w:t>
            </w:r>
            <w:r>
              <w:rPr>
                <w:rFonts w:hint="eastAsia" w:asciiTheme="minorEastAsia" w:hAnsiTheme="minorEastAsia" w:eastAsiaTheme="minorEastAsia" w:cstheme="minorEastAsia"/>
                <w:color w:val="auto"/>
                <w:sz w:val="22"/>
                <w:szCs w:val="22"/>
                <w:highlight w:val="none"/>
                <w:lang w:val="en-US" w:eastAsia="zh-CN"/>
              </w:rPr>
              <w:t>。</w:t>
            </w:r>
          </w:p>
        </w:tc>
      </w:tr>
      <w:tr w14:paraId="590C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8" w:hRule="exact"/>
          <w:jc w:val="center"/>
        </w:trPr>
        <w:tc>
          <w:tcPr>
            <w:tcW w:w="0" w:type="auto"/>
            <w:vMerge w:val="continue"/>
            <w:vAlign w:val="center"/>
          </w:tcPr>
          <w:p w14:paraId="2AF2AEB6">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restart"/>
            <w:vAlign w:val="center"/>
          </w:tcPr>
          <w:p w14:paraId="48975717">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其他</w:t>
            </w:r>
          </w:p>
        </w:tc>
        <w:tc>
          <w:tcPr>
            <w:tcW w:w="4548" w:type="dxa"/>
            <w:vAlign w:val="center"/>
          </w:tcPr>
          <w:p w14:paraId="565B7062">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1.信誉要求</w:t>
            </w:r>
          </w:p>
        </w:tc>
        <w:tc>
          <w:tcPr>
            <w:tcW w:w="4759" w:type="dxa"/>
            <w:vAlign w:val="center"/>
          </w:tcPr>
          <w:p w14:paraId="29AD31C8">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信誉良好，当前未因不良行为记录被行政主管部门暂停或取消投标资格或未被列入“信用中国”网站（http://www.creditchina.gov.cn/）失信被执行人；经信用中国（www.creditchina.gov.cn）、中国政府采购网（www.ccgp.gov.cn）等渠道查询后，列入失信被执行人、重大税收违法失信名单、政府采购严重违法失信行为记录名单的，取消投标资格。（由采购人或采购代理机构在开标当天进行查询）</w:t>
            </w:r>
          </w:p>
        </w:tc>
      </w:tr>
      <w:tr w14:paraId="22B59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3" w:hRule="exact"/>
          <w:jc w:val="center"/>
        </w:trPr>
        <w:tc>
          <w:tcPr>
            <w:tcW w:w="0" w:type="auto"/>
            <w:vMerge w:val="continue"/>
            <w:vAlign w:val="center"/>
          </w:tcPr>
          <w:p w14:paraId="285CF5C5">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continue"/>
            <w:vAlign w:val="center"/>
          </w:tcPr>
          <w:p w14:paraId="693D6D9E">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4548" w:type="dxa"/>
            <w:vAlign w:val="center"/>
          </w:tcPr>
          <w:p w14:paraId="5966FC51">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2.单位负责人为同一人或者存在直接控股、管理关系的不同供应商，不得参加同一合同项下的政府采购活动</w:t>
            </w:r>
          </w:p>
        </w:tc>
        <w:tc>
          <w:tcPr>
            <w:tcW w:w="4759" w:type="dxa"/>
            <w:vAlign w:val="center"/>
          </w:tcPr>
          <w:p w14:paraId="3D953001">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宋体" w:hAnsi="宋体" w:eastAsia="宋体" w:cs="宋体"/>
                <w:color w:val="auto"/>
                <w:sz w:val="22"/>
                <w:szCs w:val="22"/>
                <w:highlight w:val="none"/>
                <w:lang w:val="en-US" w:eastAsia="zh-CN"/>
              </w:rPr>
              <w:t>提供书面声明</w:t>
            </w:r>
          </w:p>
        </w:tc>
      </w:tr>
      <w:tr w14:paraId="51098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95" w:hRule="exact"/>
          <w:jc w:val="center"/>
        </w:trPr>
        <w:tc>
          <w:tcPr>
            <w:tcW w:w="0" w:type="auto"/>
            <w:vMerge w:val="continue"/>
            <w:vAlign w:val="center"/>
          </w:tcPr>
          <w:p w14:paraId="41C8CA92">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shd w:val="clear" w:color="auto" w:fill="auto"/>
            <w:vAlign w:val="center"/>
          </w:tcPr>
          <w:p w14:paraId="6206EB2D">
            <w:pPr>
              <w:spacing w:after="0" w:line="300" w:lineRule="exact"/>
              <w:jc w:val="center"/>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rPr>
              <w:t>采购政策</w:t>
            </w:r>
          </w:p>
        </w:tc>
        <w:tc>
          <w:tcPr>
            <w:tcW w:w="4548" w:type="dxa"/>
            <w:shd w:val="clear" w:color="auto" w:fill="auto"/>
            <w:vAlign w:val="center"/>
          </w:tcPr>
          <w:p w14:paraId="7A530EBF">
            <w:pPr>
              <w:spacing w:after="0" w:line="300" w:lineRule="exact"/>
              <w:rPr>
                <w:rFonts w:hint="eastAsia" w:asciiTheme="minorEastAsia" w:hAnsiTheme="minorEastAsia" w:eastAsiaTheme="minorEastAsia" w:cstheme="minorEastAsia"/>
                <w:color w:val="auto"/>
                <w:sz w:val="22"/>
                <w:szCs w:val="22"/>
                <w:highlight w:val="none"/>
                <w:lang w:val="en-US" w:eastAsia="zh-CN" w:bidi="ar-SA"/>
              </w:rPr>
            </w:pPr>
            <w:r>
              <w:rPr>
                <w:rFonts w:hint="eastAsia" w:ascii="宋体" w:hAnsi="宋体" w:eastAsia="宋体" w:cs="宋体"/>
                <w:color w:val="auto"/>
                <w:sz w:val="24"/>
                <w:szCs w:val="24"/>
                <w:highlight w:val="none"/>
                <w:lang w:eastAsia="zh-CN"/>
              </w:rPr>
              <w:t>本项目非专门面向中小微企业采购，采购标对应的中小企业划型标准所属行业：建筑业。《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扶持中小企业政策：针对小微企业报价给予3%的扣除，用扣除后的价格参加评审。监狱企业、残疾人福利性单位提供的产品视同小型、微型企业</w:t>
            </w:r>
          </w:p>
        </w:tc>
        <w:tc>
          <w:tcPr>
            <w:tcW w:w="4759" w:type="dxa"/>
            <w:shd w:val="clear" w:color="auto" w:fill="auto"/>
            <w:vAlign w:val="center"/>
          </w:tcPr>
          <w:p w14:paraId="01BB2F45">
            <w:pPr>
              <w:spacing w:after="0" w:line="300" w:lineRule="exact"/>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rPr>
              <w:t>提供《中小企业声明函》或（残疾人福利性单位声明函或监狱企业证明文件）</w:t>
            </w:r>
          </w:p>
        </w:tc>
      </w:tr>
      <w:tr w14:paraId="7B4D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7" w:hRule="exact"/>
          <w:jc w:val="center"/>
        </w:trPr>
        <w:tc>
          <w:tcPr>
            <w:tcW w:w="0" w:type="auto"/>
            <w:vMerge w:val="continue"/>
            <w:vAlign w:val="center"/>
          </w:tcPr>
          <w:p w14:paraId="3468504A">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shd w:val="clear" w:color="auto" w:fill="auto"/>
            <w:vAlign w:val="center"/>
          </w:tcPr>
          <w:p w14:paraId="67F83F2C">
            <w:pPr>
              <w:spacing w:after="0" w:line="300" w:lineRule="exact"/>
              <w:jc w:val="center"/>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rPr>
              <w:t>本项目的特定资格要求</w:t>
            </w:r>
          </w:p>
        </w:tc>
        <w:tc>
          <w:tcPr>
            <w:tcW w:w="4548" w:type="dxa"/>
            <w:shd w:val="clear" w:color="auto" w:fill="auto"/>
            <w:vAlign w:val="center"/>
          </w:tcPr>
          <w:p w14:paraId="3EB4E82F">
            <w:pPr>
              <w:spacing w:after="0" w:line="300" w:lineRule="exact"/>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bidi="ar-SA"/>
              </w:rPr>
              <w:t xml:space="preserve">①须具备建设行政主管部门颁发的建筑工程施工总承包叁级（含叁级）及以上资质并在人员、设备、资金等方面具有相应的施工能力（具有设备安装资质或承诺具有设备安装的能力），具有有效的安全生产许可证； </w:t>
            </w:r>
          </w:p>
          <w:p w14:paraId="13202AF6">
            <w:pPr>
              <w:spacing w:after="0" w:line="300" w:lineRule="exact"/>
              <w:rPr>
                <w:rFonts w:hint="eastAsia"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bidi="ar-SA"/>
              </w:rPr>
              <w:t>②拟任本项目负责人须具有建设行政主管部门核发的建筑工程专业贰级及以上注册建造师证和有效的安全生产考核合格证书（B证年检合格）；拟派的项目负责人的注册建造师证书及安全生产考核证注册单位需与磋商申请人名称一致。</w:t>
            </w:r>
          </w:p>
        </w:tc>
        <w:tc>
          <w:tcPr>
            <w:tcW w:w="4759" w:type="dxa"/>
            <w:shd w:val="clear" w:color="auto" w:fill="auto"/>
            <w:vAlign w:val="center"/>
          </w:tcPr>
          <w:p w14:paraId="6007F999">
            <w:pPr>
              <w:spacing w:after="0" w:line="300" w:lineRule="exact"/>
              <w:rPr>
                <w:rFonts w:hint="default" w:asciiTheme="minorEastAsia" w:hAnsiTheme="minorEastAsia" w:eastAsiaTheme="minorEastAsia" w:cstheme="minorEastAsia"/>
                <w:color w:val="auto"/>
                <w:sz w:val="22"/>
                <w:szCs w:val="22"/>
                <w:highlight w:val="none"/>
                <w:lang w:val="en-US" w:eastAsia="zh-CN" w:bidi="ar-SA"/>
              </w:rPr>
            </w:pPr>
            <w:r>
              <w:rPr>
                <w:rFonts w:hint="eastAsia" w:asciiTheme="minorEastAsia" w:hAnsiTheme="minorEastAsia" w:eastAsiaTheme="minorEastAsia" w:cstheme="minorEastAsia"/>
                <w:color w:val="auto"/>
                <w:sz w:val="22"/>
                <w:szCs w:val="22"/>
                <w:highlight w:val="none"/>
                <w:lang w:val="en-US" w:eastAsia="zh-CN"/>
              </w:rPr>
              <w:t>提供相关证书扫描件、</w:t>
            </w:r>
            <w:r>
              <w:rPr>
                <w:rFonts w:hint="eastAsia" w:ascii="宋体" w:hAnsi="宋体" w:eastAsia="宋体" w:cs="宋体"/>
                <w:color w:val="auto"/>
                <w:sz w:val="22"/>
                <w:szCs w:val="22"/>
                <w:highlight w:val="none"/>
                <w:lang w:val="en-US" w:eastAsia="zh-CN"/>
              </w:rPr>
              <w:t>书面声明（如有）</w:t>
            </w:r>
          </w:p>
        </w:tc>
      </w:tr>
    </w:tbl>
    <w:tbl>
      <w:tblPr>
        <w:tblStyle w:val="61"/>
        <w:tblpPr w:leftFromText="180" w:rightFromText="180" w:vertAnchor="text" w:horzAnchor="page" w:tblpX="591" w:tblpY="38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637"/>
        <w:gridCol w:w="967"/>
        <w:gridCol w:w="8161"/>
      </w:tblGrid>
      <w:tr w14:paraId="6A779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0" w:type="auto"/>
            <w:vAlign w:val="center"/>
          </w:tcPr>
          <w:p w14:paraId="27FA524C">
            <w:pPr>
              <w:spacing w:after="0" w:line="300" w:lineRule="exact"/>
              <w:jc w:val="center"/>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标准</w:t>
            </w:r>
          </w:p>
        </w:tc>
        <w:tc>
          <w:tcPr>
            <w:tcW w:w="0" w:type="auto"/>
            <w:vAlign w:val="center"/>
          </w:tcPr>
          <w:p w14:paraId="51A623DB">
            <w:pPr>
              <w:spacing w:after="0" w:line="300" w:lineRule="exact"/>
              <w:jc w:val="center"/>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评审因素</w:t>
            </w:r>
          </w:p>
        </w:tc>
        <w:tc>
          <w:tcPr>
            <w:tcW w:w="0" w:type="auto"/>
            <w:vAlign w:val="center"/>
          </w:tcPr>
          <w:p w14:paraId="5BB7D086">
            <w:pPr>
              <w:spacing w:after="0" w:line="300" w:lineRule="exact"/>
              <w:jc w:val="center"/>
              <w:rPr>
                <w:rFonts w:hint="eastAsia" w:asciiTheme="minorEastAsia" w:hAnsiTheme="minorEastAsia" w:eastAsiaTheme="minorEastAsia" w:cstheme="minorEastAsia"/>
                <w:b/>
                <w:bCs/>
                <w:color w:val="auto"/>
                <w:sz w:val="22"/>
                <w:szCs w:val="22"/>
                <w:highlight w:val="none"/>
              </w:rPr>
            </w:pPr>
            <w:r>
              <w:rPr>
                <w:rFonts w:hint="eastAsia" w:asciiTheme="minorEastAsia" w:hAnsiTheme="minorEastAsia" w:eastAsiaTheme="minorEastAsia" w:cstheme="minorEastAsia"/>
                <w:b/>
                <w:bCs/>
                <w:color w:val="auto"/>
                <w:sz w:val="22"/>
                <w:szCs w:val="22"/>
                <w:highlight w:val="none"/>
              </w:rPr>
              <w:t>评 审 标 准</w:t>
            </w:r>
          </w:p>
        </w:tc>
        <w:tc>
          <w:tcPr>
            <w:tcW w:w="0" w:type="auto"/>
            <w:vAlign w:val="center"/>
          </w:tcPr>
          <w:p w14:paraId="416C82AC">
            <w:pPr>
              <w:spacing w:after="0" w:line="300" w:lineRule="exact"/>
              <w:jc w:val="center"/>
              <w:rPr>
                <w:rFonts w:hint="eastAsia" w:asciiTheme="minorEastAsia" w:hAnsiTheme="minorEastAsia" w:eastAsiaTheme="minorEastAsia" w:cstheme="minorEastAsia"/>
                <w:b/>
                <w:bCs/>
                <w:color w:val="auto"/>
                <w:sz w:val="22"/>
                <w:szCs w:val="22"/>
                <w:highlight w:val="none"/>
                <w:lang w:val="en-US" w:eastAsia="zh-CN"/>
              </w:rPr>
            </w:pPr>
            <w:r>
              <w:rPr>
                <w:rFonts w:hint="eastAsia" w:asciiTheme="minorEastAsia" w:hAnsiTheme="minorEastAsia" w:eastAsiaTheme="minorEastAsia" w:cstheme="minorEastAsia"/>
                <w:b/>
                <w:bCs/>
                <w:color w:val="auto"/>
                <w:sz w:val="22"/>
                <w:szCs w:val="22"/>
                <w:highlight w:val="none"/>
                <w:lang w:val="en-US" w:eastAsia="zh-CN"/>
              </w:rPr>
              <w:t>要求说明</w:t>
            </w:r>
          </w:p>
        </w:tc>
      </w:tr>
      <w:tr w14:paraId="0C062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6" w:hRule="exact"/>
        </w:trPr>
        <w:tc>
          <w:tcPr>
            <w:tcW w:w="0" w:type="auto"/>
            <w:vMerge w:val="restart"/>
            <w:vAlign w:val="center"/>
          </w:tcPr>
          <w:p w14:paraId="06D1EBF7">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报价要求</w:t>
            </w:r>
          </w:p>
        </w:tc>
        <w:tc>
          <w:tcPr>
            <w:tcW w:w="0" w:type="auto"/>
            <w:vMerge w:val="restart"/>
            <w:vAlign w:val="center"/>
          </w:tcPr>
          <w:p w14:paraId="10707D19">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报价</w:t>
            </w:r>
          </w:p>
        </w:tc>
        <w:tc>
          <w:tcPr>
            <w:tcW w:w="0" w:type="auto"/>
            <w:vAlign w:val="center"/>
          </w:tcPr>
          <w:p w14:paraId="668500E0">
            <w:pPr>
              <w:numPr>
                <w:ilvl w:val="0"/>
                <w:numId w:val="0"/>
              </w:num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4"/>
                <w:highlight w:val="none"/>
              </w:rPr>
              <w:t>报价合理</w:t>
            </w:r>
          </w:p>
        </w:tc>
        <w:tc>
          <w:tcPr>
            <w:tcW w:w="0" w:type="auto"/>
            <w:vAlign w:val="center"/>
          </w:tcPr>
          <w:p w14:paraId="36FEC58D">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供应商的报价明显低于其他磋商报价，使得其磋商报价可能低于其个别成本的，应当要求该供应商作出书面说明并提供相关证明材料。供应商不能合理说明或者不能提供相关证明材料，并由评标委员会认定该供应商人以低于成本报价竞标的作否决投标处理。</w:t>
            </w:r>
          </w:p>
        </w:tc>
      </w:tr>
      <w:tr w14:paraId="3F9FF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exact"/>
        </w:trPr>
        <w:tc>
          <w:tcPr>
            <w:tcW w:w="0" w:type="auto"/>
            <w:vMerge w:val="continue"/>
            <w:vAlign w:val="center"/>
          </w:tcPr>
          <w:p w14:paraId="5E4108B9">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Merge w:val="continue"/>
            <w:vAlign w:val="center"/>
          </w:tcPr>
          <w:p w14:paraId="2E0B1EA2">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1DA5BFD8">
            <w:pPr>
              <w:numPr>
                <w:ilvl w:val="0"/>
                <w:numId w:val="0"/>
              </w:num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最高限价</w:t>
            </w:r>
          </w:p>
        </w:tc>
        <w:tc>
          <w:tcPr>
            <w:tcW w:w="0" w:type="auto"/>
            <w:vAlign w:val="center"/>
          </w:tcPr>
          <w:p w14:paraId="10F845DD">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供应商报价不得高于最高限价。</w:t>
            </w:r>
          </w:p>
        </w:tc>
      </w:tr>
      <w:tr w14:paraId="50007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exact"/>
        </w:trPr>
        <w:tc>
          <w:tcPr>
            <w:tcW w:w="0" w:type="auto"/>
            <w:vMerge w:val="restart"/>
            <w:vAlign w:val="center"/>
          </w:tcPr>
          <w:p w14:paraId="24A9C583">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商务要求</w:t>
            </w:r>
          </w:p>
        </w:tc>
        <w:tc>
          <w:tcPr>
            <w:tcW w:w="0" w:type="auto"/>
            <w:vMerge w:val="restart"/>
            <w:vAlign w:val="center"/>
          </w:tcPr>
          <w:p w14:paraId="3DD5DB29">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商务</w:t>
            </w:r>
          </w:p>
        </w:tc>
        <w:tc>
          <w:tcPr>
            <w:tcW w:w="0" w:type="auto"/>
            <w:vAlign w:val="center"/>
          </w:tcPr>
          <w:p w14:paraId="7CB3F3C2">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磋商响应文件的递交</w:t>
            </w:r>
          </w:p>
        </w:tc>
        <w:tc>
          <w:tcPr>
            <w:tcW w:w="0" w:type="auto"/>
            <w:vAlign w:val="center"/>
          </w:tcPr>
          <w:p w14:paraId="665E0076">
            <w:pPr>
              <w:spacing w:after="0" w:line="300" w:lineRule="exact"/>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rPr>
              <w:t>符合第二章“磋商申请人须知前附表”第4.2.1项规定</w:t>
            </w:r>
            <w:r>
              <w:rPr>
                <w:rFonts w:hint="eastAsia" w:asciiTheme="minorEastAsia" w:hAnsiTheme="minorEastAsia" w:eastAsiaTheme="minorEastAsia" w:cstheme="minorEastAsia"/>
                <w:color w:val="auto"/>
                <w:sz w:val="22"/>
                <w:szCs w:val="22"/>
                <w:highlight w:val="none"/>
                <w:lang w:eastAsia="zh-CN"/>
              </w:rPr>
              <w:t>。</w:t>
            </w:r>
          </w:p>
        </w:tc>
      </w:tr>
      <w:tr w14:paraId="488C0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exact"/>
        </w:trPr>
        <w:tc>
          <w:tcPr>
            <w:tcW w:w="0" w:type="auto"/>
            <w:vMerge w:val="continue"/>
            <w:vAlign w:val="center"/>
          </w:tcPr>
          <w:p w14:paraId="4110D498">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continue"/>
            <w:vAlign w:val="center"/>
          </w:tcPr>
          <w:p w14:paraId="3A5B7A0E">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0E325A75">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磋商会议</w:t>
            </w:r>
          </w:p>
        </w:tc>
        <w:tc>
          <w:tcPr>
            <w:tcW w:w="0" w:type="auto"/>
            <w:vAlign w:val="center"/>
          </w:tcPr>
          <w:p w14:paraId="32EE6D8F">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供应商法定代表人或其授权委托代理人按时参加磋商会议</w:t>
            </w:r>
            <w:r>
              <w:rPr>
                <w:rFonts w:hint="eastAsia" w:asciiTheme="minorEastAsia" w:hAnsiTheme="minorEastAsia" w:eastAsiaTheme="minorEastAsia" w:cstheme="minorEastAsia"/>
                <w:color w:val="auto"/>
                <w:sz w:val="22"/>
                <w:szCs w:val="22"/>
                <w:highlight w:val="none"/>
                <w:lang w:eastAsia="zh-CN"/>
              </w:rPr>
              <w:t>。</w:t>
            </w:r>
          </w:p>
        </w:tc>
      </w:tr>
      <w:tr w14:paraId="7E5D2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exact"/>
        </w:trPr>
        <w:tc>
          <w:tcPr>
            <w:tcW w:w="0" w:type="auto"/>
            <w:vMerge w:val="continue"/>
            <w:vAlign w:val="center"/>
          </w:tcPr>
          <w:p w14:paraId="0DACEAAF">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continue"/>
            <w:vAlign w:val="center"/>
          </w:tcPr>
          <w:p w14:paraId="2E4F9040">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155ADE93">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签字或盖章</w:t>
            </w:r>
          </w:p>
        </w:tc>
        <w:tc>
          <w:tcPr>
            <w:tcW w:w="0" w:type="auto"/>
            <w:vAlign w:val="center"/>
          </w:tcPr>
          <w:p w14:paraId="57D488BE">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符合第二章“磋商申请人须知前附表”第3.7.</w:t>
            </w:r>
            <w:r>
              <w:rPr>
                <w:rFonts w:hint="eastAsia" w:asciiTheme="minorEastAsia" w:hAnsiTheme="minorEastAsia" w:eastAsiaTheme="minorEastAsia" w:cstheme="minorEastAsia"/>
                <w:color w:val="auto"/>
                <w:sz w:val="22"/>
                <w:szCs w:val="22"/>
                <w:highlight w:val="none"/>
                <w:lang w:val="en-US" w:eastAsia="zh-CN"/>
              </w:rPr>
              <w:t>1</w:t>
            </w:r>
            <w:r>
              <w:rPr>
                <w:rFonts w:hint="eastAsia" w:asciiTheme="minorEastAsia" w:hAnsiTheme="minorEastAsia" w:eastAsiaTheme="minorEastAsia" w:cstheme="minorEastAsia"/>
                <w:color w:val="auto"/>
                <w:sz w:val="22"/>
                <w:szCs w:val="22"/>
                <w:highlight w:val="none"/>
              </w:rPr>
              <w:t>项规定</w:t>
            </w:r>
          </w:p>
        </w:tc>
      </w:tr>
      <w:tr w14:paraId="18467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0" w:type="auto"/>
            <w:vMerge w:val="continue"/>
            <w:vAlign w:val="center"/>
          </w:tcPr>
          <w:p w14:paraId="170667AF">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continue"/>
            <w:vAlign w:val="center"/>
          </w:tcPr>
          <w:p w14:paraId="62653149">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739A2705">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宋体" w:hAnsi="宋体" w:eastAsia="宋体" w:cs="宋体"/>
                <w:color w:val="auto"/>
                <w:sz w:val="22"/>
                <w:szCs w:val="22"/>
                <w:highlight w:val="none"/>
              </w:rPr>
              <w:t>计划工期</w:t>
            </w:r>
          </w:p>
        </w:tc>
        <w:tc>
          <w:tcPr>
            <w:tcW w:w="0" w:type="auto"/>
            <w:vAlign w:val="center"/>
          </w:tcPr>
          <w:p w14:paraId="41632E3B">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符合第二章“磋商申请人须知前附表”第1.3.1项规定</w:t>
            </w:r>
            <w:r>
              <w:rPr>
                <w:rFonts w:hint="eastAsia" w:asciiTheme="minorEastAsia" w:hAnsiTheme="minorEastAsia" w:eastAsiaTheme="minorEastAsia" w:cstheme="minorEastAsia"/>
                <w:color w:val="auto"/>
                <w:sz w:val="22"/>
                <w:szCs w:val="22"/>
                <w:highlight w:val="none"/>
                <w:lang w:eastAsia="zh-CN"/>
              </w:rPr>
              <w:t>。</w:t>
            </w:r>
          </w:p>
        </w:tc>
      </w:tr>
      <w:tr w14:paraId="49CE5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exact"/>
        </w:trPr>
        <w:tc>
          <w:tcPr>
            <w:tcW w:w="0" w:type="auto"/>
            <w:vMerge w:val="continue"/>
            <w:vAlign w:val="center"/>
          </w:tcPr>
          <w:p w14:paraId="4B3B4D97">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continue"/>
            <w:vAlign w:val="center"/>
          </w:tcPr>
          <w:p w14:paraId="0DFAEE8E">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5ECCFCD7">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磋商有效期</w:t>
            </w:r>
          </w:p>
        </w:tc>
        <w:tc>
          <w:tcPr>
            <w:tcW w:w="0" w:type="auto"/>
            <w:vAlign w:val="center"/>
          </w:tcPr>
          <w:p w14:paraId="613AA04E">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rPr>
              <w:t>符合第二章“磋商申请人须知前附表”第3.3项规定</w:t>
            </w:r>
          </w:p>
        </w:tc>
      </w:tr>
      <w:tr w14:paraId="28B03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0" w:type="auto"/>
            <w:vMerge w:val="continue"/>
            <w:vAlign w:val="center"/>
          </w:tcPr>
          <w:p w14:paraId="3CD942E6">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continue"/>
            <w:vAlign w:val="center"/>
          </w:tcPr>
          <w:p w14:paraId="4120FB74">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739AD818">
            <w:pPr>
              <w:spacing w:after="0" w:line="300" w:lineRule="exact"/>
              <w:rPr>
                <w:rFonts w:hint="eastAsia" w:asciiTheme="minorEastAsia" w:hAnsiTheme="minorEastAsia" w:eastAsiaTheme="minorEastAsia" w:cstheme="minorEastAsia"/>
                <w:color w:val="auto"/>
                <w:sz w:val="22"/>
                <w:szCs w:val="24"/>
                <w:highlight w:val="none"/>
              </w:rPr>
            </w:pPr>
            <w:r>
              <w:rPr>
                <w:rFonts w:hint="eastAsia" w:ascii="宋体" w:hAnsi="宋体" w:eastAsia="宋体" w:cs="宋体"/>
                <w:color w:val="auto"/>
                <w:sz w:val="22"/>
                <w:szCs w:val="22"/>
                <w:highlight w:val="none"/>
              </w:rPr>
              <w:t>磋商保证金</w:t>
            </w:r>
          </w:p>
        </w:tc>
        <w:tc>
          <w:tcPr>
            <w:tcW w:w="0" w:type="auto"/>
            <w:vAlign w:val="center"/>
          </w:tcPr>
          <w:p w14:paraId="1B9BB6D9">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zh-CN" w:eastAsia="zh-CN"/>
              </w:rPr>
              <w:t>符合</w:t>
            </w:r>
            <w:r>
              <w:rPr>
                <w:rFonts w:hint="eastAsia" w:asciiTheme="minorEastAsia" w:hAnsiTheme="minorEastAsia" w:eastAsiaTheme="minorEastAsia" w:cstheme="minorEastAsia"/>
                <w:color w:val="auto"/>
                <w:sz w:val="22"/>
                <w:szCs w:val="22"/>
                <w:highlight w:val="none"/>
                <w:lang w:val="en-US" w:eastAsia="zh-CN"/>
              </w:rPr>
              <w:t>第二章“</w:t>
            </w:r>
            <w:r>
              <w:rPr>
                <w:rFonts w:hint="eastAsia" w:asciiTheme="minorEastAsia" w:hAnsiTheme="minorEastAsia" w:eastAsiaTheme="minorEastAsia" w:cstheme="minorEastAsia"/>
                <w:color w:val="auto"/>
                <w:sz w:val="22"/>
                <w:szCs w:val="22"/>
                <w:highlight w:val="none"/>
              </w:rPr>
              <w:t>磋商申请人须知前附表</w:t>
            </w:r>
            <w:r>
              <w:rPr>
                <w:rFonts w:hint="eastAsia" w:asciiTheme="minorEastAsia" w:hAnsiTheme="minorEastAsia" w:eastAsiaTheme="minorEastAsia" w:cstheme="minorEastAsia"/>
                <w:color w:val="auto"/>
                <w:sz w:val="22"/>
                <w:szCs w:val="22"/>
                <w:highlight w:val="none"/>
                <w:lang w:val="en-US" w:eastAsia="zh-CN"/>
              </w:rPr>
              <w:t>”第3.4项规定</w:t>
            </w:r>
          </w:p>
        </w:tc>
      </w:tr>
      <w:tr w14:paraId="51106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exact"/>
        </w:trPr>
        <w:tc>
          <w:tcPr>
            <w:tcW w:w="0" w:type="auto"/>
            <w:vMerge w:val="continue"/>
            <w:vAlign w:val="center"/>
          </w:tcPr>
          <w:p w14:paraId="1FAB816D">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continue"/>
            <w:vAlign w:val="center"/>
          </w:tcPr>
          <w:p w14:paraId="79FF246A">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3BC46203">
            <w:pPr>
              <w:spacing w:after="0" w:line="300" w:lineRule="exact"/>
              <w:rPr>
                <w:rFonts w:hint="eastAsia" w:asciiTheme="minorEastAsia" w:hAnsiTheme="minorEastAsia" w:eastAsiaTheme="minorEastAsia" w:cstheme="minorEastAsia"/>
                <w:color w:val="auto"/>
                <w:sz w:val="22"/>
                <w:szCs w:val="22"/>
                <w:highlight w:val="none"/>
              </w:rPr>
            </w:pPr>
            <w:r>
              <w:rPr>
                <w:rFonts w:hint="eastAsia" w:asciiTheme="minorEastAsia" w:hAnsiTheme="minorEastAsia" w:eastAsiaTheme="minorEastAsia" w:cstheme="minorEastAsia"/>
                <w:color w:val="auto"/>
                <w:sz w:val="22"/>
                <w:szCs w:val="22"/>
                <w:highlight w:val="none"/>
                <w:lang w:val="en-US" w:eastAsia="zh-CN"/>
              </w:rPr>
              <w:t>其他实质性要求</w:t>
            </w:r>
          </w:p>
        </w:tc>
        <w:tc>
          <w:tcPr>
            <w:tcW w:w="0" w:type="auto"/>
            <w:vAlign w:val="center"/>
          </w:tcPr>
          <w:p w14:paraId="3BE8FCE7">
            <w:pPr>
              <w:spacing w:after="0" w:line="300" w:lineRule="exact"/>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color w:val="auto"/>
                <w:sz w:val="22"/>
                <w:szCs w:val="22"/>
                <w:highlight w:val="none"/>
                <w:lang w:val="en-US" w:eastAsia="zh-CN"/>
              </w:rPr>
              <w:t>符合磋商文件的其他要求</w:t>
            </w:r>
          </w:p>
        </w:tc>
      </w:tr>
      <w:tr w14:paraId="566E6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4" w:hRule="exact"/>
        </w:trPr>
        <w:tc>
          <w:tcPr>
            <w:tcW w:w="0" w:type="auto"/>
            <w:vMerge w:val="restart"/>
            <w:vAlign w:val="center"/>
          </w:tcPr>
          <w:p w14:paraId="025993F9">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技术要求</w:t>
            </w:r>
          </w:p>
        </w:tc>
        <w:tc>
          <w:tcPr>
            <w:tcW w:w="0" w:type="auto"/>
            <w:vMerge w:val="restart"/>
            <w:vAlign w:val="center"/>
          </w:tcPr>
          <w:p w14:paraId="3C365070">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技术</w:t>
            </w:r>
          </w:p>
        </w:tc>
        <w:tc>
          <w:tcPr>
            <w:tcW w:w="0" w:type="auto"/>
            <w:vAlign w:val="center"/>
          </w:tcPr>
          <w:p w14:paraId="39A84A3D">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建设内容</w:t>
            </w:r>
          </w:p>
        </w:tc>
        <w:tc>
          <w:tcPr>
            <w:tcW w:w="0" w:type="auto"/>
            <w:vAlign w:val="center"/>
          </w:tcPr>
          <w:p w14:paraId="3EB949FC">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lang w:val="en-US" w:eastAsia="zh-CN"/>
              </w:rPr>
              <w:t>符合第二章“</w:t>
            </w:r>
            <w:r>
              <w:rPr>
                <w:rFonts w:hint="eastAsia" w:asciiTheme="minorEastAsia" w:hAnsiTheme="minorEastAsia" w:eastAsiaTheme="minorEastAsia" w:cstheme="minorEastAsia"/>
                <w:color w:val="auto"/>
                <w:sz w:val="22"/>
                <w:szCs w:val="22"/>
                <w:highlight w:val="none"/>
              </w:rPr>
              <w:t>磋商申请人须知前附表</w:t>
            </w:r>
            <w:r>
              <w:rPr>
                <w:rFonts w:hint="eastAsia" w:asciiTheme="minorEastAsia" w:hAnsiTheme="minorEastAsia" w:eastAsiaTheme="minorEastAsia" w:cstheme="minorEastAsia"/>
                <w:color w:val="auto"/>
                <w:sz w:val="22"/>
                <w:szCs w:val="22"/>
                <w:highlight w:val="none"/>
                <w:lang w:val="en-US" w:eastAsia="zh-CN"/>
              </w:rPr>
              <w:t>”第1.3.2项规定及符合第五章“技术标准和要求”、第六章“设计图纸”技术标准和要求的规定。</w:t>
            </w:r>
          </w:p>
        </w:tc>
      </w:tr>
      <w:tr w14:paraId="4C85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exact"/>
        </w:trPr>
        <w:tc>
          <w:tcPr>
            <w:tcW w:w="0" w:type="auto"/>
            <w:vMerge w:val="continue"/>
            <w:vAlign w:val="center"/>
          </w:tcPr>
          <w:p w14:paraId="1AC06367">
            <w:pPr>
              <w:spacing w:after="0" w:line="300" w:lineRule="exact"/>
              <w:jc w:val="center"/>
              <w:rPr>
                <w:rFonts w:hint="eastAsia" w:asciiTheme="minorEastAsia" w:hAnsiTheme="minorEastAsia" w:eastAsiaTheme="minorEastAsia" w:cstheme="minorEastAsia"/>
                <w:color w:val="auto"/>
                <w:sz w:val="22"/>
                <w:szCs w:val="22"/>
                <w:highlight w:val="none"/>
              </w:rPr>
            </w:pPr>
          </w:p>
        </w:tc>
        <w:tc>
          <w:tcPr>
            <w:tcW w:w="0" w:type="auto"/>
            <w:vMerge w:val="continue"/>
            <w:vAlign w:val="center"/>
          </w:tcPr>
          <w:p w14:paraId="2440A635">
            <w:pPr>
              <w:spacing w:after="0" w:line="300" w:lineRule="exact"/>
              <w:jc w:val="center"/>
              <w:rPr>
                <w:rFonts w:hint="eastAsia" w:asciiTheme="minorEastAsia" w:hAnsiTheme="minorEastAsia" w:eastAsiaTheme="minorEastAsia" w:cstheme="minorEastAsia"/>
                <w:color w:val="auto"/>
                <w:sz w:val="22"/>
                <w:szCs w:val="22"/>
                <w:highlight w:val="none"/>
                <w:lang w:val="en-US" w:eastAsia="zh-CN"/>
              </w:rPr>
            </w:pPr>
          </w:p>
        </w:tc>
        <w:tc>
          <w:tcPr>
            <w:tcW w:w="0" w:type="auto"/>
            <w:vAlign w:val="center"/>
          </w:tcPr>
          <w:p w14:paraId="496011C7">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权利和义务</w:t>
            </w:r>
          </w:p>
        </w:tc>
        <w:tc>
          <w:tcPr>
            <w:tcW w:w="0" w:type="auto"/>
            <w:vAlign w:val="center"/>
          </w:tcPr>
          <w:p w14:paraId="07CFEEA0">
            <w:pPr>
              <w:spacing w:after="0" w:line="300" w:lineRule="exact"/>
              <w:rPr>
                <w:rFonts w:hint="eastAsia" w:asciiTheme="minorEastAsia" w:hAnsiTheme="minorEastAsia" w:eastAsiaTheme="minorEastAsia" w:cstheme="minorEastAsia"/>
                <w:color w:val="auto"/>
                <w:sz w:val="22"/>
                <w:szCs w:val="22"/>
                <w:highlight w:val="none"/>
                <w:lang w:val="en-US" w:eastAsia="zh-CN"/>
              </w:rPr>
            </w:pPr>
            <w:r>
              <w:rPr>
                <w:rFonts w:hint="eastAsia" w:asciiTheme="minorEastAsia" w:hAnsiTheme="minorEastAsia" w:eastAsiaTheme="minorEastAsia" w:cstheme="minorEastAsia"/>
                <w:color w:val="auto"/>
                <w:sz w:val="22"/>
                <w:szCs w:val="22"/>
                <w:highlight w:val="none"/>
              </w:rPr>
              <w:t>符合第四章“合同条款及格式”规定</w:t>
            </w:r>
          </w:p>
        </w:tc>
      </w:tr>
    </w:tbl>
    <w:p w14:paraId="0D76E3CC">
      <w:pPr>
        <w:spacing w:line="0" w:lineRule="atLeast"/>
        <w:jc w:val="center"/>
        <w:outlineLvl w:val="9"/>
        <w:rPr>
          <w:rFonts w:hint="eastAsia" w:ascii="宋体" w:hAnsi="宋体" w:eastAsia="宋体" w:cs="宋体"/>
          <w:b/>
          <w:color w:val="auto"/>
          <w:sz w:val="32"/>
          <w:szCs w:val="32"/>
          <w:highlight w:val="none"/>
        </w:rPr>
      </w:pPr>
      <w:bookmarkStart w:id="105" w:name="_Toc17185"/>
      <w:bookmarkStart w:id="106" w:name="_Toc530733564"/>
      <w:bookmarkStart w:id="107" w:name="_Toc525207134"/>
    </w:p>
    <w:p w14:paraId="2F875C2B">
      <w:pPr>
        <w:spacing w:line="0" w:lineRule="atLeast"/>
        <w:jc w:val="center"/>
        <w:outlineLvl w:val="1"/>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磋商评分办法</w:t>
      </w:r>
      <w:bookmarkEnd w:id="105"/>
    </w:p>
    <w:tbl>
      <w:tblPr>
        <w:tblStyle w:val="6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8"/>
        <w:gridCol w:w="1221"/>
        <w:gridCol w:w="1556"/>
        <w:gridCol w:w="7093"/>
      </w:tblGrid>
      <w:tr w14:paraId="3F11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254" w:type="pct"/>
            <w:vAlign w:val="center"/>
          </w:tcPr>
          <w:p w14:paraId="25934D0C">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序号</w:t>
            </w:r>
          </w:p>
        </w:tc>
        <w:tc>
          <w:tcPr>
            <w:tcW w:w="1335" w:type="pct"/>
            <w:gridSpan w:val="2"/>
            <w:vAlign w:val="center"/>
          </w:tcPr>
          <w:p w14:paraId="0F4E183A">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评审因素</w:t>
            </w:r>
          </w:p>
        </w:tc>
        <w:tc>
          <w:tcPr>
            <w:tcW w:w="3410" w:type="pct"/>
            <w:vAlign w:val="center"/>
          </w:tcPr>
          <w:p w14:paraId="22EE42E2">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评分细则</w:t>
            </w:r>
          </w:p>
        </w:tc>
      </w:tr>
      <w:tr w14:paraId="75301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254" w:type="pct"/>
            <w:vMerge w:val="restart"/>
            <w:vAlign w:val="center"/>
          </w:tcPr>
          <w:p w14:paraId="6FD370DD">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w:t>
            </w:r>
          </w:p>
        </w:tc>
        <w:tc>
          <w:tcPr>
            <w:tcW w:w="587" w:type="pct"/>
            <w:vMerge w:val="restart"/>
            <w:vAlign w:val="center"/>
          </w:tcPr>
          <w:p w14:paraId="03233BBB">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分值构成</w:t>
            </w:r>
          </w:p>
          <w:p w14:paraId="07663B7A">
            <w:pPr>
              <w:spacing w:after="0" w:line="300" w:lineRule="exact"/>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w:t>
            </w:r>
            <w:r>
              <w:rPr>
                <w:rFonts w:hint="eastAsia" w:ascii="宋体" w:hAnsi="宋体" w:eastAsia="宋体" w:cs="宋体"/>
                <w:color w:val="auto"/>
                <w:sz w:val="22"/>
                <w:szCs w:val="22"/>
                <w:highlight w:val="none"/>
              </w:rPr>
              <w:t>100分）</w:t>
            </w:r>
          </w:p>
        </w:tc>
        <w:tc>
          <w:tcPr>
            <w:tcW w:w="748" w:type="pct"/>
            <w:vAlign w:val="center"/>
          </w:tcPr>
          <w:p w14:paraId="060E6CB5">
            <w:pPr>
              <w:spacing w:after="0" w:line="30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报价（</w:t>
            </w:r>
            <w:r>
              <w:rPr>
                <w:rFonts w:hint="eastAsia" w:ascii="宋体" w:hAnsi="宋体" w:eastAsia="宋体" w:cs="宋体"/>
                <w:color w:val="auto"/>
                <w:sz w:val="22"/>
                <w:szCs w:val="22"/>
                <w:highlight w:val="none"/>
                <w:lang w:val="en-US" w:eastAsia="zh-CN"/>
              </w:rPr>
              <w:t>10</w:t>
            </w:r>
            <w:r>
              <w:rPr>
                <w:rFonts w:hint="eastAsia" w:ascii="宋体" w:hAnsi="宋体" w:eastAsia="宋体" w:cs="宋体"/>
                <w:color w:val="auto"/>
                <w:sz w:val="22"/>
                <w:szCs w:val="22"/>
                <w:highlight w:val="none"/>
              </w:rPr>
              <w:t>分）</w:t>
            </w:r>
          </w:p>
        </w:tc>
        <w:tc>
          <w:tcPr>
            <w:tcW w:w="3410" w:type="pct"/>
            <w:vAlign w:val="center"/>
          </w:tcPr>
          <w:p w14:paraId="20C99F92">
            <w:pPr>
              <w:spacing w:after="0" w:line="30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(1)磋商报价（</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0分）</w:t>
            </w:r>
          </w:p>
        </w:tc>
      </w:tr>
      <w:tr w14:paraId="47B0A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254" w:type="pct"/>
            <w:vMerge w:val="continue"/>
            <w:vAlign w:val="center"/>
          </w:tcPr>
          <w:p w14:paraId="061D837D">
            <w:pPr>
              <w:spacing w:after="0" w:line="300" w:lineRule="exact"/>
              <w:jc w:val="center"/>
              <w:rPr>
                <w:rFonts w:hint="eastAsia" w:ascii="宋体" w:hAnsi="宋体" w:eastAsia="宋体" w:cs="宋体"/>
                <w:color w:val="auto"/>
                <w:sz w:val="22"/>
                <w:szCs w:val="22"/>
                <w:highlight w:val="none"/>
              </w:rPr>
            </w:pPr>
          </w:p>
        </w:tc>
        <w:tc>
          <w:tcPr>
            <w:tcW w:w="587" w:type="pct"/>
            <w:vMerge w:val="continue"/>
            <w:vAlign w:val="center"/>
          </w:tcPr>
          <w:p w14:paraId="4F5CE5DD">
            <w:pPr>
              <w:spacing w:after="0" w:line="300" w:lineRule="exact"/>
              <w:jc w:val="center"/>
              <w:rPr>
                <w:rFonts w:hint="eastAsia" w:ascii="宋体" w:hAnsi="宋体" w:eastAsia="宋体" w:cs="宋体"/>
                <w:color w:val="auto"/>
                <w:sz w:val="22"/>
                <w:szCs w:val="22"/>
                <w:highlight w:val="none"/>
              </w:rPr>
            </w:pPr>
          </w:p>
        </w:tc>
        <w:tc>
          <w:tcPr>
            <w:tcW w:w="748" w:type="pct"/>
            <w:vAlign w:val="center"/>
          </w:tcPr>
          <w:p w14:paraId="305ED339">
            <w:pPr>
              <w:spacing w:after="0" w:line="30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技术部分</w:t>
            </w:r>
          </w:p>
          <w:p w14:paraId="55905FBD">
            <w:pPr>
              <w:spacing w:after="0" w:line="300" w:lineRule="exact"/>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85</w:t>
            </w:r>
            <w:r>
              <w:rPr>
                <w:rFonts w:hint="eastAsia" w:ascii="宋体" w:hAnsi="宋体" w:eastAsia="宋体" w:cs="宋体"/>
                <w:color w:val="auto"/>
                <w:sz w:val="22"/>
                <w:szCs w:val="22"/>
                <w:highlight w:val="none"/>
              </w:rPr>
              <w:t>分）</w:t>
            </w:r>
          </w:p>
        </w:tc>
        <w:tc>
          <w:tcPr>
            <w:tcW w:w="3410" w:type="pct"/>
            <w:vAlign w:val="center"/>
          </w:tcPr>
          <w:p w14:paraId="3199B328">
            <w:pPr>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(2)技术部分评分标准（</w:t>
            </w:r>
            <w:r>
              <w:rPr>
                <w:rFonts w:hint="eastAsia" w:ascii="宋体" w:hAnsi="宋体" w:eastAsia="宋体" w:cs="宋体"/>
                <w:color w:val="auto"/>
                <w:sz w:val="22"/>
                <w:szCs w:val="22"/>
                <w:highlight w:val="none"/>
                <w:lang w:val="en-US" w:eastAsia="zh-CN"/>
              </w:rPr>
              <w:t>85</w:t>
            </w:r>
            <w:r>
              <w:rPr>
                <w:rFonts w:hint="eastAsia" w:ascii="宋体" w:hAnsi="宋体" w:eastAsia="宋体" w:cs="宋体"/>
                <w:color w:val="auto"/>
                <w:sz w:val="22"/>
                <w:szCs w:val="22"/>
                <w:highlight w:val="none"/>
              </w:rPr>
              <w:t>分）</w:t>
            </w:r>
          </w:p>
        </w:tc>
      </w:tr>
      <w:tr w14:paraId="780E1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54" w:type="pct"/>
            <w:vMerge w:val="continue"/>
            <w:vAlign w:val="center"/>
          </w:tcPr>
          <w:p w14:paraId="12975306">
            <w:pPr>
              <w:spacing w:after="0" w:line="300" w:lineRule="exact"/>
              <w:jc w:val="center"/>
              <w:rPr>
                <w:rFonts w:hint="eastAsia" w:ascii="宋体" w:hAnsi="宋体" w:eastAsia="宋体" w:cs="宋体"/>
                <w:color w:val="auto"/>
                <w:sz w:val="22"/>
                <w:szCs w:val="22"/>
                <w:highlight w:val="none"/>
              </w:rPr>
            </w:pPr>
          </w:p>
        </w:tc>
        <w:tc>
          <w:tcPr>
            <w:tcW w:w="587" w:type="pct"/>
            <w:vMerge w:val="continue"/>
            <w:vAlign w:val="center"/>
          </w:tcPr>
          <w:p w14:paraId="707DBD58">
            <w:pPr>
              <w:spacing w:after="0" w:line="300" w:lineRule="exact"/>
              <w:jc w:val="center"/>
              <w:rPr>
                <w:rFonts w:hint="eastAsia" w:ascii="宋体" w:hAnsi="宋体" w:eastAsia="宋体" w:cs="宋体"/>
                <w:color w:val="auto"/>
                <w:sz w:val="22"/>
                <w:szCs w:val="22"/>
                <w:highlight w:val="none"/>
              </w:rPr>
            </w:pPr>
          </w:p>
        </w:tc>
        <w:tc>
          <w:tcPr>
            <w:tcW w:w="748" w:type="pct"/>
            <w:vAlign w:val="center"/>
          </w:tcPr>
          <w:p w14:paraId="21433C50">
            <w:pPr>
              <w:spacing w:after="0" w:line="320" w:lineRule="exact"/>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商务部分</w:t>
            </w:r>
          </w:p>
          <w:p w14:paraId="7DC8956F">
            <w:pPr>
              <w:spacing w:after="0" w:line="320" w:lineRule="exact"/>
              <w:jc w:val="lef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（5分）</w:t>
            </w:r>
          </w:p>
        </w:tc>
        <w:tc>
          <w:tcPr>
            <w:tcW w:w="3410" w:type="pct"/>
            <w:vAlign w:val="center"/>
          </w:tcPr>
          <w:p w14:paraId="373FB2F5">
            <w:pPr>
              <w:spacing w:after="0" w:line="3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(3)业绩部分评分（5分）</w:t>
            </w:r>
          </w:p>
        </w:tc>
      </w:tr>
      <w:tr w14:paraId="5926C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8" w:hRule="atLeast"/>
        </w:trPr>
        <w:tc>
          <w:tcPr>
            <w:tcW w:w="254" w:type="pct"/>
            <w:vAlign w:val="center"/>
          </w:tcPr>
          <w:p w14:paraId="40576D12">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p>
        </w:tc>
        <w:tc>
          <w:tcPr>
            <w:tcW w:w="1335" w:type="pct"/>
            <w:gridSpan w:val="2"/>
            <w:vAlign w:val="center"/>
          </w:tcPr>
          <w:p w14:paraId="493360D6">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磋商报价（</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sz w:val="22"/>
                <w:szCs w:val="22"/>
                <w:highlight w:val="none"/>
              </w:rPr>
              <w:t>0分）</w:t>
            </w:r>
          </w:p>
        </w:tc>
        <w:tc>
          <w:tcPr>
            <w:tcW w:w="3410" w:type="pct"/>
            <w:vAlign w:val="center"/>
          </w:tcPr>
          <w:p w14:paraId="2C337C74">
            <w:pPr>
              <w:spacing w:after="0" w:line="360" w:lineRule="auto"/>
              <w:rPr>
                <w:rFonts w:hint="eastAsia" w:ascii="宋体" w:hAnsi="宋体" w:eastAsia="宋体" w:cs="宋体"/>
                <w:color w:val="auto"/>
                <w:sz w:val="22"/>
                <w:szCs w:val="22"/>
                <w:highlight w:val="none"/>
                <w:lang w:val="en-US" w:eastAsia="zh-CN"/>
              </w:rPr>
            </w:pPr>
            <w:bookmarkStart w:id="583" w:name="_GoBack"/>
            <w:r>
              <w:rPr>
                <w:rFonts w:hint="eastAsia" w:ascii="宋体" w:hAnsi="宋体" w:eastAsia="宋体" w:cs="宋体"/>
                <w:color w:val="auto"/>
                <w:sz w:val="22"/>
                <w:szCs w:val="22"/>
                <w:highlight w:val="none"/>
                <w:lang w:val="en-US" w:eastAsia="zh-CN"/>
              </w:rPr>
              <w:t>1.报价得分采用低价优先法计算（满分为10分）。</w:t>
            </w:r>
          </w:p>
          <w:p w14:paraId="3024254F">
            <w:pPr>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2.得分计算：满足竞争性磋商文件要求且价格最低的投标报价为评标基准价。其价格得分为满分。其他投标单位的投标报价得分=（评标基准价/磋商报价）×10</w:t>
            </w:r>
          </w:p>
          <w:p w14:paraId="342DE793">
            <w:pPr>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3.项目评审过程中，不得去掉最后报价中的最高报价和最低报价。</w:t>
            </w:r>
          </w:p>
          <w:p w14:paraId="713F9694">
            <w:pPr>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4.得分保留小数点后两位。</w:t>
            </w:r>
          </w:p>
          <w:p w14:paraId="1FD9E91E">
            <w:pPr>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备注：</w:t>
            </w:r>
            <w:r>
              <w:rPr>
                <w:rFonts w:hint="eastAsia" w:ascii="宋体" w:hAnsi="宋体" w:eastAsia="宋体" w:cs="宋体"/>
                <w:color w:val="auto"/>
                <w:sz w:val="24"/>
                <w:szCs w:val="24"/>
                <w:highlight w:val="none"/>
                <w:lang w:eastAsia="zh-CN"/>
              </w:rPr>
              <w:t>本项目非专门面向中小微企业采购，采购标对应的中小企业划型标准所属行业：建筑业。《政府采购促进中小企业发展管理办法》（财库[2020]46号）、《财政部关于进一步加大政府采购支持中小企业力度的通知》（财库[2022]19号）、《财政部、司法部关于政府采购支持监狱企业发展有关问题的通知》（财库[2014]68号）、《关于促进残疾人就业政府采购政策的通知》（财库[2017]141号）。扶持中小企业政策：针对小微企业报价给予3%的扣除，用扣除后的价格参加评审。监狱企业、残疾人福利性单位提供的产品视同小型、微型企业</w:t>
            </w:r>
            <w:r>
              <w:rPr>
                <w:rFonts w:hint="eastAsia" w:ascii="宋体" w:hAnsi="宋体" w:eastAsia="宋体" w:cs="宋体"/>
                <w:color w:val="auto"/>
                <w:sz w:val="22"/>
                <w:szCs w:val="22"/>
                <w:highlight w:val="none"/>
                <w:lang w:val="en-US" w:eastAsia="zh-CN"/>
              </w:rPr>
              <w:t>。</w:t>
            </w:r>
          </w:p>
          <w:p w14:paraId="32E4ED19">
            <w:pPr>
              <w:spacing w:after="0" w:line="36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供应商对其提供的证明材料或书面声明的真实性负责，如有虚假，自行承担相应责任。</w:t>
            </w:r>
            <w:bookmarkEnd w:id="583"/>
          </w:p>
        </w:tc>
      </w:tr>
      <w:tr w14:paraId="219AB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2" w:hRule="atLeast"/>
        </w:trPr>
        <w:tc>
          <w:tcPr>
            <w:tcW w:w="254" w:type="pct"/>
            <w:vMerge w:val="restart"/>
            <w:vAlign w:val="center"/>
          </w:tcPr>
          <w:p w14:paraId="6463B074">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w:t>
            </w:r>
          </w:p>
          <w:p w14:paraId="4BC6A9E3">
            <w:pPr>
              <w:spacing w:after="0" w:line="300" w:lineRule="exact"/>
              <w:jc w:val="center"/>
              <w:rPr>
                <w:rFonts w:hint="eastAsia" w:ascii="宋体" w:hAnsi="宋体" w:eastAsia="宋体" w:cs="宋体"/>
                <w:color w:val="auto"/>
                <w:sz w:val="22"/>
                <w:szCs w:val="22"/>
                <w:highlight w:val="none"/>
              </w:rPr>
            </w:pPr>
          </w:p>
        </w:tc>
        <w:tc>
          <w:tcPr>
            <w:tcW w:w="587" w:type="pct"/>
            <w:vMerge w:val="restart"/>
            <w:vAlign w:val="center"/>
          </w:tcPr>
          <w:p w14:paraId="48972E7E">
            <w:pPr>
              <w:spacing w:after="0" w:line="300" w:lineRule="exact"/>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技术部分</w:t>
            </w:r>
          </w:p>
          <w:p w14:paraId="14A1F074">
            <w:pPr>
              <w:spacing w:after="0" w:line="300" w:lineRule="exact"/>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评分标准</w:t>
            </w:r>
          </w:p>
          <w:p w14:paraId="76AEB491">
            <w:pPr>
              <w:spacing w:after="0" w:line="300" w:lineRule="exact"/>
              <w:jc w:val="both"/>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w:t>
            </w:r>
            <w:r>
              <w:rPr>
                <w:rFonts w:hint="eastAsia" w:ascii="宋体" w:hAnsi="宋体" w:eastAsia="宋体" w:cs="宋体"/>
                <w:color w:val="auto"/>
                <w:sz w:val="22"/>
                <w:szCs w:val="22"/>
                <w:highlight w:val="none"/>
                <w:lang w:val="en-US" w:eastAsia="zh-CN"/>
              </w:rPr>
              <w:t>85</w:t>
            </w:r>
            <w:r>
              <w:rPr>
                <w:rFonts w:hint="eastAsia" w:ascii="宋体" w:hAnsi="宋体" w:eastAsia="宋体" w:cs="宋体"/>
                <w:color w:val="auto"/>
                <w:sz w:val="22"/>
                <w:szCs w:val="22"/>
                <w:highlight w:val="none"/>
              </w:rPr>
              <w:t>分)</w:t>
            </w:r>
          </w:p>
          <w:p w14:paraId="3049508F">
            <w:pPr>
              <w:spacing w:after="0" w:line="300" w:lineRule="exact"/>
              <w:rPr>
                <w:rFonts w:hint="eastAsia" w:ascii="宋体" w:hAnsi="宋体" w:eastAsia="宋体" w:cs="宋体"/>
                <w:color w:val="auto"/>
                <w:sz w:val="22"/>
                <w:szCs w:val="22"/>
                <w:highlight w:val="none"/>
              </w:rPr>
            </w:pPr>
          </w:p>
        </w:tc>
        <w:tc>
          <w:tcPr>
            <w:tcW w:w="748" w:type="pct"/>
            <w:vAlign w:val="center"/>
          </w:tcPr>
          <w:p w14:paraId="564E2A78">
            <w:pPr>
              <w:keepNext w:val="0"/>
              <w:keepLines w:val="0"/>
              <w:widowControl/>
              <w:suppressLineNumbers w:val="0"/>
              <w:jc w:val="left"/>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施工技术方案评审评分（20分）</w:t>
            </w:r>
          </w:p>
          <w:p w14:paraId="691A55DE">
            <w:pPr>
              <w:keepNext w:val="0"/>
              <w:keepLines w:val="0"/>
              <w:pageBreakBefore w:val="0"/>
              <w:widowControl w:val="0"/>
              <w:kinsoku/>
              <w:wordWrap/>
              <w:overflowPunct/>
              <w:topLinePunct w:val="0"/>
              <w:autoSpaceDE/>
              <w:autoSpaceDN w:val="0"/>
              <w:bidi w:val="0"/>
              <w:adjustRightInd/>
              <w:snapToGrid/>
              <w:spacing w:line="240" w:lineRule="auto"/>
              <w:ind w:firstLine="0" w:firstLineChars="0"/>
              <w:jc w:val="center"/>
              <w:textAlignment w:val="center"/>
              <w:rPr>
                <w:rFonts w:hint="eastAsia" w:ascii="宋体" w:hAnsi="宋体" w:eastAsia="宋体" w:cs="宋体"/>
                <w:color w:val="auto"/>
                <w:sz w:val="22"/>
                <w:szCs w:val="22"/>
                <w:highlight w:val="none"/>
              </w:rPr>
            </w:pPr>
          </w:p>
        </w:tc>
        <w:tc>
          <w:tcPr>
            <w:tcW w:w="3410" w:type="pct"/>
            <w:vAlign w:val="center"/>
          </w:tcPr>
          <w:p w14:paraId="53CF36D3">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第一个档次（20分）：施工技术方案合理且能指导施工，施工措施具体且有针对性，施工部署全面，内容详尽、明确、合理、可行、针对性和操作性强，能够满足项目需求；</w:t>
            </w:r>
          </w:p>
          <w:p w14:paraId="6C6FC3C8">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第二个档次（16分）：施工技术方案合理，对施工指导性较好，施工措施较为具体，针对性较好，施工部署较全面，内容较完整，针对性和操作性较好； </w:t>
            </w:r>
          </w:p>
          <w:p w14:paraId="5C97026C">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第三个档次（12分）：施工技术方案合理但对施工指导性一般，施工措施具体但针对性一般，施工部署一般，内容基本完整，针对性和操作性一般； </w:t>
            </w:r>
          </w:p>
          <w:p w14:paraId="0D40EA47">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第四个档次（8分）：施工技术方案基本合理、对施工缺乏指导性，施工措施、施工部署基本合理但存在一些问题的，内容基本完整、部分内容欠佳的，有一定操作性； </w:t>
            </w:r>
          </w:p>
          <w:p w14:paraId="4148D0C5">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第五个档次（4分）：施工技术方案、施工措施、施工部署存在有明显错误的； </w:t>
            </w:r>
          </w:p>
          <w:p w14:paraId="29748556">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无施工技术方案的不得分。</w:t>
            </w:r>
          </w:p>
        </w:tc>
      </w:tr>
      <w:tr w14:paraId="0394A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trPr>
        <w:tc>
          <w:tcPr>
            <w:tcW w:w="254" w:type="pct"/>
            <w:vMerge w:val="continue"/>
            <w:vAlign w:val="center"/>
          </w:tcPr>
          <w:p w14:paraId="65FEDB63">
            <w:pPr>
              <w:spacing w:after="0" w:line="300" w:lineRule="exact"/>
              <w:jc w:val="center"/>
              <w:rPr>
                <w:rFonts w:hint="eastAsia" w:ascii="宋体" w:hAnsi="宋体" w:eastAsia="宋体" w:cs="宋体"/>
                <w:color w:val="auto"/>
                <w:sz w:val="22"/>
                <w:szCs w:val="22"/>
                <w:highlight w:val="none"/>
              </w:rPr>
            </w:pPr>
          </w:p>
        </w:tc>
        <w:tc>
          <w:tcPr>
            <w:tcW w:w="587" w:type="pct"/>
            <w:vMerge w:val="continue"/>
            <w:vAlign w:val="center"/>
          </w:tcPr>
          <w:p w14:paraId="5099744F">
            <w:pPr>
              <w:spacing w:after="0" w:line="300" w:lineRule="exact"/>
              <w:jc w:val="center"/>
              <w:rPr>
                <w:rFonts w:hint="eastAsia" w:ascii="宋体" w:hAnsi="宋体" w:eastAsia="宋体" w:cs="宋体"/>
                <w:color w:val="auto"/>
                <w:sz w:val="22"/>
                <w:szCs w:val="22"/>
                <w:highlight w:val="none"/>
              </w:rPr>
            </w:pPr>
          </w:p>
        </w:tc>
        <w:tc>
          <w:tcPr>
            <w:tcW w:w="748" w:type="pct"/>
            <w:vAlign w:val="center"/>
          </w:tcPr>
          <w:p w14:paraId="66D190C1">
            <w:pPr>
              <w:keepNext w:val="0"/>
              <w:keepLines w:val="0"/>
              <w:widowControl/>
              <w:suppressLineNumbers w:val="0"/>
              <w:jc w:val="center"/>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施工主要工序评审评分</w:t>
            </w:r>
          </w:p>
          <w:p w14:paraId="542E6DE2">
            <w:pPr>
              <w:keepNext w:val="0"/>
              <w:keepLines w:val="0"/>
              <w:widowControl/>
              <w:suppressLineNumbers w:val="0"/>
              <w:jc w:val="center"/>
              <w:rPr>
                <w:rFonts w:hint="eastAsia" w:ascii="宋体" w:hAnsi="宋体" w:eastAsia="宋体" w:cs="宋体"/>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（10分）</w:t>
            </w:r>
          </w:p>
          <w:p w14:paraId="7F53FA90">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color w:val="auto"/>
                <w:sz w:val="22"/>
                <w:szCs w:val="22"/>
                <w:highlight w:val="none"/>
              </w:rPr>
            </w:pPr>
          </w:p>
        </w:tc>
        <w:tc>
          <w:tcPr>
            <w:tcW w:w="3410" w:type="pct"/>
            <w:vAlign w:val="center"/>
          </w:tcPr>
          <w:p w14:paraId="4D00E2CD">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第一个档次（10分）：施工主要工序阐述明细、全面、合理，主要工种施工方法得当，且对本次项目的关键技术、工艺有明确、深入的表述，对施工重点、难点有合理、经济、安全的解决方案和可行保证措施的； </w:t>
            </w:r>
          </w:p>
          <w:p w14:paraId="536E03A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第二个档次（8分）：施工主要工序阐述全面、合理，主要工种施工方法基本得当，且对本次项目的关键技术、工艺有明确的表述，对施工重点、难点有合理的解决方案，保证措施基本可行的； </w:t>
            </w:r>
          </w:p>
          <w:p w14:paraId="10A32F45">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第三个档次（6分）：施工主要工序阐述全面、基本合理，有主要工种施工方法，且对本次项目的关键技术、工艺有一定了解，对施工重点、难点有建议，解决方案和保证措施基本可行的； </w:t>
            </w:r>
          </w:p>
          <w:p w14:paraId="169D7761">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第四个档次（4分）：施工主要工序阐述基本全面，且对本次项目的关键技术、工艺有一定了解，对施工重点、难点有建议，但解决方案和保证措施可行性一般的； </w:t>
            </w:r>
          </w:p>
          <w:p w14:paraId="6708C1F4">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第五个档次（2分）：施工主要工序阐述不全面，且对本次项目的关键技术、工艺缺乏了解，对施工重点、难点分析不到位的； </w:t>
            </w:r>
          </w:p>
          <w:p w14:paraId="204989B8">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无施工主要工序阐述的不得分。</w:t>
            </w:r>
          </w:p>
        </w:tc>
      </w:tr>
      <w:tr w14:paraId="1FD32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5" w:hRule="atLeast"/>
        </w:trPr>
        <w:tc>
          <w:tcPr>
            <w:tcW w:w="254" w:type="pct"/>
            <w:vMerge w:val="continue"/>
            <w:vAlign w:val="center"/>
          </w:tcPr>
          <w:p w14:paraId="124C2DA2">
            <w:pPr>
              <w:spacing w:after="0" w:line="300" w:lineRule="exact"/>
              <w:jc w:val="center"/>
              <w:rPr>
                <w:rFonts w:hint="eastAsia" w:ascii="宋体" w:hAnsi="宋体" w:eastAsia="宋体" w:cs="宋体"/>
                <w:color w:val="auto"/>
                <w:sz w:val="22"/>
                <w:szCs w:val="22"/>
                <w:highlight w:val="none"/>
              </w:rPr>
            </w:pPr>
          </w:p>
        </w:tc>
        <w:tc>
          <w:tcPr>
            <w:tcW w:w="587" w:type="pct"/>
            <w:vMerge w:val="continue"/>
            <w:vAlign w:val="center"/>
          </w:tcPr>
          <w:p w14:paraId="71F0286E">
            <w:pPr>
              <w:spacing w:after="0" w:line="300" w:lineRule="exact"/>
              <w:jc w:val="center"/>
              <w:rPr>
                <w:rFonts w:hint="eastAsia" w:ascii="宋体" w:hAnsi="宋体" w:eastAsia="宋体" w:cs="宋体"/>
                <w:color w:val="auto"/>
                <w:sz w:val="22"/>
                <w:szCs w:val="22"/>
                <w:highlight w:val="none"/>
              </w:rPr>
            </w:pPr>
          </w:p>
        </w:tc>
        <w:tc>
          <w:tcPr>
            <w:tcW w:w="748" w:type="pct"/>
            <w:vAlign w:val="center"/>
          </w:tcPr>
          <w:p w14:paraId="6107847A">
            <w:pPr>
              <w:spacing w:after="0" w:line="30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质量承诺及保证措施评审评分（ 10 分）</w:t>
            </w:r>
          </w:p>
          <w:p w14:paraId="0C27F1B3">
            <w:pPr>
              <w:spacing w:after="0" w:line="300" w:lineRule="exact"/>
              <w:jc w:val="center"/>
              <w:rPr>
                <w:rFonts w:hint="eastAsia" w:ascii="宋体" w:hAnsi="宋体" w:eastAsia="宋体" w:cs="宋体"/>
                <w:color w:val="auto"/>
                <w:sz w:val="22"/>
                <w:szCs w:val="22"/>
                <w:highlight w:val="none"/>
              </w:rPr>
            </w:pPr>
          </w:p>
        </w:tc>
        <w:tc>
          <w:tcPr>
            <w:tcW w:w="3410" w:type="pct"/>
            <w:vAlign w:val="center"/>
          </w:tcPr>
          <w:p w14:paraId="5810FAE6">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第一个档次（10分）：质量承诺满足采购文件且有具体的违约责任承诺，质量保证措施严格按采购文件要求的施工技术规范、标准编制且针对性好的； </w:t>
            </w:r>
          </w:p>
          <w:p w14:paraId="7C4B4041">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第二个档次（8分）：质量承诺满足采购文件且有具体的违约责任承诺，质量保证措施达到采购文件要求的施工技术规范、标准但针对性一般的； </w:t>
            </w:r>
          </w:p>
          <w:p w14:paraId="5BF55688">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第三个档次（6分）：质量承诺满足采购文件且有具体的违约责任承诺，质量保证措施基本达到采购文件要求的施工技术规范、标准但明显缺乏针对性的； </w:t>
            </w:r>
          </w:p>
          <w:p w14:paraId="57A15329">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第四个档次（4分）：质量承诺满足采购文件但违约责任承诺不具体，质量保证措施基本达到采购文件要求的施工技术规范、标准但有重大缺陷或错漏的； </w:t>
            </w:r>
          </w:p>
          <w:p w14:paraId="6F530534">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第五个档次（2分）：质量承诺部分满足采购文件，违约责任承诺不具体，质量保证措施不能达到采购文件要求的施工技术规范、标准的； </w:t>
            </w:r>
          </w:p>
          <w:p w14:paraId="0BA8EC7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无质量承诺及保证措施的不得分。</w:t>
            </w:r>
          </w:p>
        </w:tc>
      </w:tr>
      <w:tr w14:paraId="7EDBE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3" w:hRule="atLeast"/>
        </w:trPr>
        <w:tc>
          <w:tcPr>
            <w:tcW w:w="254" w:type="pct"/>
            <w:vMerge w:val="continue"/>
            <w:vAlign w:val="center"/>
          </w:tcPr>
          <w:p w14:paraId="113CF80A">
            <w:pPr>
              <w:spacing w:after="0" w:line="300" w:lineRule="exact"/>
              <w:jc w:val="center"/>
              <w:rPr>
                <w:rFonts w:hint="eastAsia" w:ascii="宋体" w:hAnsi="宋体" w:eastAsia="宋体" w:cs="宋体"/>
                <w:color w:val="auto"/>
                <w:sz w:val="22"/>
                <w:szCs w:val="22"/>
                <w:highlight w:val="none"/>
              </w:rPr>
            </w:pPr>
          </w:p>
        </w:tc>
        <w:tc>
          <w:tcPr>
            <w:tcW w:w="587" w:type="pct"/>
            <w:vMerge w:val="continue"/>
            <w:vAlign w:val="center"/>
          </w:tcPr>
          <w:p w14:paraId="4C8651AD">
            <w:pPr>
              <w:spacing w:after="0" w:line="300" w:lineRule="exact"/>
              <w:jc w:val="center"/>
              <w:rPr>
                <w:rFonts w:hint="eastAsia" w:ascii="宋体" w:hAnsi="宋体" w:eastAsia="宋体" w:cs="宋体"/>
                <w:color w:val="auto"/>
                <w:sz w:val="22"/>
                <w:szCs w:val="22"/>
                <w:highlight w:val="none"/>
              </w:rPr>
            </w:pPr>
          </w:p>
        </w:tc>
        <w:tc>
          <w:tcPr>
            <w:tcW w:w="748" w:type="pct"/>
            <w:vAlign w:val="center"/>
          </w:tcPr>
          <w:p w14:paraId="688D1612">
            <w:pPr>
              <w:keepNext w:val="0"/>
              <w:keepLines w:val="0"/>
              <w:widowControl/>
              <w:suppressLineNumbers w:val="0"/>
              <w:jc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安全文明施工保证措施评审评分（10 分）</w:t>
            </w:r>
          </w:p>
          <w:p w14:paraId="5D209125">
            <w:pPr>
              <w:keepNext w:val="0"/>
              <w:keepLines w:val="0"/>
              <w:pageBreakBefore w:val="0"/>
              <w:widowControl w:val="0"/>
              <w:kinsoku/>
              <w:wordWrap/>
              <w:overflowPunct/>
              <w:topLinePunct w:val="0"/>
              <w:autoSpaceDE/>
              <w:bidi w:val="0"/>
              <w:snapToGrid/>
              <w:spacing w:line="400" w:lineRule="exact"/>
              <w:jc w:val="center"/>
              <w:rPr>
                <w:rFonts w:hint="eastAsia" w:ascii="宋体" w:hAnsi="宋体" w:eastAsia="宋体" w:cs="宋体"/>
                <w:color w:val="auto"/>
                <w:sz w:val="22"/>
                <w:szCs w:val="22"/>
                <w:highlight w:val="none"/>
              </w:rPr>
            </w:pPr>
          </w:p>
        </w:tc>
        <w:tc>
          <w:tcPr>
            <w:tcW w:w="3410" w:type="pct"/>
            <w:vAlign w:val="center"/>
          </w:tcPr>
          <w:p w14:paraId="318F1C38">
            <w:pPr>
              <w:spacing w:after="0" w:line="3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一个档次（10分）：响应文件中有具体、完整、可行的安全文明施工实施保证措施且合理、先进、针对性好，安全管理机构健全，职责分工明确，管理制度齐全，实施措施全面、有效，并符合国家、省、州（市）的有关规定的； </w:t>
            </w:r>
          </w:p>
          <w:p w14:paraId="61206041">
            <w:pPr>
              <w:spacing w:after="0" w:line="3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二个档次（8分）：响应文件中有具体、完整、可行的安全文明施工实施保证措施且合理但针对性一般，安全管理机构健全，职责分工较明确，管理制度较齐全，实施措施完整，并符合国家、省、州（市）的有关规定； </w:t>
            </w:r>
          </w:p>
          <w:p w14:paraId="7ADEA95B">
            <w:pPr>
              <w:spacing w:after="0" w:line="3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第三个档次（6分）：响应文件中有基本具体、可行的安全文明施工实施保证措施，安全管理机构基本健全，管理制度基本齐全，实施措施基本完整，并符合国家、省、州（市）的有关规定； </w:t>
            </w:r>
          </w:p>
          <w:p w14:paraId="42477090">
            <w:pPr>
              <w:spacing w:after="0" w:line="3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第四个档次（4分）：响应文件中有安全文明施工保证措施，但措施内容一般的。 </w:t>
            </w:r>
          </w:p>
          <w:p w14:paraId="552FB2A5">
            <w:pPr>
              <w:spacing w:after="0" w:line="3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第五个档次（2分）：响应文件中有安全文明施工保证措施的，但不具体或存有错漏的。 </w:t>
            </w:r>
          </w:p>
          <w:p w14:paraId="63BE6E84">
            <w:pPr>
              <w:spacing w:after="0" w:line="300" w:lineRule="exact"/>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无安全文明施工保证措施的不得分。</w:t>
            </w:r>
          </w:p>
        </w:tc>
      </w:tr>
      <w:tr w14:paraId="69A1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0" w:hRule="atLeast"/>
        </w:trPr>
        <w:tc>
          <w:tcPr>
            <w:tcW w:w="254" w:type="pct"/>
            <w:vMerge w:val="continue"/>
            <w:vAlign w:val="center"/>
          </w:tcPr>
          <w:p w14:paraId="44502E16">
            <w:pPr>
              <w:spacing w:after="0" w:line="300" w:lineRule="exact"/>
              <w:jc w:val="center"/>
              <w:rPr>
                <w:rFonts w:hint="eastAsia" w:ascii="宋体" w:hAnsi="宋体" w:eastAsia="宋体" w:cs="宋体"/>
                <w:color w:val="auto"/>
                <w:sz w:val="22"/>
                <w:szCs w:val="22"/>
                <w:highlight w:val="none"/>
              </w:rPr>
            </w:pPr>
          </w:p>
        </w:tc>
        <w:tc>
          <w:tcPr>
            <w:tcW w:w="587" w:type="pct"/>
            <w:vMerge w:val="continue"/>
            <w:vAlign w:val="center"/>
          </w:tcPr>
          <w:p w14:paraId="2C3D5677">
            <w:pPr>
              <w:spacing w:after="0" w:line="300" w:lineRule="exact"/>
              <w:jc w:val="center"/>
              <w:rPr>
                <w:rFonts w:hint="eastAsia" w:ascii="宋体" w:hAnsi="宋体" w:eastAsia="宋体" w:cs="宋体"/>
                <w:color w:val="auto"/>
                <w:sz w:val="22"/>
                <w:szCs w:val="22"/>
                <w:highlight w:val="none"/>
              </w:rPr>
            </w:pPr>
          </w:p>
        </w:tc>
        <w:tc>
          <w:tcPr>
            <w:tcW w:w="748" w:type="pct"/>
            <w:vAlign w:val="center"/>
          </w:tcPr>
          <w:p w14:paraId="681CB29F">
            <w:pPr>
              <w:keepNext w:val="0"/>
              <w:keepLines w:val="0"/>
              <w:widowControl/>
              <w:suppressLineNumbers w:val="0"/>
              <w:jc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工期承诺和保证措施评审评分（ 10 分）</w:t>
            </w:r>
          </w:p>
          <w:p w14:paraId="310F8DD7">
            <w:pPr>
              <w:keepNext w:val="0"/>
              <w:keepLines w:val="0"/>
              <w:pageBreakBefore w:val="0"/>
              <w:widowControl w:val="0"/>
              <w:kinsoku/>
              <w:wordWrap/>
              <w:overflowPunct/>
              <w:topLinePunct w:val="0"/>
              <w:autoSpaceDE/>
              <w:bidi w:val="0"/>
              <w:snapToGrid/>
              <w:spacing w:line="400" w:lineRule="exact"/>
              <w:jc w:val="center"/>
              <w:rPr>
                <w:rFonts w:hint="eastAsia" w:ascii="宋体" w:hAnsi="宋体" w:eastAsia="宋体" w:cs="宋体"/>
                <w:b w:val="0"/>
                <w:bCs w:val="0"/>
                <w:color w:val="auto"/>
                <w:sz w:val="22"/>
                <w:szCs w:val="22"/>
                <w:highlight w:val="none"/>
              </w:rPr>
            </w:pPr>
          </w:p>
        </w:tc>
        <w:tc>
          <w:tcPr>
            <w:tcW w:w="3410" w:type="pct"/>
            <w:vAlign w:val="center"/>
          </w:tcPr>
          <w:p w14:paraId="495DBE37">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第一个档次（10分）：工期承诺满足采购文件要求，工期保证措施合理且有针对性，有具体的违约责任承诺的； </w:t>
            </w:r>
          </w:p>
          <w:p w14:paraId="6B0B32B0">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第二个档次（8分）：工期承诺满足采购文件要求，工期保证措施合理但针对性一般，有具体的违约责任承诺的； </w:t>
            </w:r>
          </w:p>
          <w:p w14:paraId="327BBB0F">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第三个档次（6分）：工期承诺满足采购文件要求，工期保证措施基本合理，有具体的违约责任承诺的； </w:t>
            </w:r>
          </w:p>
          <w:p w14:paraId="22144179">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第四个档次（4分）：工期承诺满足采购文件要求，工期保证措施一般，违约责任承诺不具体的； </w:t>
            </w:r>
          </w:p>
          <w:p w14:paraId="6321692C">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第五个档次（2分）：工期承诺满足采购文件要求，但工期保证措施不具体，违约责任承诺不具体的。 </w:t>
            </w:r>
          </w:p>
          <w:p w14:paraId="0260E83B">
            <w:pPr>
              <w:keepNext w:val="0"/>
              <w:keepLines w:val="0"/>
              <w:pageBreakBefore w:val="0"/>
              <w:widowControl/>
              <w:kinsoku/>
              <w:wordWrap/>
              <w:overflowPunct/>
              <w:topLinePunct w:val="0"/>
              <w:autoSpaceDE/>
              <w:autoSpaceDN/>
              <w:bidi w:val="0"/>
              <w:adjustRightInd w:val="0"/>
              <w:snapToGrid w:val="0"/>
              <w:spacing w:after="0" w:line="264"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无工期承诺或工期承诺不满足采购文件要求不得分。</w:t>
            </w:r>
          </w:p>
        </w:tc>
      </w:tr>
      <w:tr w14:paraId="7677F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7" w:hRule="atLeast"/>
        </w:trPr>
        <w:tc>
          <w:tcPr>
            <w:tcW w:w="254" w:type="pct"/>
            <w:vMerge w:val="continue"/>
            <w:vAlign w:val="center"/>
          </w:tcPr>
          <w:p w14:paraId="5BF946BA">
            <w:pPr>
              <w:spacing w:after="0" w:line="300" w:lineRule="exact"/>
              <w:jc w:val="center"/>
              <w:rPr>
                <w:rFonts w:hint="eastAsia" w:ascii="宋体" w:hAnsi="宋体" w:eastAsia="宋体" w:cs="宋体"/>
                <w:color w:val="auto"/>
                <w:sz w:val="22"/>
                <w:szCs w:val="22"/>
                <w:highlight w:val="none"/>
              </w:rPr>
            </w:pPr>
          </w:p>
        </w:tc>
        <w:tc>
          <w:tcPr>
            <w:tcW w:w="587" w:type="pct"/>
            <w:vMerge w:val="continue"/>
            <w:vAlign w:val="center"/>
          </w:tcPr>
          <w:p w14:paraId="13BF987F">
            <w:pPr>
              <w:spacing w:after="0" w:line="300" w:lineRule="exact"/>
              <w:rPr>
                <w:rFonts w:hint="eastAsia" w:ascii="宋体" w:hAnsi="宋体" w:eastAsia="宋体" w:cs="宋体"/>
                <w:color w:val="auto"/>
                <w:sz w:val="22"/>
                <w:szCs w:val="22"/>
                <w:highlight w:val="none"/>
              </w:rPr>
            </w:pPr>
          </w:p>
        </w:tc>
        <w:tc>
          <w:tcPr>
            <w:tcW w:w="748" w:type="pct"/>
            <w:vAlign w:val="center"/>
          </w:tcPr>
          <w:p w14:paraId="34D22F49">
            <w:pPr>
              <w:keepNext w:val="0"/>
              <w:keepLines w:val="0"/>
              <w:widowControl/>
              <w:suppressLineNumbers w:val="0"/>
              <w:jc w:val="center"/>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施工进度计划评审评分</w:t>
            </w:r>
          </w:p>
          <w:p w14:paraId="5133E16D">
            <w:pPr>
              <w:keepNext w:val="0"/>
              <w:keepLines w:val="0"/>
              <w:widowControl/>
              <w:suppressLineNumbers w:val="0"/>
              <w:jc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（10分）</w:t>
            </w:r>
          </w:p>
          <w:p w14:paraId="4E7A9991">
            <w:pPr>
              <w:keepNext w:val="0"/>
              <w:keepLines w:val="0"/>
              <w:pageBreakBefore w:val="0"/>
              <w:widowControl w:val="0"/>
              <w:kinsoku/>
              <w:wordWrap/>
              <w:overflowPunct/>
              <w:topLinePunct w:val="0"/>
              <w:autoSpaceDE/>
              <w:bidi w:val="0"/>
              <w:snapToGrid/>
              <w:spacing w:line="400" w:lineRule="exact"/>
              <w:jc w:val="center"/>
              <w:rPr>
                <w:rFonts w:hint="eastAsia" w:ascii="宋体" w:hAnsi="宋体" w:eastAsia="宋体" w:cs="宋体"/>
                <w:b w:val="0"/>
                <w:bCs w:val="0"/>
                <w:color w:val="auto"/>
                <w:sz w:val="22"/>
                <w:szCs w:val="22"/>
                <w:highlight w:val="none"/>
              </w:rPr>
            </w:pPr>
          </w:p>
        </w:tc>
        <w:tc>
          <w:tcPr>
            <w:tcW w:w="3410" w:type="pct"/>
            <w:vAlign w:val="center"/>
          </w:tcPr>
          <w:p w14:paraId="4201E3A0">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第一个档次（10分）：施工进度计划严格按工期安排，工序搭配逻辑关系和关键线路清晰、合理，并能指导施工且针对性好的； </w:t>
            </w:r>
          </w:p>
          <w:p w14:paraId="385BB5A4">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第二个档次（8分）：施工进度计划按工期安排，工序搭配逻辑关系和关键线路合理，但针对性一般的； </w:t>
            </w:r>
          </w:p>
          <w:p w14:paraId="3FEB8CD3">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第三个档次（6分）：施工进度计划符合工期要求，工序搭配逻辑关系和关键线路基本合理，但缺乏针对性的； </w:t>
            </w:r>
          </w:p>
          <w:p w14:paraId="5CBC9238">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第四个档次（4分）：施工进度计划符合工期要求，工序搭配逻辑关系错误或关键线路错误的； </w:t>
            </w:r>
          </w:p>
          <w:p w14:paraId="02F65103">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第五个档次（2分）：施工进度计划中工序搭配逻辑关系有错误，关键线路不明确有错误的；</w:t>
            </w:r>
          </w:p>
          <w:p w14:paraId="1FCEA003">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无施工进度计划的不得分。</w:t>
            </w:r>
          </w:p>
        </w:tc>
      </w:tr>
      <w:tr w14:paraId="5D070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3" w:hRule="atLeast"/>
        </w:trPr>
        <w:tc>
          <w:tcPr>
            <w:tcW w:w="254" w:type="pct"/>
            <w:vMerge w:val="continue"/>
            <w:vAlign w:val="center"/>
          </w:tcPr>
          <w:p w14:paraId="4C836324">
            <w:pPr>
              <w:spacing w:after="0" w:line="300" w:lineRule="exact"/>
              <w:jc w:val="center"/>
              <w:rPr>
                <w:rFonts w:hint="eastAsia" w:ascii="宋体" w:hAnsi="宋体" w:eastAsia="宋体" w:cs="宋体"/>
                <w:color w:val="auto"/>
                <w:sz w:val="22"/>
                <w:szCs w:val="22"/>
                <w:highlight w:val="none"/>
              </w:rPr>
            </w:pPr>
          </w:p>
        </w:tc>
        <w:tc>
          <w:tcPr>
            <w:tcW w:w="587" w:type="pct"/>
            <w:vMerge w:val="continue"/>
            <w:vAlign w:val="center"/>
          </w:tcPr>
          <w:p w14:paraId="5B25F89C">
            <w:pPr>
              <w:spacing w:after="0" w:line="300" w:lineRule="exact"/>
              <w:jc w:val="center"/>
              <w:rPr>
                <w:rFonts w:hint="eastAsia" w:ascii="宋体" w:hAnsi="宋体" w:eastAsia="宋体" w:cs="宋体"/>
                <w:color w:val="auto"/>
                <w:sz w:val="22"/>
                <w:szCs w:val="22"/>
                <w:highlight w:val="none"/>
              </w:rPr>
            </w:pPr>
          </w:p>
        </w:tc>
        <w:tc>
          <w:tcPr>
            <w:tcW w:w="748" w:type="pct"/>
            <w:vAlign w:val="center"/>
          </w:tcPr>
          <w:p w14:paraId="56EFD3D1">
            <w:pPr>
              <w:keepNext w:val="0"/>
              <w:keepLines w:val="0"/>
              <w:widowControl/>
              <w:suppressLineNumbers w:val="0"/>
              <w:jc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劳动力安排和材料投入计划及其保证措施评审评分</w:t>
            </w:r>
          </w:p>
          <w:p w14:paraId="21317D8B">
            <w:pPr>
              <w:keepNext w:val="0"/>
              <w:keepLines w:val="0"/>
              <w:widowControl/>
              <w:suppressLineNumbers w:val="0"/>
              <w:jc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（10分）</w:t>
            </w:r>
          </w:p>
          <w:p w14:paraId="5305B787">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color w:val="auto"/>
                <w:sz w:val="22"/>
                <w:szCs w:val="22"/>
                <w:highlight w:val="none"/>
              </w:rPr>
            </w:pPr>
          </w:p>
        </w:tc>
        <w:tc>
          <w:tcPr>
            <w:tcW w:w="3410" w:type="pct"/>
            <w:vAlign w:val="center"/>
          </w:tcPr>
          <w:p w14:paraId="2F7F25D2">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第一个档次（10分）：劳动力安排和材料投入计划与施工进度计划呼应，能较好满足施工需要，调配投入计划合理、准确全面，能指导施工且针对性好，保证措施合理且有针对性； </w:t>
            </w:r>
          </w:p>
          <w:p w14:paraId="2A58DBA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第二个档次（8分）：劳动力安排和材料投入计划与施工进度计划呼应，能满足施工需要，调配投入计划合理，但针对性和指导性一般，保证措施合理但针对性一般； </w:t>
            </w:r>
          </w:p>
          <w:p w14:paraId="7CFF121A">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第三个档次（6分）：劳动力安排和材料投入计划与施工进度计划基本呼应，能基本满足施工需要，调配投入计划基本合理，但缺乏针对性，保证措施基本合理； </w:t>
            </w:r>
          </w:p>
          <w:p w14:paraId="244D1879">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第四个档次（4分）：劳动力安排和材料投入计划与施工进度计划基本呼应，部分满足施工需要的，工期保证措施一般； </w:t>
            </w:r>
          </w:p>
          <w:p w14:paraId="26279E89">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第五个档次（2分）：劳动力安排和材料投入计划与施工进度计划不能呼应，保证措施不具体； </w:t>
            </w:r>
          </w:p>
          <w:p w14:paraId="10343FBD">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无劳动力安排和材料投入计划的不得分。</w:t>
            </w:r>
          </w:p>
        </w:tc>
      </w:tr>
      <w:tr w14:paraId="1165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6" w:hRule="atLeast"/>
        </w:trPr>
        <w:tc>
          <w:tcPr>
            <w:tcW w:w="254" w:type="pct"/>
            <w:vMerge w:val="continue"/>
            <w:vAlign w:val="center"/>
          </w:tcPr>
          <w:p w14:paraId="129DB042">
            <w:pPr>
              <w:spacing w:after="0" w:line="300" w:lineRule="exact"/>
              <w:jc w:val="center"/>
              <w:rPr>
                <w:rFonts w:hint="eastAsia" w:ascii="宋体" w:hAnsi="宋体" w:eastAsia="宋体" w:cs="宋体"/>
                <w:color w:val="auto"/>
                <w:sz w:val="22"/>
                <w:szCs w:val="22"/>
                <w:highlight w:val="none"/>
                <w:lang w:eastAsia="zh-CN"/>
              </w:rPr>
            </w:pPr>
          </w:p>
        </w:tc>
        <w:tc>
          <w:tcPr>
            <w:tcW w:w="587" w:type="pct"/>
            <w:vMerge w:val="continue"/>
            <w:vAlign w:val="center"/>
          </w:tcPr>
          <w:p w14:paraId="0346DBA2">
            <w:pPr>
              <w:spacing w:after="0" w:line="300" w:lineRule="exact"/>
              <w:jc w:val="center"/>
              <w:rPr>
                <w:rFonts w:hint="eastAsia" w:ascii="宋体" w:hAnsi="宋体" w:eastAsia="宋体" w:cs="宋体"/>
                <w:color w:val="auto"/>
                <w:sz w:val="22"/>
                <w:szCs w:val="22"/>
                <w:highlight w:val="none"/>
              </w:rPr>
            </w:pPr>
          </w:p>
        </w:tc>
        <w:tc>
          <w:tcPr>
            <w:tcW w:w="748" w:type="pct"/>
            <w:vAlign w:val="center"/>
          </w:tcPr>
          <w:p w14:paraId="68D875C7">
            <w:pPr>
              <w:keepNext w:val="0"/>
              <w:keepLines w:val="0"/>
              <w:widowControl/>
              <w:suppressLineNumbers w:val="0"/>
              <w:jc w:val="center"/>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施工机械投入评审评分</w:t>
            </w:r>
          </w:p>
          <w:p w14:paraId="4B674F7E">
            <w:pPr>
              <w:keepNext w:val="0"/>
              <w:keepLines w:val="0"/>
              <w:widowControl/>
              <w:suppressLineNumbers w:val="0"/>
              <w:jc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（5分）</w:t>
            </w:r>
          </w:p>
          <w:p w14:paraId="53CF26B4">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color w:val="auto"/>
                <w:sz w:val="22"/>
                <w:szCs w:val="22"/>
                <w:highlight w:val="none"/>
              </w:rPr>
            </w:pPr>
          </w:p>
        </w:tc>
        <w:tc>
          <w:tcPr>
            <w:tcW w:w="3410" w:type="pct"/>
            <w:vAlign w:val="center"/>
          </w:tcPr>
          <w:p w14:paraId="237AD1D2">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第一个档次（5分）：施工机械投入与施工进度计划呼应， 满足工程要求，施工机械搭配合理、准确且明确的有相对应的费用的； </w:t>
            </w:r>
          </w:p>
          <w:p w14:paraId="4D3E3DB5">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第二个档次（4分）：施工机械投入与施工进度计划呼应，满足工程要求，施工机械搭配基本合理、基本准确且有相对应的费用的； </w:t>
            </w:r>
          </w:p>
          <w:p w14:paraId="7B763BAF">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第三个档次（3分）：施工机械投入与施工进度计划呼应，基本满足工程要求，但施工机械搭配不当的； </w:t>
            </w:r>
          </w:p>
          <w:p w14:paraId="0A81D405">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第四个档次（2分）：施工机械投入与施工进度计划基本呼应，部分满足工程要求； </w:t>
            </w:r>
          </w:p>
          <w:p w14:paraId="53308F71">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第五个档次（1分）：施工机械投入与施工进度计划不相呼应，不满足工程要求的； </w:t>
            </w:r>
          </w:p>
          <w:p w14:paraId="72C1564E">
            <w:pPr>
              <w:keepNext w:val="0"/>
              <w:keepLines w:val="0"/>
              <w:pageBreakBefore w:val="0"/>
              <w:widowControl/>
              <w:kinsoku/>
              <w:wordWrap/>
              <w:overflowPunct/>
              <w:topLinePunct w:val="0"/>
              <w:autoSpaceDE/>
              <w:autoSpaceDN/>
              <w:bidi w:val="0"/>
              <w:adjustRightInd w:val="0"/>
              <w:snapToGrid w:val="0"/>
              <w:spacing w:after="0" w:line="288"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施工机械投入未作说明的不得分。</w:t>
            </w:r>
          </w:p>
        </w:tc>
      </w:tr>
      <w:tr w14:paraId="763FF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0" w:hRule="atLeast"/>
        </w:trPr>
        <w:tc>
          <w:tcPr>
            <w:tcW w:w="254" w:type="pct"/>
            <w:vAlign w:val="center"/>
          </w:tcPr>
          <w:p w14:paraId="3EF45EEB">
            <w:pPr>
              <w:spacing w:after="0" w:line="300" w:lineRule="exact"/>
              <w:jc w:val="cente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w:t>
            </w:r>
          </w:p>
        </w:tc>
        <w:tc>
          <w:tcPr>
            <w:tcW w:w="587" w:type="pct"/>
            <w:vAlign w:val="center"/>
          </w:tcPr>
          <w:p w14:paraId="1241F921">
            <w:pPr>
              <w:keepNext w:val="0"/>
              <w:keepLines w:val="0"/>
              <w:widowControl/>
              <w:suppressLineNumbers w:val="0"/>
              <w:jc w:val="center"/>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商务部分</w:t>
            </w:r>
          </w:p>
          <w:p w14:paraId="73D3D44A">
            <w:pPr>
              <w:keepNext w:val="0"/>
              <w:keepLines w:val="0"/>
              <w:widowControl/>
              <w:suppressLineNumbers w:val="0"/>
              <w:jc w:val="center"/>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评分标准(5分)</w:t>
            </w:r>
          </w:p>
          <w:p w14:paraId="4DEF7FA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宋体" w:hAnsi="宋体" w:eastAsia="宋体" w:cs="宋体"/>
                <w:color w:val="auto"/>
                <w:sz w:val="22"/>
                <w:szCs w:val="22"/>
                <w:highlight w:val="none"/>
              </w:rPr>
            </w:pPr>
          </w:p>
        </w:tc>
        <w:tc>
          <w:tcPr>
            <w:tcW w:w="748" w:type="pct"/>
            <w:vAlign w:val="center"/>
          </w:tcPr>
          <w:p w14:paraId="66973424">
            <w:pPr>
              <w:keepNext w:val="0"/>
              <w:keepLines w:val="0"/>
              <w:widowControl/>
              <w:suppressLineNumbers w:val="0"/>
              <w:jc w:val="center"/>
              <w:rPr>
                <w:rFonts w:hint="eastAsia" w:ascii="宋体" w:hAnsi="宋体" w:eastAsia="宋体" w:cs="宋体"/>
                <w:b w:val="0"/>
                <w:bCs w:val="0"/>
                <w:color w:val="auto"/>
                <w:kern w:val="0"/>
                <w:sz w:val="22"/>
                <w:szCs w:val="22"/>
                <w:highlight w:val="none"/>
                <w:lang w:val="en-US" w:eastAsia="zh-CN" w:bidi="ar"/>
              </w:rPr>
            </w:pPr>
            <w:r>
              <w:rPr>
                <w:rFonts w:hint="eastAsia" w:ascii="宋体" w:hAnsi="宋体" w:eastAsia="宋体" w:cs="宋体"/>
                <w:b w:val="0"/>
                <w:bCs w:val="0"/>
                <w:color w:val="auto"/>
                <w:kern w:val="0"/>
                <w:sz w:val="22"/>
                <w:szCs w:val="22"/>
                <w:highlight w:val="none"/>
                <w:lang w:val="en-US" w:eastAsia="zh-CN" w:bidi="ar"/>
              </w:rPr>
              <w:t>业绩部分评分</w:t>
            </w:r>
          </w:p>
          <w:p w14:paraId="30967A24">
            <w:pPr>
              <w:keepNext w:val="0"/>
              <w:keepLines w:val="0"/>
              <w:widowControl/>
              <w:suppressLineNumbers w:val="0"/>
              <w:jc w:val="center"/>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kern w:val="0"/>
                <w:sz w:val="22"/>
                <w:szCs w:val="22"/>
                <w:highlight w:val="none"/>
                <w:lang w:val="en-US" w:eastAsia="zh-CN" w:bidi="ar"/>
              </w:rPr>
              <w:t>（5分）</w:t>
            </w:r>
          </w:p>
        </w:tc>
        <w:tc>
          <w:tcPr>
            <w:tcW w:w="3410" w:type="pct"/>
            <w:vAlign w:val="center"/>
          </w:tcPr>
          <w:p w14:paraId="0E0CD4C9">
            <w:pPr>
              <w:keepNext w:val="0"/>
              <w:keepLines w:val="0"/>
              <w:pageBreakBefore w:val="0"/>
              <w:widowControl/>
              <w:kinsoku/>
              <w:wordWrap/>
              <w:overflowPunct/>
              <w:topLinePunct w:val="0"/>
              <w:autoSpaceDE/>
              <w:autoSpaceDN/>
              <w:bidi w:val="0"/>
              <w:adjustRightInd w:val="0"/>
              <w:snapToGrid w:val="0"/>
              <w:spacing w:after="0" w:line="312"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评分标准：根据近3年（2023年1月1日）至今完成或正在施工的项目评审。供应商每提供一个类似业绩得2.5分，加满5分为止。</w:t>
            </w:r>
          </w:p>
          <w:p w14:paraId="59FCF564">
            <w:pPr>
              <w:keepNext w:val="0"/>
              <w:keepLines w:val="0"/>
              <w:pageBreakBefore w:val="0"/>
              <w:widowControl/>
              <w:kinsoku/>
              <w:wordWrap/>
              <w:overflowPunct/>
              <w:topLinePunct w:val="0"/>
              <w:autoSpaceDE/>
              <w:autoSpaceDN/>
              <w:bidi w:val="0"/>
              <w:adjustRightInd w:val="0"/>
              <w:snapToGrid w:val="0"/>
              <w:spacing w:after="0" w:line="312" w:lineRule="auto"/>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注：业绩证明材料以中标（成交）通知书或合同（协议）复印件加盖公章为准，业绩证明材料放入响应文件中，未提供不得分。</w:t>
            </w:r>
          </w:p>
        </w:tc>
      </w:tr>
    </w:tbl>
    <w:p w14:paraId="46D421A8">
      <w:pPr>
        <w:spacing w:before="120" w:beforeLines="50" w:after="120" w:afterLines="50" w:line="400" w:lineRule="exact"/>
        <w:outlineLvl w:val="9"/>
        <w:rPr>
          <w:rFonts w:hint="eastAsia" w:ascii="宋体" w:hAnsi="宋体" w:eastAsia="宋体" w:cs="宋体"/>
          <w:color w:val="auto"/>
          <w:sz w:val="28"/>
          <w:szCs w:val="28"/>
          <w:highlight w:val="none"/>
        </w:rPr>
      </w:pPr>
    </w:p>
    <w:p w14:paraId="4D30ECE6">
      <w:pPr>
        <w:spacing w:before="120" w:beforeLines="50" w:after="120" w:afterLines="50" w:line="400" w:lineRule="exact"/>
        <w:outlineLvl w:val="9"/>
        <w:rPr>
          <w:rFonts w:hint="eastAsia" w:ascii="宋体" w:hAnsi="宋体" w:eastAsia="宋体" w:cs="宋体"/>
          <w:color w:val="auto"/>
          <w:sz w:val="28"/>
          <w:szCs w:val="28"/>
          <w:highlight w:val="none"/>
        </w:rPr>
      </w:pPr>
    </w:p>
    <w:p w14:paraId="7FD3329B">
      <w:pPr>
        <w:spacing w:before="120" w:beforeLines="50" w:after="120" w:afterLines="50" w:line="400" w:lineRule="exact"/>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1、评审方法</w:t>
      </w:r>
      <w:bookmarkEnd w:id="106"/>
      <w:bookmarkEnd w:id="107"/>
    </w:p>
    <w:p w14:paraId="73300B25">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所采用的评审方法为“综合评分法”，即在最大限度地满足磋商文件实质性要求前提下，按照磋商文件中规定的各项因素进行综合评审后，磋商小组应当根据综合评分情况，按照评审得分由高到低顺序推荐3名以上成交候选</w:t>
      </w:r>
      <w:r>
        <w:rPr>
          <w:rFonts w:hint="eastAsia" w:ascii="宋体" w:hAnsi="宋体" w:eastAsia="宋体" w:cs="宋体"/>
          <w:color w:val="auto"/>
          <w:sz w:val="24"/>
          <w:szCs w:val="24"/>
          <w:highlight w:val="none"/>
          <w:lang w:eastAsia="zh-CN"/>
        </w:rPr>
        <w:t xml:space="preserve">磋商申请人 </w:t>
      </w:r>
      <w:r>
        <w:rPr>
          <w:rFonts w:hint="eastAsia" w:ascii="宋体" w:hAnsi="宋体" w:eastAsia="宋体" w:cs="宋体"/>
          <w:color w:val="auto"/>
          <w:sz w:val="24"/>
          <w:szCs w:val="24"/>
          <w:highlight w:val="none"/>
        </w:rPr>
        <w:t>，并编写评审报告。符合《政府采购竞争性磋商采购方式管理暂行办法》第二十一条第三款情形的，可以推荐2家成交候选</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。评审得分相同的，按照最后报价由低到高的顺序推荐。评审得分且最后报价相同的，按照技术指标优劣顺序推荐。</w:t>
      </w:r>
    </w:p>
    <w:p w14:paraId="54252772">
      <w:pPr>
        <w:spacing w:before="120" w:beforeLines="50" w:after="120" w:afterLines="50" w:line="400" w:lineRule="exact"/>
        <w:outlineLvl w:val="9"/>
        <w:rPr>
          <w:rFonts w:hint="eastAsia" w:ascii="宋体" w:hAnsi="宋体" w:eastAsia="宋体" w:cs="宋体"/>
          <w:color w:val="auto"/>
          <w:sz w:val="28"/>
          <w:szCs w:val="28"/>
          <w:highlight w:val="none"/>
        </w:rPr>
      </w:pPr>
      <w:bookmarkStart w:id="108" w:name="_bookmark68"/>
      <w:bookmarkEnd w:id="108"/>
      <w:bookmarkStart w:id="109" w:name="_Toc530733565"/>
      <w:bookmarkStart w:id="110" w:name="_Toc525207135"/>
      <w:r>
        <w:rPr>
          <w:rFonts w:hint="eastAsia" w:ascii="宋体" w:hAnsi="宋体" w:eastAsia="宋体" w:cs="宋体"/>
          <w:color w:val="auto"/>
          <w:sz w:val="28"/>
          <w:szCs w:val="28"/>
          <w:highlight w:val="none"/>
        </w:rPr>
        <w:t>2、评审标准</w:t>
      </w:r>
      <w:bookmarkEnd w:id="109"/>
      <w:bookmarkEnd w:id="110"/>
    </w:p>
    <w:p w14:paraId="444B7E5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初步评审标准</w:t>
      </w:r>
    </w:p>
    <w:p w14:paraId="17D57E2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资格评审标准：依据法律法规和竞争性磋商文件的规定，对响应文件中的资格证明文件、磋商保证金等进行审查，见评审方法前附表。</w:t>
      </w:r>
    </w:p>
    <w:p w14:paraId="0B5C7FA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符合性评审标准：依据竞争性磋商文件的规定，从响应文件的有效性、完整性和对竞争性磋商文件的响应程度进行审查，见评审方法前附表。</w:t>
      </w:r>
    </w:p>
    <w:p w14:paraId="25031B1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分值构成与评分标准：见评审办法前附表。</w:t>
      </w:r>
    </w:p>
    <w:p w14:paraId="2C6AA4DC">
      <w:pPr>
        <w:spacing w:before="120" w:beforeLines="50" w:after="120" w:afterLines="50" w:line="400" w:lineRule="exact"/>
        <w:outlineLvl w:val="9"/>
        <w:rPr>
          <w:rFonts w:hint="eastAsia" w:ascii="宋体" w:hAnsi="宋体" w:eastAsia="宋体" w:cs="宋体"/>
          <w:color w:val="auto"/>
          <w:sz w:val="28"/>
          <w:szCs w:val="28"/>
          <w:highlight w:val="none"/>
        </w:rPr>
      </w:pPr>
      <w:bookmarkStart w:id="111" w:name="_bookmark69"/>
      <w:bookmarkEnd w:id="111"/>
      <w:bookmarkStart w:id="112" w:name="_Toc530733566"/>
      <w:bookmarkStart w:id="113" w:name="_Toc525207136"/>
      <w:r>
        <w:rPr>
          <w:rFonts w:hint="eastAsia" w:ascii="宋体" w:hAnsi="宋体" w:eastAsia="宋体" w:cs="宋体"/>
          <w:color w:val="auto"/>
          <w:sz w:val="28"/>
          <w:szCs w:val="28"/>
          <w:highlight w:val="none"/>
        </w:rPr>
        <w:t>3、评审程序</w:t>
      </w:r>
      <w:bookmarkEnd w:id="112"/>
      <w:bookmarkEnd w:id="113"/>
    </w:p>
    <w:p w14:paraId="6D7D9CF1">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初步评审</w:t>
      </w:r>
    </w:p>
    <w:p w14:paraId="23923D7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磋商小组可以要求磋商申请人提交第二章“磋商申请人须知”规定的有关证明，以便核验。磋商小组依据本章评审办法前附表规定的标准对竞争性磋商响应文件进行初步评审。有一项不符合评审标准的，作废标处理。磋商申请人只有通过初步评审才能进入第二轮报价及承诺。</w:t>
      </w:r>
    </w:p>
    <w:p w14:paraId="1F5FFC44">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（适用于未进行资格预审的）</w:t>
      </w:r>
    </w:p>
    <w:p w14:paraId="2B08C85B">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磋商申请人有以下情形之一的，其磋商作废标处理：</w:t>
      </w:r>
    </w:p>
    <w:p w14:paraId="66AEBD3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不符合第二章“磋商申请人须知”第 1.4.1 项规定的任何一种情形的：</w:t>
      </w:r>
    </w:p>
    <w:p w14:paraId="10F9D3F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串通磋商或弄虚作假或有其他违法行为的；</w:t>
      </w:r>
    </w:p>
    <w:p w14:paraId="12D7D7A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不响应采购文件要求的，或者拒不按照评审委员会要求对其进行澄清、说明或者补正的；</w:t>
      </w:r>
    </w:p>
    <w:p w14:paraId="65BFD398">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未按规定的格式编制内容的，或内容不全或关键字迹模糊、无法辨认的；</w:t>
      </w:r>
    </w:p>
    <w:p w14:paraId="65A2BFB8">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磋商申请人递交两份或多份内容不同的竞争性磋商响应文件，或在一份竞争性磋商响应文件中对同一采购项目报有两个或多个报价，且未声明哪一个有效；</w:t>
      </w:r>
    </w:p>
    <w:p w14:paraId="1A44E954">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磋商申请人的法定代表人或其授权代理人没有参加磋商的；或未提供身份证件的或证件失效的；</w:t>
      </w:r>
    </w:p>
    <w:p w14:paraId="244A801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授权代表的授权委托书磋商申请人法定代表人未签字或盖章的；</w:t>
      </w:r>
    </w:p>
    <w:p w14:paraId="10066558">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8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⑻</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未按要求提供磋商申请人相关证件或证件不齐全；或证件未经年检的或年检不合格的或失效的；</w:t>
      </w:r>
    </w:p>
    <w:p w14:paraId="11E46228">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9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⑼</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磋商申请人在停止参加采购处罚期限内参加采购并递交竞争性磋商响应文件的；或参加采购后受到停止采购处罚，在处罚期内递交竞争性磋商响应文件的；</w:t>
      </w:r>
    </w:p>
    <w:p w14:paraId="6E30C35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10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⑽</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没有按照磋商文件要求提供磋商担保或者所提供的磋商担保有瑕疵的；</w:t>
      </w:r>
    </w:p>
    <w:p w14:paraId="1BC99D3A">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⑾</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竞争性磋商响应文件无单位盖章，或无磋商申请人法定代表人或法定代表人授权代理人签字或盖章的；</w:t>
      </w:r>
    </w:p>
    <w:p w14:paraId="56E4DD6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⑿</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报价明显低于其他报价或设有标底明显低于标底，且磋商申请人不能合理说明或提供相关证明材料，磋商小组认定以低于成本报价竞标的；</w:t>
      </w:r>
    </w:p>
    <w:p w14:paraId="67697B5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⒀</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竞争性磋商响应文件载明的采购项目完成期限超过磋商文件规定的期限；</w:t>
      </w:r>
    </w:p>
    <w:p w14:paraId="4EF233B0">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⒁</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明显不符合磋商文件规定技术规格、技术标准的要求；</w:t>
      </w:r>
    </w:p>
    <w:p w14:paraId="1E59E41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⒂</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不符合磋商文件中规定的其他实质性要求的；</w:t>
      </w:r>
    </w:p>
    <w:p w14:paraId="141C585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竞争性磋商响应文件载明的货物包装方式、检验标准和方法等不符合磋商文件的要求；</w:t>
      </w:r>
    </w:p>
    <w:p w14:paraId="237387B6">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17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⒄</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竞争性磋商响应文件附有</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不能接受的条件、内容的；</w:t>
      </w:r>
    </w:p>
    <w:p w14:paraId="7ADB1FF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18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报价超过采购工程控制价的。</w:t>
      </w:r>
    </w:p>
    <w:p w14:paraId="5777B2D0">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3.1.3初步评审步骤：</w:t>
      </w:r>
    </w:p>
    <w:p w14:paraId="4F4FDBC5">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1、评审会议主持；</w:t>
      </w:r>
    </w:p>
    <w:p w14:paraId="3B251F8B">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2、第一次报价不公布，进入资格评审程序；</w:t>
      </w:r>
    </w:p>
    <w:p w14:paraId="19EDA241">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3、磋商小组依据磋商文件的规定对供应商提供的响应文件进行资格符合性审查；</w:t>
      </w:r>
    </w:p>
    <w:p w14:paraId="377A861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4、磋商小组依据磋商文件的规定对供应商提供的响应文件进行初步评审；</w:t>
      </w:r>
    </w:p>
    <w:p w14:paraId="38DDC383">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5、磋商小组成员与通过初步评审、资格性审查的供应商按照随机次序分别进行磋商；</w:t>
      </w:r>
    </w:p>
    <w:p w14:paraId="58BA018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6、第二轮报价及承诺（第二轮报价由供应商在</w:t>
      </w:r>
      <w:r>
        <w:rPr>
          <w:rFonts w:hint="eastAsia" w:ascii="宋体" w:hAnsi="宋体" w:eastAsia="宋体" w:cs="宋体"/>
          <w:color w:val="auto"/>
          <w:sz w:val="24"/>
          <w:szCs w:val="24"/>
          <w:highlight w:val="none"/>
          <w:lang w:val="en-US" w:eastAsia="zh-CN"/>
        </w:rPr>
        <w:t>政采云系统</w:t>
      </w:r>
      <w:r>
        <w:rPr>
          <w:rFonts w:hint="eastAsia" w:ascii="宋体" w:hAnsi="宋体" w:eastAsia="宋体" w:cs="宋体"/>
          <w:color w:val="auto"/>
          <w:sz w:val="24"/>
          <w:szCs w:val="24"/>
          <w:highlight w:val="none"/>
        </w:rPr>
        <w:t>直接填报</w:t>
      </w:r>
      <w:r>
        <w:rPr>
          <w:rFonts w:hint="eastAsia" w:ascii="宋体" w:hAnsi="宋体" w:eastAsia="宋体" w:cs="宋体"/>
          <w:color w:val="auto"/>
          <w:sz w:val="24"/>
          <w:szCs w:val="24"/>
          <w:highlight w:val="none"/>
          <w:lang w:val="en-US" w:eastAsia="zh-CN"/>
        </w:rPr>
        <w:t>或上传报价附件</w:t>
      </w:r>
      <w:r>
        <w:rPr>
          <w:rFonts w:hint="eastAsia" w:ascii="宋体" w:hAnsi="宋体" w:eastAsia="宋体" w:cs="宋体"/>
          <w:color w:val="auto"/>
          <w:sz w:val="24"/>
          <w:szCs w:val="24"/>
          <w:highlight w:val="none"/>
        </w:rPr>
        <w:t>。第二轮磋商报价为供应商的最终报价。若供应商最终报价超过最高限价，按无效响应文件处理）。</w:t>
      </w:r>
    </w:p>
    <w:p w14:paraId="03B31F46">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详细评审</w:t>
      </w:r>
    </w:p>
    <w:p w14:paraId="25390DA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3.2.1磋商小组对各磋商申请人的响应文件进行详细评审（技术部分及商务部分进行评审评分）。磋商小组按照得分的高低推荐成交候选人，推荐成交候选人三人，并标明排列顺序。</w:t>
      </w:r>
    </w:p>
    <w:p w14:paraId="7D35CEE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磋商小组按本章第 2.2 款规定的量化因素和分值进行打分，并计算出综合评估得分。</w:t>
      </w:r>
    </w:p>
    <w:p w14:paraId="5C1EC7D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3.2.3评分分值计算保留小数点后两位，小数点后第三位“四舍五入”。</w:t>
      </w:r>
    </w:p>
    <w:p w14:paraId="6D6E2CA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竞争性磋商响应文件的澄清和补正</w:t>
      </w:r>
    </w:p>
    <w:p w14:paraId="331390B0">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在评审过程中，磋商小组可以书面形式要求磋商申请人对所提交竞争性磋商响应文件中不明确的内容进行书面澄清或说明，或者对细微偏差进行补正。磋商小组不接受磋商申请人主动提出的澄清、说明或补正。</w:t>
      </w:r>
    </w:p>
    <w:p w14:paraId="63E49B51">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澄清、说明和补正不得改变竞争性磋商响应文件的实质性内容（算术性错误修正的除外）。磋商申请人的书面澄清、说明和补正属于竞争性磋商响应文件的组成部分。</w:t>
      </w:r>
    </w:p>
    <w:p w14:paraId="13328BB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磋商小组对磋商申请人提交的澄清、说明或补正有疑问的，可以要求磋商申请人进一步澄清、说明或补正，直至满足磋商小组的要求。</w:t>
      </w:r>
    </w:p>
    <w:p w14:paraId="6146F16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3.3.4根据财库〔2015〕124号，竞争性磋商采购方式采购的政府购买服务项目（含政府和社会资本合作项目），在采购过程中符合要求的磋商申请人（社会资本）只有2家的，竞争性磋商采购活动可以继续进行。</w:t>
      </w:r>
    </w:p>
    <w:p w14:paraId="0FDD0B5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评审结果</w:t>
      </w:r>
    </w:p>
    <w:p w14:paraId="675F8163">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磋商小组根据采购文件确定的评分要求，对竞争性磋商响应文件进行评分，并按照磋商单位最终得分由高到低推荐成交候选人，编写评审报告。若出现得分一致时，由磋商小组进行投票，以得票数多的优先推荐成交候选人。</w:t>
      </w:r>
    </w:p>
    <w:p w14:paraId="3DDF8B25">
      <w:pPr>
        <w:spacing w:after="0" w:line="520" w:lineRule="exact"/>
        <w:ind w:firstLine="480" w:firstLineChars="200"/>
        <w:rPr>
          <w:rFonts w:ascii="微软雅黑" w:hAnsi="微软雅黑"/>
          <w:color w:val="auto"/>
          <w:sz w:val="24"/>
          <w:szCs w:val="24"/>
          <w:highlight w:val="none"/>
        </w:rPr>
      </w:pPr>
      <w:r>
        <w:rPr>
          <w:rFonts w:hint="eastAsia" w:ascii="宋体" w:hAnsi="宋体" w:eastAsia="宋体" w:cs="宋体"/>
          <w:color w:val="auto"/>
          <w:sz w:val="24"/>
          <w:szCs w:val="24"/>
          <w:highlight w:val="none"/>
        </w:rPr>
        <w:t>3.4.2 磋商小组完成评审后，应当向</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提交书面评审报告。</w:t>
      </w:r>
    </w:p>
    <w:p w14:paraId="4912B0BD">
      <w:pPr>
        <w:spacing w:after="0" w:line="520" w:lineRule="exact"/>
        <w:ind w:firstLine="480" w:firstLineChars="200"/>
        <w:rPr>
          <w:rFonts w:hint="eastAsia" w:ascii="宋体" w:hAnsi="宋体" w:eastAsia="宋体" w:cs="宋体"/>
          <w:color w:val="auto"/>
          <w:sz w:val="24"/>
          <w:szCs w:val="24"/>
          <w:highlight w:val="none"/>
        </w:rPr>
      </w:pPr>
      <w:bookmarkStart w:id="114" w:name="_Toc517963435"/>
      <w:r>
        <w:rPr>
          <w:rFonts w:hint="eastAsia" w:ascii="宋体" w:hAnsi="宋体" w:eastAsia="宋体" w:cs="宋体"/>
          <w:color w:val="auto"/>
          <w:sz w:val="24"/>
          <w:szCs w:val="24"/>
          <w:highlight w:val="none"/>
        </w:rPr>
        <w:t>备注：异常低价问题的处理</w:t>
      </w:r>
    </w:p>
    <w:p w14:paraId="2FA2B7A6">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（1）评标中出现下列情形之一的，评标委员会应当启动异常低价投标（响应）审查程序：</w:t>
      </w:r>
    </w:p>
    <w:p w14:paraId="7FD6A49B">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①投标（响应）报价低于全部通过符合性审查投标人投标（响应）报价平均值50%的，即投标（响应）报价＜全部通过符合性审查投标人投标（响应）报价平均值×50%；</w:t>
      </w:r>
    </w:p>
    <w:p w14:paraId="37C67843">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②投标（响应）报价低于通过符合性审查的次低报价投标人投标（响应）报价50%的，即投标（响应）报价＜通过符合性审查的次低报价投标人投标（响应）报价×50%；</w:t>
      </w:r>
    </w:p>
    <w:p w14:paraId="064638D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③投标（响应）报价低于采购项目最高限价45%的，即投标（响应）报价＜采购项目最高限价×45%；</w:t>
      </w:r>
    </w:p>
    <w:p w14:paraId="272F3313">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④评标委员会基于专业判断，认为投标人报价过低，有可能影响产品质量或者不能诚信履约的其他情形。</w:t>
      </w:r>
    </w:p>
    <w:p w14:paraId="0A296EA4">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启动异常低价投标（响应）审查后，属于前述第1项至第4项情形的，应当要求相关投标人在评标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③项情形，投标人已随投标（响应）文件一并提交相关书面说明及必要的证明材料的，在评标现场可不再重复提交。</w:t>
      </w:r>
    </w:p>
    <w:p w14:paraId="17F045A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响应）处理。</w:t>
      </w:r>
    </w:p>
    <w:p w14:paraId="002EC35F">
      <w:pPr>
        <w:spacing w:after="0" w:line="520" w:lineRule="exact"/>
        <w:ind w:firstLine="480" w:firstLineChars="200"/>
        <w:rPr>
          <w:rFonts w:ascii="微软雅黑" w:hAnsi="微软雅黑" w:cs="Times New Roman"/>
          <w:b/>
          <w:bCs/>
          <w:color w:val="auto"/>
          <w:kern w:val="44"/>
          <w:sz w:val="40"/>
          <w:szCs w:val="44"/>
          <w:highlight w:val="none"/>
        </w:rPr>
      </w:pPr>
      <w:r>
        <w:rPr>
          <w:rFonts w:hint="eastAsia" w:ascii="宋体" w:hAnsi="宋体" w:eastAsia="宋体" w:cs="宋体"/>
          <w:color w:val="auto"/>
          <w:sz w:val="24"/>
          <w:szCs w:val="24"/>
          <w:highlight w:val="none"/>
        </w:rPr>
        <w:t>（4）凡超出磋商文件规定的或给采购人带来未曾要求的利益的变化、偏离或其他因素在评标时不予考虑。</w:t>
      </w:r>
      <w:r>
        <w:rPr>
          <w:rFonts w:ascii="微软雅黑" w:hAnsi="微软雅黑"/>
          <w:color w:val="auto"/>
          <w:sz w:val="40"/>
          <w:highlight w:val="none"/>
        </w:rPr>
        <w:br w:type="page"/>
      </w:r>
      <w:bookmarkStart w:id="115" w:name="_Toc530733567"/>
    </w:p>
    <w:p w14:paraId="6EFAA863">
      <w:pPr>
        <w:pStyle w:val="2"/>
        <w:spacing w:line="276" w:lineRule="auto"/>
        <w:jc w:val="center"/>
        <w:rPr>
          <w:rFonts w:hint="eastAsia" w:ascii="宋体" w:hAnsi="宋体" w:eastAsia="宋体" w:cs="宋体"/>
          <w:color w:val="auto"/>
          <w:sz w:val="40"/>
          <w:highlight w:val="none"/>
        </w:rPr>
      </w:pPr>
      <w:bookmarkStart w:id="116" w:name="_Toc5693"/>
      <w:bookmarkStart w:id="117" w:name="_Toc23633"/>
      <w:r>
        <w:rPr>
          <w:rFonts w:hint="eastAsia" w:ascii="宋体" w:hAnsi="宋体" w:eastAsia="宋体" w:cs="宋体"/>
          <w:color w:val="auto"/>
          <w:sz w:val="40"/>
          <w:highlight w:val="none"/>
        </w:rPr>
        <w:t>第四章  合</w:t>
      </w:r>
      <w:r>
        <w:rPr>
          <w:rFonts w:hint="eastAsia" w:ascii="宋体" w:hAnsi="宋体" w:eastAsia="宋体" w:cs="宋体"/>
          <w:b/>
          <w:bCs/>
          <w:color w:val="auto"/>
          <w:sz w:val="40"/>
          <w:highlight w:val="none"/>
        </w:rPr>
        <w:t>同</w:t>
      </w:r>
      <w:r>
        <w:rPr>
          <w:rFonts w:hint="eastAsia" w:ascii="宋体" w:hAnsi="宋体" w:eastAsia="宋体" w:cs="宋体"/>
          <w:color w:val="auto"/>
          <w:sz w:val="40"/>
          <w:highlight w:val="none"/>
        </w:rPr>
        <w:t>条款及格式</w:t>
      </w:r>
      <w:bookmarkEnd w:id="114"/>
      <w:bookmarkEnd w:id="115"/>
      <w:bookmarkEnd w:id="116"/>
      <w:bookmarkEnd w:id="117"/>
    </w:p>
    <w:p w14:paraId="4DF52001">
      <w:pPr>
        <w:spacing w:line="600" w:lineRule="exact"/>
        <w:jc w:val="center"/>
        <w:outlineLvl w:val="0"/>
        <w:rPr>
          <w:rFonts w:hint="eastAsia" w:ascii="宋体" w:hAnsi="宋体" w:eastAsia="宋体" w:cs="宋体"/>
          <w:b/>
          <w:bCs/>
          <w:color w:val="auto"/>
          <w:sz w:val="44"/>
          <w:szCs w:val="44"/>
          <w:highlight w:val="none"/>
        </w:rPr>
      </w:pPr>
      <w:bookmarkStart w:id="118" w:name="_Toc30728"/>
      <w:r>
        <w:rPr>
          <w:rFonts w:hint="eastAsia" w:ascii="宋体" w:hAnsi="宋体" w:eastAsia="宋体" w:cs="宋体"/>
          <w:b/>
          <w:bCs/>
          <w:color w:val="auto"/>
          <w:szCs w:val="21"/>
          <w:highlight w:val="none"/>
          <w:lang w:val="zh-CN"/>
        </w:rPr>
        <w:t>（具体合同条款以发包人与承包人最终签订条款为准）</w:t>
      </w:r>
      <w:bookmarkEnd w:id="118"/>
    </w:p>
    <w:p w14:paraId="077B37E1">
      <w:pPr>
        <w:spacing w:line="800" w:lineRule="exact"/>
        <w:jc w:val="both"/>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（GF—2017—0201）</w:t>
      </w:r>
    </w:p>
    <w:p w14:paraId="5ED96B72">
      <w:pPr>
        <w:spacing w:line="800" w:lineRule="exact"/>
        <w:jc w:val="center"/>
        <w:rPr>
          <w:rFonts w:hint="eastAsia" w:ascii="宋体" w:hAnsi="宋体" w:eastAsia="宋体" w:cs="宋体"/>
          <w:bCs/>
          <w:color w:val="auto"/>
          <w:sz w:val="32"/>
          <w:szCs w:val="32"/>
          <w:highlight w:val="none"/>
        </w:rPr>
      </w:pPr>
    </w:p>
    <w:p w14:paraId="710813B0">
      <w:pPr>
        <w:spacing w:line="800" w:lineRule="exact"/>
        <w:jc w:val="center"/>
        <w:rPr>
          <w:rFonts w:hint="eastAsia" w:ascii="宋体" w:hAnsi="宋体" w:eastAsia="宋体" w:cs="宋体"/>
          <w:bCs/>
          <w:color w:val="auto"/>
          <w:sz w:val="32"/>
          <w:szCs w:val="32"/>
          <w:highlight w:val="none"/>
        </w:rPr>
      </w:pPr>
    </w:p>
    <w:p w14:paraId="2C0283C7">
      <w:pPr>
        <w:spacing w:line="800" w:lineRule="exact"/>
        <w:jc w:val="center"/>
        <w:rPr>
          <w:rFonts w:hint="eastAsia" w:ascii="宋体" w:hAnsi="宋体" w:eastAsia="宋体" w:cs="宋体"/>
          <w:bCs/>
          <w:color w:val="auto"/>
          <w:sz w:val="32"/>
          <w:szCs w:val="32"/>
          <w:highlight w:val="none"/>
        </w:rPr>
      </w:pPr>
    </w:p>
    <w:p w14:paraId="502F893A">
      <w:pPr>
        <w:spacing w:line="800" w:lineRule="exact"/>
        <w:jc w:val="center"/>
        <w:rPr>
          <w:rFonts w:hint="eastAsia" w:ascii="宋体" w:hAnsi="宋体" w:eastAsia="宋体" w:cs="宋体"/>
          <w:b/>
          <w:color w:val="auto"/>
          <w:sz w:val="72"/>
          <w:szCs w:val="52"/>
          <w:highlight w:val="none"/>
          <w:lang w:eastAsia="zh-CN"/>
        </w:rPr>
      </w:pPr>
      <w:r>
        <w:rPr>
          <w:rFonts w:hint="eastAsia" w:ascii="宋体" w:hAnsi="宋体" w:eastAsia="宋体" w:cs="宋体"/>
          <w:b/>
          <w:color w:val="auto"/>
          <w:sz w:val="72"/>
          <w:szCs w:val="52"/>
          <w:highlight w:val="none"/>
        </w:rPr>
        <w:t>建设工程施工合同</w:t>
      </w:r>
    </w:p>
    <w:p w14:paraId="48464E50">
      <w:pPr>
        <w:spacing w:line="8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52"/>
          <w:szCs w:val="52"/>
          <w:highlight w:val="none"/>
        </w:rPr>
        <w:t>（示范文本）</w:t>
      </w:r>
    </w:p>
    <w:p w14:paraId="26775451">
      <w:pPr>
        <w:spacing w:line="340" w:lineRule="exact"/>
        <w:rPr>
          <w:rFonts w:hint="eastAsia" w:ascii="宋体" w:hAnsi="宋体" w:eastAsia="宋体" w:cs="宋体"/>
          <w:b/>
          <w:color w:val="auto"/>
          <w:sz w:val="28"/>
          <w:szCs w:val="28"/>
          <w:highlight w:val="none"/>
        </w:rPr>
      </w:pPr>
    </w:p>
    <w:p w14:paraId="7422B9C5">
      <w:pPr>
        <w:spacing w:line="340" w:lineRule="exact"/>
        <w:rPr>
          <w:rFonts w:hint="eastAsia" w:ascii="宋体" w:hAnsi="宋体" w:eastAsia="宋体" w:cs="宋体"/>
          <w:b/>
          <w:color w:val="auto"/>
          <w:sz w:val="28"/>
          <w:szCs w:val="28"/>
          <w:highlight w:val="none"/>
        </w:rPr>
      </w:pPr>
    </w:p>
    <w:p w14:paraId="7F57C47F">
      <w:pPr>
        <w:spacing w:line="340" w:lineRule="exact"/>
        <w:rPr>
          <w:rFonts w:hint="eastAsia" w:ascii="宋体" w:hAnsi="宋体" w:eastAsia="宋体" w:cs="宋体"/>
          <w:b/>
          <w:color w:val="auto"/>
          <w:sz w:val="28"/>
          <w:szCs w:val="28"/>
          <w:highlight w:val="none"/>
        </w:rPr>
      </w:pPr>
    </w:p>
    <w:p w14:paraId="34002FA7">
      <w:pPr>
        <w:spacing w:line="340" w:lineRule="exact"/>
        <w:rPr>
          <w:rFonts w:hint="eastAsia" w:ascii="宋体" w:hAnsi="宋体" w:eastAsia="宋体" w:cs="宋体"/>
          <w:b/>
          <w:color w:val="auto"/>
          <w:sz w:val="28"/>
          <w:szCs w:val="28"/>
          <w:highlight w:val="none"/>
        </w:rPr>
      </w:pPr>
    </w:p>
    <w:p w14:paraId="36294687">
      <w:pPr>
        <w:spacing w:line="340" w:lineRule="exact"/>
        <w:rPr>
          <w:rFonts w:hint="eastAsia" w:ascii="宋体" w:hAnsi="宋体" w:eastAsia="宋体" w:cs="宋体"/>
          <w:b/>
          <w:color w:val="auto"/>
          <w:sz w:val="28"/>
          <w:szCs w:val="28"/>
          <w:highlight w:val="none"/>
        </w:rPr>
      </w:pPr>
    </w:p>
    <w:p w14:paraId="615E260C">
      <w:pPr>
        <w:pStyle w:val="24"/>
        <w:rPr>
          <w:rFonts w:hint="eastAsia" w:ascii="宋体" w:hAnsi="宋体" w:eastAsia="宋体" w:cs="宋体"/>
          <w:b/>
          <w:color w:val="auto"/>
          <w:sz w:val="28"/>
          <w:szCs w:val="28"/>
          <w:highlight w:val="none"/>
        </w:rPr>
      </w:pPr>
    </w:p>
    <w:p w14:paraId="5B1D9F16">
      <w:pPr>
        <w:pStyle w:val="25"/>
        <w:rPr>
          <w:rFonts w:hint="eastAsia" w:ascii="宋体" w:hAnsi="宋体" w:eastAsia="宋体" w:cs="宋体"/>
          <w:color w:val="auto"/>
          <w:highlight w:val="none"/>
        </w:rPr>
      </w:pPr>
    </w:p>
    <w:p w14:paraId="19FFD122">
      <w:pPr>
        <w:spacing w:line="340" w:lineRule="exact"/>
        <w:rPr>
          <w:rFonts w:hint="eastAsia" w:ascii="宋体" w:hAnsi="宋体" w:eastAsia="宋体" w:cs="宋体"/>
          <w:b/>
          <w:color w:val="auto"/>
          <w:sz w:val="28"/>
          <w:szCs w:val="28"/>
          <w:highlight w:val="none"/>
        </w:rPr>
      </w:pPr>
    </w:p>
    <w:p w14:paraId="709CFAB7">
      <w:pPr>
        <w:spacing w:line="340" w:lineRule="exact"/>
        <w:ind w:right="2849" w:rightChars="1295" w:firstLine="2868" w:firstLineChars="1304"/>
        <w:jc w:val="distribute"/>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2336"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4" name="文本框 14"/>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7A68B6A3">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12.6pt;margin-top:9.45pt;height:36pt;width:57pt;z-index:251662336;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HNLXHYAAAACQEAAA8AAAAAAAAAAQAgAAAAIgAAAGRy&#10;cy9kb3ducmV2LnhtbFBLAQIUABQAAAAIAIdO4kDflP0mBQIAAA4EAAAOAAAAAAAAAAEAIAAAACcB&#10;AABkcnMvZTJvRG9jLnhtbFBLBQYAAAAABgAGAFkBAACeBQAAAAA=&#10;">
                <v:fill on="f" focussize="0,0"/>
                <v:stroke color="#FFFFFF" joinstyle="miter"/>
                <v:imagedata o:title=""/>
                <o:lock v:ext="edit" aspectratio="f"/>
                <v:textbox>
                  <w:txbxContent>
                    <w:p w14:paraId="7A68B6A3">
                      <w:pPr>
                        <w:rPr>
                          <w:b/>
                          <w:bCs/>
                          <w:sz w:val="32"/>
                        </w:rPr>
                      </w:pPr>
                      <w:r>
                        <w:rPr>
                          <w:rFonts w:hint="eastAsia"/>
                          <w:b/>
                          <w:bCs/>
                          <w:sz w:val="32"/>
                        </w:rPr>
                        <w:t>制定</w:t>
                      </w:r>
                    </w:p>
                  </w:txbxContent>
                </v:textbox>
              </v:shape>
            </w:pict>
          </mc:Fallback>
        </mc:AlternateContent>
      </w:r>
      <w:r>
        <w:rPr>
          <w:rFonts w:hint="eastAsia" w:ascii="宋体" w:hAnsi="宋体" w:eastAsia="宋体" w:cs="宋体"/>
          <w:b/>
          <w:color w:val="auto"/>
          <w:sz w:val="32"/>
          <w:szCs w:val="28"/>
          <w:highlight w:val="none"/>
        </w:rPr>
        <w:t>住房城乡建设部</w:t>
      </w:r>
    </w:p>
    <w:p w14:paraId="364CFE0D">
      <w:pPr>
        <w:spacing w:line="340" w:lineRule="exact"/>
        <w:ind w:right="2849" w:rightChars="1295" w:firstLine="4189" w:firstLineChars="1304"/>
        <w:jc w:val="distribute"/>
        <w:rPr>
          <w:rFonts w:hint="eastAsia" w:ascii="宋体" w:hAnsi="宋体" w:eastAsia="宋体" w:cs="宋体"/>
          <w:b/>
          <w:color w:val="auto"/>
          <w:sz w:val="32"/>
          <w:szCs w:val="28"/>
          <w:highlight w:val="none"/>
        </w:rPr>
      </w:pPr>
    </w:p>
    <w:p w14:paraId="5A95F3FE">
      <w:pPr>
        <w:spacing w:line="340" w:lineRule="exact"/>
        <w:ind w:right="2849" w:rightChars="1295" w:firstLine="2750" w:firstLineChars="856"/>
        <w:jc w:val="distribute"/>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国家工商行政管理总局</w:t>
      </w:r>
    </w:p>
    <w:p w14:paraId="2FEFDEC5">
      <w:pPr>
        <w:adjustRightInd w:val="0"/>
        <w:snapToGrid w:val="0"/>
        <w:jc w:val="left"/>
        <w:rPr>
          <w:rFonts w:hint="eastAsia" w:ascii="宋体" w:hAnsi="宋体" w:eastAsia="宋体" w:cs="宋体"/>
          <w:snapToGrid w:val="0"/>
          <w:color w:val="auto"/>
          <w:kern w:val="0"/>
          <w:szCs w:val="21"/>
          <w:highlight w:val="none"/>
        </w:rPr>
      </w:pPr>
    </w:p>
    <w:p w14:paraId="7D6A48AF">
      <w:pPr>
        <w:rPr>
          <w:rFonts w:hint="eastAsia" w:ascii="宋体" w:hAnsi="宋体" w:eastAsia="宋体" w:cs="宋体"/>
          <w:color w:val="auto"/>
          <w:sz w:val="21"/>
          <w:szCs w:val="21"/>
          <w:highlight w:val="none"/>
        </w:rPr>
      </w:pPr>
      <w:bookmarkStart w:id="119" w:name="_Toc504119051"/>
      <w:bookmarkStart w:id="120" w:name="_Toc512164583"/>
      <w:bookmarkStart w:id="121" w:name="_Toc510377766"/>
      <w:bookmarkStart w:id="122" w:name="_Toc505785350"/>
      <w:r>
        <w:rPr>
          <w:rFonts w:hint="eastAsia" w:ascii="宋体" w:hAnsi="宋体" w:eastAsia="宋体" w:cs="宋体"/>
          <w:color w:val="auto"/>
          <w:sz w:val="21"/>
          <w:szCs w:val="21"/>
          <w:highlight w:val="none"/>
        </w:rPr>
        <w:br w:type="page"/>
      </w:r>
    </w:p>
    <w:p w14:paraId="205936F5">
      <w:pPr>
        <w:pStyle w:val="5"/>
        <w:jc w:val="center"/>
        <w:rPr>
          <w:rFonts w:hint="eastAsia" w:ascii="宋体" w:hAnsi="宋体" w:eastAsia="宋体" w:cs="宋体"/>
          <w:caps/>
          <w:color w:val="auto"/>
          <w:sz w:val="21"/>
          <w:szCs w:val="21"/>
          <w:highlight w:val="none"/>
        </w:rPr>
      </w:pPr>
      <w:r>
        <w:rPr>
          <w:rFonts w:hint="eastAsia" w:ascii="宋体" w:hAnsi="宋体" w:eastAsia="宋体" w:cs="宋体"/>
          <w:color w:val="auto"/>
          <w:sz w:val="21"/>
          <w:szCs w:val="21"/>
          <w:highlight w:val="none"/>
        </w:rPr>
        <w:t>第一部分合同协议书</w:t>
      </w:r>
      <w:bookmarkEnd w:id="119"/>
      <w:bookmarkEnd w:id="120"/>
      <w:bookmarkEnd w:id="121"/>
      <w:bookmarkEnd w:id="122"/>
    </w:p>
    <w:p w14:paraId="1C7B2A8E">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发包人（全称）：</w:t>
      </w:r>
    </w:p>
    <w:p w14:paraId="0BDE2D6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承包人（全称）：</w:t>
      </w:r>
    </w:p>
    <w:p w14:paraId="5F2E22A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lang w:eastAsia="zh-CN"/>
        </w:rPr>
        <w:t>中华人民共和国民法典</w:t>
      </w:r>
      <w:r>
        <w:rPr>
          <w:rFonts w:hint="eastAsia" w:ascii="宋体" w:hAnsi="宋体" w:eastAsia="宋体" w:cs="宋体"/>
          <w:color w:val="auto"/>
          <w:szCs w:val="21"/>
          <w:highlight w:val="none"/>
        </w:rPr>
        <w:t>》、《中华人民共和国建筑法》及有关法律规定，遵循平等、自愿、公平和诚实信用的原则，双方就</w:t>
      </w:r>
      <w:r>
        <w:rPr>
          <w:rFonts w:hint="eastAsia" w:ascii="宋体" w:hAnsi="宋体" w:eastAsia="宋体" w:cs="宋体"/>
          <w:color w:val="auto"/>
          <w:szCs w:val="21"/>
          <w:highlight w:val="none"/>
          <w:u w:val="single"/>
        </w:rPr>
        <w:t>（项目名称）</w:t>
      </w:r>
      <w:r>
        <w:rPr>
          <w:rFonts w:hint="eastAsia" w:ascii="宋体" w:hAnsi="宋体" w:eastAsia="宋体" w:cs="宋体"/>
          <w:color w:val="auto"/>
          <w:szCs w:val="21"/>
          <w:highlight w:val="none"/>
        </w:rPr>
        <w:t>施工及有关事项协商一致，共同达成如下协议：</w:t>
      </w:r>
    </w:p>
    <w:p w14:paraId="72139062">
      <w:pPr>
        <w:spacing w:line="360" w:lineRule="auto"/>
        <w:ind w:firstLine="44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一、工程概况</w:t>
      </w:r>
    </w:p>
    <w:p w14:paraId="066CA166">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1.工程名称</w:t>
      </w:r>
      <w:r>
        <w:rPr>
          <w:rFonts w:hint="eastAsia" w:ascii="宋体" w:hAnsi="宋体" w:eastAsia="宋体" w:cs="宋体"/>
          <w:color w:val="auto"/>
          <w:szCs w:val="21"/>
          <w:highlight w:val="none"/>
        </w:rPr>
        <w:t>：。</w:t>
      </w:r>
    </w:p>
    <w:p w14:paraId="02C22E06">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2.工程地点：</w:t>
      </w:r>
      <w:r>
        <w:rPr>
          <w:rFonts w:hint="eastAsia" w:ascii="宋体" w:hAnsi="宋体" w:eastAsia="宋体" w:cs="宋体"/>
          <w:color w:val="auto"/>
          <w:szCs w:val="21"/>
          <w:highlight w:val="none"/>
        </w:rPr>
        <w:t>。</w:t>
      </w:r>
    </w:p>
    <w:p w14:paraId="0127043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3.工程立项批准文号：</w:t>
      </w:r>
      <w:r>
        <w:rPr>
          <w:rFonts w:hint="eastAsia" w:ascii="宋体" w:hAnsi="宋体" w:eastAsia="宋体" w:cs="宋体"/>
          <w:color w:val="auto"/>
          <w:szCs w:val="21"/>
          <w:highlight w:val="none"/>
        </w:rPr>
        <w:t>。</w:t>
      </w:r>
    </w:p>
    <w:p w14:paraId="1930EF9A">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4.资金来源：。</w:t>
      </w:r>
    </w:p>
    <w:p w14:paraId="1DB2773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5.工程内容：</w:t>
      </w:r>
      <w:r>
        <w:rPr>
          <w:rFonts w:hint="eastAsia" w:ascii="宋体" w:hAnsi="宋体" w:eastAsia="宋体" w:cs="宋体"/>
          <w:color w:val="auto"/>
          <w:szCs w:val="21"/>
          <w:highlight w:val="none"/>
        </w:rPr>
        <w:t>。</w:t>
      </w:r>
    </w:p>
    <w:p w14:paraId="127C391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群体工程应附《承包人承揽工程项目一览表》（附件1）。</w:t>
      </w:r>
    </w:p>
    <w:p w14:paraId="0B6DCD17">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6.工程承包范围：</w:t>
      </w:r>
      <w:r>
        <w:rPr>
          <w:rFonts w:hint="eastAsia" w:ascii="宋体" w:hAnsi="宋体" w:eastAsia="宋体" w:cs="宋体"/>
          <w:color w:val="auto"/>
          <w:szCs w:val="21"/>
          <w:highlight w:val="none"/>
        </w:rPr>
        <w:t>。</w:t>
      </w:r>
    </w:p>
    <w:p w14:paraId="78A951C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二、合同工期</w:t>
      </w:r>
    </w:p>
    <w:p w14:paraId="0F94FB5E">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计划开工日期：年月日。</w:t>
      </w:r>
    </w:p>
    <w:p w14:paraId="52EEDBE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计划竣工日期：年月日。</w:t>
      </w:r>
    </w:p>
    <w:p w14:paraId="2E7968B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工期总日历天数：天。工期总日历天数与根据前述计划开竣工日期计算的工期天数不一致的，以工期总日历天数为准。</w:t>
      </w:r>
    </w:p>
    <w:p w14:paraId="067BCE83">
      <w:pPr>
        <w:spacing w:line="360" w:lineRule="auto"/>
        <w:ind w:firstLine="44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三、质量标准</w:t>
      </w:r>
    </w:p>
    <w:p w14:paraId="50D2DE7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工程质量符合标准。</w:t>
      </w:r>
    </w:p>
    <w:p w14:paraId="33D25B9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四、签约合同价与合同价格形式</w:t>
      </w:r>
    </w:p>
    <w:p w14:paraId="1B8E92BB">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1.签约合同价为：</w:t>
      </w:r>
    </w:p>
    <w:p w14:paraId="403438BE">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人民币（大写）（¥元）；</w:t>
      </w:r>
    </w:p>
    <w:p w14:paraId="6F58681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其中：</w:t>
      </w:r>
    </w:p>
    <w:p w14:paraId="6EEBB02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⑴安全文明施工费：</w:t>
      </w:r>
    </w:p>
    <w:p w14:paraId="1B2ED50E">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人民币（大写）（¥元）；</w:t>
      </w:r>
    </w:p>
    <w:p w14:paraId="797E7C7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⑵材料和工程设备暂估价金额：</w:t>
      </w:r>
    </w:p>
    <w:p w14:paraId="52E92FA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人民币（大写）（¥元）；</w:t>
      </w:r>
    </w:p>
    <w:p w14:paraId="18A6252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⑶专业工程暂估价金额：</w:t>
      </w:r>
    </w:p>
    <w:p w14:paraId="65149D4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人民币（大写）（¥元）；</w:t>
      </w:r>
    </w:p>
    <w:p w14:paraId="12D3CDB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⑷暂列金额：</w:t>
      </w:r>
    </w:p>
    <w:p w14:paraId="2C08C59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人民币（大写）（¥元）。</w:t>
      </w:r>
    </w:p>
    <w:p w14:paraId="4DB6A82E">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2.合同价格形式：。</w:t>
      </w:r>
    </w:p>
    <w:p w14:paraId="0EA2D84B">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五、项目经理</w:t>
      </w:r>
    </w:p>
    <w:p w14:paraId="1F32155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承包人项目经理：</w:t>
      </w:r>
      <w:r>
        <w:rPr>
          <w:rFonts w:hint="eastAsia" w:ascii="宋体" w:hAnsi="宋体" w:eastAsia="宋体" w:cs="宋体"/>
          <w:color w:val="auto"/>
          <w:szCs w:val="20"/>
          <w:highlight w:val="none"/>
          <w:u w:val="single"/>
        </w:rPr>
        <w:t xml:space="preserve">     </w:t>
      </w:r>
      <w:r>
        <w:rPr>
          <w:rFonts w:hint="eastAsia" w:ascii="宋体" w:hAnsi="宋体" w:eastAsia="宋体" w:cs="宋体"/>
          <w:color w:val="auto"/>
          <w:szCs w:val="21"/>
          <w:highlight w:val="none"/>
        </w:rPr>
        <w:t>；</w:t>
      </w:r>
    </w:p>
    <w:p w14:paraId="2EE36A5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职称：；</w:t>
      </w:r>
    </w:p>
    <w:p w14:paraId="7BD8900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p>
    <w:p w14:paraId="788E776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建造师执业资格证书号：；</w:t>
      </w:r>
    </w:p>
    <w:p w14:paraId="7EC8065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p>
    <w:p w14:paraId="36DA7A6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p>
    <w:p w14:paraId="5247D69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安全生产考核合格证书号：。</w:t>
      </w:r>
    </w:p>
    <w:p w14:paraId="224E05B4">
      <w:pPr>
        <w:spacing w:line="360" w:lineRule="auto"/>
        <w:ind w:firstLine="44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六、合同文件构成</w:t>
      </w:r>
    </w:p>
    <w:p w14:paraId="7AA27606">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本协议书与下列文件一起构成合同文件：</w:t>
      </w:r>
    </w:p>
    <w:p w14:paraId="501CF22C">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⑴中标通知书；</w:t>
      </w:r>
    </w:p>
    <w:p w14:paraId="71A0D745">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⑵投标函及其附录；</w:t>
      </w:r>
    </w:p>
    <w:p w14:paraId="206A9253">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⑶专用合同条款及其附件；</w:t>
      </w:r>
    </w:p>
    <w:p w14:paraId="7144958A">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⑷通用合同条款；</w:t>
      </w:r>
    </w:p>
    <w:p w14:paraId="58AAEA30">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⑸技术标准和要求；</w:t>
      </w:r>
    </w:p>
    <w:p w14:paraId="3A294590">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⑹图纸；</w:t>
      </w:r>
    </w:p>
    <w:p w14:paraId="63261FC3">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⑺已标价工程量清单或预算书；</w:t>
      </w:r>
    </w:p>
    <w:p w14:paraId="67610969">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⑻其他合同文件。</w:t>
      </w:r>
    </w:p>
    <w:p w14:paraId="05F3B75D">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在合同订立及履行过程中形成的与合同有关的文件均构成合同文件组成部分。</w:t>
      </w:r>
    </w:p>
    <w:p w14:paraId="306943C0">
      <w:pPr>
        <w:autoSpaceDE w:val="0"/>
        <w:autoSpaceDN w:val="0"/>
        <w:adjustRightInd w:val="0"/>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上述各项合同文件包括合同当事人就该项合同文件所作出的补充和修改，属于同一类内容的文件，应以最新签署的为准。专用合同条款及其附件须经合同当事人签字或盖章。</w:t>
      </w:r>
    </w:p>
    <w:p w14:paraId="359F2241">
      <w:pPr>
        <w:autoSpaceDE w:val="0"/>
        <w:autoSpaceDN w:val="0"/>
        <w:adjustRightInd w:val="0"/>
        <w:spacing w:line="360" w:lineRule="auto"/>
        <w:ind w:firstLine="440" w:firstLineChars="200"/>
        <w:jc w:val="lef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七、承诺</w:t>
      </w:r>
    </w:p>
    <w:p w14:paraId="68066BEF">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1.发包人承诺按照法律规定履行项目审批手续、筹集工程建设资金并按照合同约定的期限和方式支付合同价款。</w:t>
      </w:r>
    </w:p>
    <w:p w14:paraId="6F2094DE">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2.承包人承诺按照法律规定及合同约定组织完成工程施工，确保工程质量和安全，不进行转包及违法分包，并在缺陷责任期及保修期内承担相应的工程维修责任。</w:t>
      </w:r>
    </w:p>
    <w:p w14:paraId="41A3AF2C">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3.发包人和承包人通过招投标形式签订合同的，双方理解并承诺不再就同一工程另行签订与合同实质性内容相背离的协议。</w:t>
      </w:r>
    </w:p>
    <w:p w14:paraId="37BDBC2C">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八、词语含义</w:t>
      </w:r>
    </w:p>
    <w:p w14:paraId="54FB24B4">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本协议书中词语含义与第二部分通用合同条款中赋予的含义相同。</w:t>
      </w:r>
    </w:p>
    <w:p w14:paraId="113921EE">
      <w:pPr>
        <w:spacing w:line="360" w:lineRule="auto"/>
        <w:ind w:firstLine="44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九、签订时间</w:t>
      </w:r>
    </w:p>
    <w:p w14:paraId="581FB874">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本合同于</w:t>
      </w:r>
      <w:r>
        <w:rPr>
          <w:rFonts w:hint="eastAsia" w:ascii="宋体" w:hAnsi="宋体" w:eastAsia="宋体" w:cs="宋体"/>
          <w:color w:val="auto"/>
          <w:szCs w:val="21"/>
          <w:highlight w:val="none"/>
        </w:rPr>
        <w:t>年月日</w:t>
      </w:r>
      <w:r>
        <w:rPr>
          <w:rFonts w:hint="eastAsia" w:ascii="宋体" w:hAnsi="宋体" w:eastAsia="宋体" w:cs="宋体"/>
          <w:bCs/>
          <w:color w:val="auto"/>
          <w:szCs w:val="21"/>
          <w:highlight w:val="none"/>
        </w:rPr>
        <w:t>签订。</w:t>
      </w:r>
    </w:p>
    <w:p w14:paraId="06974328">
      <w:pPr>
        <w:spacing w:line="360" w:lineRule="auto"/>
        <w:ind w:firstLine="44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十、签订地点</w:t>
      </w:r>
    </w:p>
    <w:p w14:paraId="24D36450">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本合同在</w:t>
      </w:r>
      <w:r>
        <w:rPr>
          <w:rFonts w:hint="eastAsia" w:ascii="宋体" w:hAnsi="宋体" w:eastAsia="宋体" w:cs="宋体"/>
          <w:bCs/>
          <w:color w:val="auto"/>
          <w:szCs w:val="21"/>
          <w:highlight w:val="none"/>
          <w:u w:val="single"/>
        </w:rPr>
        <w:t>（发包人或项目所在地）</w:t>
      </w:r>
      <w:r>
        <w:rPr>
          <w:rFonts w:hint="eastAsia" w:ascii="宋体" w:hAnsi="宋体" w:eastAsia="宋体" w:cs="宋体"/>
          <w:bCs/>
          <w:color w:val="auto"/>
          <w:szCs w:val="21"/>
          <w:highlight w:val="none"/>
        </w:rPr>
        <w:t>签订。</w:t>
      </w:r>
    </w:p>
    <w:p w14:paraId="59810E28">
      <w:pPr>
        <w:spacing w:line="360" w:lineRule="auto"/>
        <w:ind w:firstLine="44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十一、补充协议</w:t>
      </w:r>
    </w:p>
    <w:p w14:paraId="7EC68FDE">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合同未尽事宜，合同当事人另行签订补充协议，补充协议是合同的组成部分。</w:t>
      </w:r>
    </w:p>
    <w:p w14:paraId="6BF06BC3">
      <w:pPr>
        <w:spacing w:line="360" w:lineRule="auto"/>
        <w:ind w:firstLine="44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十二、合同生效</w:t>
      </w:r>
    </w:p>
    <w:p w14:paraId="09EA37C7">
      <w:pPr>
        <w:spacing w:line="360" w:lineRule="auto"/>
        <w:ind w:firstLine="44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本合同自</w:t>
      </w:r>
      <w:r>
        <w:rPr>
          <w:rFonts w:hint="eastAsia" w:ascii="宋体" w:hAnsi="宋体" w:eastAsia="宋体" w:cs="宋体"/>
          <w:bCs/>
          <w:color w:val="auto"/>
          <w:szCs w:val="21"/>
          <w:highlight w:val="none"/>
          <w:u w:val="single"/>
        </w:rPr>
        <w:t>发包人和承包人的法定代表人或其委托代理人在协议书上签字并加盖单位章后</w:t>
      </w:r>
      <w:r>
        <w:rPr>
          <w:rFonts w:hint="eastAsia" w:ascii="宋体" w:hAnsi="宋体" w:eastAsia="宋体" w:cs="宋体"/>
          <w:bCs/>
          <w:color w:val="auto"/>
          <w:szCs w:val="21"/>
          <w:highlight w:val="none"/>
        </w:rPr>
        <w:t>生效。</w:t>
      </w:r>
    </w:p>
    <w:p w14:paraId="249A24BF">
      <w:pPr>
        <w:spacing w:line="360" w:lineRule="auto"/>
        <w:ind w:firstLine="440" w:firstLineChars="200"/>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十三、合同份数</w:t>
      </w:r>
    </w:p>
    <w:p w14:paraId="7E69AF9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本合同一式份，均具有同等法律效力，发包人执份，承包人执份。</w:t>
      </w:r>
    </w:p>
    <w:p w14:paraId="48C3A41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w:t>
      </w:r>
      <w:r>
        <w:rPr>
          <w:rFonts w:hint="eastAsia" w:ascii="宋体" w:hAnsi="宋体" w:eastAsia="宋体" w:cs="宋体"/>
          <w:caps/>
          <w:color w:val="auto"/>
          <w:szCs w:val="21"/>
          <w:highlight w:val="none"/>
          <w:u w:val="single"/>
        </w:rPr>
        <w:t>（公章）</w:t>
      </w:r>
      <w:r>
        <w:rPr>
          <w:rFonts w:hint="eastAsia" w:ascii="宋体" w:hAnsi="宋体" w:eastAsia="宋体" w:cs="宋体"/>
          <w:caps/>
          <w:color w:val="auto"/>
          <w:szCs w:val="21"/>
          <w:highlight w:val="none"/>
          <w:u w:val="single"/>
          <w:lang w:val="en-US" w:eastAsia="zh-CN"/>
        </w:rPr>
        <w:t xml:space="preserve">  </w:t>
      </w:r>
      <w:r>
        <w:rPr>
          <w:rFonts w:hint="eastAsia" w:ascii="宋体" w:hAnsi="宋体" w:eastAsia="宋体" w:cs="宋体"/>
          <w:caps/>
          <w:color w:val="auto"/>
          <w:szCs w:val="21"/>
          <w:highlight w:val="none"/>
          <w:u w:val="none"/>
          <w:lang w:val="en-US" w:eastAsia="zh-CN"/>
        </w:rPr>
        <w:t xml:space="preserve">                           </w:t>
      </w:r>
      <w:r>
        <w:rPr>
          <w:rFonts w:hint="eastAsia" w:ascii="宋体" w:hAnsi="宋体" w:eastAsia="宋体" w:cs="宋体"/>
          <w:color w:val="auto"/>
          <w:szCs w:val="21"/>
          <w:highlight w:val="none"/>
        </w:rPr>
        <w:t>承包人：</w:t>
      </w:r>
      <w:r>
        <w:rPr>
          <w:rFonts w:hint="eastAsia" w:ascii="宋体" w:hAnsi="宋体" w:eastAsia="宋体" w:cs="宋体"/>
          <w:caps/>
          <w:color w:val="auto"/>
          <w:szCs w:val="21"/>
          <w:highlight w:val="none"/>
          <w:u w:val="single"/>
        </w:rPr>
        <w:t>（公章）</w:t>
      </w:r>
    </w:p>
    <w:p w14:paraId="487C4F02">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法定代表人或其</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法定代表人或其</w:t>
      </w:r>
    </w:p>
    <w:p w14:paraId="7EEF235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aps/>
          <w:color w:val="auto"/>
          <w:szCs w:val="21"/>
          <w:highlight w:val="none"/>
          <w:u w:val="single"/>
        </w:rPr>
        <w:t>（签字）</w:t>
      </w:r>
      <w:r>
        <w:rPr>
          <w:rFonts w:hint="eastAsia" w:ascii="宋体" w:hAnsi="宋体" w:eastAsia="宋体" w:cs="宋体"/>
          <w:caps/>
          <w:color w:val="auto"/>
          <w:szCs w:val="21"/>
          <w:highlight w:val="none"/>
          <w:u w:val="single"/>
          <w:lang w:val="en-US" w:eastAsia="zh-CN"/>
        </w:rPr>
        <w:t xml:space="preserve">  </w:t>
      </w:r>
      <w:r>
        <w:rPr>
          <w:rFonts w:hint="eastAsia" w:ascii="宋体" w:hAnsi="宋体" w:eastAsia="宋体" w:cs="宋体"/>
          <w:caps/>
          <w:color w:val="auto"/>
          <w:szCs w:val="21"/>
          <w:highlight w:val="none"/>
          <w:u w:val="none"/>
          <w:lang w:val="en-US" w:eastAsia="zh-CN"/>
        </w:rPr>
        <w:t xml:space="preserve">                       </w:t>
      </w:r>
      <w:r>
        <w:rPr>
          <w:rFonts w:hint="eastAsia" w:ascii="宋体" w:hAnsi="宋体" w:eastAsia="宋体" w:cs="宋体"/>
          <w:color w:val="auto"/>
          <w:szCs w:val="21"/>
          <w:highlight w:val="none"/>
        </w:rPr>
        <w:t>委托代理人：</w:t>
      </w:r>
      <w:r>
        <w:rPr>
          <w:rFonts w:hint="eastAsia" w:ascii="宋体" w:hAnsi="宋体" w:eastAsia="宋体" w:cs="宋体"/>
          <w:caps/>
          <w:color w:val="auto"/>
          <w:szCs w:val="21"/>
          <w:highlight w:val="none"/>
          <w:u w:val="single"/>
        </w:rPr>
        <w:t>（签字）</w:t>
      </w:r>
    </w:p>
    <w:p w14:paraId="75F12687">
      <w:pPr>
        <w:tabs>
          <w:tab w:val="left" w:pos="4410"/>
          <w:tab w:val="left" w:pos="5103"/>
        </w:tabs>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组织机构代码：</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组织机构代码：</w:t>
      </w:r>
    </w:p>
    <w:p w14:paraId="4D841D5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地址：</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地址：</w:t>
      </w:r>
    </w:p>
    <w:p w14:paraId="4F2A4E1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邮政编码：</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邮政编码：</w:t>
      </w:r>
    </w:p>
    <w:p w14:paraId="0FEBBD4F">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法定代表人：</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法定代表人：</w:t>
      </w:r>
    </w:p>
    <w:p w14:paraId="76240E2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委托代理人：</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委托代理人：</w:t>
      </w:r>
    </w:p>
    <w:p w14:paraId="4F7BAB1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电话：</w:t>
      </w:r>
    </w:p>
    <w:p w14:paraId="58E03FD8">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传真：</w:t>
      </w:r>
    </w:p>
    <w:p w14:paraId="0630A89A">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电子信箱：</w:t>
      </w:r>
    </w:p>
    <w:p w14:paraId="09D94C5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开户银行：</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开户银行：</w:t>
      </w:r>
    </w:p>
    <w:p w14:paraId="3F044180">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账号：</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账号：</w:t>
      </w:r>
    </w:p>
    <w:p w14:paraId="47637245">
      <w:pPr>
        <w:spacing w:line="360" w:lineRule="auto"/>
        <w:jc w:val="left"/>
        <w:rPr>
          <w:rFonts w:hint="eastAsia" w:ascii="宋体" w:hAnsi="宋体" w:eastAsia="宋体" w:cs="宋体"/>
          <w:b/>
          <w:caps/>
          <w:color w:val="auto"/>
          <w:szCs w:val="21"/>
          <w:highlight w:val="none"/>
        </w:rPr>
      </w:pPr>
    </w:p>
    <w:p w14:paraId="3131410D">
      <w:pPr>
        <w:widowControl/>
        <w:jc w:val="left"/>
        <w:rPr>
          <w:rFonts w:hint="eastAsia" w:ascii="宋体" w:hAnsi="宋体" w:eastAsia="宋体" w:cs="宋体"/>
          <w:b/>
          <w:bCs/>
          <w:color w:val="auto"/>
          <w:szCs w:val="21"/>
          <w:highlight w:val="none"/>
        </w:rPr>
      </w:pPr>
      <w:bookmarkStart w:id="123" w:name="_Toc512164584"/>
      <w:bookmarkStart w:id="124" w:name="_Toc504119052"/>
      <w:bookmarkStart w:id="125" w:name="_Toc505785351"/>
      <w:bookmarkStart w:id="126" w:name="_Toc510377767"/>
      <w:r>
        <w:rPr>
          <w:rFonts w:hint="eastAsia" w:ascii="宋体" w:hAnsi="宋体" w:eastAsia="宋体" w:cs="宋体"/>
          <w:color w:val="auto"/>
          <w:szCs w:val="21"/>
          <w:highlight w:val="none"/>
        </w:rPr>
        <w:br w:type="page"/>
      </w:r>
    </w:p>
    <w:p w14:paraId="69BB9299">
      <w:pPr>
        <w:pStyle w:val="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第二部分通用合同条款</w:t>
      </w:r>
      <w:bookmarkEnd w:id="123"/>
      <w:bookmarkEnd w:id="124"/>
      <w:bookmarkEnd w:id="125"/>
      <w:bookmarkEnd w:id="126"/>
    </w:p>
    <w:p w14:paraId="5D589DA3">
      <w:pPr>
        <w:spacing w:line="360" w:lineRule="auto"/>
        <w:jc w:val="left"/>
        <w:rPr>
          <w:rFonts w:hint="eastAsia" w:ascii="宋体" w:hAnsi="宋体" w:eastAsia="宋体" w:cs="宋体"/>
          <w:b/>
          <w:caps/>
          <w:color w:val="auto"/>
          <w:szCs w:val="21"/>
          <w:highlight w:val="none"/>
        </w:rPr>
      </w:pPr>
    </w:p>
    <w:p w14:paraId="0E6BEDC3">
      <w:pPr>
        <w:spacing w:line="360" w:lineRule="auto"/>
        <w:jc w:val="center"/>
        <w:rPr>
          <w:rFonts w:hint="eastAsia" w:ascii="宋体" w:hAnsi="宋体" w:eastAsia="宋体" w:cs="宋体"/>
          <w:b/>
          <w:caps/>
          <w:color w:val="auto"/>
          <w:szCs w:val="21"/>
          <w:highlight w:val="none"/>
        </w:rPr>
      </w:pPr>
      <w:r>
        <w:rPr>
          <w:rFonts w:hint="eastAsia" w:ascii="宋体" w:hAnsi="宋体" w:eastAsia="宋体" w:cs="宋体"/>
          <w:b/>
          <w:caps/>
          <w:color w:val="auto"/>
          <w:szCs w:val="21"/>
          <w:highlight w:val="none"/>
        </w:rPr>
        <w:t>通用合同条款执行《建设工程施工合同（示范文本）》（</w:t>
      </w:r>
      <w:r>
        <w:rPr>
          <w:rFonts w:hint="eastAsia" w:ascii="宋体" w:hAnsi="宋体" w:eastAsia="宋体" w:cs="宋体"/>
          <w:b/>
          <w:color w:val="auto"/>
          <w:szCs w:val="21"/>
          <w:highlight w:val="none"/>
        </w:rPr>
        <w:t>GF-2017-0201</w:t>
      </w:r>
      <w:r>
        <w:rPr>
          <w:rFonts w:hint="eastAsia" w:ascii="宋体" w:hAnsi="宋体" w:eastAsia="宋体" w:cs="宋体"/>
          <w:b/>
          <w:caps/>
          <w:color w:val="auto"/>
          <w:szCs w:val="21"/>
          <w:highlight w:val="none"/>
        </w:rPr>
        <w:t>）版本</w:t>
      </w:r>
    </w:p>
    <w:p w14:paraId="68EA5D86">
      <w:pPr>
        <w:spacing w:line="360" w:lineRule="auto"/>
        <w:jc w:val="left"/>
        <w:rPr>
          <w:rFonts w:hint="eastAsia" w:ascii="宋体" w:hAnsi="宋体" w:eastAsia="宋体" w:cs="宋体"/>
          <w:b/>
          <w:caps/>
          <w:color w:val="auto"/>
          <w:szCs w:val="21"/>
          <w:highlight w:val="none"/>
        </w:rPr>
      </w:pPr>
    </w:p>
    <w:p w14:paraId="44EC7387">
      <w:pPr>
        <w:spacing w:line="360" w:lineRule="auto"/>
        <w:jc w:val="left"/>
        <w:rPr>
          <w:rFonts w:hint="eastAsia" w:ascii="宋体" w:hAnsi="宋体" w:eastAsia="宋体" w:cs="宋体"/>
          <w:b/>
          <w:caps/>
          <w:color w:val="auto"/>
          <w:szCs w:val="21"/>
          <w:highlight w:val="none"/>
        </w:rPr>
      </w:pPr>
    </w:p>
    <w:p w14:paraId="453C8A74">
      <w:pPr>
        <w:spacing w:line="360" w:lineRule="auto"/>
        <w:jc w:val="left"/>
        <w:rPr>
          <w:rFonts w:hint="eastAsia" w:ascii="宋体" w:hAnsi="宋体" w:eastAsia="宋体" w:cs="宋体"/>
          <w:b/>
          <w:caps/>
          <w:color w:val="auto"/>
          <w:szCs w:val="21"/>
          <w:highlight w:val="none"/>
        </w:rPr>
      </w:pPr>
    </w:p>
    <w:p w14:paraId="4A8AEA2B">
      <w:pPr>
        <w:spacing w:line="360" w:lineRule="auto"/>
        <w:jc w:val="left"/>
        <w:rPr>
          <w:rFonts w:hint="eastAsia" w:ascii="宋体" w:hAnsi="宋体" w:eastAsia="宋体" w:cs="宋体"/>
          <w:b/>
          <w:caps/>
          <w:color w:val="auto"/>
          <w:szCs w:val="21"/>
          <w:highlight w:val="none"/>
        </w:rPr>
      </w:pPr>
    </w:p>
    <w:p w14:paraId="4F8EF96C">
      <w:pPr>
        <w:spacing w:line="360" w:lineRule="auto"/>
        <w:jc w:val="left"/>
        <w:rPr>
          <w:rFonts w:hint="eastAsia" w:ascii="宋体" w:hAnsi="宋体" w:eastAsia="宋体" w:cs="宋体"/>
          <w:b/>
          <w:caps/>
          <w:color w:val="auto"/>
          <w:szCs w:val="21"/>
          <w:highlight w:val="none"/>
        </w:rPr>
      </w:pPr>
    </w:p>
    <w:p w14:paraId="7BFECD75">
      <w:pPr>
        <w:spacing w:line="360" w:lineRule="auto"/>
        <w:jc w:val="left"/>
        <w:rPr>
          <w:rFonts w:hint="eastAsia" w:ascii="宋体" w:hAnsi="宋体" w:eastAsia="宋体" w:cs="宋体"/>
          <w:b/>
          <w:caps/>
          <w:color w:val="auto"/>
          <w:szCs w:val="21"/>
          <w:highlight w:val="none"/>
        </w:rPr>
      </w:pPr>
    </w:p>
    <w:p w14:paraId="7347F33F">
      <w:pPr>
        <w:spacing w:line="360" w:lineRule="auto"/>
        <w:jc w:val="left"/>
        <w:rPr>
          <w:rFonts w:hint="eastAsia" w:ascii="宋体" w:hAnsi="宋体" w:eastAsia="宋体" w:cs="宋体"/>
          <w:b/>
          <w:caps/>
          <w:color w:val="auto"/>
          <w:szCs w:val="21"/>
          <w:highlight w:val="none"/>
        </w:rPr>
      </w:pPr>
    </w:p>
    <w:p w14:paraId="09EDE380">
      <w:pPr>
        <w:spacing w:line="360" w:lineRule="auto"/>
        <w:jc w:val="left"/>
        <w:rPr>
          <w:rFonts w:hint="eastAsia" w:ascii="宋体" w:hAnsi="宋体" w:eastAsia="宋体" w:cs="宋体"/>
          <w:b/>
          <w:caps/>
          <w:color w:val="auto"/>
          <w:szCs w:val="21"/>
          <w:highlight w:val="none"/>
        </w:rPr>
      </w:pPr>
    </w:p>
    <w:p w14:paraId="2DFC91B8">
      <w:pPr>
        <w:spacing w:line="360" w:lineRule="auto"/>
        <w:jc w:val="left"/>
        <w:rPr>
          <w:rFonts w:hint="eastAsia" w:ascii="宋体" w:hAnsi="宋体" w:eastAsia="宋体" w:cs="宋体"/>
          <w:b/>
          <w:caps/>
          <w:color w:val="auto"/>
          <w:szCs w:val="21"/>
          <w:highlight w:val="none"/>
        </w:rPr>
      </w:pPr>
    </w:p>
    <w:p w14:paraId="10A861E3">
      <w:pPr>
        <w:spacing w:line="360" w:lineRule="auto"/>
        <w:jc w:val="left"/>
        <w:rPr>
          <w:rFonts w:hint="eastAsia" w:ascii="宋体" w:hAnsi="宋体" w:eastAsia="宋体" w:cs="宋体"/>
          <w:b/>
          <w:caps/>
          <w:color w:val="auto"/>
          <w:szCs w:val="21"/>
          <w:highlight w:val="none"/>
        </w:rPr>
      </w:pPr>
    </w:p>
    <w:p w14:paraId="1A487E86">
      <w:pPr>
        <w:spacing w:line="360" w:lineRule="auto"/>
        <w:jc w:val="left"/>
        <w:rPr>
          <w:rFonts w:hint="eastAsia" w:ascii="宋体" w:hAnsi="宋体" w:eastAsia="宋体" w:cs="宋体"/>
          <w:b/>
          <w:caps/>
          <w:color w:val="auto"/>
          <w:szCs w:val="21"/>
          <w:highlight w:val="none"/>
        </w:rPr>
      </w:pPr>
    </w:p>
    <w:p w14:paraId="5C66F89B">
      <w:pPr>
        <w:spacing w:line="360" w:lineRule="auto"/>
        <w:jc w:val="left"/>
        <w:rPr>
          <w:rFonts w:hint="eastAsia" w:ascii="宋体" w:hAnsi="宋体" w:eastAsia="宋体" w:cs="宋体"/>
          <w:b/>
          <w:caps/>
          <w:color w:val="auto"/>
          <w:szCs w:val="21"/>
          <w:highlight w:val="none"/>
        </w:rPr>
      </w:pPr>
    </w:p>
    <w:p w14:paraId="5124B5DB">
      <w:pPr>
        <w:spacing w:line="360" w:lineRule="auto"/>
        <w:jc w:val="left"/>
        <w:rPr>
          <w:rFonts w:hint="eastAsia" w:ascii="宋体" w:hAnsi="宋体" w:eastAsia="宋体" w:cs="宋体"/>
          <w:b/>
          <w:caps/>
          <w:color w:val="auto"/>
          <w:szCs w:val="21"/>
          <w:highlight w:val="none"/>
        </w:rPr>
      </w:pPr>
    </w:p>
    <w:p w14:paraId="6A3A6EF0">
      <w:pPr>
        <w:spacing w:line="360" w:lineRule="auto"/>
        <w:jc w:val="left"/>
        <w:rPr>
          <w:rFonts w:hint="eastAsia" w:ascii="宋体" w:hAnsi="宋体" w:eastAsia="宋体" w:cs="宋体"/>
          <w:b/>
          <w:caps/>
          <w:color w:val="auto"/>
          <w:szCs w:val="21"/>
          <w:highlight w:val="none"/>
        </w:rPr>
      </w:pPr>
    </w:p>
    <w:p w14:paraId="7E369690">
      <w:pPr>
        <w:keepNext/>
        <w:keepLines/>
        <w:spacing w:line="360" w:lineRule="auto"/>
        <w:jc w:val="center"/>
        <w:outlineLvl w:val="9"/>
        <w:rPr>
          <w:rFonts w:hint="eastAsia" w:ascii="宋体" w:hAnsi="宋体" w:eastAsia="宋体" w:cs="宋体"/>
          <w:b/>
          <w:bCs/>
          <w:color w:val="auto"/>
          <w:szCs w:val="21"/>
          <w:highlight w:val="none"/>
          <w:lang w:val="zh-CN"/>
        </w:rPr>
      </w:pPr>
      <w:bookmarkStart w:id="127" w:name="_Toc504119053"/>
      <w:bookmarkStart w:id="128" w:name="_Toc505785352"/>
      <w:bookmarkStart w:id="129" w:name="_Toc510377768"/>
      <w:bookmarkStart w:id="130" w:name="_Toc512164585"/>
      <w:r>
        <w:rPr>
          <w:rFonts w:hint="eastAsia" w:ascii="宋体" w:hAnsi="宋体" w:eastAsia="宋体" w:cs="宋体"/>
          <w:b/>
          <w:bCs/>
          <w:color w:val="auto"/>
          <w:szCs w:val="21"/>
          <w:highlight w:val="none"/>
          <w:lang w:val="zh-CN"/>
        </w:rPr>
        <w:br w:type="page"/>
      </w:r>
    </w:p>
    <w:p w14:paraId="1DC2626F">
      <w:pPr>
        <w:keepNext/>
        <w:keepLines/>
        <w:spacing w:line="360" w:lineRule="auto"/>
        <w:jc w:val="center"/>
        <w:outlineLvl w:val="2"/>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第三部分专用合同条款</w:t>
      </w:r>
      <w:bookmarkEnd w:id="127"/>
      <w:bookmarkEnd w:id="128"/>
      <w:bookmarkEnd w:id="129"/>
      <w:bookmarkEnd w:id="130"/>
    </w:p>
    <w:p w14:paraId="5BE45978">
      <w:pPr>
        <w:spacing w:line="360" w:lineRule="auto"/>
        <w:jc w:val="left"/>
        <w:rPr>
          <w:rFonts w:hint="eastAsia" w:ascii="宋体" w:hAnsi="宋体" w:eastAsia="宋体" w:cs="宋体"/>
          <w:caps/>
          <w:color w:val="auto"/>
          <w:szCs w:val="21"/>
          <w:highlight w:val="none"/>
        </w:rPr>
      </w:pPr>
    </w:p>
    <w:p w14:paraId="680D985A">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31" w:name="_Toc512164586"/>
      <w:bookmarkStart w:id="132" w:name="_Toc510377769"/>
      <w:bookmarkStart w:id="133" w:name="_Toc505785353"/>
      <w:bookmarkStart w:id="134" w:name="_Toc504119054"/>
      <w:r>
        <w:rPr>
          <w:rFonts w:hint="eastAsia" w:ascii="宋体" w:hAnsi="宋体" w:eastAsia="宋体" w:cs="宋体"/>
          <w:bCs/>
          <w:color w:val="auto"/>
          <w:szCs w:val="21"/>
          <w:highlight w:val="none"/>
          <w:lang w:val="zh-CN"/>
        </w:rPr>
        <w:t>1.一般约定</w:t>
      </w:r>
      <w:bookmarkEnd w:id="131"/>
      <w:bookmarkEnd w:id="132"/>
      <w:bookmarkEnd w:id="133"/>
      <w:bookmarkEnd w:id="134"/>
    </w:p>
    <w:p w14:paraId="4DAAA35A">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35" w:name="_Toc512164587"/>
      <w:bookmarkStart w:id="136" w:name="_Toc504119055"/>
      <w:bookmarkStart w:id="137" w:name="_Toc510377770"/>
      <w:bookmarkStart w:id="138" w:name="_Toc505785354"/>
      <w:r>
        <w:rPr>
          <w:rFonts w:hint="eastAsia" w:ascii="宋体" w:hAnsi="宋体" w:eastAsia="宋体" w:cs="宋体"/>
          <w:bCs/>
          <w:color w:val="auto"/>
          <w:szCs w:val="21"/>
          <w:highlight w:val="none"/>
          <w:lang w:val="zh-CN"/>
        </w:rPr>
        <w:t>1.1 词语定义</w:t>
      </w:r>
      <w:bookmarkEnd w:id="135"/>
      <w:bookmarkEnd w:id="136"/>
      <w:bookmarkEnd w:id="137"/>
      <w:bookmarkEnd w:id="138"/>
    </w:p>
    <w:p w14:paraId="2BC11611">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1.1.1合同</w:t>
      </w:r>
    </w:p>
    <w:p w14:paraId="7AAB8AB9">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1.1.1.10其他合同文件包</w:t>
      </w:r>
      <w:r>
        <w:rPr>
          <w:rFonts w:hint="eastAsia" w:ascii="宋体" w:hAnsi="宋体" w:eastAsia="宋体" w:cs="宋体"/>
          <w:color w:val="auto"/>
          <w:kern w:val="0"/>
          <w:szCs w:val="21"/>
          <w:highlight w:val="none"/>
        </w:rPr>
        <w:t>括：</w:t>
      </w:r>
      <w:r>
        <w:rPr>
          <w:rFonts w:hint="eastAsia" w:ascii="宋体" w:hAnsi="宋体" w:eastAsia="宋体" w:cs="宋体"/>
          <w:color w:val="auto"/>
          <w:szCs w:val="21"/>
          <w:highlight w:val="none"/>
          <w:u w:val="single"/>
        </w:rPr>
        <w:t>招标文件、招标文件补充通知、招标答疑及其附件；洽商、变更等明确双方权利义务的纪要、书面协议等</w:t>
      </w:r>
      <w:r>
        <w:rPr>
          <w:rFonts w:hint="eastAsia" w:ascii="宋体" w:hAnsi="宋体" w:eastAsia="宋体" w:cs="宋体"/>
          <w:color w:val="auto"/>
          <w:szCs w:val="21"/>
          <w:highlight w:val="none"/>
        </w:rPr>
        <w:t>。</w:t>
      </w:r>
    </w:p>
    <w:p w14:paraId="5D31BCD8">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1.1.2合同当事人及其他相关方</w:t>
      </w:r>
    </w:p>
    <w:p w14:paraId="78B492E0">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1.1.2.4监理人：</w:t>
      </w:r>
    </w:p>
    <w:p w14:paraId="1204D8C0">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名称：；</w:t>
      </w:r>
    </w:p>
    <w:p w14:paraId="67CCBCBE">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资质类别和等级：；</w:t>
      </w:r>
    </w:p>
    <w:p w14:paraId="192C04FD">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联系电话：</w:t>
      </w:r>
      <w:r>
        <w:rPr>
          <w:rFonts w:hint="eastAsia" w:ascii="宋体" w:hAnsi="宋体" w:eastAsia="宋体" w:cs="宋体"/>
          <w:caps/>
          <w:color w:val="auto"/>
          <w:szCs w:val="21"/>
          <w:highlight w:val="none"/>
          <w:u w:val="single"/>
        </w:rPr>
        <w:t></w:t>
      </w:r>
      <w:r>
        <w:rPr>
          <w:rFonts w:hint="eastAsia" w:ascii="宋体" w:hAnsi="宋体" w:eastAsia="宋体" w:cs="宋体"/>
          <w:caps/>
          <w:color w:val="auto"/>
          <w:szCs w:val="21"/>
          <w:highlight w:val="none"/>
        </w:rPr>
        <w:t>；</w:t>
      </w:r>
    </w:p>
    <w:p w14:paraId="23F20672">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电子信箱：</w:t>
      </w:r>
      <w:r>
        <w:rPr>
          <w:rFonts w:hint="eastAsia" w:ascii="宋体" w:hAnsi="宋体" w:eastAsia="宋体" w:cs="宋体"/>
          <w:caps/>
          <w:color w:val="auto"/>
          <w:szCs w:val="21"/>
          <w:highlight w:val="none"/>
          <w:u w:val="single"/>
        </w:rPr>
        <w:t></w:t>
      </w:r>
      <w:r>
        <w:rPr>
          <w:rFonts w:hint="eastAsia" w:ascii="宋体" w:hAnsi="宋体" w:eastAsia="宋体" w:cs="宋体"/>
          <w:caps/>
          <w:color w:val="auto"/>
          <w:szCs w:val="21"/>
          <w:highlight w:val="none"/>
        </w:rPr>
        <w:t>；</w:t>
      </w:r>
    </w:p>
    <w:p w14:paraId="099C388D">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通信地址：</w:t>
      </w:r>
      <w:r>
        <w:rPr>
          <w:rFonts w:hint="eastAsia" w:ascii="宋体" w:hAnsi="宋体" w:eastAsia="宋体" w:cs="宋体"/>
          <w:caps/>
          <w:color w:val="auto"/>
          <w:szCs w:val="21"/>
          <w:highlight w:val="none"/>
          <w:u w:val="single"/>
        </w:rPr>
        <w:t></w:t>
      </w:r>
      <w:r>
        <w:rPr>
          <w:rFonts w:hint="eastAsia" w:ascii="宋体" w:hAnsi="宋体" w:eastAsia="宋体" w:cs="宋体"/>
          <w:caps/>
          <w:color w:val="auto"/>
          <w:szCs w:val="21"/>
          <w:highlight w:val="none"/>
        </w:rPr>
        <w:t>。</w:t>
      </w:r>
    </w:p>
    <w:p w14:paraId="0E594AEA">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1.1.2.5设计人：</w:t>
      </w:r>
    </w:p>
    <w:p w14:paraId="2E1EC720">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名称：；</w:t>
      </w:r>
    </w:p>
    <w:p w14:paraId="6F1FD7BC">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资质类别和等级：</w:t>
      </w:r>
      <w:r>
        <w:rPr>
          <w:rFonts w:hint="eastAsia" w:ascii="宋体" w:hAnsi="宋体" w:eastAsia="宋体" w:cs="宋体"/>
          <w:caps/>
          <w:color w:val="auto"/>
          <w:szCs w:val="21"/>
          <w:highlight w:val="none"/>
          <w:u w:val="single"/>
        </w:rPr>
        <w:t></w:t>
      </w:r>
      <w:r>
        <w:rPr>
          <w:rFonts w:hint="eastAsia" w:ascii="宋体" w:hAnsi="宋体" w:eastAsia="宋体" w:cs="宋体"/>
          <w:caps/>
          <w:color w:val="auto"/>
          <w:szCs w:val="21"/>
          <w:highlight w:val="none"/>
        </w:rPr>
        <w:t>；</w:t>
      </w:r>
    </w:p>
    <w:p w14:paraId="76DB82F7">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联系电话：</w:t>
      </w:r>
      <w:r>
        <w:rPr>
          <w:rFonts w:hint="eastAsia" w:ascii="宋体" w:hAnsi="宋体" w:eastAsia="宋体" w:cs="宋体"/>
          <w:caps/>
          <w:color w:val="auto"/>
          <w:szCs w:val="21"/>
          <w:highlight w:val="none"/>
          <w:u w:val="single"/>
        </w:rPr>
        <w:t></w:t>
      </w:r>
      <w:r>
        <w:rPr>
          <w:rFonts w:hint="eastAsia" w:ascii="宋体" w:hAnsi="宋体" w:eastAsia="宋体" w:cs="宋体"/>
          <w:caps/>
          <w:color w:val="auto"/>
          <w:szCs w:val="21"/>
          <w:highlight w:val="none"/>
        </w:rPr>
        <w:t>；</w:t>
      </w:r>
    </w:p>
    <w:p w14:paraId="60E9B179">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电子信箱：</w:t>
      </w:r>
      <w:r>
        <w:rPr>
          <w:rFonts w:hint="eastAsia" w:ascii="宋体" w:hAnsi="宋体" w:eastAsia="宋体" w:cs="宋体"/>
          <w:caps/>
          <w:color w:val="auto"/>
          <w:szCs w:val="21"/>
          <w:highlight w:val="none"/>
          <w:u w:val="single"/>
        </w:rPr>
        <w:t></w:t>
      </w:r>
      <w:r>
        <w:rPr>
          <w:rFonts w:hint="eastAsia" w:ascii="宋体" w:hAnsi="宋体" w:eastAsia="宋体" w:cs="宋体"/>
          <w:caps/>
          <w:color w:val="auto"/>
          <w:szCs w:val="21"/>
          <w:highlight w:val="none"/>
        </w:rPr>
        <w:t>；</w:t>
      </w:r>
    </w:p>
    <w:p w14:paraId="10F501D8">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通信地址：</w:t>
      </w:r>
      <w:r>
        <w:rPr>
          <w:rFonts w:hint="eastAsia" w:ascii="宋体" w:hAnsi="宋体" w:eastAsia="宋体" w:cs="宋体"/>
          <w:caps/>
          <w:color w:val="auto"/>
          <w:szCs w:val="21"/>
          <w:highlight w:val="none"/>
          <w:u w:val="single"/>
        </w:rPr>
        <w:t></w:t>
      </w:r>
      <w:r>
        <w:rPr>
          <w:rFonts w:hint="eastAsia" w:ascii="宋体" w:hAnsi="宋体" w:eastAsia="宋体" w:cs="宋体"/>
          <w:caps/>
          <w:color w:val="auto"/>
          <w:szCs w:val="21"/>
          <w:highlight w:val="none"/>
        </w:rPr>
        <w:t>。</w:t>
      </w:r>
    </w:p>
    <w:p w14:paraId="7B403CC6">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1.1.3工程和设备</w:t>
      </w:r>
    </w:p>
    <w:p w14:paraId="7AD134F5">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1.1.3.7作为施工现场组成部分的其他场所包括：</w:t>
      </w:r>
      <w:r>
        <w:rPr>
          <w:rFonts w:hint="eastAsia" w:ascii="宋体" w:hAnsi="宋体" w:eastAsia="宋体" w:cs="宋体"/>
          <w:caps/>
          <w:color w:val="auto"/>
          <w:szCs w:val="21"/>
          <w:highlight w:val="none"/>
          <w:u w:val="single"/>
        </w:rPr>
        <w:t>发包方根据项目施工实际情况指定给予</w:t>
      </w:r>
      <w:r>
        <w:rPr>
          <w:rFonts w:hint="eastAsia" w:ascii="宋体" w:hAnsi="宋体" w:eastAsia="宋体" w:cs="宋体"/>
          <w:caps/>
          <w:color w:val="auto"/>
          <w:szCs w:val="21"/>
          <w:highlight w:val="none"/>
          <w:u w:val="single"/>
          <w:lang w:eastAsia="zh-CN"/>
        </w:rPr>
        <w:t>承包方</w:t>
      </w:r>
      <w:r>
        <w:rPr>
          <w:rFonts w:hint="eastAsia" w:ascii="宋体" w:hAnsi="宋体" w:eastAsia="宋体" w:cs="宋体"/>
          <w:caps/>
          <w:color w:val="auto"/>
          <w:szCs w:val="21"/>
          <w:highlight w:val="none"/>
          <w:u w:val="single"/>
        </w:rPr>
        <w:t>用于完成项目施工的场地、道路等</w:t>
      </w:r>
      <w:r>
        <w:rPr>
          <w:rFonts w:hint="eastAsia" w:ascii="宋体" w:hAnsi="宋体" w:eastAsia="宋体" w:cs="宋体"/>
          <w:caps/>
          <w:color w:val="auto"/>
          <w:szCs w:val="21"/>
          <w:highlight w:val="none"/>
        </w:rPr>
        <w:t>。</w:t>
      </w:r>
    </w:p>
    <w:p w14:paraId="2716B080">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1.1.3.9永久占地包括：</w:t>
      </w:r>
      <w:r>
        <w:rPr>
          <w:rFonts w:hint="eastAsia" w:ascii="宋体" w:hAnsi="宋体" w:eastAsia="宋体" w:cs="宋体"/>
          <w:caps/>
          <w:color w:val="auto"/>
          <w:szCs w:val="21"/>
          <w:highlight w:val="none"/>
          <w:u w:val="single"/>
        </w:rPr>
        <w:t>依据设计图纸确定</w:t>
      </w:r>
      <w:r>
        <w:rPr>
          <w:rFonts w:hint="eastAsia" w:ascii="宋体" w:hAnsi="宋体" w:eastAsia="宋体" w:cs="宋体"/>
          <w:caps/>
          <w:color w:val="auto"/>
          <w:szCs w:val="21"/>
          <w:highlight w:val="none"/>
        </w:rPr>
        <w:t>。</w:t>
      </w:r>
    </w:p>
    <w:p w14:paraId="4BE6A8A5">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1.1.3.10临时占地包括：</w:t>
      </w:r>
      <w:r>
        <w:rPr>
          <w:rFonts w:hint="eastAsia" w:ascii="宋体" w:hAnsi="宋体" w:eastAsia="宋体" w:cs="宋体"/>
          <w:caps/>
          <w:color w:val="auto"/>
          <w:szCs w:val="21"/>
          <w:highlight w:val="none"/>
          <w:u w:val="single"/>
        </w:rPr>
        <w:t>双方在合同履行过程中确定</w:t>
      </w:r>
      <w:r>
        <w:rPr>
          <w:rFonts w:hint="eastAsia" w:ascii="宋体" w:hAnsi="宋体" w:eastAsia="宋体" w:cs="宋体"/>
          <w:caps/>
          <w:color w:val="auto"/>
          <w:szCs w:val="21"/>
          <w:highlight w:val="none"/>
        </w:rPr>
        <w:t>。</w:t>
      </w:r>
    </w:p>
    <w:p w14:paraId="2A8B7886">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39" w:name="_Toc510377771"/>
      <w:bookmarkStart w:id="140" w:name="_Toc512164588"/>
      <w:bookmarkStart w:id="141" w:name="_Toc504119056"/>
      <w:bookmarkStart w:id="142" w:name="_Toc505785355"/>
      <w:r>
        <w:rPr>
          <w:rFonts w:hint="eastAsia" w:ascii="宋体" w:hAnsi="宋体" w:eastAsia="宋体" w:cs="宋体"/>
          <w:bCs/>
          <w:color w:val="auto"/>
          <w:szCs w:val="21"/>
          <w:highlight w:val="none"/>
          <w:lang w:val="zh-CN"/>
        </w:rPr>
        <w:t>1.3法律</w:t>
      </w:r>
      <w:bookmarkEnd w:id="139"/>
      <w:bookmarkEnd w:id="140"/>
      <w:bookmarkEnd w:id="141"/>
      <w:bookmarkEnd w:id="142"/>
    </w:p>
    <w:p w14:paraId="051ABC3B">
      <w:pPr>
        <w:autoSpaceDE w:val="0"/>
        <w:autoSpaceDN w:val="0"/>
        <w:adjustRightInd w:val="0"/>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适用于合同的其他规范性文件：</w:t>
      </w:r>
      <w:r>
        <w:rPr>
          <w:rFonts w:hint="eastAsia" w:ascii="宋体" w:hAnsi="宋体" w:eastAsia="宋体" w:cs="宋体"/>
          <w:color w:val="auto"/>
          <w:szCs w:val="21"/>
          <w:highlight w:val="none"/>
          <w:u w:val="single"/>
        </w:rPr>
        <w:t>《中华人民共和国建筑法》、《</w:t>
      </w:r>
      <w:r>
        <w:rPr>
          <w:rFonts w:hint="eastAsia" w:ascii="宋体" w:hAnsi="宋体" w:eastAsia="宋体" w:cs="宋体"/>
          <w:color w:val="auto"/>
          <w:szCs w:val="21"/>
          <w:highlight w:val="none"/>
          <w:u w:val="single"/>
          <w:lang w:eastAsia="zh-CN"/>
        </w:rPr>
        <w:t>中华人民共和国民法典</w:t>
      </w:r>
      <w:r>
        <w:rPr>
          <w:rFonts w:hint="eastAsia" w:ascii="宋体" w:hAnsi="宋体" w:eastAsia="宋体" w:cs="宋体"/>
          <w:color w:val="auto"/>
          <w:szCs w:val="21"/>
          <w:highlight w:val="none"/>
          <w:u w:val="single"/>
        </w:rPr>
        <w:t>》、《中华人民共和国招标投标法》、《中华人民共和国招标投标法实施条例》、《中华人民共和国安全生产法》、国务院《建设工程质量管理条例》、建设部2001年第89号令《房屋建筑和市政基础设施工程施工招标投标管理办法》、七部委2013年第30号令《工程建设项目施工招标投标办法》、中华人民共和国住房和城乡建设部第16号令《建筑工程施工发包与承包计价管理办法》及财建［2004］369号文等国家及云南省颁布的现行法律、法规和条例等</w:t>
      </w:r>
      <w:r>
        <w:rPr>
          <w:rFonts w:hint="eastAsia" w:ascii="宋体" w:hAnsi="宋体" w:eastAsia="宋体" w:cs="宋体"/>
          <w:color w:val="auto"/>
          <w:szCs w:val="21"/>
          <w:highlight w:val="none"/>
        </w:rPr>
        <w:t>。</w:t>
      </w:r>
    </w:p>
    <w:p w14:paraId="55C75C90">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43" w:name="_Toc512164589"/>
      <w:bookmarkStart w:id="144" w:name="_Toc505785356"/>
      <w:bookmarkStart w:id="145" w:name="_Toc504119057"/>
      <w:bookmarkStart w:id="146" w:name="_Toc510377772"/>
      <w:r>
        <w:rPr>
          <w:rFonts w:hint="eastAsia" w:ascii="宋体" w:hAnsi="宋体" w:eastAsia="宋体" w:cs="宋体"/>
          <w:bCs/>
          <w:color w:val="auto"/>
          <w:szCs w:val="21"/>
          <w:highlight w:val="none"/>
          <w:lang w:val="zh-CN"/>
        </w:rPr>
        <w:t>1.4标准和规范</w:t>
      </w:r>
      <w:bookmarkEnd w:id="143"/>
      <w:bookmarkEnd w:id="144"/>
      <w:bookmarkEnd w:id="145"/>
      <w:bookmarkEnd w:id="146"/>
    </w:p>
    <w:p w14:paraId="38585E98">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olor w:val="auto"/>
          <w:szCs w:val="21"/>
          <w:highlight w:val="none"/>
        </w:rPr>
        <w:t>1.4.1适用于工程的标准规范包括：</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w:t>
      </w:r>
    </w:p>
    <w:p w14:paraId="47707ABC">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1.4.2发包人提供国外标准、规范的名称：</w:t>
      </w:r>
      <w:r>
        <w:rPr>
          <w:rFonts w:hint="eastAsia" w:ascii="宋体" w:hAnsi="宋体" w:eastAsia="宋体" w:cs="宋体"/>
          <w:caps/>
          <w:color w:val="auto"/>
          <w:szCs w:val="21"/>
          <w:highlight w:val="none"/>
          <w:u w:val="single"/>
        </w:rPr>
        <w:t>无</w:t>
      </w:r>
      <w:r>
        <w:rPr>
          <w:rFonts w:hint="eastAsia" w:ascii="宋体" w:hAnsi="宋体" w:eastAsia="宋体" w:cs="宋体"/>
          <w:caps/>
          <w:color w:val="auto"/>
          <w:szCs w:val="21"/>
          <w:highlight w:val="none"/>
        </w:rPr>
        <w:t>；</w:t>
      </w:r>
    </w:p>
    <w:p w14:paraId="05B65319">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发包人提供国外标准、规范的份数：</w:t>
      </w:r>
      <w:r>
        <w:rPr>
          <w:rFonts w:hint="eastAsia" w:ascii="宋体" w:hAnsi="宋体" w:eastAsia="宋体" w:cs="宋体"/>
          <w:caps/>
          <w:color w:val="auto"/>
          <w:szCs w:val="21"/>
          <w:highlight w:val="none"/>
          <w:u w:val="single"/>
        </w:rPr>
        <w:t>无</w:t>
      </w:r>
      <w:r>
        <w:rPr>
          <w:rFonts w:hint="eastAsia" w:ascii="宋体" w:hAnsi="宋体" w:eastAsia="宋体" w:cs="宋体"/>
          <w:caps/>
          <w:color w:val="auto"/>
          <w:szCs w:val="21"/>
          <w:highlight w:val="none"/>
        </w:rPr>
        <w:t>；</w:t>
      </w:r>
    </w:p>
    <w:p w14:paraId="094FD79D">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1.4.3发包人对工程的技术标准和功能要求的特殊要求：</w:t>
      </w:r>
      <w:r>
        <w:rPr>
          <w:rFonts w:hint="eastAsia" w:ascii="宋体" w:hAnsi="宋体" w:eastAsia="宋体" w:cs="宋体"/>
          <w:caps/>
          <w:color w:val="auto"/>
          <w:szCs w:val="21"/>
          <w:highlight w:val="none"/>
          <w:u w:val="single"/>
        </w:rPr>
        <w:t>无</w:t>
      </w:r>
      <w:r>
        <w:rPr>
          <w:rFonts w:hint="eastAsia" w:ascii="宋体" w:hAnsi="宋体" w:eastAsia="宋体" w:cs="宋体"/>
          <w:caps/>
          <w:color w:val="auto"/>
          <w:szCs w:val="21"/>
          <w:highlight w:val="none"/>
        </w:rPr>
        <w:t>。</w:t>
      </w:r>
    </w:p>
    <w:p w14:paraId="42783EA8">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47" w:name="_Toc504119058"/>
      <w:bookmarkStart w:id="148" w:name="_Toc512164590"/>
      <w:bookmarkStart w:id="149" w:name="_Toc505785357"/>
      <w:bookmarkStart w:id="150" w:name="_Toc510377773"/>
      <w:r>
        <w:rPr>
          <w:rFonts w:hint="eastAsia" w:ascii="宋体" w:hAnsi="宋体" w:eastAsia="宋体" w:cs="宋体"/>
          <w:bCs/>
          <w:color w:val="auto"/>
          <w:szCs w:val="21"/>
          <w:highlight w:val="none"/>
          <w:lang w:val="zh-CN"/>
        </w:rPr>
        <w:t>1.5合同文件的优先顺序</w:t>
      </w:r>
      <w:bookmarkEnd w:id="147"/>
      <w:bookmarkEnd w:id="148"/>
      <w:bookmarkEnd w:id="149"/>
      <w:bookmarkEnd w:id="150"/>
    </w:p>
    <w:p w14:paraId="1EBD2725">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合同文件组成及优先顺序为：</w:t>
      </w:r>
      <w:r>
        <w:rPr>
          <w:rFonts w:hint="eastAsia" w:ascii="宋体" w:hAnsi="宋体" w:eastAsia="宋体" w:cs="宋体"/>
          <w:caps/>
          <w:color w:val="auto"/>
          <w:szCs w:val="21"/>
          <w:highlight w:val="none"/>
          <w:u w:val="single"/>
        </w:rPr>
        <w:t>①合同协议书②中标通知书③投标函及其附录④专用合同条款及其附件⑤通用合同条款⑥技术标准和要求⑦图纸⑧已标价工程量清单或预算书⑨施工组织设计⑩招标文件</w:t>
      </w:r>
      <w:r>
        <w:rPr>
          <w:rFonts w:hint="eastAsia" w:ascii="宋体" w:hAnsi="宋体" w:eastAsia="宋体" w:cs="宋体"/>
          <w:caps/>
          <w:color w:val="auto"/>
          <w:szCs w:val="21"/>
          <w:highlight w:val="none"/>
        </w:rPr>
        <w:t>。</w:t>
      </w:r>
    </w:p>
    <w:p w14:paraId="0F2F3090">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51" w:name="_Toc504119059"/>
      <w:bookmarkStart w:id="152" w:name="_Toc512164591"/>
      <w:bookmarkStart w:id="153" w:name="_Toc505785358"/>
      <w:bookmarkStart w:id="154" w:name="_Toc510377774"/>
      <w:r>
        <w:rPr>
          <w:rFonts w:hint="eastAsia" w:ascii="宋体" w:hAnsi="宋体" w:eastAsia="宋体" w:cs="宋体"/>
          <w:bCs/>
          <w:color w:val="auto"/>
          <w:szCs w:val="21"/>
          <w:highlight w:val="none"/>
          <w:lang w:val="zh-CN"/>
        </w:rPr>
        <w:t>1.6图纸和承包人文件</w:t>
      </w:r>
      <w:bookmarkEnd w:id="151"/>
      <w:bookmarkEnd w:id="152"/>
      <w:bookmarkEnd w:id="153"/>
      <w:bookmarkEnd w:id="154"/>
    </w:p>
    <w:p w14:paraId="21E18FE2">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1.6.1图纸的提供</w:t>
      </w:r>
    </w:p>
    <w:p w14:paraId="709B1BB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发包人向承包人提供图纸的期限：</w:t>
      </w:r>
      <w:r>
        <w:rPr>
          <w:rFonts w:hint="eastAsia" w:ascii="宋体" w:hAnsi="宋体" w:eastAsia="宋体" w:cs="宋体"/>
          <w:color w:val="auto"/>
          <w:szCs w:val="21"/>
          <w:highlight w:val="none"/>
          <w:u w:val="single"/>
        </w:rPr>
        <w:t>开工通知载明开工日期前14天</w:t>
      </w:r>
      <w:r>
        <w:rPr>
          <w:rFonts w:hint="eastAsia" w:ascii="宋体" w:hAnsi="宋体" w:eastAsia="宋体" w:cs="宋体"/>
          <w:color w:val="auto"/>
          <w:szCs w:val="21"/>
          <w:highlight w:val="none"/>
        </w:rPr>
        <w:t>；</w:t>
      </w:r>
    </w:p>
    <w:p w14:paraId="6D8E975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发包人向承包人提供图纸的数量：</w:t>
      </w:r>
      <w:r>
        <w:rPr>
          <w:rFonts w:hint="eastAsia" w:ascii="宋体" w:hAnsi="宋体" w:eastAsia="宋体" w:cs="宋体"/>
          <w:color w:val="auto"/>
          <w:szCs w:val="21"/>
          <w:highlight w:val="none"/>
          <w:u w:val="single"/>
        </w:rPr>
        <w:t xml:space="preserve"> 8份</w:t>
      </w:r>
      <w:r>
        <w:rPr>
          <w:rFonts w:hint="eastAsia" w:ascii="宋体" w:hAnsi="宋体" w:eastAsia="宋体" w:cs="宋体"/>
          <w:color w:val="auto"/>
          <w:szCs w:val="21"/>
          <w:highlight w:val="none"/>
        </w:rPr>
        <w:t>；</w:t>
      </w:r>
    </w:p>
    <w:p w14:paraId="55134BC9">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olor w:val="auto"/>
          <w:szCs w:val="21"/>
          <w:highlight w:val="none"/>
        </w:rPr>
        <w:t>发包人向承包人提供图纸的内容：</w:t>
      </w:r>
      <w:r>
        <w:rPr>
          <w:rFonts w:hint="eastAsia" w:ascii="宋体" w:hAnsi="宋体" w:eastAsia="宋体" w:cs="宋体"/>
          <w:color w:val="auto"/>
          <w:szCs w:val="21"/>
          <w:highlight w:val="none"/>
          <w:u w:val="single"/>
        </w:rPr>
        <w:t>施工图</w:t>
      </w:r>
      <w:r>
        <w:rPr>
          <w:rFonts w:hint="eastAsia" w:ascii="宋体" w:hAnsi="宋体" w:eastAsia="宋体" w:cs="宋体"/>
          <w:color w:val="auto"/>
          <w:szCs w:val="21"/>
          <w:highlight w:val="none"/>
        </w:rPr>
        <w:t>。</w:t>
      </w:r>
    </w:p>
    <w:p w14:paraId="7781A758">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1.6.4承包人文件</w:t>
      </w:r>
    </w:p>
    <w:p w14:paraId="6EA183A5">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需要由承包人提供的文件，包括：</w:t>
      </w:r>
      <w:r>
        <w:rPr>
          <w:rFonts w:hint="eastAsia" w:ascii="宋体" w:hAnsi="宋体" w:eastAsia="宋体" w:cs="宋体"/>
          <w:caps/>
          <w:color w:val="auto"/>
          <w:szCs w:val="21"/>
          <w:highlight w:val="none"/>
          <w:u w:val="single"/>
        </w:rPr>
        <w:t>施工组织设计、工程进度计划、专项施工方案、完成工程项目所需的其他文件</w:t>
      </w:r>
      <w:r>
        <w:rPr>
          <w:rFonts w:hint="eastAsia" w:ascii="宋体" w:hAnsi="宋体" w:eastAsia="宋体" w:cs="宋体"/>
          <w:caps/>
          <w:color w:val="auto"/>
          <w:szCs w:val="21"/>
          <w:highlight w:val="none"/>
        </w:rPr>
        <w:t>；</w:t>
      </w:r>
    </w:p>
    <w:p w14:paraId="4597CA64">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承包人提供的文件的期限为：</w:t>
      </w:r>
      <w:r>
        <w:rPr>
          <w:rFonts w:hint="eastAsia" w:ascii="宋体" w:hAnsi="宋体" w:eastAsia="宋体" w:cs="宋体"/>
          <w:caps/>
          <w:color w:val="auto"/>
          <w:szCs w:val="21"/>
          <w:highlight w:val="none"/>
          <w:u w:val="single"/>
        </w:rPr>
        <w:t>相应工程施工前14天向监理人提供，并由监理人报送发包人</w:t>
      </w:r>
      <w:r>
        <w:rPr>
          <w:rFonts w:hint="eastAsia" w:ascii="宋体" w:hAnsi="宋体" w:eastAsia="宋体" w:cs="宋体"/>
          <w:caps/>
          <w:color w:val="auto"/>
          <w:szCs w:val="21"/>
          <w:highlight w:val="none"/>
        </w:rPr>
        <w:t>；</w:t>
      </w:r>
    </w:p>
    <w:p w14:paraId="6983BF19">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承包人提供的文件的数量为：</w:t>
      </w:r>
      <w:r>
        <w:rPr>
          <w:rFonts w:hint="eastAsia" w:ascii="宋体" w:hAnsi="宋体" w:eastAsia="宋体" w:cs="宋体"/>
          <w:caps/>
          <w:color w:val="auto"/>
          <w:szCs w:val="21"/>
          <w:highlight w:val="none"/>
          <w:u w:val="single"/>
        </w:rPr>
        <w:t xml:space="preserve"> 8套</w:t>
      </w:r>
      <w:r>
        <w:rPr>
          <w:rFonts w:hint="eastAsia" w:ascii="宋体" w:hAnsi="宋体" w:eastAsia="宋体" w:cs="宋体"/>
          <w:caps/>
          <w:color w:val="auto"/>
          <w:szCs w:val="21"/>
          <w:highlight w:val="none"/>
        </w:rPr>
        <w:t>；</w:t>
      </w:r>
    </w:p>
    <w:p w14:paraId="32A951A9">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承包人提供的文件的形式为：</w:t>
      </w:r>
      <w:r>
        <w:rPr>
          <w:rFonts w:hint="eastAsia" w:ascii="宋体" w:hAnsi="宋体" w:eastAsia="宋体" w:cs="宋体"/>
          <w:caps/>
          <w:color w:val="auto"/>
          <w:szCs w:val="21"/>
          <w:highlight w:val="none"/>
          <w:u w:val="single"/>
        </w:rPr>
        <w:t>纸质版文件和内容一致的电子版文件</w:t>
      </w:r>
      <w:r>
        <w:rPr>
          <w:rFonts w:hint="eastAsia" w:ascii="宋体" w:hAnsi="宋体" w:eastAsia="宋体" w:cs="宋体"/>
          <w:caps/>
          <w:color w:val="auto"/>
          <w:szCs w:val="21"/>
          <w:highlight w:val="none"/>
        </w:rPr>
        <w:t>；</w:t>
      </w:r>
    </w:p>
    <w:p w14:paraId="1B31B8C7">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发包人审批承包人文件的期限：</w:t>
      </w:r>
      <w:r>
        <w:rPr>
          <w:rFonts w:hint="eastAsia" w:ascii="宋体" w:hAnsi="宋体" w:eastAsia="宋体" w:cs="宋体"/>
          <w:caps/>
          <w:color w:val="auto"/>
          <w:szCs w:val="21"/>
          <w:highlight w:val="none"/>
          <w:u w:val="single"/>
        </w:rPr>
        <w:t>收到承包人文件后14天内审查完毕</w:t>
      </w:r>
      <w:r>
        <w:rPr>
          <w:rFonts w:hint="eastAsia" w:ascii="宋体" w:hAnsi="宋体" w:eastAsia="宋体" w:cs="宋体"/>
          <w:caps/>
          <w:color w:val="auto"/>
          <w:szCs w:val="21"/>
          <w:highlight w:val="none"/>
        </w:rPr>
        <w:t>。</w:t>
      </w:r>
    </w:p>
    <w:p w14:paraId="0AD23132">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1.6.5现场图纸准备</w:t>
      </w:r>
    </w:p>
    <w:p w14:paraId="4B4BD1EA">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关于现场图纸准备的约定：</w:t>
      </w:r>
      <w:r>
        <w:rPr>
          <w:rFonts w:hint="eastAsia" w:ascii="宋体" w:hAnsi="宋体" w:eastAsia="宋体" w:cs="宋体"/>
          <w:caps/>
          <w:color w:val="auto"/>
          <w:szCs w:val="21"/>
          <w:highlight w:val="none"/>
          <w:u w:val="single"/>
        </w:rPr>
        <w:t>承包人负责保存一套完整的图纸及承包人文件</w:t>
      </w:r>
      <w:r>
        <w:rPr>
          <w:rFonts w:hint="eastAsia" w:ascii="宋体" w:hAnsi="宋体" w:eastAsia="宋体" w:cs="宋体"/>
          <w:caps/>
          <w:color w:val="auto"/>
          <w:szCs w:val="21"/>
          <w:highlight w:val="none"/>
        </w:rPr>
        <w:t>。</w:t>
      </w:r>
    </w:p>
    <w:p w14:paraId="6A6009BD">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55" w:name="_Toc504119060"/>
      <w:bookmarkStart w:id="156" w:name="_Toc510377775"/>
      <w:bookmarkStart w:id="157" w:name="_Toc512164592"/>
      <w:bookmarkStart w:id="158" w:name="_Toc505785359"/>
      <w:r>
        <w:rPr>
          <w:rFonts w:hint="eastAsia" w:ascii="宋体" w:hAnsi="宋体" w:eastAsia="宋体" w:cs="宋体"/>
          <w:bCs/>
          <w:color w:val="auto"/>
          <w:szCs w:val="21"/>
          <w:highlight w:val="none"/>
          <w:lang w:val="zh-CN"/>
        </w:rPr>
        <w:t>1.7联络</w:t>
      </w:r>
      <w:bookmarkEnd w:id="155"/>
      <w:bookmarkEnd w:id="156"/>
      <w:bookmarkEnd w:id="157"/>
      <w:bookmarkEnd w:id="158"/>
    </w:p>
    <w:p w14:paraId="6007B593">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1.7.1发包人和承包人应当在</w:t>
      </w:r>
      <w:r>
        <w:rPr>
          <w:rFonts w:hint="eastAsia" w:ascii="宋体" w:hAnsi="宋体" w:eastAsia="宋体" w:cs="宋体"/>
          <w:caps/>
          <w:color w:val="auto"/>
          <w:szCs w:val="21"/>
          <w:highlight w:val="none"/>
          <w:u w:val="single"/>
        </w:rPr>
        <w:t xml:space="preserve"> 14 </w:t>
      </w:r>
      <w:r>
        <w:rPr>
          <w:rFonts w:hint="eastAsia" w:ascii="宋体" w:hAnsi="宋体" w:eastAsia="宋体" w:cs="宋体"/>
          <w:caps/>
          <w:color w:val="auto"/>
          <w:szCs w:val="21"/>
          <w:highlight w:val="none"/>
        </w:rPr>
        <w:t>天内将与合同有关的通知、批准、证明、证书、指示、指令、要求、请求、同意、意见、确定和决定等书面函件送达对方当事人。</w:t>
      </w:r>
    </w:p>
    <w:p w14:paraId="110165C3">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1.7.2发包人接收文件的地点：</w:t>
      </w:r>
      <w:r>
        <w:rPr>
          <w:rFonts w:hint="eastAsia" w:ascii="宋体" w:hAnsi="宋体" w:eastAsia="宋体" w:cs="宋体"/>
          <w:caps/>
          <w:color w:val="auto"/>
          <w:szCs w:val="21"/>
          <w:highlight w:val="none"/>
          <w:u w:val="single"/>
        </w:rPr>
        <w:t>项目指挥部或项目现场办公室</w:t>
      </w:r>
      <w:r>
        <w:rPr>
          <w:rFonts w:hint="eastAsia" w:ascii="宋体" w:hAnsi="宋体" w:eastAsia="宋体" w:cs="宋体"/>
          <w:caps/>
          <w:color w:val="auto"/>
          <w:szCs w:val="21"/>
          <w:highlight w:val="none"/>
        </w:rPr>
        <w:t>；</w:t>
      </w:r>
    </w:p>
    <w:p w14:paraId="223AE11C">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发包人指定的接收人为：</w:t>
      </w:r>
      <w:r>
        <w:rPr>
          <w:rFonts w:hint="eastAsia" w:ascii="宋体" w:hAnsi="宋体" w:eastAsia="宋体" w:cs="宋体"/>
          <w:caps/>
          <w:color w:val="auto"/>
          <w:szCs w:val="21"/>
          <w:highlight w:val="none"/>
          <w:u w:val="single"/>
        </w:rPr>
        <w:t>发包人代表</w:t>
      </w:r>
      <w:r>
        <w:rPr>
          <w:rFonts w:hint="eastAsia" w:ascii="宋体" w:hAnsi="宋体" w:eastAsia="宋体" w:cs="宋体"/>
          <w:caps/>
          <w:color w:val="auto"/>
          <w:szCs w:val="21"/>
          <w:highlight w:val="none"/>
        </w:rPr>
        <w:t>；</w:t>
      </w:r>
    </w:p>
    <w:p w14:paraId="7AC926A4">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承包人接收文件的地点：</w:t>
      </w:r>
      <w:r>
        <w:rPr>
          <w:rFonts w:hint="eastAsia" w:ascii="宋体" w:hAnsi="宋体" w:eastAsia="宋体" w:cs="宋体"/>
          <w:caps/>
          <w:color w:val="auto"/>
          <w:szCs w:val="21"/>
          <w:highlight w:val="none"/>
          <w:u w:val="single"/>
        </w:rPr>
        <w:t>现场办公室</w:t>
      </w:r>
      <w:r>
        <w:rPr>
          <w:rFonts w:hint="eastAsia" w:ascii="宋体" w:hAnsi="宋体" w:eastAsia="宋体" w:cs="宋体"/>
          <w:caps/>
          <w:color w:val="auto"/>
          <w:szCs w:val="21"/>
          <w:highlight w:val="none"/>
        </w:rPr>
        <w:t>；</w:t>
      </w:r>
    </w:p>
    <w:p w14:paraId="24EA0DC4">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承包人指定的接收人为：</w:t>
      </w:r>
      <w:r>
        <w:rPr>
          <w:rFonts w:hint="eastAsia" w:ascii="宋体" w:hAnsi="宋体" w:eastAsia="宋体" w:cs="宋体"/>
          <w:caps/>
          <w:color w:val="auto"/>
          <w:szCs w:val="21"/>
          <w:highlight w:val="none"/>
          <w:u w:val="single"/>
        </w:rPr>
        <w:t>项目负责人</w:t>
      </w:r>
      <w:r>
        <w:rPr>
          <w:rFonts w:hint="eastAsia" w:ascii="宋体" w:hAnsi="宋体" w:eastAsia="宋体" w:cs="宋体"/>
          <w:caps/>
          <w:color w:val="auto"/>
          <w:szCs w:val="21"/>
          <w:highlight w:val="none"/>
        </w:rPr>
        <w:t>；</w:t>
      </w:r>
    </w:p>
    <w:p w14:paraId="4202CD4C">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监理人接收文件的地点：</w:t>
      </w:r>
      <w:r>
        <w:rPr>
          <w:rFonts w:hint="eastAsia" w:ascii="宋体" w:hAnsi="宋体" w:eastAsia="宋体" w:cs="宋体"/>
          <w:caps/>
          <w:color w:val="auto"/>
          <w:szCs w:val="21"/>
          <w:highlight w:val="none"/>
          <w:u w:val="single"/>
        </w:rPr>
        <w:t>现场办公室</w:t>
      </w:r>
      <w:r>
        <w:rPr>
          <w:rFonts w:hint="eastAsia" w:ascii="宋体" w:hAnsi="宋体" w:eastAsia="宋体" w:cs="宋体"/>
          <w:caps/>
          <w:color w:val="auto"/>
          <w:szCs w:val="21"/>
          <w:highlight w:val="none"/>
        </w:rPr>
        <w:t>；</w:t>
      </w:r>
    </w:p>
    <w:p w14:paraId="25DC9A1D">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监理人指定的接收人为：</w:t>
      </w:r>
      <w:r>
        <w:rPr>
          <w:rFonts w:hint="eastAsia" w:ascii="宋体" w:hAnsi="宋体" w:eastAsia="宋体" w:cs="宋体"/>
          <w:caps/>
          <w:color w:val="auto"/>
          <w:szCs w:val="21"/>
          <w:highlight w:val="none"/>
          <w:u w:val="single"/>
        </w:rPr>
        <w:t>项目总监理工程师</w:t>
      </w:r>
      <w:r>
        <w:rPr>
          <w:rFonts w:hint="eastAsia" w:ascii="宋体" w:hAnsi="宋体" w:eastAsia="宋体" w:cs="宋体"/>
          <w:caps/>
          <w:color w:val="auto"/>
          <w:szCs w:val="21"/>
          <w:highlight w:val="none"/>
        </w:rPr>
        <w:t>。</w:t>
      </w:r>
    </w:p>
    <w:p w14:paraId="18DC75AD">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59" w:name="_Toc505785360"/>
      <w:bookmarkStart w:id="160" w:name="_Toc510377776"/>
      <w:bookmarkStart w:id="161" w:name="_Toc504119061"/>
      <w:bookmarkStart w:id="162" w:name="_Toc512164593"/>
      <w:r>
        <w:rPr>
          <w:rFonts w:hint="eastAsia" w:ascii="宋体" w:hAnsi="宋体" w:eastAsia="宋体" w:cs="宋体"/>
          <w:bCs/>
          <w:color w:val="auto"/>
          <w:szCs w:val="21"/>
          <w:highlight w:val="none"/>
          <w:lang w:val="zh-CN"/>
        </w:rPr>
        <w:t>1.10交通运输</w:t>
      </w:r>
      <w:bookmarkEnd w:id="159"/>
      <w:bookmarkEnd w:id="160"/>
      <w:bookmarkEnd w:id="161"/>
      <w:bookmarkEnd w:id="162"/>
    </w:p>
    <w:p w14:paraId="6127BDD4">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1.10.1出入现场的权利</w:t>
      </w:r>
    </w:p>
    <w:p w14:paraId="51673723">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关于出入现场的权利的约定：</w:t>
      </w:r>
      <w:r>
        <w:rPr>
          <w:rFonts w:hint="eastAsia" w:ascii="宋体" w:hAnsi="宋体" w:eastAsia="宋体" w:cs="宋体"/>
          <w:caps/>
          <w:color w:val="auto"/>
          <w:szCs w:val="21"/>
          <w:highlight w:val="none"/>
          <w:u w:val="single"/>
        </w:rPr>
        <w:t>按通用条款1.10.1条执行</w:t>
      </w:r>
      <w:r>
        <w:rPr>
          <w:rFonts w:hint="eastAsia" w:ascii="宋体" w:hAnsi="宋体" w:eastAsia="宋体" w:cs="宋体"/>
          <w:caps/>
          <w:color w:val="auto"/>
          <w:szCs w:val="21"/>
          <w:highlight w:val="none"/>
        </w:rPr>
        <w:t>。</w:t>
      </w:r>
    </w:p>
    <w:p w14:paraId="57D64A7E">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1.10.3场内交通</w:t>
      </w:r>
    </w:p>
    <w:p w14:paraId="0C7B5BFE">
      <w:pPr>
        <w:spacing w:line="360" w:lineRule="auto"/>
        <w:ind w:firstLine="440" w:firstLineChars="200"/>
        <w:rPr>
          <w:rFonts w:hint="eastAsia" w:ascii="宋体" w:hAnsi="宋体" w:eastAsia="宋体" w:cs="宋体"/>
          <w:caps/>
          <w:color w:val="auto"/>
          <w:szCs w:val="21"/>
          <w:highlight w:val="none"/>
        </w:rPr>
      </w:pPr>
      <w:r>
        <w:rPr>
          <w:rFonts w:hint="eastAsia" w:ascii="宋体" w:hAnsi="宋体" w:eastAsia="宋体" w:cs="宋体"/>
          <w:caps/>
          <w:color w:val="auto"/>
          <w:szCs w:val="21"/>
          <w:highlight w:val="none"/>
        </w:rPr>
        <w:t>关于场外交通和场内交通的边界的约定：</w:t>
      </w:r>
      <w:r>
        <w:rPr>
          <w:rFonts w:hint="eastAsia" w:ascii="宋体" w:hAnsi="宋体" w:eastAsia="宋体" w:cs="宋体"/>
          <w:caps/>
          <w:color w:val="auto"/>
          <w:szCs w:val="21"/>
          <w:highlight w:val="none"/>
          <w:u w:val="single"/>
        </w:rPr>
        <w:t>以已建的扩建项目的边界条件为准</w:t>
      </w:r>
      <w:r>
        <w:rPr>
          <w:rFonts w:hint="eastAsia" w:ascii="宋体" w:hAnsi="宋体" w:eastAsia="宋体" w:cs="宋体"/>
          <w:caps/>
          <w:color w:val="auto"/>
          <w:szCs w:val="21"/>
          <w:highlight w:val="none"/>
        </w:rPr>
        <w:t>。</w:t>
      </w:r>
    </w:p>
    <w:p w14:paraId="0544F29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关于发包人向承包人免费提供满足工程施工需要的场内道路和交通设施的约定：</w:t>
      </w:r>
      <w:r>
        <w:rPr>
          <w:rFonts w:hint="eastAsia" w:ascii="宋体" w:hAnsi="宋体" w:eastAsia="宋体" w:cs="宋体"/>
          <w:color w:val="auto"/>
          <w:szCs w:val="21"/>
          <w:highlight w:val="none"/>
          <w:u w:val="single"/>
        </w:rPr>
        <w:t>承包人可使用场内道路和交通设施，道路维护由承包人负责。因承包人原因造成道路或交通设施损坏的，承包人负责修复并承担由此增加的费用</w:t>
      </w:r>
      <w:r>
        <w:rPr>
          <w:rFonts w:hint="eastAsia" w:ascii="宋体" w:hAnsi="宋体" w:eastAsia="宋体" w:cs="宋体"/>
          <w:color w:val="auto"/>
          <w:szCs w:val="21"/>
          <w:highlight w:val="none"/>
        </w:rPr>
        <w:t>。</w:t>
      </w:r>
    </w:p>
    <w:p w14:paraId="2431E35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1.10.4超大件和超重件的运输</w:t>
      </w:r>
    </w:p>
    <w:p w14:paraId="62B014A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运输超大件或超重件所需的道路和桥梁临时加固改造费用和其他有关费用由</w:t>
      </w:r>
      <w:r>
        <w:rPr>
          <w:rFonts w:hint="eastAsia" w:ascii="宋体" w:hAnsi="宋体" w:eastAsia="宋体" w:cs="宋体"/>
          <w:color w:val="auto"/>
          <w:szCs w:val="21"/>
          <w:highlight w:val="none"/>
          <w:u w:val="single"/>
        </w:rPr>
        <w:t>承包人</w:t>
      </w:r>
      <w:r>
        <w:rPr>
          <w:rFonts w:hint="eastAsia" w:ascii="宋体" w:hAnsi="宋体" w:eastAsia="宋体" w:cs="宋体"/>
          <w:color w:val="auto"/>
          <w:szCs w:val="21"/>
          <w:highlight w:val="none"/>
        </w:rPr>
        <w:t>承担。</w:t>
      </w:r>
    </w:p>
    <w:p w14:paraId="3C93E7C0">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63" w:name="_Toc504119062"/>
      <w:bookmarkStart w:id="164" w:name="_Toc505785361"/>
      <w:bookmarkStart w:id="165" w:name="_Toc510377777"/>
      <w:bookmarkStart w:id="166" w:name="_Toc512164594"/>
      <w:r>
        <w:rPr>
          <w:rFonts w:hint="eastAsia" w:ascii="宋体" w:hAnsi="宋体" w:eastAsia="宋体" w:cs="宋体"/>
          <w:bCs/>
          <w:color w:val="auto"/>
          <w:szCs w:val="21"/>
          <w:highlight w:val="none"/>
          <w:lang w:val="zh-CN"/>
        </w:rPr>
        <w:t>1.11知识产权</w:t>
      </w:r>
      <w:bookmarkEnd w:id="163"/>
      <w:bookmarkEnd w:id="164"/>
      <w:bookmarkEnd w:id="165"/>
      <w:bookmarkEnd w:id="166"/>
    </w:p>
    <w:p w14:paraId="5BAE202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Cs w:val="21"/>
          <w:highlight w:val="none"/>
          <w:u w:val="single"/>
        </w:rPr>
        <w:t>著作权属于发包人所有</w:t>
      </w:r>
      <w:r>
        <w:rPr>
          <w:rFonts w:hint="eastAsia" w:ascii="宋体" w:hAnsi="宋体" w:eastAsia="宋体" w:cs="宋体"/>
          <w:color w:val="auto"/>
          <w:szCs w:val="21"/>
          <w:highlight w:val="none"/>
        </w:rPr>
        <w:t>。</w:t>
      </w:r>
    </w:p>
    <w:p w14:paraId="28AFE96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关于发包人提供的上述文件的使用限制的要求：</w:t>
      </w:r>
      <w:r>
        <w:rPr>
          <w:rFonts w:hint="eastAsia" w:ascii="宋体" w:hAnsi="宋体" w:eastAsia="宋体" w:cs="宋体"/>
          <w:color w:val="auto"/>
          <w:szCs w:val="21"/>
          <w:highlight w:val="none"/>
          <w:u w:val="single"/>
        </w:rPr>
        <w:t>未经发包人书面同意，承包人不得为合同以外的目的而复制、使用上述文件或将之提供给任何第三方</w:t>
      </w:r>
      <w:r>
        <w:rPr>
          <w:rFonts w:hint="eastAsia" w:ascii="宋体" w:hAnsi="宋体" w:eastAsia="宋体" w:cs="宋体"/>
          <w:color w:val="auto"/>
          <w:szCs w:val="21"/>
          <w:highlight w:val="none"/>
        </w:rPr>
        <w:t>。</w:t>
      </w:r>
    </w:p>
    <w:p w14:paraId="3BACB7A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1.11.2 关于承包人为实施工程所编制文件的著作权的归属：</w:t>
      </w:r>
      <w:r>
        <w:rPr>
          <w:rFonts w:hint="eastAsia" w:ascii="宋体" w:hAnsi="宋体" w:eastAsia="宋体" w:cs="宋体"/>
          <w:color w:val="auto"/>
          <w:szCs w:val="21"/>
          <w:highlight w:val="none"/>
          <w:u w:val="single"/>
        </w:rPr>
        <w:t>除署名权以外的著作权属于发包人</w:t>
      </w:r>
      <w:r>
        <w:rPr>
          <w:rFonts w:hint="eastAsia" w:ascii="宋体" w:hAnsi="宋体" w:eastAsia="宋体" w:cs="宋体"/>
          <w:color w:val="auto"/>
          <w:szCs w:val="21"/>
          <w:highlight w:val="none"/>
        </w:rPr>
        <w:t>。</w:t>
      </w:r>
    </w:p>
    <w:p w14:paraId="3EA8DBC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关于承包人提供的上述文件的使用限制的要求：</w:t>
      </w:r>
      <w:r>
        <w:rPr>
          <w:rFonts w:hint="eastAsia" w:ascii="宋体" w:hAnsi="宋体" w:eastAsia="宋体" w:cs="宋体"/>
          <w:color w:val="auto"/>
          <w:szCs w:val="21"/>
          <w:highlight w:val="none"/>
          <w:u w:val="single"/>
        </w:rPr>
        <w:t>未经承包人书面同意，发包人不得将承包人署名权的文件提供给任何第三方</w:t>
      </w:r>
      <w:r>
        <w:rPr>
          <w:rFonts w:hint="eastAsia" w:ascii="宋体" w:hAnsi="宋体" w:eastAsia="宋体" w:cs="宋体"/>
          <w:color w:val="auto"/>
          <w:szCs w:val="21"/>
          <w:highlight w:val="none"/>
        </w:rPr>
        <w:t>。</w:t>
      </w:r>
    </w:p>
    <w:p w14:paraId="02C6699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1.11.4 承包人在施工过程中所采用的专利、专有技术、技术秘密的使用费的承担方式：</w:t>
      </w:r>
      <w:r>
        <w:rPr>
          <w:rFonts w:hint="eastAsia" w:ascii="宋体" w:hAnsi="宋体" w:eastAsia="宋体" w:cs="宋体"/>
          <w:color w:val="auto"/>
          <w:szCs w:val="21"/>
          <w:highlight w:val="none"/>
          <w:u w:val="single"/>
        </w:rPr>
        <w:t>由承包人自行承担</w:t>
      </w:r>
      <w:r>
        <w:rPr>
          <w:rFonts w:hint="eastAsia" w:ascii="宋体" w:hAnsi="宋体" w:eastAsia="宋体" w:cs="宋体"/>
          <w:color w:val="auto"/>
          <w:szCs w:val="21"/>
          <w:highlight w:val="none"/>
        </w:rPr>
        <w:t>。</w:t>
      </w:r>
    </w:p>
    <w:p w14:paraId="1887DEEE">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67" w:name="_Toc510377778"/>
      <w:bookmarkStart w:id="168" w:name="_Toc504119063"/>
      <w:bookmarkStart w:id="169" w:name="_Toc505785362"/>
      <w:bookmarkStart w:id="170" w:name="_Toc512164595"/>
      <w:r>
        <w:rPr>
          <w:rFonts w:hint="eastAsia" w:ascii="宋体" w:hAnsi="宋体" w:eastAsia="宋体" w:cs="宋体"/>
          <w:bCs/>
          <w:color w:val="auto"/>
          <w:szCs w:val="21"/>
          <w:highlight w:val="none"/>
          <w:lang w:val="zh-CN"/>
        </w:rPr>
        <w:t>1.13工程量清单错误的修正</w:t>
      </w:r>
      <w:bookmarkEnd w:id="167"/>
      <w:bookmarkEnd w:id="168"/>
      <w:bookmarkEnd w:id="169"/>
      <w:bookmarkEnd w:id="170"/>
    </w:p>
    <w:p w14:paraId="144D839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出现工程量清单错误时，是否调整合同价格：</w:t>
      </w:r>
      <w:r>
        <w:rPr>
          <w:rFonts w:hint="eastAsia" w:ascii="宋体" w:hAnsi="宋体" w:eastAsia="宋体" w:cs="宋体"/>
          <w:b/>
          <w:color w:val="auto"/>
          <w:szCs w:val="21"/>
          <w:highlight w:val="none"/>
          <w:u w:val="single"/>
        </w:rPr>
        <w:t>予以调整合同价格</w:t>
      </w:r>
      <w:r>
        <w:rPr>
          <w:rFonts w:hint="eastAsia" w:ascii="宋体" w:hAnsi="宋体" w:eastAsia="宋体" w:cs="宋体"/>
          <w:color w:val="auto"/>
          <w:szCs w:val="21"/>
          <w:highlight w:val="none"/>
        </w:rPr>
        <w:t>。</w:t>
      </w:r>
    </w:p>
    <w:p w14:paraId="21DCC1E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允许调整合同价格的工程量偏差范围：</w:t>
      </w:r>
      <w:r>
        <w:rPr>
          <w:rFonts w:hint="eastAsia" w:ascii="宋体" w:hAnsi="宋体" w:eastAsia="宋体" w:cs="宋体"/>
          <w:b/>
          <w:color w:val="auto"/>
          <w:szCs w:val="21"/>
          <w:highlight w:val="none"/>
          <w:u w:val="single"/>
        </w:rPr>
        <w:t>①工程量清单存在缺项、漏项的；②工程量清单偏差超出10％的；③由于工程量清单偏差超出10％引起的总价措施费及单价措施费变化。</w:t>
      </w:r>
    </w:p>
    <w:p w14:paraId="5B35EE3C">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71" w:name="_Toc504119064"/>
      <w:bookmarkStart w:id="172" w:name="_Toc510377779"/>
      <w:bookmarkStart w:id="173" w:name="_Toc512164596"/>
      <w:bookmarkStart w:id="174" w:name="_Toc505785363"/>
      <w:r>
        <w:rPr>
          <w:rFonts w:hint="eastAsia" w:ascii="宋体" w:hAnsi="宋体" w:eastAsia="宋体" w:cs="宋体"/>
          <w:bCs/>
          <w:color w:val="auto"/>
          <w:szCs w:val="21"/>
          <w:highlight w:val="none"/>
          <w:lang w:val="zh-CN"/>
        </w:rPr>
        <w:t>2.发包人</w:t>
      </w:r>
      <w:bookmarkEnd w:id="171"/>
      <w:bookmarkEnd w:id="172"/>
      <w:bookmarkEnd w:id="173"/>
      <w:bookmarkEnd w:id="174"/>
    </w:p>
    <w:p w14:paraId="4E68928F">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75" w:name="_Toc510377780"/>
      <w:bookmarkStart w:id="176" w:name="_Toc504119065"/>
      <w:bookmarkStart w:id="177" w:name="_Toc505785364"/>
      <w:bookmarkStart w:id="178" w:name="_Toc512164597"/>
      <w:r>
        <w:rPr>
          <w:rFonts w:hint="eastAsia" w:ascii="宋体" w:hAnsi="宋体" w:eastAsia="宋体" w:cs="宋体"/>
          <w:bCs/>
          <w:color w:val="auto"/>
          <w:szCs w:val="21"/>
          <w:highlight w:val="none"/>
          <w:lang w:val="zh-CN"/>
        </w:rPr>
        <w:t>2.2发包人代表</w:t>
      </w:r>
      <w:bookmarkEnd w:id="175"/>
      <w:bookmarkEnd w:id="176"/>
      <w:bookmarkEnd w:id="177"/>
      <w:bookmarkEnd w:id="178"/>
    </w:p>
    <w:p w14:paraId="54C9117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发包人代表：</w:t>
      </w:r>
    </w:p>
    <w:p w14:paraId="33D87D89">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p>
    <w:p w14:paraId="008FA4A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p>
    <w:p w14:paraId="156ACBE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p>
    <w:p w14:paraId="662C890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p>
    <w:p w14:paraId="1A74BE6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p>
    <w:p w14:paraId="5DB636E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p>
    <w:p w14:paraId="7EB9B9A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发包人对发包人代表的授权范围如下：</w:t>
      </w:r>
      <w:r>
        <w:rPr>
          <w:rFonts w:hint="eastAsia" w:ascii="宋体" w:hAnsi="宋体" w:eastAsia="宋体" w:cs="宋体"/>
          <w:color w:val="auto"/>
          <w:szCs w:val="21"/>
          <w:highlight w:val="none"/>
          <w:u w:val="single"/>
        </w:rPr>
        <w:t>督促指导监理工程师行使职权，协调施工现场各方面的关系，协调工程质量，进度和安全文明施工中存在的问题，解决有关设计和技术签证，办理、签认现场经济技术签证，审核工程进度报表、工程价款洽商、索赔事项的处理，在监理人配合下处理合同变更的事项</w:t>
      </w:r>
      <w:r>
        <w:rPr>
          <w:rFonts w:hint="eastAsia" w:ascii="宋体" w:hAnsi="宋体" w:eastAsia="宋体" w:cs="宋体"/>
          <w:color w:val="auto"/>
          <w:szCs w:val="21"/>
          <w:highlight w:val="none"/>
        </w:rPr>
        <w:t>。</w:t>
      </w:r>
    </w:p>
    <w:p w14:paraId="3DDA3BFE">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79" w:name="_Toc505785365"/>
      <w:bookmarkStart w:id="180" w:name="_Toc510377781"/>
      <w:bookmarkStart w:id="181" w:name="_Toc512164598"/>
      <w:bookmarkStart w:id="182" w:name="_Toc504119066"/>
      <w:r>
        <w:rPr>
          <w:rFonts w:hint="eastAsia" w:ascii="宋体" w:hAnsi="宋体" w:eastAsia="宋体" w:cs="宋体"/>
          <w:bCs/>
          <w:color w:val="auto"/>
          <w:szCs w:val="21"/>
          <w:highlight w:val="none"/>
          <w:lang w:val="zh-CN"/>
        </w:rPr>
        <w:t>2.4施工现场、施工条件和基础资料的提供</w:t>
      </w:r>
      <w:bookmarkEnd w:id="179"/>
      <w:bookmarkEnd w:id="180"/>
      <w:bookmarkEnd w:id="181"/>
      <w:bookmarkEnd w:id="182"/>
    </w:p>
    <w:p w14:paraId="54A5608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2.4.1提供施工现场</w:t>
      </w:r>
    </w:p>
    <w:p w14:paraId="2F7F855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关于发包人移交施工现场的期限要求：</w:t>
      </w:r>
      <w:r>
        <w:rPr>
          <w:rFonts w:hint="eastAsia" w:ascii="宋体" w:hAnsi="宋体" w:eastAsia="宋体" w:cs="宋体"/>
          <w:color w:val="auto"/>
          <w:szCs w:val="21"/>
          <w:highlight w:val="none"/>
          <w:u w:val="single"/>
        </w:rPr>
        <w:t>合同签订后已定开工时间前7天内向承包人移交施工现场</w:t>
      </w:r>
      <w:r>
        <w:rPr>
          <w:rFonts w:hint="eastAsia" w:ascii="宋体" w:hAnsi="宋体" w:eastAsia="宋体" w:cs="宋体"/>
          <w:color w:val="auto"/>
          <w:szCs w:val="21"/>
          <w:highlight w:val="none"/>
        </w:rPr>
        <w:t>。</w:t>
      </w:r>
    </w:p>
    <w:p w14:paraId="0205AF8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2.4.2提供施工条件</w:t>
      </w:r>
    </w:p>
    <w:p w14:paraId="10E5418A">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关于发包人应负责提供施工所需要的条件，包括：</w:t>
      </w:r>
      <w:r>
        <w:rPr>
          <w:rFonts w:hint="eastAsia" w:ascii="宋体" w:hAnsi="宋体" w:eastAsia="宋体" w:cs="宋体"/>
          <w:color w:val="auto"/>
          <w:szCs w:val="21"/>
          <w:highlight w:val="none"/>
          <w:u w:val="single"/>
        </w:rPr>
        <w:t>满足施工条件所需要的“三通一平”，并向承包人指定施工用水、施工用电接点，并满足施工要求，接点至施工现场段管道及管线、计量设备由承包人自行解决，施工期间至竣工验收所产生的水、电费由承包人承担，每月底向电力公司、供水公司缴纳水电费（价格执行项目所在地价格），相应水电设备的看管和维护由承包人负责</w:t>
      </w:r>
      <w:r>
        <w:rPr>
          <w:rFonts w:hint="eastAsia" w:ascii="宋体" w:hAnsi="宋体" w:eastAsia="宋体" w:cs="宋体"/>
          <w:color w:val="auto"/>
          <w:szCs w:val="21"/>
          <w:highlight w:val="none"/>
        </w:rPr>
        <w:t>。</w:t>
      </w:r>
    </w:p>
    <w:p w14:paraId="6DF3B3AD">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83" w:name="_Toc512164599"/>
      <w:bookmarkStart w:id="184" w:name="_Toc510377782"/>
      <w:bookmarkStart w:id="185" w:name="_Toc505785366"/>
      <w:bookmarkStart w:id="186" w:name="_Toc504119067"/>
      <w:r>
        <w:rPr>
          <w:rFonts w:hint="eastAsia" w:ascii="宋体" w:hAnsi="宋体" w:eastAsia="宋体" w:cs="宋体"/>
          <w:bCs/>
          <w:color w:val="auto"/>
          <w:szCs w:val="21"/>
          <w:highlight w:val="none"/>
          <w:lang w:val="zh-CN"/>
        </w:rPr>
        <w:t>2.5资金来源证明及支付担保</w:t>
      </w:r>
      <w:bookmarkEnd w:id="183"/>
      <w:bookmarkEnd w:id="184"/>
      <w:bookmarkEnd w:id="185"/>
      <w:bookmarkEnd w:id="186"/>
    </w:p>
    <w:p w14:paraId="36B964B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发包人提供资金来源证明的期限要求：</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4E3CE8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发包人是否提供支付担保：</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7351F4E3">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发包人提供支付担保的形式：</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A84C0D9">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87" w:name="_Toc505785367"/>
      <w:bookmarkStart w:id="188" w:name="_Toc504119068"/>
      <w:bookmarkStart w:id="189" w:name="_Toc512164600"/>
      <w:bookmarkStart w:id="190" w:name="_Toc510377783"/>
      <w:r>
        <w:rPr>
          <w:rFonts w:hint="eastAsia" w:ascii="宋体" w:hAnsi="宋体" w:eastAsia="宋体" w:cs="宋体"/>
          <w:bCs/>
          <w:color w:val="auto"/>
          <w:szCs w:val="21"/>
          <w:highlight w:val="none"/>
          <w:lang w:val="zh-CN"/>
        </w:rPr>
        <w:t>3.承包人</w:t>
      </w:r>
      <w:bookmarkEnd w:id="187"/>
      <w:bookmarkEnd w:id="188"/>
      <w:bookmarkEnd w:id="189"/>
      <w:bookmarkEnd w:id="190"/>
    </w:p>
    <w:p w14:paraId="22FA9E21">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91" w:name="_Toc512164601"/>
      <w:bookmarkStart w:id="192" w:name="_Toc505785368"/>
      <w:bookmarkStart w:id="193" w:name="_Toc504119069"/>
      <w:bookmarkStart w:id="194" w:name="_Toc510377784"/>
      <w:r>
        <w:rPr>
          <w:rFonts w:hint="eastAsia" w:ascii="宋体" w:hAnsi="宋体" w:eastAsia="宋体" w:cs="宋体"/>
          <w:bCs/>
          <w:color w:val="auto"/>
          <w:szCs w:val="21"/>
          <w:highlight w:val="none"/>
          <w:lang w:val="zh-CN"/>
        </w:rPr>
        <w:t>3.1承包人的一般义务</w:t>
      </w:r>
      <w:bookmarkEnd w:id="191"/>
      <w:bookmarkEnd w:id="192"/>
      <w:bookmarkEnd w:id="193"/>
      <w:bookmarkEnd w:id="194"/>
    </w:p>
    <w:p w14:paraId="334418F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⑼</w:t>
      </w:r>
      <w:r>
        <w:rPr>
          <w:rFonts w:hint="eastAsia" w:ascii="宋体" w:hAnsi="宋体" w:eastAsia="宋体" w:cs="宋体"/>
          <w:color w:val="auto"/>
          <w:szCs w:val="21"/>
          <w:highlight w:val="none"/>
        </w:rPr>
        <w:t>承包人提交的竣工资料的内容：</w:t>
      </w:r>
      <w:r>
        <w:rPr>
          <w:rFonts w:hint="eastAsia" w:ascii="宋体" w:hAnsi="宋体" w:eastAsia="宋体" w:cs="宋体"/>
          <w:color w:val="auto"/>
          <w:szCs w:val="21"/>
          <w:highlight w:val="none"/>
          <w:u w:val="single"/>
        </w:rPr>
        <w:t>承包人向发包人提交完整的竣工图纸、资料及内容一致的电子文档，必须满足存档要求</w:t>
      </w:r>
      <w:r>
        <w:rPr>
          <w:rFonts w:hint="eastAsia" w:ascii="宋体" w:hAnsi="宋体" w:eastAsia="宋体" w:cs="宋体"/>
          <w:color w:val="auto"/>
          <w:szCs w:val="21"/>
          <w:highlight w:val="none"/>
        </w:rPr>
        <w:t>。</w:t>
      </w:r>
    </w:p>
    <w:p w14:paraId="2E84DF2B">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承包人需要提交的竣工资料套数：</w:t>
      </w:r>
      <w:r>
        <w:rPr>
          <w:rFonts w:hint="eastAsia" w:ascii="宋体" w:hAnsi="宋体" w:eastAsia="宋体" w:cs="宋体"/>
          <w:color w:val="auto"/>
          <w:szCs w:val="21"/>
          <w:highlight w:val="none"/>
          <w:u w:val="single"/>
        </w:rPr>
        <w:t>按实际需要提供</w:t>
      </w:r>
      <w:r>
        <w:rPr>
          <w:rFonts w:hint="eastAsia" w:ascii="宋体" w:hAnsi="宋体" w:eastAsia="宋体" w:cs="宋体"/>
          <w:color w:val="auto"/>
          <w:szCs w:val="21"/>
          <w:highlight w:val="none"/>
        </w:rPr>
        <w:t>。</w:t>
      </w:r>
    </w:p>
    <w:p w14:paraId="5A76CA4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承包人提交的竣工资料的费用承担：</w:t>
      </w:r>
      <w:r>
        <w:rPr>
          <w:rFonts w:hint="eastAsia" w:ascii="宋体" w:hAnsi="宋体" w:eastAsia="宋体" w:cs="宋体"/>
          <w:color w:val="auto"/>
          <w:szCs w:val="21"/>
          <w:highlight w:val="none"/>
          <w:u w:val="single"/>
        </w:rPr>
        <w:t>由承包人承担</w:t>
      </w:r>
      <w:r>
        <w:rPr>
          <w:rFonts w:hint="eastAsia" w:ascii="宋体" w:hAnsi="宋体" w:eastAsia="宋体" w:cs="宋体"/>
          <w:color w:val="auto"/>
          <w:szCs w:val="21"/>
          <w:highlight w:val="none"/>
        </w:rPr>
        <w:t>。</w:t>
      </w:r>
    </w:p>
    <w:p w14:paraId="1167C3F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承包人提交的竣工资料移交时间：</w:t>
      </w:r>
      <w:r>
        <w:rPr>
          <w:rFonts w:hint="eastAsia" w:ascii="宋体" w:hAnsi="宋体" w:eastAsia="宋体" w:cs="宋体"/>
          <w:color w:val="auto"/>
          <w:szCs w:val="21"/>
          <w:highlight w:val="none"/>
          <w:u w:val="single"/>
        </w:rPr>
        <w:t>工程竣工验收合格后60天内</w:t>
      </w:r>
      <w:r>
        <w:rPr>
          <w:rFonts w:hint="eastAsia" w:ascii="宋体" w:hAnsi="宋体" w:eastAsia="宋体" w:cs="宋体"/>
          <w:color w:val="auto"/>
          <w:szCs w:val="21"/>
          <w:highlight w:val="none"/>
        </w:rPr>
        <w:t>。</w:t>
      </w:r>
    </w:p>
    <w:p w14:paraId="2DD7ADA9">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承包人提交的竣工资料形式要求：</w:t>
      </w:r>
      <w:r>
        <w:rPr>
          <w:rFonts w:hint="eastAsia" w:ascii="宋体" w:hAnsi="宋体" w:eastAsia="宋体" w:cs="宋体"/>
          <w:color w:val="auto"/>
          <w:szCs w:val="21"/>
          <w:highlight w:val="none"/>
          <w:u w:val="single"/>
        </w:rPr>
        <w:t>满足存档要求的纸质及电子文档资料</w:t>
      </w:r>
      <w:r>
        <w:rPr>
          <w:rFonts w:hint="eastAsia" w:ascii="宋体" w:hAnsi="宋体" w:eastAsia="宋体" w:cs="宋体"/>
          <w:color w:val="auto"/>
          <w:szCs w:val="21"/>
          <w:highlight w:val="none"/>
        </w:rPr>
        <w:t>。</w:t>
      </w:r>
    </w:p>
    <w:p w14:paraId="078E6D9B">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⑽承包人应履行的其他义务：</w:t>
      </w:r>
      <w:r>
        <w:rPr>
          <w:rFonts w:hint="eastAsia" w:ascii="宋体" w:hAnsi="宋体" w:eastAsia="宋体" w:cs="宋体"/>
          <w:color w:val="auto"/>
          <w:kern w:val="0"/>
          <w:szCs w:val="21"/>
          <w:highlight w:val="none"/>
          <w:u w:val="single"/>
        </w:rPr>
        <w:t>承包人应当对施工现场或者附近实施与合同工程有关的</w:t>
      </w:r>
      <w:r>
        <w:rPr>
          <w:rFonts w:hint="eastAsia" w:ascii="宋体" w:hAnsi="宋体" w:eastAsia="宋体" w:cs="宋体"/>
          <w:color w:val="auto"/>
          <w:kern w:val="0"/>
          <w:szCs w:val="21"/>
          <w:highlight w:val="none"/>
          <w:u w:val="single"/>
          <w:lang w:eastAsia="zh-CN"/>
        </w:rPr>
        <w:t>其他工作的</w:t>
      </w:r>
      <w:r>
        <w:rPr>
          <w:rFonts w:hint="eastAsia" w:ascii="宋体" w:hAnsi="宋体" w:eastAsia="宋体" w:cs="宋体"/>
          <w:color w:val="auto"/>
          <w:kern w:val="0"/>
          <w:szCs w:val="21"/>
          <w:highlight w:val="none"/>
          <w:u w:val="single"/>
        </w:rPr>
        <w:t>独立承包人履行管理、协调、配合、照管和服务义务</w:t>
      </w:r>
      <w:r>
        <w:rPr>
          <w:rFonts w:hint="eastAsia" w:ascii="宋体" w:hAnsi="宋体" w:eastAsia="宋体" w:cs="宋体"/>
          <w:color w:val="auto"/>
          <w:kern w:val="0"/>
          <w:szCs w:val="21"/>
          <w:highlight w:val="none"/>
        </w:rPr>
        <w:t>。</w:t>
      </w:r>
    </w:p>
    <w:p w14:paraId="6C5AC0C2">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95" w:name="_Toc510377785"/>
      <w:bookmarkStart w:id="196" w:name="_Toc504119070"/>
      <w:bookmarkStart w:id="197" w:name="_Toc505785369"/>
      <w:bookmarkStart w:id="198" w:name="_Toc512164602"/>
      <w:r>
        <w:rPr>
          <w:rFonts w:hint="eastAsia" w:ascii="宋体" w:hAnsi="宋体" w:eastAsia="宋体" w:cs="宋体"/>
          <w:bCs/>
          <w:color w:val="auto"/>
          <w:szCs w:val="21"/>
          <w:highlight w:val="none"/>
          <w:lang w:val="zh-CN"/>
        </w:rPr>
        <w:t>3.2项目经理</w:t>
      </w:r>
      <w:bookmarkEnd w:id="195"/>
      <w:bookmarkEnd w:id="196"/>
      <w:bookmarkEnd w:id="197"/>
      <w:bookmarkEnd w:id="198"/>
    </w:p>
    <w:p w14:paraId="1345DFD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3.2.1</w:t>
      </w:r>
      <w:r>
        <w:rPr>
          <w:rFonts w:hint="eastAsia" w:ascii="宋体" w:hAnsi="宋体" w:eastAsia="宋体" w:cs="宋体"/>
          <w:color w:val="auto"/>
          <w:szCs w:val="21"/>
          <w:highlight w:val="none"/>
        </w:rPr>
        <w:t>项目经理：</w:t>
      </w:r>
    </w:p>
    <w:p w14:paraId="451CEA4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492596C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身份证号：</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6A04924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建造师执业资格等级：</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29B9ACA9">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建造师注册证书号：</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34CF0B2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建造师执业印章号：</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33B81D8E">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安全生产考核合格证号：</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0D3E227E">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1E8A0FB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60E35FCB">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7E7553F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承包人对项目经理的授权范围如下：</w:t>
      </w:r>
      <w:r>
        <w:rPr>
          <w:rFonts w:hint="eastAsia" w:ascii="宋体" w:hAnsi="宋体" w:eastAsia="宋体" w:cs="宋体"/>
          <w:color w:val="auto"/>
          <w:szCs w:val="21"/>
          <w:highlight w:val="none"/>
          <w:u w:val="single"/>
        </w:rPr>
        <w:t>代表承包人行使本合同约定的权利，履行本合同约定的义务，处理施工期间的突发事件，其行为后果由承包人承担</w:t>
      </w:r>
      <w:r>
        <w:rPr>
          <w:rFonts w:hint="eastAsia" w:ascii="宋体" w:hAnsi="宋体" w:eastAsia="宋体" w:cs="宋体"/>
          <w:color w:val="auto"/>
          <w:szCs w:val="21"/>
          <w:highlight w:val="none"/>
        </w:rPr>
        <w:t>。</w:t>
      </w:r>
    </w:p>
    <w:p w14:paraId="57E97AF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关于项目经理每月在施工现场的时间要求：</w:t>
      </w:r>
      <w:r>
        <w:rPr>
          <w:rFonts w:hint="eastAsia" w:ascii="宋体" w:hAnsi="宋体" w:eastAsia="宋体" w:cs="宋体"/>
          <w:color w:val="auto"/>
          <w:szCs w:val="21"/>
          <w:highlight w:val="none"/>
          <w:u w:val="single"/>
        </w:rPr>
        <w:t>每个月的驻工地时间不得少于21天</w:t>
      </w:r>
      <w:r>
        <w:rPr>
          <w:rFonts w:hint="eastAsia" w:ascii="宋体" w:hAnsi="宋体" w:eastAsia="宋体" w:cs="宋体"/>
          <w:color w:val="auto"/>
          <w:szCs w:val="21"/>
          <w:highlight w:val="none"/>
        </w:rPr>
        <w:t>。</w:t>
      </w:r>
    </w:p>
    <w:p w14:paraId="5B67C22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承包人未提交劳动合同，以及没有为项目经理缴纳社会保险证明的违约责任：</w:t>
      </w:r>
      <w:r>
        <w:rPr>
          <w:rFonts w:hint="eastAsia" w:ascii="宋体" w:hAnsi="宋体" w:eastAsia="宋体" w:cs="宋体"/>
          <w:color w:val="auto"/>
          <w:szCs w:val="21"/>
          <w:highlight w:val="none"/>
          <w:u w:val="single"/>
        </w:rPr>
        <w:t>承担由此造成</w:t>
      </w:r>
      <w:r>
        <w:rPr>
          <w:rFonts w:hint="eastAsia" w:ascii="宋体" w:hAnsi="宋体" w:eastAsia="宋体" w:cs="宋体"/>
          <w:color w:val="auto"/>
          <w:szCs w:val="21"/>
          <w:highlight w:val="none"/>
          <w:u w:val="single"/>
          <w:lang w:eastAsia="zh-CN"/>
        </w:rPr>
        <w:t>的</w:t>
      </w:r>
      <w:r>
        <w:rPr>
          <w:rFonts w:hint="eastAsia" w:ascii="宋体" w:hAnsi="宋体" w:eastAsia="宋体" w:cs="宋体"/>
          <w:color w:val="auto"/>
          <w:szCs w:val="21"/>
          <w:highlight w:val="none"/>
          <w:u w:val="single"/>
        </w:rPr>
        <w:t>后果，并赔偿由此引发的经济损失</w:t>
      </w:r>
      <w:r>
        <w:rPr>
          <w:rFonts w:hint="eastAsia" w:ascii="宋体" w:hAnsi="宋体" w:eastAsia="宋体" w:cs="宋体"/>
          <w:color w:val="auto"/>
          <w:szCs w:val="21"/>
          <w:highlight w:val="none"/>
        </w:rPr>
        <w:t>。</w:t>
      </w:r>
    </w:p>
    <w:p w14:paraId="0B0AC22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项目经理未经批准，擅自离开施工现场的违约责任：</w:t>
      </w:r>
      <w:r>
        <w:rPr>
          <w:rFonts w:hint="eastAsia" w:ascii="宋体" w:hAnsi="宋体" w:eastAsia="宋体" w:cs="宋体"/>
          <w:color w:val="auto"/>
          <w:szCs w:val="21"/>
          <w:highlight w:val="none"/>
          <w:u w:val="single"/>
        </w:rPr>
        <w:t>承包人向发包人支付1000元／次的违约金，并按发包人要求立即整改，承包人承担上述违约给发包人造成的一切损失</w:t>
      </w:r>
      <w:r>
        <w:rPr>
          <w:rFonts w:hint="eastAsia" w:ascii="宋体" w:hAnsi="宋体" w:eastAsia="宋体" w:cs="宋体"/>
          <w:color w:val="auto"/>
          <w:szCs w:val="21"/>
          <w:highlight w:val="none"/>
        </w:rPr>
        <w:t>。</w:t>
      </w:r>
    </w:p>
    <w:p w14:paraId="4B1F21B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3.2.3 承包人擅自更换项目经理的违约责任：</w:t>
      </w:r>
      <w:r>
        <w:rPr>
          <w:rFonts w:hint="eastAsia" w:ascii="宋体" w:hAnsi="宋体" w:eastAsia="宋体" w:cs="宋体"/>
          <w:color w:val="auto"/>
          <w:szCs w:val="21"/>
          <w:highlight w:val="none"/>
          <w:u w:val="single"/>
        </w:rPr>
        <w:t>承包人向发包人支付1000元／次的违约金，并按发包人要求立即整改，承担由此引发给发包人造成的一切损失</w:t>
      </w:r>
      <w:r>
        <w:rPr>
          <w:rFonts w:hint="eastAsia" w:ascii="宋体" w:hAnsi="宋体" w:eastAsia="宋体" w:cs="宋体"/>
          <w:color w:val="auto"/>
          <w:szCs w:val="21"/>
          <w:highlight w:val="none"/>
        </w:rPr>
        <w:t>。</w:t>
      </w:r>
    </w:p>
    <w:p w14:paraId="45F8CC7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3.2.4 承包人无正当理由拒绝更换项目经理的违约责任：</w:t>
      </w:r>
      <w:r>
        <w:rPr>
          <w:rFonts w:hint="eastAsia" w:ascii="宋体" w:hAnsi="宋体" w:eastAsia="宋体" w:cs="宋体"/>
          <w:color w:val="auto"/>
          <w:szCs w:val="21"/>
          <w:highlight w:val="none"/>
          <w:u w:val="single"/>
        </w:rPr>
        <w:t>因项目经理管理能力缺乏、工作怠慢或不作为，造成发包人要求更换项目经理，且承包人拒绝更换的，除承担由此引发的损失赔偿外，还应承担解除合同的风险</w:t>
      </w:r>
      <w:r>
        <w:rPr>
          <w:rFonts w:hint="eastAsia" w:ascii="宋体" w:hAnsi="宋体" w:eastAsia="宋体" w:cs="宋体"/>
          <w:color w:val="auto"/>
          <w:szCs w:val="21"/>
          <w:highlight w:val="none"/>
        </w:rPr>
        <w:t>。</w:t>
      </w:r>
    </w:p>
    <w:p w14:paraId="2725A1B0">
      <w:pPr>
        <w:keepNext/>
        <w:keepLines/>
        <w:spacing w:line="360" w:lineRule="auto"/>
        <w:ind w:firstLine="440" w:firstLineChars="200"/>
        <w:outlineLvl w:val="3"/>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3.3承包人人员</w:t>
      </w:r>
    </w:p>
    <w:p w14:paraId="1847CB5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3.3.1承包人提交项目管理机构及施工现场管理人员安排报告的期限：</w:t>
      </w:r>
      <w:r>
        <w:rPr>
          <w:rFonts w:hint="eastAsia" w:ascii="宋体" w:hAnsi="宋体" w:eastAsia="宋体" w:cs="宋体"/>
          <w:color w:val="auto"/>
          <w:szCs w:val="21"/>
          <w:highlight w:val="none"/>
          <w:u w:val="single"/>
        </w:rPr>
        <w:t>开工前7天</w:t>
      </w:r>
      <w:r>
        <w:rPr>
          <w:rFonts w:hint="eastAsia" w:ascii="宋体" w:hAnsi="宋体" w:eastAsia="宋体" w:cs="宋体"/>
          <w:color w:val="auto"/>
          <w:szCs w:val="21"/>
          <w:highlight w:val="none"/>
        </w:rPr>
        <w:t>。</w:t>
      </w:r>
    </w:p>
    <w:p w14:paraId="0FE5E4C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3.3.3 承包人无正当理由拒绝撤换主要施工管理人员的违约责任：</w:t>
      </w:r>
      <w:r>
        <w:rPr>
          <w:rFonts w:hint="eastAsia" w:ascii="宋体" w:hAnsi="宋体" w:eastAsia="宋体" w:cs="宋体"/>
          <w:color w:val="auto"/>
          <w:szCs w:val="21"/>
          <w:highlight w:val="none"/>
          <w:u w:val="single"/>
        </w:rPr>
        <w:t>向发包人支付1000元／次的违约金，按发包人要求立即整改，并承担由此引发给发包人造成的一切损失</w:t>
      </w:r>
      <w:r>
        <w:rPr>
          <w:rFonts w:hint="eastAsia" w:ascii="宋体" w:hAnsi="宋体" w:eastAsia="宋体" w:cs="宋体"/>
          <w:color w:val="auto"/>
          <w:szCs w:val="21"/>
          <w:highlight w:val="none"/>
        </w:rPr>
        <w:t>。</w:t>
      </w:r>
    </w:p>
    <w:p w14:paraId="7AF76D2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3.3.4 承包人主要施工管理人员离开施工现场的批准要求：</w:t>
      </w:r>
      <w:r>
        <w:rPr>
          <w:rFonts w:hint="eastAsia" w:ascii="宋体" w:hAnsi="宋体" w:eastAsia="宋体" w:cs="宋体"/>
          <w:color w:val="auto"/>
          <w:szCs w:val="21"/>
          <w:highlight w:val="none"/>
          <w:u w:val="single"/>
        </w:rPr>
        <w:t>应经监理工程师或发包人代表批准同意</w:t>
      </w:r>
      <w:r>
        <w:rPr>
          <w:rFonts w:hint="eastAsia" w:ascii="宋体" w:hAnsi="宋体" w:eastAsia="宋体" w:cs="宋体"/>
          <w:color w:val="auto"/>
          <w:szCs w:val="21"/>
          <w:highlight w:val="none"/>
        </w:rPr>
        <w:t>。</w:t>
      </w:r>
    </w:p>
    <w:p w14:paraId="10D3B00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3.3.5承包人擅自更换主要施工管理人员的违约责任：</w:t>
      </w:r>
      <w:r>
        <w:rPr>
          <w:rFonts w:hint="eastAsia" w:ascii="宋体" w:hAnsi="宋体" w:eastAsia="宋体" w:cs="宋体"/>
          <w:color w:val="auto"/>
          <w:szCs w:val="21"/>
          <w:highlight w:val="none"/>
          <w:u w:val="single"/>
        </w:rPr>
        <w:t>承包人向发包人支付1000元／人•次的违约金，并按发包人要求立即整改，承包人承担上述违约给发包人造成的一切损失</w:t>
      </w:r>
      <w:r>
        <w:rPr>
          <w:rFonts w:hint="eastAsia" w:ascii="宋体" w:hAnsi="宋体" w:eastAsia="宋体" w:cs="宋体"/>
          <w:color w:val="auto"/>
          <w:szCs w:val="21"/>
          <w:highlight w:val="none"/>
        </w:rPr>
        <w:t>。</w:t>
      </w:r>
    </w:p>
    <w:p w14:paraId="75B002C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承包人主要施工管理人员擅自离开施工现场的违约责任：</w:t>
      </w:r>
      <w:r>
        <w:rPr>
          <w:rFonts w:hint="eastAsia" w:ascii="宋体" w:hAnsi="宋体" w:eastAsia="宋体" w:cs="宋体"/>
          <w:color w:val="auto"/>
          <w:szCs w:val="21"/>
          <w:highlight w:val="none"/>
          <w:u w:val="single"/>
        </w:rPr>
        <w:t>承包人主要施工管理人员擅自离开施工现场，给工程造成损失的，承包人向发包人支付1000元／人•次的违约金，并按发包人要求立即整改，承包人承担上述违约给发包人造成的一切损失</w:t>
      </w:r>
      <w:r>
        <w:rPr>
          <w:rFonts w:hint="eastAsia" w:ascii="宋体" w:hAnsi="宋体" w:eastAsia="宋体" w:cs="宋体"/>
          <w:color w:val="auto"/>
          <w:szCs w:val="21"/>
          <w:highlight w:val="none"/>
        </w:rPr>
        <w:t>。</w:t>
      </w:r>
    </w:p>
    <w:p w14:paraId="4BD52062">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199" w:name="_Toc512164603"/>
      <w:bookmarkStart w:id="200" w:name="_Toc504119071"/>
      <w:bookmarkStart w:id="201" w:name="_Toc510377786"/>
      <w:bookmarkStart w:id="202" w:name="_Toc505785370"/>
      <w:r>
        <w:rPr>
          <w:rFonts w:hint="eastAsia" w:ascii="宋体" w:hAnsi="宋体" w:eastAsia="宋体" w:cs="宋体"/>
          <w:bCs/>
          <w:color w:val="auto"/>
          <w:szCs w:val="21"/>
          <w:highlight w:val="none"/>
          <w:lang w:val="zh-CN"/>
        </w:rPr>
        <w:t>3.5分包</w:t>
      </w:r>
      <w:bookmarkEnd w:id="199"/>
      <w:bookmarkEnd w:id="200"/>
      <w:bookmarkEnd w:id="201"/>
      <w:bookmarkEnd w:id="202"/>
    </w:p>
    <w:p w14:paraId="563A6B9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3.5.1分包的一般约定</w:t>
      </w:r>
    </w:p>
    <w:p w14:paraId="3E66FE4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禁止分包的工程包括：</w:t>
      </w:r>
      <w:r>
        <w:rPr>
          <w:rFonts w:hint="eastAsia" w:ascii="宋体" w:hAnsi="宋体" w:eastAsia="宋体" w:cs="宋体"/>
          <w:color w:val="auto"/>
          <w:szCs w:val="21"/>
          <w:highlight w:val="none"/>
          <w:u w:val="single"/>
        </w:rPr>
        <w:t>本项目主体工程、关键性工作</w:t>
      </w:r>
      <w:r>
        <w:rPr>
          <w:rFonts w:hint="eastAsia" w:ascii="宋体" w:hAnsi="宋体" w:eastAsia="宋体" w:cs="宋体"/>
          <w:color w:val="auto"/>
          <w:szCs w:val="21"/>
          <w:highlight w:val="none"/>
        </w:rPr>
        <w:t>。</w:t>
      </w:r>
    </w:p>
    <w:p w14:paraId="17DE251A">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主体结构、关键性工作的范围</w:t>
      </w:r>
      <w:r>
        <w:rPr>
          <w:rFonts w:hint="eastAsia" w:ascii="宋体" w:hAnsi="宋体" w:eastAsia="宋体" w:cs="宋体"/>
          <w:color w:val="auto"/>
          <w:szCs w:val="21"/>
          <w:highlight w:val="none"/>
          <w:lang w:eastAsia="zh-CN"/>
        </w:rPr>
        <w:t>：</w:t>
      </w:r>
    </w:p>
    <w:p w14:paraId="1B53649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3.5.2分包的确定</w:t>
      </w:r>
    </w:p>
    <w:p w14:paraId="75E2516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允许分包的专业工程包括：</w:t>
      </w:r>
      <w:r>
        <w:rPr>
          <w:rFonts w:hint="eastAsia" w:ascii="宋体" w:hAnsi="宋体" w:eastAsia="宋体" w:cs="宋体"/>
          <w:color w:val="auto"/>
          <w:szCs w:val="21"/>
          <w:highlight w:val="none"/>
          <w:u w:val="single"/>
        </w:rPr>
        <w:t>本项目专业工程未经发包人批准不得分包，涉及专业工程的分包须经发包人同意，具体在合同谈判时由双方协商确定</w:t>
      </w:r>
      <w:r>
        <w:rPr>
          <w:rFonts w:hint="eastAsia" w:ascii="宋体" w:hAnsi="宋体" w:eastAsia="宋体" w:cs="宋体"/>
          <w:color w:val="auto"/>
          <w:szCs w:val="21"/>
          <w:highlight w:val="none"/>
        </w:rPr>
        <w:t>。</w:t>
      </w:r>
    </w:p>
    <w:p w14:paraId="5C05EC5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其他关于分包的约定：</w:t>
      </w:r>
      <w:r>
        <w:rPr>
          <w:rFonts w:hint="eastAsia" w:ascii="宋体" w:hAnsi="宋体" w:eastAsia="宋体" w:cs="宋体"/>
          <w:color w:val="auto"/>
          <w:szCs w:val="21"/>
          <w:highlight w:val="none"/>
          <w:u w:val="single"/>
        </w:rPr>
        <w:t>承包人确需分包时，选择专业分包单位应报监理人对其资信条件进行审查并经发包人书面认定；分包合同均由承包人与承接工程的分包人签订，工程分包不能解除承包人的任何责任与义务。承包人对施工工期、工程质量向发包人负责，分包人的任何违约行为或疏忽导致工程损害或给发包人造成</w:t>
      </w:r>
      <w:r>
        <w:rPr>
          <w:rFonts w:hint="eastAsia" w:ascii="宋体" w:hAnsi="宋体" w:eastAsia="宋体" w:cs="宋体"/>
          <w:color w:val="auto"/>
          <w:szCs w:val="21"/>
          <w:highlight w:val="none"/>
          <w:u w:val="single"/>
          <w:lang w:eastAsia="zh-CN"/>
        </w:rPr>
        <w:t>其他损失</w:t>
      </w:r>
      <w:r>
        <w:rPr>
          <w:rFonts w:hint="eastAsia" w:ascii="宋体" w:hAnsi="宋体" w:eastAsia="宋体" w:cs="宋体"/>
          <w:color w:val="auto"/>
          <w:szCs w:val="21"/>
          <w:highlight w:val="none"/>
          <w:u w:val="single"/>
        </w:rPr>
        <w:t>的，由承包人承担连带责任</w:t>
      </w:r>
      <w:r>
        <w:rPr>
          <w:rFonts w:hint="eastAsia" w:ascii="宋体" w:hAnsi="宋体" w:eastAsia="宋体" w:cs="宋体"/>
          <w:color w:val="auto"/>
          <w:szCs w:val="21"/>
          <w:highlight w:val="none"/>
        </w:rPr>
        <w:t>。</w:t>
      </w:r>
    </w:p>
    <w:p w14:paraId="35E6AFD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3.5.4分包合同价款</w:t>
      </w:r>
    </w:p>
    <w:p w14:paraId="4D37640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关于分包合同价款支付的约定：</w:t>
      </w:r>
      <w:r>
        <w:rPr>
          <w:rFonts w:hint="eastAsia" w:ascii="宋体" w:hAnsi="宋体" w:eastAsia="宋体" w:cs="宋体"/>
          <w:color w:val="auto"/>
          <w:szCs w:val="21"/>
          <w:highlight w:val="none"/>
          <w:u w:val="single"/>
        </w:rPr>
        <w:t>由承包人与承接工程的分包人自行协商</w:t>
      </w:r>
      <w:r>
        <w:rPr>
          <w:rFonts w:hint="eastAsia" w:ascii="宋体" w:hAnsi="宋体" w:eastAsia="宋体" w:cs="宋体"/>
          <w:color w:val="auto"/>
          <w:szCs w:val="21"/>
          <w:highlight w:val="none"/>
        </w:rPr>
        <w:t>。</w:t>
      </w:r>
    </w:p>
    <w:p w14:paraId="255AB9C4">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03" w:name="_Toc504119072"/>
      <w:bookmarkStart w:id="204" w:name="_Toc505785371"/>
      <w:bookmarkStart w:id="205" w:name="_Toc510377787"/>
      <w:bookmarkStart w:id="206" w:name="_Toc512164604"/>
      <w:r>
        <w:rPr>
          <w:rFonts w:hint="eastAsia" w:ascii="宋体" w:hAnsi="宋体" w:eastAsia="宋体" w:cs="宋体"/>
          <w:bCs/>
          <w:color w:val="auto"/>
          <w:szCs w:val="21"/>
          <w:highlight w:val="none"/>
          <w:lang w:val="zh-CN"/>
        </w:rPr>
        <w:t>3.6工程照管与成品、半成品保护</w:t>
      </w:r>
      <w:bookmarkEnd w:id="203"/>
      <w:bookmarkEnd w:id="204"/>
      <w:bookmarkEnd w:id="205"/>
      <w:bookmarkEnd w:id="206"/>
    </w:p>
    <w:p w14:paraId="249F51AA">
      <w:pPr>
        <w:spacing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承包人负责照管工程及工程相关的材料、工程设备的起始时间：</w:t>
      </w:r>
      <w:r>
        <w:rPr>
          <w:rFonts w:hint="eastAsia" w:ascii="宋体" w:hAnsi="宋体" w:eastAsia="宋体" w:cs="宋体"/>
          <w:color w:val="auto"/>
          <w:kern w:val="0"/>
          <w:szCs w:val="21"/>
          <w:highlight w:val="none"/>
          <w:u w:val="single"/>
        </w:rPr>
        <w:t>设备、人员进场至验收交付使用前由承包人负责照管保修，</w:t>
      </w:r>
      <w:r>
        <w:rPr>
          <w:rFonts w:hint="eastAsia" w:ascii="宋体" w:hAnsi="宋体" w:eastAsia="宋体" w:cs="宋体"/>
          <w:color w:val="auto"/>
          <w:kern w:val="0"/>
          <w:szCs w:val="21"/>
          <w:highlight w:val="none"/>
          <w:u w:val="single"/>
          <w:lang w:eastAsia="zh-CN"/>
        </w:rPr>
        <w:t>无其他</w:t>
      </w:r>
      <w:r>
        <w:rPr>
          <w:rFonts w:hint="eastAsia" w:ascii="宋体" w:hAnsi="宋体" w:eastAsia="宋体" w:cs="宋体"/>
          <w:color w:val="auto"/>
          <w:kern w:val="0"/>
          <w:szCs w:val="21"/>
          <w:highlight w:val="none"/>
          <w:u w:val="single"/>
        </w:rPr>
        <w:t>特殊要求的，费用由承包人承担</w:t>
      </w:r>
      <w:r>
        <w:rPr>
          <w:rFonts w:hint="eastAsia" w:ascii="宋体" w:hAnsi="宋体" w:eastAsia="宋体" w:cs="宋体"/>
          <w:color w:val="auto"/>
          <w:kern w:val="0"/>
          <w:szCs w:val="21"/>
          <w:highlight w:val="none"/>
        </w:rPr>
        <w:t>。</w:t>
      </w:r>
    </w:p>
    <w:p w14:paraId="39FE6AD3">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07" w:name="_Toc504119073"/>
      <w:bookmarkStart w:id="208" w:name="_Toc510377788"/>
      <w:bookmarkStart w:id="209" w:name="_Toc512164605"/>
      <w:bookmarkStart w:id="210" w:name="_Toc505785372"/>
      <w:r>
        <w:rPr>
          <w:rFonts w:hint="eastAsia" w:ascii="宋体" w:hAnsi="宋体" w:eastAsia="宋体" w:cs="宋体"/>
          <w:bCs/>
          <w:color w:val="auto"/>
          <w:szCs w:val="21"/>
          <w:highlight w:val="none"/>
          <w:lang w:val="zh-CN"/>
        </w:rPr>
        <w:t>3.7履约担保</w:t>
      </w:r>
      <w:bookmarkEnd w:id="207"/>
      <w:bookmarkEnd w:id="208"/>
      <w:bookmarkEnd w:id="209"/>
      <w:bookmarkEnd w:id="210"/>
    </w:p>
    <w:p w14:paraId="7BFAAC4E">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承包人是否提供履约担保：</w:t>
      </w:r>
      <w:r>
        <w:rPr>
          <w:rFonts w:hint="eastAsia" w:ascii="宋体" w:hAnsi="宋体" w:eastAsia="宋体" w:cs="宋体"/>
          <w:color w:val="auto"/>
          <w:szCs w:val="21"/>
          <w:highlight w:val="none"/>
          <w:u w:val="single"/>
        </w:rPr>
        <w:t>提供履约担保</w:t>
      </w:r>
      <w:r>
        <w:rPr>
          <w:rFonts w:hint="eastAsia" w:ascii="宋体" w:hAnsi="宋体" w:eastAsia="宋体" w:cs="宋体"/>
          <w:color w:val="auto"/>
          <w:szCs w:val="21"/>
          <w:highlight w:val="none"/>
        </w:rPr>
        <w:t>。</w:t>
      </w:r>
    </w:p>
    <w:p w14:paraId="7BE73B6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承包人提供履约担保的形式、金额及期限的：</w:t>
      </w:r>
      <w:r>
        <w:rPr>
          <w:rFonts w:hint="eastAsia" w:ascii="宋体" w:hAnsi="宋体" w:eastAsia="宋体" w:cs="宋体"/>
          <w:color w:val="auto"/>
          <w:szCs w:val="21"/>
          <w:highlight w:val="none"/>
          <w:u w:val="single"/>
        </w:rPr>
        <w:t>金额</w:t>
      </w:r>
      <w:r>
        <w:rPr>
          <w:rFonts w:hint="eastAsia" w:ascii="宋体" w:hAnsi="宋体" w:eastAsia="宋体" w:cs="宋体"/>
          <w:color w:val="auto"/>
          <w:szCs w:val="21"/>
          <w:highlight w:val="none"/>
          <w:u w:val="single"/>
          <w:lang w:eastAsia="zh-CN"/>
        </w:rPr>
        <w:t>为</w:t>
      </w:r>
      <w:r>
        <w:rPr>
          <w:rFonts w:hint="eastAsia" w:ascii="宋体" w:hAnsi="宋体" w:eastAsia="宋体" w:cs="宋体"/>
          <w:color w:val="auto"/>
          <w:szCs w:val="21"/>
          <w:highlight w:val="none"/>
          <w:u w:val="single"/>
        </w:rPr>
        <w:t>合同价款的10％，以银行存款或银行保函的形式，在签订合同前10天内付清，至工程竣工验收合格后不计息退还</w:t>
      </w:r>
      <w:r>
        <w:rPr>
          <w:rFonts w:hint="eastAsia" w:ascii="宋体" w:hAnsi="宋体" w:eastAsia="宋体" w:cs="宋体"/>
          <w:color w:val="auto"/>
          <w:szCs w:val="21"/>
          <w:highlight w:val="none"/>
        </w:rPr>
        <w:t>。</w:t>
      </w:r>
    </w:p>
    <w:p w14:paraId="1FA52F0B">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11" w:name="_Toc512164606"/>
      <w:bookmarkStart w:id="212" w:name="_Toc505785373"/>
      <w:bookmarkStart w:id="213" w:name="_Toc510377789"/>
      <w:bookmarkStart w:id="214" w:name="_Toc504119074"/>
      <w:r>
        <w:rPr>
          <w:rFonts w:hint="eastAsia" w:ascii="宋体" w:hAnsi="宋体" w:eastAsia="宋体" w:cs="宋体"/>
          <w:bCs/>
          <w:color w:val="auto"/>
          <w:szCs w:val="21"/>
          <w:highlight w:val="none"/>
          <w:lang w:val="zh-CN"/>
        </w:rPr>
        <w:t>4.监理人</w:t>
      </w:r>
      <w:bookmarkEnd w:id="211"/>
      <w:bookmarkEnd w:id="212"/>
      <w:bookmarkEnd w:id="213"/>
      <w:bookmarkEnd w:id="214"/>
    </w:p>
    <w:p w14:paraId="2DA32EE5">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15" w:name="_Toc504119075"/>
      <w:bookmarkStart w:id="216" w:name="_Toc512164607"/>
      <w:bookmarkStart w:id="217" w:name="_Toc510377790"/>
      <w:bookmarkStart w:id="218" w:name="_Toc505785374"/>
      <w:r>
        <w:rPr>
          <w:rFonts w:hint="eastAsia" w:ascii="宋体" w:hAnsi="宋体" w:eastAsia="宋体" w:cs="宋体"/>
          <w:bCs/>
          <w:color w:val="auto"/>
          <w:szCs w:val="21"/>
          <w:highlight w:val="none"/>
          <w:lang w:val="zh-CN"/>
        </w:rPr>
        <w:t>4.1监理人的一般规定</w:t>
      </w:r>
      <w:bookmarkEnd w:id="215"/>
      <w:bookmarkEnd w:id="216"/>
      <w:bookmarkEnd w:id="217"/>
      <w:bookmarkEnd w:id="218"/>
    </w:p>
    <w:p w14:paraId="1F49D52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关于监理人的监理内容：</w:t>
      </w:r>
      <w:r>
        <w:rPr>
          <w:rFonts w:hint="eastAsia" w:ascii="宋体" w:hAnsi="宋体" w:eastAsia="宋体" w:cs="宋体"/>
          <w:color w:val="auto"/>
          <w:szCs w:val="21"/>
          <w:highlight w:val="none"/>
          <w:u w:val="single"/>
        </w:rPr>
        <w:t>详见监理合同</w:t>
      </w:r>
      <w:r>
        <w:rPr>
          <w:rFonts w:hint="eastAsia" w:ascii="宋体" w:hAnsi="宋体" w:eastAsia="宋体" w:cs="宋体"/>
          <w:color w:val="auto"/>
          <w:szCs w:val="21"/>
          <w:highlight w:val="none"/>
        </w:rPr>
        <w:t>。</w:t>
      </w:r>
    </w:p>
    <w:p w14:paraId="523D772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关于监理人的监理权限：</w:t>
      </w:r>
      <w:r>
        <w:rPr>
          <w:rFonts w:hint="eastAsia" w:ascii="宋体" w:hAnsi="宋体" w:eastAsia="宋体" w:cs="宋体"/>
          <w:color w:val="auto"/>
          <w:szCs w:val="21"/>
          <w:highlight w:val="none"/>
          <w:u w:val="single"/>
        </w:rPr>
        <w:t>工程进度、造价、施工安全、处理索赔（不包括索赔申请终止审核权）、保修等施工阶段全过程监理权限，详见监理合同及实施细则</w:t>
      </w:r>
      <w:r>
        <w:rPr>
          <w:rFonts w:hint="eastAsia" w:ascii="宋体" w:hAnsi="宋体" w:eastAsia="宋体" w:cs="宋体"/>
          <w:color w:val="auto"/>
          <w:szCs w:val="21"/>
          <w:highlight w:val="none"/>
        </w:rPr>
        <w:t>。</w:t>
      </w:r>
    </w:p>
    <w:p w14:paraId="449DC94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关于监理人在施工现场的办公场所、生活场所的提供和费用承担的约定：</w:t>
      </w:r>
      <w:r>
        <w:rPr>
          <w:rFonts w:hint="eastAsia" w:ascii="宋体" w:hAnsi="宋体" w:eastAsia="宋体" w:cs="宋体"/>
          <w:color w:val="auto"/>
          <w:szCs w:val="21"/>
          <w:highlight w:val="none"/>
          <w:u w:val="single"/>
        </w:rPr>
        <w:t>监理人在施工现场的办公场所由承包人提供，生活场所监理人自行负责</w:t>
      </w:r>
      <w:r>
        <w:rPr>
          <w:rFonts w:hint="eastAsia" w:ascii="宋体" w:hAnsi="宋体" w:eastAsia="宋体" w:cs="宋体"/>
          <w:color w:val="auto"/>
          <w:szCs w:val="21"/>
          <w:highlight w:val="none"/>
        </w:rPr>
        <w:t>。</w:t>
      </w:r>
    </w:p>
    <w:p w14:paraId="1E70DCDA">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19" w:name="_Toc504119076"/>
      <w:bookmarkStart w:id="220" w:name="_Toc505785375"/>
      <w:bookmarkStart w:id="221" w:name="_Toc510377791"/>
      <w:bookmarkStart w:id="222" w:name="_Toc512164608"/>
      <w:r>
        <w:rPr>
          <w:rFonts w:hint="eastAsia" w:ascii="宋体" w:hAnsi="宋体" w:eastAsia="宋体" w:cs="宋体"/>
          <w:bCs/>
          <w:color w:val="auto"/>
          <w:szCs w:val="21"/>
          <w:highlight w:val="none"/>
          <w:lang w:val="zh-CN"/>
        </w:rPr>
        <w:t>4.2监理人员</w:t>
      </w:r>
      <w:bookmarkEnd w:id="219"/>
      <w:bookmarkEnd w:id="220"/>
      <w:bookmarkEnd w:id="221"/>
      <w:bookmarkEnd w:id="222"/>
    </w:p>
    <w:p w14:paraId="6DD3ABF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总监理工程师：</w:t>
      </w:r>
    </w:p>
    <w:p w14:paraId="038A373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姓名：</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16C4630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职务：</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4C614F1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监理工程师执业资格证书号：</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38B4C5C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联系电话：</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23F75EB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电子信箱：</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750C0BF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通信地址：</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w:t>
      </w:r>
    </w:p>
    <w:p w14:paraId="359CE1E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关于监理人的其他约定：</w:t>
      </w:r>
      <w:r>
        <w:rPr>
          <w:rFonts w:hint="eastAsia" w:ascii="宋体" w:hAnsi="宋体" w:eastAsia="宋体" w:cs="宋体"/>
          <w:color w:val="auto"/>
          <w:szCs w:val="21"/>
          <w:highlight w:val="none"/>
          <w:u w:val="single"/>
        </w:rPr>
        <w:t>总监理工程师的指令、确认、答复、处理等行为监理人认可并承担全部责任</w:t>
      </w:r>
      <w:r>
        <w:rPr>
          <w:rFonts w:hint="eastAsia" w:ascii="宋体" w:hAnsi="宋体" w:eastAsia="宋体" w:cs="宋体"/>
          <w:color w:val="auto"/>
          <w:szCs w:val="21"/>
          <w:highlight w:val="none"/>
        </w:rPr>
        <w:t>。</w:t>
      </w:r>
    </w:p>
    <w:p w14:paraId="00024A53">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23" w:name="_Toc512164609"/>
      <w:bookmarkStart w:id="224" w:name="_Toc505785376"/>
      <w:bookmarkStart w:id="225" w:name="_Toc504119077"/>
      <w:bookmarkStart w:id="226" w:name="_Toc510377792"/>
      <w:r>
        <w:rPr>
          <w:rFonts w:hint="eastAsia" w:ascii="宋体" w:hAnsi="宋体" w:eastAsia="宋体" w:cs="宋体"/>
          <w:bCs/>
          <w:color w:val="auto"/>
          <w:szCs w:val="21"/>
          <w:highlight w:val="none"/>
          <w:lang w:val="zh-CN"/>
        </w:rPr>
        <w:t>4.4商定或确定</w:t>
      </w:r>
      <w:bookmarkEnd w:id="223"/>
      <w:bookmarkEnd w:id="224"/>
      <w:bookmarkEnd w:id="225"/>
      <w:bookmarkEnd w:id="226"/>
    </w:p>
    <w:p w14:paraId="576997A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在发包人和承包人不能通过协商达成一致意见时，发包人授权监理人对以下事项进行确定：</w:t>
      </w:r>
    </w:p>
    <w:p w14:paraId="03ED54D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w:t>
      </w:r>
      <w:r>
        <w:rPr>
          <w:rFonts w:hint="eastAsia" w:ascii="宋体" w:hAnsi="宋体" w:eastAsia="宋体" w:cs="宋体"/>
          <w:color w:val="auto"/>
          <w:szCs w:val="21"/>
          <w:highlight w:val="none"/>
          <w:u w:val="single"/>
        </w:rPr>
        <w:t>施工过程中对施工图纸不明确或需要变更对发包人或设计单位的建议权</w:t>
      </w:r>
      <w:r>
        <w:rPr>
          <w:rFonts w:hint="eastAsia" w:ascii="宋体" w:hAnsi="宋体" w:eastAsia="宋体" w:cs="宋体"/>
          <w:color w:val="auto"/>
          <w:szCs w:val="21"/>
          <w:highlight w:val="none"/>
        </w:rPr>
        <w:t>；</w:t>
      </w:r>
    </w:p>
    <w:p w14:paraId="1907F5A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w:t>
      </w:r>
      <w:r>
        <w:rPr>
          <w:rFonts w:hint="eastAsia" w:ascii="宋体" w:hAnsi="宋体" w:eastAsia="宋体" w:cs="宋体"/>
          <w:color w:val="auto"/>
          <w:szCs w:val="21"/>
          <w:highlight w:val="none"/>
          <w:u w:val="single"/>
        </w:rPr>
        <w:t>对承包人的施工进度、质量、安全、造价等的监督权</w:t>
      </w:r>
      <w:r>
        <w:rPr>
          <w:rFonts w:hint="eastAsia" w:ascii="宋体" w:hAnsi="宋体" w:eastAsia="宋体" w:cs="宋体"/>
          <w:color w:val="auto"/>
          <w:szCs w:val="21"/>
          <w:highlight w:val="none"/>
        </w:rPr>
        <w:t>；</w:t>
      </w:r>
    </w:p>
    <w:p w14:paraId="543E6301">
      <w:pPr>
        <w:spacing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⑶</w:t>
      </w:r>
      <w:r>
        <w:rPr>
          <w:rFonts w:hint="eastAsia" w:ascii="宋体" w:hAnsi="宋体" w:eastAsia="宋体" w:cs="宋体"/>
          <w:color w:val="auto"/>
          <w:szCs w:val="21"/>
          <w:highlight w:val="none"/>
          <w:u w:val="single"/>
        </w:rPr>
        <w:t>施工现场交叉作业，配合施工组织协调权</w:t>
      </w:r>
      <w:r>
        <w:rPr>
          <w:rFonts w:hint="eastAsia" w:ascii="宋体" w:hAnsi="宋体" w:eastAsia="宋体" w:cs="宋体"/>
          <w:color w:val="auto"/>
          <w:szCs w:val="21"/>
          <w:highlight w:val="none"/>
        </w:rPr>
        <w:t>。</w:t>
      </w:r>
    </w:p>
    <w:p w14:paraId="03F65526">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27" w:name="_Toc505785377"/>
      <w:bookmarkStart w:id="228" w:name="_Toc512164610"/>
      <w:bookmarkStart w:id="229" w:name="_Toc504119078"/>
      <w:bookmarkStart w:id="230" w:name="_Toc510377793"/>
      <w:r>
        <w:rPr>
          <w:rFonts w:hint="eastAsia" w:ascii="宋体" w:hAnsi="宋体" w:eastAsia="宋体" w:cs="宋体"/>
          <w:bCs/>
          <w:color w:val="auto"/>
          <w:szCs w:val="21"/>
          <w:highlight w:val="none"/>
          <w:lang w:val="zh-CN"/>
        </w:rPr>
        <w:t>5.工程质量</w:t>
      </w:r>
      <w:bookmarkEnd w:id="227"/>
      <w:bookmarkEnd w:id="228"/>
      <w:bookmarkEnd w:id="229"/>
      <w:bookmarkEnd w:id="230"/>
    </w:p>
    <w:p w14:paraId="0428E6FE">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31" w:name="_Toc504119079"/>
      <w:bookmarkStart w:id="232" w:name="_Toc510377794"/>
      <w:bookmarkStart w:id="233" w:name="_Toc505785378"/>
      <w:bookmarkStart w:id="234" w:name="_Toc512164611"/>
      <w:r>
        <w:rPr>
          <w:rFonts w:hint="eastAsia" w:ascii="宋体" w:hAnsi="宋体" w:eastAsia="宋体" w:cs="宋体"/>
          <w:bCs/>
          <w:color w:val="auto"/>
          <w:szCs w:val="21"/>
          <w:highlight w:val="none"/>
          <w:lang w:val="zh-CN"/>
        </w:rPr>
        <w:t>5.1质量要求</w:t>
      </w:r>
      <w:bookmarkEnd w:id="231"/>
      <w:bookmarkEnd w:id="232"/>
      <w:bookmarkEnd w:id="233"/>
      <w:bookmarkEnd w:id="234"/>
    </w:p>
    <w:p w14:paraId="2A9A5502">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5.1.1特殊质量标准和要求：</w:t>
      </w:r>
      <w:r>
        <w:rPr>
          <w:rFonts w:hint="eastAsia" w:ascii="宋体" w:hAnsi="宋体" w:eastAsia="宋体" w:cs="宋体"/>
          <w:color w:val="auto"/>
          <w:szCs w:val="21"/>
          <w:highlight w:val="none"/>
          <w:u w:val="single"/>
        </w:rPr>
        <w:t>满足设计文件的要求，工程质量必须符合现行国家有关工程施工质量验收规范和标准的要求</w:t>
      </w:r>
      <w:r>
        <w:rPr>
          <w:rFonts w:hint="eastAsia" w:ascii="宋体" w:hAnsi="宋体" w:eastAsia="宋体" w:cs="宋体"/>
          <w:color w:val="auto"/>
          <w:szCs w:val="21"/>
          <w:highlight w:val="none"/>
        </w:rPr>
        <w:t>。</w:t>
      </w:r>
    </w:p>
    <w:p w14:paraId="3D17E810">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关于工程奖项的约定：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6FF7C402">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35" w:name="_Toc512164612"/>
      <w:bookmarkStart w:id="236" w:name="_Toc504119080"/>
      <w:bookmarkStart w:id="237" w:name="_Toc510377795"/>
      <w:bookmarkStart w:id="238" w:name="_Toc505785379"/>
      <w:r>
        <w:rPr>
          <w:rFonts w:hint="eastAsia" w:ascii="宋体" w:hAnsi="宋体" w:eastAsia="宋体" w:cs="宋体"/>
          <w:bCs/>
          <w:color w:val="auto"/>
          <w:szCs w:val="21"/>
          <w:highlight w:val="none"/>
          <w:lang w:val="zh-CN"/>
        </w:rPr>
        <w:t>5.3隐蔽工程检查</w:t>
      </w:r>
      <w:bookmarkEnd w:id="235"/>
      <w:bookmarkEnd w:id="236"/>
      <w:bookmarkEnd w:id="237"/>
      <w:bookmarkEnd w:id="238"/>
    </w:p>
    <w:p w14:paraId="6C73C1D9">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5.3.2承包人提前通知监理人隐蔽工程检查的期限的约定：</w:t>
      </w:r>
      <w:r>
        <w:rPr>
          <w:rFonts w:hint="eastAsia" w:ascii="宋体" w:hAnsi="宋体" w:eastAsia="宋体" w:cs="宋体"/>
          <w:color w:val="auto"/>
          <w:szCs w:val="21"/>
          <w:highlight w:val="none"/>
          <w:u w:val="single"/>
        </w:rPr>
        <w:t>共同检查前48小时书面通知监理人</w:t>
      </w:r>
      <w:r>
        <w:rPr>
          <w:rFonts w:hint="eastAsia" w:ascii="宋体" w:hAnsi="宋体" w:eastAsia="宋体" w:cs="宋体"/>
          <w:color w:val="auto"/>
          <w:szCs w:val="21"/>
          <w:highlight w:val="none"/>
        </w:rPr>
        <w:t>。</w:t>
      </w:r>
    </w:p>
    <w:p w14:paraId="7331026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监理人不能按时进行检查时，应提前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小时提交书面延期要求。</w:t>
      </w:r>
    </w:p>
    <w:p w14:paraId="3DEDE749">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小时。</w:t>
      </w:r>
    </w:p>
    <w:p w14:paraId="16C8829F">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39" w:name="_Toc504119081"/>
      <w:bookmarkStart w:id="240" w:name="_Toc505785380"/>
      <w:bookmarkStart w:id="241" w:name="_Toc510377796"/>
      <w:bookmarkStart w:id="242" w:name="_Toc512164613"/>
      <w:r>
        <w:rPr>
          <w:rFonts w:hint="eastAsia" w:ascii="宋体" w:hAnsi="宋体" w:eastAsia="宋体" w:cs="宋体"/>
          <w:bCs/>
          <w:color w:val="auto"/>
          <w:szCs w:val="21"/>
          <w:highlight w:val="none"/>
          <w:lang w:val="zh-CN"/>
        </w:rPr>
        <w:t>6.安全文明施工与环境保护</w:t>
      </w:r>
      <w:bookmarkEnd w:id="239"/>
      <w:bookmarkEnd w:id="240"/>
      <w:bookmarkEnd w:id="241"/>
      <w:bookmarkEnd w:id="242"/>
    </w:p>
    <w:p w14:paraId="278C157F">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43" w:name="_Toc510377797"/>
      <w:bookmarkStart w:id="244" w:name="_Toc505785381"/>
      <w:bookmarkStart w:id="245" w:name="_Toc504119082"/>
      <w:bookmarkStart w:id="246" w:name="_Toc512164614"/>
      <w:r>
        <w:rPr>
          <w:rFonts w:hint="eastAsia" w:ascii="宋体" w:hAnsi="宋体" w:eastAsia="宋体" w:cs="宋体"/>
          <w:bCs/>
          <w:color w:val="auto"/>
          <w:szCs w:val="21"/>
          <w:highlight w:val="none"/>
          <w:lang w:val="zh-CN"/>
        </w:rPr>
        <w:t>6.1安全文明施工</w:t>
      </w:r>
      <w:bookmarkEnd w:id="243"/>
      <w:bookmarkEnd w:id="244"/>
      <w:bookmarkEnd w:id="245"/>
      <w:bookmarkEnd w:id="246"/>
    </w:p>
    <w:p w14:paraId="5AF6376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6.1.1项目安全生产的达标目标及相应事项的约定：</w:t>
      </w:r>
      <w:r>
        <w:rPr>
          <w:rFonts w:hint="eastAsia" w:ascii="宋体" w:hAnsi="宋体" w:eastAsia="宋体" w:cs="宋体"/>
          <w:color w:val="auto"/>
          <w:szCs w:val="21"/>
          <w:highlight w:val="none"/>
          <w:u w:val="single"/>
        </w:rPr>
        <w:t>要求达到《建筑施工安全检查标准》（JGJ59-2011）及云南省和红河州现行相关标准</w:t>
      </w:r>
      <w:r>
        <w:rPr>
          <w:rFonts w:hint="eastAsia" w:ascii="宋体" w:hAnsi="宋体" w:eastAsia="宋体" w:cs="宋体"/>
          <w:color w:val="auto"/>
          <w:szCs w:val="21"/>
          <w:highlight w:val="none"/>
        </w:rPr>
        <w:t>。</w:t>
      </w:r>
    </w:p>
    <w:p w14:paraId="4EC67AAE">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6.1.4关于治安保卫的特别约定：</w:t>
      </w:r>
      <w:r>
        <w:rPr>
          <w:rFonts w:hint="eastAsia" w:ascii="宋体" w:hAnsi="宋体" w:eastAsia="宋体" w:cs="宋体"/>
          <w:color w:val="auto"/>
          <w:szCs w:val="21"/>
          <w:highlight w:val="none"/>
          <w:u w:val="single"/>
        </w:rPr>
        <w:t>按通用条款6.1.4条执行</w:t>
      </w:r>
      <w:r>
        <w:rPr>
          <w:rFonts w:hint="eastAsia" w:ascii="宋体" w:hAnsi="宋体" w:eastAsia="宋体" w:cs="宋体"/>
          <w:color w:val="auto"/>
          <w:szCs w:val="21"/>
          <w:highlight w:val="none"/>
        </w:rPr>
        <w:t>。</w:t>
      </w:r>
    </w:p>
    <w:p w14:paraId="02C14B8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关于编制施工场地治安管理计划的约定：</w:t>
      </w:r>
      <w:r>
        <w:rPr>
          <w:rFonts w:hint="eastAsia" w:ascii="宋体" w:hAnsi="宋体" w:eastAsia="宋体" w:cs="宋体"/>
          <w:color w:val="auto"/>
          <w:szCs w:val="21"/>
          <w:highlight w:val="none"/>
          <w:u w:val="single"/>
        </w:rPr>
        <w:t>承包人在开工3天前向发包人和监理人提供施工场地治安管理计划</w:t>
      </w:r>
      <w:r>
        <w:rPr>
          <w:rFonts w:hint="eastAsia" w:ascii="宋体" w:hAnsi="宋体" w:eastAsia="宋体" w:cs="宋体"/>
          <w:color w:val="auto"/>
          <w:szCs w:val="21"/>
          <w:highlight w:val="none"/>
        </w:rPr>
        <w:t>。</w:t>
      </w:r>
    </w:p>
    <w:p w14:paraId="1885149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6.1.5文明施工</w:t>
      </w:r>
    </w:p>
    <w:p w14:paraId="62EDE12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合同当事人对文明施工的要求：</w:t>
      </w:r>
      <w:r>
        <w:rPr>
          <w:rFonts w:hint="eastAsia" w:ascii="宋体" w:hAnsi="宋体" w:eastAsia="宋体" w:cs="宋体"/>
          <w:color w:val="auto"/>
          <w:szCs w:val="21"/>
          <w:highlight w:val="none"/>
          <w:u w:val="single"/>
        </w:rPr>
        <w:t>达到《建筑施工现场环境与卫生标准》（JGJ146-2013）云南省和红河州现行相关标准。若文明不达标，自愿向发包人</w:t>
      </w:r>
      <w:r>
        <w:rPr>
          <w:rFonts w:hint="eastAsia" w:ascii="宋体" w:hAnsi="宋体" w:eastAsia="宋体" w:cs="宋体"/>
          <w:color w:val="auto"/>
          <w:szCs w:val="21"/>
          <w:highlight w:val="none"/>
          <w:u w:val="single"/>
          <w:lang w:eastAsia="zh-CN"/>
        </w:rPr>
        <w:t>缴纳</w:t>
      </w:r>
      <w:r>
        <w:rPr>
          <w:rFonts w:hint="eastAsia" w:ascii="宋体" w:hAnsi="宋体" w:eastAsia="宋体" w:cs="宋体"/>
          <w:color w:val="auto"/>
          <w:szCs w:val="21"/>
          <w:highlight w:val="none"/>
          <w:u w:val="single"/>
        </w:rPr>
        <w:t>违约金10000元；竣工验收后十天内，做到料净场清，若因承包人原因，未在规定时间内完成上述工作，则发包人有权自行安排清理，发生费用按实际发生费用的2倍从承包人工程款中扣除</w:t>
      </w:r>
      <w:r>
        <w:rPr>
          <w:rFonts w:hint="eastAsia" w:ascii="宋体" w:hAnsi="宋体" w:eastAsia="宋体" w:cs="宋体"/>
          <w:color w:val="auto"/>
          <w:szCs w:val="21"/>
          <w:highlight w:val="none"/>
        </w:rPr>
        <w:t>。</w:t>
      </w:r>
    </w:p>
    <w:p w14:paraId="4D25DBE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6.1.6关于安全文明施工费支付比例和支付期限的约定：</w:t>
      </w:r>
      <w:r>
        <w:rPr>
          <w:rFonts w:hint="eastAsia" w:ascii="宋体" w:hAnsi="宋体" w:eastAsia="宋体" w:cs="宋体"/>
          <w:color w:val="auto"/>
          <w:szCs w:val="21"/>
          <w:highlight w:val="none"/>
          <w:u w:val="single"/>
        </w:rPr>
        <w:t>纳入合同价格支付</w:t>
      </w:r>
      <w:r>
        <w:rPr>
          <w:rFonts w:hint="eastAsia" w:ascii="宋体" w:hAnsi="宋体" w:eastAsia="宋体" w:cs="宋体"/>
          <w:color w:val="auto"/>
          <w:szCs w:val="21"/>
          <w:highlight w:val="none"/>
        </w:rPr>
        <w:t>。</w:t>
      </w:r>
    </w:p>
    <w:p w14:paraId="606DCB75">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47" w:name="_Toc512164615"/>
      <w:bookmarkStart w:id="248" w:name="_Toc505785382"/>
      <w:bookmarkStart w:id="249" w:name="_Toc510377798"/>
      <w:bookmarkStart w:id="250" w:name="_Toc504119083"/>
      <w:r>
        <w:rPr>
          <w:rFonts w:hint="eastAsia" w:ascii="宋体" w:hAnsi="宋体" w:eastAsia="宋体" w:cs="宋体"/>
          <w:bCs/>
          <w:color w:val="auto"/>
          <w:szCs w:val="21"/>
          <w:highlight w:val="none"/>
          <w:lang w:val="zh-CN"/>
        </w:rPr>
        <w:t>7.工期和进度</w:t>
      </w:r>
      <w:bookmarkEnd w:id="247"/>
      <w:bookmarkEnd w:id="248"/>
      <w:bookmarkEnd w:id="249"/>
      <w:bookmarkEnd w:id="250"/>
    </w:p>
    <w:p w14:paraId="3A82A627">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51" w:name="_Toc512164616"/>
      <w:bookmarkStart w:id="252" w:name="_Toc505785383"/>
      <w:bookmarkStart w:id="253" w:name="_Toc504119084"/>
      <w:bookmarkStart w:id="254" w:name="_Toc510377799"/>
      <w:r>
        <w:rPr>
          <w:rFonts w:hint="eastAsia" w:ascii="宋体" w:hAnsi="宋体" w:eastAsia="宋体" w:cs="宋体"/>
          <w:bCs/>
          <w:color w:val="auto"/>
          <w:szCs w:val="21"/>
          <w:highlight w:val="none"/>
          <w:lang w:val="zh-CN"/>
        </w:rPr>
        <w:t>7.1施工组织设计</w:t>
      </w:r>
      <w:bookmarkEnd w:id="251"/>
      <w:bookmarkEnd w:id="252"/>
      <w:bookmarkEnd w:id="253"/>
      <w:bookmarkEnd w:id="254"/>
    </w:p>
    <w:p w14:paraId="3C79DDEA">
      <w:pPr>
        <w:autoSpaceDE w:val="0"/>
        <w:autoSpaceDN w:val="0"/>
        <w:adjustRightInd w:val="0"/>
        <w:spacing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7.1.1合</w:t>
      </w:r>
      <w:r>
        <w:rPr>
          <w:rFonts w:hint="eastAsia" w:ascii="宋体" w:hAnsi="宋体" w:eastAsia="宋体" w:cs="宋体"/>
          <w:color w:val="auto"/>
          <w:kern w:val="0"/>
          <w:szCs w:val="21"/>
          <w:highlight w:val="none"/>
        </w:rPr>
        <w:t>同当事人约定的施工组织设计应包括的其他内容：</w:t>
      </w:r>
      <w:r>
        <w:rPr>
          <w:rFonts w:hint="eastAsia" w:ascii="宋体" w:hAnsi="宋体" w:eastAsia="宋体" w:cs="宋体"/>
          <w:color w:val="auto"/>
          <w:kern w:val="0"/>
          <w:szCs w:val="21"/>
          <w:highlight w:val="none"/>
          <w:u w:val="single"/>
        </w:rPr>
        <w:t>对于危险性较大的分部分项工程，承包人在施工组织设计中应根据《危险性较大的分部分项工程安全管理办法》等相关规定，编制危险性较大的分部分项工程的专项施工方案，对于超过一定规模的危险性较大的分部分项工程，承包人还应组织专家对此专项方案进行论证评审</w:t>
      </w:r>
      <w:r>
        <w:rPr>
          <w:rFonts w:hint="eastAsia" w:ascii="宋体" w:hAnsi="宋体" w:eastAsia="宋体" w:cs="宋体"/>
          <w:color w:val="auto"/>
          <w:kern w:val="0"/>
          <w:szCs w:val="21"/>
          <w:highlight w:val="none"/>
        </w:rPr>
        <w:t>。</w:t>
      </w:r>
    </w:p>
    <w:p w14:paraId="105E227C">
      <w:pPr>
        <w:autoSpaceDE w:val="0"/>
        <w:autoSpaceDN w:val="0"/>
        <w:adjustRightInd w:val="0"/>
        <w:spacing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7.1.2</w:t>
      </w:r>
      <w:r>
        <w:rPr>
          <w:rFonts w:hint="eastAsia" w:ascii="宋体" w:hAnsi="宋体" w:eastAsia="宋体" w:cs="宋体"/>
          <w:color w:val="auto"/>
          <w:kern w:val="0"/>
          <w:szCs w:val="21"/>
          <w:highlight w:val="none"/>
        </w:rPr>
        <w:t>施工组织设计的提交和修改</w:t>
      </w:r>
    </w:p>
    <w:p w14:paraId="14CE73DA">
      <w:pPr>
        <w:autoSpaceDE w:val="0"/>
        <w:autoSpaceDN w:val="0"/>
        <w:adjustRightInd w:val="0"/>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承包人提交详细施工组织设计的期限的约定：</w:t>
      </w:r>
      <w:r>
        <w:rPr>
          <w:rFonts w:hint="eastAsia" w:ascii="宋体" w:hAnsi="宋体" w:eastAsia="宋体" w:cs="宋体"/>
          <w:color w:val="auto"/>
          <w:kern w:val="0"/>
          <w:szCs w:val="21"/>
          <w:highlight w:val="none"/>
          <w:u w:val="single"/>
        </w:rPr>
        <w:t>单位工程或单项工程</w:t>
      </w:r>
      <w:r>
        <w:rPr>
          <w:rFonts w:hint="eastAsia" w:ascii="宋体" w:hAnsi="宋体" w:eastAsia="宋体" w:cs="宋体"/>
          <w:color w:val="auto"/>
          <w:szCs w:val="21"/>
          <w:highlight w:val="none"/>
          <w:u w:val="single"/>
        </w:rPr>
        <w:t>开工前3天内，承包人向发包人提供施工组织设计书，经发包人和监理人批准后实施，并在当月20日前提供次月施工进度计划表</w:t>
      </w:r>
      <w:r>
        <w:rPr>
          <w:rFonts w:hint="eastAsia" w:ascii="宋体" w:hAnsi="宋体" w:eastAsia="宋体" w:cs="宋体"/>
          <w:color w:val="auto"/>
          <w:szCs w:val="21"/>
          <w:highlight w:val="none"/>
        </w:rPr>
        <w:t>。</w:t>
      </w:r>
    </w:p>
    <w:p w14:paraId="4ABC056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发包人和监理人在收到详细的施工组织设计后确认或提出修改意见的期限：</w:t>
      </w:r>
      <w:r>
        <w:rPr>
          <w:rFonts w:hint="eastAsia" w:ascii="宋体" w:hAnsi="宋体" w:eastAsia="宋体" w:cs="宋体"/>
          <w:color w:val="auto"/>
          <w:szCs w:val="21"/>
          <w:highlight w:val="none"/>
          <w:u w:val="single"/>
        </w:rPr>
        <w:t>收到上述资料后五天内确认或提出修改意见，逾期不确认或提出修改意见的，视为认可</w:t>
      </w:r>
      <w:r>
        <w:rPr>
          <w:rFonts w:hint="eastAsia" w:ascii="宋体" w:hAnsi="宋体" w:eastAsia="宋体" w:cs="宋体"/>
          <w:color w:val="auto"/>
          <w:szCs w:val="21"/>
          <w:highlight w:val="none"/>
        </w:rPr>
        <w:t>。</w:t>
      </w:r>
    </w:p>
    <w:p w14:paraId="776B61A0">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55" w:name="_Toc504119085"/>
      <w:bookmarkStart w:id="256" w:name="_Toc512164617"/>
      <w:bookmarkStart w:id="257" w:name="_Toc510377800"/>
      <w:bookmarkStart w:id="258" w:name="_Toc505785384"/>
      <w:r>
        <w:rPr>
          <w:rFonts w:hint="eastAsia" w:ascii="宋体" w:hAnsi="宋体" w:eastAsia="宋体" w:cs="宋体"/>
          <w:bCs/>
          <w:color w:val="auto"/>
          <w:szCs w:val="21"/>
          <w:highlight w:val="none"/>
          <w:lang w:val="zh-CN"/>
        </w:rPr>
        <w:t>7.2施工进度计划</w:t>
      </w:r>
      <w:bookmarkEnd w:id="255"/>
      <w:bookmarkEnd w:id="256"/>
      <w:bookmarkEnd w:id="257"/>
      <w:bookmarkEnd w:id="258"/>
    </w:p>
    <w:p w14:paraId="449AC28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7.2.2施工进度计划的修订</w:t>
      </w:r>
    </w:p>
    <w:p w14:paraId="2149B55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发包人和监理人在收到修订的施工进度计划后确认或提出修改意见的期限：</w:t>
      </w:r>
      <w:r>
        <w:rPr>
          <w:rFonts w:hint="eastAsia" w:ascii="宋体" w:hAnsi="宋体" w:eastAsia="宋体" w:cs="宋体"/>
          <w:color w:val="auto"/>
          <w:szCs w:val="21"/>
          <w:highlight w:val="none"/>
          <w:u w:val="single"/>
        </w:rPr>
        <w:t>收到上述资料后7天内确认或提出修改意见，逾期不确认或提出修改意见的，视为认可</w:t>
      </w:r>
      <w:r>
        <w:rPr>
          <w:rFonts w:hint="eastAsia" w:ascii="宋体" w:hAnsi="宋体" w:eastAsia="宋体" w:cs="宋体"/>
          <w:color w:val="auto"/>
          <w:szCs w:val="21"/>
          <w:highlight w:val="none"/>
        </w:rPr>
        <w:t>。</w:t>
      </w:r>
    </w:p>
    <w:p w14:paraId="42EBDA36">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59" w:name="_Toc510377801"/>
      <w:bookmarkStart w:id="260" w:name="_Toc504119086"/>
      <w:bookmarkStart w:id="261" w:name="_Toc505785385"/>
      <w:bookmarkStart w:id="262" w:name="_Toc512164618"/>
      <w:r>
        <w:rPr>
          <w:rFonts w:hint="eastAsia" w:ascii="宋体" w:hAnsi="宋体" w:eastAsia="宋体" w:cs="宋体"/>
          <w:bCs/>
          <w:color w:val="auto"/>
          <w:szCs w:val="21"/>
          <w:highlight w:val="none"/>
          <w:lang w:val="zh-CN"/>
        </w:rPr>
        <w:t>7.3开工</w:t>
      </w:r>
      <w:bookmarkEnd w:id="259"/>
      <w:bookmarkEnd w:id="260"/>
      <w:bookmarkEnd w:id="261"/>
      <w:bookmarkEnd w:id="262"/>
    </w:p>
    <w:p w14:paraId="0801A6A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7.3.1开工准备</w:t>
      </w:r>
    </w:p>
    <w:p w14:paraId="4823F9CD">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关于承包人提交</w:t>
      </w:r>
      <w:r>
        <w:rPr>
          <w:rFonts w:hint="eastAsia" w:ascii="宋体" w:hAnsi="宋体" w:eastAsia="宋体" w:cs="宋体"/>
          <w:color w:val="auto"/>
          <w:kern w:val="0"/>
          <w:szCs w:val="21"/>
          <w:highlight w:val="none"/>
        </w:rPr>
        <w:t>工程开工报审表的期限：</w:t>
      </w:r>
      <w:r>
        <w:rPr>
          <w:rFonts w:hint="eastAsia" w:ascii="宋体" w:hAnsi="宋体" w:eastAsia="宋体" w:cs="宋体"/>
          <w:color w:val="auto"/>
          <w:kern w:val="0"/>
          <w:szCs w:val="21"/>
          <w:highlight w:val="none"/>
          <w:u w:val="single"/>
        </w:rPr>
        <w:t>合同签订后14天内</w:t>
      </w:r>
      <w:r>
        <w:rPr>
          <w:rFonts w:hint="eastAsia" w:ascii="宋体" w:hAnsi="宋体" w:eastAsia="宋体" w:cs="宋体"/>
          <w:color w:val="auto"/>
          <w:szCs w:val="21"/>
          <w:highlight w:val="none"/>
        </w:rPr>
        <w:t>。</w:t>
      </w:r>
    </w:p>
    <w:p w14:paraId="2CCD85A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关于发包人应完成的其他开工准备工作及期限：</w:t>
      </w:r>
      <w:r>
        <w:rPr>
          <w:rFonts w:hint="eastAsia" w:ascii="宋体" w:hAnsi="宋体" w:eastAsia="宋体" w:cs="宋体"/>
          <w:color w:val="auto"/>
          <w:szCs w:val="21"/>
          <w:highlight w:val="none"/>
          <w:u w:val="single"/>
        </w:rPr>
        <w:t>载明的开工时间3天前</w:t>
      </w:r>
      <w:r>
        <w:rPr>
          <w:rFonts w:hint="eastAsia" w:ascii="宋体" w:hAnsi="宋体" w:eastAsia="宋体" w:cs="宋体"/>
          <w:color w:val="auto"/>
          <w:szCs w:val="21"/>
          <w:highlight w:val="none"/>
        </w:rPr>
        <w:t>。</w:t>
      </w:r>
    </w:p>
    <w:p w14:paraId="4A4DEC0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关于承包人应完成的其他开工准备工作及期限：</w:t>
      </w:r>
      <w:r>
        <w:rPr>
          <w:rFonts w:hint="eastAsia" w:ascii="宋体" w:hAnsi="宋体" w:eastAsia="宋体" w:cs="宋体"/>
          <w:color w:val="auto"/>
          <w:szCs w:val="21"/>
          <w:highlight w:val="none"/>
          <w:u w:val="single"/>
        </w:rPr>
        <w:t>承包人按相关要求和约定自行准备</w:t>
      </w:r>
      <w:r>
        <w:rPr>
          <w:rFonts w:hint="eastAsia" w:ascii="宋体" w:hAnsi="宋体" w:eastAsia="宋体" w:cs="宋体"/>
          <w:color w:val="auto"/>
          <w:szCs w:val="21"/>
          <w:highlight w:val="none"/>
        </w:rPr>
        <w:t>。</w:t>
      </w:r>
    </w:p>
    <w:p w14:paraId="698BA76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7.3.2开工通知</w:t>
      </w:r>
    </w:p>
    <w:p w14:paraId="1216B68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因发包人原因造成监理人未能在计划开工日期之日起</w:t>
      </w:r>
      <w:r>
        <w:rPr>
          <w:rFonts w:hint="eastAsia" w:ascii="宋体" w:hAnsi="宋体" w:eastAsia="宋体" w:cs="宋体"/>
          <w:color w:val="auto"/>
          <w:szCs w:val="21"/>
          <w:highlight w:val="none"/>
          <w:u w:val="single"/>
        </w:rPr>
        <w:t xml:space="preserve"> 90 </w:t>
      </w:r>
      <w:r>
        <w:rPr>
          <w:rFonts w:hint="eastAsia" w:ascii="宋体" w:hAnsi="宋体" w:eastAsia="宋体" w:cs="宋体"/>
          <w:color w:val="auto"/>
          <w:szCs w:val="21"/>
          <w:highlight w:val="none"/>
        </w:rPr>
        <w:t>天内发出开工通知的，承包人有权提出价格调整要求，或者解除合同。</w:t>
      </w:r>
    </w:p>
    <w:p w14:paraId="6A9E754B">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63" w:name="_Toc512164619"/>
      <w:bookmarkStart w:id="264" w:name="_Toc510377802"/>
      <w:bookmarkStart w:id="265" w:name="_Toc504119087"/>
      <w:bookmarkStart w:id="266" w:name="_Toc505785386"/>
      <w:r>
        <w:rPr>
          <w:rFonts w:hint="eastAsia" w:ascii="宋体" w:hAnsi="宋体" w:eastAsia="宋体" w:cs="宋体"/>
          <w:bCs/>
          <w:color w:val="auto"/>
          <w:szCs w:val="21"/>
          <w:highlight w:val="none"/>
          <w:lang w:val="zh-CN"/>
        </w:rPr>
        <w:t>7.4测量放线</w:t>
      </w:r>
      <w:bookmarkEnd w:id="263"/>
      <w:bookmarkEnd w:id="264"/>
      <w:bookmarkEnd w:id="265"/>
      <w:bookmarkEnd w:id="266"/>
    </w:p>
    <w:p w14:paraId="342ED49B">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7.4.1发包人通过监理人向承包人提供测量基准点、基准线和水准点及其书面资料的期限：</w:t>
      </w:r>
      <w:r>
        <w:rPr>
          <w:rFonts w:hint="eastAsia" w:ascii="宋体" w:hAnsi="宋体" w:eastAsia="宋体" w:cs="宋体"/>
          <w:color w:val="auto"/>
          <w:szCs w:val="21"/>
          <w:highlight w:val="none"/>
          <w:u w:val="single"/>
        </w:rPr>
        <w:t>合同签订后，开工前</w:t>
      </w:r>
      <w:r>
        <w:rPr>
          <w:rFonts w:hint="eastAsia" w:ascii="宋体" w:hAnsi="宋体" w:eastAsia="宋体" w:cs="宋体"/>
          <w:color w:val="auto"/>
          <w:szCs w:val="21"/>
          <w:highlight w:val="none"/>
        </w:rPr>
        <w:t>。</w:t>
      </w:r>
    </w:p>
    <w:p w14:paraId="0C492719">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67" w:name="_Toc510377803"/>
      <w:bookmarkStart w:id="268" w:name="_Toc504119088"/>
      <w:bookmarkStart w:id="269" w:name="_Toc512164620"/>
      <w:bookmarkStart w:id="270" w:name="_Toc505785387"/>
      <w:r>
        <w:rPr>
          <w:rFonts w:hint="eastAsia" w:ascii="宋体" w:hAnsi="宋体" w:eastAsia="宋体" w:cs="宋体"/>
          <w:bCs/>
          <w:color w:val="auto"/>
          <w:szCs w:val="21"/>
          <w:highlight w:val="none"/>
          <w:lang w:val="zh-CN"/>
        </w:rPr>
        <w:t>7.5工期延误</w:t>
      </w:r>
      <w:bookmarkEnd w:id="267"/>
      <w:bookmarkEnd w:id="268"/>
      <w:bookmarkEnd w:id="269"/>
      <w:bookmarkEnd w:id="270"/>
    </w:p>
    <w:p w14:paraId="7CEC347B">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7.5.1因发包人原因导致工期延误</w:t>
      </w:r>
    </w:p>
    <w:p w14:paraId="77ABA40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⑺因发包人原因导致工期延误的其他情形：</w:t>
      </w:r>
      <w:r>
        <w:rPr>
          <w:rFonts w:hint="eastAsia" w:ascii="宋体" w:hAnsi="宋体" w:eastAsia="宋体" w:cs="宋体"/>
          <w:color w:val="auto"/>
          <w:szCs w:val="21"/>
          <w:highlight w:val="none"/>
          <w:u w:val="single"/>
        </w:rPr>
        <w:t>①发包人未按合同规定支付工程款并确实影响施工进度；②重大设计变更而影响施工进度；③政策处理问题影响施工进度；④不可抗力，此延误工期须在发生后七天内办理签证，逾期不予认可</w:t>
      </w:r>
      <w:r>
        <w:rPr>
          <w:rFonts w:hint="eastAsia" w:ascii="宋体" w:hAnsi="宋体" w:eastAsia="宋体" w:cs="宋体"/>
          <w:color w:val="auto"/>
          <w:szCs w:val="21"/>
          <w:highlight w:val="none"/>
        </w:rPr>
        <w:t>。</w:t>
      </w:r>
    </w:p>
    <w:p w14:paraId="3AC15F0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7.5.2因承包人原因导致工期延误</w:t>
      </w:r>
    </w:p>
    <w:p w14:paraId="7CAC9E8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因承包人原因造成工期延误，逾期竣工违约金的计算方法为：</w:t>
      </w:r>
      <w:r>
        <w:rPr>
          <w:rFonts w:hint="eastAsia" w:ascii="宋体" w:hAnsi="宋体" w:eastAsia="宋体" w:cs="宋体"/>
          <w:color w:val="auto"/>
          <w:szCs w:val="21"/>
          <w:highlight w:val="none"/>
          <w:u w:val="single"/>
        </w:rPr>
        <w:t>每逾期一天按人民币1000元／天违约金</w:t>
      </w:r>
      <w:r>
        <w:rPr>
          <w:rFonts w:hint="eastAsia" w:ascii="宋体" w:hAnsi="宋体" w:eastAsia="宋体" w:cs="宋体"/>
          <w:color w:val="auto"/>
          <w:szCs w:val="21"/>
          <w:highlight w:val="none"/>
        </w:rPr>
        <w:t>。</w:t>
      </w:r>
    </w:p>
    <w:p w14:paraId="65B0FC2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因承包人原因造成工期延误，逾期竣工违约金的上限：</w:t>
      </w:r>
      <w:r>
        <w:rPr>
          <w:rFonts w:hint="eastAsia" w:ascii="宋体" w:hAnsi="宋体" w:eastAsia="宋体" w:cs="宋体"/>
          <w:color w:val="auto"/>
          <w:szCs w:val="21"/>
          <w:highlight w:val="none"/>
          <w:u w:val="single"/>
        </w:rPr>
        <w:t>总额不超过合同价款的10％</w:t>
      </w:r>
      <w:r>
        <w:rPr>
          <w:rFonts w:hint="eastAsia" w:ascii="宋体" w:hAnsi="宋体" w:eastAsia="宋体" w:cs="宋体"/>
          <w:color w:val="auto"/>
          <w:szCs w:val="21"/>
          <w:highlight w:val="none"/>
        </w:rPr>
        <w:t>。</w:t>
      </w:r>
    </w:p>
    <w:p w14:paraId="7858627C">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71" w:name="_Toc504119089"/>
      <w:bookmarkStart w:id="272" w:name="_Toc510377804"/>
      <w:bookmarkStart w:id="273" w:name="_Toc512164621"/>
      <w:bookmarkStart w:id="274" w:name="_Toc505785388"/>
      <w:r>
        <w:rPr>
          <w:rFonts w:hint="eastAsia" w:ascii="宋体" w:hAnsi="宋体" w:eastAsia="宋体" w:cs="宋体"/>
          <w:bCs/>
          <w:color w:val="auto"/>
          <w:szCs w:val="21"/>
          <w:highlight w:val="none"/>
          <w:lang w:val="zh-CN"/>
        </w:rPr>
        <w:t>7.6不利物质条件</w:t>
      </w:r>
      <w:bookmarkEnd w:id="271"/>
      <w:bookmarkEnd w:id="272"/>
      <w:bookmarkEnd w:id="273"/>
      <w:bookmarkEnd w:id="274"/>
    </w:p>
    <w:p w14:paraId="39215A5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不利物质条件的其他情形和有关约定：</w:t>
      </w:r>
      <w:r>
        <w:rPr>
          <w:rFonts w:hint="eastAsia" w:ascii="宋体" w:hAnsi="宋体" w:eastAsia="宋体" w:cs="宋体"/>
          <w:color w:val="auto"/>
          <w:szCs w:val="21"/>
          <w:highlight w:val="none"/>
          <w:u w:val="single"/>
        </w:rPr>
        <w:t>①地质勘查过程中未发现的特殊岩层构造；②意外发现的地下管道、管线、文物；③异常的地下水位</w:t>
      </w:r>
      <w:r>
        <w:rPr>
          <w:rFonts w:hint="eastAsia" w:ascii="宋体" w:hAnsi="宋体" w:eastAsia="宋体" w:cs="宋体"/>
          <w:color w:val="auto"/>
          <w:szCs w:val="21"/>
          <w:highlight w:val="none"/>
        </w:rPr>
        <w:t>。</w:t>
      </w:r>
    </w:p>
    <w:p w14:paraId="130D117F">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75" w:name="_Toc512164622"/>
      <w:bookmarkStart w:id="276" w:name="_Toc510377805"/>
      <w:bookmarkStart w:id="277" w:name="_Toc504119090"/>
      <w:bookmarkStart w:id="278" w:name="_Toc505785389"/>
      <w:r>
        <w:rPr>
          <w:rFonts w:hint="eastAsia" w:ascii="宋体" w:hAnsi="宋体" w:eastAsia="宋体" w:cs="宋体"/>
          <w:bCs/>
          <w:color w:val="auto"/>
          <w:szCs w:val="21"/>
          <w:highlight w:val="none"/>
          <w:lang w:val="zh-CN"/>
        </w:rPr>
        <w:t>7.7异常恶劣的气候条件</w:t>
      </w:r>
      <w:bookmarkEnd w:id="275"/>
      <w:bookmarkEnd w:id="276"/>
      <w:bookmarkEnd w:id="277"/>
      <w:bookmarkEnd w:id="278"/>
    </w:p>
    <w:p w14:paraId="3EC72CF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发包人和承包人同意以下情形视为异常恶劣的气候条件：</w:t>
      </w:r>
    </w:p>
    <w:p w14:paraId="104B526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w:t>
      </w:r>
      <w:r>
        <w:rPr>
          <w:rFonts w:hint="eastAsia" w:ascii="宋体" w:hAnsi="宋体" w:eastAsia="宋体" w:cs="宋体"/>
          <w:color w:val="auto"/>
          <w:szCs w:val="21"/>
          <w:highlight w:val="none"/>
          <w:u w:val="single"/>
        </w:rPr>
        <w:t xml:space="preserve"> 24小时内降雨量大于50mm的大暴雨</w:t>
      </w:r>
      <w:r>
        <w:rPr>
          <w:rFonts w:hint="eastAsia" w:ascii="宋体" w:hAnsi="宋体" w:eastAsia="宋体" w:cs="宋体"/>
          <w:color w:val="auto"/>
          <w:szCs w:val="21"/>
          <w:highlight w:val="none"/>
        </w:rPr>
        <w:t>；</w:t>
      </w:r>
    </w:p>
    <w:p w14:paraId="19D910B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w:t>
      </w:r>
      <w:r>
        <w:rPr>
          <w:rFonts w:hint="eastAsia" w:ascii="宋体" w:hAnsi="宋体" w:eastAsia="宋体" w:cs="宋体"/>
          <w:color w:val="auto"/>
          <w:szCs w:val="21"/>
          <w:highlight w:val="none"/>
          <w:u w:val="single"/>
        </w:rPr>
        <w:t>风速达到8级台风灾害</w:t>
      </w:r>
      <w:r>
        <w:rPr>
          <w:rFonts w:hint="eastAsia" w:ascii="宋体" w:hAnsi="宋体" w:eastAsia="宋体" w:cs="宋体"/>
          <w:color w:val="auto"/>
          <w:szCs w:val="21"/>
          <w:highlight w:val="none"/>
        </w:rPr>
        <w:t>；</w:t>
      </w:r>
    </w:p>
    <w:p w14:paraId="75182D25">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⑶</w:t>
      </w:r>
      <w:r>
        <w:rPr>
          <w:rFonts w:hint="eastAsia" w:ascii="宋体" w:hAnsi="宋体" w:eastAsia="宋体" w:cs="宋体"/>
          <w:color w:val="auto"/>
          <w:szCs w:val="21"/>
          <w:highlight w:val="none"/>
          <w:u w:val="single"/>
        </w:rPr>
        <w:t>日气温超过38℃的高温大于5天</w:t>
      </w:r>
      <w:r>
        <w:rPr>
          <w:rFonts w:hint="eastAsia" w:ascii="宋体" w:hAnsi="宋体" w:eastAsia="宋体" w:cs="宋体"/>
          <w:color w:val="auto"/>
          <w:szCs w:val="21"/>
          <w:highlight w:val="none"/>
        </w:rPr>
        <w:t>；</w:t>
      </w:r>
    </w:p>
    <w:p w14:paraId="3A0CD20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⑷</w:t>
      </w:r>
      <w:r>
        <w:rPr>
          <w:rFonts w:hint="eastAsia" w:ascii="宋体" w:hAnsi="宋体" w:eastAsia="宋体" w:cs="宋体"/>
          <w:color w:val="auto"/>
          <w:szCs w:val="21"/>
          <w:highlight w:val="none"/>
          <w:u w:val="single"/>
        </w:rPr>
        <w:t>日气温低于－20℃的严寒大于5天</w:t>
      </w:r>
      <w:r>
        <w:rPr>
          <w:rFonts w:hint="eastAsia" w:ascii="宋体" w:hAnsi="宋体" w:eastAsia="宋体" w:cs="宋体"/>
          <w:color w:val="auto"/>
          <w:szCs w:val="21"/>
          <w:highlight w:val="none"/>
        </w:rPr>
        <w:t>。</w:t>
      </w:r>
    </w:p>
    <w:p w14:paraId="77023801">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79" w:name="_Toc512164623"/>
      <w:bookmarkStart w:id="280" w:name="_Toc504119091"/>
      <w:bookmarkStart w:id="281" w:name="_Toc505785390"/>
      <w:bookmarkStart w:id="282" w:name="_Toc510377806"/>
      <w:r>
        <w:rPr>
          <w:rFonts w:hint="eastAsia" w:ascii="宋体" w:hAnsi="宋体" w:eastAsia="宋体" w:cs="宋体"/>
          <w:bCs/>
          <w:color w:val="auto"/>
          <w:szCs w:val="21"/>
          <w:highlight w:val="none"/>
          <w:lang w:val="zh-CN"/>
        </w:rPr>
        <w:t>7.9提前竣工的奖励</w:t>
      </w:r>
      <w:bookmarkEnd w:id="279"/>
      <w:bookmarkEnd w:id="280"/>
      <w:bookmarkEnd w:id="281"/>
      <w:bookmarkEnd w:id="282"/>
    </w:p>
    <w:p w14:paraId="4EB1D09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7.9.2提前竣工的奖励：</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7DEF5B0">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83" w:name="_Toc510377807"/>
      <w:bookmarkStart w:id="284" w:name="_Toc505785391"/>
      <w:bookmarkStart w:id="285" w:name="_Toc504119092"/>
      <w:bookmarkStart w:id="286" w:name="_Toc512164624"/>
      <w:r>
        <w:rPr>
          <w:rFonts w:hint="eastAsia" w:ascii="宋体" w:hAnsi="宋体" w:eastAsia="宋体" w:cs="宋体"/>
          <w:bCs/>
          <w:color w:val="auto"/>
          <w:szCs w:val="21"/>
          <w:highlight w:val="none"/>
          <w:lang w:val="zh-CN"/>
        </w:rPr>
        <w:t>8.材料与设备</w:t>
      </w:r>
      <w:bookmarkEnd w:id="283"/>
      <w:bookmarkEnd w:id="284"/>
      <w:bookmarkEnd w:id="285"/>
      <w:bookmarkEnd w:id="286"/>
    </w:p>
    <w:p w14:paraId="37BBBD8B">
      <w:pPr>
        <w:keepNext/>
        <w:keepLines/>
        <w:spacing w:line="360" w:lineRule="auto"/>
        <w:ind w:firstLine="420" w:firstLineChars="200"/>
        <w:jc w:val="left"/>
        <w:outlineLvl w:val="3"/>
        <w:rPr>
          <w:rFonts w:hint="eastAsia" w:ascii="宋体" w:hAnsi="宋体" w:eastAsia="宋体" w:cs="宋体"/>
          <w:b/>
          <w:bCs/>
          <w:color w:val="auto"/>
          <w:szCs w:val="21"/>
          <w:highlight w:val="none"/>
          <w:lang w:val="zh-CN"/>
        </w:rPr>
      </w:pPr>
      <w:bookmarkStart w:id="287" w:name="_Toc441577935"/>
      <w:bookmarkStart w:id="288" w:name="_Toc512164625"/>
      <w:bookmarkStart w:id="289" w:name="_Toc29010"/>
      <w:bookmarkStart w:id="290" w:name="_Toc445462551"/>
      <w:r>
        <w:rPr>
          <w:rStyle w:val="423"/>
          <w:rFonts w:hint="eastAsia" w:ascii="宋体" w:hAnsi="宋体" w:eastAsia="宋体" w:cs="宋体"/>
          <w:b w:val="0"/>
          <w:color w:val="auto"/>
          <w:sz w:val="21"/>
          <w:szCs w:val="21"/>
          <w:highlight w:val="none"/>
        </w:rPr>
        <w:t>8.1发包人供应材料与工程设备</w:t>
      </w:r>
      <w:bookmarkEnd w:id="287"/>
      <w:r>
        <w:rPr>
          <w:rStyle w:val="423"/>
          <w:rFonts w:hint="eastAsia" w:ascii="宋体" w:hAnsi="宋体" w:eastAsia="宋体" w:cs="宋体"/>
          <w:b w:val="0"/>
          <w:color w:val="auto"/>
          <w:sz w:val="21"/>
          <w:szCs w:val="21"/>
          <w:highlight w:val="none"/>
        </w:rPr>
        <w:t>：</w:t>
      </w:r>
      <w:r>
        <w:rPr>
          <w:rStyle w:val="423"/>
          <w:rFonts w:hint="eastAsia" w:ascii="宋体" w:hAnsi="宋体" w:eastAsia="宋体" w:cs="宋体"/>
          <w:b w:val="0"/>
          <w:color w:val="auto"/>
          <w:sz w:val="21"/>
          <w:szCs w:val="21"/>
          <w:highlight w:val="none"/>
          <w:u w:val="single"/>
        </w:rPr>
        <w:t>无</w:t>
      </w:r>
      <w:bookmarkEnd w:id="288"/>
      <w:bookmarkEnd w:id="289"/>
      <w:bookmarkEnd w:id="290"/>
      <w:r>
        <w:rPr>
          <w:rFonts w:hint="eastAsia" w:ascii="宋体" w:hAnsi="宋体" w:eastAsia="宋体" w:cs="宋体"/>
          <w:bCs/>
          <w:color w:val="auto"/>
          <w:szCs w:val="21"/>
          <w:highlight w:val="none"/>
          <w:lang w:val="zh-CN"/>
        </w:rPr>
        <w:t>。</w:t>
      </w:r>
    </w:p>
    <w:p w14:paraId="183C6994">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91" w:name="_Toc441577936"/>
      <w:bookmarkStart w:id="292" w:name="_Toc445462552"/>
      <w:bookmarkStart w:id="293" w:name="_Toc512164626"/>
      <w:r>
        <w:rPr>
          <w:rFonts w:hint="eastAsia" w:ascii="宋体" w:hAnsi="宋体" w:eastAsia="宋体" w:cs="宋体"/>
          <w:bCs/>
          <w:color w:val="auto"/>
          <w:szCs w:val="21"/>
          <w:highlight w:val="none"/>
          <w:lang w:val="zh-CN"/>
        </w:rPr>
        <w:t>8.2承包人采购材料与工程设备</w:t>
      </w:r>
      <w:bookmarkEnd w:id="291"/>
      <w:bookmarkEnd w:id="292"/>
      <w:bookmarkEnd w:id="293"/>
    </w:p>
    <w:p w14:paraId="2462D09C">
      <w:pPr>
        <w:autoSpaceDE w:val="0"/>
        <w:autoSpaceDN w:val="0"/>
        <w:adjustRightInd w:val="0"/>
        <w:spacing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⑴本工程所使用的材料由承包人自行采购，所购材料必须符合设计规范，并经监理验收后方可使用。对材料和建材制品，承包人必须提供生产厂家相关产品的生产许可证、质量证书和产品材料清单，如需检测的还应提供相应的检测报告，并经发包人、监理人看样，书面认可后方可订货使用，以确保工程质量，杜绝不合格材料进场</w:t>
      </w:r>
      <w:r>
        <w:rPr>
          <w:rFonts w:hint="eastAsia" w:ascii="宋体" w:hAnsi="宋体" w:eastAsia="宋体" w:cs="宋体"/>
          <w:color w:val="auto"/>
          <w:kern w:val="0"/>
          <w:szCs w:val="21"/>
          <w:highlight w:val="none"/>
        </w:rPr>
        <w:t>。</w:t>
      </w:r>
    </w:p>
    <w:p w14:paraId="2C2A40E8">
      <w:pPr>
        <w:autoSpaceDE w:val="0"/>
        <w:autoSpaceDN w:val="0"/>
        <w:adjustRightInd w:val="0"/>
        <w:spacing w:line="360" w:lineRule="auto"/>
        <w:ind w:firstLine="440" w:firstLineChars="200"/>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u w:val="single"/>
        </w:rPr>
        <w:t>⑵对设计和质量标准要求不符合的材料，发包人代表可拒绝验收，并由承包人按发包人代表要求的时间退出施工现场，重新采购符合要求的材料，承担由此产生的费用，工期不予顺延。</w:t>
      </w:r>
    </w:p>
    <w:p w14:paraId="516B9048">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94" w:name="_Toc505785392"/>
      <w:bookmarkStart w:id="295" w:name="_Toc512164627"/>
      <w:bookmarkStart w:id="296" w:name="_Toc510377808"/>
      <w:bookmarkStart w:id="297" w:name="_Toc504119093"/>
      <w:r>
        <w:rPr>
          <w:rFonts w:hint="eastAsia" w:ascii="宋体" w:hAnsi="宋体" w:eastAsia="宋体" w:cs="宋体"/>
          <w:bCs/>
          <w:color w:val="auto"/>
          <w:szCs w:val="21"/>
          <w:highlight w:val="none"/>
          <w:lang w:val="zh-CN"/>
        </w:rPr>
        <w:t>8.4材料与工程设备的保管与使用</w:t>
      </w:r>
      <w:bookmarkEnd w:id="294"/>
      <w:bookmarkEnd w:id="295"/>
      <w:bookmarkEnd w:id="296"/>
      <w:bookmarkEnd w:id="297"/>
    </w:p>
    <w:p w14:paraId="68792FB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8.4.1发包人供应的材料设备的保管费用的承担：</w:t>
      </w:r>
      <w:r>
        <w:rPr>
          <w:rFonts w:hint="eastAsia" w:ascii="宋体" w:hAnsi="宋体" w:eastAsia="宋体" w:cs="宋体"/>
          <w:color w:val="auto"/>
          <w:szCs w:val="21"/>
          <w:highlight w:val="none"/>
          <w:u w:val="single"/>
        </w:rPr>
        <w:t>材料设备移交给承包人后，由承包人承担</w:t>
      </w:r>
      <w:r>
        <w:rPr>
          <w:rFonts w:hint="eastAsia" w:ascii="宋体" w:hAnsi="宋体" w:eastAsia="宋体" w:cs="宋体"/>
          <w:color w:val="auto"/>
          <w:szCs w:val="21"/>
          <w:highlight w:val="none"/>
        </w:rPr>
        <w:t>。</w:t>
      </w:r>
    </w:p>
    <w:p w14:paraId="004B5CF5">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298" w:name="_Toc505785393"/>
      <w:bookmarkStart w:id="299" w:name="_Toc504119094"/>
      <w:bookmarkStart w:id="300" w:name="_Toc510377809"/>
      <w:bookmarkStart w:id="301" w:name="_Toc512164628"/>
      <w:r>
        <w:rPr>
          <w:rFonts w:hint="eastAsia" w:ascii="宋体" w:hAnsi="宋体" w:eastAsia="宋体" w:cs="宋体"/>
          <w:bCs/>
          <w:color w:val="auto"/>
          <w:szCs w:val="21"/>
          <w:highlight w:val="none"/>
          <w:lang w:val="zh-CN"/>
        </w:rPr>
        <w:t>8.6样品</w:t>
      </w:r>
      <w:bookmarkEnd w:id="298"/>
      <w:bookmarkEnd w:id="299"/>
      <w:bookmarkEnd w:id="300"/>
      <w:bookmarkEnd w:id="301"/>
    </w:p>
    <w:p w14:paraId="031BF509">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8.6.1样品的报送与封存</w:t>
      </w:r>
    </w:p>
    <w:p w14:paraId="50B4F7EB">
      <w:pPr>
        <w:autoSpaceDE w:val="0"/>
        <w:autoSpaceDN w:val="0"/>
        <w:adjustRightInd w:val="0"/>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需要承包人报送样品的材料或工程设备，样品的种类、名称、规格、数量要求：</w:t>
      </w:r>
      <w:r>
        <w:rPr>
          <w:rFonts w:hint="eastAsia" w:ascii="宋体" w:hAnsi="宋体" w:eastAsia="宋体" w:cs="宋体"/>
          <w:color w:val="auto"/>
          <w:kern w:val="0"/>
          <w:szCs w:val="21"/>
          <w:highlight w:val="none"/>
          <w:u w:val="single"/>
        </w:rPr>
        <w:t>按施工规程、监理单位要求和发包人需求确定</w:t>
      </w:r>
      <w:r>
        <w:rPr>
          <w:rFonts w:hint="eastAsia" w:ascii="宋体" w:hAnsi="宋体" w:eastAsia="宋体" w:cs="宋体"/>
          <w:color w:val="auto"/>
          <w:szCs w:val="21"/>
          <w:highlight w:val="none"/>
        </w:rPr>
        <w:t>。</w:t>
      </w:r>
    </w:p>
    <w:p w14:paraId="1545D54C">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02" w:name="_Toc510377810"/>
      <w:bookmarkStart w:id="303" w:name="_Toc512164629"/>
      <w:bookmarkStart w:id="304" w:name="_Toc505785394"/>
      <w:bookmarkStart w:id="305" w:name="_Toc504119095"/>
      <w:r>
        <w:rPr>
          <w:rFonts w:hint="eastAsia" w:ascii="宋体" w:hAnsi="宋体" w:eastAsia="宋体" w:cs="宋体"/>
          <w:bCs/>
          <w:color w:val="auto"/>
          <w:szCs w:val="21"/>
          <w:highlight w:val="none"/>
          <w:lang w:val="zh-CN"/>
        </w:rPr>
        <w:t>8.8施工设备和临时设施</w:t>
      </w:r>
      <w:bookmarkEnd w:id="302"/>
      <w:bookmarkEnd w:id="303"/>
      <w:bookmarkEnd w:id="304"/>
      <w:bookmarkEnd w:id="305"/>
    </w:p>
    <w:p w14:paraId="5DED7196">
      <w:pPr>
        <w:autoSpaceDE w:val="0"/>
        <w:autoSpaceDN w:val="0"/>
        <w:adjustRightInd w:val="0"/>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8.8.1承包人提供的施工设备和临时设施</w:t>
      </w:r>
    </w:p>
    <w:p w14:paraId="18569786">
      <w:pPr>
        <w:autoSpaceDE w:val="0"/>
        <w:autoSpaceDN w:val="0"/>
        <w:adjustRightInd w:val="0"/>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关于修建临时设施费用承担的约定：</w:t>
      </w:r>
      <w:r>
        <w:rPr>
          <w:rFonts w:hint="eastAsia" w:ascii="宋体" w:hAnsi="宋体" w:eastAsia="宋体" w:cs="宋体"/>
          <w:color w:val="auto"/>
          <w:szCs w:val="21"/>
          <w:highlight w:val="none"/>
          <w:u w:val="single"/>
        </w:rPr>
        <w:t>由承包人承担</w:t>
      </w:r>
      <w:r>
        <w:rPr>
          <w:rFonts w:hint="eastAsia" w:ascii="宋体" w:hAnsi="宋体" w:eastAsia="宋体" w:cs="宋体"/>
          <w:color w:val="auto"/>
          <w:szCs w:val="21"/>
          <w:highlight w:val="none"/>
        </w:rPr>
        <w:t>。</w:t>
      </w:r>
    </w:p>
    <w:p w14:paraId="5E92DD5A">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06" w:name="_Toc512164630"/>
      <w:bookmarkStart w:id="307" w:name="_Toc505785395"/>
      <w:bookmarkStart w:id="308" w:name="_Toc504119096"/>
      <w:bookmarkStart w:id="309" w:name="_Toc510377811"/>
      <w:r>
        <w:rPr>
          <w:rFonts w:hint="eastAsia" w:ascii="宋体" w:hAnsi="宋体" w:eastAsia="宋体" w:cs="宋体"/>
          <w:bCs/>
          <w:color w:val="auto"/>
          <w:szCs w:val="21"/>
          <w:highlight w:val="none"/>
          <w:lang w:val="zh-CN"/>
        </w:rPr>
        <w:t>9.试验与检验</w:t>
      </w:r>
      <w:bookmarkEnd w:id="306"/>
      <w:bookmarkEnd w:id="307"/>
      <w:bookmarkEnd w:id="308"/>
      <w:bookmarkEnd w:id="309"/>
    </w:p>
    <w:p w14:paraId="032962E6">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10" w:name="_Toc512164631"/>
      <w:bookmarkStart w:id="311" w:name="_Toc504119097"/>
      <w:bookmarkStart w:id="312" w:name="_Toc505785396"/>
      <w:bookmarkStart w:id="313" w:name="_Toc510377812"/>
      <w:r>
        <w:rPr>
          <w:rFonts w:hint="eastAsia" w:ascii="宋体" w:hAnsi="宋体" w:eastAsia="宋体" w:cs="宋体"/>
          <w:bCs/>
          <w:color w:val="auto"/>
          <w:szCs w:val="21"/>
          <w:highlight w:val="none"/>
          <w:lang w:val="zh-CN"/>
        </w:rPr>
        <w:t>9.1试验设备与试验人员</w:t>
      </w:r>
      <w:bookmarkEnd w:id="310"/>
      <w:bookmarkEnd w:id="311"/>
      <w:bookmarkEnd w:id="312"/>
      <w:bookmarkEnd w:id="313"/>
    </w:p>
    <w:p w14:paraId="609B73B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9.1.2试验设备</w:t>
      </w:r>
    </w:p>
    <w:p w14:paraId="45A08D5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施工现场需要配置的试验场所：</w:t>
      </w:r>
      <w:r>
        <w:rPr>
          <w:rFonts w:hint="eastAsia" w:ascii="宋体" w:hAnsi="宋体" w:eastAsia="宋体" w:cs="宋体"/>
          <w:color w:val="auto"/>
          <w:szCs w:val="21"/>
          <w:highlight w:val="none"/>
          <w:u w:val="single"/>
        </w:rPr>
        <w:t>由承包人解决</w:t>
      </w:r>
      <w:r>
        <w:rPr>
          <w:rFonts w:hint="eastAsia" w:ascii="宋体" w:hAnsi="宋体" w:eastAsia="宋体" w:cs="宋体"/>
          <w:color w:val="auto"/>
          <w:szCs w:val="21"/>
          <w:highlight w:val="none"/>
        </w:rPr>
        <w:t>。</w:t>
      </w:r>
    </w:p>
    <w:p w14:paraId="7180AE1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施工现场需要配备的试验设备：</w:t>
      </w:r>
      <w:r>
        <w:rPr>
          <w:rFonts w:hint="eastAsia" w:ascii="宋体" w:hAnsi="宋体" w:eastAsia="宋体" w:cs="宋体"/>
          <w:color w:val="auto"/>
          <w:szCs w:val="21"/>
          <w:highlight w:val="none"/>
          <w:u w:val="single"/>
        </w:rPr>
        <w:t>由承包人配置</w:t>
      </w:r>
      <w:r>
        <w:rPr>
          <w:rFonts w:hint="eastAsia" w:ascii="宋体" w:hAnsi="宋体" w:eastAsia="宋体" w:cs="宋体"/>
          <w:color w:val="auto"/>
          <w:szCs w:val="21"/>
          <w:highlight w:val="none"/>
        </w:rPr>
        <w:t>。</w:t>
      </w:r>
    </w:p>
    <w:p w14:paraId="61AB991B">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施工现场需要具备的其他试验条件：</w:t>
      </w:r>
      <w:r>
        <w:rPr>
          <w:rFonts w:hint="eastAsia" w:ascii="宋体" w:hAnsi="宋体" w:eastAsia="宋体" w:cs="宋体"/>
          <w:color w:val="auto"/>
          <w:szCs w:val="21"/>
          <w:highlight w:val="none"/>
          <w:u w:val="single"/>
        </w:rPr>
        <w:t>由承包人完善</w:t>
      </w:r>
      <w:r>
        <w:rPr>
          <w:rFonts w:hint="eastAsia" w:ascii="宋体" w:hAnsi="宋体" w:eastAsia="宋体" w:cs="宋体"/>
          <w:color w:val="auto"/>
          <w:szCs w:val="21"/>
          <w:highlight w:val="none"/>
        </w:rPr>
        <w:t>。</w:t>
      </w:r>
    </w:p>
    <w:p w14:paraId="1717E9B0">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14" w:name="_Toc505785397"/>
      <w:bookmarkStart w:id="315" w:name="_Toc504119098"/>
      <w:bookmarkStart w:id="316" w:name="_Toc512164632"/>
      <w:bookmarkStart w:id="317" w:name="_Toc510377813"/>
      <w:r>
        <w:rPr>
          <w:rFonts w:hint="eastAsia" w:ascii="宋体" w:hAnsi="宋体" w:eastAsia="宋体" w:cs="宋体"/>
          <w:bCs/>
          <w:color w:val="auto"/>
          <w:szCs w:val="21"/>
          <w:highlight w:val="none"/>
          <w:lang w:val="zh-CN"/>
        </w:rPr>
        <w:t>9.4现场工艺试验</w:t>
      </w:r>
      <w:bookmarkEnd w:id="314"/>
      <w:bookmarkEnd w:id="315"/>
      <w:bookmarkEnd w:id="316"/>
      <w:bookmarkEnd w:id="317"/>
    </w:p>
    <w:p w14:paraId="03A410F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现场工艺试验的有关约定：</w:t>
      </w:r>
      <w:r>
        <w:rPr>
          <w:rFonts w:hint="eastAsia" w:ascii="宋体" w:hAnsi="宋体" w:eastAsia="宋体" w:cs="宋体"/>
          <w:color w:val="auto"/>
          <w:szCs w:val="21"/>
          <w:highlight w:val="none"/>
          <w:u w:val="single"/>
        </w:rPr>
        <w:t>特殊的、大型的现场工艺试验（如：桩基础承载力的试验等），应编制专项工艺试验措施、计划，报监理人审查，并经发包人确认，试验费用由发包人承担</w:t>
      </w:r>
      <w:r>
        <w:rPr>
          <w:rFonts w:hint="eastAsia" w:ascii="宋体" w:hAnsi="宋体" w:eastAsia="宋体" w:cs="宋体"/>
          <w:color w:val="auto"/>
          <w:szCs w:val="21"/>
          <w:highlight w:val="none"/>
        </w:rPr>
        <w:t>。</w:t>
      </w:r>
    </w:p>
    <w:p w14:paraId="1F18DD47">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18" w:name="_Toc504119099"/>
      <w:bookmarkStart w:id="319" w:name="_Toc512164633"/>
      <w:bookmarkStart w:id="320" w:name="_Toc510377814"/>
      <w:bookmarkStart w:id="321" w:name="_Toc505785398"/>
      <w:r>
        <w:rPr>
          <w:rFonts w:hint="eastAsia" w:ascii="宋体" w:hAnsi="宋体" w:eastAsia="宋体" w:cs="宋体"/>
          <w:bCs/>
          <w:color w:val="auto"/>
          <w:szCs w:val="21"/>
          <w:highlight w:val="none"/>
          <w:lang w:val="zh-CN"/>
        </w:rPr>
        <w:t>10.变更</w:t>
      </w:r>
      <w:bookmarkEnd w:id="318"/>
      <w:bookmarkEnd w:id="319"/>
      <w:bookmarkEnd w:id="320"/>
      <w:bookmarkEnd w:id="321"/>
    </w:p>
    <w:p w14:paraId="665D0AFA">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22" w:name="_Toc504119100"/>
      <w:bookmarkStart w:id="323" w:name="_Toc510377815"/>
      <w:bookmarkStart w:id="324" w:name="_Toc505785399"/>
      <w:bookmarkStart w:id="325" w:name="_Toc512164634"/>
      <w:r>
        <w:rPr>
          <w:rFonts w:hint="eastAsia" w:ascii="宋体" w:hAnsi="宋体" w:eastAsia="宋体" w:cs="宋体"/>
          <w:bCs/>
          <w:color w:val="auto"/>
          <w:szCs w:val="21"/>
          <w:highlight w:val="none"/>
          <w:lang w:val="zh-CN"/>
        </w:rPr>
        <w:t>10.1变更的范围</w:t>
      </w:r>
      <w:bookmarkEnd w:id="322"/>
      <w:bookmarkEnd w:id="323"/>
      <w:bookmarkEnd w:id="324"/>
      <w:bookmarkEnd w:id="325"/>
    </w:p>
    <w:p w14:paraId="5FDF3D7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关于变更的范围的约定：</w:t>
      </w:r>
      <w:r>
        <w:rPr>
          <w:rFonts w:hint="eastAsia" w:ascii="宋体" w:hAnsi="宋体" w:eastAsia="宋体" w:cs="宋体"/>
          <w:color w:val="auto"/>
          <w:szCs w:val="21"/>
          <w:highlight w:val="none"/>
          <w:u w:val="single"/>
        </w:rPr>
        <w:t>设计变更项目以设计单位出具并经发包人、监理人确认的设计变更通知书为准。其它变更项目以发包人、承包人、监理人现场共同签证为准。其余按通用条款10.1条执行</w:t>
      </w:r>
      <w:r>
        <w:rPr>
          <w:rFonts w:hint="eastAsia" w:ascii="宋体" w:hAnsi="宋体" w:eastAsia="宋体" w:cs="宋体"/>
          <w:color w:val="auto"/>
          <w:szCs w:val="21"/>
          <w:highlight w:val="none"/>
        </w:rPr>
        <w:t>。</w:t>
      </w:r>
    </w:p>
    <w:p w14:paraId="72595571">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26" w:name="_Toc512164635"/>
      <w:bookmarkStart w:id="327" w:name="_Toc504119101"/>
      <w:bookmarkStart w:id="328" w:name="_Toc505785400"/>
      <w:bookmarkStart w:id="329" w:name="_Toc510377816"/>
      <w:r>
        <w:rPr>
          <w:rFonts w:hint="eastAsia" w:ascii="宋体" w:hAnsi="宋体" w:eastAsia="宋体" w:cs="宋体"/>
          <w:bCs/>
          <w:color w:val="auto"/>
          <w:szCs w:val="21"/>
          <w:highlight w:val="none"/>
          <w:lang w:val="zh-CN"/>
        </w:rPr>
        <w:t>10.4变更估价</w:t>
      </w:r>
      <w:bookmarkEnd w:id="326"/>
      <w:bookmarkEnd w:id="327"/>
      <w:bookmarkEnd w:id="328"/>
      <w:bookmarkEnd w:id="329"/>
    </w:p>
    <w:p w14:paraId="548B6E2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10.4.1变更估价原则</w:t>
      </w:r>
    </w:p>
    <w:p w14:paraId="4069E91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关于变更估价的约定：</w:t>
      </w:r>
    </w:p>
    <w:p w14:paraId="441AC9F3">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①</w:t>
      </w:r>
      <w:r>
        <w:rPr>
          <w:rFonts w:hint="eastAsia" w:ascii="宋体" w:hAnsi="宋体" w:eastAsia="宋体" w:cs="宋体"/>
          <w:color w:val="auto"/>
          <w:szCs w:val="21"/>
          <w:highlight w:val="none"/>
          <w:u w:val="single"/>
        </w:rPr>
        <w:t>合同中有相同或类似工程项目单价的，可以参照合同中相同或类似项目的综合单价计算确定</w:t>
      </w:r>
      <w:r>
        <w:rPr>
          <w:rFonts w:hint="eastAsia" w:ascii="宋体" w:hAnsi="宋体" w:eastAsia="宋体" w:cs="宋体"/>
          <w:color w:val="auto"/>
          <w:szCs w:val="21"/>
          <w:highlight w:val="none"/>
        </w:rPr>
        <w:t>。</w:t>
      </w:r>
    </w:p>
    <w:p w14:paraId="1A517E9D">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②</w:t>
      </w:r>
      <w:r>
        <w:rPr>
          <w:rFonts w:hint="eastAsia" w:ascii="宋体" w:hAnsi="宋体" w:eastAsia="宋体" w:cs="宋体"/>
          <w:color w:val="auto"/>
          <w:szCs w:val="21"/>
          <w:highlight w:val="none"/>
          <w:u w:val="single"/>
        </w:rPr>
        <w:t>合同中没有类似工程项目综合单价的，由承包人根据合同中约定的组价原则或参考“计价依据”提出适当的单价，经发包人或其委托的工程造价咨询单位审定后，作为结算的依据</w:t>
      </w:r>
      <w:r>
        <w:rPr>
          <w:rFonts w:hint="eastAsia" w:ascii="宋体" w:hAnsi="宋体" w:eastAsia="宋体" w:cs="宋体"/>
          <w:color w:val="auto"/>
          <w:szCs w:val="21"/>
          <w:highlight w:val="none"/>
        </w:rPr>
        <w:t>。</w:t>
      </w:r>
    </w:p>
    <w:p w14:paraId="4864E983">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③</w:t>
      </w:r>
      <w:r>
        <w:rPr>
          <w:rFonts w:hint="eastAsia" w:ascii="宋体" w:hAnsi="宋体" w:eastAsia="宋体" w:cs="宋体"/>
          <w:color w:val="auto"/>
          <w:szCs w:val="21"/>
          <w:highlight w:val="none"/>
          <w:u w:val="single"/>
        </w:rPr>
        <w:t>变更导致实际完成的变更工程量与标价工程量清单的变化幅度超过 10％的</w:t>
      </w:r>
      <w:r>
        <w:rPr>
          <w:rFonts w:hint="eastAsia" w:ascii="宋体" w:hAnsi="宋体" w:eastAsia="宋体" w:cs="宋体"/>
          <w:color w:val="auto"/>
          <w:szCs w:val="21"/>
          <w:highlight w:val="none"/>
        </w:rPr>
        <w:t>。</w:t>
      </w:r>
    </w:p>
    <w:p w14:paraId="46FCA45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w:t>
      </w:r>
      <w:r>
        <w:rPr>
          <w:rFonts w:hint="eastAsia" w:ascii="宋体" w:hAnsi="宋体" w:eastAsia="宋体" w:cs="宋体"/>
          <w:color w:val="auto"/>
          <w:szCs w:val="21"/>
          <w:highlight w:val="none"/>
          <w:u w:val="single"/>
        </w:rPr>
        <w:t>以上重新组价的综合单价不能高于按云南省和红河州现行工程造价计价规则和计价依据规定计算的价格，并按中标价与招标控制价间的下浮幅度下浮相同比例</w:t>
      </w:r>
      <w:r>
        <w:rPr>
          <w:rFonts w:hint="eastAsia" w:ascii="宋体" w:hAnsi="宋体" w:eastAsia="宋体" w:cs="宋体"/>
          <w:color w:val="auto"/>
          <w:szCs w:val="21"/>
          <w:highlight w:val="none"/>
        </w:rPr>
        <w:t>。</w:t>
      </w:r>
    </w:p>
    <w:p w14:paraId="234B1E1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w:t>
      </w:r>
      <w:r>
        <w:rPr>
          <w:rFonts w:hint="eastAsia" w:ascii="宋体" w:hAnsi="宋体" w:eastAsia="宋体" w:cs="宋体"/>
          <w:color w:val="auto"/>
          <w:szCs w:val="21"/>
          <w:highlight w:val="none"/>
          <w:u w:val="single"/>
        </w:rPr>
        <w:t>由于变更引起措施项目费的调整原则按照工程量计价规范的9.3.2条计算确定</w:t>
      </w:r>
      <w:r>
        <w:rPr>
          <w:rFonts w:hint="eastAsia" w:ascii="宋体" w:hAnsi="宋体" w:eastAsia="宋体" w:cs="宋体"/>
          <w:color w:val="auto"/>
          <w:szCs w:val="21"/>
          <w:highlight w:val="none"/>
        </w:rPr>
        <w:t>。</w:t>
      </w:r>
    </w:p>
    <w:p w14:paraId="61292FFC">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30" w:name="_Toc512164636"/>
      <w:bookmarkStart w:id="331" w:name="_Toc504119102"/>
      <w:bookmarkStart w:id="332" w:name="_Toc505785401"/>
      <w:bookmarkStart w:id="333" w:name="_Toc510377817"/>
      <w:r>
        <w:rPr>
          <w:rFonts w:hint="eastAsia" w:ascii="宋体" w:hAnsi="宋体" w:eastAsia="宋体" w:cs="宋体"/>
          <w:bCs/>
          <w:color w:val="auto"/>
          <w:szCs w:val="21"/>
          <w:highlight w:val="none"/>
          <w:lang w:val="zh-CN"/>
        </w:rPr>
        <w:t>10.5承包人的合理化建议</w:t>
      </w:r>
      <w:bookmarkEnd w:id="330"/>
      <w:bookmarkEnd w:id="331"/>
      <w:bookmarkEnd w:id="332"/>
      <w:bookmarkEnd w:id="333"/>
    </w:p>
    <w:p w14:paraId="28DAC82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监理人审查承包人合理化建议的期限：</w:t>
      </w:r>
      <w:r>
        <w:rPr>
          <w:rFonts w:hint="eastAsia" w:ascii="宋体" w:hAnsi="宋体" w:eastAsia="宋体" w:cs="宋体"/>
          <w:color w:val="auto"/>
          <w:szCs w:val="21"/>
          <w:highlight w:val="none"/>
          <w:u w:val="single"/>
        </w:rPr>
        <w:t>收到合理化建议书7天内</w:t>
      </w:r>
      <w:r>
        <w:rPr>
          <w:rFonts w:hint="eastAsia" w:ascii="宋体" w:hAnsi="宋体" w:eastAsia="宋体" w:cs="宋体"/>
          <w:color w:val="auto"/>
          <w:szCs w:val="21"/>
          <w:highlight w:val="none"/>
        </w:rPr>
        <w:t>。</w:t>
      </w:r>
    </w:p>
    <w:p w14:paraId="3FD30D9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发包人审批承包人合理化建议的期限：</w:t>
      </w:r>
      <w:r>
        <w:rPr>
          <w:rFonts w:hint="eastAsia" w:ascii="宋体" w:hAnsi="宋体" w:eastAsia="宋体" w:cs="宋体"/>
          <w:color w:val="auto"/>
          <w:szCs w:val="21"/>
          <w:highlight w:val="none"/>
          <w:u w:val="single"/>
        </w:rPr>
        <w:t>收到合理化建议书7天内</w:t>
      </w:r>
      <w:r>
        <w:rPr>
          <w:rFonts w:hint="eastAsia" w:ascii="宋体" w:hAnsi="宋体" w:eastAsia="宋体" w:cs="宋体"/>
          <w:color w:val="auto"/>
          <w:szCs w:val="21"/>
          <w:highlight w:val="none"/>
        </w:rPr>
        <w:t>。</w:t>
      </w:r>
    </w:p>
    <w:p w14:paraId="7E6785BD">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承包人提出的合理化建议降低了合同价格或者提高了工程经济效益的奖励的方法和金额为：</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004372E">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34" w:name="_Toc512164637"/>
      <w:bookmarkStart w:id="335" w:name="_Toc504119103"/>
      <w:bookmarkStart w:id="336" w:name="_Toc510377818"/>
      <w:bookmarkStart w:id="337" w:name="_Toc505785402"/>
      <w:r>
        <w:rPr>
          <w:rFonts w:hint="eastAsia" w:ascii="宋体" w:hAnsi="宋体" w:eastAsia="宋体" w:cs="宋体"/>
          <w:bCs/>
          <w:color w:val="auto"/>
          <w:szCs w:val="21"/>
          <w:highlight w:val="none"/>
          <w:lang w:val="zh-CN"/>
        </w:rPr>
        <w:t>10.7暂估价</w:t>
      </w:r>
      <w:bookmarkEnd w:id="334"/>
      <w:bookmarkEnd w:id="335"/>
      <w:bookmarkEnd w:id="336"/>
      <w:bookmarkEnd w:id="337"/>
    </w:p>
    <w:p w14:paraId="2F7B0D4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暂估价材料和工程设备的明细详见附件11：《</w:t>
      </w:r>
      <w:r>
        <w:rPr>
          <w:rFonts w:hint="eastAsia" w:ascii="宋体" w:hAnsi="宋体" w:eastAsia="宋体" w:cs="宋体"/>
          <w:color w:val="auto"/>
          <w:szCs w:val="21"/>
          <w:highlight w:val="none"/>
        </w:rPr>
        <w:t>暂估价一览表》</w:t>
      </w:r>
      <w:r>
        <w:rPr>
          <w:rFonts w:hint="eastAsia" w:ascii="宋体" w:hAnsi="宋体" w:eastAsia="宋体" w:cs="宋体"/>
          <w:color w:val="auto"/>
          <w:kern w:val="0"/>
          <w:szCs w:val="21"/>
          <w:highlight w:val="none"/>
        </w:rPr>
        <w:t>。</w:t>
      </w:r>
    </w:p>
    <w:p w14:paraId="3394902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10.7.1依法必须招标的暂估价项目</w:t>
      </w:r>
    </w:p>
    <w:p w14:paraId="1D09347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对于依法必须招标的暂估价项目的确认和批准采取第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种方式确定。</w:t>
      </w:r>
    </w:p>
    <w:p w14:paraId="6BAE11BB">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10.7.2不属于依法必须招标的暂估价项目</w:t>
      </w:r>
    </w:p>
    <w:p w14:paraId="1F9A987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对于不属于依法必须招标的暂估价项目的确认和批准采取第</w:t>
      </w:r>
      <w:r>
        <w:rPr>
          <w:rFonts w:hint="eastAsia" w:ascii="宋体" w:hAnsi="宋体" w:eastAsia="宋体" w:cs="宋体"/>
          <w:color w:val="auto"/>
          <w:szCs w:val="21"/>
          <w:highlight w:val="none"/>
          <w:u w:val="single"/>
        </w:rPr>
        <w:t xml:space="preserve"> 1 </w:t>
      </w:r>
      <w:r>
        <w:rPr>
          <w:rFonts w:hint="eastAsia" w:ascii="宋体" w:hAnsi="宋体" w:eastAsia="宋体" w:cs="宋体"/>
          <w:color w:val="auto"/>
          <w:szCs w:val="21"/>
          <w:highlight w:val="none"/>
        </w:rPr>
        <w:t>种方式确定。</w:t>
      </w:r>
    </w:p>
    <w:p w14:paraId="6B66CF30">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第3种方式：</w:t>
      </w:r>
      <w:r>
        <w:rPr>
          <w:rFonts w:hint="eastAsia" w:ascii="宋体" w:hAnsi="宋体" w:eastAsia="宋体" w:cs="宋体"/>
          <w:color w:val="auto"/>
          <w:kern w:val="0"/>
          <w:szCs w:val="21"/>
          <w:highlight w:val="none"/>
        </w:rPr>
        <w:t>承包人直接实施的暂估价项目</w:t>
      </w:r>
    </w:p>
    <w:p w14:paraId="6573E04C">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承包人直接实施的暂估价项目的约定：</w:t>
      </w:r>
      <w:r>
        <w:rPr>
          <w:rFonts w:hint="eastAsia" w:ascii="宋体" w:hAnsi="宋体" w:eastAsia="宋体" w:cs="宋体"/>
          <w:color w:val="auto"/>
          <w:szCs w:val="21"/>
          <w:highlight w:val="none"/>
          <w:u w:val="single"/>
        </w:rPr>
        <w:t>材料设备暂估价需经发包方、承包方、监理人、造价咨询人四方确认材质、品牌、价格后承包方方能实施</w:t>
      </w:r>
      <w:r>
        <w:rPr>
          <w:rFonts w:hint="eastAsia" w:ascii="宋体" w:hAnsi="宋体" w:eastAsia="宋体" w:cs="宋体"/>
          <w:color w:val="auto"/>
          <w:szCs w:val="21"/>
          <w:highlight w:val="none"/>
        </w:rPr>
        <w:t>。</w:t>
      </w:r>
    </w:p>
    <w:p w14:paraId="0BF87243">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38" w:name="_Toc510377819"/>
      <w:bookmarkStart w:id="339" w:name="_Toc505785403"/>
      <w:bookmarkStart w:id="340" w:name="_Toc504119104"/>
      <w:bookmarkStart w:id="341" w:name="_Toc512164638"/>
      <w:r>
        <w:rPr>
          <w:rFonts w:hint="eastAsia" w:ascii="宋体" w:hAnsi="宋体" w:eastAsia="宋体" w:cs="宋体"/>
          <w:bCs/>
          <w:color w:val="auto"/>
          <w:szCs w:val="21"/>
          <w:highlight w:val="none"/>
          <w:lang w:val="zh-CN"/>
        </w:rPr>
        <w:t>10.8暂列金额</w:t>
      </w:r>
      <w:bookmarkEnd w:id="338"/>
      <w:bookmarkEnd w:id="339"/>
      <w:bookmarkEnd w:id="340"/>
      <w:bookmarkEnd w:id="341"/>
    </w:p>
    <w:p w14:paraId="1980CF7E">
      <w:pPr>
        <w:autoSpaceDE w:val="0"/>
        <w:autoSpaceDN w:val="0"/>
        <w:adjustRightInd w:val="0"/>
        <w:spacing w:line="360" w:lineRule="auto"/>
        <w:ind w:firstLine="44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合同当事人关于暂列金额使用的约定：</w:t>
      </w:r>
      <w:r>
        <w:rPr>
          <w:rFonts w:hint="eastAsia" w:ascii="宋体" w:hAnsi="宋体" w:eastAsia="宋体" w:cs="宋体"/>
          <w:color w:val="auto"/>
          <w:szCs w:val="21"/>
          <w:highlight w:val="none"/>
          <w:u w:val="single"/>
        </w:rPr>
        <w:t>暂列金额按照发包人的要求使用，发包人的要求通过监理人向承包人发出</w:t>
      </w:r>
      <w:r>
        <w:rPr>
          <w:rFonts w:hint="eastAsia" w:ascii="宋体" w:hAnsi="宋体" w:eastAsia="宋体" w:cs="宋体"/>
          <w:color w:val="auto"/>
          <w:kern w:val="0"/>
          <w:szCs w:val="21"/>
          <w:highlight w:val="none"/>
        </w:rPr>
        <w:t>。</w:t>
      </w:r>
    </w:p>
    <w:p w14:paraId="3FEB9B09">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42" w:name="_Toc510377820"/>
      <w:bookmarkStart w:id="343" w:name="_Toc512164639"/>
      <w:bookmarkStart w:id="344" w:name="_Toc504119105"/>
      <w:bookmarkStart w:id="345" w:name="_Toc505785404"/>
      <w:r>
        <w:rPr>
          <w:rFonts w:hint="eastAsia" w:ascii="宋体" w:hAnsi="宋体" w:eastAsia="宋体" w:cs="宋体"/>
          <w:bCs/>
          <w:color w:val="auto"/>
          <w:szCs w:val="21"/>
          <w:highlight w:val="none"/>
          <w:lang w:val="zh-CN"/>
        </w:rPr>
        <w:t>11.价格调整</w:t>
      </w:r>
      <w:bookmarkEnd w:id="342"/>
      <w:bookmarkEnd w:id="343"/>
      <w:bookmarkEnd w:id="344"/>
      <w:bookmarkEnd w:id="345"/>
    </w:p>
    <w:p w14:paraId="2AE9EA48">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46" w:name="_Toc505785405"/>
      <w:bookmarkStart w:id="347" w:name="_Toc512164640"/>
      <w:bookmarkStart w:id="348" w:name="_Toc504119106"/>
      <w:bookmarkStart w:id="349" w:name="_Toc510377821"/>
      <w:r>
        <w:rPr>
          <w:rFonts w:hint="eastAsia" w:ascii="宋体" w:hAnsi="宋体" w:eastAsia="宋体" w:cs="宋体"/>
          <w:bCs/>
          <w:color w:val="auto"/>
          <w:szCs w:val="21"/>
          <w:highlight w:val="none"/>
          <w:lang w:val="zh-CN"/>
        </w:rPr>
        <w:t>11.1市场价格波动引起的调整</w:t>
      </w:r>
      <w:bookmarkEnd w:id="346"/>
      <w:bookmarkEnd w:id="347"/>
      <w:bookmarkEnd w:id="348"/>
      <w:bookmarkEnd w:id="349"/>
    </w:p>
    <w:p w14:paraId="5CBA944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市场价格波动是否调整合同价格的约定：</w:t>
      </w:r>
      <w:r>
        <w:rPr>
          <w:rFonts w:hint="eastAsia" w:ascii="宋体" w:hAnsi="宋体" w:eastAsia="宋体" w:cs="宋体"/>
          <w:color w:val="auto"/>
          <w:szCs w:val="21"/>
          <w:highlight w:val="none"/>
          <w:u w:val="single"/>
        </w:rPr>
        <w:t>只调整《承包人提供主要材料和工程设备一览表》中约定的材料，其他材料价格均不予调整</w:t>
      </w:r>
      <w:r>
        <w:rPr>
          <w:rFonts w:hint="eastAsia" w:ascii="宋体" w:hAnsi="宋体" w:eastAsia="宋体" w:cs="宋体"/>
          <w:color w:val="auto"/>
          <w:szCs w:val="21"/>
          <w:highlight w:val="none"/>
        </w:rPr>
        <w:t>。</w:t>
      </w:r>
    </w:p>
    <w:p w14:paraId="4760A8F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因市场价格波动调整合同价格，采用以下第种方式对合同价格进行调整：</w:t>
      </w:r>
    </w:p>
    <w:p w14:paraId="628F83F9">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第1种方式：采用价格指数进行价格调整。</w:t>
      </w:r>
    </w:p>
    <w:p w14:paraId="26A296EC">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关于各可调因子、定值和变值权重，以及基本价格指数及其来源的约定：</w:t>
      </w:r>
    </w:p>
    <w:p w14:paraId="47845DDB">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第2种方式：采用造价信息进行价格调整。</w:t>
      </w:r>
    </w:p>
    <w:p w14:paraId="43F20690">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⑵关于基准价格的约定：</w:t>
      </w:r>
      <w:r>
        <w:rPr>
          <w:rFonts w:hint="eastAsia" w:ascii="宋体" w:hAnsi="宋体" w:eastAsia="宋体" w:cs="宋体"/>
          <w:color w:val="auto"/>
          <w:szCs w:val="21"/>
          <w:highlight w:val="none"/>
          <w:u w:val="single"/>
        </w:rPr>
        <w:t>人工费按照云南省建设行政管理部门发布的人工费信息价作为基准价（但已标价的投标报价人工费及人工单价高于发布价格的不予调整）；主要建筑材料价格以工程所在地造价管理部门发布的材料指导价格为基准；即《红河州建设工程材料、设备价格信息》、《红河州造价信息网》公布的材料设备价格</w:t>
      </w:r>
      <w:r>
        <w:rPr>
          <w:rFonts w:hint="eastAsia" w:ascii="宋体" w:hAnsi="宋体" w:eastAsia="宋体" w:cs="宋体"/>
          <w:color w:val="auto"/>
          <w:szCs w:val="21"/>
          <w:highlight w:val="none"/>
        </w:rPr>
        <w:t>。</w:t>
      </w:r>
    </w:p>
    <w:p w14:paraId="6A00D717">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专用合同条款</w:t>
      </w:r>
      <w:r>
        <w:rPr>
          <w:rFonts w:hint="eastAsia" w:ascii="宋体" w:hAnsi="宋体" w:eastAsia="宋体" w:cs="宋体"/>
          <w:color w:val="auto"/>
          <w:szCs w:val="21"/>
          <w:highlight w:val="none"/>
          <w:u w:val="single"/>
        </w:rPr>
        <w:t>①承包人在已标价工程量清单或预算书中载明的材料单价低于基准价格的：专用合同条款合同履行期间材料单价涨幅以基准价格为基础超过10％时，或材料单价跌幅以已标价工程量清单或预算书中载明材料单价为基础超过10％时，其超过部分据实调整</w:t>
      </w:r>
      <w:r>
        <w:rPr>
          <w:rFonts w:hint="eastAsia" w:ascii="宋体" w:hAnsi="宋体" w:eastAsia="宋体" w:cs="宋体"/>
          <w:color w:val="auto"/>
          <w:szCs w:val="21"/>
          <w:highlight w:val="none"/>
        </w:rPr>
        <w:t>。</w:t>
      </w:r>
    </w:p>
    <w:p w14:paraId="0CCAA7B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②承包人在已标价工程量清单或预算书中载明的材料单价高于基准价格的：专用合同条款合同履行期间材料单价跌幅以基准价格为基础超过10％时，材料单价涨幅以已标价工程量清单或预算书中载明材料单价为基础超过10％时，其超过部分据实调整</w:t>
      </w:r>
      <w:r>
        <w:rPr>
          <w:rFonts w:hint="eastAsia" w:ascii="宋体" w:hAnsi="宋体" w:eastAsia="宋体" w:cs="宋体"/>
          <w:color w:val="auto"/>
          <w:szCs w:val="21"/>
          <w:highlight w:val="none"/>
        </w:rPr>
        <w:t>。</w:t>
      </w:r>
    </w:p>
    <w:p w14:paraId="2D9DB883">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③承包人在已标价工程量清单或预算书中载明的材料单价等于基准单价的：专用合同条款合同履行期间材料单价涨跌幅以基准单价为基础超过±10％时，其超过部分据实调整。</w:t>
      </w:r>
    </w:p>
    <w:p w14:paraId="57365C79">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第3种方式：其他价格调整方式：</w:t>
      </w:r>
    </w:p>
    <w:p w14:paraId="07C660B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u w:val="single"/>
        </w:rPr>
        <w:t>主要材料的价格变动与投标时材料设备的基准单价相比较，基准价范围以内的主要材料（含设备）单价发生上涨或下降的情况，其幅度在±10％以内（含10％）的，其价差由承包人承担或受益；超过±10％的据实调整</w:t>
      </w:r>
      <w:r>
        <w:rPr>
          <w:rFonts w:hint="eastAsia" w:ascii="宋体" w:hAnsi="宋体" w:eastAsia="宋体" w:cs="宋体"/>
          <w:color w:val="auto"/>
          <w:szCs w:val="21"/>
          <w:highlight w:val="none"/>
        </w:rPr>
        <w:t>。</w:t>
      </w:r>
    </w:p>
    <w:p w14:paraId="3C3B4950">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u w:val="single"/>
        </w:rPr>
        <w:t>主要建筑材料价格超出调整幅度时价差的取定：应以工程所在地造价管理部门发布的材料指导价格为基准，《红河州建设工程材料、设备价格信息》、《红河州造价信息网》公布的材料设备价格；以上价格信息中没有的材料，由发包人，监理单位、造价咨询单位、承包人四方进行询价确定，差价为施工期间同类材料加权平均指导价格与合同工程基准期（招标工程为递交投标文件截止日期前28天）当期的材料指导价格的差额</w:t>
      </w:r>
      <w:r>
        <w:rPr>
          <w:rFonts w:hint="eastAsia" w:ascii="宋体" w:hAnsi="宋体" w:eastAsia="宋体" w:cs="宋体"/>
          <w:color w:val="auto"/>
          <w:szCs w:val="21"/>
          <w:highlight w:val="none"/>
        </w:rPr>
        <w:t>。</w:t>
      </w:r>
    </w:p>
    <w:p w14:paraId="38B8CD08">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u w:val="single"/>
        </w:rPr>
        <w:t>施工期材料加权平均指导价按下列公式计算：施工期材料加权平均指导价＝∑（每月形象进度消耗量×当期材料指导价）／同类材料总用量</w:t>
      </w:r>
      <w:r>
        <w:rPr>
          <w:rFonts w:hint="eastAsia" w:ascii="宋体" w:hAnsi="宋体" w:eastAsia="宋体" w:cs="宋体"/>
          <w:color w:val="auto"/>
          <w:szCs w:val="21"/>
          <w:highlight w:val="none"/>
        </w:rPr>
        <w:t>。</w:t>
      </w:r>
    </w:p>
    <w:p w14:paraId="23922E53">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u w:val="single"/>
        </w:rPr>
        <w:t>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color w:val="auto"/>
          <w:szCs w:val="21"/>
          <w:highlight w:val="none"/>
        </w:rPr>
        <w:t>。</w:t>
      </w:r>
    </w:p>
    <w:p w14:paraId="4D2B655C">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50" w:name="_Toc512164641"/>
      <w:bookmarkStart w:id="351" w:name="_Toc505785406"/>
      <w:bookmarkStart w:id="352" w:name="_Toc510377822"/>
      <w:bookmarkStart w:id="353" w:name="_Toc504119107"/>
      <w:r>
        <w:rPr>
          <w:rFonts w:hint="eastAsia" w:ascii="宋体" w:hAnsi="宋体" w:eastAsia="宋体" w:cs="宋体"/>
          <w:bCs/>
          <w:color w:val="auto"/>
          <w:szCs w:val="21"/>
          <w:highlight w:val="none"/>
          <w:lang w:val="zh-CN"/>
        </w:rPr>
        <w:t>12.合同价格、计量与支付</w:t>
      </w:r>
      <w:bookmarkEnd w:id="350"/>
      <w:bookmarkEnd w:id="351"/>
      <w:bookmarkEnd w:id="352"/>
      <w:bookmarkEnd w:id="353"/>
    </w:p>
    <w:p w14:paraId="34BE0D68">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54" w:name="_Toc505785407"/>
      <w:bookmarkStart w:id="355" w:name="_Toc504119108"/>
      <w:bookmarkStart w:id="356" w:name="_Toc510377823"/>
      <w:bookmarkStart w:id="357" w:name="_Toc512164642"/>
      <w:r>
        <w:rPr>
          <w:rFonts w:hint="eastAsia" w:ascii="宋体" w:hAnsi="宋体" w:eastAsia="宋体" w:cs="宋体"/>
          <w:bCs/>
          <w:color w:val="auto"/>
          <w:szCs w:val="21"/>
          <w:highlight w:val="none"/>
          <w:lang w:val="zh-CN"/>
        </w:rPr>
        <w:t>12.1合同价格形式</w:t>
      </w:r>
      <w:bookmarkEnd w:id="354"/>
      <w:bookmarkEnd w:id="355"/>
      <w:bookmarkEnd w:id="356"/>
      <w:bookmarkEnd w:id="357"/>
    </w:p>
    <w:p w14:paraId="5CF0B75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1、单价合同</w:t>
      </w:r>
    </w:p>
    <w:p w14:paraId="0C5A568A">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综合单价包含的风险范围</w:t>
      </w:r>
      <w:r>
        <w:rPr>
          <w:rFonts w:hint="eastAsia" w:ascii="宋体" w:hAnsi="宋体" w:eastAsia="宋体" w:cs="宋体"/>
          <w:b/>
          <w:color w:val="auto"/>
          <w:szCs w:val="21"/>
          <w:highlight w:val="none"/>
          <w:u w:val="single"/>
        </w:rPr>
        <w:t>①清单工程量±10％以内的变更引起的综合单价变化的风险；②市场主要材料价格波动±10％以内的风险；③投标截止日前28天政策性调</w:t>
      </w:r>
      <w:r>
        <w:rPr>
          <w:rFonts w:hint="eastAsia" w:ascii="宋体" w:hAnsi="宋体" w:eastAsia="宋体" w:cs="宋体"/>
          <w:b/>
          <w:color w:val="auto"/>
          <w:szCs w:val="21"/>
          <w:highlight w:val="none"/>
          <w:u w:val="single"/>
          <w:lang w:eastAsia="zh-CN"/>
        </w:rPr>
        <w:t>整的</w:t>
      </w:r>
      <w:r>
        <w:rPr>
          <w:rFonts w:hint="eastAsia" w:ascii="宋体" w:hAnsi="宋体" w:eastAsia="宋体" w:cs="宋体"/>
          <w:b/>
          <w:color w:val="auto"/>
          <w:szCs w:val="21"/>
          <w:highlight w:val="none"/>
          <w:u w:val="single"/>
        </w:rPr>
        <w:t>风险</w:t>
      </w:r>
      <w:r>
        <w:rPr>
          <w:rFonts w:hint="eastAsia" w:ascii="宋体" w:hAnsi="宋体" w:eastAsia="宋体" w:cs="宋体"/>
          <w:color w:val="auto"/>
          <w:szCs w:val="21"/>
          <w:highlight w:val="none"/>
        </w:rPr>
        <w:t>。</w:t>
      </w:r>
    </w:p>
    <w:p w14:paraId="7A6C28B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r>
        <w:rPr>
          <w:rFonts w:hint="eastAsia" w:ascii="宋体" w:hAnsi="宋体" w:eastAsia="宋体" w:cs="宋体"/>
          <w:b/>
          <w:color w:val="auto"/>
          <w:szCs w:val="21"/>
          <w:highlight w:val="none"/>
          <w:u w:val="single"/>
        </w:rPr>
        <w:t>本工程在招标时，为加强项目成本管理，强化项目的成本控制，</w:t>
      </w:r>
      <w:r>
        <w:rPr>
          <w:rFonts w:hint="eastAsia" w:ascii="宋体" w:hAnsi="宋体" w:eastAsia="宋体" w:cs="宋体"/>
          <w:b/>
          <w:color w:val="auto"/>
          <w:szCs w:val="21"/>
          <w:highlight w:val="none"/>
          <w:u w:val="single"/>
          <w:lang w:eastAsia="zh-CN"/>
        </w:rPr>
        <w:t>采购人</w:t>
      </w:r>
      <w:r>
        <w:rPr>
          <w:rFonts w:hint="eastAsia" w:ascii="宋体" w:hAnsi="宋体" w:eastAsia="宋体" w:cs="宋体"/>
          <w:b/>
          <w:color w:val="auto"/>
          <w:szCs w:val="21"/>
          <w:highlight w:val="none"/>
          <w:u w:val="single"/>
        </w:rPr>
        <w:t>在招标文件及投标答疑中已作了明确的诠释。承包人投标报价时，完全了解施工场地，了解图纸，理解设计意图，查清了施工要求，并对建筑物资、材料的种类、价格标准、调整幅度等受市场供需因素的影响及可能影响合同履行的风险都做了深入的分析和考虑。所以，本合同在履行过程中，合同价所包含的工程量，承包人必须保质保量</w:t>
      </w:r>
      <w:r>
        <w:rPr>
          <w:rFonts w:hint="eastAsia" w:ascii="宋体" w:hAnsi="宋体" w:eastAsia="宋体" w:cs="宋体"/>
          <w:b/>
          <w:color w:val="auto"/>
          <w:szCs w:val="21"/>
          <w:highlight w:val="none"/>
          <w:u w:val="single"/>
          <w:lang w:eastAsia="zh-CN"/>
        </w:rPr>
        <w:t>地</w:t>
      </w:r>
      <w:r>
        <w:rPr>
          <w:rFonts w:hint="eastAsia" w:ascii="宋体" w:hAnsi="宋体" w:eastAsia="宋体" w:cs="宋体"/>
          <w:b/>
          <w:color w:val="auto"/>
          <w:szCs w:val="21"/>
          <w:highlight w:val="none"/>
          <w:u w:val="single"/>
        </w:rPr>
        <w:t>完成，在风险约定范围内价格不予调整</w:t>
      </w:r>
      <w:r>
        <w:rPr>
          <w:rFonts w:hint="eastAsia" w:ascii="宋体" w:hAnsi="宋体" w:eastAsia="宋体" w:cs="宋体"/>
          <w:color w:val="auto"/>
          <w:szCs w:val="21"/>
          <w:highlight w:val="none"/>
        </w:rPr>
        <w:t>。</w:t>
      </w:r>
    </w:p>
    <w:p w14:paraId="45518FC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b/>
          <w:color w:val="auto"/>
          <w:szCs w:val="21"/>
          <w:highlight w:val="none"/>
          <w:u w:val="single"/>
        </w:rPr>
        <w:t>①工程设计变更、②现场签证、③市场主要材料价格的波动±10％以外的调整、④清单工程量变化超过±10％、⑤由于清单工程量变化超过±10％引起的总价措施费及单价措施费变化、⑥工程量清单存在缺项、漏项。（注：主要材料价格波动以当月州信息平台公布的价格为参照）</w:t>
      </w:r>
    </w:p>
    <w:p w14:paraId="3C4617F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w:t>
      </w:r>
    </w:p>
    <w:p w14:paraId="0AD2436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总价包含的风险范围：</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53CA75C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风险费用的计算方法：</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350B2287">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风险范围以外合同价格的调整方法：</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6B2D11CD">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3、其他价格方式：</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1C298B5">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58" w:name="_Toc505785408"/>
      <w:bookmarkStart w:id="359" w:name="_Toc504119109"/>
      <w:bookmarkStart w:id="360" w:name="_Toc512164643"/>
      <w:bookmarkStart w:id="361" w:name="_Toc510377824"/>
      <w:r>
        <w:rPr>
          <w:rFonts w:hint="eastAsia" w:ascii="宋体" w:hAnsi="宋体" w:eastAsia="宋体" w:cs="宋体"/>
          <w:bCs/>
          <w:color w:val="auto"/>
          <w:szCs w:val="21"/>
          <w:highlight w:val="none"/>
          <w:lang w:val="zh-CN"/>
        </w:rPr>
        <w:t>12.2预付款</w:t>
      </w:r>
      <w:bookmarkEnd w:id="358"/>
      <w:bookmarkEnd w:id="359"/>
      <w:bookmarkEnd w:id="360"/>
      <w:bookmarkEnd w:id="361"/>
    </w:p>
    <w:p w14:paraId="68E91E4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12.2.1预付款的支付</w:t>
      </w:r>
    </w:p>
    <w:p w14:paraId="16E41CE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预付款支付比例或金额：。</w:t>
      </w:r>
    </w:p>
    <w:p w14:paraId="78B7B2D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预付款支付期限：</w:t>
      </w:r>
      <w:r>
        <w:rPr>
          <w:rFonts w:hint="eastAsia" w:ascii="宋体" w:hAnsi="宋体" w:eastAsia="宋体" w:cs="宋体"/>
          <w:color w:val="auto"/>
          <w:szCs w:val="21"/>
          <w:highlight w:val="none"/>
          <w:u w:val="single"/>
        </w:rPr>
        <w:t>合同签订后，监理下达开工令后10个工作日内支付</w:t>
      </w:r>
      <w:r>
        <w:rPr>
          <w:rFonts w:hint="eastAsia" w:ascii="宋体" w:hAnsi="宋体" w:eastAsia="宋体" w:cs="宋体"/>
          <w:color w:val="auto"/>
          <w:szCs w:val="21"/>
          <w:highlight w:val="none"/>
        </w:rPr>
        <w:t>。</w:t>
      </w:r>
    </w:p>
    <w:p w14:paraId="67A0062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预付款扣回的方式：</w:t>
      </w:r>
      <w:r>
        <w:rPr>
          <w:rFonts w:hint="eastAsia" w:ascii="宋体" w:hAnsi="宋体" w:eastAsia="宋体" w:cs="宋体"/>
          <w:color w:val="auto"/>
          <w:szCs w:val="21"/>
          <w:highlight w:val="none"/>
          <w:u w:val="single"/>
        </w:rPr>
        <w:t>不扣除</w:t>
      </w:r>
      <w:r>
        <w:rPr>
          <w:rFonts w:hint="eastAsia" w:ascii="宋体" w:hAnsi="宋体" w:eastAsia="宋体" w:cs="宋体"/>
          <w:color w:val="auto"/>
          <w:szCs w:val="21"/>
          <w:highlight w:val="none"/>
        </w:rPr>
        <w:t>。</w:t>
      </w:r>
    </w:p>
    <w:p w14:paraId="5340F244">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12.2.2预付款担保</w:t>
      </w:r>
    </w:p>
    <w:p w14:paraId="0466F983">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承包人提交预付款担保的期限：</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CE07DD1">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预付款担保的形式为：</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5328BD8">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62" w:name="_Toc512164644"/>
      <w:bookmarkStart w:id="363" w:name="_Toc504119110"/>
      <w:bookmarkStart w:id="364" w:name="_Toc510377825"/>
      <w:bookmarkStart w:id="365" w:name="_Toc505785409"/>
      <w:r>
        <w:rPr>
          <w:rFonts w:hint="eastAsia" w:ascii="宋体" w:hAnsi="宋体" w:eastAsia="宋体" w:cs="宋体"/>
          <w:bCs/>
          <w:color w:val="auto"/>
          <w:szCs w:val="21"/>
          <w:highlight w:val="none"/>
          <w:lang w:val="zh-CN"/>
        </w:rPr>
        <w:t>12.3计量</w:t>
      </w:r>
      <w:bookmarkEnd w:id="362"/>
      <w:bookmarkEnd w:id="363"/>
      <w:bookmarkEnd w:id="364"/>
      <w:bookmarkEnd w:id="365"/>
    </w:p>
    <w:p w14:paraId="378FF4F6">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12.3.1计量原则</w:t>
      </w:r>
    </w:p>
    <w:p w14:paraId="68003C48">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工程量计算规则：</w:t>
      </w:r>
      <w:r>
        <w:rPr>
          <w:rFonts w:hint="eastAsia" w:ascii="宋体" w:hAnsi="宋体" w:eastAsia="宋体" w:cs="宋体"/>
          <w:color w:val="auto"/>
          <w:szCs w:val="21"/>
          <w:highlight w:val="none"/>
          <w:u w:val="single"/>
        </w:rPr>
        <w:t>按《建设工程工程量清单计价规范》（GB50500-2013）以及云南省现行建设工程计价定额执行</w:t>
      </w:r>
      <w:r>
        <w:rPr>
          <w:rFonts w:hint="eastAsia" w:ascii="宋体" w:hAnsi="宋体" w:eastAsia="宋体" w:cs="宋体"/>
          <w:color w:val="auto"/>
          <w:szCs w:val="21"/>
          <w:highlight w:val="none"/>
        </w:rPr>
        <w:t>。</w:t>
      </w:r>
    </w:p>
    <w:p w14:paraId="085E21BC">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12.3.2计量周期</w:t>
      </w:r>
    </w:p>
    <w:p w14:paraId="2ABA576F">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关于计量周期的约定：</w:t>
      </w:r>
      <w:r>
        <w:rPr>
          <w:rFonts w:hint="eastAsia" w:ascii="宋体" w:hAnsi="宋体" w:eastAsia="宋体" w:cs="宋体"/>
          <w:color w:val="auto"/>
          <w:szCs w:val="21"/>
          <w:highlight w:val="none"/>
          <w:u w:val="single"/>
        </w:rPr>
        <w:t>按现场监理规范及时计量</w:t>
      </w:r>
      <w:r>
        <w:rPr>
          <w:rFonts w:hint="eastAsia" w:ascii="宋体" w:hAnsi="宋体" w:eastAsia="宋体" w:cs="宋体"/>
          <w:color w:val="auto"/>
          <w:szCs w:val="21"/>
          <w:highlight w:val="none"/>
        </w:rPr>
        <w:t>。</w:t>
      </w:r>
    </w:p>
    <w:p w14:paraId="4F74BF39">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12.3.3单价合同的计量</w:t>
      </w:r>
    </w:p>
    <w:p w14:paraId="42E776B6">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关于单价合同计量的约定：</w:t>
      </w:r>
      <w:r>
        <w:rPr>
          <w:rFonts w:hint="eastAsia" w:ascii="宋体" w:hAnsi="宋体" w:eastAsia="宋体" w:cs="宋体"/>
          <w:color w:val="auto"/>
          <w:szCs w:val="21"/>
          <w:highlight w:val="none"/>
          <w:u w:val="single"/>
        </w:rPr>
        <w:t>⑴承包人应于每月25日向监理人报送上月20日至当月19日已完成的工程量报告，并附具进度付款申请表、已</w:t>
      </w:r>
      <w:r>
        <w:rPr>
          <w:rFonts w:hint="eastAsia" w:ascii="宋体" w:hAnsi="宋体" w:eastAsia="宋体" w:cs="宋体"/>
          <w:color w:val="auto"/>
          <w:szCs w:val="21"/>
          <w:highlight w:val="none"/>
          <w:u w:val="single"/>
          <w:lang w:eastAsia="zh-CN"/>
        </w:rPr>
        <w:t>完成</w:t>
      </w:r>
      <w:r>
        <w:rPr>
          <w:rFonts w:hint="eastAsia" w:ascii="宋体" w:hAnsi="宋体" w:eastAsia="宋体" w:cs="宋体"/>
          <w:color w:val="auto"/>
          <w:szCs w:val="21"/>
          <w:highlight w:val="none"/>
          <w:u w:val="single"/>
        </w:rPr>
        <w:t>工程量报表和有关资料。⑵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hint="eastAsia" w:ascii="宋体" w:hAnsi="宋体" w:eastAsia="宋体" w:cs="宋体"/>
          <w:color w:val="auto"/>
          <w:szCs w:val="21"/>
          <w:highlight w:val="none"/>
        </w:rPr>
        <w:t>。</w:t>
      </w:r>
    </w:p>
    <w:p w14:paraId="1C84B52A">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12.3.4总价合同的计量</w:t>
      </w:r>
    </w:p>
    <w:p w14:paraId="254A32B8">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关于总价合同计量的约定：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5175A928">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12.3.5总价合同采用支付分解表计量支付的，是否适用第</w:t>
      </w:r>
      <w:r>
        <w:rPr>
          <w:rFonts w:hint="eastAsia" w:ascii="宋体" w:hAnsi="宋体" w:eastAsia="宋体" w:cs="宋体"/>
          <w:color w:val="auto"/>
          <w:kern w:val="0"/>
          <w:szCs w:val="21"/>
          <w:highlight w:val="none"/>
        </w:rPr>
        <w:t xml:space="preserve">12.3.4 </w:t>
      </w:r>
      <w:r>
        <w:rPr>
          <w:rFonts w:hint="eastAsia" w:ascii="宋体" w:hAnsi="宋体" w:eastAsia="宋体" w:cs="宋体"/>
          <w:color w:val="auto"/>
          <w:szCs w:val="21"/>
          <w:highlight w:val="none"/>
        </w:rPr>
        <w:t>项</w:t>
      </w:r>
      <w:r>
        <w:rPr>
          <w:rFonts w:hint="eastAsia" w:ascii="宋体" w:hAnsi="宋体" w:eastAsia="宋体" w:cs="宋体"/>
          <w:color w:val="auto"/>
          <w:kern w:val="0"/>
          <w:szCs w:val="21"/>
          <w:highlight w:val="none"/>
        </w:rPr>
        <w:t>〔总价合同的计量〕</w:t>
      </w:r>
      <w:r>
        <w:rPr>
          <w:rFonts w:hint="eastAsia" w:ascii="宋体" w:hAnsi="宋体" w:eastAsia="宋体" w:cs="宋体"/>
          <w:color w:val="auto"/>
          <w:szCs w:val="21"/>
          <w:highlight w:val="none"/>
        </w:rPr>
        <w:t>约定进行计量：</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6CBD60A9">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12.3.6其他价格形式合同的计量</w:t>
      </w:r>
    </w:p>
    <w:p w14:paraId="6B7A004E">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其他价格形式的计量方式和程序：</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E42EB08">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12.4工程进度款支付</w:t>
      </w:r>
    </w:p>
    <w:p w14:paraId="60C17E0A">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12.4.1付款周期</w:t>
      </w:r>
    </w:p>
    <w:p w14:paraId="66575993">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关于付款周期的约定：</w:t>
      </w:r>
      <w:r>
        <w:rPr>
          <w:rFonts w:hint="eastAsia" w:ascii="宋体" w:hAnsi="宋体" w:eastAsia="宋体" w:cs="宋体"/>
          <w:color w:val="auto"/>
          <w:szCs w:val="21"/>
          <w:highlight w:val="none"/>
          <w:u w:val="single"/>
        </w:rPr>
        <w:t>以双方协商为准</w:t>
      </w:r>
      <w:r>
        <w:rPr>
          <w:rFonts w:hint="eastAsia" w:ascii="宋体" w:hAnsi="宋体" w:eastAsia="宋体" w:cs="宋体"/>
          <w:color w:val="auto"/>
          <w:szCs w:val="21"/>
          <w:highlight w:val="none"/>
        </w:rPr>
        <w:t>。</w:t>
      </w:r>
    </w:p>
    <w:p w14:paraId="21B7955D">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12.4.2进度付款申请单的编制</w:t>
      </w:r>
    </w:p>
    <w:p w14:paraId="4673B928">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关于进度付款申请单编制的约定：</w:t>
      </w:r>
      <w:r>
        <w:rPr>
          <w:rFonts w:hint="eastAsia" w:ascii="宋体" w:hAnsi="宋体" w:eastAsia="宋体" w:cs="宋体"/>
          <w:color w:val="auto"/>
          <w:szCs w:val="21"/>
          <w:highlight w:val="none"/>
          <w:u w:val="single"/>
        </w:rPr>
        <w:t>一式四份</w:t>
      </w:r>
      <w:r>
        <w:rPr>
          <w:rFonts w:hint="eastAsia" w:ascii="宋体" w:hAnsi="宋体" w:eastAsia="宋体" w:cs="宋体"/>
          <w:color w:val="auto"/>
          <w:szCs w:val="21"/>
          <w:highlight w:val="none"/>
        </w:rPr>
        <w:t>。</w:t>
      </w:r>
    </w:p>
    <w:p w14:paraId="637307FA">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12.4.3进度付款申请单的提交</w:t>
      </w:r>
    </w:p>
    <w:p w14:paraId="668540D6">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⑴单价合同进度付款申请单提交的约定：</w:t>
      </w:r>
      <w:r>
        <w:rPr>
          <w:rFonts w:hint="eastAsia" w:ascii="宋体" w:hAnsi="宋体" w:eastAsia="宋体" w:cs="宋体"/>
          <w:color w:val="auto"/>
          <w:szCs w:val="21"/>
          <w:highlight w:val="none"/>
          <w:u w:val="single"/>
        </w:rPr>
        <w:t>每周监理例会提交本周完成工程进度报表一式四份</w:t>
      </w:r>
      <w:r>
        <w:rPr>
          <w:rFonts w:hint="eastAsia" w:ascii="宋体" w:hAnsi="宋体" w:eastAsia="宋体" w:cs="宋体"/>
          <w:color w:val="auto"/>
          <w:szCs w:val="21"/>
          <w:highlight w:val="none"/>
        </w:rPr>
        <w:t>。</w:t>
      </w:r>
    </w:p>
    <w:p w14:paraId="42F5169A">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⑵总价合同进度付款申请单提交的约定：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7D77779">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⑶其他价格形式合同进度付款申请单提交的约定：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37B3C8F3">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12.4.4进度款审核和支付</w:t>
      </w:r>
    </w:p>
    <w:p w14:paraId="1B683109">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⑴监理人审查并报送发包人的期限：</w:t>
      </w:r>
      <w:r>
        <w:rPr>
          <w:rFonts w:hint="eastAsia" w:ascii="宋体" w:hAnsi="宋体" w:eastAsia="宋体" w:cs="宋体"/>
          <w:color w:val="auto"/>
          <w:szCs w:val="21"/>
          <w:highlight w:val="none"/>
          <w:u w:val="single"/>
        </w:rPr>
        <w:t>收到申请7天内</w:t>
      </w:r>
      <w:r>
        <w:rPr>
          <w:rFonts w:hint="eastAsia" w:ascii="宋体" w:hAnsi="宋体" w:eastAsia="宋体" w:cs="宋体"/>
          <w:color w:val="auto"/>
          <w:szCs w:val="21"/>
          <w:highlight w:val="none"/>
        </w:rPr>
        <w:t>。</w:t>
      </w:r>
    </w:p>
    <w:p w14:paraId="4B45455B">
      <w:pPr>
        <w:spacing w:line="360" w:lineRule="auto"/>
        <w:ind w:firstLine="44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发包人完成审批并签发进度款支付证书的期限及额度：</w:t>
      </w:r>
      <w:r>
        <w:rPr>
          <w:rFonts w:hint="eastAsia" w:ascii="宋体" w:hAnsi="宋体" w:eastAsia="宋体" w:cs="宋体"/>
          <w:color w:val="auto"/>
          <w:szCs w:val="21"/>
          <w:highlight w:val="none"/>
          <w:u w:val="single"/>
        </w:rPr>
        <w:t>收到监理人审核确认的申请单后7日内，按审核后的工程已完进度额度的60％支付当月已完工程进度款项，工程竣工验收合格、完成工程结算报送发包人委托的审计单位，取得最终审计决算报告后30天内支付至工程决算金额的97％，留3％作为工程质量保修金，在工程保修期满后无质量问题在30天内不计息退还，如出现质量问题，按实际双方协商的情况不计息退还</w:t>
      </w:r>
      <w:r>
        <w:rPr>
          <w:rFonts w:hint="eastAsia" w:ascii="宋体" w:hAnsi="宋体" w:eastAsia="宋体" w:cs="宋体"/>
          <w:color w:val="auto"/>
          <w:szCs w:val="21"/>
          <w:highlight w:val="none"/>
        </w:rPr>
        <w:t>。</w:t>
      </w:r>
    </w:p>
    <w:p w14:paraId="4A2264E0">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⑵发包人支付进度款的期限：</w:t>
      </w:r>
      <w:r>
        <w:rPr>
          <w:rFonts w:hint="eastAsia" w:ascii="宋体" w:hAnsi="宋体" w:eastAsia="宋体" w:cs="宋体"/>
          <w:color w:val="auto"/>
          <w:szCs w:val="21"/>
          <w:highlight w:val="none"/>
          <w:u w:val="single"/>
        </w:rPr>
        <w:t xml:space="preserve"> 7天内</w:t>
      </w:r>
      <w:r>
        <w:rPr>
          <w:rFonts w:hint="eastAsia" w:ascii="宋体" w:hAnsi="宋体" w:eastAsia="宋体" w:cs="宋体"/>
          <w:color w:val="auto"/>
          <w:szCs w:val="21"/>
          <w:highlight w:val="none"/>
        </w:rPr>
        <w:t>。</w:t>
      </w:r>
    </w:p>
    <w:p w14:paraId="4A8FEA23">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发包人逾期支付进度款的违约金的计算方式：</w:t>
      </w:r>
      <w:r>
        <w:rPr>
          <w:rFonts w:hint="eastAsia" w:ascii="宋体" w:hAnsi="宋体" w:eastAsia="宋体" w:cs="宋体"/>
          <w:color w:val="auto"/>
          <w:szCs w:val="21"/>
          <w:highlight w:val="none"/>
          <w:u w:val="single"/>
        </w:rPr>
        <w:t>付款申请经审查通过后14天内支付，但若发包人资金还没有到位时，承包人不能因资金不到位影响施工工期，不得怠工、停工，必须确保工程质量进度按期完成，所缺资金自行解决</w:t>
      </w:r>
      <w:r>
        <w:rPr>
          <w:rFonts w:hint="eastAsia" w:ascii="宋体" w:hAnsi="宋体" w:eastAsia="宋体" w:cs="宋体"/>
          <w:color w:val="auto"/>
          <w:szCs w:val="21"/>
          <w:highlight w:val="none"/>
        </w:rPr>
        <w:t>。</w:t>
      </w:r>
    </w:p>
    <w:p w14:paraId="6AE74D74">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12.4.6 支付分解表的编制</w:t>
      </w:r>
    </w:p>
    <w:p w14:paraId="75AB3205">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2、总价合同支付分解表的编制与审批：</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706709DE">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3、单价合同的总价项目支付分解表的编制与审批：</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D36BB45">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66" w:name="_Toc512164645"/>
      <w:bookmarkStart w:id="367" w:name="_Toc504119111"/>
      <w:bookmarkStart w:id="368" w:name="_Toc505785410"/>
      <w:bookmarkStart w:id="369" w:name="_Toc510377826"/>
      <w:r>
        <w:rPr>
          <w:rFonts w:hint="eastAsia" w:ascii="宋体" w:hAnsi="宋体" w:eastAsia="宋体" w:cs="宋体"/>
          <w:bCs/>
          <w:color w:val="auto"/>
          <w:szCs w:val="21"/>
          <w:highlight w:val="none"/>
          <w:lang w:val="zh-CN"/>
        </w:rPr>
        <w:t>13.验收和工程试车</w:t>
      </w:r>
      <w:bookmarkEnd w:id="366"/>
      <w:bookmarkEnd w:id="367"/>
      <w:bookmarkEnd w:id="368"/>
      <w:bookmarkEnd w:id="369"/>
    </w:p>
    <w:p w14:paraId="72CF2601">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70" w:name="_Toc504119112"/>
      <w:bookmarkStart w:id="371" w:name="_Toc512164646"/>
      <w:bookmarkStart w:id="372" w:name="_Toc505785411"/>
      <w:bookmarkStart w:id="373" w:name="_Toc510377827"/>
      <w:r>
        <w:rPr>
          <w:rFonts w:hint="eastAsia" w:ascii="宋体" w:hAnsi="宋体" w:eastAsia="宋体" w:cs="宋体"/>
          <w:bCs/>
          <w:color w:val="auto"/>
          <w:szCs w:val="21"/>
          <w:highlight w:val="none"/>
          <w:lang w:val="zh-CN"/>
        </w:rPr>
        <w:t>13.1分部分项工程验收</w:t>
      </w:r>
      <w:bookmarkEnd w:id="370"/>
      <w:bookmarkEnd w:id="371"/>
      <w:bookmarkEnd w:id="372"/>
      <w:bookmarkEnd w:id="373"/>
    </w:p>
    <w:p w14:paraId="319B84B2">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13.1.2监理人不能按时进行验收时，应提前</w:t>
      </w:r>
      <w:r>
        <w:rPr>
          <w:rFonts w:hint="eastAsia" w:ascii="宋体" w:hAnsi="宋体" w:eastAsia="宋体" w:cs="宋体"/>
          <w:color w:val="auto"/>
          <w:szCs w:val="21"/>
          <w:highlight w:val="none"/>
          <w:u w:val="single"/>
        </w:rPr>
        <w:t xml:space="preserve"> 24 </w:t>
      </w:r>
      <w:r>
        <w:rPr>
          <w:rFonts w:hint="eastAsia" w:ascii="宋体" w:hAnsi="宋体" w:eastAsia="宋体" w:cs="宋体"/>
          <w:color w:val="auto"/>
          <w:szCs w:val="21"/>
          <w:highlight w:val="none"/>
        </w:rPr>
        <w:t>小时提交书面延期要求。</w:t>
      </w:r>
    </w:p>
    <w:p w14:paraId="04F387E7">
      <w:pPr>
        <w:spacing w:line="360" w:lineRule="auto"/>
        <w:ind w:firstLine="440" w:firstLineChars="200"/>
        <w:jc w:val="lef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关于延期最长不得超过：</w:t>
      </w:r>
      <w:r>
        <w:rPr>
          <w:rFonts w:hint="eastAsia" w:ascii="宋体" w:hAnsi="宋体" w:eastAsia="宋体" w:cs="宋体"/>
          <w:color w:val="auto"/>
          <w:szCs w:val="21"/>
          <w:highlight w:val="none"/>
          <w:u w:val="single"/>
        </w:rPr>
        <w:t xml:space="preserve"> 48 </w:t>
      </w:r>
      <w:r>
        <w:rPr>
          <w:rFonts w:hint="eastAsia" w:ascii="宋体" w:hAnsi="宋体" w:eastAsia="宋体" w:cs="宋体"/>
          <w:color w:val="auto"/>
          <w:szCs w:val="21"/>
          <w:highlight w:val="none"/>
        </w:rPr>
        <w:t>小时。</w:t>
      </w:r>
    </w:p>
    <w:p w14:paraId="2858A262">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74" w:name="_Toc504119113"/>
      <w:bookmarkStart w:id="375" w:name="_Toc512164647"/>
      <w:bookmarkStart w:id="376" w:name="_Toc510377828"/>
      <w:bookmarkStart w:id="377" w:name="_Toc505785412"/>
      <w:r>
        <w:rPr>
          <w:rFonts w:hint="eastAsia" w:ascii="宋体" w:hAnsi="宋体" w:eastAsia="宋体" w:cs="宋体"/>
          <w:bCs/>
          <w:color w:val="auto"/>
          <w:szCs w:val="21"/>
          <w:highlight w:val="none"/>
          <w:lang w:val="zh-CN"/>
        </w:rPr>
        <w:t>13.2竣工验收</w:t>
      </w:r>
      <w:bookmarkEnd w:id="374"/>
      <w:bookmarkEnd w:id="375"/>
      <w:bookmarkEnd w:id="376"/>
      <w:bookmarkEnd w:id="377"/>
    </w:p>
    <w:p w14:paraId="3448483E">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13.2.2竣工验收程序</w:t>
      </w:r>
    </w:p>
    <w:p w14:paraId="05C1EC3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关于竣工验收程序的约定：</w:t>
      </w:r>
      <w:r>
        <w:rPr>
          <w:rFonts w:hint="eastAsia" w:ascii="宋体" w:hAnsi="宋体" w:eastAsia="宋体" w:cs="宋体"/>
          <w:color w:val="auto"/>
          <w:szCs w:val="21"/>
          <w:highlight w:val="none"/>
          <w:u w:val="single"/>
        </w:rPr>
        <w:t>①分部分项工程验收：分部分项工程完工后，承包人应在三天内向监理提出书面验收通知，监理人接到通知后应在合理的时间内组织相关人员进行验收。②隐蔽工程的验收：隐蔽工程完工后，由承包人发出隐蔽工程验收通知，由监理组织相关人员验收，变更工程的隐蔽工程还须通知审计方参加验收。③承包人必须保证分部分项工程及整体工程一次性达到100％验收合格。④承包人在工程竣工验收后，应在有关法规规定的期限内，向发包人提供一式六份完整的、经核验签证后的竣工资料及竣工图，且必须保证其符合城建档案规定的要求</w:t>
      </w:r>
      <w:r>
        <w:rPr>
          <w:rFonts w:hint="eastAsia" w:ascii="宋体" w:hAnsi="宋体" w:eastAsia="宋体" w:cs="宋体"/>
          <w:color w:val="auto"/>
          <w:szCs w:val="21"/>
          <w:highlight w:val="none"/>
        </w:rPr>
        <w:t>。</w:t>
      </w:r>
    </w:p>
    <w:p w14:paraId="68FA9157">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发包人不按照本项约定组织竣工验收、颁发工程接收证书的违约金的计算方法：</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8946CBD">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13.2.5移交、接收全部与部分工程</w:t>
      </w:r>
    </w:p>
    <w:p w14:paraId="2281AFA8">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承包人向发包人移交工程的期限：</w:t>
      </w:r>
      <w:r>
        <w:rPr>
          <w:rFonts w:hint="eastAsia" w:ascii="宋体" w:hAnsi="宋体" w:eastAsia="宋体" w:cs="宋体"/>
          <w:color w:val="auto"/>
          <w:szCs w:val="21"/>
          <w:highlight w:val="none"/>
          <w:u w:val="single"/>
        </w:rPr>
        <w:t>颁发工程接收证书后7天内</w:t>
      </w:r>
      <w:r>
        <w:rPr>
          <w:rFonts w:hint="eastAsia" w:ascii="宋体" w:hAnsi="宋体" w:eastAsia="宋体" w:cs="宋体"/>
          <w:color w:val="auto"/>
          <w:szCs w:val="21"/>
          <w:highlight w:val="none"/>
        </w:rPr>
        <w:t>。</w:t>
      </w:r>
    </w:p>
    <w:p w14:paraId="1D09C223">
      <w:pPr>
        <w:spacing w:line="360" w:lineRule="auto"/>
        <w:ind w:firstLine="44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kern w:val="0"/>
          <w:szCs w:val="21"/>
          <w:highlight w:val="none"/>
        </w:rPr>
        <w:t>发包人未按本合同约定接收全部或部分工程的，违约金的计算方法为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282F65AD">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承包人未按时移交工程的，违约金的计算方法为：</w:t>
      </w:r>
      <w:r>
        <w:rPr>
          <w:rFonts w:hint="eastAsia" w:ascii="宋体" w:hAnsi="宋体" w:eastAsia="宋体" w:cs="宋体"/>
          <w:color w:val="auto"/>
          <w:szCs w:val="21"/>
          <w:highlight w:val="none"/>
          <w:u w:val="single"/>
        </w:rPr>
        <w:t>双方另行确定</w:t>
      </w:r>
      <w:r>
        <w:rPr>
          <w:rFonts w:hint="eastAsia" w:ascii="宋体" w:hAnsi="宋体" w:eastAsia="宋体" w:cs="宋体"/>
          <w:color w:val="auto"/>
          <w:szCs w:val="21"/>
          <w:highlight w:val="none"/>
        </w:rPr>
        <w:t>。</w:t>
      </w:r>
    </w:p>
    <w:p w14:paraId="6CBCBDA4">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78" w:name="_Toc505785413"/>
      <w:bookmarkStart w:id="379" w:name="_Toc504119114"/>
      <w:bookmarkStart w:id="380" w:name="_Toc512164648"/>
      <w:bookmarkStart w:id="381" w:name="_Toc510377829"/>
      <w:r>
        <w:rPr>
          <w:rFonts w:hint="eastAsia" w:ascii="宋体" w:hAnsi="宋体" w:eastAsia="宋体" w:cs="宋体"/>
          <w:bCs/>
          <w:color w:val="auto"/>
          <w:szCs w:val="21"/>
          <w:highlight w:val="none"/>
          <w:lang w:val="zh-CN"/>
        </w:rPr>
        <w:t>13.3工程试车</w:t>
      </w:r>
      <w:bookmarkEnd w:id="378"/>
      <w:bookmarkEnd w:id="379"/>
      <w:bookmarkEnd w:id="380"/>
      <w:bookmarkEnd w:id="381"/>
    </w:p>
    <w:p w14:paraId="6FF73DBC">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13.3.1试车程序</w:t>
      </w:r>
    </w:p>
    <w:p w14:paraId="12A0A3A5">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工程试车内容</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施工图设计及合同约定项下的全部内容</w:t>
      </w:r>
      <w:r>
        <w:rPr>
          <w:rFonts w:hint="eastAsia" w:ascii="宋体" w:hAnsi="宋体" w:eastAsia="宋体" w:cs="宋体"/>
          <w:color w:val="auto"/>
          <w:szCs w:val="21"/>
          <w:highlight w:val="none"/>
        </w:rPr>
        <w:t>。</w:t>
      </w:r>
    </w:p>
    <w:p w14:paraId="562CC718">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⑴单机无负荷试车费用由</w:t>
      </w:r>
      <w:r>
        <w:rPr>
          <w:rFonts w:hint="eastAsia" w:ascii="宋体" w:hAnsi="宋体" w:eastAsia="宋体" w:cs="宋体"/>
          <w:color w:val="auto"/>
          <w:szCs w:val="21"/>
          <w:highlight w:val="none"/>
          <w:u w:val="single"/>
        </w:rPr>
        <w:t>承包人</w:t>
      </w:r>
      <w:r>
        <w:rPr>
          <w:rFonts w:hint="eastAsia" w:ascii="宋体" w:hAnsi="宋体" w:eastAsia="宋体" w:cs="宋体"/>
          <w:color w:val="auto"/>
          <w:kern w:val="0"/>
          <w:szCs w:val="21"/>
          <w:highlight w:val="none"/>
        </w:rPr>
        <w:t>承担；</w:t>
      </w:r>
    </w:p>
    <w:p w14:paraId="2FEDDD01">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⑵无负荷联动试车费用由</w:t>
      </w:r>
      <w:r>
        <w:rPr>
          <w:rFonts w:hint="eastAsia" w:ascii="宋体" w:hAnsi="宋体" w:eastAsia="宋体" w:cs="宋体"/>
          <w:color w:val="auto"/>
          <w:szCs w:val="21"/>
          <w:highlight w:val="none"/>
          <w:u w:val="single"/>
        </w:rPr>
        <w:t>承包人</w:t>
      </w:r>
      <w:r>
        <w:rPr>
          <w:rFonts w:hint="eastAsia" w:ascii="宋体" w:hAnsi="宋体" w:eastAsia="宋体" w:cs="宋体"/>
          <w:color w:val="auto"/>
          <w:kern w:val="0"/>
          <w:szCs w:val="21"/>
          <w:highlight w:val="none"/>
        </w:rPr>
        <w:t>承担。</w:t>
      </w:r>
    </w:p>
    <w:p w14:paraId="06D100A1">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13.3.3投料试车</w:t>
      </w:r>
    </w:p>
    <w:p w14:paraId="5A77B8B2">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关于投料试车相关事项的约定</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需投料试车的相关项目费用由承包人承担至验收合格</w:t>
      </w:r>
      <w:r>
        <w:rPr>
          <w:rFonts w:hint="eastAsia" w:ascii="宋体" w:hAnsi="宋体" w:eastAsia="宋体" w:cs="宋体"/>
          <w:color w:val="auto"/>
          <w:szCs w:val="21"/>
          <w:highlight w:val="none"/>
        </w:rPr>
        <w:t>。</w:t>
      </w:r>
    </w:p>
    <w:p w14:paraId="7C79E8B8">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82" w:name="_Toc512164649"/>
      <w:bookmarkStart w:id="383" w:name="_Toc505785414"/>
      <w:bookmarkStart w:id="384" w:name="_Toc510377830"/>
      <w:bookmarkStart w:id="385" w:name="_Toc504119115"/>
      <w:r>
        <w:rPr>
          <w:rFonts w:hint="eastAsia" w:ascii="宋体" w:hAnsi="宋体" w:eastAsia="宋体" w:cs="宋体"/>
          <w:bCs/>
          <w:color w:val="auto"/>
          <w:szCs w:val="21"/>
          <w:highlight w:val="none"/>
          <w:lang w:val="zh-CN"/>
        </w:rPr>
        <w:t>13.6竣工退场</w:t>
      </w:r>
      <w:bookmarkEnd w:id="382"/>
      <w:bookmarkEnd w:id="383"/>
      <w:bookmarkEnd w:id="384"/>
      <w:bookmarkEnd w:id="385"/>
    </w:p>
    <w:p w14:paraId="19526577">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13.6.1竣工退场</w:t>
      </w:r>
    </w:p>
    <w:p w14:paraId="31D27930">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承包人完成竣工退场的期限：</w:t>
      </w:r>
      <w:r>
        <w:rPr>
          <w:rFonts w:hint="eastAsia" w:ascii="宋体" w:hAnsi="宋体" w:eastAsia="宋体" w:cs="宋体"/>
          <w:color w:val="auto"/>
          <w:szCs w:val="21"/>
          <w:highlight w:val="none"/>
          <w:u w:val="single"/>
        </w:rPr>
        <w:t>颁发工程接收证书后，并完成通用条款13.6.1条所列内容后7天内完成竣工退场</w:t>
      </w:r>
      <w:r>
        <w:rPr>
          <w:rFonts w:hint="eastAsia" w:ascii="宋体" w:hAnsi="宋体" w:eastAsia="宋体" w:cs="宋体"/>
          <w:color w:val="auto"/>
          <w:kern w:val="0"/>
          <w:szCs w:val="21"/>
          <w:highlight w:val="none"/>
        </w:rPr>
        <w:t>。</w:t>
      </w:r>
    </w:p>
    <w:p w14:paraId="2DCD84DC">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86" w:name="_Toc512164650"/>
      <w:bookmarkStart w:id="387" w:name="_Toc505785415"/>
      <w:bookmarkStart w:id="388" w:name="_Toc510377831"/>
      <w:bookmarkStart w:id="389" w:name="_Toc504119116"/>
      <w:r>
        <w:rPr>
          <w:rFonts w:hint="eastAsia" w:ascii="宋体" w:hAnsi="宋体" w:eastAsia="宋体" w:cs="宋体"/>
          <w:bCs/>
          <w:color w:val="auto"/>
          <w:szCs w:val="21"/>
          <w:highlight w:val="none"/>
          <w:lang w:val="zh-CN"/>
        </w:rPr>
        <w:t>14.竣工结算</w:t>
      </w:r>
      <w:bookmarkEnd w:id="386"/>
      <w:bookmarkEnd w:id="387"/>
      <w:bookmarkEnd w:id="388"/>
      <w:bookmarkEnd w:id="389"/>
    </w:p>
    <w:p w14:paraId="60BA164B">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90" w:name="_Toc505785416"/>
      <w:bookmarkStart w:id="391" w:name="_Toc504119117"/>
      <w:bookmarkStart w:id="392" w:name="_Toc510377832"/>
      <w:bookmarkStart w:id="393" w:name="_Toc512164651"/>
      <w:r>
        <w:rPr>
          <w:rFonts w:hint="eastAsia" w:ascii="宋体" w:hAnsi="宋体" w:eastAsia="宋体" w:cs="宋体"/>
          <w:bCs/>
          <w:color w:val="auto"/>
          <w:szCs w:val="21"/>
          <w:highlight w:val="none"/>
          <w:lang w:val="zh-CN"/>
        </w:rPr>
        <w:t>14.1竣工付款申请</w:t>
      </w:r>
      <w:bookmarkEnd w:id="390"/>
      <w:bookmarkEnd w:id="391"/>
      <w:bookmarkEnd w:id="392"/>
      <w:bookmarkEnd w:id="393"/>
    </w:p>
    <w:p w14:paraId="32A649A8">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承包人提交竣工付款申请单的期限：</w:t>
      </w:r>
      <w:r>
        <w:rPr>
          <w:rFonts w:hint="eastAsia" w:ascii="宋体" w:hAnsi="宋体" w:eastAsia="宋体" w:cs="宋体"/>
          <w:color w:val="auto"/>
          <w:szCs w:val="21"/>
          <w:highlight w:val="none"/>
          <w:u w:val="single"/>
        </w:rPr>
        <w:t>工程竣工验收合格移交发包人后28天内</w:t>
      </w:r>
      <w:r>
        <w:rPr>
          <w:rFonts w:hint="eastAsia" w:ascii="宋体" w:hAnsi="宋体" w:eastAsia="宋体" w:cs="宋体"/>
          <w:color w:val="auto"/>
          <w:szCs w:val="21"/>
          <w:highlight w:val="none"/>
        </w:rPr>
        <w:t>。</w:t>
      </w:r>
    </w:p>
    <w:p w14:paraId="493BDC06">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竣工付款申请单应包括的内容：</w:t>
      </w:r>
      <w:r>
        <w:rPr>
          <w:rFonts w:hint="eastAsia" w:ascii="宋体" w:hAnsi="宋体" w:eastAsia="宋体" w:cs="宋体"/>
          <w:color w:val="auto"/>
          <w:szCs w:val="21"/>
          <w:highlight w:val="none"/>
          <w:u w:val="single"/>
        </w:rPr>
        <w:t>执行通用条款</w:t>
      </w:r>
      <w:r>
        <w:rPr>
          <w:rFonts w:hint="eastAsia" w:ascii="宋体" w:hAnsi="宋体" w:eastAsia="宋体" w:cs="宋体"/>
          <w:color w:val="auto"/>
          <w:szCs w:val="21"/>
          <w:highlight w:val="none"/>
        </w:rPr>
        <w:t>。</w:t>
      </w:r>
    </w:p>
    <w:p w14:paraId="120A4E81">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94" w:name="_Toc505785417"/>
      <w:bookmarkStart w:id="395" w:name="_Toc510377833"/>
      <w:bookmarkStart w:id="396" w:name="_Toc512164652"/>
      <w:bookmarkStart w:id="397" w:name="_Toc504119118"/>
      <w:r>
        <w:rPr>
          <w:rFonts w:hint="eastAsia" w:ascii="宋体" w:hAnsi="宋体" w:eastAsia="宋体" w:cs="宋体"/>
          <w:bCs/>
          <w:color w:val="auto"/>
          <w:szCs w:val="21"/>
          <w:highlight w:val="none"/>
          <w:lang w:val="zh-CN"/>
        </w:rPr>
        <w:t>14.2竣工结算审核</w:t>
      </w:r>
      <w:bookmarkEnd w:id="394"/>
      <w:bookmarkEnd w:id="395"/>
      <w:bookmarkEnd w:id="396"/>
      <w:bookmarkEnd w:id="397"/>
    </w:p>
    <w:p w14:paraId="05834728">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发包人审批竣工付款申请单的期限：</w:t>
      </w:r>
      <w:r>
        <w:rPr>
          <w:rFonts w:hint="eastAsia" w:ascii="宋体" w:hAnsi="宋体" w:eastAsia="宋体" w:cs="宋体"/>
          <w:color w:val="auto"/>
          <w:szCs w:val="21"/>
          <w:highlight w:val="none"/>
          <w:u w:val="single"/>
        </w:rPr>
        <w:t>发包人收到监理人审核通过的竣工付款申请单28天内</w:t>
      </w:r>
      <w:r>
        <w:rPr>
          <w:rFonts w:hint="eastAsia" w:ascii="宋体" w:hAnsi="宋体" w:eastAsia="宋体" w:cs="宋体"/>
          <w:color w:val="auto"/>
          <w:szCs w:val="21"/>
          <w:highlight w:val="none"/>
        </w:rPr>
        <w:t>。</w:t>
      </w:r>
    </w:p>
    <w:p w14:paraId="64E7E0A5">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发包人完成竣工付款的期限：</w:t>
      </w:r>
      <w:r>
        <w:rPr>
          <w:rFonts w:hint="eastAsia" w:ascii="宋体" w:hAnsi="宋体" w:eastAsia="宋体" w:cs="宋体"/>
          <w:color w:val="auto"/>
          <w:szCs w:val="21"/>
          <w:highlight w:val="none"/>
          <w:u w:val="single"/>
        </w:rPr>
        <w:t>签发竣工付款申请单28天内</w:t>
      </w:r>
      <w:r>
        <w:rPr>
          <w:rFonts w:hint="eastAsia" w:ascii="宋体" w:hAnsi="宋体" w:eastAsia="宋体" w:cs="宋体"/>
          <w:color w:val="auto"/>
          <w:szCs w:val="21"/>
          <w:highlight w:val="none"/>
        </w:rPr>
        <w:t>。</w:t>
      </w:r>
    </w:p>
    <w:p w14:paraId="337EA996">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关于竣工付款证书异议部分复核的方式和程序：</w:t>
      </w:r>
      <w:r>
        <w:rPr>
          <w:rFonts w:hint="eastAsia" w:ascii="宋体" w:hAnsi="宋体" w:eastAsia="宋体" w:cs="宋体"/>
          <w:color w:val="auto"/>
          <w:szCs w:val="21"/>
          <w:highlight w:val="none"/>
          <w:u w:val="single"/>
        </w:rPr>
        <w:t>执行通用条款</w:t>
      </w:r>
      <w:r>
        <w:rPr>
          <w:rFonts w:hint="eastAsia" w:ascii="宋体" w:hAnsi="宋体" w:eastAsia="宋体" w:cs="宋体"/>
          <w:color w:val="auto"/>
          <w:szCs w:val="21"/>
          <w:highlight w:val="none"/>
        </w:rPr>
        <w:t>。</w:t>
      </w:r>
    </w:p>
    <w:p w14:paraId="6A89E343">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398" w:name="_Toc504119119"/>
      <w:bookmarkStart w:id="399" w:name="_Toc505785418"/>
      <w:bookmarkStart w:id="400" w:name="_Toc512164653"/>
      <w:bookmarkStart w:id="401" w:name="_Toc510377834"/>
      <w:r>
        <w:rPr>
          <w:rFonts w:hint="eastAsia" w:ascii="宋体" w:hAnsi="宋体" w:eastAsia="宋体" w:cs="宋体"/>
          <w:bCs/>
          <w:color w:val="auto"/>
          <w:szCs w:val="21"/>
          <w:highlight w:val="none"/>
          <w:lang w:val="zh-CN"/>
        </w:rPr>
        <w:t>14.4最终结清</w:t>
      </w:r>
      <w:bookmarkEnd w:id="398"/>
      <w:bookmarkEnd w:id="399"/>
      <w:bookmarkEnd w:id="400"/>
      <w:bookmarkEnd w:id="401"/>
    </w:p>
    <w:p w14:paraId="2800168F">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14.4.1最终结清申请单</w:t>
      </w:r>
    </w:p>
    <w:p w14:paraId="77B88BCD">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承包人提交最终结清申请单的份数：</w:t>
      </w:r>
      <w:r>
        <w:rPr>
          <w:rFonts w:hint="eastAsia" w:ascii="宋体" w:hAnsi="宋体" w:eastAsia="宋体" w:cs="宋体"/>
          <w:color w:val="auto"/>
          <w:szCs w:val="21"/>
          <w:highlight w:val="none"/>
          <w:u w:val="single"/>
          <w:lang w:val="en-US" w:eastAsia="zh-CN"/>
        </w:rPr>
        <w:t>肆</w:t>
      </w:r>
      <w:r>
        <w:rPr>
          <w:rFonts w:hint="eastAsia" w:ascii="宋体" w:hAnsi="宋体" w:eastAsia="宋体" w:cs="宋体"/>
          <w:color w:val="auto"/>
          <w:szCs w:val="21"/>
          <w:highlight w:val="none"/>
          <w:u w:val="single"/>
        </w:rPr>
        <w:t>份</w:t>
      </w:r>
      <w:r>
        <w:rPr>
          <w:rFonts w:hint="eastAsia" w:ascii="宋体" w:hAnsi="宋体" w:eastAsia="宋体" w:cs="宋体"/>
          <w:color w:val="auto"/>
          <w:szCs w:val="21"/>
          <w:highlight w:val="none"/>
        </w:rPr>
        <w:t>。</w:t>
      </w:r>
    </w:p>
    <w:p w14:paraId="6A0B1357">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承包人提交最终结算申请单的期限：</w:t>
      </w:r>
      <w:r>
        <w:rPr>
          <w:rFonts w:hint="eastAsia" w:ascii="宋体" w:hAnsi="宋体" w:eastAsia="宋体" w:cs="宋体"/>
          <w:color w:val="auto"/>
          <w:szCs w:val="21"/>
          <w:highlight w:val="none"/>
          <w:u w:val="single"/>
        </w:rPr>
        <w:t>缺陷责任期终止、证书颁发后7天内</w:t>
      </w:r>
      <w:r>
        <w:rPr>
          <w:rFonts w:hint="eastAsia" w:ascii="宋体" w:hAnsi="宋体" w:eastAsia="宋体" w:cs="宋体"/>
          <w:color w:val="auto"/>
          <w:szCs w:val="21"/>
          <w:highlight w:val="none"/>
        </w:rPr>
        <w:t>。</w:t>
      </w:r>
    </w:p>
    <w:p w14:paraId="10AC2441">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14.4.2最终结清证书和支付</w:t>
      </w:r>
    </w:p>
    <w:p w14:paraId="32637930">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⑴发包人完成最终结清申请单的审批并颁发最终结清证书的期限：</w:t>
      </w:r>
      <w:r>
        <w:rPr>
          <w:rFonts w:hint="eastAsia" w:ascii="宋体" w:hAnsi="宋体" w:eastAsia="宋体" w:cs="宋体"/>
          <w:color w:val="auto"/>
          <w:szCs w:val="21"/>
          <w:highlight w:val="none"/>
          <w:u w:val="single"/>
        </w:rPr>
        <w:t>发包人收到监理人审核通过的最终结清申请单28天内</w:t>
      </w:r>
      <w:r>
        <w:rPr>
          <w:rFonts w:hint="eastAsia" w:ascii="宋体" w:hAnsi="宋体" w:eastAsia="宋体" w:cs="宋体"/>
          <w:color w:val="auto"/>
          <w:szCs w:val="21"/>
          <w:highlight w:val="none"/>
        </w:rPr>
        <w:t>。</w:t>
      </w:r>
    </w:p>
    <w:p w14:paraId="1D7E4A96">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⑵发包人完成支付的期限：</w:t>
      </w:r>
      <w:r>
        <w:rPr>
          <w:rFonts w:hint="eastAsia" w:ascii="宋体" w:hAnsi="宋体" w:eastAsia="宋体" w:cs="宋体"/>
          <w:color w:val="auto"/>
          <w:szCs w:val="21"/>
          <w:highlight w:val="none"/>
          <w:u w:val="single"/>
        </w:rPr>
        <w:t>签发最终结清申请单28天内</w:t>
      </w:r>
      <w:r>
        <w:rPr>
          <w:rFonts w:hint="eastAsia" w:ascii="宋体" w:hAnsi="宋体" w:eastAsia="宋体" w:cs="宋体"/>
          <w:color w:val="auto"/>
          <w:szCs w:val="21"/>
          <w:highlight w:val="none"/>
        </w:rPr>
        <w:t>。</w:t>
      </w:r>
    </w:p>
    <w:p w14:paraId="632F7C88">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02" w:name="_Toc510377835"/>
      <w:bookmarkStart w:id="403" w:name="_Toc512164654"/>
      <w:bookmarkStart w:id="404" w:name="_Toc504119120"/>
      <w:bookmarkStart w:id="405" w:name="_Toc505785419"/>
      <w:r>
        <w:rPr>
          <w:rFonts w:hint="eastAsia" w:ascii="宋体" w:hAnsi="宋体" w:eastAsia="宋体" w:cs="宋体"/>
          <w:bCs/>
          <w:color w:val="auto"/>
          <w:szCs w:val="21"/>
          <w:highlight w:val="none"/>
          <w:lang w:val="zh-CN"/>
        </w:rPr>
        <w:t>15.缺陷责任期与保修</w:t>
      </w:r>
      <w:bookmarkEnd w:id="402"/>
      <w:bookmarkEnd w:id="403"/>
      <w:bookmarkEnd w:id="404"/>
      <w:bookmarkEnd w:id="405"/>
    </w:p>
    <w:p w14:paraId="0428DC24">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06" w:name="_Toc510377836"/>
      <w:bookmarkStart w:id="407" w:name="_Toc512164655"/>
      <w:bookmarkStart w:id="408" w:name="_Toc505785420"/>
      <w:bookmarkStart w:id="409" w:name="_Toc504119121"/>
      <w:r>
        <w:rPr>
          <w:rFonts w:hint="eastAsia" w:ascii="宋体" w:hAnsi="宋体" w:eastAsia="宋体" w:cs="宋体"/>
          <w:bCs/>
          <w:color w:val="auto"/>
          <w:szCs w:val="21"/>
          <w:highlight w:val="none"/>
          <w:lang w:val="zh-CN"/>
        </w:rPr>
        <w:t>15.2缺陷责任期</w:t>
      </w:r>
      <w:bookmarkEnd w:id="406"/>
      <w:bookmarkEnd w:id="407"/>
      <w:bookmarkEnd w:id="408"/>
      <w:bookmarkEnd w:id="409"/>
    </w:p>
    <w:p w14:paraId="571044BC">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缺陷责任期的具体期限：</w:t>
      </w:r>
      <w:r>
        <w:rPr>
          <w:rFonts w:hint="eastAsia" w:ascii="宋体" w:hAnsi="宋体" w:eastAsia="宋体" w:cs="宋体"/>
          <w:color w:val="auto"/>
          <w:szCs w:val="21"/>
          <w:highlight w:val="none"/>
          <w:u w:val="single"/>
        </w:rPr>
        <w:t>本项目竣工验收合格之日起24个月</w:t>
      </w:r>
      <w:r>
        <w:rPr>
          <w:rFonts w:hint="eastAsia" w:ascii="宋体" w:hAnsi="宋体" w:eastAsia="宋体" w:cs="宋体"/>
          <w:color w:val="auto"/>
          <w:szCs w:val="21"/>
          <w:highlight w:val="none"/>
        </w:rPr>
        <w:t>。</w:t>
      </w:r>
    </w:p>
    <w:p w14:paraId="42001734">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10" w:name="_Toc505785421"/>
      <w:bookmarkStart w:id="411" w:name="_Toc504119122"/>
      <w:bookmarkStart w:id="412" w:name="_Toc510377837"/>
      <w:bookmarkStart w:id="413" w:name="_Toc512164656"/>
      <w:r>
        <w:rPr>
          <w:rFonts w:hint="eastAsia" w:ascii="宋体" w:hAnsi="宋体" w:eastAsia="宋体" w:cs="宋体"/>
          <w:bCs/>
          <w:color w:val="auto"/>
          <w:szCs w:val="21"/>
          <w:highlight w:val="none"/>
          <w:lang w:val="zh-CN"/>
        </w:rPr>
        <w:t>15.3质量保证金</w:t>
      </w:r>
      <w:bookmarkEnd w:id="410"/>
      <w:bookmarkEnd w:id="411"/>
      <w:bookmarkEnd w:id="412"/>
      <w:bookmarkEnd w:id="413"/>
    </w:p>
    <w:p w14:paraId="0F06C265">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根据《云南省住房和城乡建设厅、云南省财政厅文件云建建［2017］352号》规定：</w:t>
      </w:r>
    </w:p>
    <w:p w14:paraId="1DB65FA4">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⑴在合同签订时已缴纳履约保证金的，</w:t>
      </w:r>
      <w:r>
        <w:rPr>
          <w:rFonts w:hint="eastAsia" w:ascii="宋体" w:hAnsi="宋体" w:eastAsia="宋体" w:cs="宋体"/>
          <w:color w:val="auto"/>
          <w:szCs w:val="21"/>
          <w:highlight w:val="none"/>
          <w:lang w:eastAsia="zh-CN"/>
        </w:rPr>
        <w:t>不再</w:t>
      </w:r>
      <w:r>
        <w:rPr>
          <w:rFonts w:hint="eastAsia" w:ascii="宋体" w:hAnsi="宋体" w:eastAsia="宋体" w:cs="宋体"/>
          <w:color w:val="auto"/>
          <w:szCs w:val="21"/>
          <w:highlight w:val="none"/>
        </w:rPr>
        <w:t>扣留质量保证金。</w:t>
      </w:r>
    </w:p>
    <w:p w14:paraId="4766841D">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⑵在合同签订时未缴纳履约保证金的，按工程造价预留3％的质量保证金。</w:t>
      </w:r>
    </w:p>
    <w:p w14:paraId="34D3C621">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15.3.1承包人提供质量保证金的方式</w:t>
      </w:r>
    </w:p>
    <w:p w14:paraId="2B54151A">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质量保证金采用以下第</w:t>
      </w:r>
      <w:r>
        <w:rPr>
          <w:rFonts w:hint="eastAsia" w:ascii="宋体" w:hAnsi="宋体" w:eastAsia="宋体" w:cs="宋体"/>
          <w:color w:val="auto"/>
          <w:szCs w:val="21"/>
          <w:highlight w:val="none"/>
          <w:u w:val="single"/>
        </w:rPr>
        <w:t xml:space="preserve"> 2 </w:t>
      </w:r>
      <w:r>
        <w:rPr>
          <w:rFonts w:hint="eastAsia" w:ascii="宋体" w:hAnsi="宋体" w:eastAsia="宋体" w:cs="宋体"/>
          <w:color w:val="auto"/>
          <w:szCs w:val="21"/>
          <w:highlight w:val="none"/>
        </w:rPr>
        <w:t>种方式：</w:t>
      </w:r>
    </w:p>
    <w:p w14:paraId="4518FE69">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⑴质量保证金保函，保证金额为</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12F36D02">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⑵</w:t>
      </w:r>
      <w:r>
        <w:rPr>
          <w:rFonts w:hint="eastAsia" w:ascii="宋体" w:hAnsi="宋体" w:eastAsia="宋体" w:cs="宋体"/>
          <w:color w:val="auto"/>
          <w:kern w:val="0"/>
          <w:szCs w:val="21"/>
          <w:highlight w:val="none"/>
          <w:u w:val="single"/>
        </w:rPr>
        <w:t xml:space="preserve"> 3 </w:t>
      </w:r>
      <w:r>
        <w:rPr>
          <w:rFonts w:hint="eastAsia" w:ascii="宋体" w:hAnsi="宋体" w:eastAsia="宋体" w:cs="宋体"/>
          <w:color w:val="auto"/>
          <w:kern w:val="0"/>
          <w:szCs w:val="21"/>
          <w:highlight w:val="none"/>
        </w:rPr>
        <w:t>％的工程款；</w:t>
      </w:r>
    </w:p>
    <w:p w14:paraId="644DBDD7">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⑶其他方式</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E9E8E1E">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15.3.2质量保证金的扣留</w:t>
      </w:r>
    </w:p>
    <w:p w14:paraId="6310F612">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质量保证金的扣留采取以下第</w:t>
      </w:r>
      <w:r>
        <w:rPr>
          <w:rFonts w:hint="eastAsia" w:ascii="宋体" w:hAnsi="宋体" w:eastAsia="宋体" w:cs="宋体"/>
          <w:color w:val="auto"/>
          <w:szCs w:val="21"/>
          <w:highlight w:val="none"/>
          <w:u w:val="single"/>
        </w:rPr>
        <w:t>⑵</w:t>
      </w:r>
      <w:r>
        <w:rPr>
          <w:rFonts w:hint="eastAsia" w:ascii="宋体" w:hAnsi="宋体" w:eastAsia="宋体" w:cs="宋体"/>
          <w:color w:val="auto"/>
          <w:szCs w:val="21"/>
          <w:highlight w:val="none"/>
        </w:rPr>
        <w:t>种方式：</w:t>
      </w:r>
    </w:p>
    <w:p w14:paraId="08660270">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⑴在支付工程进度款时逐次扣留，在此情形下，质量保证金的计算基数不包括预付款的支付、扣回以及价格调整的金额；</w:t>
      </w:r>
    </w:p>
    <w:p w14:paraId="2428D9E4">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⑵工程竣工结算时一次性扣留质量保证金；</w:t>
      </w:r>
    </w:p>
    <w:p w14:paraId="4780BA21">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⑶其他扣留方式</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633B87E2">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关于质量保证金的补充约定：</w:t>
      </w:r>
      <w:r>
        <w:rPr>
          <w:rFonts w:hint="eastAsia" w:ascii="宋体" w:hAnsi="宋体" w:eastAsia="宋体" w:cs="宋体"/>
          <w:color w:val="auto"/>
          <w:kern w:val="0"/>
          <w:szCs w:val="21"/>
          <w:highlight w:val="none"/>
          <w:u w:val="single"/>
        </w:rPr>
        <w:t>合同项目保修期满后20天内一次性退还（保修金退还时不计利息）</w:t>
      </w:r>
      <w:r>
        <w:rPr>
          <w:rFonts w:hint="eastAsia" w:ascii="宋体" w:hAnsi="宋体" w:eastAsia="宋体" w:cs="宋体"/>
          <w:color w:val="auto"/>
          <w:kern w:val="0"/>
          <w:szCs w:val="21"/>
          <w:highlight w:val="none"/>
        </w:rPr>
        <w:t>。</w:t>
      </w:r>
    </w:p>
    <w:p w14:paraId="4CC8B4C9">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14" w:name="_Toc505785422"/>
      <w:bookmarkStart w:id="415" w:name="_Toc510377838"/>
      <w:bookmarkStart w:id="416" w:name="_Toc512164657"/>
      <w:bookmarkStart w:id="417" w:name="_Toc504119123"/>
      <w:r>
        <w:rPr>
          <w:rFonts w:hint="eastAsia" w:ascii="宋体" w:hAnsi="宋体" w:eastAsia="宋体" w:cs="宋体"/>
          <w:bCs/>
          <w:color w:val="auto"/>
          <w:szCs w:val="21"/>
          <w:highlight w:val="none"/>
          <w:lang w:val="zh-CN"/>
        </w:rPr>
        <w:t>15.4保修</w:t>
      </w:r>
      <w:bookmarkEnd w:id="414"/>
      <w:bookmarkEnd w:id="415"/>
      <w:bookmarkEnd w:id="416"/>
      <w:bookmarkEnd w:id="417"/>
    </w:p>
    <w:p w14:paraId="1185CB74">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15.4.1保修责任</w:t>
      </w:r>
    </w:p>
    <w:p w14:paraId="542C2DA9">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工程保修期为：</w:t>
      </w:r>
      <w:r>
        <w:rPr>
          <w:rFonts w:hint="eastAsia" w:ascii="宋体" w:hAnsi="宋体" w:eastAsia="宋体" w:cs="宋体"/>
          <w:color w:val="auto"/>
          <w:kern w:val="0"/>
          <w:szCs w:val="21"/>
          <w:highlight w:val="none"/>
          <w:u w:val="single"/>
        </w:rPr>
        <w:t>24个月</w:t>
      </w:r>
      <w:r>
        <w:rPr>
          <w:rFonts w:hint="eastAsia" w:ascii="宋体" w:hAnsi="宋体" w:eastAsia="宋体" w:cs="宋体"/>
          <w:color w:val="auto"/>
          <w:kern w:val="0"/>
          <w:szCs w:val="21"/>
          <w:highlight w:val="none"/>
        </w:rPr>
        <w:t>。</w:t>
      </w:r>
    </w:p>
    <w:p w14:paraId="6B04A9CA">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15.4.3修复通知</w:t>
      </w:r>
    </w:p>
    <w:p w14:paraId="015C8217">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承包人收到保修通知并到达工程现场的合理时间：</w:t>
      </w:r>
      <w:r>
        <w:rPr>
          <w:rFonts w:hint="eastAsia" w:ascii="宋体" w:hAnsi="宋体" w:eastAsia="宋体" w:cs="宋体"/>
          <w:color w:val="auto"/>
          <w:kern w:val="0"/>
          <w:szCs w:val="21"/>
          <w:highlight w:val="none"/>
          <w:u w:val="single"/>
        </w:rPr>
        <w:t xml:space="preserve"> 24小时内</w:t>
      </w:r>
      <w:r>
        <w:rPr>
          <w:rFonts w:hint="eastAsia" w:ascii="宋体" w:hAnsi="宋体" w:eastAsia="宋体" w:cs="宋体"/>
          <w:color w:val="auto"/>
          <w:kern w:val="0"/>
          <w:szCs w:val="21"/>
          <w:highlight w:val="none"/>
        </w:rPr>
        <w:t>。</w:t>
      </w:r>
    </w:p>
    <w:p w14:paraId="63989E1F">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18" w:name="_Toc510377839"/>
      <w:bookmarkStart w:id="419" w:name="_Toc512164658"/>
      <w:bookmarkStart w:id="420" w:name="_Toc504119124"/>
      <w:bookmarkStart w:id="421" w:name="_Toc505785423"/>
      <w:r>
        <w:rPr>
          <w:rFonts w:hint="eastAsia" w:ascii="宋体" w:hAnsi="宋体" w:eastAsia="宋体" w:cs="宋体"/>
          <w:bCs/>
          <w:color w:val="auto"/>
          <w:szCs w:val="21"/>
          <w:highlight w:val="none"/>
          <w:lang w:val="zh-CN"/>
        </w:rPr>
        <w:t>16.违约</w:t>
      </w:r>
      <w:bookmarkEnd w:id="418"/>
      <w:bookmarkEnd w:id="419"/>
      <w:bookmarkEnd w:id="420"/>
      <w:bookmarkEnd w:id="421"/>
    </w:p>
    <w:p w14:paraId="65B0351F">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22" w:name="_Toc512164659"/>
      <w:bookmarkStart w:id="423" w:name="_Toc504119125"/>
      <w:bookmarkStart w:id="424" w:name="_Toc510377840"/>
      <w:bookmarkStart w:id="425" w:name="_Toc505785424"/>
      <w:r>
        <w:rPr>
          <w:rFonts w:hint="eastAsia" w:ascii="宋体" w:hAnsi="宋体" w:eastAsia="宋体" w:cs="宋体"/>
          <w:bCs/>
          <w:color w:val="auto"/>
          <w:szCs w:val="21"/>
          <w:highlight w:val="none"/>
          <w:lang w:val="zh-CN"/>
        </w:rPr>
        <w:t>16.1发包人违约</w:t>
      </w:r>
      <w:bookmarkEnd w:id="422"/>
      <w:bookmarkEnd w:id="423"/>
      <w:bookmarkEnd w:id="424"/>
      <w:bookmarkEnd w:id="425"/>
    </w:p>
    <w:p w14:paraId="69E2CCCE">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16.1.1发包人违约的情形</w:t>
      </w:r>
    </w:p>
    <w:p w14:paraId="36502A16">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发包人违约的其他情形</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除通用条款16.1.1条规定的情形外，合同签订后因政策调整造成工期延误，工期顺延</w:t>
      </w:r>
      <w:r>
        <w:rPr>
          <w:rFonts w:hint="eastAsia" w:ascii="宋体" w:hAnsi="宋体" w:eastAsia="宋体" w:cs="宋体"/>
          <w:color w:val="auto"/>
          <w:szCs w:val="21"/>
          <w:highlight w:val="none"/>
        </w:rPr>
        <w:t>。</w:t>
      </w:r>
    </w:p>
    <w:p w14:paraId="61A29ED9">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16.1.2发包人违约的责任</w:t>
      </w:r>
    </w:p>
    <w:p w14:paraId="09A73B02">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发包人违约责任的承担方式和计算方法：</w:t>
      </w:r>
    </w:p>
    <w:p w14:paraId="572EF5BC">
      <w:pPr>
        <w:spacing w:line="360" w:lineRule="auto"/>
        <w:ind w:firstLine="44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⑴因发包人原因未能在计划开工日期前7天内下达开工通知的违约责任：</w:t>
      </w:r>
      <w:r>
        <w:rPr>
          <w:rFonts w:hint="eastAsia" w:ascii="宋体" w:hAnsi="宋体" w:eastAsia="宋体" w:cs="宋体"/>
          <w:color w:val="auto"/>
          <w:kern w:val="0"/>
          <w:szCs w:val="21"/>
          <w:highlight w:val="none"/>
          <w:u w:val="single"/>
        </w:rPr>
        <w:t>工期顺延</w:t>
      </w:r>
      <w:r>
        <w:rPr>
          <w:rFonts w:hint="eastAsia" w:ascii="宋体" w:hAnsi="宋体" w:eastAsia="宋体" w:cs="宋体"/>
          <w:color w:val="auto"/>
          <w:kern w:val="0"/>
          <w:szCs w:val="21"/>
          <w:highlight w:val="none"/>
        </w:rPr>
        <w:t>。</w:t>
      </w:r>
    </w:p>
    <w:p w14:paraId="2CE9D84C">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⑵因发包人原因未能按合同约定支付合同价款的违约责任：</w:t>
      </w:r>
      <w:r>
        <w:rPr>
          <w:rFonts w:hint="eastAsia" w:ascii="宋体" w:hAnsi="宋体" w:eastAsia="宋体" w:cs="宋体"/>
          <w:color w:val="auto"/>
          <w:kern w:val="0"/>
          <w:szCs w:val="21"/>
          <w:highlight w:val="none"/>
          <w:u w:val="single"/>
        </w:rPr>
        <w:t>按照专用条款12.4.4第⑵条执行</w:t>
      </w:r>
      <w:r>
        <w:rPr>
          <w:rFonts w:hint="eastAsia" w:ascii="宋体" w:hAnsi="宋体" w:eastAsia="宋体" w:cs="宋体"/>
          <w:color w:val="auto"/>
          <w:kern w:val="0"/>
          <w:szCs w:val="21"/>
          <w:highlight w:val="none"/>
        </w:rPr>
        <w:t>。</w:t>
      </w:r>
    </w:p>
    <w:p w14:paraId="35BDC4C2">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⑶发包人违反第10.1款〔变更的范围〕第⑵项约定，自行实施被取消的工作或转由他人实施的违约责任：</w:t>
      </w:r>
      <w:r>
        <w:rPr>
          <w:rFonts w:hint="eastAsia" w:ascii="宋体" w:hAnsi="宋体" w:eastAsia="宋体" w:cs="宋体"/>
          <w:color w:val="auto"/>
          <w:kern w:val="0"/>
          <w:szCs w:val="21"/>
          <w:highlight w:val="none"/>
          <w:u w:val="single"/>
        </w:rPr>
        <w:t>按取消或转出部分价款的10％支付违约金</w:t>
      </w:r>
      <w:r>
        <w:rPr>
          <w:rFonts w:hint="eastAsia" w:ascii="宋体" w:hAnsi="宋体" w:eastAsia="宋体" w:cs="宋体"/>
          <w:color w:val="auto"/>
          <w:kern w:val="0"/>
          <w:szCs w:val="21"/>
          <w:highlight w:val="none"/>
        </w:rPr>
        <w:t>。</w:t>
      </w:r>
    </w:p>
    <w:p w14:paraId="4FC9B055">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⑷发包人提供的材料、工程设备的规格、数量或质量不符合合同约定，或因发包人原因导致交货日期延误或交货地点变更等情况的违约责任：</w:t>
      </w:r>
      <w:r>
        <w:rPr>
          <w:rFonts w:hint="eastAsia" w:ascii="宋体" w:hAnsi="宋体" w:eastAsia="宋体" w:cs="宋体"/>
          <w:color w:val="auto"/>
          <w:kern w:val="0"/>
          <w:szCs w:val="21"/>
          <w:highlight w:val="none"/>
          <w:u w:val="single"/>
        </w:rPr>
        <w:t>工期顺延，所增加的费用由发包人承担</w:t>
      </w:r>
      <w:r>
        <w:rPr>
          <w:rFonts w:hint="eastAsia" w:ascii="宋体" w:hAnsi="宋体" w:eastAsia="宋体" w:cs="宋体"/>
          <w:color w:val="auto"/>
          <w:kern w:val="0"/>
          <w:szCs w:val="21"/>
          <w:highlight w:val="none"/>
        </w:rPr>
        <w:t>。</w:t>
      </w:r>
    </w:p>
    <w:p w14:paraId="1EB2EE7B">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⑸因发包人违反合同约定造成暂停施工的违约责任：</w:t>
      </w:r>
      <w:r>
        <w:rPr>
          <w:rFonts w:hint="eastAsia" w:ascii="宋体" w:hAnsi="宋体" w:eastAsia="宋体" w:cs="宋体"/>
          <w:color w:val="auto"/>
          <w:kern w:val="0"/>
          <w:szCs w:val="21"/>
          <w:highlight w:val="none"/>
          <w:u w:val="single"/>
        </w:rPr>
        <w:t>工期顺延，给施工方造成的损失双方协商解决</w:t>
      </w:r>
      <w:r>
        <w:rPr>
          <w:rFonts w:hint="eastAsia" w:ascii="宋体" w:hAnsi="宋体" w:eastAsia="宋体" w:cs="宋体"/>
          <w:color w:val="auto"/>
          <w:kern w:val="0"/>
          <w:szCs w:val="21"/>
          <w:highlight w:val="none"/>
        </w:rPr>
        <w:t>。</w:t>
      </w:r>
    </w:p>
    <w:p w14:paraId="1BFF73AB">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⑹发包人无正当理由没有在约定期限内发出复工指示，导致承包人无法复工的违约责任：</w:t>
      </w:r>
      <w:r>
        <w:rPr>
          <w:rFonts w:hint="eastAsia" w:ascii="宋体" w:hAnsi="宋体" w:eastAsia="宋体" w:cs="宋体"/>
          <w:color w:val="auto"/>
          <w:kern w:val="0"/>
          <w:szCs w:val="21"/>
          <w:highlight w:val="none"/>
          <w:u w:val="single"/>
        </w:rPr>
        <w:t>工期顺延，给施工方造成的损失双方协商解决</w:t>
      </w:r>
      <w:r>
        <w:rPr>
          <w:rFonts w:hint="eastAsia" w:ascii="宋体" w:hAnsi="宋体" w:eastAsia="宋体" w:cs="宋体"/>
          <w:color w:val="auto"/>
          <w:kern w:val="0"/>
          <w:szCs w:val="21"/>
          <w:highlight w:val="none"/>
        </w:rPr>
        <w:t>。</w:t>
      </w:r>
    </w:p>
    <w:p w14:paraId="4BDD5302">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⑺其他</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72A50181">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16.1.3因发包人违约解除合同</w:t>
      </w:r>
    </w:p>
    <w:p w14:paraId="4B35EF97">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承包人按16.1.1项〔发包人违约的情形〕约定暂停施工满</w:t>
      </w:r>
      <w:r>
        <w:rPr>
          <w:rFonts w:hint="eastAsia" w:ascii="宋体" w:hAnsi="宋体" w:eastAsia="宋体" w:cs="宋体"/>
          <w:color w:val="auto"/>
          <w:kern w:val="0"/>
          <w:szCs w:val="21"/>
          <w:highlight w:val="none"/>
          <w:u w:val="single"/>
        </w:rPr>
        <w:t xml:space="preserve"> 90 </w:t>
      </w:r>
      <w:r>
        <w:rPr>
          <w:rFonts w:hint="eastAsia" w:ascii="宋体" w:hAnsi="宋体" w:eastAsia="宋体" w:cs="宋体"/>
          <w:color w:val="auto"/>
          <w:kern w:val="0"/>
          <w:szCs w:val="21"/>
          <w:highlight w:val="none"/>
        </w:rPr>
        <w:t>天后发包人仍不纠正其违约行为并致使合同目的不能实现的，承包人有权解除合同。</w:t>
      </w:r>
    </w:p>
    <w:p w14:paraId="05FB1DB0">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26" w:name="_Toc505785425"/>
      <w:bookmarkStart w:id="427" w:name="_Toc512164660"/>
      <w:bookmarkStart w:id="428" w:name="_Toc510377841"/>
      <w:bookmarkStart w:id="429" w:name="_Toc504119126"/>
      <w:r>
        <w:rPr>
          <w:rFonts w:hint="eastAsia" w:ascii="宋体" w:hAnsi="宋体" w:eastAsia="宋体" w:cs="宋体"/>
          <w:bCs/>
          <w:color w:val="auto"/>
          <w:szCs w:val="21"/>
          <w:highlight w:val="none"/>
          <w:lang w:val="zh-CN"/>
        </w:rPr>
        <w:t>16.2承包人违约</w:t>
      </w:r>
      <w:bookmarkEnd w:id="426"/>
      <w:bookmarkEnd w:id="427"/>
      <w:bookmarkEnd w:id="428"/>
      <w:bookmarkEnd w:id="429"/>
    </w:p>
    <w:p w14:paraId="6DFAC18B">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16.2.1承包人违约的情形</w:t>
      </w:r>
    </w:p>
    <w:p w14:paraId="1875B6AB">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承包人违约的其他情形</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除通用条款16.1.2条规定的情形外，及承包人无故停工的行为</w:t>
      </w:r>
      <w:r>
        <w:rPr>
          <w:rFonts w:hint="eastAsia" w:ascii="宋体" w:hAnsi="宋体" w:eastAsia="宋体" w:cs="宋体"/>
          <w:color w:val="auto"/>
          <w:szCs w:val="21"/>
          <w:highlight w:val="none"/>
        </w:rPr>
        <w:t>。</w:t>
      </w:r>
    </w:p>
    <w:p w14:paraId="7B84B5BD">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16.2.2承包人违约的责任</w:t>
      </w:r>
    </w:p>
    <w:p w14:paraId="36C5ABCD">
      <w:pPr>
        <w:spacing w:line="360" w:lineRule="auto"/>
        <w:ind w:firstLine="44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kern w:val="0"/>
          <w:szCs w:val="21"/>
          <w:highlight w:val="none"/>
        </w:rPr>
        <w:t>承包人违约责任的承担方式和计算方法：</w:t>
      </w:r>
      <w:r>
        <w:rPr>
          <w:rFonts w:hint="eastAsia" w:ascii="宋体" w:hAnsi="宋体" w:eastAsia="宋体" w:cs="宋体"/>
          <w:color w:val="auto"/>
          <w:kern w:val="0"/>
          <w:szCs w:val="21"/>
          <w:highlight w:val="none"/>
          <w:u w:val="single"/>
        </w:rPr>
        <w:t>由承包人按相关规定承担全部费用及相关法律责任</w:t>
      </w:r>
      <w:r>
        <w:rPr>
          <w:rFonts w:hint="eastAsia" w:ascii="宋体" w:hAnsi="宋体" w:eastAsia="宋体" w:cs="宋体"/>
          <w:color w:val="auto"/>
          <w:kern w:val="0"/>
          <w:szCs w:val="21"/>
          <w:highlight w:val="none"/>
        </w:rPr>
        <w:t>。</w:t>
      </w:r>
    </w:p>
    <w:p w14:paraId="25F52033">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16.2.3因承包人违约解除合同</w:t>
      </w:r>
    </w:p>
    <w:p w14:paraId="26517753">
      <w:pPr>
        <w:spacing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关于承包人违约解除合同的特别约定：</w:t>
      </w:r>
      <w:r>
        <w:rPr>
          <w:rFonts w:hint="eastAsia" w:ascii="宋体" w:hAnsi="宋体" w:eastAsia="宋体" w:cs="宋体"/>
          <w:color w:val="auto"/>
          <w:szCs w:val="21"/>
          <w:highlight w:val="none"/>
          <w:u w:val="single"/>
        </w:rPr>
        <w:t>在监理人的监督下清理现场，7天内撤离；撤离时除施工设备外，已进场的材料、临时工程、文件及承包人编制的其他文件严禁撤离</w:t>
      </w:r>
      <w:r>
        <w:rPr>
          <w:rFonts w:hint="eastAsia" w:ascii="宋体" w:hAnsi="宋体" w:eastAsia="宋体" w:cs="宋体"/>
          <w:color w:val="auto"/>
          <w:kern w:val="0"/>
          <w:szCs w:val="21"/>
          <w:highlight w:val="none"/>
        </w:rPr>
        <w:t>。</w:t>
      </w:r>
    </w:p>
    <w:p w14:paraId="59A19B74">
      <w:pPr>
        <w:spacing w:line="360" w:lineRule="auto"/>
        <w:ind w:firstLine="44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kern w:val="0"/>
          <w:szCs w:val="21"/>
          <w:highlight w:val="none"/>
          <w:u w:val="single"/>
        </w:rPr>
        <w:t>由承包人自行承担</w:t>
      </w:r>
      <w:r>
        <w:rPr>
          <w:rFonts w:hint="eastAsia" w:ascii="宋体" w:hAnsi="宋体" w:eastAsia="宋体" w:cs="宋体"/>
          <w:color w:val="auto"/>
          <w:kern w:val="0"/>
          <w:szCs w:val="21"/>
          <w:highlight w:val="none"/>
        </w:rPr>
        <w:t>。</w:t>
      </w:r>
    </w:p>
    <w:p w14:paraId="0D08C4D8">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30" w:name="_Toc505785426"/>
      <w:bookmarkStart w:id="431" w:name="_Toc510377842"/>
      <w:bookmarkStart w:id="432" w:name="_Toc504119127"/>
      <w:bookmarkStart w:id="433" w:name="_Toc512164661"/>
      <w:r>
        <w:rPr>
          <w:rFonts w:hint="eastAsia" w:ascii="宋体" w:hAnsi="宋体" w:eastAsia="宋体" w:cs="宋体"/>
          <w:bCs/>
          <w:color w:val="auto"/>
          <w:szCs w:val="21"/>
          <w:highlight w:val="none"/>
          <w:lang w:val="zh-CN"/>
        </w:rPr>
        <w:t>17.不可抗力</w:t>
      </w:r>
      <w:bookmarkEnd w:id="430"/>
      <w:bookmarkEnd w:id="431"/>
      <w:bookmarkEnd w:id="432"/>
      <w:bookmarkEnd w:id="433"/>
    </w:p>
    <w:p w14:paraId="6DC86789">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34" w:name="_Toc510377843"/>
      <w:bookmarkStart w:id="435" w:name="_Toc504119128"/>
      <w:bookmarkStart w:id="436" w:name="_Toc505785427"/>
      <w:bookmarkStart w:id="437" w:name="_Toc512164662"/>
      <w:r>
        <w:rPr>
          <w:rFonts w:hint="eastAsia" w:ascii="宋体" w:hAnsi="宋体" w:eastAsia="宋体" w:cs="宋体"/>
          <w:bCs/>
          <w:color w:val="auto"/>
          <w:szCs w:val="21"/>
          <w:highlight w:val="none"/>
          <w:lang w:val="zh-CN"/>
        </w:rPr>
        <w:t>17.1不可抗力的确认</w:t>
      </w:r>
      <w:bookmarkEnd w:id="434"/>
      <w:bookmarkEnd w:id="435"/>
      <w:bookmarkEnd w:id="436"/>
      <w:bookmarkEnd w:id="437"/>
    </w:p>
    <w:p w14:paraId="0E575B39">
      <w:pPr>
        <w:spacing w:line="360" w:lineRule="auto"/>
        <w:ind w:firstLine="440" w:firstLineChars="200"/>
        <w:jc w:val="left"/>
        <w:rPr>
          <w:rFonts w:hint="eastAsia" w:ascii="宋体" w:hAnsi="宋体" w:eastAsia="宋体" w:cs="宋体"/>
          <w:color w:val="auto"/>
          <w:kern w:val="0"/>
          <w:szCs w:val="21"/>
          <w:highlight w:val="none"/>
          <w:u w:val="single"/>
        </w:rPr>
      </w:pPr>
      <w:r>
        <w:rPr>
          <w:rFonts w:hint="eastAsia" w:ascii="宋体" w:hAnsi="宋体" w:eastAsia="宋体" w:cs="宋体"/>
          <w:color w:val="auto"/>
          <w:szCs w:val="21"/>
          <w:highlight w:val="none"/>
        </w:rPr>
        <w:t>除通用合同条款约定的不可抗力事件之外，视为不可抗力的其他情形：</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6B7ACE80">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38" w:name="_Toc504119129"/>
      <w:bookmarkStart w:id="439" w:name="_Toc510377844"/>
      <w:bookmarkStart w:id="440" w:name="_Toc505785428"/>
      <w:bookmarkStart w:id="441" w:name="_Toc512164663"/>
      <w:r>
        <w:rPr>
          <w:rFonts w:hint="eastAsia" w:ascii="宋体" w:hAnsi="宋体" w:eastAsia="宋体" w:cs="宋体"/>
          <w:bCs/>
          <w:color w:val="auto"/>
          <w:szCs w:val="21"/>
          <w:highlight w:val="none"/>
          <w:lang w:val="zh-CN"/>
        </w:rPr>
        <w:t>17.4因不可抗力解除合同</w:t>
      </w:r>
      <w:bookmarkEnd w:id="438"/>
      <w:bookmarkEnd w:id="439"/>
      <w:bookmarkEnd w:id="440"/>
      <w:bookmarkEnd w:id="441"/>
    </w:p>
    <w:p w14:paraId="042601AF">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合同解除后，发包人应在商定或确定发包人应支付款项后</w:t>
      </w:r>
      <w:r>
        <w:rPr>
          <w:rFonts w:hint="eastAsia" w:ascii="宋体" w:hAnsi="宋体" w:eastAsia="宋体" w:cs="宋体"/>
          <w:color w:val="auto"/>
          <w:szCs w:val="21"/>
          <w:highlight w:val="none"/>
          <w:u w:val="single"/>
        </w:rPr>
        <w:t xml:space="preserve"> 90 </w:t>
      </w:r>
      <w:r>
        <w:rPr>
          <w:rFonts w:hint="eastAsia" w:ascii="宋体" w:hAnsi="宋体" w:eastAsia="宋体" w:cs="宋体"/>
          <w:color w:val="auto"/>
          <w:szCs w:val="21"/>
          <w:highlight w:val="none"/>
        </w:rPr>
        <w:t>天内完成款项的支付。</w:t>
      </w:r>
    </w:p>
    <w:p w14:paraId="666DDC6D">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42" w:name="_Toc512164664"/>
      <w:bookmarkStart w:id="443" w:name="_Toc505785429"/>
      <w:bookmarkStart w:id="444" w:name="_Toc510377845"/>
      <w:bookmarkStart w:id="445" w:name="_Toc504119130"/>
      <w:r>
        <w:rPr>
          <w:rFonts w:hint="eastAsia" w:ascii="宋体" w:hAnsi="宋体" w:eastAsia="宋体" w:cs="宋体"/>
          <w:bCs/>
          <w:color w:val="auto"/>
          <w:szCs w:val="21"/>
          <w:highlight w:val="none"/>
          <w:lang w:val="zh-CN"/>
        </w:rPr>
        <w:t>18.保险</w:t>
      </w:r>
      <w:bookmarkEnd w:id="442"/>
      <w:bookmarkEnd w:id="443"/>
      <w:bookmarkEnd w:id="444"/>
      <w:bookmarkEnd w:id="445"/>
    </w:p>
    <w:p w14:paraId="37563333">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46" w:name="_Toc510377846"/>
      <w:bookmarkStart w:id="447" w:name="_Toc505785430"/>
      <w:bookmarkStart w:id="448" w:name="_Toc512164665"/>
      <w:bookmarkStart w:id="449" w:name="_Toc504119131"/>
      <w:r>
        <w:rPr>
          <w:rFonts w:hint="eastAsia" w:ascii="宋体" w:hAnsi="宋体" w:eastAsia="宋体" w:cs="宋体"/>
          <w:bCs/>
          <w:color w:val="auto"/>
          <w:szCs w:val="21"/>
          <w:highlight w:val="none"/>
          <w:lang w:val="zh-CN"/>
        </w:rPr>
        <w:t>18.1工程保险</w:t>
      </w:r>
      <w:bookmarkEnd w:id="446"/>
      <w:bookmarkEnd w:id="447"/>
      <w:bookmarkEnd w:id="448"/>
      <w:bookmarkEnd w:id="449"/>
    </w:p>
    <w:p w14:paraId="5CEEDC0E">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关于工程保险的特别约定</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u w:val="single"/>
        </w:rPr>
        <w:t>通用条款约定相关保险及建筑工程和安装工程一切险由承包人承担</w:t>
      </w:r>
      <w:r>
        <w:rPr>
          <w:rFonts w:hint="eastAsia" w:ascii="宋体" w:hAnsi="宋体" w:eastAsia="宋体" w:cs="宋体"/>
          <w:color w:val="auto"/>
          <w:kern w:val="0"/>
          <w:szCs w:val="21"/>
          <w:highlight w:val="none"/>
        </w:rPr>
        <w:t>。</w:t>
      </w:r>
    </w:p>
    <w:p w14:paraId="3B17AE89">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50" w:name="_Toc504119132"/>
      <w:bookmarkStart w:id="451" w:name="_Toc505785431"/>
      <w:bookmarkStart w:id="452" w:name="_Toc510377847"/>
      <w:bookmarkStart w:id="453" w:name="_Toc512164666"/>
      <w:r>
        <w:rPr>
          <w:rFonts w:hint="eastAsia" w:ascii="宋体" w:hAnsi="宋体" w:eastAsia="宋体" w:cs="宋体"/>
          <w:bCs/>
          <w:color w:val="auto"/>
          <w:szCs w:val="21"/>
          <w:highlight w:val="none"/>
          <w:lang w:val="zh-CN"/>
        </w:rPr>
        <w:t>18.3其他保险</w:t>
      </w:r>
      <w:bookmarkEnd w:id="450"/>
      <w:bookmarkEnd w:id="451"/>
      <w:bookmarkEnd w:id="452"/>
      <w:bookmarkEnd w:id="453"/>
    </w:p>
    <w:p w14:paraId="74681F02">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关于其他保险的约定：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9806B7F">
      <w:pPr>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承包人是否应为其施工设备等办理财产保险</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u w:val="single"/>
        </w:rPr>
        <w:t>是</w:t>
      </w:r>
      <w:r>
        <w:rPr>
          <w:rFonts w:hint="eastAsia" w:ascii="宋体" w:hAnsi="宋体" w:eastAsia="宋体" w:cs="宋体"/>
          <w:color w:val="auto"/>
          <w:kern w:val="0"/>
          <w:szCs w:val="21"/>
          <w:highlight w:val="none"/>
        </w:rPr>
        <w:t>。</w:t>
      </w:r>
    </w:p>
    <w:p w14:paraId="74167946">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54" w:name="_Toc510377848"/>
      <w:bookmarkStart w:id="455" w:name="_Toc504119133"/>
      <w:bookmarkStart w:id="456" w:name="_Toc505785432"/>
      <w:bookmarkStart w:id="457" w:name="_Toc512164667"/>
      <w:r>
        <w:rPr>
          <w:rFonts w:hint="eastAsia" w:ascii="宋体" w:hAnsi="宋体" w:eastAsia="宋体" w:cs="宋体"/>
          <w:bCs/>
          <w:color w:val="auto"/>
          <w:szCs w:val="21"/>
          <w:highlight w:val="none"/>
          <w:lang w:val="zh-CN"/>
        </w:rPr>
        <w:t>18.7通知义务</w:t>
      </w:r>
      <w:bookmarkEnd w:id="454"/>
      <w:bookmarkEnd w:id="455"/>
      <w:bookmarkEnd w:id="456"/>
      <w:bookmarkEnd w:id="457"/>
    </w:p>
    <w:p w14:paraId="4A0829A3">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rPr>
        <w:t>关于变更保险合同时的通知义务的约定：</w:t>
      </w:r>
      <w:r>
        <w:rPr>
          <w:rFonts w:hint="eastAsia" w:ascii="宋体" w:hAnsi="宋体" w:eastAsia="宋体" w:cs="宋体"/>
          <w:color w:val="auto"/>
          <w:szCs w:val="21"/>
          <w:highlight w:val="none"/>
          <w:u w:val="single"/>
        </w:rPr>
        <w:t>执行通用条款第18.7条</w:t>
      </w:r>
      <w:r>
        <w:rPr>
          <w:rFonts w:hint="eastAsia" w:ascii="宋体" w:hAnsi="宋体" w:eastAsia="宋体" w:cs="宋体"/>
          <w:color w:val="auto"/>
          <w:kern w:val="0"/>
          <w:szCs w:val="21"/>
          <w:highlight w:val="none"/>
        </w:rPr>
        <w:t>。</w:t>
      </w:r>
    </w:p>
    <w:p w14:paraId="70507023">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58" w:name="_Toc512164668"/>
      <w:bookmarkStart w:id="459" w:name="_Toc505785433"/>
      <w:bookmarkStart w:id="460" w:name="_Toc504119134"/>
      <w:bookmarkStart w:id="461" w:name="_Toc510377849"/>
      <w:r>
        <w:rPr>
          <w:rFonts w:hint="eastAsia" w:ascii="宋体" w:hAnsi="宋体" w:eastAsia="宋体" w:cs="宋体"/>
          <w:bCs/>
          <w:color w:val="auto"/>
          <w:szCs w:val="21"/>
          <w:highlight w:val="none"/>
          <w:lang w:val="zh-CN"/>
        </w:rPr>
        <w:t>20.争议解决</w:t>
      </w:r>
      <w:bookmarkEnd w:id="458"/>
      <w:bookmarkEnd w:id="459"/>
      <w:bookmarkEnd w:id="460"/>
      <w:bookmarkEnd w:id="461"/>
    </w:p>
    <w:p w14:paraId="6A68E255">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62" w:name="_Toc504119135"/>
      <w:bookmarkStart w:id="463" w:name="_Toc505785434"/>
      <w:bookmarkStart w:id="464" w:name="_Toc512164669"/>
      <w:bookmarkStart w:id="465" w:name="_Toc510377850"/>
      <w:r>
        <w:rPr>
          <w:rFonts w:hint="eastAsia" w:ascii="宋体" w:hAnsi="宋体" w:eastAsia="宋体" w:cs="宋体"/>
          <w:bCs/>
          <w:color w:val="auto"/>
          <w:szCs w:val="21"/>
          <w:highlight w:val="none"/>
          <w:lang w:val="zh-CN"/>
        </w:rPr>
        <w:t>20.3争议评审</w:t>
      </w:r>
      <w:bookmarkEnd w:id="462"/>
      <w:bookmarkEnd w:id="463"/>
      <w:bookmarkEnd w:id="464"/>
      <w:bookmarkEnd w:id="465"/>
    </w:p>
    <w:p w14:paraId="022F6CB2">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合同当事人是否同意将工程争议提交争议评审小组决定：</w:t>
      </w:r>
      <w:r>
        <w:rPr>
          <w:rFonts w:hint="eastAsia" w:ascii="宋体" w:hAnsi="宋体" w:eastAsia="宋体" w:cs="宋体"/>
          <w:color w:val="auto"/>
          <w:szCs w:val="21"/>
          <w:highlight w:val="none"/>
          <w:u w:val="single"/>
        </w:rPr>
        <w:t>否</w:t>
      </w:r>
      <w:r>
        <w:rPr>
          <w:rFonts w:hint="eastAsia" w:ascii="宋体" w:hAnsi="宋体" w:eastAsia="宋体" w:cs="宋体"/>
          <w:color w:val="auto"/>
          <w:szCs w:val="21"/>
          <w:highlight w:val="none"/>
        </w:rPr>
        <w:t>。</w:t>
      </w:r>
    </w:p>
    <w:p w14:paraId="2AE3263B">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20.3.1争议评审小组的确定</w:t>
      </w:r>
    </w:p>
    <w:p w14:paraId="26448121">
      <w:pPr>
        <w:spacing w:line="360" w:lineRule="auto"/>
        <w:ind w:firstLine="440" w:firstLineChars="200"/>
        <w:jc w:val="lef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争议评审小组成员的确定：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47E091E2">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选定争议评审员的期限：</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FC943D3">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争议评审小组成员的报酬承担方式：</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0F87E916">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其他事项的约定：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3AE29657">
      <w:pPr>
        <w:autoSpaceDE w:val="0"/>
        <w:autoSpaceDN w:val="0"/>
        <w:adjustRightInd w:val="0"/>
        <w:spacing w:line="360" w:lineRule="auto"/>
        <w:ind w:firstLine="44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20.3.2争议评审小组的决定</w:t>
      </w:r>
    </w:p>
    <w:p w14:paraId="030EA42B">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合同当事人关于本项的约定：</w:t>
      </w:r>
      <w:r>
        <w:rPr>
          <w:rFonts w:hint="eastAsia" w:ascii="宋体" w:hAnsi="宋体" w:eastAsia="宋体" w:cs="宋体"/>
          <w:color w:val="auto"/>
          <w:szCs w:val="21"/>
          <w:highlight w:val="none"/>
          <w:u w:val="single"/>
        </w:rPr>
        <w:t>无</w:t>
      </w:r>
      <w:r>
        <w:rPr>
          <w:rFonts w:hint="eastAsia" w:ascii="宋体" w:hAnsi="宋体" w:eastAsia="宋体" w:cs="宋体"/>
          <w:color w:val="auto"/>
          <w:szCs w:val="21"/>
          <w:highlight w:val="none"/>
        </w:rPr>
        <w:t>。</w:t>
      </w:r>
    </w:p>
    <w:p w14:paraId="3F90BC23">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66" w:name="_Toc505785435"/>
      <w:bookmarkStart w:id="467" w:name="_Toc504119136"/>
      <w:bookmarkStart w:id="468" w:name="_Toc510377851"/>
      <w:bookmarkStart w:id="469" w:name="_Toc512164670"/>
      <w:r>
        <w:rPr>
          <w:rFonts w:hint="eastAsia" w:ascii="宋体" w:hAnsi="宋体" w:eastAsia="宋体" w:cs="宋体"/>
          <w:bCs/>
          <w:color w:val="auto"/>
          <w:szCs w:val="21"/>
          <w:highlight w:val="none"/>
          <w:lang w:val="zh-CN"/>
        </w:rPr>
        <w:t>20.4仲裁或诉讼</w:t>
      </w:r>
      <w:bookmarkEnd w:id="466"/>
      <w:bookmarkEnd w:id="467"/>
      <w:bookmarkEnd w:id="468"/>
      <w:bookmarkEnd w:id="469"/>
    </w:p>
    <w:p w14:paraId="1113A390">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因合同及合同有关事项发生的争议，按下列第</w:t>
      </w:r>
      <w:r>
        <w:rPr>
          <w:rFonts w:hint="eastAsia" w:ascii="宋体" w:hAnsi="宋体" w:eastAsia="宋体" w:cs="宋体"/>
          <w:color w:val="auto"/>
          <w:szCs w:val="21"/>
          <w:highlight w:val="none"/>
          <w:u w:val="single"/>
        </w:rPr>
        <w:t>⑵</w:t>
      </w:r>
      <w:r>
        <w:rPr>
          <w:rFonts w:hint="eastAsia" w:ascii="宋体" w:hAnsi="宋体" w:eastAsia="宋体" w:cs="宋体"/>
          <w:color w:val="auto"/>
          <w:szCs w:val="21"/>
          <w:highlight w:val="none"/>
        </w:rPr>
        <w:t>种方式解决：</w:t>
      </w:r>
    </w:p>
    <w:p w14:paraId="505A22A4">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⑴向</w:t>
      </w:r>
      <w:r>
        <w:rPr>
          <w:rFonts w:hint="eastAsia" w:ascii="宋体" w:hAnsi="宋体" w:eastAsia="宋体" w:cs="宋体"/>
          <w:color w:val="auto"/>
          <w:szCs w:val="21"/>
          <w:highlight w:val="none"/>
          <w:u w:val="single"/>
        </w:rPr>
        <w:t>项目所在地</w:t>
      </w:r>
      <w:r>
        <w:rPr>
          <w:rFonts w:hint="eastAsia" w:ascii="宋体" w:hAnsi="宋体" w:eastAsia="宋体" w:cs="宋体"/>
          <w:color w:val="auto"/>
          <w:szCs w:val="21"/>
          <w:highlight w:val="none"/>
        </w:rPr>
        <w:t>仲裁委员会申请仲裁；</w:t>
      </w:r>
    </w:p>
    <w:p w14:paraId="16BEB074">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⑵向</w:t>
      </w:r>
      <w:r>
        <w:rPr>
          <w:rFonts w:hint="eastAsia" w:ascii="宋体" w:hAnsi="宋体" w:eastAsia="宋体" w:cs="宋体"/>
          <w:color w:val="auto"/>
          <w:szCs w:val="21"/>
          <w:highlight w:val="none"/>
          <w:u w:val="single"/>
        </w:rPr>
        <w:t>项目所在地</w:t>
      </w:r>
      <w:r>
        <w:rPr>
          <w:rFonts w:hint="eastAsia" w:ascii="宋体" w:hAnsi="宋体" w:eastAsia="宋体" w:cs="宋体"/>
          <w:color w:val="auto"/>
          <w:szCs w:val="21"/>
          <w:highlight w:val="none"/>
        </w:rPr>
        <w:t>人民法院起诉。</w:t>
      </w:r>
    </w:p>
    <w:p w14:paraId="5B4E53E7">
      <w:pPr>
        <w:keepNext/>
        <w:keepLines/>
        <w:spacing w:line="360" w:lineRule="auto"/>
        <w:ind w:firstLine="440" w:firstLineChars="200"/>
        <w:jc w:val="left"/>
        <w:outlineLvl w:val="2"/>
        <w:rPr>
          <w:rFonts w:hint="eastAsia" w:ascii="宋体" w:hAnsi="宋体" w:eastAsia="宋体" w:cs="宋体"/>
          <w:bCs/>
          <w:color w:val="auto"/>
          <w:szCs w:val="21"/>
          <w:highlight w:val="none"/>
          <w:lang w:val="zh-CN"/>
        </w:rPr>
      </w:pPr>
      <w:bookmarkStart w:id="470" w:name="_Toc505785436"/>
      <w:bookmarkStart w:id="471" w:name="_Toc510377852"/>
      <w:bookmarkStart w:id="472" w:name="_Toc504119137"/>
      <w:bookmarkStart w:id="473" w:name="_Toc512164671"/>
      <w:r>
        <w:rPr>
          <w:rFonts w:hint="eastAsia" w:ascii="宋体" w:hAnsi="宋体" w:eastAsia="宋体" w:cs="宋体"/>
          <w:bCs/>
          <w:color w:val="auto"/>
          <w:szCs w:val="21"/>
          <w:highlight w:val="none"/>
          <w:lang w:val="zh-CN"/>
        </w:rPr>
        <w:t>21.补充条款</w:t>
      </w:r>
      <w:bookmarkEnd w:id="470"/>
      <w:bookmarkEnd w:id="471"/>
      <w:bookmarkEnd w:id="472"/>
      <w:bookmarkEnd w:id="473"/>
    </w:p>
    <w:p w14:paraId="31098152">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21.1承包人若因报价过低致使合同履行中无故要求变更投标承诺和变更投标报价（含单价、合价和总价）的，按下列规定执行：</w:t>
      </w:r>
    </w:p>
    <w:p w14:paraId="6F536127">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⑴不全面履行合同的，除扣除履约担保金外，还应承担由此造成发包人的实际损失。此外，发包人可将有关情况报建设行政主管部门，由建设行政主管部门依照有关法律、法规给予相应处罚，并作为不良市场行为记录；</w:t>
      </w:r>
    </w:p>
    <w:p w14:paraId="264E644A">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⑵在合同履行中，承包人无故要求变更投标承诺和变更投标报价（含单价、合价和总价）的，发包人不给予调整，可视情况终止合同，由此造成发包人的实际损失由承包人承担赔偿责任。发包人可将有关情况报建设行政主管部门，由建设行政主管部门依照有关法律、法规给予相应处罚，并作为不良市场行为记录。</w:t>
      </w:r>
    </w:p>
    <w:p w14:paraId="7300B4C9">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21.2承包人必须保证资金专款专用，绝不挪作他用，在收到工程预付款和进度款前必须列出开支计划，确保民工工资的支付，并接受发包人的监督。若发生挪作他用或不按开支计划合理使用工程资金，发包人有权停止支付款项，并有权直接支付相应开支，且承包人不能因此而停止工程的施工。</w:t>
      </w:r>
    </w:p>
    <w:p w14:paraId="394F073F">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21.3承包人通过对现场考察，应结合本工程的实际情况，对施工现场</w:t>
      </w:r>
      <w:r>
        <w:rPr>
          <w:rFonts w:hint="eastAsia" w:ascii="宋体" w:hAnsi="宋体" w:eastAsia="宋体" w:cs="宋体"/>
          <w:color w:val="auto"/>
          <w:szCs w:val="21"/>
          <w:highlight w:val="none"/>
          <w:lang w:eastAsia="zh-CN"/>
        </w:rPr>
        <w:t>做</w:t>
      </w:r>
      <w:r>
        <w:rPr>
          <w:rFonts w:hint="eastAsia" w:ascii="宋体" w:hAnsi="宋体" w:eastAsia="宋体" w:cs="宋体"/>
          <w:color w:val="auto"/>
          <w:szCs w:val="21"/>
          <w:highlight w:val="none"/>
        </w:rPr>
        <w:t>周密布置，除充分考虑上述规定外，还应对现场施工用水的排放及排污做统一安排。若因排水、排污妨碍沿线居民正常生活或工农业生产，一切责任由承包人承担。</w:t>
      </w:r>
    </w:p>
    <w:p w14:paraId="3A62C623">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21.4若工程师对承包人所用材料有疑虑，以云南省质量技术监督局或</w:t>
      </w:r>
      <w:r>
        <w:rPr>
          <w:rFonts w:hint="eastAsia" w:ascii="宋体" w:hAnsi="宋体" w:eastAsia="宋体" w:cs="宋体"/>
          <w:color w:val="auto"/>
          <w:szCs w:val="21"/>
          <w:highlight w:val="none"/>
          <w:lang w:eastAsia="zh-CN"/>
        </w:rPr>
        <w:t>其他</w:t>
      </w:r>
      <w:r>
        <w:rPr>
          <w:rFonts w:hint="eastAsia" w:ascii="宋体" w:hAnsi="宋体" w:eastAsia="宋体" w:cs="宋体"/>
          <w:color w:val="auto"/>
          <w:szCs w:val="21"/>
          <w:highlight w:val="none"/>
        </w:rPr>
        <w:t>专业资质机构鉴定结果为准，检验费用由承包人承担。</w:t>
      </w:r>
    </w:p>
    <w:p w14:paraId="49D83E03">
      <w:pPr>
        <w:spacing w:line="360" w:lineRule="auto"/>
        <w:ind w:firstLine="44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21.5本项目实行全过程审计监控，承包人应配合全过程审计监控项目组的工作。</w:t>
      </w:r>
    </w:p>
    <w:p w14:paraId="7149AA16">
      <w:pPr>
        <w:spacing w:line="360" w:lineRule="auto"/>
        <w:jc w:val="left"/>
        <w:rPr>
          <w:rFonts w:hint="eastAsia" w:ascii="宋体" w:hAnsi="宋体" w:eastAsia="宋体" w:cs="宋体"/>
          <w:b/>
          <w:color w:val="auto"/>
          <w:szCs w:val="21"/>
          <w:highlight w:val="none"/>
        </w:rPr>
      </w:pPr>
    </w:p>
    <w:p w14:paraId="2A81C5CD">
      <w:pPr>
        <w:spacing w:line="360" w:lineRule="auto"/>
        <w:jc w:val="left"/>
        <w:rPr>
          <w:rFonts w:hint="eastAsia" w:ascii="宋体" w:hAnsi="宋体" w:eastAsia="宋体" w:cs="宋体"/>
          <w:b/>
          <w:color w:val="auto"/>
          <w:szCs w:val="21"/>
          <w:highlight w:val="none"/>
        </w:rPr>
      </w:pPr>
    </w:p>
    <w:p w14:paraId="773655BF">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附件：</w:t>
      </w:r>
    </w:p>
    <w:p w14:paraId="253D1A8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协议书附件：</w:t>
      </w:r>
    </w:p>
    <w:p w14:paraId="08E5748D">
      <w:pPr>
        <w:spacing w:line="360" w:lineRule="auto"/>
        <w:jc w:val="left"/>
        <w:outlineLvl w:val="0"/>
        <w:rPr>
          <w:rFonts w:hint="eastAsia" w:ascii="宋体" w:hAnsi="宋体" w:eastAsia="宋体" w:cs="宋体"/>
          <w:color w:val="auto"/>
          <w:szCs w:val="21"/>
          <w:highlight w:val="none"/>
        </w:rPr>
      </w:pPr>
      <w:bookmarkStart w:id="474" w:name="_Toc26913"/>
      <w:r>
        <w:rPr>
          <w:rFonts w:hint="eastAsia" w:ascii="宋体" w:hAnsi="宋体" w:eastAsia="宋体" w:cs="宋体"/>
          <w:color w:val="auto"/>
          <w:szCs w:val="21"/>
          <w:highlight w:val="none"/>
        </w:rPr>
        <w:t>附件1：承包人承揽工程项目一览表</w:t>
      </w:r>
      <w:bookmarkEnd w:id="474"/>
    </w:p>
    <w:p w14:paraId="24C8E8A3">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专用合同条款附件：</w:t>
      </w:r>
    </w:p>
    <w:p w14:paraId="2967CB86">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附件2：发包人供应材料设备一览表</w:t>
      </w:r>
    </w:p>
    <w:p w14:paraId="17F20A5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附件3：工程质量保修书</w:t>
      </w:r>
    </w:p>
    <w:p w14:paraId="0C2A6E0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附件4：主要建设工程文件目录</w:t>
      </w:r>
    </w:p>
    <w:p w14:paraId="69CE223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附件5：承包人用于本工程施工的机械设备表</w:t>
      </w:r>
    </w:p>
    <w:p w14:paraId="1B7C5D01">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附件6：承包人主要施工管理人员表</w:t>
      </w:r>
    </w:p>
    <w:p w14:paraId="65C67052">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附件7：分包人主要施工管理人员表</w:t>
      </w:r>
    </w:p>
    <w:p w14:paraId="5DA1AF6E">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附件8：履约担保格式</w:t>
      </w:r>
    </w:p>
    <w:p w14:paraId="2630363F">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附件9：预付款担保格式</w:t>
      </w:r>
    </w:p>
    <w:p w14:paraId="4300B8E4">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附件10：支付担保格式</w:t>
      </w:r>
    </w:p>
    <w:p w14:paraId="5D994D67">
      <w:pPr>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附件11：暂估价一览表</w:t>
      </w:r>
    </w:p>
    <w:p w14:paraId="1A9C6467">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（注：以上附件内容执行《建设工程施工合同（示范文本）》（GF-2017-0201）格式）</w:t>
      </w:r>
    </w:p>
    <w:p w14:paraId="1EB862CC">
      <w:pPr>
        <w:rPr>
          <w:rFonts w:ascii="微软雅黑" w:hAnsi="微软雅黑"/>
          <w:b/>
          <w:bCs/>
          <w:color w:val="auto"/>
          <w:sz w:val="32"/>
          <w:szCs w:val="32"/>
          <w:highlight w:val="none"/>
        </w:rPr>
      </w:pPr>
    </w:p>
    <w:p w14:paraId="33836DCF">
      <w:pPr>
        <w:pStyle w:val="2"/>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40"/>
          <w:highlight w:val="none"/>
        </w:rPr>
        <w:sectPr>
          <w:footerReference r:id="rId14" w:type="first"/>
          <w:footerReference r:id="rId13" w:type="default"/>
          <w:footnotePr>
            <w:numFmt w:val="decimalEnclosedCircleChinese"/>
            <w:numRestart w:val="eachPage"/>
          </w:footnotePr>
          <w:pgSz w:w="11907" w:h="16840"/>
          <w:pgMar w:top="913" w:right="856" w:bottom="913" w:left="867" w:header="340" w:footer="227" w:gutter="0"/>
          <w:pgNumType w:fmt="decimal"/>
          <w:cols w:space="720" w:num="1"/>
          <w:titlePg/>
        </w:sectPr>
      </w:pPr>
      <w:bookmarkStart w:id="475" w:name="_Toc517963436"/>
      <w:bookmarkStart w:id="476" w:name="_Toc530733568"/>
      <w:bookmarkStart w:id="477" w:name="_Toc32135"/>
      <w:bookmarkStart w:id="478" w:name="_Toc22434"/>
    </w:p>
    <w:p w14:paraId="1A515589">
      <w:pPr>
        <w:pStyle w:val="2"/>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40"/>
          <w:highlight w:val="none"/>
        </w:rPr>
      </w:pPr>
      <w:r>
        <w:rPr>
          <w:rFonts w:hint="eastAsia" w:ascii="宋体" w:hAnsi="宋体" w:eastAsia="宋体" w:cs="宋体"/>
          <w:color w:val="auto"/>
          <w:sz w:val="40"/>
          <w:highlight w:val="none"/>
        </w:rPr>
        <w:t xml:space="preserve">第五章  </w:t>
      </w:r>
      <w:bookmarkEnd w:id="475"/>
      <w:r>
        <w:rPr>
          <w:rFonts w:hint="eastAsia" w:ascii="宋体" w:hAnsi="宋体" w:eastAsia="宋体" w:cs="宋体"/>
          <w:color w:val="auto"/>
          <w:sz w:val="40"/>
          <w:highlight w:val="none"/>
        </w:rPr>
        <w:t>技术标准和要求</w:t>
      </w:r>
      <w:bookmarkEnd w:id="476"/>
      <w:bookmarkEnd w:id="477"/>
      <w:bookmarkEnd w:id="478"/>
    </w:p>
    <w:bookmarkEnd w:id="96"/>
    <w:bookmarkEnd w:id="97"/>
    <w:bookmarkEnd w:id="98"/>
    <w:bookmarkEnd w:id="99"/>
    <w:bookmarkEnd w:id="100"/>
    <w:p w14:paraId="51734168">
      <w:pPr>
        <w:widowControl/>
        <w:jc w:val="center"/>
        <w:rPr>
          <w:rFonts w:hint="default" w:ascii="黑体" w:hAnsi="黑体" w:eastAsia="黑体" w:cs="黑体"/>
          <w:b/>
          <w:sz w:val="36"/>
          <w:szCs w:val="36"/>
          <w:highlight w:val="none"/>
          <w:lang w:val="en-US" w:eastAsia="zh-CN"/>
        </w:rPr>
      </w:pPr>
      <w:r>
        <w:rPr>
          <w:rFonts w:hint="eastAsia" w:ascii="黑体" w:hAnsi="黑体" w:eastAsia="黑体" w:cs="黑体"/>
          <w:b/>
          <w:sz w:val="38"/>
          <w:szCs w:val="38"/>
          <w:highlight w:val="none"/>
        </w:rPr>
        <w:t>红河职业技术学院</w:t>
      </w:r>
      <w:r>
        <w:rPr>
          <w:rFonts w:hint="eastAsia" w:ascii="黑体" w:hAnsi="黑体" w:eastAsia="黑体" w:cs="黑体"/>
          <w:color w:val="000000"/>
          <w:sz w:val="38"/>
          <w:szCs w:val="38"/>
          <w:highlight w:val="none"/>
        </w:rPr>
        <w:t>“数智校园”</w:t>
      </w:r>
      <w:r>
        <w:rPr>
          <w:rFonts w:hint="eastAsia" w:ascii="黑体" w:hAnsi="黑体" w:eastAsia="黑体" w:cs="黑体"/>
          <w:b/>
          <w:sz w:val="38"/>
          <w:szCs w:val="38"/>
          <w:highlight w:val="none"/>
        </w:rPr>
        <w:t>建设项目（设备软件）采购需求清单</w:t>
      </w:r>
      <w:r>
        <w:rPr>
          <w:rFonts w:hint="eastAsia" w:ascii="黑体" w:hAnsi="黑体" w:eastAsia="黑体" w:cs="黑体"/>
          <w:b/>
          <w:sz w:val="38"/>
          <w:szCs w:val="38"/>
          <w:highlight w:val="none"/>
          <w:lang w:eastAsia="zh-CN"/>
        </w:rPr>
        <w:t>（</w:t>
      </w:r>
      <w:r>
        <w:rPr>
          <w:rFonts w:hint="eastAsia" w:ascii="黑体" w:hAnsi="黑体" w:eastAsia="黑体" w:cs="黑体"/>
          <w:b/>
          <w:sz w:val="38"/>
          <w:szCs w:val="38"/>
          <w:highlight w:val="none"/>
          <w:lang w:val="en-US" w:eastAsia="zh-CN"/>
        </w:rPr>
        <w:t>一标段）</w:t>
      </w:r>
    </w:p>
    <w:p w14:paraId="6D7FE8BC">
      <w:pPr>
        <w:widowControl/>
        <w:jc w:val="center"/>
        <w:rPr>
          <w:rFonts w:hint="eastAsia" w:ascii="黑体" w:hAnsi="黑体" w:eastAsia="黑体" w:cs="黑体"/>
          <w:b/>
          <w:sz w:val="36"/>
          <w:szCs w:val="36"/>
          <w:highlight w:val="none"/>
        </w:rPr>
      </w:pPr>
    </w:p>
    <w:tbl>
      <w:tblPr>
        <w:tblStyle w:val="61"/>
        <w:tblW w:w="14514" w:type="dxa"/>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367"/>
        <w:gridCol w:w="7466"/>
        <w:gridCol w:w="664"/>
        <w:gridCol w:w="840"/>
        <w:gridCol w:w="1168"/>
        <w:gridCol w:w="1248"/>
        <w:gridCol w:w="916"/>
      </w:tblGrid>
      <w:tr w14:paraId="2F4CA4B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620" w:hRule="atLeast"/>
          <w:jc w:val="center"/>
        </w:trPr>
        <w:tc>
          <w:tcPr>
            <w:tcW w:w="845" w:type="dxa"/>
            <w:tcBorders>
              <w:tl2br w:val="nil"/>
              <w:tr2bl w:val="nil"/>
            </w:tcBorders>
            <w:noWrap/>
            <w:vAlign w:val="center"/>
          </w:tcPr>
          <w:p w14:paraId="04183E1E">
            <w:pPr>
              <w:keepNext w:val="0"/>
              <w:keepLines w:val="0"/>
              <w:widowControl/>
              <w:suppressLineNumbers w:val="0"/>
              <w:spacing w:before="0" w:beforeAutospacing="0" w:after="0" w:afterAutospacing="0"/>
              <w:ind w:left="0" w:right="0"/>
              <w:jc w:val="center"/>
              <w:rPr>
                <w:rFonts w:hint="eastAsia" w:ascii="黑体" w:hAnsi="黑体" w:eastAsia="黑体" w:cs="黑体"/>
                <w:b w:val="0"/>
                <w:bCs w:val="0"/>
                <w:color w:val="000000"/>
                <w:kern w:val="0"/>
                <w:sz w:val="20"/>
                <w:szCs w:val="20"/>
                <w:highlight w:val="none"/>
              </w:rPr>
            </w:pPr>
            <w:r>
              <w:rPr>
                <w:rFonts w:hint="eastAsia" w:ascii="黑体" w:hAnsi="黑体" w:eastAsia="黑体" w:cs="黑体"/>
                <w:b w:val="0"/>
                <w:bCs w:val="0"/>
                <w:color w:val="000000"/>
                <w:kern w:val="0"/>
                <w:sz w:val="20"/>
                <w:szCs w:val="20"/>
                <w:highlight w:val="none"/>
              </w:rPr>
              <w:t>序号</w:t>
            </w:r>
          </w:p>
        </w:tc>
        <w:tc>
          <w:tcPr>
            <w:tcW w:w="1367" w:type="dxa"/>
            <w:tcBorders>
              <w:tl2br w:val="nil"/>
              <w:tr2bl w:val="nil"/>
            </w:tcBorders>
            <w:noWrap/>
            <w:vAlign w:val="center"/>
          </w:tcPr>
          <w:p w14:paraId="0D56CF72">
            <w:pPr>
              <w:keepNext w:val="0"/>
              <w:keepLines w:val="0"/>
              <w:widowControl/>
              <w:suppressLineNumbers w:val="0"/>
              <w:spacing w:before="0" w:beforeAutospacing="0" w:after="0" w:afterAutospacing="0"/>
              <w:ind w:left="0" w:right="0"/>
              <w:jc w:val="center"/>
              <w:rPr>
                <w:rFonts w:hint="eastAsia" w:ascii="黑体" w:hAnsi="黑体" w:eastAsia="黑体" w:cs="黑体"/>
                <w:b w:val="0"/>
                <w:bCs w:val="0"/>
                <w:color w:val="000000"/>
                <w:kern w:val="0"/>
                <w:sz w:val="20"/>
                <w:szCs w:val="20"/>
                <w:highlight w:val="none"/>
              </w:rPr>
            </w:pPr>
            <w:r>
              <w:rPr>
                <w:rFonts w:hint="eastAsia" w:ascii="黑体" w:hAnsi="黑体" w:eastAsia="黑体" w:cs="黑体"/>
                <w:b w:val="0"/>
                <w:bCs w:val="0"/>
                <w:color w:val="000000"/>
                <w:kern w:val="0"/>
                <w:sz w:val="20"/>
                <w:szCs w:val="20"/>
                <w:highlight w:val="none"/>
              </w:rPr>
              <w:t>设备名称</w:t>
            </w:r>
          </w:p>
        </w:tc>
        <w:tc>
          <w:tcPr>
            <w:tcW w:w="7466" w:type="dxa"/>
            <w:tcBorders>
              <w:tl2br w:val="nil"/>
              <w:tr2bl w:val="nil"/>
            </w:tcBorders>
            <w:noWrap/>
            <w:vAlign w:val="center"/>
          </w:tcPr>
          <w:p w14:paraId="37B1110B">
            <w:pPr>
              <w:keepNext w:val="0"/>
              <w:keepLines w:val="0"/>
              <w:widowControl/>
              <w:suppressLineNumbers w:val="0"/>
              <w:spacing w:before="0" w:beforeAutospacing="0" w:after="0" w:afterAutospacing="0"/>
              <w:ind w:left="0" w:right="0"/>
              <w:jc w:val="center"/>
              <w:rPr>
                <w:rFonts w:hint="eastAsia" w:ascii="黑体" w:hAnsi="黑体" w:eastAsia="黑体" w:cs="黑体"/>
                <w:b w:val="0"/>
                <w:bCs w:val="0"/>
                <w:color w:val="000000"/>
                <w:kern w:val="0"/>
                <w:sz w:val="20"/>
                <w:szCs w:val="20"/>
                <w:highlight w:val="none"/>
              </w:rPr>
            </w:pPr>
            <w:r>
              <w:rPr>
                <w:rFonts w:hint="eastAsia" w:ascii="黑体" w:hAnsi="黑体" w:eastAsia="黑体" w:cs="黑体"/>
                <w:b w:val="0"/>
                <w:bCs w:val="0"/>
                <w:color w:val="000000"/>
                <w:kern w:val="0"/>
                <w:sz w:val="20"/>
                <w:szCs w:val="20"/>
                <w:highlight w:val="none"/>
              </w:rPr>
              <w:t>技术参数及配置要求</w:t>
            </w:r>
          </w:p>
        </w:tc>
        <w:tc>
          <w:tcPr>
            <w:tcW w:w="664" w:type="dxa"/>
            <w:tcBorders>
              <w:tl2br w:val="nil"/>
              <w:tr2bl w:val="nil"/>
            </w:tcBorders>
            <w:noWrap/>
            <w:vAlign w:val="center"/>
          </w:tcPr>
          <w:p w14:paraId="527F24A1">
            <w:pPr>
              <w:keepNext w:val="0"/>
              <w:keepLines w:val="0"/>
              <w:widowControl/>
              <w:suppressLineNumbers w:val="0"/>
              <w:spacing w:before="0" w:beforeAutospacing="0" w:after="0" w:afterAutospacing="0"/>
              <w:ind w:left="0" w:right="0"/>
              <w:jc w:val="center"/>
              <w:rPr>
                <w:rFonts w:hint="eastAsia" w:ascii="黑体" w:hAnsi="黑体" w:eastAsia="黑体" w:cs="黑体"/>
                <w:b w:val="0"/>
                <w:bCs w:val="0"/>
                <w:color w:val="000000"/>
                <w:kern w:val="0"/>
                <w:sz w:val="20"/>
                <w:szCs w:val="20"/>
                <w:highlight w:val="none"/>
              </w:rPr>
            </w:pPr>
            <w:r>
              <w:rPr>
                <w:rFonts w:hint="eastAsia" w:ascii="黑体" w:hAnsi="黑体" w:eastAsia="黑体" w:cs="黑体"/>
                <w:b w:val="0"/>
                <w:bCs w:val="0"/>
                <w:color w:val="000000"/>
                <w:kern w:val="0"/>
                <w:sz w:val="20"/>
                <w:szCs w:val="20"/>
                <w:highlight w:val="none"/>
              </w:rPr>
              <w:t>单位</w:t>
            </w:r>
          </w:p>
        </w:tc>
        <w:tc>
          <w:tcPr>
            <w:tcW w:w="840" w:type="dxa"/>
            <w:tcBorders>
              <w:tl2br w:val="nil"/>
              <w:tr2bl w:val="nil"/>
            </w:tcBorders>
            <w:noWrap/>
            <w:vAlign w:val="center"/>
          </w:tcPr>
          <w:p w14:paraId="3F50C314">
            <w:pPr>
              <w:keepNext w:val="0"/>
              <w:keepLines w:val="0"/>
              <w:widowControl/>
              <w:suppressLineNumbers w:val="0"/>
              <w:spacing w:before="0" w:beforeAutospacing="0" w:after="0" w:afterAutospacing="0"/>
              <w:ind w:left="0" w:right="0"/>
              <w:jc w:val="center"/>
              <w:rPr>
                <w:rFonts w:hint="eastAsia" w:ascii="黑体" w:hAnsi="黑体" w:eastAsia="黑体" w:cs="黑体"/>
                <w:b w:val="0"/>
                <w:bCs w:val="0"/>
                <w:color w:val="000000"/>
                <w:kern w:val="0"/>
                <w:sz w:val="20"/>
                <w:szCs w:val="20"/>
                <w:highlight w:val="none"/>
              </w:rPr>
            </w:pPr>
            <w:r>
              <w:rPr>
                <w:rFonts w:hint="eastAsia" w:ascii="黑体" w:hAnsi="黑体" w:eastAsia="黑体" w:cs="黑体"/>
                <w:b w:val="0"/>
                <w:bCs w:val="0"/>
                <w:color w:val="000000"/>
                <w:kern w:val="0"/>
                <w:sz w:val="20"/>
                <w:szCs w:val="20"/>
                <w:highlight w:val="none"/>
              </w:rPr>
              <w:t>数量</w:t>
            </w:r>
          </w:p>
        </w:tc>
        <w:tc>
          <w:tcPr>
            <w:tcW w:w="1168" w:type="dxa"/>
            <w:tcBorders>
              <w:tl2br w:val="nil"/>
              <w:tr2bl w:val="nil"/>
            </w:tcBorders>
            <w:noWrap/>
            <w:vAlign w:val="center"/>
          </w:tcPr>
          <w:p w14:paraId="0B01CF8E">
            <w:pPr>
              <w:keepNext w:val="0"/>
              <w:keepLines w:val="0"/>
              <w:widowControl/>
              <w:suppressLineNumbers w:val="0"/>
              <w:spacing w:before="0" w:beforeAutospacing="0" w:after="0" w:afterAutospacing="0" w:line="240" w:lineRule="exact"/>
              <w:ind w:left="0" w:right="0"/>
              <w:jc w:val="center"/>
              <w:rPr>
                <w:rFonts w:hint="eastAsia" w:ascii="黑体" w:hAnsi="黑体" w:eastAsia="黑体" w:cs="黑体"/>
                <w:b w:val="0"/>
                <w:bCs w:val="0"/>
                <w:color w:val="000000"/>
                <w:kern w:val="0"/>
                <w:sz w:val="20"/>
                <w:szCs w:val="20"/>
                <w:highlight w:val="none"/>
              </w:rPr>
            </w:pPr>
            <w:r>
              <w:rPr>
                <w:rFonts w:hint="eastAsia" w:ascii="黑体" w:hAnsi="黑体" w:eastAsia="黑体" w:cs="黑体"/>
                <w:b w:val="0"/>
                <w:bCs w:val="0"/>
                <w:color w:val="000000"/>
                <w:kern w:val="0"/>
                <w:sz w:val="20"/>
                <w:szCs w:val="20"/>
                <w:highlight w:val="none"/>
              </w:rPr>
              <w:t xml:space="preserve">投标报价(元) </w:t>
            </w:r>
          </w:p>
        </w:tc>
        <w:tc>
          <w:tcPr>
            <w:tcW w:w="1248" w:type="dxa"/>
            <w:tcBorders>
              <w:tl2br w:val="nil"/>
              <w:tr2bl w:val="nil"/>
            </w:tcBorders>
            <w:noWrap/>
            <w:vAlign w:val="center"/>
          </w:tcPr>
          <w:p w14:paraId="031B404D">
            <w:pPr>
              <w:keepNext w:val="0"/>
              <w:keepLines w:val="0"/>
              <w:widowControl/>
              <w:suppressLineNumbers w:val="0"/>
              <w:spacing w:before="0" w:beforeAutospacing="0" w:after="0" w:afterAutospacing="0" w:line="240" w:lineRule="exact"/>
              <w:ind w:left="0" w:right="0"/>
              <w:jc w:val="center"/>
              <w:rPr>
                <w:rFonts w:hint="eastAsia" w:ascii="黑体" w:hAnsi="黑体" w:eastAsia="黑体" w:cs="黑体"/>
                <w:b w:val="0"/>
                <w:bCs w:val="0"/>
                <w:color w:val="000000"/>
                <w:kern w:val="0"/>
                <w:sz w:val="20"/>
                <w:szCs w:val="20"/>
                <w:highlight w:val="none"/>
              </w:rPr>
            </w:pPr>
            <w:r>
              <w:rPr>
                <w:rFonts w:hint="eastAsia" w:ascii="黑体" w:hAnsi="黑体" w:eastAsia="黑体" w:cs="黑体"/>
                <w:b w:val="0"/>
                <w:bCs w:val="0"/>
                <w:color w:val="000000"/>
                <w:kern w:val="0"/>
                <w:sz w:val="20"/>
                <w:szCs w:val="20"/>
                <w:highlight w:val="none"/>
              </w:rPr>
              <w:t>合价(元)</w:t>
            </w:r>
          </w:p>
        </w:tc>
        <w:tc>
          <w:tcPr>
            <w:tcW w:w="916" w:type="dxa"/>
            <w:tcBorders>
              <w:tl2br w:val="nil"/>
              <w:tr2bl w:val="nil"/>
            </w:tcBorders>
            <w:noWrap/>
            <w:vAlign w:val="center"/>
          </w:tcPr>
          <w:p w14:paraId="2D67A268">
            <w:pPr>
              <w:keepNext w:val="0"/>
              <w:keepLines w:val="0"/>
              <w:widowControl/>
              <w:suppressLineNumbers w:val="0"/>
              <w:spacing w:before="0" w:beforeAutospacing="0" w:after="0" w:afterAutospacing="0"/>
              <w:ind w:left="0" w:right="0"/>
              <w:jc w:val="center"/>
              <w:rPr>
                <w:rFonts w:hint="eastAsia" w:ascii="黑体" w:hAnsi="黑体" w:eastAsia="黑体" w:cs="黑体"/>
                <w:b w:val="0"/>
                <w:bCs w:val="0"/>
                <w:color w:val="000000"/>
                <w:kern w:val="0"/>
                <w:sz w:val="20"/>
                <w:szCs w:val="20"/>
                <w:highlight w:val="none"/>
              </w:rPr>
            </w:pPr>
            <w:r>
              <w:rPr>
                <w:rFonts w:hint="eastAsia" w:ascii="黑体" w:hAnsi="黑体" w:eastAsia="黑体" w:cs="黑体"/>
                <w:b w:val="0"/>
                <w:bCs w:val="0"/>
                <w:color w:val="000000"/>
                <w:kern w:val="0"/>
                <w:sz w:val="20"/>
                <w:szCs w:val="20"/>
                <w:highlight w:val="none"/>
              </w:rPr>
              <w:t>备注</w:t>
            </w:r>
          </w:p>
        </w:tc>
      </w:tr>
      <w:tr w14:paraId="1DB933E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845" w:type="dxa"/>
            <w:tcBorders>
              <w:tl2br w:val="nil"/>
              <w:tr2bl w:val="nil"/>
            </w:tcBorders>
            <w:vAlign w:val="center"/>
          </w:tcPr>
          <w:p w14:paraId="68BA922D">
            <w:pPr>
              <w:keepNext w:val="0"/>
              <w:keepLines w:val="0"/>
              <w:widowControl/>
              <w:suppressLineNumbers w:val="0"/>
              <w:spacing w:before="0" w:beforeAutospacing="0" w:after="0" w:afterAutospacing="0"/>
              <w:ind w:left="0" w:right="0"/>
              <w:jc w:val="center"/>
              <w:rPr>
                <w:rFonts w:hint="eastAsia" w:ascii="宋体" w:hAnsi="宋体" w:eastAsia="宋体" w:cs="宋体"/>
                <w:color w:val="000000"/>
                <w:kern w:val="0"/>
                <w:sz w:val="24"/>
                <w:szCs w:val="24"/>
                <w:highlight w:val="none"/>
              </w:rPr>
            </w:pPr>
            <w:r>
              <w:rPr>
                <w:rFonts w:hint="eastAsia" w:ascii="微软雅黑" w:hAnsi="微软雅黑" w:eastAsia="微软雅黑" w:cs="微软雅黑"/>
                <w:b/>
                <w:bCs/>
                <w:i w:val="0"/>
                <w:iCs w:val="0"/>
                <w:color w:val="984807" w:themeColor="accent6" w:themeShade="80"/>
                <w:kern w:val="0"/>
                <w:sz w:val="24"/>
                <w:szCs w:val="24"/>
                <w:highlight w:val="none"/>
                <w:u w:val="none"/>
                <w:lang w:val="en-US" w:eastAsia="zh-CN" w:bidi="ar"/>
              </w:rPr>
              <w:t>一</w:t>
            </w:r>
          </w:p>
        </w:tc>
        <w:tc>
          <w:tcPr>
            <w:tcW w:w="8833" w:type="dxa"/>
            <w:gridSpan w:val="2"/>
            <w:tcBorders>
              <w:tl2br w:val="nil"/>
              <w:tr2bl w:val="nil"/>
            </w:tcBorders>
            <w:vAlign w:val="center"/>
          </w:tcPr>
          <w:p w14:paraId="105860D4">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微软雅黑" w:hAnsi="微软雅黑" w:eastAsia="微软雅黑" w:cs="微软雅黑"/>
                <w:b w:val="0"/>
                <w:bCs w:val="0"/>
                <w:i w:val="0"/>
                <w:iCs w:val="0"/>
                <w:color w:val="984807" w:themeColor="accent6" w:themeShade="80"/>
                <w:kern w:val="0"/>
                <w:sz w:val="24"/>
                <w:szCs w:val="24"/>
                <w:highlight w:val="none"/>
                <w:u w:val="none"/>
                <w:lang w:val="en-US" w:eastAsia="zh-CN" w:bidi="ar"/>
              </w:rPr>
              <w:t>标准教室建设</w:t>
            </w:r>
          </w:p>
        </w:tc>
        <w:tc>
          <w:tcPr>
            <w:tcW w:w="664" w:type="dxa"/>
            <w:tcBorders>
              <w:tl2br w:val="nil"/>
              <w:tr2bl w:val="nil"/>
            </w:tcBorders>
            <w:shd w:val="clear" w:color="auto" w:fill="FFFFFF"/>
            <w:vAlign w:val="center"/>
          </w:tcPr>
          <w:p w14:paraId="0A76D287">
            <w:pPr>
              <w:keepNext w:val="0"/>
              <w:keepLines w:val="0"/>
              <w:widowControl/>
              <w:suppressLineNumbers w:val="0"/>
              <w:spacing w:before="0" w:beforeAutospacing="0" w:after="0" w:afterAutospacing="0"/>
              <w:ind w:left="0" w:right="0"/>
              <w:jc w:val="center"/>
              <w:rPr>
                <w:rFonts w:hint="default" w:ascii="方正仿宋_GBK" w:hAnsi="方正仿宋_GBK" w:eastAsia="方正仿宋_GBK" w:cs="方正仿宋_GBK"/>
                <w:i w:val="0"/>
                <w:iCs w:val="0"/>
                <w:color w:val="000000"/>
                <w:kern w:val="0"/>
                <w:sz w:val="21"/>
                <w:szCs w:val="21"/>
                <w:highlight w:val="none"/>
                <w:u w:val="none"/>
                <w:lang w:val="en-US" w:eastAsia="zh-CN" w:bidi="ar"/>
              </w:rPr>
            </w:pPr>
          </w:p>
        </w:tc>
        <w:tc>
          <w:tcPr>
            <w:tcW w:w="840" w:type="dxa"/>
            <w:tcBorders>
              <w:tl2br w:val="nil"/>
              <w:tr2bl w:val="nil"/>
            </w:tcBorders>
            <w:shd w:val="clear" w:color="auto" w:fill="FFFFFF"/>
            <w:vAlign w:val="center"/>
          </w:tcPr>
          <w:p w14:paraId="2FB2F453">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168" w:type="dxa"/>
            <w:tcBorders>
              <w:tl2br w:val="nil"/>
              <w:tr2bl w:val="nil"/>
            </w:tcBorders>
            <w:shd w:val="clear" w:color="auto" w:fill="FFFFFF"/>
            <w:vAlign w:val="center"/>
          </w:tcPr>
          <w:p w14:paraId="43BB4566">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248" w:type="dxa"/>
            <w:tcBorders>
              <w:tl2br w:val="nil"/>
              <w:tr2bl w:val="nil"/>
            </w:tcBorders>
            <w:shd w:val="clear" w:color="auto" w:fill="FFFFFF"/>
            <w:vAlign w:val="center"/>
          </w:tcPr>
          <w:p w14:paraId="7D599251">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916" w:type="dxa"/>
            <w:tcBorders>
              <w:tl2br w:val="nil"/>
              <w:tr2bl w:val="nil"/>
            </w:tcBorders>
            <w:shd w:val="clear" w:color="auto" w:fill="FFFFFF"/>
            <w:vAlign w:val="center"/>
          </w:tcPr>
          <w:p w14:paraId="6A5D68AA">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r w14:paraId="7BFFC6F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45" w:type="dxa"/>
            <w:tcBorders>
              <w:tl2br w:val="nil"/>
              <w:tr2bl w:val="nil"/>
            </w:tcBorders>
            <w:vAlign w:val="center"/>
          </w:tcPr>
          <w:p w14:paraId="174DF70F">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color w:val="000000"/>
                <w:kern w:val="0"/>
                <w:sz w:val="24"/>
                <w:szCs w:val="24"/>
                <w:highlight w:val="none"/>
              </w:rPr>
            </w:pPr>
            <w:r>
              <w:rPr>
                <w:rFonts w:hint="eastAsia" w:ascii="黑体" w:hAnsi="宋体" w:eastAsia="黑体" w:cs="黑体"/>
                <w:i w:val="0"/>
                <w:iCs w:val="0"/>
                <w:color w:val="000000"/>
                <w:kern w:val="0"/>
                <w:sz w:val="20"/>
                <w:szCs w:val="20"/>
                <w:highlight w:val="none"/>
                <w:u w:val="none"/>
                <w:lang w:val="en-US" w:eastAsia="zh-CN" w:bidi="ar"/>
              </w:rPr>
              <w:t>（一）</w:t>
            </w:r>
          </w:p>
        </w:tc>
        <w:tc>
          <w:tcPr>
            <w:tcW w:w="8833" w:type="dxa"/>
            <w:gridSpan w:val="2"/>
            <w:tcBorders>
              <w:tl2br w:val="nil"/>
              <w:tr2bl w:val="nil"/>
            </w:tcBorders>
            <w:vAlign w:val="center"/>
          </w:tcPr>
          <w:p w14:paraId="7E1E7547">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黑体" w:hAnsi="宋体" w:eastAsia="黑体" w:cs="黑体"/>
                <w:b/>
                <w:bCs/>
                <w:i w:val="0"/>
                <w:iCs w:val="0"/>
                <w:color w:val="000000"/>
                <w:kern w:val="0"/>
                <w:sz w:val="20"/>
                <w:szCs w:val="20"/>
                <w:highlight w:val="none"/>
                <w:u w:val="none"/>
                <w:lang w:val="en-US" w:eastAsia="zh-CN" w:bidi="ar"/>
              </w:rPr>
              <w:t>蒙自校区</w:t>
            </w:r>
          </w:p>
        </w:tc>
        <w:tc>
          <w:tcPr>
            <w:tcW w:w="664" w:type="dxa"/>
            <w:tcBorders>
              <w:tl2br w:val="nil"/>
              <w:tr2bl w:val="nil"/>
            </w:tcBorders>
            <w:shd w:val="clear" w:color="auto" w:fill="FFFFFF"/>
            <w:vAlign w:val="center"/>
          </w:tcPr>
          <w:p w14:paraId="56C6572F">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840" w:type="dxa"/>
            <w:tcBorders>
              <w:tl2br w:val="nil"/>
              <w:tr2bl w:val="nil"/>
            </w:tcBorders>
            <w:shd w:val="clear" w:color="auto" w:fill="FFFFFF"/>
            <w:vAlign w:val="center"/>
          </w:tcPr>
          <w:p w14:paraId="26FFE59A">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168" w:type="dxa"/>
            <w:tcBorders>
              <w:tl2br w:val="nil"/>
              <w:tr2bl w:val="nil"/>
            </w:tcBorders>
            <w:shd w:val="clear" w:color="auto" w:fill="FFFFFF"/>
            <w:vAlign w:val="center"/>
          </w:tcPr>
          <w:p w14:paraId="4EB84696">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248" w:type="dxa"/>
            <w:tcBorders>
              <w:tl2br w:val="nil"/>
              <w:tr2bl w:val="nil"/>
            </w:tcBorders>
            <w:shd w:val="clear" w:color="auto" w:fill="FFFFFF"/>
            <w:vAlign w:val="center"/>
          </w:tcPr>
          <w:p w14:paraId="33D17F72">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916" w:type="dxa"/>
            <w:tcBorders>
              <w:tl2br w:val="nil"/>
              <w:tr2bl w:val="nil"/>
            </w:tcBorders>
            <w:shd w:val="clear" w:color="auto" w:fill="FFFFFF"/>
            <w:vAlign w:val="center"/>
          </w:tcPr>
          <w:p w14:paraId="00E3F1BD">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r w14:paraId="60F156A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45" w:type="dxa"/>
            <w:tcBorders>
              <w:tl2br w:val="nil"/>
              <w:tr2bl w:val="nil"/>
            </w:tcBorders>
            <w:vAlign w:val="center"/>
          </w:tcPr>
          <w:p w14:paraId="5186158E">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color w:val="000000"/>
                <w:kern w:val="0"/>
                <w:sz w:val="22"/>
                <w:szCs w:val="22"/>
                <w:highlight w:val="none"/>
              </w:rPr>
            </w:pPr>
            <w:r>
              <w:rPr>
                <w:rFonts w:hint="eastAsia" w:ascii="黑体" w:hAnsi="宋体" w:eastAsia="黑体" w:cs="黑体"/>
                <w:i w:val="0"/>
                <w:iCs w:val="0"/>
                <w:color w:val="000000"/>
                <w:kern w:val="0"/>
                <w:sz w:val="18"/>
                <w:szCs w:val="18"/>
                <w:highlight w:val="none"/>
                <w:u w:val="none"/>
                <w:lang w:val="en-US" w:eastAsia="zh-CN" w:bidi="ar"/>
              </w:rPr>
              <w:t>1</w:t>
            </w:r>
          </w:p>
        </w:tc>
        <w:tc>
          <w:tcPr>
            <w:tcW w:w="1367" w:type="dxa"/>
            <w:tcBorders>
              <w:tl2br w:val="nil"/>
              <w:tr2bl w:val="nil"/>
            </w:tcBorders>
            <w:vAlign w:val="center"/>
          </w:tcPr>
          <w:p w14:paraId="5452F311">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b w:val="0"/>
                <w:bCs w:val="0"/>
                <w:color w:val="000000"/>
                <w:kern w:val="0"/>
                <w:sz w:val="22"/>
                <w:szCs w:val="22"/>
                <w:highlight w:val="none"/>
              </w:rPr>
            </w:pPr>
            <w:r>
              <w:rPr>
                <w:rFonts w:hint="eastAsia" w:ascii="黑体" w:hAnsi="宋体" w:eastAsia="黑体" w:cs="黑体"/>
                <w:i w:val="0"/>
                <w:iCs w:val="0"/>
                <w:color w:val="000000"/>
                <w:kern w:val="0"/>
                <w:sz w:val="21"/>
                <w:szCs w:val="21"/>
                <w:highlight w:val="none"/>
                <w:u w:val="none"/>
                <w:lang w:val="en-US" w:eastAsia="zh-CN" w:bidi="ar"/>
              </w:rPr>
              <w:t>教室综合布线维修改造</w:t>
            </w:r>
          </w:p>
        </w:tc>
        <w:tc>
          <w:tcPr>
            <w:tcW w:w="7466" w:type="dxa"/>
            <w:tcBorders>
              <w:tl2br w:val="nil"/>
              <w:tr2bl w:val="nil"/>
            </w:tcBorders>
            <w:shd w:val="clear" w:color="auto" w:fill="FFFFFF"/>
            <w:vAlign w:val="center"/>
          </w:tcPr>
          <w:p w14:paraId="3BDAA709">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包含布线施工，PVC管线、排插、网线、电源线等主辅材采购，机柜及设备安装调试等；满足设计及规范验收要求。</w:t>
            </w:r>
          </w:p>
        </w:tc>
        <w:tc>
          <w:tcPr>
            <w:tcW w:w="664" w:type="dxa"/>
            <w:tcBorders>
              <w:tl2br w:val="nil"/>
              <w:tr2bl w:val="nil"/>
            </w:tcBorders>
            <w:shd w:val="clear" w:color="auto" w:fill="FFFFFF"/>
            <w:vAlign w:val="center"/>
          </w:tcPr>
          <w:p w14:paraId="62A49D93">
            <w:pPr>
              <w:keepNext w:val="0"/>
              <w:keepLines w:val="0"/>
              <w:widowControl/>
              <w:suppressLineNumbers w:val="0"/>
              <w:spacing w:before="0" w:beforeAutospacing="0" w:after="0" w:afterAutospacing="0"/>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个</w:t>
            </w:r>
          </w:p>
        </w:tc>
        <w:tc>
          <w:tcPr>
            <w:tcW w:w="840" w:type="dxa"/>
            <w:tcBorders>
              <w:tl2br w:val="nil"/>
              <w:tr2bl w:val="nil"/>
            </w:tcBorders>
            <w:shd w:val="clear" w:color="auto" w:fill="FFFFFF"/>
            <w:vAlign w:val="center"/>
          </w:tcPr>
          <w:p w14:paraId="2D64F5BD">
            <w:pPr>
              <w:keepNext w:val="0"/>
              <w:keepLines w:val="0"/>
              <w:widowControl/>
              <w:suppressLineNumbers w:val="0"/>
              <w:spacing w:before="0" w:beforeAutospacing="0" w:after="0" w:afterAutospacing="0"/>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240</w:t>
            </w:r>
          </w:p>
        </w:tc>
        <w:tc>
          <w:tcPr>
            <w:tcW w:w="1168" w:type="dxa"/>
            <w:tcBorders>
              <w:tl2br w:val="nil"/>
              <w:tr2bl w:val="nil"/>
            </w:tcBorders>
            <w:shd w:val="clear" w:color="auto" w:fill="FFFFFF"/>
            <w:vAlign w:val="center"/>
          </w:tcPr>
          <w:p w14:paraId="1CC180C9">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248" w:type="dxa"/>
            <w:tcBorders>
              <w:tl2br w:val="nil"/>
              <w:tr2bl w:val="nil"/>
            </w:tcBorders>
            <w:shd w:val="clear" w:color="auto" w:fill="FFFFFF"/>
            <w:vAlign w:val="center"/>
          </w:tcPr>
          <w:p w14:paraId="7700A38C">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916" w:type="dxa"/>
            <w:tcBorders>
              <w:tl2br w:val="nil"/>
              <w:tr2bl w:val="nil"/>
            </w:tcBorders>
            <w:shd w:val="clear" w:color="auto" w:fill="FFFFFF"/>
            <w:vAlign w:val="center"/>
          </w:tcPr>
          <w:p w14:paraId="6B830612">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r w14:paraId="595866B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45" w:type="dxa"/>
            <w:tcBorders>
              <w:tl2br w:val="nil"/>
              <w:tr2bl w:val="nil"/>
            </w:tcBorders>
            <w:vAlign w:val="center"/>
          </w:tcPr>
          <w:p w14:paraId="6F6A7453">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color w:val="000000"/>
                <w:kern w:val="0"/>
                <w:sz w:val="24"/>
                <w:szCs w:val="24"/>
                <w:highlight w:val="none"/>
              </w:rPr>
            </w:pPr>
            <w:r>
              <w:rPr>
                <w:rFonts w:hint="eastAsia" w:ascii="黑体" w:hAnsi="宋体" w:eastAsia="黑体" w:cs="黑体"/>
                <w:b/>
                <w:bCs/>
                <w:i w:val="0"/>
                <w:iCs w:val="0"/>
                <w:color w:val="000000"/>
                <w:kern w:val="0"/>
                <w:sz w:val="20"/>
                <w:szCs w:val="20"/>
                <w:highlight w:val="none"/>
                <w:u w:val="none"/>
                <w:lang w:val="en-US" w:eastAsia="zh-CN" w:bidi="ar"/>
              </w:rPr>
              <w:t>（二）</w:t>
            </w:r>
          </w:p>
        </w:tc>
        <w:tc>
          <w:tcPr>
            <w:tcW w:w="8833" w:type="dxa"/>
            <w:gridSpan w:val="2"/>
            <w:tcBorders>
              <w:tl2br w:val="nil"/>
              <w:tr2bl w:val="nil"/>
            </w:tcBorders>
            <w:vAlign w:val="center"/>
          </w:tcPr>
          <w:p w14:paraId="169164A5">
            <w:pPr>
              <w:keepNext w:val="0"/>
              <w:keepLines w:val="0"/>
              <w:suppressLineNumbers w:val="0"/>
              <w:spacing w:before="0" w:beforeAutospacing="0" w:after="0" w:afterAutospacing="0"/>
              <w:ind w:left="0" w:right="0"/>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黑体" w:hAnsi="宋体" w:eastAsia="黑体" w:cs="黑体"/>
                <w:b/>
                <w:bCs/>
                <w:i w:val="0"/>
                <w:iCs w:val="0"/>
                <w:color w:val="000000"/>
                <w:kern w:val="0"/>
                <w:sz w:val="20"/>
                <w:szCs w:val="20"/>
                <w:highlight w:val="none"/>
                <w:u w:val="none"/>
                <w:lang w:val="en-US" w:eastAsia="zh-CN" w:bidi="ar"/>
              </w:rPr>
              <w:t>建水校区</w:t>
            </w:r>
          </w:p>
        </w:tc>
        <w:tc>
          <w:tcPr>
            <w:tcW w:w="664" w:type="dxa"/>
            <w:tcBorders>
              <w:tl2br w:val="nil"/>
              <w:tr2bl w:val="nil"/>
            </w:tcBorders>
            <w:shd w:val="clear" w:color="auto" w:fill="FFFFFF"/>
            <w:vAlign w:val="center"/>
          </w:tcPr>
          <w:p w14:paraId="18CC1122">
            <w:pPr>
              <w:keepNext w:val="0"/>
              <w:keepLines w:val="0"/>
              <w:widowControl/>
              <w:suppressLineNumbers w:val="0"/>
              <w:spacing w:before="0" w:beforeAutospacing="0" w:after="0" w:afterAutospacing="0"/>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840" w:type="dxa"/>
            <w:tcBorders>
              <w:tl2br w:val="nil"/>
              <w:tr2bl w:val="nil"/>
            </w:tcBorders>
            <w:shd w:val="clear" w:color="auto" w:fill="FFFFFF"/>
            <w:vAlign w:val="center"/>
          </w:tcPr>
          <w:p w14:paraId="594BD02C">
            <w:pPr>
              <w:keepNext w:val="0"/>
              <w:keepLines w:val="0"/>
              <w:widowControl/>
              <w:suppressLineNumbers w:val="0"/>
              <w:spacing w:before="0" w:beforeAutospacing="0" w:after="0" w:afterAutospacing="0"/>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168" w:type="dxa"/>
            <w:tcBorders>
              <w:tl2br w:val="nil"/>
              <w:tr2bl w:val="nil"/>
            </w:tcBorders>
            <w:shd w:val="clear" w:color="auto" w:fill="FFFFFF"/>
            <w:vAlign w:val="center"/>
          </w:tcPr>
          <w:p w14:paraId="75E1E64B">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248" w:type="dxa"/>
            <w:tcBorders>
              <w:tl2br w:val="nil"/>
              <w:tr2bl w:val="nil"/>
            </w:tcBorders>
            <w:shd w:val="clear" w:color="auto" w:fill="FFFFFF"/>
            <w:vAlign w:val="center"/>
          </w:tcPr>
          <w:p w14:paraId="4B7C7689">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916" w:type="dxa"/>
            <w:tcBorders>
              <w:tl2br w:val="nil"/>
              <w:tr2bl w:val="nil"/>
            </w:tcBorders>
            <w:shd w:val="clear" w:color="auto" w:fill="FFFFFF"/>
            <w:vAlign w:val="center"/>
          </w:tcPr>
          <w:p w14:paraId="0AF0F9D8">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r w14:paraId="0BC6B8A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45" w:type="dxa"/>
            <w:tcBorders>
              <w:tl2br w:val="nil"/>
              <w:tr2bl w:val="nil"/>
            </w:tcBorders>
            <w:vAlign w:val="center"/>
          </w:tcPr>
          <w:p w14:paraId="518EE4BC">
            <w:pPr>
              <w:keepNext w:val="0"/>
              <w:keepLines w:val="0"/>
              <w:widowControl/>
              <w:suppressLineNumbers w:val="0"/>
              <w:spacing w:before="0" w:beforeAutospacing="0" w:after="0" w:afterAutospacing="0"/>
              <w:ind w:left="0" w:right="0"/>
              <w:jc w:val="center"/>
              <w:textAlignment w:val="center"/>
              <w:rPr>
                <w:rFonts w:hint="eastAsia" w:ascii="黑体" w:hAnsi="黑体" w:eastAsia="黑体" w:cs="黑体"/>
                <w:color w:val="000000"/>
                <w:kern w:val="0"/>
                <w:sz w:val="22"/>
                <w:szCs w:val="22"/>
                <w:highlight w:val="none"/>
              </w:rPr>
            </w:pPr>
            <w:r>
              <w:rPr>
                <w:rFonts w:hint="eastAsia" w:ascii="黑体" w:hAnsi="宋体" w:eastAsia="黑体" w:cs="黑体"/>
                <w:i w:val="0"/>
                <w:iCs w:val="0"/>
                <w:color w:val="000000"/>
                <w:kern w:val="0"/>
                <w:sz w:val="18"/>
                <w:szCs w:val="18"/>
                <w:highlight w:val="none"/>
                <w:u w:val="none"/>
                <w:lang w:val="en-US" w:eastAsia="zh-CN" w:bidi="ar"/>
              </w:rPr>
              <w:t>1</w:t>
            </w:r>
          </w:p>
        </w:tc>
        <w:tc>
          <w:tcPr>
            <w:tcW w:w="1367" w:type="dxa"/>
            <w:tcBorders>
              <w:tl2br w:val="nil"/>
              <w:tr2bl w:val="nil"/>
            </w:tcBorders>
            <w:vAlign w:val="center"/>
          </w:tcPr>
          <w:p w14:paraId="5C2BE336">
            <w:pPr>
              <w:keepNext w:val="0"/>
              <w:keepLines w:val="0"/>
              <w:widowControl/>
              <w:suppressLineNumbers w:val="0"/>
              <w:spacing w:before="0" w:beforeAutospacing="0" w:after="0" w:afterAutospacing="0"/>
              <w:ind w:left="0" w:right="0"/>
              <w:jc w:val="left"/>
              <w:textAlignment w:val="center"/>
              <w:rPr>
                <w:rFonts w:hint="eastAsia" w:ascii="黑体" w:hAnsi="黑体" w:eastAsia="黑体" w:cs="黑体"/>
                <w:b w:val="0"/>
                <w:bCs w:val="0"/>
                <w:color w:val="000000"/>
                <w:kern w:val="0"/>
                <w:sz w:val="22"/>
                <w:szCs w:val="22"/>
                <w:highlight w:val="none"/>
              </w:rPr>
            </w:pPr>
            <w:r>
              <w:rPr>
                <w:rFonts w:hint="eastAsia" w:ascii="黑体" w:hAnsi="宋体" w:eastAsia="黑体" w:cs="黑体"/>
                <w:i w:val="0"/>
                <w:iCs w:val="0"/>
                <w:color w:val="000000"/>
                <w:kern w:val="0"/>
                <w:sz w:val="21"/>
                <w:szCs w:val="21"/>
                <w:highlight w:val="none"/>
                <w:u w:val="none"/>
                <w:lang w:val="en-US" w:eastAsia="zh-CN" w:bidi="ar"/>
              </w:rPr>
              <w:t>教室综合布线维修改造</w:t>
            </w:r>
          </w:p>
        </w:tc>
        <w:tc>
          <w:tcPr>
            <w:tcW w:w="7466" w:type="dxa"/>
            <w:tcBorders>
              <w:tl2br w:val="nil"/>
              <w:tr2bl w:val="nil"/>
            </w:tcBorders>
            <w:shd w:val="clear" w:color="auto" w:fill="FFFFFF"/>
            <w:vAlign w:val="center"/>
          </w:tcPr>
          <w:p w14:paraId="114AD036">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包含布线施工，PVC管线、排插、网线、电源线等主辅材采购，机柜及设备安装调试等；满足设计及规范验收要求。</w:t>
            </w:r>
          </w:p>
        </w:tc>
        <w:tc>
          <w:tcPr>
            <w:tcW w:w="664" w:type="dxa"/>
            <w:tcBorders>
              <w:tl2br w:val="nil"/>
              <w:tr2bl w:val="nil"/>
            </w:tcBorders>
            <w:shd w:val="clear" w:color="auto" w:fill="FFFFFF"/>
            <w:vAlign w:val="center"/>
          </w:tcPr>
          <w:p w14:paraId="48474F73">
            <w:pPr>
              <w:keepNext w:val="0"/>
              <w:keepLines w:val="0"/>
              <w:widowControl/>
              <w:suppressLineNumbers w:val="0"/>
              <w:spacing w:before="0" w:beforeAutospacing="0" w:after="0" w:afterAutospacing="0"/>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个</w:t>
            </w:r>
          </w:p>
        </w:tc>
        <w:tc>
          <w:tcPr>
            <w:tcW w:w="840" w:type="dxa"/>
            <w:tcBorders>
              <w:tl2br w:val="nil"/>
              <w:tr2bl w:val="nil"/>
            </w:tcBorders>
            <w:shd w:val="clear" w:color="auto" w:fill="FFFFFF"/>
            <w:vAlign w:val="center"/>
          </w:tcPr>
          <w:p w14:paraId="1ED4D188">
            <w:pPr>
              <w:keepNext w:val="0"/>
              <w:keepLines w:val="0"/>
              <w:widowControl/>
              <w:suppressLineNumbers w:val="0"/>
              <w:spacing w:before="0" w:beforeAutospacing="0" w:after="0" w:afterAutospacing="0"/>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方正仿宋_GBK" w:hAnsi="方正仿宋_GBK" w:eastAsia="方正仿宋_GBK" w:cs="方正仿宋_GBK"/>
                <w:i w:val="0"/>
                <w:iCs w:val="0"/>
                <w:color w:val="000000"/>
                <w:kern w:val="0"/>
                <w:sz w:val="21"/>
                <w:szCs w:val="21"/>
                <w:highlight w:val="none"/>
                <w:u w:val="none"/>
                <w:lang w:val="en-US" w:eastAsia="zh-CN" w:bidi="ar"/>
              </w:rPr>
              <w:t>40</w:t>
            </w:r>
          </w:p>
        </w:tc>
        <w:tc>
          <w:tcPr>
            <w:tcW w:w="1168" w:type="dxa"/>
            <w:tcBorders>
              <w:tl2br w:val="nil"/>
              <w:tr2bl w:val="nil"/>
            </w:tcBorders>
            <w:shd w:val="clear" w:color="auto" w:fill="FFFFFF"/>
            <w:vAlign w:val="center"/>
          </w:tcPr>
          <w:p w14:paraId="7DD8FE0E">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248" w:type="dxa"/>
            <w:tcBorders>
              <w:tl2br w:val="nil"/>
              <w:tr2bl w:val="nil"/>
            </w:tcBorders>
            <w:shd w:val="clear" w:color="auto" w:fill="FFFFFF"/>
            <w:vAlign w:val="center"/>
          </w:tcPr>
          <w:p w14:paraId="3B772C72">
            <w:pPr>
              <w:keepNext w:val="0"/>
              <w:keepLines w:val="0"/>
              <w:widowControl/>
              <w:suppressLineNumbers w:val="0"/>
              <w:spacing w:before="0" w:beforeAutospacing="0" w:after="0" w:afterAutospacing="0"/>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916" w:type="dxa"/>
            <w:tcBorders>
              <w:tl2br w:val="nil"/>
              <w:tr2bl w:val="nil"/>
            </w:tcBorders>
            <w:shd w:val="clear" w:color="auto" w:fill="FFFFFF"/>
            <w:vAlign w:val="center"/>
          </w:tcPr>
          <w:p w14:paraId="48B2B3C1">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r w14:paraId="63F28D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45" w:type="dxa"/>
            <w:tcBorders>
              <w:tl2br w:val="nil"/>
              <w:tr2bl w:val="nil"/>
            </w:tcBorders>
            <w:vAlign w:val="center"/>
          </w:tcPr>
          <w:p w14:paraId="4B57295C">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lang w:val="en-US" w:eastAsia="zh-CN"/>
              </w:rPr>
            </w:pPr>
            <w:r>
              <w:rPr>
                <w:rFonts w:hint="eastAsia" w:ascii="微软雅黑" w:hAnsi="微软雅黑" w:eastAsia="微软雅黑" w:cs="微软雅黑"/>
                <w:b/>
                <w:bCs/>
                <w:i w:val="0"/>
                <w:iCs w:val="0"/>
                <w:color w:val="984807" w:themeColor="accent6" w:themeShade="80"/>
                <w:kern w:val="0"/>
                <w:sz w:val="24"/>
                <w:szCs w:val="24"/>
                <w:highlight w:val="none"/>
                <w:u w:val="none"/>
                <w:lang w:val="en-US" w:eastAsia="zh-CN" w:bidi="ar"/>
              </w:rPr>
              <w:t>二</w:t>
            </w:r>
          </w:p>
        </w:tc>
        <w:tc>
          <w:tcPr>
            <w:tcW w:w="8833" w:type="dxa"/>
            <w:gridSpan w:val="2"/>
            <w:tcBorders>
              <w:tl2br w:val="nil"/>
              <w:tr2bl w:val="nil"/>
            </w:tcBorders>
            <w:vAlign w:val="center"/>
          </w:tcPr>
          <w:p w14:paraId="525732C7">
            <w:pPr>
              <w:keepNext w:val="0"/>
              <w:keepLines w:val="0"/>
              <w:suppressLineNumbers w:val="0"/>
              <w:spacing w:before="0" w:beforeAutospacing="0" w:after="0" w:afterAutospacing="0" w:line="300" w:lineRule="exact"/>
              <w:ind w:left="0" w:right="0"/>
              <w:jc w:val="left"/>
              <w:rPr>
                <w:rFonts w:hint="eastAsia"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微软雅黑" w:hAnsi="微软雅黑" w:eastAsia="微软雅黑" w:cs="微软雅黑"/>
                <w:b w:val="0"/>
                <w:bCs w:val="0"/>
                <w:i w:val="0"/>
                <w:iCs w:val="0"/>
                <w:color w:val="984807" w:themeColor="accent6" w:themeShade="80"/>
                <w:kern w:val="0"/>
                <w:sz w:val="24"/>
                <w:szCs w:val="24"/>
                <w:highlight w:val="none"/>
                <w:u w:val="none"/>
                <w:lang w:val="en-US" w:eastAsia="zh-CN" w:bidi="ar"/>
              </w:rPr>
              <w:t>其他费用</w:t>
            </w:r>
          </w:p>
        </w:tc>
        <w:tc>
          <w:tcPr>
            <w:tcW w:w="664" w:type="dxa"/>
            <w:tcBorders>
              <w:tl2br w:val="nil"/>
              <w:tr2bl w:val="nil"/>
            </w:tcBorders>
            <w:shd w:val="clear" w:color="auto" w:fill="FFFFFF"/>
            <w:vAlign w:val="center"/>
          </w:tcPr>
          <w:p w14:paraId="174C6B1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840" w:type="dxa"/>
            <w:tcBorders>
              <w:tl2br w:val="nil"/>
              <w:tr2bl w:val="nil"/>
            </w:tcBorders>
            <w:shd w:val="clear" w:color="auto" w:fill="FFFFFF"/>
            <w:vAlign w:val="center"/>
          </w:tcPr>
          <w:p w14:paraId="656224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168" w:type="dxa"/>
            <w:tcBorders>
              <w:tl2br w:val="nil"/>
              <w:tr2bl w:val="nil"/>
            </w:tcBorders>
            <w:shd w:val="clear" w:color="auto" w:fill="FFFFFF"/>
            <w:vAlign w:val="center"/>
          </w:tcPr>
          <w:p w14:paraId="1D29CB8A">
            <w:pPr>
              <w:keepNext w:val="0"/>
              <w:keepLines w:val="0"/>
              <w:widowControl/>
              <w:suppressLineNumbers w:val="0"/>
              <w:spacing w:before="0" w:beforeAutospacing="0" w:after="0" w:afterAutospacing="0"/>
              <w:ind w:left="0" w:right="0"/>
              <w:jc w:val="center"/>
              <w:rPr>
                <w:rFonts w:hint="eastAsia" w:ascii="黑体" w:hAnsi="黑体" w:eastAsia="黑体" w:cs="黑体"/>
                <w:b/>
                <w:bCs/>
                <w:color w:val="000000"/>
                <w:kern w:val="0"/>
                <w:sz w:val="28"/>
                <w:szCs w:val="28"/>
                <w:highlight w:val="none"/>
              </w:rPr>
            </w:pPr>
          </w:p>
        </w:tc>
        <w:tc>
          <w:tcPr>
            <w:tcW w:w="1248" w:type="dxa"/>
            <w:tcBorders>
              <w:tl2br w:val="nil"/>
              <w:tr2bl w:val="nil"/>
            </w:tcBorders>
            <w:shd w:val="clear" w:color="auto" w:fill="FFFFFF"/>
            <w:vAlign w:val="center"/>
          </w:tcPr>
          <w:p w14:paraId="1EDA1077">
            <w:pPr>
              <w:keepNext w:val="0"/>
              <w:keepLines w:val="0"/>
              <w:widowControl/>
              <w:suppressLineNumbers w:val="0"/>
              <w:spacing w:before="0" w:beforeAutospacing="0" w:after="0" w:afterAutospacing="0"/>
              <w:ind w:left="0" w:right="0"/>
              <w:jc w:val="center"/>
              <w:rPr>
                <w:rFonts w:hint="eastAsia" w:ascii="黑体" w:hAnsi="黑体" w:eastAsia="黑体" w:cs="黑体"/>
                <w:b/>
                <w:bCs/>
                <w:color w:val="000000"/>
                <w:kern w:val="0"/>
                <w:sz w:val="24"/>
                <w:szCs w:val="24"/>
                <w:highlight w:val="none"/>
              </w:rPr>
            </w:pPr>
          </w:p>
        </w:tc>
        <w:tc>
          <w:tcPr>
            <w:tcW w:w="916" w:type="dxa"/>
            <w:tcBorders>
              <w:tl2br w:val="nil"/>
              <w:tr2bl w:val="nil"/>
            </w:tcBorders>
            <w:shd w:val="clear" w:color="auto" w:fill="FFFFFF"/>
            <w:vAlign w:val="center"/>
          </w:tcPr>
          <w:p w14:paraId="6B4CD5CB">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r w14:paraId="28C2D29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45" w:type="dxa"/>
            <w:tcBorders>
              <w:tl2br w:val="nil"/>
              <w:tr2bl w:val="nil"/>
            </w:tcBorders>
            <w:vAlign w:val="center"/>
          </w:tcPr>
          <w:p w14:paraId="45614C4E">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1"/>
                <w:szCs w:val="21"/>
                <w:highlight w:val="none"/>
                <w:lang w:val="en-US" w:eastAsia="zh-CN"/>
              </w:rPr>
            </w:pPr>
            <w:r>
              <w:rPr>
                <w:rFonts w:hint="eastAsia" w:ascii="黑体" w:hAnsi="黑体" w:eastAsia="黑体" w:cs="黑体"/>
                <w:color w:val="000000"/>
                <w:kern w:val="0"/>
                <w:sz w:val="21"/>
                <w:szCs w:val="21"/>
                <w:highlight w:val="none"/>
                <w:lang w:val="en-US" w:eastAsia="zh-CN"/>
              </w:rPr>
              <w:t>1</w:t>
            </w:r>
          </w:p>
        </w:tc>
        <w:tc>
          <w:tcPr>
            <w:tcW w:w="8833" w:type="dxa"/>
            <w:gridSpan w:val="2"/>
            <w:tcBorders>
              <w:tl2br w:val="nil"/>
              <w:tr2bl w:val="nil"/>
            </w:tcBorders>
            <w:vAlign w:val="center"/>
          </w:tcPr>
          <w:p w14:paraId="3BA2C3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rPr>
                <w:rFonts w:hint="default" w:ascii="黑体" w:hAnsi="黑体" w:eastAsia="黑体" w:cs="黑体"/>
                <w:i w:val="0"/>
                <w:iCs w:val="0"/>
                <w:color w:val="000000"/>
                <w:kern w:val="0"/>
                <w:sz w:val="21"/>
                <w:szCs w:val="21"/>
                <w:highlight w:val="none"/>
                <w:u w:val="none"/>
                <w:lang w:val="en-US" w:eastAsia="zh-CN" w:bidi="ar"/>
              </w:rPr>
            </w:pPr>
            <w:r>
              <w:rPr>
                <w:rFonts w:hint="eastAsia" w:ascii="黑体" w:hAnsi="黑体" w:eastAsia="黑体" w:cs="黑体"/>
                <w:i w:val="0"/>
                <w:iCs w:val="0"/>
                <w:color w:val="000000"/>
                <w:kern w:val="0"/>
                <w:sz w:val="21"/>
                <w:szCs w:val="21"/>
                <w:highlight w:val="none"/>
                <w:u w:val="none"/>
                <w:lang w:val="en-US" w:eastAsia="zh-CN" w:bidi="ar"/>
              </w:rPr>
              <w:t xml:space="preserve">暂列金额 </w:t>
            </w:r>
          </w:p>
        </w:tc>
        <w:tc>
          <w:tcPr>
            <w:tcW w:w="664" w:type="dxa"/>
            <w:tcBorders>
              <w:tl2br w:val="nil"/>
              <w:tr2bl w:val="nil"/>
            </w:tcBorders>
            <w:shd w:val="clear" w:color="auto" w:fill="FFFFFF"/>
            <w:vAlign w:val="center"/>
          </w:tcPr>
          <w:p w14:paraId="303B2E4C">
            <w:pPr>
              <w:keepNext w:val="0"/>
              <w:keepLines w:val="0"/>
              <w:widowControl/>
              <w:suppressLineNumbers w:val="0"/>
              <w:spacing w:before="0" w:beforeAutospacing="0" w:after="0" w:afterAutospacing="0"/>
              <w:ind w:left="0" w:right="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项</w:t>
            </w:r>
          </w:p>
        </w:tc>
        <w:tc>
          <w:tcPr>
            <w:tcW w:w="840" w:type="dxa"/>
            <w:tcBorders>
              <w:tl2br w:val="nil"/>
              <w:tr2bl w:val="nil"/>
            </w:tcBorders>
            <w:shd w:val="clear" w:color="auto" w:fill="FFFFFF"/>
            <w:vAlign w:val="center"/>
          </w:tcPr>
          <w:p w14:paraId="36C0A3A2">
            <w:pPr>
              <w:keepNext w:val="0"/>
              <w:keepLines w:val="0"/>
              <w:widowControl/>
              <w:suppressLineNumbers w:val="0"/>
              <w:spacing w:before="0" w:beforeAutospacing="0" w:after="0" w:afterAutospacing="0"/>
              <w:ind w:left="0" w:right="0"/>
              <w:jc w:val="center"/>
              <w:rPr>
                <w:rFonts w:hint="eastAsia" w:ascii="黑体" w:hAnsi="黑体" w:eastAsia="黑体" w:cs="黑体"/>
                <w:sz w:val="24"/>
                <w:szCs w:val="24"/>
                <w:highlight w:val="none"/>
                <w:lang w:val="en-US" w:eastAsia="zh-CN"/>
              </w:rPr>
            </w:pPr>
            <w:r>
              <w:rPr>
                <w:rFonts w:hint="eastAsia" w:ascii="黑体" w:hAnsi="黑体" w:eastAsia="黑体" w:cs="黑体"/>
                <w:sz w:val="24"/>
                <w:szCs w:val="24"/>
                <w:highlight w:val="none"/>
                <w:lang w:val="en-US" w:eastAsia="zh-CN"/>
              </w:rPr>
              <w:t>1</w:t>
            </w:r>
          </w:p>
        </w:tc>
        <w:tc>
          <w:tcPr>
            <w:tcW w:w="1168" w:type="dxa"/>
            <w:tcBorders>
              <w:tl2br w:val="nil"/>
              <w:tr2bl w:val="nil"/>
            </w:tcBorders>
            <w:shd w:val="clear" w:color="auto" w:fill="FFFFFF"/>
            <w:vAlign w:val="center"/>
          </w:tcPr>
          <w:p w14:paraId="14C877E2">
            <w:pPr>
              <w:keepNext w:val="0"/>
              <w:keepLines w:val="0"/>
              <w:widowControl/>
              <w:suppressLineNumbers w:val="0"/>
              <w:spacing w:before="0" w:beforeAutospacing="0" w:after="0" w:afterAutospacing="0"/>
              <w:ind w:left="0" w:right="0"/>
              <w:jc w:val="center"/>
              <w:rPr>
                <w:rFonts w:hint="eastAsia" w:ascii="黑体" w:hAnsi="黑体" w:eastAsia="黑体" w:cs="黑体"/>
                <w:b/>
                <w:bCs/>
                <w:color w:val="000000"/>
                <w:kern w:val="0"/>
                <w:sz w:val="28"/>
                <w:szCs w:val="28"/>
                <w:highlight w:val="none"/>
              </w:rPr>
            </w:pPr>
          </w:p>
        </w:tc>
        <w:tc>
          <w:tcPr>
            <w:tcW w:w="1248" w:type="dxa"/>
            <w:tcBorders>
              <w:tl2br w:val="nil"/>
              <w:tr2bl w:val="nil"/>
            </w:tcBorders>
            <w:shd w:val="clear" w:color="auto" w:fill="FFFFFF"/>
            <w:vAlign w:val="center"/>
          </w:tcPr>
          <w:p w14:paraId="12098066">
            <w:pPr>
              <w:keepNext w:val="0"/>
              <w:keepLines w:val="0"/>
              <w:widowControl/>
              <w:suppressLineNumbers w:val="0"/>
              <w:spacing w:before="0" w:beforeAutospacing="0" w:after="0" w:afterAutospacing="0"/>
              <w:ind w:left="0" w:right="0"/>
              <w:jc w:val="center"/>
              <w:rPr>
                <w:rFonts w:hint="default" w:ascii="黑体" w:hAnsi="黑体" w:eastAsia="黑体" w:cs="黑体"/>
                <w:b/>
                <w:bCs/>
                <w:color w:val="000000"/>
                <w:kern w:val="0"/>
                <w:sz w:val="24"/>
                <w:szCs w:val="24"/>
                <w:highlight w:val="none"/>
                <w:lang w:val="en-US" w:eastAsia="zh-CN"/>
              </w:rPr>
            </w:pPr>
            <w:r>
              <w:rPr>
                <w:rFonts w:hint="eastAsia" w:ascii="黑体" w:hAnsi="黑体" w:eastAsia="黑体" w:cs="黑体"/>
                <w:b/>
                <w:bCs/>
                <w:color w:val="000000"/>
                <w:kern w:val="0"/>
                <w:sz w:val="22"/>
                <w:szCs w:val="22"/>
                <w:highlight w:val="none"/>
                <w:lang w:val="en-US" w:eastAsia="zh-CN"/>
              </w:rPr>
              <w:t>70000.00</w:t>
            </w:r>
          </w:p>
        </w:tc>
        <w:tc>
          <w:tcPr>
            <w:tcW w:w="916" w:type="dxa"/>
            <w:tcBorders>
              <w:tl2br w:val="nil"/>
              <w:tr2bl w:val="nil"/>
            </w:tcBorders>
            <w:shd w:val="clear" w:color="auto" w:fill="FFFFFF"/>
            <w:vAlign w:val="center"/>
          </w:tcPr>
          <w:p w14:paraId="66E6E8C8">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r w14:paraId="1810FC6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45" w:type="dxa"/>
            <w:tcBorders>
              <w:tl2br w:val="nil"/>
              <w:tr2bl w:val="nil"/>
            </w:tcBorders>
            <w:vAlign w:val="center"/>
          </w:tcPr>
          <w:p w14:paraId="6ABA3063">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c>
          <w:tcPr>
            <w:tcW w:w="8833" w:type="dxa"/>
            <w:gridSpan w:val="2"/>
            <w:tcBorders>
              <w:tl2br w:val="nil"/>
              <w:tr2bl w:val="nil"/>
            </w:tcBorders>
            <w:vAlign w:val="center"/>
          </w:tcPr>
          <w:p w14:paraId="00B3A7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left"/>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664" w:type="dxa"/>
            <w:tcBorders>
              <w:tl2br w:val="nil"/>
              <w:tr2bl w:val="nil"/>
            </w:tcBorders>
            <w:shd w:val="clear" w:color="auto" w:fill="FFFFFF"/>
            <w:vAlign w:val="center"/>
          </w:tcPr>
          <w:p w14:paraId="184866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840" w:type="dxa"/>
            <w:tcBorders>
              <w:tl2br w:val="nil"/>
              <w:tr2bl w:val="nil"/>
            </w:tcBorders>
            <w:shd w:val="clear" w:color="auto" w:fill="FFFFFF"/>
            <w:vAlign w:val="center"/>
          </w:tcPr>
          <w:p w14:paraId="3560B26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168" w:type="dxa"/>
            <w:tcBorders>
              <w:tl2br w:val="nil"/>
              <w:tr2bl w:val="nil"/>
            </w:tcBorders>
            <w:shd w:val="clear" w:color="auto" w:fill="FFFFFF"/>
            <w:vAlign w:val="center"/>
          </w:tcPr>
          <w:p w14:paraId="0FF89AFC">
            <w:pPr>
              <w:keepNext w:val="0"/>
              <w:keepLines w:val="0"/>
              <w:widowControl/>
              <w:suppressLineNumbers w:val="0"/>
              <w:spacing w:before="0" w:beforeAutospacing="0" w:after="0" w:afterAutospacing="0"/>
              <w:ind w:left="0" w:right="0"/>
              <w:jc w:val="center"/>
              <w:rPr>
                <w:rFonts w:hint="eastAsia" w:ascii="黑体" w:hAnsi="黑体" w:eastAsia="黑体" w:cs="黑体"/>
                <w:b/>
                <w:bCs/>
                <w:color w:val="000000"/>
                <w:kern w:val="0"/>
                <w:sz w:val="28"/>
                <w:szCs w:val="28"/>
                <w:highlight w:val="none"/>
              </w:rPr>
            </w:pPr>
          </w:p>
        </w:tc>
        <w:tc>
          <w:tcPr>
            <w:tcW w:w="1248" w:type="dxa"/>
            <w:tcBorders>
              <w:tl2br w:val="nil"/>
              <w:tr2bl w:val="nil"/>
            </w:tcBorders>
            <w:shd w:val="clear" w:color="auto" w:fill="FFFFFF"/>
            <w:vAlign w:val="center"/>
          </w:tcPr>
          <w:p w14:paraId="3AC0BD83">
            <w:pPr>
              <w:keepNext w:val="0"/>
              <w:keepLines w:val="0"/>
              <w:widowControl/>
              <w:suppressLineNumbers w:val="0"/>
              <w:spacing w:before="0" w:beforeAutospacing="0" w:after="0" w:afterAutospacing="0"/>
              <w:ind w:left="0" w:right="0"/>
              <w:jc w:val="center"/>
              <w:rPr>
                <w:rFonts w:hint="eastAsia" w:ascii="黑体" w:hAnsi="黑体" w:eastAsia="黑体" w:cs="黑体"/>
                <w:b/>
                <w:bCs/>
                <w:color w:val="000000"/>
                <w:kern w:val="0"/>
                <w:sz w:val="24"/>
                <w:szCs w:val="24"/>
                <w:highlight w:val="none"/>
              </w:rPr>
            </w:pPr>
          </w:p>
        </w:tc>
        <w:tc>
          <w:tcPr>
            <w:tcW w:w="916" w:type="dxa"/>
            <w:tcBorders>
              <w:tl2br w:val="nil"/>
              <w:tr2bl w:val="nil"/>
            </w:tcBorders>
            <w:shd w:val="clear" w:color="auto" w:fill="FFFFFF"/>
            <w:vAlign w:val="center"/>
          </w:tcPr>
          <w:p w14:paraId="604C77AF">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r w14:paraId="2C7A905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845" w:type="dxa"/>
            <w:tcBorders>
              <w:tl2br w:val="nil"/>
              <w:tr2bl w:val="nil"/>
            </w:tcBorders>
            <w:vAlign w:val="center"/>
          </w:tcPr>
          <w:p w14:paraId="4F990B92">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c>
          <w:tcPr>
            <w:tcW w:w="8833" w:type="dxa"/>
            <w:gridSpan w:val="2"/>
            <w:tcBorders>
              <w:tl2br w:val="nil"/>
              <w:tr2bl w:val="nil"/>
            </w:tcBorders>
            <w:vAlign w:val="center"/>
          </w:tcPr>
          <w:p w14:paraId="381E00D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rPr>
                <w:rFonts w:hint="default"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黑体" w:hAnsi="黑体" w:eastAsia="黑体" w:cs="黑体"/>
                <w:b/>
                <w:bCs/>
                <w:i w:val="0"/>
                <w:iCs w:val="0"/>
                <w:color w:val="000000"/>
                <w:kern w:val="0"/>
                <w:sz w:val="28"/>
                <w:szCs w:val="28"/>
                <w:highlight w:val="none"/>
                <w:u w:val="none"/>
                <w:lang w:val="en-US" w:eastAsia="zh-CN" w:bidi="ar"/>
              </w:rPr>
              <w:t>投标总报价</w:t>
            </w:r>
            <w:r>
              <w:rPr>
                <w:rFonts w:hint="eastAsia" w:ascii="黑体" w:hAnsi="黑体" w:eastAsia="黑体" w:cs="黑体"/>
                <w:b/>
                <w:bCs/>
                <w:i w:val="0"/>
                <w:iCs w:val="0"/>
                <w:color w:val="000000"/>
                <w:kern w:val="0"/>
                <w:sz w:val="24"/>
                <w:szCs w:val="24"/>
                <w:highlight w:val="none"/>
                <w:u w:val="none"/>
                <w:lang w:val="en-US" w:eastAsia="zh-CN" w:bidi="ar"/>
              </w:rPr>
              <w:t>（一+二）</w:t>
            </w:r>
          </w:p>
        </w:tc>
        <w:tc>
          <w:tcPr>
            <w:tcW w:w="664" w:type="dxa"/>
            <w:tcBorders>
              <w:tl2br w:val="nil"/>
              <w:tr2bl w:val="nil"/>
            </w:tcBorders>
            <w:shd w:val="clear" w:color="auto" w:fill="FFFFFF"/>
            <w:vAlign w:val="center"/>
          </w:tcPr>
          <w:p w14:paraId="6BB53979">
            <w:pPr>
              <w:keepNext w:val="0"/>
              <w:keepLines w:val="0"/>
              <w:widowControl/>
              <w:suppressLineNumbers w:val="0"/>
              <w:spacing w:before="0" w:beforeAutospacing="0" w:after="0" w:afterAutospacing="0"/>
              <w:ind w:left="0" w:right="0"/>
              <w:jc w:val="center"/>
              <w:rPr>
                <w:rFonts w:hint="default" w:ascii="方正仿宋_GBK" w:hAnsi="方正仿宋_GBK" w:eastAsia="方正仿宋_GBK" w:cs="方正仿宋_GBK"/>
                <w:i w:val="0"/>
                <w:iCs w:val="0"/>
                <w:color w:val="000000"/>
                <w:kern w:val="0"/>
                <w:sz w:val="21"/>
                <w:szCs w:val="21"/>
                <w:highlight w:val="none"/>
                <w:u w:val="none"/>
                <w:lang w:val="en-US" w:eastAsia="zh-CN" w:bidi="ar"/>
              </w:rPr>
            </w:pPr>
            <w:r>
              <w:rPr>
                <w:rFonts w:hint="eastAsia" w:ascii="黑体" w:hAnsi="黑体" w:eastAsia="黑体" w:cs="黑体"/>
                <w:sz w:val="24"/>
                <w:szCs w:val="24"/>
                <w:highlight w:val="none"/>
                <w:lang w:val="en-US" w:eastAsia="zh-CN"/>
              </w:rPr>
              <w:t>元</w:t>
            </w:r>
          </w:p>
        </w:tc>
        <w:tc>
          <w:tcPr>
            <w:tcW w:w="840" w:type="dxa"/>
            <w:tcBorders>
              <w:tl2br w:val="nil"/>
              <w:tr2bl w:val="nil"/>
            </w:tcBorders>
            <w:shd w:val="clear" w:color="auto" w:fill="FFFFFF"/>
            <w:vAlign w:val="center"/>
          </w:tcPr>
          <w:p w14:paraId="18CCA4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center"/>
              <w:textAlignment w:val="center"/>
              <w:rPr>
                <w:rFonts w:hint="eastAsia" w:ascii="方正仿宋_GBK" w:hAnsi="方正仿宋_GBK" w:eastAsia="方正仿宋_GBK" w:cs="方正仿宋_GBK"/>
                <w:i w:val="0"/>
                <w:iCs w:val="0"/>
                <w:color w:val="000000"/>
                <w:kern w:val="0"/>
                <w:sz w:val="21"/>
                <w:szCs w:val="21"/>
                <w:highlight w:val="none"/>
                <w:u w:val="none"/>
                <w:lang w:val="en-US" w:eastAsia="zh-CN" w:bidi="ar"/>
              </w:rPr>
            </w:pPr>
          </w:p>
        </w:tc>
        <w:tc>
          <w:tcPr>
            <w:tcW w:w="1168" w:type="dxa"/>
            <w:tcBorders>
              <w:tl2br w:val="nil"/>
              <w:tr2bl w:val="nil"/>
            </w:tcBorders>
            <w:shd w:val="clear" w:color="auto" w:fill="FFFFFF"/>
            <w:vAlign w:val="center"/>
          </w:tcPr>
          <w:p w14:paraId="2CF13812">
            <w:pPr>
              <w:keepNext w:val="0"/>
              <w:keepLines w:val="0"/>
              <w:widowControl/>
              <w:suppressLineNumbers w:val="0"/>
              <w:spacing w:before="0" w:beforeAutospacing="0" w:after="0" w:afterAutospacing="0"/>
              <w:ind w:left="0" w:right="0"/>
              <w:jc w:val="center"/>
              <w:rPr>
                <w:rFonts w:hint="eastAsia" w:ascii="黑体" w:hAnsi="黑体" w:eastAsia="黑体" w:cs="黑体"/>
                <w:b/>
                <w:bCs/>
                <w:color w:val="000000"/>
                <w:kern w:val="0"/>
                <w:sz w:val="28"/>
                <w:szCs w:val="28"/>
                <w:highlight w:val="none"/>
              </w:rPr>
            </w:pPr>
          </w:p>
        </w:tc>
        <w:tc>
          <w:tcPr>
            <w:tcW w:w="1248" w:type="dxa"/>
            <w:tcBorders>
              <w:tl2br w:val="nil"/>
              <w:tr2bl w:val="nil"/>
            </w:tcBorders>
            <w:shd w:val="clear" w:color="auto" w:fill="FFFFFF"/>
            <w:vAlign w:val="center"/>
          </w:tcPr>
          <w:p w14:paraId="25E5C1D1">
            <w:pPr>
              <w:keepNext w:val="0"/>
              <w:keepLines w:val="0"/>
              <w:widowControl/>
              <w:suppressLineNumbers w:val="0"/>
              <w:spacing w:before="0" w:beforeAutospacing="0" w:after="0" w:afterAutospacing="0"/>
              <w:ind w:left="0" w:right="0"/>
              <w:jc w:val="center"/>
              <w:rPr>
                <w:rFonts w:hint="eastAsia" w:ascii="黑体" w:hAnsi="黑体" w:eastAsia="黑体" w:cs="黑体"/>
                <w:b/>
                <w:bCs/>
                <w:color w:val="000000"/>
                <w:kern w:val="0"/>
                <w:sz w:val="24"/>
                <w:szCs w:val="24"/>
                <w:highlight w:val="none"/>
              </w:rPr>
            </w:pPr>
          </w:p>
        </w:tc>
        <w:tc>
          <w:tcPr>
            <w:tcW w:w="916" w:type="dxa"/>
            <w:tcBorders>
              <w:tl2br w:val="nil"/>
              <w:tr2bl w:val="nil"/>
            </w:tcBorders>
            <w:shd w:val="clear" w:color="auto" w:fill="FFFFFF"/>
            <w:vAlign w:val="center"/>
          </w:tcPr>
          <w:p w14:paraId="2CFCD355">
            <w:pPr>
              <w:keepNext w:val="0"/>
              <w:keepLines w:val="0"/>
              <w:widowControl/>
              <w:suppressLineNumbers w:val="0"/>
              <w:spacing w:before="0" w:beforeAutospacing="0" w:after="0" w:afterAutospacing="0"/>
              <w:ind w:left="0" w:right="0"/>
              <w:jc w:val="center"/>
              <w:rPr>
                <w:rFonts w:hint="eastAsia" w:ascii="黑体" w:hAnsi="黑体" w:eastAsia="黑体" w:cs="黑体"/>
                <w:color w:val="000000"/>
                <w:kern w:val="0"/>
                <w:sz w:val="24"/>
                <w:szCs w:val="24"/>
                <w:highlight w:val="none"/>
              </w:rPr>
            </w:pPr>
          </w:p>
        </w:tc>
      </w:tr>
    </w:tbl>
    <w:p w14:paraId="7D9C2E67">
      <w:pPr>
        <w:rPr>
          <w:b/>
          <w:bCs/>
          <w:highlight w:val="none"/>
        </w:rPr>
      </w:pPr>
    </w:p>
    <w:p w14:paraId="5B20DD02">
      <w:pPr>
        <w:keepNext w:val="0"/>
        <w:keepLines w:val="0"/>
        <w:widowControl/>
        <w:suppressLineNumbers w:val="0"/>
        <w:ind w:left="0" w:leftChars="0" w:firstLine="0" w:firstLineChars="0"/>
        <w:jc w:val="both"/>
        <w:textAlignment w:val="center"/>
        <w:rPr>
          <w:rFonts w:hint="eastAsia" w:ascii="黑体" w:hAnsi="黑体" w:eastAsia="黑体" w:cs="黑体"/>
          <w:b/>
          <w:bCs/>
          <w:i w:val="0"/>
          <w:iCs w:val="0"/>
          <w:color w:val="000000"/>
          <w:kern w:val="0"/>
          <w:sz w:val="22"/>
          <w:szCs w:val="22"/>
          <w:highlight w:val="none"/>
          <w:u w:val="none"/>
          <w:lang w:val="en-US" w:eastAsia="zh-CN" w:bidi="ar"/>
        </w:rPr>
      </w:pPr>
      <w:r>
        <w:rPr>
          <w:rFonts w:hint="eastAsia" w:ascii="黑体" w:hAnsi="黑体" w:eastAsia="黑体" w:cs="黑体"/>
          <w:b/>
          <w:bCs/>
          <w:i w:val="0"/>
          <w:iCs w:val="0"/>
          <w:color w:val="000000"/>
          <w:kern w:val="0"/>
          <w:sz w:val="22"/>
          <w:szCs w:val="22"/>
          <w:highlight w:val="none"/>
          <w:u w:val="none"/>
          <w:lang w:val="en-US" w:eastAsia="zh-CN" w:bidi="ar"/>
        </w:rPr>
        <w:t>说  明 ：</w:t>
      </w:r>
    </w:p>
    <w:p w14:paraId="56DA520D">
      <w:pPr>
        <w:keepNext w:val="0"/>
        <w:keepLines w:val="0"/>
        <w:widowControl/>
        <w:suppressLineNumbers w:val="0"/>
        <w:ind w:firstLine="440" w:firstLineChars="200"/>
        <w:jc w:val="both"/>
        <w:textAlignment w:val="center"/>
        <w:rPr>
          <w:rFonts w:hint="default" w:ascii="黑体" w:hAnsi="黑体" w:eastAsia="黑体" w:cs="黑体"/>
          <w:i w:val="0"/>
          <w:iCs w:val="0"/>
          <w:color w:val="000000"/>
          <w:kern w:val="0"/>
          <w:sz w:val="22"/>
          <w:szCs w:val="22"/>
          <w:highlight w:val="none"/>
          <w:u w:val="none"/>
          <w:lang w:val="en-US" w:eastAsia="zh-CN" w:bidi="ar"/>
        </w:rPr>
      </w:pPr>
      <w:r>
        <w:rPr>
          <w:rFonts w:hint="eastAsia" w:ascii="黑体" w:hAnsi="黑体" w:eastAsia="黑体" w:cs="黑体"/>
          <w:i w:val="0"/>
          <w:iCs w:val="0"/>
          <w:color w:val="000000"/>
          <w:kern w:val="0"/>
          <w:sz w:val="22"/>
          <w:szCs w:val="22"/>
          <w:highlight w:val="none"/>
          <w:u w:val="none"/>
          <w:lang w:val="en-US" w:eastAsia="zh-CN" w:bidi="ar"/>
        </w:rPr>
        <w:t>1.本项目设最高投标限价</w:t>
      </w:r>
      <w:r>
        <w:rPr>
          <w:rFonts w:hint="eastAsia" w:ascii="黑体" w:hAnsi="黑体" w:eastAsia="黑体" w:cs="黑体"/>
          <w:b/>
          <w:bCs/>
          <w:i w:val="0"/>
          <w:iCs w:val="0"/>
          <w:color w:val="000000"/>
          <w:kern w:val="0"/>
          <w:sz w:val="22"/>
          <w:szCs w:val="22"/>
          <w:highlight w:val="none"/>
          <w:u w:val="none"/>
          <w:lang w:val="en-US" w:eastAsia="zh-CN" w:bidi="ar"/>
        </w:rPr>
        <w:t>817600.00</w:t>
      </w:r>
      <w:r>
        <w:rPr>
          <w:rFonts w:hint="eastAsia" w:ascii="黑体" w:hAnsi="黑体" w:eastAsia="黑体" w:cs="黑体"/>
          <w:i w:val="0"/>
          <w:iCs w:val="0"/>
          <w:color w:val="000000"/>
          <w:kern w:val="0"/>
          <w:sz w:val="22"/>
          <w:szCs w:val="22"/>
          <w:highlight w:val="none"/>
          <w:u w:val="none"/>
          <w:lang w:val="en-US" w:eastAsia="zh-CN" w:bidi="ar"/>
        </w:rPr>
        <w:t>0元（其中：标准教室建设</w:t>
      </w:r>
      <w:r>
        <w:rPr>
          <w:rFonts w:hint="eastAsia" w:ascii="黑体" w:hAnsi="黑体" w:eastAsia="黑体" w:cs="黑体"/>
          <w:b/>
          <w:bCs/>
          <w:i w:val="0"/>
          <w:iCs w:val="0"/>
          <w:color w:val="000000"/>
          <w:kern w:val="0"/>
          <w:sz w:val="22"/>
          <w:szCs w:val="22"/>
          <w:highlight w:val="none"/>
          <w:u w:val="none"/>
          <w:lang w:val="en-US" w:eastAsia="zh-CN" w:bidi="ar"/>
        </w:rPr>
        <w:t>747600.00</w:t>
      </w:r>
      <w:r>
        <w:rPr>
          <w:rFonts w:hint="eastAsia" w:ascii="黑体" w:hAnsi="黑体" w:eastAsia="黑体" w:cs="黑体"/>
          <w:i w:val="0"/>
          <w:iCs w:val="0"/>
          <w:color w:val="000000"/>
          <w:kern w:val="0"/>
          <w:sz w:val="22"/>
          <w:szCs w:val="22"/>
          <w:highlight w:val="none"/>
          <w:u w:val="none"/>
          <w:lang w:val="en-US" w:eastAsia="zh-CN" w:bidi="ar"/>
        </w:rPr>
        <w:t>元、暂列金额</w:t>
      </w:r>
      <w:r>
        <w:rPr>
          <w:rFonts w:hint="eastAsia" w:ascii="黑体" w:hAnsi="黑体" w:eastAsia="黑体" w:cs="黑体"/>
          <w:b/>
          <w:bCs/>
          <w:i w:val="0"/>
          <w:iCs w:val="0"/>
          <w:color w:val="000000"/>
          <w:kern w:val="0"/>
          <w:sz w:val="22"/>
          <w:szCs w:val="22"/>
          <w:highlight w:val="none"/>
          <w:u w:val="none"/>
          <w:lang w:val="en-US" w:eastAsia="zh-CN" w:bidi="ar"/>
        </w:rPr>
        <w:t>70000.00元</w:t>
      </w:r>
      <w:r>
        <w:rPr>
          <w:rFonts w:hint="eastAsia" w:ascii="黑体" w:hAnsi="黑体" w:eastAsia="黑体" w:cs="黑体"/>
          <w:i w:val="0"/>
          <w:iCs w:val="0"/>
          <w:color w:val="000000"/>
          <w:kern w:val="0"/>
          <w:sz w:val="22"/>
          <w:szCs w:val="22"/>
          <w:highlight w:val="none"/>
          <w:u w:val="none"/>
          <w:lang w:val="en-US" w:eastAsia="zh-CN" w:bidi="ar"/>
        </w:rPr>
        <w:t>），投标人投标报价（总报价及各分项报价）不得高于公布的最高限价。</w:t>
      </w:r>
    </w:p>
    <w:p w14:paraId="262E411B">
      <w:pPr>
        <w:keepNext w:val="0"/>
        <w:keepLines w:val="0"/>
        <w:widowControl/>
        <w:suppressLineNumbers w:val="0"/>
        <w:ind w:firstLine="440" w:firstLineChars="200"/>
        <w:jc w:val="both"/>
        <w:textAlignment w:val="center"/>
        <w:rPr>
          <w:rFonts w:hint="default" w:ascii="黑体" w:hAnsi="黑体" w:eastAsia="黑体" w:cs="黑体"/>
          <w:i w:val="0"/>
          <w:iCs w:val="0"/>
          <w:color w:val="000000"/>
          <w:kern w:val="0"/>
          <w:sz w:val="22"/>
          <w:szCs w:val="22"/>
          <w:highlight w:val="none"/>
          <w:u w:val="none"/>
          <w:lang w:val="en-US" w:eastAsia="zh-CN" w:bidi="ar"/>
        </w:rPr>
      </w:pPr>
      <w:r>
        <w:rPr>
          <w:rFonts w:hint="eastAsia" w:ascii="黑体" w:hAnsi="黑体" w:eastAsia="黑体" w:cs="黑体"/>
          <w:i w:val="0"/>
          <w:iCs w:val="0"/>
          <w:color w:val="000000"/>
          <w:kern w:val="0"/>
          <w:sz w:val="22"/>
          <w:szCs w:val="22"/>
          <w:highlight w:val="none"/>
          <w:u w:val="none"/>
          <w:lang w:val="en-US" w:eastAsia="zh-CN" w:bidi="ar"/>
        </w:rPr>
        <w:t>2.本项目设暂列金额</w:t>
      </w:r>
      <w:r>
        <w:rPr>
          <w:rFonts w:hint="eastAsia" w:ascii="黑体" w:hAnsi="黑体" w:eastAsia="黑体" w:cs="黑体"/>
          <w:b/>
          <w:bCs/>
          <w:i w:val="0"/>
          <w:iCs w:val="0"/>
          <w:color w:val="000000"/>
          <w:kern w:val="0"/>
          <w:sz w:val="22"/>
          <w:szCs w:val="22"/>
          <w:highlight w:val="none"/>
          <w:u w:val="none"/>
          <w:lang w:val="en-US" w:eastAsia="zh-CN" w:bidi="ar"/>
        </w:rPr>
        <w:t>70000.00</w:t>
      </w:r>
      <w:r>
        <w:rPr>
          <w:rFonts w:hint="eastAsia" w:ascii="黑体" w:hAnsi="黑体" w:eastAsia="黑体" w:cs="黑体"/>
          <w:i w:val="0"/>
          <w:iCs w:val="0"/>
          <w:color w:val="000000"/>
          <w:kern w:val="0"/>
          <w:sz w:val="22"/>
          <w:szCs w:val="22"/>
          <w:highlight w:val="none"/>
          <w:u w:val="none"/>
          <w:lang w:val="en-US" w:eastAsia="zh-CN" w:bidi="ar"/>
        </w:rPr>
        <w:t>元，该费用为招标人备用专项资金，投标人按招标文件给定金额全额计入总价，不得下浮让利。暂列金仅用于项目实施中经采购人书面签证确认的零星改造、配套增补、现场变更等不可预见费用；投标人报价时，暂列金额按清单中列示的固定金额填报，不得修改。</w:t>
      </w:r>
    </w:p>
    <w:p w14:paraId="2EB54420">
      <w:pPr>
        <w:spacing w:after="0" w:line="520" w:lineRule="exact"/>
        <w:ind w:firstLine="562" w:firstLineChars="2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中标方完成接入甲方现有校园网工作，支持现场踏勘。</w:t>
      </w:r>
    </w:p>
    <w:p w14:paraId="2FBE7077">
      <w:pPr>
        <w:spacing w:after="0" w:line="520" w:lineRule="exact"/>
        <w:ind w:firstLine="56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rPr>
        <w:t>本项目施工的技术标准和要求严格按照国家、建设部、云南省有关法律、法规、政策、规范、规程等的要求，由</w:t>
      </w:r>
      <w:r>
        <w:rPr>
          <w:rFonts w:hint="eastAsia" w:ascii="宋体" w:hAnsi="宋体" w:eastAsia="宋体" w:cs="宋体"/>
          <w:b/>
          <w:bCs/>
          <w:color w:val="auto"/>
          <w:sz w:val="28"/>
          <w:szCs w:val="28"/>
          <w:highlight w:val="none"/>
          <w:lang w:eastAsia="zh-CN"/>
        </w:rPr>
        <w:t>磋商</w:t>
      </w:r>
      <w:r>
        <w:rPr>
          <w:rFonts w:hint="eastAsia" w:ascii="宋体" w:hAnsi="宋体" w:eastAsia="宋体" w:cs="宋体"/>
          <w:b/>
          <w:bCs/>
          <w:color w:val="auto"/>
          <w:sz w:val="28"/>
          <w:szCs w:val="28"/>
          <w:highlight w:val="none"/>
        </w:rPr>
        <w:t>申请人自行收集，并在报价中综合考虑技术标准和要求对造价的影响。</w:t>
      </w:r>
    </w:p>
    <w:p w14:paraId="630BF4AC">
      <w:pPr>
        <w:spacing w:after="0" w:line="520" w:lineRule="exact"/>
        <w:ind w:firstLine="480" w:firstLineChars="200"/>
        <w:rPr>
          <w:rFonts w:ascii="微软雅黑" w:hAnsi="微软雅黑"/>
          <w:color w:val="auto"/>
          <w:sz w:val="24"/>
          <w:szCs w:val="24"/>
          <w:highlight w:val="none"/>
        </w:rPr>
        <w:sectPr>
          <w:footnotePr>
            <w:numFmt w:val="decimalEnclosedCircleChinese"/>
            <w:numRestart w:val="eachPage"/>
          </w:footnotePr>
          <w:pgSz w:w="16840" w:h="11907" w:orient="landscape"/>
          <w:pgMar w:top="867" w:right="913" w:bottom="856" w:left="913" w:header="340" w:footer="227" w:gutter="0"/>
          <w:pgNumType w:fmt="decimal"/>
          <w:cols w:space="720" w:num="1"/>
          <w:titlePg/>
        </w:sectPr>
      </w:pPr>
    </w:p>
    <w:bookmarkEnd w:id="8"/>
    <w:bookmarkEnd w:id="9"/>
    <w:bookmarkEnd w:id="10"/>
    <w:bookmarkEnd w:id="11"/>
    <w:p w14:paraId="188BCD8F">
      <w:pPr>
        <w:pStyle w:val="24"/>
        <w:rPr>
          <w:rFonts w:hint="eastAsia"/>
          <w:color w:val="auto"/>
          <w:highlight w:val="none"/>
        </w:rPr>
      </w:pPr>
      <w:bookmarkStart w:id="479" w:name="_Toc519587971"/>
      <w:bookmarkStart w:id="480" w:name="_Toc487037732"/>
    </w:p>
    <w:p w14:paraId="24F538DE">
      <w:pPr>
        <w:pStyle w:val="2"/>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color w:val="auto"/>
          <w:sz w:val="40"/>
          <w:highlight w:val="none"/>
          <w:lang w:val="en-US"/>
        </w:rPr>
      </w:pPr>
      <w:bookmarkStart w:id="481" w:name="_Toc18309"/>
      <w:bookmarkStart w:id="482" w:name="_Toc27524"/>
      <w:r>
        <w:rPr>
          <w:rFonts w:hint="eastAsia" w:ascii="宋体" w:hAnsi="宋体" w:eastAsia="宋体" w:cs="宋体"/>
          <w:color w:val="auto"/>
          <w:sz w:val="40"/>
          <w:highlight w:val="none"/>
        </w:rPr>
        <w:t xml:space="preserve">第六章 </w:t>
      </w:r>
      <w:r>
        <w:rPr>
          <w:rFonts w:hint="eastAsia" w:ascii="宋体" w:hAnsi="宋体" w:eastAsia="宋体" w:cs="宋体"/>
          <w:color w:val="auto"/>
          <w:sz w:val="40"/>
          <w:highlight w:val="none"/>
          <w:lang w:val="en-US" w:eastAsia="zh-CN"/>
        </w:rPr>
        <w:t xml:space="preserve"> </w:t>
      </w:r>
      <w:bookmarkEnd w:id="481"/>
      <w:bookmarkEnd w:id="482"/>
      <w:r>
        <w:rPr>
          <w:rFonts w:hint="eastAsia" w:ascii="宋体" w:hAnsi="宋体" w:cs="宋体"/>
          <w:color w:val="auto"/>
          <w:sz w:val="40"/>
          <w:highlight w:val="none"/>
          <w:lang w:val="en-US" w:eastAsia="zh-CN"/>
        </w:rPr>
        <w:t>设计图纸</w:t>
      </w:r>
    </w:p>
    <w:p w14:paraId="0ACC40F8">
      <w:pPr>
        <w:keepNext/>
        <w:keepLines/>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宋体" w:hAnsi="宋体" w:eastAsia="宋体" w:cs="宋体"/>
          <w:color w:val="auto"/>
          <w:sz w:val="36"/>
          <w:szCs w:val="21"/>
          <w:highlight w:val="none"/>
          <w:lang w:eastAsia="zh-CN"/>
        </w:rPr>
      </w:pPr>
      <w:r>
        <w:rPr>
          <w:rFonts w:hint="eastAsia" w:ascii="宋体" w:hAnsi="宋体" w:eastAsia="宋体" w:cs="宋体"/>
          <w:color w:val="auto"/>
          <w:sz w:val="36"/>
          <w:szCs w:val="21"/>
          <w:highlight w:val="none"/>
          <w:lang w:eastAsia="zh-CN"/>
        </w:rPr>
        <w:t>（另附）</w:t>
      </w:r>
    </w:p>
    <w:p w14:paraId="32144494">
      <w:pPr>
        <w:rPr>
          <w:rFonts w:hint="eastAsia"/>
          <w:color w:val="auto"/>
          <w:highlight w:val="none"/>
        </w:rPr>
      </w:pPr>
      <w:r>
        <w:rPr>
          <w:rFonts w:hint="eastAsia"/>
          <w:color w:val="auto"/>
          <w:highlight w:val="none"/>
        </w:rPr>
        <w:br w:type="page"/>
      </w:r>
    </w:p>
    <w:p w14:paraId="490CB185">
      <w:pPr>
        <w:rPr>
          <w:rFonts w:hint="eastAsia"/>
          <w:color w:val="auto"/>
          <w:highlight w:val="none"/>
        </w:rPr>
      </w:pPr>
    </w:p>
    <w:p w14:paraId="12B33608">
      <w:pPr>
        <w:pStyle w:val="2"/>
        <w:spacing w:line="276" w:lineRule="auto"/>
        <w:jc w:val="center"/>
        <w:rPr>
          <w:rFonts w:hint="eastAsia" w:ascii="宋体" w:hAnsi="宋体" w:eastAsia="宋体" w:cs="宋体"/>
          <w:color w:val="auto"/>
          <w:sz w:val="40"/>
          <w:highlight w:val="none"/>
        </w:rPr>
      </w:pPr>
      <w:bookmarkStart w:id="483" w:name="_Toc19991"/>
      <w:bookmarkStart w:id="484" w:name="_Toc9437"/>
      <w:r>
        <w:rPr>
          <w:rFonts w:hint="eastAsia" w:ascii="宋体" w:hAnsi="宋体" w:eastAsia="宋体" w:cs="宋体"/>
          <w:color w:val="auto"/>
          <w:sz w:val="40"/>
          <w:highlight w:val="none"/>
        </w:rPr>
        <w:t>第</w:t>
      </w:r>
      <w:r>
        <w:rPr>
          <w:rFonts w:hint="eastAsia" w:ascii="宋体" w:hAnsi="宋体" w:eastAsia="宋体" w:cs="宋体"/>
          <w:color w:val="auto"/>
          <w:sz w:val="40"/>
          <w:highlight w:val="none"/>
          <w:lang w:val="en-US" w:eastAsia="zh-CN"/>
        </w:rPr>
        <w:t>七</w:t>
      </w:r>
      <w:r>
        <w:rPr>
          <w:rFonts w:hint="eastAsia" w:ascii="宋体" w:hAnsi="宋体" w:eastAsia="宋体" w:cs="宋体"/>
          <w:color w:val="auto"/>
          <w:sz w:val="40"/>
          <w:highlight w:val="none"/>
        </w:rPr>
        <w:t xml:space="preserve">章  </w:t>
      </w:r>
      <w:bookmarkEnd w:id="479"/>
      <w:bookmarkEnd w:id="480"/>
      <w:r>
        <w:rPr>
          <w:rFonts w:hint="eastAsia" w:ascii="宋体" w:hAnsi="宋体" w:eastAsia="宋体" w:cs="宋体"/>
          <w:color w:val="auto"/>
          <w:sz w:val="40"/>
          <w:highlight w:val="none"/>
        </w:rPr>
        <w:t>竞争性磋商响应文件格式</w:t>
      </w:r>
      <w:bookmarkEnd w:id="483"/>
      <w:bookmarkEnd w:id="484"/>
    </w:p>
    <w:p w14:paraId="2BA72D14">
      <w:pPr>
        <w:spacing w:line="360" w:lineRule="auto"/>
        <w:jc w:val="right"/>
        <w:rPr>
          <w:rFonts w:hint="eastAsia" w:ascii="宋体" w:hAnsi="宋体" w:eastAsia="宋体" w:cs="宋体"/>
          <w:color w:val="auto"/>
          <w:sz w:val="32"/>
          <w:szCs w:val="32"/>
          <w:highlight w:val="none"/>
        </w:rPr>
      </w:pPr>
    </w:p>
    <w:p w14:paraId="6568BD61">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（项目名称） </w:t>
      </w:r>
    </w:p>
    <w:p w14:paraId="5757A4A3">
      <w:pPr>
        <w:spacing w:line="360" w:lineRule="auto"/>
        <w:jc w:val="center"/>
        <w:rPr>
          <w:rFonts w:hint="eastAsia" w:ascii="宋体" w:hAnsi="宋体" w:eastAsia="宋体" w:cs="宋体"/>
          <w:b/>
          <w:bCs/>
          <w:color w:val="auto"/>
          <w:sz w:val="52"/>
          <w:szCs w:val="52"/>
          <w:highlight w:val="none"/>
          <w:lang w:bidi="zh-CN"/>
        </w:rPr>
      </w:pPr>
      <w:r>
        <w:rPr>
          <w:rFonts w:hint="eastAsia" w:ascii="宋体" w:hAnsi="宋体" w:eastAsia="宋体" w:cs="宋体"/>
          <w:b/>
          <w:bCs/>
          <w:color w:val="auto"/>
          <w:sz w:val="52"/>
          <w:szCs w:val="52"/>
          <w:highlight w:val="none"/>
          <w:lang w:bidi="zh-CN"/>
        </w:rPr>
        <w:t>竞争性磋商响应文件</w:t>
      </w:r>
    </w:p>
    <w:p w14:paraId="79BCE9FD">
      <w:pPr>
        <w:spacing w:line="360" w:lineRule="auto"/>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项目编号：</w:t>
      </w:r>
      <w:r>
        <w:rPr>
          <w:rFonts w:hint="eastAsia" w:ascii="宋体" w:hAnsi="宋体" w:eastAsia="宋体" w:cs="宋体"/>
          <w:color w:val="auto"/>
          <w:sz w:val="28"/>
          <w:szCs w:val="28"/>
          <w:highlight w:val="none"/>
          <w:lang w:eastAsia="zh-CN"/>
        </w:rPr>
        <w:t>SSZB2026062</w:t>
      </w:r>
    </w:p>
    <w:p w14:paraId="7907A1AE">
      <w:pPr>
        <w:spacing w:line="360" w:lineRule="auto"/>
        <w:jc w:val="center"/>
        <w:rPr>
          <w:rFonts w:hint="eastAsia" w:ascii="宋体" w:hAnsi="宋体" w:eastAsia="宋体" w:cs="宋体"/>
          <w:color w:val="auto"/>
          <w:sz w:val="32"/>
          <w:szCs w:val="32"/>
          <w:highlight w:val="none"/>
        </w:rPr>
      </w:pPr>
    </w:p>
    <w:p w14:paraId="4FC92BC2">
      <w:pPr>
        <w:spacing w:line="360" w:lineRule="auto"/>
        <w:ind w:firstLine="316" w:firstLineChars="150"/>
        <w:rPr>
          <w:rFonts w:hint="eastAsia" w:ascii="宋体" w:hAnsi="宋体" w:eastAsia="宋体" w:cs="宋体"/>
          <w:b/>
          <w:color w:val="auto"/>
          <w:kern w:val="2"/>
          <w:sz w:val="21"/>
          <w:szCs w:val="21"/>
          <w:highlight w:val="none"/>
        </w:rPr>
      </w:pPr>
    </w:p>
    <w:p w14:paraId="50030E00">
      <w:pPr>
        <w:spacing w:line="360" w:lineRule="auto"/>
        <w:ind w:firstLine="330" w:firstLineChars="150"/>
        <w:rPr>
          <w:rFonts w:hint="eastAsia" w:ascii="宋体" w:hAnsi="宋体" w:eastAsia="宋体" w:cs="宋体"/>
          <w:bCs/>
          <w:color w:val="auto"/>
          <w:szCs w:val="21"/>
          <w:highlight w:val="none"/>
        </w:rPr>
      </w:pPr>
    </w:p>
    <w:p w14:paraId="2209E91E">
      <w:pPr>
        <w:spacing w:line="360" w:lineRule="auto"/>
        <w:ind w:firstLine="330" w:firstLineChars="150"/>
        <w:rPr>
          <w:rFonts w:hint="eastAsia" w:ascii="宋体" w:hAnsi="宋体" w:eastAsia="宋体" w:cs="宋体"/>
          <w:bCs/>
          <w:color w:val="auto"/>
          <w:szCs w:val="21"/>
          <w:highlight w:val="none"/>
        </w:rPr>
      </w:pPr>
    </w:p>
    <w:p w14:paraId="39DD12A2">
      <w:pPr>
        <w:spacing w:line="360" w:lineRule="auto"/>
        <w:ind w:firstLine="330" w:firstLineChars="150"/>
        <w:rPr>
          <w:rFonts w:hint="eastAsia" w:ascii="宋体" w:hAnsi="宋体" w:eastAsia="宋体" w:cs="宋体"/>
          <w:bCs/>
          <w:color w:val="auto"/>
          <w:szCs w:val="21"/>
          <w:highlight w:val="none"/>
        </w:rPr>
      </w:pPr>
    </w:p>
    <w:p w14:paraId="64DD147E">
      <w:pPr>
        <w:spacing w:line="360" w:lineRule="auto"/>
        <w:ind w:firstLine="330" w:firstLineChars="150"/>
        <w:rPr>
          <w:rFonts w:hint="eastAsia" w:ascii="宋体" w:hAnsi="宋体" w:eastAsia="宋体" w:cs="宋体"/>
          <w:bCs/>
          <w:color w:val="auto"/>
          <w:szCs w:val="21"/>
          <w:highlight w:val="none"/>
        </w:rPr>
      </w:pPr>
    </w:p>
    <w:p w14:paraId="5ACFBBD8">
      <w:pPr>
        <w:spacing w:after="0" w:line="520" w:lineRule="exact"/>
        <w:ind w:firstLine="560" w:firstLine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磋商申请人：</w:t>
      </w:r>
      <w:r>
        <w:rPr>
          <w:rFonts w:hint="eastAsia" w:ascii="宋体" w:hAnsi="宋体" w:eastAsia="宋体" w:cs="宋体"/>
          <w:color w:val="auto"/>
          <w:sz w:val="28"/>
          <w:szCs w:val="28"/>
          <w:highlight w:val="none"/>
          <w:u w:val="single"/>
        </w:rPr>
        <w:t xml:space="preserve">                                  （盖章）</w:t>
      </w:r>
    </w:p>
    <w:p w14:paraId="62A58747">
      <w:pPr>
        <w:spacing w:after="0" w:line="520" w:lineRule="exact"/>
        <w:ind w:firstLine="560" w:firstLineChars="200"/>
        <w:rPr>
          <w:rFonts w:hint="eastAsia" w:ascii="宋体" w:hAnsi="宋体" w:eastAsia="宋体" w:cs="宋体"/>
          <w:color w:val="auto"/>
          <w:sz w:val="28"/>
          <w:szCs w:val="28"/>
          <w:highlight w:val="none"/>
        </w:rPr>
      </w:pPr>
    </w:p>
    <w:p w14:paraId="6E7FC9C0">
      <w:pPr>
        <w:spacing w:after="0" w:line="520" w:lineRule="exact"/>
        <w:ind w:firstLine="560" w:firstLineChars="2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（盖章或签字）</w:t>
      </w:r>
    </w:p>
    <w:p w14:paraId="6FA45C20">
      <w:pPr>
        <w:spacing w:after="0" w:line="520" w:lineRule="exact"/>
        <w:ind w:firstLine="560" w:firstLineChars="200"/>
        <w:rPr>
          <w:rFonts w:hint="eastAsia" w:ascii="宋体" w:hAnsi="宋体" w:eastAsia="宋体" w:cs="宋体"/>
          <w:color w:val="auto"/>
          <w:sz w:val="28"/>
          <w:szCs w:val="28"/>
          <w:highlight w:val="none"/>
        </w:rPr>
      </w:pPr>
    </w:p>
    <w:p w14:paraId="454EC327">
      <w:pPr>
        <w:spacing w:after="0" w:line="520" w:lineRule="exact"/>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月 </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r>
        <w:rPr>
          <w:rFonts w:hint="eastAsia" w:ascii="宋体" w:hAnsi="宋体" w:eastAsia="宋体" w:cs="宋体"/>
          <w:color w:val="auto"/>
          <w:sz w:val="28"/>
          <w:szCs w:val="28"/>
          <w:highlight w:val="none"/>
        </w:rPr>
        <w:br w:type="page"/>
      </w:r>
    </w:p>
    <w:p w14:paraId="03603810">
      <w:pPr>
        <w:pStyle w:val="102"/>
        <w:spacing w:afterLines="0"/>
        <w:jc w:val="center"/>
        <w:outlineLvl w:val="9"/>
        <w:rPr>
          <w:rFonts w:hint="eastAsia" w:ascii="宋体" w:hAnsi="宋体" w:eastAsia="宋体" w:cs="宋体"/>
          <w:color w:val="auto"/>
          <w:highlight w:val="none"/>
        </w:rPr>
      </w:pPr>
      <w:bookmarkStart w:id="485" w:name="_Toc536534332"/>
      <w:bookmarkStart w:id="486" w:name="_Toc531966063"/>
      <w:bookmarkStart w:id="487" w:name="_Toc525741713"/>
      <w:bookmarkStart w:id="488" w:name="_Toc536534062"/>
      <w:r>
        <w:rPr>
          <w:rFonts w:hint="eastAsia" w:ascii="宋体" w:hAnsi="宋体" w:eastAsia="宋体" w:cs="宋体"/>
          <w:color w:val="auto"/>
          <w:highlight w:val="none"/>
        </w:rPr>
        <w:t>目  录</w:t>
      </w:r>
      <w:bookmarkEnd w:id="485"/>
      <w:bookmarkEnd w:id="486"/>
      <w:bookmarkEnd w:id="487"/>
      <w:bookmarkEnd w:id="488"/>
    </w:p>
    <w:p w14:paraId="4D7FA92B">
      <w:pPr>
        <w:pBdr>
          <w:top w:val="none" w:color="auto" w:sz="0" w:space="1"/>
          <w:left w:val="none" w:color="auto" w:sz="0" w:space="4"/>
          <w:bottom w:val="none" w:color="auto" w:sz="0" w:space="1"/>
          <w:right w:val="none" w:color="auto" w:sz="0" w:space="4"/>
        </w:pBdr>
        <w:autoSpaceDE/>
        <w:autoSpaceDN/>
        <w:adjustRightInd/>
        <w:spacing w:line="360" w:lineRule="auto"/>
        <w:jc w:val="center"/>
        <w:textAlignment w:val="auto"/>
        <w:rPr>
          <w:rFonts w:hint="eastAsia" w:ascii="宋体" w:hAnsi="宋体" w:eastAsia="宋体" w:cs="宋体"/>
          <w:b w:val="0"/>
          <w:bCs w:val="0"/>
          <w:color w:val="auto"/>
          <w:highlight w:val="none"/>
        </w:rPr>
      </w:pPr>
      <w:r>
        <w:rPr>
          <w:rFonts w:hint="eastAsia" w:ascii="宋体" w:hAnsi="宋体" w:eastAsia="宋体" w:cs="宋体"/>
          <w:b w:val="0"/>
          <w:bCs w:val="0"/>
          <w:color w:val="auto"/>
          <w:szCs w:val="24"/>
          <w:highlight w:val="none"/>
        </w:rPr>
        <w:t>（自行编制</w:t>
      </w:r>
      <w:r>
        <w:rPr>
          <w:rFonts w:hint="eastAsia" w:ascii="宋体" w:hAnsi="宋体" w:eastAsia="宋体" w:cs="宋体"/>
          <w:b w:val="0"/>
          <w:bCs w:val="0"/>
          <w:color w:val="auto"/>
          <w:szCs w:val="24"/>
          <w:highlight w:val="none"/>
          <w:lang w:eastAsia="zh-CN"/>
        </w:rPr>
        <w:t>，并注明页码</w:t>
      </w:r>
      <w:r>
        <w:rPr>
          <w:rFonts w:hint="eastAsia" w:ascii="宋体" w:hAnsi="宋体" w:eastAsia="宋体" w:cs="宋体"/>
          <w:b w:val="0"/>
          <w:bCs w:val="0"/>
          <w:color w:val="auto"/>
          <w:szCs w:val="24"/>
          <w:highlight w:val="none"/>
        </w:rPr>
        <w:t>）</w:t>
      </w:r>
    </w:p>
    <w:p w14:paraId="15CABDFE">
      <w:pPr>
        <w:spacing w:after="0" w:line="52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35DC07C">
      <w:pPr>
        <w:pStyle w:val="3"/>
        <w:numPr>
          <w:ilvl w:val="0"/>
          <w:numId w:val="1"/>
        </w:numPr>
        <w:jc w:val="center"/>
        <w:outlineLvl w:val="1"/>
        <w:rPr>
          <w:rFonts w:hint="eastAsia" w:ascii="宋体" w:hAnsi="宋体" w:eastAsia="宋体" w:cs="宋体"/>
          <w:color w:val="auto"/>
          <w:sz w:val="28"/>
          <w:szCs w:val="28"/>
          <w:highlight w:val="none"/>
        </w:rPr>
      </w:pPr>
      <w:bookmarkStart w:id="489" w:name="_Toc470531294"/>
      <w:bookmarkStart w:id="490" w:name="_Toc531966064"/>
      <w:bookmarkStart w:id="491" w:name="_Toc377657518"/>
      <w:bookmarkStart w:id="492" w:name="_Toc377657104"/>
      <w:bookmarkStart w:id="493" w:name="_Toc536534333"/>
      <w:bookmarkStart w:id="494" w:name="_Toc377658032"/>
      <w:bookmarkStart w:id="495" w:name="_Toc377657375"/>
      <w:bookmarkStart w:id="496" w:name="_Toc377657234"/>
      <w:bookmarkStart w:id="497" w:name="_Toc536534063"/>
      <w:bookmarkStart w:id="498" w:name="_Toc18006"/>
      <w:bookmarkStart w:id="499" w:name="_Toc201460598"/>
      <w:bookmarkStart w:id="500" w:name="_Toc377657823"/>
      <w:bookmarkStart w:id="501" w:name="_Toc377657302"/>
      <w:r>
        <w:rPr>
          <w:rFonts w:hint="eastAsia" w:ascii="宋体" w:hAnsi="宋体" w:eastAsia="宋体" w:cs="宋体"/>
          <w:color w:val="auto"/>
          <w:sz w:val="28"/>
          <w:szCs w:val="28"/>
          <w:highlight w:val="none"/>
        </w:rPr>
        <w:t>磋商函</w:t>
      </w:r>
      <w:bookmarkEnd w:id="489"/>
      <w:bookmarkEnd w:id="490"/>
      <w:bookmarkEnd w:id="491"/>
      <w:bookmarkEnd w:id="492"/>
      <w:bookmarkEnd w:id="493"/>
      <w:bookmarkEnd w:id="494"/>
      <w:bookmarkEnd w:id="495"/>
      <w:bookmarkEnd w:id="496"/>
      <w:bookmarkEnd w:id="497"/>
      <w:bookmarkEnd w:id="498"/>
      <w:bookmarkEnd w:id="499"/>
      <w:bookmarkEnd w:id="500"/>
      <w:bookmarkEnd w:id="501"/>
    </w:p>
    <w:p w14:paraId="26F6442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采购人</w:t>
      </w:r>
      <w:r>
        <w:rPr>
          <w:rFonts w:hint="eastAsia" w:ascii="宋体" w:hAnsi="宋体" w:eastAsia="宋体" w:cs="宋体"/>
          <w:color w:val="auto"/>
          <w:sz w:val="24"/>
          <w:szCs w:val="24"/>
          <w:highlight w:val="none"/>
          <w:u w:val="single"/>
        </w:rPr>
        <w:t>名称）</w:t>
      </w:r>
      <w:r>
        <w:rPr>
          <w:rFonts w:hint="eastAsia" w:ascii="宋体" w:hAnsi="宋体" w:eastAsia="宋体" w:cs="宋体"/>
          <w:color w:val="auto"/>
          <w:sz w:val="24"/>
          <w:szCs w:val="24"/>
          <w:highlight w:val="none"/>
        </w:rPr>
        <w:t xml:space="preserve">: </w:t>
      </w:r>
    </w:p>
    <w:p w14:paraId="3251302B">
      <w:pPr>
        <w:spacing w:line="52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1．我方己仔细研究了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竞争性磋商文件的全部内容，愿意以最终承诺的</w:t>
      </w:r>
      <w:r>
        <w:rPr>
          <w:rFonts w:hint="eastAsia" w:ascii="宋体" w:hAnsi="宋体" w:eastAsia="宋体" w:cs="宋体"/>
          <w:color w:val="auto"/>
          <w:sz w:val="24"/>
          <w:szCs w:val="24"/>
          <w:highlight w:val="none"/>
          <w:lang w:val="en-US" w:eastAsia="zh-CN"/>
        </w:rPr>
        <w:t>磋商报价</w:t>
      </w:r>
      <w:r>
        <w:rPr>
          <w:rFonts w:hint="eastAsia" w:ascii="宋体" w:hAnsi="宋体" w:eastAsia="宋体" w:cs="宋体"/>
          <w:color w:val="auto"/>
          <w:sz w:val="24"/>
          <w:szCs w:val="24"/>
          <w:highlight w:val="none"/>
        </w:rPr>
        <w:t xml:space="preserve">作为最终磋商报价，工期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日历天，按合同约定实施和完成承包工程，修补工程中的任何缺陷，工程质量达</w:t>
      </w:r>
      <w:r>
        <w:rPr>
          <w:rFonts w:hint="eastAsia" w:ascii="宋体" w:hAnsi="宋体" w:eastAsia="宋体" w:cs="宋体"/>
          <w:color w:val="auto"/>
          <w:sz w:val="24"/>
          <w:szCs w:val="24"/>
          <w:highlight w:val="none"/>
          <w:lang w:eastAsia="zh-CN"/>
        </w:rPr>
        <w:t>到</w:t>
      </w:r>
      <w:r>
        <w:rPr>
          <w:rFonts w:hint="eastAsia" w:ascii="宋体" w:hAnsi="宋体" w:eastAsia="宋体" w:cs="宋体"/>
          <w:color w:val="auto"/>
          <w:sz w:val="24"/>
          <w:szCs w:val="24"/>
          <w:highlight w:val="none"/>
          <w:u w:val="single"/>
          <w:lang w:val="en-US" w:eastAsia="zh-CN"/>
        </w:rPr>
        <w:t xml:space="preserve">                      。</w:t>
      </w:r>
    </w:p>
    <w:p w14:paraId="67FED1B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2．我方承诺在磋商有效期内不修改、撤销响应文件。</w:t>
      </w:r>
    </w:p>
    <w:p w14:paraId="061E4D2B">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3．随同本磋商函提交磋商保证金一份，金额为人民币（大写）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3DAA14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4．如我方获得成交资格：</w:t>
      </w:r>
    </w:p>
    <w:p w14:paraId="6F82126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我方承诺在收到成交通知书后，在成交通知书规定的期限内与你方签订合同。</w:t>
      </w:r>
    </w:p>
    <w:p w14:paraId="174E603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我方承诺按照竞争性磋商文件规定向你方递交履约担保。</w:t>
      </w:r>
    </w:p>
    <w:p w14:paraId="339BE80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我方承诺在合同约定的期限内完成并移交全部合同工程。</w:t>
      </w:r>
    </w:p>
    <w:p w14:paraId="4BB168A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5．我方在此声明，所递交的响应文件及有关资料内容完整、真实和准确。</w:t>
      </w:r>
    </w:p>
    <w:p w14:paraId="7A57593E">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（其他补充说明）。</w:t>
      </w:r>
    </w:p>
    <w:p w14:paraId="5946E639">
      <w:pPr>
        <w:spacing w:line="320" w:lineRule="exact"/>
        <w:ind w:firstLine="3360" w:firstLineChars="1400"/>
        <w:rPr>
          <w:rFonts w:hint="eastAsia" w:ascii="宋体" w:hAnsi="宋体" w:eastAsia="宋体" w:cs="宋体"/>
          <w:color w:val="auto"/>
          <w:sz w:val="24"/>
          <w:szCs w:val="24"/>
          <w:highlight w:val="none"/>
        </w:rPr>
      </w:pPr>
    </w:p>
    <w:p w14:paraId="2933F2B3">
      <w:pPr>
        <w:spacing w:line="320" w:lineRule="exact"/>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磋商申请人：（盖章）</w:t>
      </w:r>
    </w:p>
    <w:p w14:paraId="07805C37">
      <w:pPr>
        <w:spacing w:line="320" w:lineRule="exact"/>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（盖章或签字） </w:t>
      </w:r>
    </w:p>
    <w:p w14:paraId="5843DB19">
      <w:pPr>
        <w:spacing w:line="320" w:lineRule="exact"/>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14:paraId="083E0A40">
      <w:pPr>
        <w:spacing w:line="320" w:lineRule="exact"/>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66178D12">
      <w:pPr>
        <w:spacing w:line="320" w:lineRule="exact"/>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lang w:val="en-US" w:eastAsia="zh-CN"/>
        </w:rPr>
        <w:t xml:space="preserve">   </w:t>
      </w:r>
      <w:r>
        <w:rPr>
          <w:rFonts w:hint="default"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日</w:t>
      </w:r>
    </w:p>
    <w:p w14:paraId="317882E5">
      <w:pPr>
        <w:adjustRightInd/>
        <w:snapToGrid/>
        <w:spacing w:after="0"/>
        <w:rPr>
          <w:rFonts w:hint="eastAsia" w:ascii="宋体" w:hAnsi="宋体" w:eastAsia="宋体" w:cs="宋体"/>
          <w:b/>
          <w:bCs/>
          <w:color w:val="auto"/>
          <w:kern w:val="2"/>
          <w:sz w:val="28"/>
          <w:szCs w:val="28"/>
          <w:highlight w:val="none"/>
        </w:rPr>
      </w:pPr>
      <w:bookmarkStart w:id="502" w:name="_Toc531966065"/>
      <w:r>
        <w:rPr>
          <w:rFonts w:hint="eastAsia" w:ascii="宋体" w:hAnsi="宋体" w:eastAsia="宋体" w:cs="宋体"/>
          <w:color w:val="auto"/>
          <w:sz w:val="28"/>
          <w:szCs w:val="28"/>
          <w:highlight w:val="none"/>
        </w:rPr>
        <w:br w:type="page"/>
      </w:r>
    </w:p>
    <w:p w14:paraId="6316C83D">
      <w:pPr>
        <w:pStyle w:val="3"/>
        <w:keepNext/>
        <w:keepLines/>
        <w:pageBreakBefore w:val="0"/>
        <w:widowControl w:val="0"/>
        <w:kinsoku/>
        <w:wordWrap/>
        <w:overflowPunct/>
        <w:topLinePunct w:val="0"/>
        <w:autoSpaceDE/>
        <w:autoSpaceDN/>
        <w:bidi w:val="0"/>
        <w:adjustRightInd/>
        <w:snapToGrid/>
        <w:spacing w:after="140" w:line="413" w:lineRule="auto"/>
        <w:jc w:val="center"/>
        <w:textAlignment w:val="auto"/>
        <w:outlineLvl w:val="1"/>
        <w:rPr>
          <w:rFonts w:hint="eastAsia" w:ascii="宋体" w:hAnsi="宋体" w:eastAsia="宋体" w:cs="宋体"/>
          <w:color w:val="auto"/>
          <w:sz w:val="28"/>
          <w:szCs w:val="28"/>
          <w:highlight w:val="none"/>
        </w:rPr>
      </w:pPr>
      <w:bookmarkStart w:id="503" w:name="_Toc13073"/>
      <w:r>
        <w:rPr>
          <w:rFonts w:hint="eastAsia" w:ascii="宋体" w:hAnsi="宋体" w:eastAsia="宋体" w:cs="宋体"/>
          <w:color w:val="auto"/>
          <w:sz w:val="28"/>
          <w:szCs w:val="28"/>
          <w:highlight w:val="none"/>
        </w:rPr>
        <w:t>二、磋商报价一览表</w:t>
      </w:r>
      <w:bookmarkEnd w:id="502"/>
      <w:bookmarkEnd w:id="503"/>
    </w:p>
    <w:p w14:paraId="685E8D54">
      <w:pPr>
        <w:jc w:val="center"/>
        <w:outlineLvl w:val="2"/>
        <w:rPr>
          <w:rFonts w:hint="eastAsia" w:ascii="宋体" w:hAnsi="宋体" w:eastAsia="宋体" w:cs="宋体"/>
          <w:b/>
          <w:color w:val="auto"/>
          <w:sz w:val="24"/>
          <w:szCs w:val="24"/>
          <w:highlight w:val="none"/>
        </w:rPr>
      </w:pPr>
      <w:bookmarkStart w:id="504" w:name="_Toc3161"/>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磋商报价一览表</w:t>
      </w:r>
      <w:bookmarkEnd w:id="504"/>
    </w:p>
    <w:p w14:paraId="748CC2EB">
      <w:pPr>
        <w:spacing w:line="0" w:lineRule="atLeas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eastAsia="宋体" w:cs="宋体"/>
          <w:bCs/>
          <w:color w:val="auto"/>
          <w:sz w:val="24"/>
          <w:szCs w:val="24"/>
          <w:highlight w:val="none"/>
          <w:lang w:eastAsia="zh-CN"/>
        </w:rPr>
        <w:t>红河职业技术学院数智校园建设项目—工程类</w:t>
      </w:r>
    </w:p>
    <w:p w14:paraId="02DF7332">
      <w:pPr>
        <w:spacing w:line="0" w:lineRule="atLeast"/>
        <w:rPr>
          <w:rFonts w:hint="eastAsia" w:ascii="宋体" w:hAnsi="宋体" w:eastAsia="宋体" w:cs="宋体"/>
          <w:bCs/>
          <w:color w:val="auto"/>
          <w:szCs w:val="21"/>
          <w:highlight w:val="none"/>
          <w:lang w:eastAsia="zh-CN"/>
        </w:rPr>
      </w:pPr>
      <w:r>
        <w:rPr>
          <w:rFonts w:hint="eastAsia" w:ascii="宋体" w:hAnsi="宋体" w:eastAsia="宋体" w:cs="宋体"/>
          <w:bCs/>
          <w:color w:val="auto"/>
          <w:sz w:val="24"/>
          <w:szCs w:val="24"/>
          <w:highlight w:val="none"/>
        </w:rPr>
        <w:t>项目编号：</w:t>
      </w:r>
      <w:r>
        <w:rPr>
          <w:rFonts w:hint="eastAsia" w:ascii="宋体" w:hAnsi="宋体" w:eastAsia="宋体" w:cs="宋体"/>
          <w:bCs/>
          <w:color w:val="auto"/>
          <w:sz w:val="24"/>
          <w:szCs w:val="24"/>
          <w:highlight w:val="none"/>
          <w:lang w:eastAsia="zh-CN"/>
        </w:rPr>
        <w:t>SSZB2026062</w:t>
      </w:r>
    </w:p>
    <w:tbl>
      <w:tblPr>
        <w:tblStyle w:val="61"/>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2270"/>
        <w:gridCol w:w="6773"/>
      </w:tblGrid>
      <w:tr w14:paraId="1E21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70A400C5">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2270" w:type="dxa"/>
            <w:vAlign w:val="center"/>
          </w:tcPr>
          <w:p w14:paraId="7030BC5B">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   目</w:t>
            </w:r>
          </w:p>
        </w:tc>
        <w:tc>
          <w:tcPr>
            <w:tcW w:w="6773" w:type="dxa"/>
            <w:vAlign w:val="center"/>
          </w:tcPr>
          <w:p w14:paraId="0AC3C15F">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具体说明</w:t>
            </w:r>
          </w:p>
        </w:tc>
      </w:tr>
      <w:tr w14:paraId="1B4B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895" w:type="dxa"/>
            <w:vAlign w:val="center"/>
          </w:tcPr>
          <w:p w14:paraId="700F19FF">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270" w:type="dxa"/>
            <w:vAlign w:val="center"/>
          </w:tcPr>
          <w:p w14:paraId="4643AAD8">
            <w:pPr>
              <w:spacing w:after="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磋商报价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元</w:t>
            </w:r>
            <w:r>
              <w:rPr>
                <w:rFonts w:hint="eastAsia" w:ascii="宋体" w:hAnsi="宋体" w:eastAsia="宋体" w:cs="宋体"/>
                <w:color w:val="auto"/>
                <w:szCs w:val="21"/>
                <w:highlight w:val="none"/>
              </w:rPr>
              <w:t>）</w:t>
            </w:r>
          </w:p>
        </w:tc>
        <w:tc>
          <w:tcPr>
            <w:tcW w:w="6773" w:type="dxa"/>
            <w:vAlign w:val="center"/>
          </w:tcPr>
          <w:p w14:paraId="547D5CC3">
            <w:pPr>
              <w:spacing w:after="0"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u w:val="single"/>
              </w:rPr>
              <w:t xml:space="preserve">                                </w:t>
            </w:r>
          </w:p>
          <w:p w14:paraId="3A147FBA">
            <w:pPr>
              <w:spacing w:after="0" w:line="360" w:lineRule="auto"/>
              <w:ind w:right="420" w:righ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p>
        </w:tc>
      </w:tr>
      <w:tr w14:paraId="4C80E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95" w:type="dxa"/>
            <w:vAlign w:val="center"/>
          </w:tcPr>
          <w:p w14:paraId="68513F01">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270" w:type="dxa"/>
            <w:vAlign w:val="center"/>
          </w:tcPr>
          <w:p w14:paraId="7628DA87">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拟派往项目负责人</w:t>
            </w:r>
          </w:p>
        </w:tc>
        <w:tc>
          <w:tcPr>
            <w:tcW w:w="6773" w:type="dxa"/>
            <w:vAlign w:val="center"/>
          </w:tcPr>
          <w:p w14:paraId="321290E4">
            <w:pP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p>
          <w:p w14:paraId="5FEA147E">
            <w:pPr>
              <w:spacing w:after="0"/>
              <w:ind w:right="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注册证书编号：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tc>
      </w:tr>
      <w:tr w14:paraId="7C28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42CB103D">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270" w:type="dxa"/>
            <w:vAlign w:val="center"/>
          </w:tcPr>
          <w:p w14:paraId="1A2C181A">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工期（日历天）</w:t>
            </w:r>
          </w:p>
        </w:tc>
        <w:tc>
          <w:tcPr>
            <w:tcW w:w="6773" w:type="dxa"/>
            <w:vAlign w:val="center"/>
          </w:tcPr>
          <w:p w14:paraId="4BDF8245">
            <w:pPr>
              <w:spacing w:after="0"/>
              <w:ind w:right="420"/>
              <w:rPr>
                <w:rFonts w:hint="eastAsia" w:ascii="宋体" w:hAnsi="宋体" w:eastAsia="宋体" w:cs="宋体"/>
                <w:color w:val="auto"/>
                <w:szCs w:val="21"/>
                <w:highlight w:val="none"/>
              </w:rPr>
            </w:pPr>
          </w:p>
        </w:tc>
      </w:tr>
      <w:tr w14:paraId="1CC73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15B69866">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270" w:type="dxa"/>
            <w:vAlign w:val="center"/>
          </w:tcPr>
          <w:p w14:paraId="2804F98F">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质量标准承诺</w:t>
            </w:r>
          </w:p>
        </w:tc>
        <w:tc>
          <w:tcPr>
            <w:tcW w:w="6773" w:type="dxa"/>
            <w:vAlign w:val="center"/>
          </w:tcPr>
          <w:p w14:paraId="1B332D38">
            <w:pPr>
              <w:spacing w:after="0"/>
              <w:ind w:right="420"/>
              <w:rPr>
                <w:rFonts w:hint="eastAsia" w:ascii="宋体" w:hAnsi="宋体" w:eastAsia="宋体" w:cs="宋体"/>
                <w:color w:val="auto"/>
                <w:szCs w:val="21"/>
                <w:highlight w:val="none"/>
                <w:u w:val="single"/>
              </w:rPr>
            </w:pPr>
          </w:p>
        </w:tc>
      </w:tr>
      <w:tr w14:paraId="4502F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6CF15F78">
            <w:pPr>
              <w:spacing w:after="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2270" w:type="dxa"/>
            <w:vAlign w:val="center"/>
          </w:tcPr>
          <w:p w14:paraId="10AD055F">
            <w:pPr>
              <w:spacing w:after="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磋商保证金（元）</w:t>
            </w:r>
          </w:p>
        </w:tc>
        <w:tc>
          <w:tcPr>
            <w:tcW w:w="6773" w:type="dxa"/>
            <w:vAlign w:val="center"/>
          </w:tcPr>
          <w:p w14:paraId="7F3EA79D">
            <w:pPr>
              <w:spacing w:after="0"/>
              <w:jc w:val="center"/>
              <w:rPr>
                <w:rFonts w:hint="eastAsia" w:ascii="宋体" w:hAnsi="宋体" w:eastAsia="宋体" w:cs="宋体"/>
                <w:color w:val="auto"/>
                <w:szCs w:val="21"/>
                <w:highlight w:val="none"/>
              </w:rPr>
            </w:pPr>
          </w:p>
        </w:tc>
      </w:tr>
      <w:tr w14:paraId="2CE24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708679C9">
            <w:pPr>
              <w:spacing w:after="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2270" w:type="dxa"/>
            <w:vAlign w:val="center"/>
          </w:tcPr>
          <w:p w14:paraId="39841669">
            <w:pPr>
              <w:spacing w:after="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备   注</w:t>
            </w:r>
          </w:p>
        </w:tc>
        <w:tc>
          <w:tcPr>
            <w:tcW w:w="6773" w:type="dxa"/>
            <w:vAlign w:val="center"/>
          </w:tcPr>
          <w:p w14:paraId="4BFC3B9C">
            <w:pPr>
              <w:spacing w:after="0"/>
              <w:jc w:val="center"/>
              <w:rPr>
                <w:rFonts w:hint="eastAsia" w:ascii="宋体" w:hAnsi="宋体" w:eastAsia="宋体" w:cs="宋体"/>
                <w:color w:val="auto"/>
                <w:szCs w:val="21"/>
                <w:highlight w:val="none"/>
              </w:rPr>
            </w:pPr>
          </w:p>
        </w:tc>
      </w:tr>
      <w:tr w14:paraId="700A8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8" w:type="dxa"/>
            <w:gridSpan w:val="3"/>
            <w:vAlign w:val="center"/>
          </w:tcPr>
          <w:p w14:paraId="1ED9FA4F">
            <w:pPr>
              <w:spacing w:line="360" w:lineRule="auto"/>
              <w:rPr>
                <w:rFonts w:hint="eastAsia" w:ascii="宋体" w:hAnsi="宋体" w:eastAsia="宋体" w:cs="宋体"/>
                <w:color w:val="auto"/>
                <w:szCs w:val="21"/>
                <w:highlight w:val="none"/>
              </w:rPr>
            </w:pPr>
          </w:p>
          <w:p w14:paraId="00269B3D">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磋商申请人（盖章）：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9EC979D">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法定代表人或其委托人（盖章或签字）：</w:t>
            </w:r>
            <w:r>
              <w:rPr>
                <w:rFonts w:hint="eastAsia" w:ascii="宋体" w:hAnsi="宋体" w:eastAsia="宋体" w:cs="宋体"/>
                <w:color w:val="auto"/>
                <w:szCs w:val="21"/>
                <w:highlight w:val="none"/>
                <w:u w:val="single"/>
              </w:rPr>
              <w:t xml:space="preserve">                                    </w:t>
            </w:r>
          </w:p>
          <w:p w14:paraId="486FAE3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tc>
      </w:tr>
    </w:tbl>
    <w:p w14:paraId="66B19F21">
      <w:pP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磋商报价方式：以</w:t>
      </w:r>
      <w:r>
        <w:rPr>
          <w:rFonts w:hint="eastAsia" w:ascii="宋体" w:hAnsi="宋体" w:eastAsia="宋体" w:cs="宋体"/>
          <w:color w:val="auto"/>
          <w:szCs w:val="21"/>
          <w:highlight w:val="none"/>
          <w:lang w:val="en-US" w:eastAsia="zh-CN"/>
        </w:rPr>
        <w:t>总价</w:t>
      </w:r>
      <w:r>
        <w:rPr>
          <w:rFonts w:hint="eastAsia" w:ascii="宋体" w:hAnsi="宋体" w:eastAsia="宋体" w:cs="宋体"/>
          <w:color w:val="auto"/>
          <w:szCs w:val="21"/>
          <w:highlight w:val="none"/>
        </w:rPr>
        <w:t>的方式进行报价</w:t>
      </w:r>
      <w:r>
        <w:rPr>
          <w:rFonts w:hint="eastAsia" w:ascii="宋体" w:hAnsi="宋体" w:eastAsia="宋体" w:cs="宋体"/>
          <w:color w:val="auto"/>
          <w:szCs w:val="21"/>
          <w:highlight w:val="none"/>
          <w:lang w:eastAsia="zh-CN"/>
        </w:rPr>
        <w:t>，按“磋商申请人须知前附表”要求执行。</w:t>
      </w:r>
    </w:p>
    <w:p w14:paraId="540323E3">
      <w:pPr>
        <w:numPr>
          <w:ilvl w:val="0"/>
          <w:numId w:val="0"/>
        </w:numPr>
        <w:spacing w:line="0" w:lineRule="atLeast"/>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、当大小写金额不一致时以大写金额为准，报价金额保留小数点后两位。</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不承诺最低价中标。</w:t>
      </w:r>
    </w:p>
    <w:p w14:paraId="2E417F74">
      <w:pPr>
        <w:adjustRightInd/>
        <w:snapToGrid/>
        <w:spacing w:after="0"/>
        <w:rPr>
          <w:rFonts w:hint="eastAsia" w:ascii="宋体" w:hAnsi="宋体" w:eastAsia="宋体" w:cs="宋体"/>
          <w:b/>
          <w:bCs/>
          <w:color w:val="auto"/>
          <w:kern w:val="2"/>
          <w:sz w:val="28"/>
          <w:szCs w:val="24"/>
          <w:highlight w:val="none"/>
        </w:rPr>
      </w:pPr>
      <w:r>
        <w:rPr>
          <w:rFonts w:hint="eastAsia" w:ascii="宋体" w:hAnsi="宋体" w:eastAsia="宋体" w:cs="宋体"/>
          <w:color w:val="auto"/>
          <w:sz w:val="28"/>
          <w:szCs w:val="24"/>
          <w:highlight w:val="none"/>
        </w:rPr>
        <w:br w:type="page"/>
      </w:r>
      <w:bookmarkStart w:id="505" w:name="_Toc536534335"/>
      <w:bookmarkStart w:id="506" w:name="_Toc536534065"/>
      <w:bookmarkStart w:id="507" w:name="_Toc531966066"/>
      <w:bookmarkStart w:id="508" w:name="_Toc530733572"/>
    </w:p>
    <w:p w14:paraId="72DF134A">
      <w:pPr>
        <w:pStyle w:val="5"/>
        <w:spacing w:before="120" w:beforeLines="50" w:after="120" w:afterLines="50" w:line="240" w:lineRule="auto"/>
        <w:jc w:val="center"/>
        <w:rPr>
          <w:rFonts w:hint="eastAsia" w:ascii="宋体" w:hAnsi="宋体" w:eastAsia="宋体" w:cs="宋体"/>
          <w:color w:val="auto"/>
          <w:szCs w:val="24"/>
          <w:highlight w:val="none"/>
        </w:rPr>
      </w:pPr>
      <w:bookmarkStart w:id="509" w:name="_Toc10568"/>
      <w:r>
        <w:rPr>
          <w:rFonts w:hint="eastAsia" w:ascii="宋体" w:hAnsi="宋体" w:eastAsia="宋体" w:cs="宋体"/>
          <w:color w:val="auto"/>
          <w:szCs w:val="24"/>
          <w:highlight w:val="none"/>
        </w:rPr>
        <w:t>（</w:t>
      </w:r>
      <w:r>
        <w:rPr>
          <w:rFonts w:hint="eastAsia" w:ascii="宋体" w:hAnsi="宋体" w:eastAsia="宋体" w:cs="宋体"/>
          <w:color w:val="auto"/>
          <w:szCs w:val="24"/>
          <w:highlight w:val="none"/>
          <w:lang w:eastAsia="zh-CN"/>
        </w:rPr>
        <w:t>二</w:t>
      </w:r>
      <w:r>
        <w:rPr>
          <w:rFonts w:hint="eastAsia" w:ascii="宋体" w:hAnsi="宋体" w:eastAsia="宋体" w:cs="宋体"/>
          <w:color w:val="auto"/>
          <w:szCs w:val="24"/>
          <w:highlight w:val="none"/>
        </w:rPr>
        <w:t>）最终磋商报价一览表</w:t>
      </w:r>
      <w:bookmarkEnd w:id="505"/>
      <w:bookmarkEnd w:id="506"/>
      <w:bookmarkEnd w:id="507"/>
      <w:bookmarkEnd w:id="508"/>
      <w:bookmarkEnd w:id="509"/>
    </w:p>
    <w:p w14:paraId="028C5FCB">
      <w:pPr>
        <w:spacing w:line="3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eastAsia="宋体" w:cs="宋体"/>
          <w:b w:val="0"/>
          <w:bCs w:val="0"/>
          <w:color w:val="auto"/>
          <w:sz w:val="24"/>
          <w:szCs w:val="24"/>
          <w:highlight w:val="none"/>
          <w:lang w:eastAsia="zh-CN"/>
        </w:rPr>
        <w:t>红河职业技术学院数智校园建设项目—工程类</w:t>
      </w:r>
    </w:p>
    <w:p w14:paraId="1F014E41">
      <w:pPr>
        <w:spacing w:line="0" w:lineRule="atLeast"/>
        <w:rPr>
          <w:rFonts w:hint="eastAsia" w:ascii="宋体" w:hAnsi="宋体" w:eastAsia="宋体" w:cs="宋体"/>
          <w:bCs/>
          <w:color w:val="auto"/>
          <w:szCs w:val="21"/>
          <w:highlight w:val="none"/>
          <w:lang w:eastAsia="zh-CN"/>
        </w:rPr>
      </w:pPr>
      <w:r>
        <w:rPr>
          <w:rFonts w:hint="eastAsia" w:ascii="宋体" w:hAnsi="宋体" w:eastAsia="宋体" w:cs="宋体"/>
          <w:bCs/>
          <w:color w:val="auto"/>
          <w:sz w:val="24"/>
          <w:szCs w:val="24"/>
          <w:highlight w:val="none"/>
        </w:rPr>
        <w:t>项目编号：</w:t>
      </w:r>
      <w:r>
        <w:rPr>
          <w:rFonts w:hint="eastAsia" w:ascii="宋体" w:hAnsi="宋体" w:eastAsia="宋体" w:cs="宋体"/>
          <w:bCs/>
          <w:color w:val="auto"/>
          <w:sz w:val="24"/>
          <w:szCs w:val="24"/>
          <w:highlight w:val="none"/>
          <w:lang w:eastAsia="zh-CN"/>
        </w:rPr>
        <w:t>SSZB2026062</w:t>
      </w:r>
    </w:p>
    <w:tbl>
      <w:tblPr>
        <w:tblStyle w:val="61"/>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2270"/>
        <w:gridCol w:w="6773"/>
      </w:tblGrid>
      <w:tr w14:paraId="3ADD6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709A65C7">
            <w:pPr>
              <w:spacing w:after="0"/>
              <w:jc w:val="center"/>
              <w:rPr>
                <w:rFonts w:hint="eastAsia" w:ascii="宋体" w:hAnsi="宋体" w:eastAsia="宋体" w:cs="宋体"/>
                <w:color w:val="auto"/>
                <w:szCs w:val="21"/>
                <w:highlight w:val="none"/>
              </w:rPr>
            </w:pPr>
            <w:bookmarkStart w:id="510" w:name="_Toc470531298"/>
            <w:r>
              <w:rPr>
                <w:rFonts w:hint="eastAsia" w:ascii="宋体" w:hAnsi="宋体" w:eastAsia="宋体" w:cs="宋体"/>
                <w:color w:val="auto"/>
                <w:szCs w:val="21"/>
                <w:highlight w:val="none"/>
              </w:rPr>
              <w:t>序号</w:t>
            </w:r>
          </w:p>
        </w:tc>
        <w:tc>
          <w:tcPr>
            <w:tcW w:w="2270" w:type="dxa"/>
            <w:vAlign w:val="center"/>
          </w:tcPr>
          <w:p w14:paraId="33D52F8F">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   目</w:t>
            </w:r>
          </w:p>
        </w:tc>
        <w:tc>
          <w:tcPr>
            <w:tcW w:w="6773" w:type="dxa"/>
            <w:vAlign w:val="center"/>
          </w:tcPr>
          <w:p w14:paraId="7F8B7045">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具体说明</w:t>
            </w:r>
          </w:p>
        </w:tc>
      </w:tr>
      <w:tr w14:paraId="2B91C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895" w:type="dxa"/>
            <w:vAlign w:val="center"/>
          </w:tcPr>
          <w:p w14:paraId="55AFFC6D">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2270" w:type="dxa"/>
            <w:vAlign w:val="center"/>
          </w:tcPr>
          <w:p w14:paraId="2DE333F7">
            <w:pPr>
              <w:spacing w:after="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磋商报价</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元</w:t>
            </w:r>
            <w:r>
              <w:rPr>
                <w:rFonts w:hint="eastAsia" w:ascii="宋体" w:hAnsi="宋体" w:eastAsia="宋体" w:cs="宋体"/>
                <w:color w:val="auto"/>
                <w:szCs w:val="21"/>
                <w:highlight w:val="none"/>
              </w:rPr>
              <w:t>）</w:t>
            </w:r>
          </w:p>
        </w:tc>
        <w:tc>
          <w:tcPr>
            <w:tcW w:w="6773" w:type="dxa"/>
            <w:vAlign w:val="center"/>
          </w:tcPr>
          <w:p w14:paraId="307F1D1E">
            <w:pPr>
              <w:spacing w:after="0" w:line="360" w:lineRule="auto"/>
              <w:ind w:righ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r>
              <w:rPr>
                <w:rFonts w:hint="eastAsia" w:ascii="宋体" w:hAnsi="宋体" w:eastAsia="宋体" w:cs="宋体"/>
                <w:color w:val="auto"/>
                <w:szCs w:val="21"/>
                <w:highlight w:val="none"/>
                <w:u w:val="single"/>
              </w:rPr>
              <w:t xml:space="preserve">                                </w:t>
            </w:r>
          </w:p>
          <w:p w14:paraId="0BD872E0">
            <w:pPr>
              <w:spacing w:after="0" w:line="360" w:lineRule="auto"/>
              <w:ind w:right="420" w:rightChars="0"/>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w:t>
            </w:r>
            <w:r>
              <w:rPr>
                <w:rFonts w:hint="eastAsia" w:ascii="宋体" w:hAnsi="宋体" w:eastAsia="宋体" w:cs="宋体"/>
                <w:color w:val="auto"/>
                <w:szCs w:val="21"/>
                <w:highlight w:val="none"/>
                <w:u w:val="single"/>
              </w:rPr>
              <w:t xml:space="preserve">                                </w:t>
            </w:r>
          </w:p>
        </w:tc>
      </w:tr>
      <w:tr w14:paraId="149AB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895" w:type="dxa"/>
            <w:vAlign w:val="center"/>
          </w:tcPr>
          <w:p w14:paraId="0243969A">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2270" w:type="dxa"/>
            <w:vAlign w:val="center"/>
          </w:tcPr>
          <w:p w14:paraId="6891FAF9">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拟派往项目负责人</w:t>
            </w:r>
          </w:p>
        </w:tc>
        <w:tc>
          <w:tcPr>
            <w:tcW w:w="6773" w:type="dxa"/>
            <w:vAlign w:val="center"/>
          </w:tcPr>
          <w:p w14:paraId="2FEA2C6B">
            <w:pP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姓       名：</w:t>
            </w:r>
            <w:r>
              <w:rPr>
                <w:rFonts w:hint="eastAsia" w:ascii="宋体" w:hAnsi="宋体" w:eastAsia="宋体" w:cs="宋体"/>
                <w:color w:val="auto"/>
                <w:szCs w:val="21"/>
                <w:highlight w:val="none"/>
                <w:u w:val="single"/>
              </w:rPr>
              <w:t xml:space="preserve">                         </w:t>
            </w:r>
          </w:p>
          <w:p w14:paraId="0A296495">
            <w:pPr>
              <w:spacing w:after="0"/>
              <w:ind w:right="42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注册证书编号：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p>
        </w:tc>
      </w:tr>
      <w:tr w14:paraId="0D2EC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7DF1DEF8">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2270" w:type="dxa"/>
            <w:vAlign w:val="center"/>
          </w:tcPr>
          <w:p w14:paraId="6BDB68CF">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工期（日历天）</w:t>
            </w:r>
          </w:p>
        </w:tc>
        <w:tc>
          <w:tcPr>
            <w:tcW w:w="6773" w:type="dxa"/>
            <w:vAlign w:val="center"/>
          </w:tcPr>
          <w:p w14:paraId="3D5E67AB">
            <w:pPr>
              <w:spacing w:after="0"/>
              <w:ind w:right="420"/>
              <w:rPr>
                <w:rFonts w:hint="eastAsia" w:ascii="宋体" w:hAnsi="宋体" w:eastAsia="宋体" w:cs="宋体"/>
                <w:color w:val="auto"/>
                <w:szCs w:val="21"/>
                <w:highlight w:val="none"/>
              </w:rPr>
            </w:pPr>
          </w:p>
        </w:tc>
      </w:tr>
      <w:tr w14:paraId="6AFF5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16FE63E2">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2270" w:type="dxa"/>
            <w:vAlign w:val="center"/>
          </w:tcPr>
          <w:p w14:paraId="378CF323">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质量标准承诺</w:t>
            </w:r>
          </w:p>
        </w:tc>
        <w:tc>
          <w:tcPr>
            <w:tcW w:w="6773" w:type="dxa"/>
            <w:vAlign w:val="center"/>
          </w:tcPr>
          <w:p w14:paraId="655AC965">
            <w:pPr>
              <w:spacing w:after="0"/>
              <w:ind w:right="420"/>
              <w:rPr>
                <w:rFonts w:hint="eastAsia" w:ascii="宋体" w:hAnsi="宋体" w:eastAsia="宋体" w:cs="宋体"/>
                <w:color w:val="auto"/>
                <w:szCs w:val="21"/>
                <w:highlight w:val="none"/>
                <w:u w:val="single"/>
              </w:rPr>
            </w:pPr>
          </w:p>
        </w:tc>
      </w:tr>
      <w:tr w14:paraId="66CE3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2845720E">
            <w:pPr>
              <w:spacing w:after="0"/>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2270" w:type="dxa"/>
            <w:vAlign w:val="center"/>
          </w:tcPr>
          <w:p w14:paraId="73F8946F">
            <w:pPr>
              <w:spacing w:after="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磋商保证金（元）</w:t>
            </w:r>
          </w:p>
        </w:tc>
        <w:tc>
          <w:tcPr>
            <w:tcW w:w="6773" w:type="dxa"/>
            <w:vAlign w:val="center"/>
          </w:tcPr>
          <w:p w14:paraId="0F8289FE">
            <w:pPr>
              <w:spacing w:after="0"/>
              <w:jc w:val="center"/>
              <w:rPr>
                <w:rFonts w:hint="eastAsia" w:ascii="宋体" w:hAnsi="宋体" w:eastAsia="宋体" w:cs="宋体"/>
                <w:color w:val="auto"/>
                <w:szCs w:val="21"/>
                <w:highlight w:val="none"/>
              </w:rPr>
            </w:pPr>
          </w:p>
        </w:tc>
      </w:tr>
      <w:tr w14:paraId="7E234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95" w:type="dxa"/>
            <w:vAlign w:val="center"/>
          </w:tcPr>
          <w:p w14:paraId="05FB5A99">
            <w:pPr>
              <w:spacing w:after="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2270" w:type="dxa"/>
            <w:vAlign w:val="center"/>
          </w:tcPr>
          <w:p w14:paraId="704970A1">
            <w:pPr>
              <w:spacing w:after="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备   注</w:t>
            </w:r>
          </w:p>
        </w:tc>
        <w:tc>
          <w:tcPr>
            <w:tcW w:w="6773" w:type="dxa"/>
            <w:vAlign w:val="center"/>
          </w:tcPr>
          <w:p w14:paraId="2C1A98B9">
            <w:pPr>
              <w:spacing w:after="0"/>
              <w:jc w:val="center"/>
              <w:rPr>
                <w:rFonts w:hint="eastAsia" w:ascii="宋体" w:hAnsi="宋体" w:eastAsia="宋体" w:cs="宋体"/>
                <w:color w:val="auto"/>
                <w:szCs w:val="21"/>
                <w:highlight w:val="none"/>
              </w:rPr>
            </w:pPr>
          </w:p>
        </w:tc>
      </w:tr>
      <w:tr w14:paraId="4F1D4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8" w:type="dxa"/>
            <w:gridSpan w:val="3"/>
            <w:vAlign w:val="center"/>
          </w:tcPr>
          <w:p w14:paraId="231C7DE1">
            <w:pPr>
              <w:spacing w:line="360" w:lineRule="auto"/>
              <w:rPr>
                <w:rFonts w:hint="eastAsia" w:ascii="宋体" w:hAnsi="宋体" w:eastAsia="宋体" w:cs="宋体"/>
                <w:color w:val="auto"/>
                <w:szCs w:val="21"/>
                <w:highlight w:val="none"/>
              </w:rPr>
            </w:pPr>
          </w:p>
          <w:p w14:paraId="1238295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磋商申请人（盖章）：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752FF330">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法定代表人或其委托人（盖章或签字）：</w:t>
            </w:r>
            <w:r>
              <w:rPr>
                <w:rFonts w:hint="eastAsia" w:ascii="宋体" w:hAnsi="宋体" w:eastAsia="宋体" w:cs="宋体"/>
                <w:color w:val="auto"/>
                <w:szCs w:val="21"/>
                <w:highlight w:val="none"/>
                <w:u w:val="single"/>
              </w:rPr>
              <w:t xml:space="preserve">                                    </w:t>
            </w:r>
          </w:p>
          <w:p w14:paraId="6A085A50">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tc>
      </w:tr>
    </w:tbl>
    <w:p w14:paraId="485F9F2C">
      <w:pPr>
        <w:spacing w:line="24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注：1、磋商报价方式：以总价的方式进行报价，按“磋商申请人须知前附表”要求执行</w:t>
      </w:r>
      <w:r>
        <w:rPr>
          <w:rFonts w:hint="eastAsia" w:ascii="宋体" w:hAnsi="宋体" w:eastAsia="宋体" w:cs="宋体"/>
          <w:color w:val="auto"/>
          <w:szCs w:val="21"/>
          <w:highlight w:val="none"/>
          <w:lang w:eastAsia="zh-CN"/>
        </w:rPr>
        <w:t>。</w:t>
      </w:r>
    </w:p>
    <w:p w14:paraId="5F84A6C1">
      <w:pPr>
        <w:spacing w:line="24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2、当大小写金额不一致时以大写金额为准，报价金额保留小数点后两位。采购人不承诺最低价中标</w:t>
      </w:r>
      <w:r>
        <w:rPr>
          <w:rFonts w:hint="eastAsia" w:ascii="宋体" w:hAnsi="宋体" w:eastAsia="宋体" w:cs="宋体"/>
          <w:color w:val="auto"/>
          <w:szCs w:val="21"/>
          <w:highlight w:val="none"/>
          <w:lang w:eastAsia="zh-CN"/>
        </w:rPr>
        <w:t>。</w:t>
      </w:r>
    </w:p>
    <w:p w14:paraId="71930C8E">
      <w:pPr>
        <w:spacing w:line="360" w:lineRule="auto"/>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b/>
          <w:bCs/>
          <w:color w:val="auto"/>
          <w:szCs w:val="21"/>
          <w:highlight w:val="none"/>
        </w:rPr>
        <w:t>最终报价由法定代表人或其委托代理人在</w:t>
      </w:r>
      <w:r>
        <w:rPr>
          <w:rFonts w:hint="eastAsia" w:ascii="宋体" w:hAnsi="宋体" w:eastAsia="宋体" w:cs="宋体"/>
          <w:b/>
          <w:bCs/>
          <w:color w:val="auto"/>
          <w:szCs w:val="21"/>
          <w:highlight w:val="none"/>
          <w:lang w:val="en-US" w:eastAsia="zh-CN"/>
        </w:rPr>
        <w:t>政采云系统</w:t>
      </w:r>
      <w:r>
        <w:rPr>
          <w:rFonts w:hint="eastAsia" w:ascii="宋体" w:hAnsi="宋体" w:eastAsia="宋体" w:cs="宋体"/>
          <w:b/>
          <w:bCs/>
          <w:color w:val="auto"/>
          <w:szCs w:val="21"/>
          <w:highlight w:val="none"/>
        </w:rPr>
        <w:t>直接填报</w:t>
      </w:r>
      <w:r>
        <w:rPr>
          <w:rFonts w:hint="eastAsia" w:ascii="宋体" w:hAnsi="宋体" w:eastAsia="宋体" w:cs="宋体"/>
          <w:b/>
          <w:bCs/>
          <w:color w:val="auto"/>
          <w:szCs w:val="21"/>
          <w:highlight w:val="none"/>
          <w:lang w:val="en-US" w:eastAsia="zh-CN"/>
        </w:rPr>
        <w:t>或上传报价附件</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磋商报价高于</w:t>
      </w:r>
      <w:r>
        <w:rPr>
          <w:rFonts w:hint="eastAsia" w:ascii="宋体" w:hAnsi="宋体" w:eastAsia="宋体" w:cs="宋体"/>
          <w:color w:val="auto"/>
          <w:szCs w:val="21"/>
          <w:highlight w:val="none"/>
          <w:lang w:eastAsia="zh-CN"/>
        </w:rPr>
        <w:t>最高限价</w:t>
      </w:r>
      <w:r>
        <w:rPr>
          <w:rFonts w:hint="eastAsia" w:ascii="宋体" w:hAnsi="宋体" w:eastAsia="宋体" w:cs="宋体"/>
          <w:color w:val="auto"/>
          <w:szCs w:val="21"/>
          <w:highlight w:val="none"/>
        </w:rPr>
        <w:t>时，为废标。最终报价不得高于第一次报价，否则视为无效报价</w:t>
      </w:r>
      <w:r>
        <w:rPr>
          <w:rFonts w:hint="eastAsia" w:ascii="宋体" w:hAnsi="宋体" w:eastAsia="宋体" w:cs="宋体"/>
          <w:color w:val="auto"/>
          <w:szCs w:val="21"/>
          <w:highlight w:val="none"/>
          <w:lang w:eastAsia="zh-CN"/>
        </w:rPr>
        <w:t>，采购人</w:t>
      </w:r>
      <w:r>
        <w:rPr>
          <w:rFonts w:hint="eastAsia" w:ascii="宋体" w:hAnsi="宋体" w:eastAsia="宋体" w:cs="宋体"/>
          <w:color w:val="auto"/>
          <w:szCs w:val="21"/>
          <w:highlight w:val="none"/>
        </w:rPr>
        <w:t>不承诺最低价成交。</w:t>
      </w:r>
      <w:bookmarkStart w:id="511" w:name="_Toc531966067"/>
      <w:bookmarkStart w:id="512" w:name="_Toc661"/>
    </w:p>
    <w:p w14:paraId="4EB08FEA">
      <w:pPr>
        <w:pStyle w:val="80"/>
        <w:rPr>
          <w:rFonts w:hint="eastAsia"/>
          <w:color w:val="auto"/>
          <w:highlight w:val="none"/>
        </w:rPr>
      </w:pPr>
    </w:p>
    <w:p w14:paraId="69F76BF6">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20301A9B">
      <w:pPr>
        <w:pStyle w:val="3"/>
        <w:jc w:val="center"/>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三、法定代表人身份证明</w:t>
      </w:r>
      <w:bookmarkEnd w:id="510"/>
      <w:bookmarkEnd w:id="511"/>
      <w:r>
        <w:rPr>
          <w:rFonts w:hint="eastAsia" w:ascii="宋体" w:hAnsi="宋体" w:eastAsia="宋体" w:cs="宋体"/>
          <w:color w:val="auto"/>
          <w:sz w:val="28"/>
          <w:szCs w:val="28"/>
          <w:highlight w:val="none"/>
        </w:rPr>
        <w:t>书</w:t>
      </w:r>
      <w:bookmarkEnd w:id="512"/>
    </w:p>
    <w:p w14:paraId="58AD9516">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12A19859">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36766C93">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328E066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日</w:t>
      </w:r>
    </w:p>
    <w:p w14:paraId="7D3DC2C1">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68BBB071">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（法定代表人签</w:t>
      </w:r>
      <w:r>
        <w:rPr>
          <w:rFonts w:hint="eastAsia" w:ascii="宋体" w:hAnsi="宋体" w:eastAsia="宋体" w:cs="宋体"/>
          <w:color w:val="auto"/>
          <w:sz w:val="24"/>
          <w:szCs w:val="24"/>
          <w:highlight w:val="none"/>
          <w:u w:val="single"/>
          <w:lang w:eastAsia="zh-CN"/>
        </w:rPr>
        <w:t>字</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684FA5B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（磋商申请人全称）  </w:t>
      </w:r>
      <w:r>
        <w:rPr>
          <w:rFonts w:hint="eastAsia" w:ascii="宋体" w:hAnsi="宋体" w:eastAsia="宋体" w:cs="宋体"/>
          <w:color w:val="auto"/>
          <w:sz w:val="24"/>
          <w:szCs w:val="24"/>
          <w:highlight w:val="none"/>
        </w:rPr>
        <w:t>的法定代表人。</w:t>
      </w:r>
    </w:p>
    <w:p w14:paraId="5184E30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76F05C4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w:t>
      </w:r>
      <w:r>
        <w:rPr>
          <w:rFonts w:hint="eastAsia" w:ascii="宋体" w:hAnsi="宋体" w:eastAsia="宋体" w:cs="宋体"/>
          <w:color w:val="auto"/>
          <w:sz w:val="24"/>
          <w:szCs w:val="24"/>
          <w:highlight w:val="none"/>
          <w:lang w:eastAsia="zh-CN"/>
        </w:rPr>
        <w:t>复印件正反面</w:t>
      </w:r>
    </w:p>
    <w:tbl>
      <w:tblPr>
        <w:tblStyle w:val="61"/>
        <w:tblW w:w="76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640"/>
      </w:tblGrid>
      <w:tr w14:paraId="0BD8D5CD">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991" w:hRule="atLeast"/>
          <w:jc w:val="center"/>
        </w:trPr>
        <w:tc>
          <w:tcPr>
            <w:tcW w:w="7640" w:type="dxa"/>
          </w:tcPr>
          <w:p w14:paraId="1D26F7C8">
            <w:pPr>
              <w:pStyle w:val="57"/>
              <w:adjustRightInd w:val="0"/>
              <w:snapToGrid w:val="0"/>
              <w:spacing w:before="0" w:beforeAutospacing="0" w:after="0" w:afterAutospacing="0" w:line="360" w:lineRule="auto"/>
              <w:rPr>
                <w:rFonts w:hint="eastAsia" w:ascii="宋体" w:hAnsi="宋体" w:eastAsia="宋体" w:cs="宋体"/>
                <w:color w:val="auto"/>
                <w:highlight w:val="none"/>
              </w:rPr>
            </w:pPr>
          </w:p>
        </w:tc>
      </w:tr>
      <w:tr w14:paraId="52C5C972">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PrEx>
        <w:trPr>
          <w:trHeight w:val="1999" w:hRule="atLeast"/>
          <w:jc w:val="center"/>
        </w:trPr>
        <w:tc>
          <w:tcPr>
            <w:tcW w:w="7640" w:type="dxa"/>
          </w:tcPr>
          <w:p w14:paraId="05A75322">
            <w:pPr>
              <w:pStyle w:val="57"/>
              <w:adjustRightInd w:val="0"/>
              <w:snapToGrid w:val="0"/>
              <w:spacing w:before="0" w:beforeAutospacing="0" w:after="0" w:afterAutospacing="0" w:line="360" w:lineRule="auto"/>
              <w:rPr>
                <w:rFonts w:hint="eastAsia" w:ascii="宋体" w:hAnsi="宋体" w:eastAsia="宋体" w:cs="宋体"/>
                <w:color w:val="auto"/>
                <w:highlight w:val="none"/>
              </w:rPr>
            </w:pPr>
          </w:p>
        </w:tc>
      </w:tr>
    </w:tbl>
    <w:p w14:paraId="27CF5741">
      <w:pPr>
        <w:spacing w:line="360" w:lineRule="auto"/>
        <w:rPr>
          <w:rFonts w:hint="eastAsia" w:ascii="宋体" w:hAnsi="宋体" w:eastAsia="宋体" w:cs="宋体"/>
          <w:color w:val="auto"/>
          <w:sz w:val="24"/>
          <w:szCs w:val="24"/>
          <w:highlight w:val="none"/>
        </w:rPr>
      </w:pPr>
    </w:p>
    <w:p w14:paraId="14B52053">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磋商申请人：</w:t>
      </w:r>
      <w:r>
        <w:rPr>
          <w:rFonts w:hint="eastAsia" w:ascii="宋体" w:hAnsi="宋体" w:eastAsia="宋体" w:cs="宋体"/>
          <w:color w:val="auto"/>
          <w:sz w:val="24"/>
          <w:szCs w:val="24"/>
          <w:highlight w:val="none"/>
          <w:u w:val="single"/>
        </w:rPr>
        <w:t xml:space="preserve">  （全称）（盖单位章） </w:t>
      </w:r>
    </w:p>
    <w:p w14:paraId="25149020">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AA72C1A">
      <w:pPr>
        <w:pStyle w:val="80"/>
        <w:rPr>
          <w:rFonts w:hint="eastAsia"/>
          <w:color w:val="auto"/>
          <w:highlight w:val="none"/>
        </w:rPr>
      </w:pPr>
    </w:p>
    <w:p w14:paraId="4CE84B9D">
      <w:pPr>
        <w:pStyle w:val="3"/>
        <w:jc w:val="center"/>
        <w:outlineLvl w:val="1"/>
        <w:rPr>
          <w:rFonts w:hint="eastAsia" w:ascii="宋体" w:hAnsi="宋体" w:eastAsia="宋体" w:cs="宋体"/>
          <w:color w:val="auto"/>
          <w:sz w:val="28"/>
          <w:szCs w:val="28"/>
          <w:highlight w:val="none"/>
        </w:rPr>
      </w:pPr>
      <w:bookmarkStart w:id="513" w:name="_Toc10004"/>
      <w:bookmarkStart w:id="514" w:name="_Toc531966068"/>
      <w:bookmarkStart w:id="515" w:name="_Toc470531299"/>
      <w:r>
        <w:rPr>
          <w:rFonts w:hint="eastAsia" w:ascii="宋体" w:hAnsi="宋体" w:eastAsia="宋体" w:cs="宋体"/>
          <w:color w:val="auto"/>
          <w:sz w:val="28"/>
          <w:szCs w:val="28"/>
          <w:highlight w:val="none"/>
        </w:rPr>
        <w:t>四、授权委托书</w:t>
      </w:r>
      <w:bookmarkEnd w:id="513"/>
      <w:bookmarkEnd w:id="514"/>
      <w:bookmarkEnd w:id="515"/>
    </w:p>
    <w:p w14:paraId="0003B00D">
      <w:pPr>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（磋商申请人全称） </w:t>
      </w:r>
      <w:r>
        <w:rPr>
          <w:rFonts w:hint="eastAsia" w:ascii="宋体" w:hAnsi="宋体" w:eastAsia="宋体" w:cs="宋体"/>
          <w:color w:val="auto"/>
          <w:sz w:val="24"/>
          <w:szCs w:val="24"/>
          <w:highlight w:val="none"/>
        </w:rPr>
        <w:t>的法定代表人，现委托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磋商响应文件、签订合同和处理有关事宜，其法律后果由我方承担。</w:t>
      </w:r>
    </w:p>
    <w:p w14:paraId="3C92DC4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3CA4F3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37F7040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附：被授权人身份证</w:t>
      </w:r>
      <w:r>
        <w:rPr>
          <w:rFonts w:hint="eastAsia" w:ascii="宋体" w:hAnsi="宋体" w:eastAsia="宋体" w:cs="宋体"/>
          <w:color w:val="auto"/>
          <w:sz w:val="24"/>
          <w:szCs w:val="24"/>
          <w:highlight w:val="none"/>
          <w:lang w:eastAsia="zh-CN"/>
        </w:rPr>
        <w:t>复印件正反面</w:t>
      </w:r>
    </w:p>
    <w:tbl>
      <w:tblPr>
        <w:tblStyle w:val="61"/>
        <w:tblW w:w="79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960"/>
      </w:tblGrid>
      <w:tr w14:paraId="591EE091">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528" w:hRule="atLeast"/>
          <w:jc w:val="center"/>
        </w:trPr>
        <w:tc>
          <w:tcPr>
            <w:tcW w:w="7960" w:type="dxa"/>
          </w:tcPr>
          <w:p w14:paraId="47673C36">
            <w:pPr>
              <w:pStyle w:val="57"/>
              <w:adjustRightInd w:val="0"/>
              <w:snapToGrid w:val="0"/>
              <w:spacing w:before="0" w:beforeAutospacing="0" w:after="0" w:afterAutospacing="0" w:line="360" w:lineRule="auto"/>
              <w:rPr>
                <w:rFonts w:hint="eastAsia" w:ascii="宋体" w:hAnsi="宋体" w:eastAsia="宋体" w:cs="宋体"/>
                <w:color w:val="auto"/>
                <w:highlight w:val="none"/>
              </w:rPr>
            </w:pPr>
          </w:p>
        </w:tc>
      </w:tr>
      <w:tr w14:paraId="7C6EC042">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1456" w:hRule="atLeast"/>
          <w:jc w:val="center"/>
        </w:trPr>
        <w:tc>
          <w:tcPr>
            <w:tcW w:w="7960" w:type="dxa"/>
          </w:tcPr>
          <w:p w14:paraId="74A3AE66">
            <w:pPr>
              <w:pStyle w:val="57"/>
              <w:adjustRightInd w:val="0"/>
              <w:snapToGrid w:val="0"/>
              <w:spacing w:before="0" w:beforeAutospacing="0" w:after="0" w:afterAutospacing="0" w:line="360" w:lineRule="auto"/>
              <w:rPr>
                <w:rFonts w:hint="eastAsia" w:ascii="宋体" w:hAnsi="宋体" w:eastAsia="宋体" w:cs="宋体"/>
                <w:color w:val="auto"/>
                <w:highlight w:val="none"/>
              </w:rPr>
            </w:pPr>
          </w:p>
        </w:tc>
      </w:tr>
    </w:tbl>
    <w:p w14:paraId="5A0BEE8E">
      <w:pPr>
        <w:spacing w:line="360" w:lineRule="auto"/>
        <w:rPr>
          <w:rFonts w:hint="eastAsia" w:ascii="宋体" w:hAnsi="宋体" w:eastAsia="宋体" w:cs="宋体"/>
          <w:color w:val="auto"/>
          <w:sz w:val="24"/>
          <w:szCs w:val="24"/>
          <w:highlight w:val="none"/>
        </w:rPr>
      </w:pPr>
    </w:p>
    <w:p w14:paraId="524F79C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w:t>
      </w:r>
      <w:r>
        <w:rPr>
          <w:rFonts w:hint="eastAsia" w:ascii="宋体" w:hAnsi="宋体" w:eastAsia="宋体" w:cs="宋体"/>
          <w:color w:val="auto"/>
          <w:sz w:val="24"/>
          <w:szCs w:val="24"/>
          <w:highlight w:val="none"/>
          <w:u w:val="single"/>
        </w:rPr>
        <w:t xml:space="preserve">          （盖单位章）            </w:t>
      </w:r>
    </w:p>
    <w:p w14:paraId="382B6C9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（签名）            </w:t>
      </w:r>
    </w:p>
    <w:p w14:paraId="7B6D8B4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0DFE5BF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（签名）          </w:t>
      </w:r>
    </w:p>
    <w:p w14:paraId="7DE6C3F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50A238A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D5FB0D8">
      <w:pPr>
        <w:pStyle w:val="3"/>
        <w:spacing w:line="400" w:lineRule="exact"/>
        <w:jc w:val="both"/>
        <w:outlineLvl w:val="9"/>
        <w:rPr>
          <w:rFonts w:hint="eastAsia" w:ascii="宋体" w:hAnsi="宋体" w:eastAsia="宋体" w:cs="宋体"/>
          <w:color w:val="auto"/>
          <w:sz w:val="28"/>
          <w:szCs w:val="28"/>
          <w:highlight w:val="none"/>
        </w:rPr>
      </w:pPr>
      <w:bookmarkStart w:id="516" w:name="_Toc9810"/>
      <w:bookmarkStart w:id="517" w:name="_Toc470531300"/>
      <w:bookmarkStart w:id="518" w:name="_Toc531966069"/>
    </w:p>
    <w:p w14:paraId="6C420A0D">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F8A34BA">
      <w:pPr>
        <w:pStyle w:val="3"/>
        <w:spacing w:line="400" w:lineRule="exact"/>
        <w:jc w:val="center"/>
        <w:outlineLvl w:val="1"/>
        <w:rPr>
          <w:rFonts w:hint="eastAsia" w:ascii="宋体" w:hAnsi="宋体" w:eastAsia="宋体" w:cs="宋体"/>
          <w:color w:val="auto"/>
          <w:kern w:val="44"/>
          <w:sz w:val="28"/>
          <w:szCs w:val="28"/>
          <w:highlight w:val="none"/>
        </w:rPr>
      </w:pPr>
      <w:r>
        <w:rPr>
          <w:rFonts w:hint="eastAsia" w:ascii="宋体" w:hAnsi="宋体" w:eastAsia="宋体" w:cs="宋体"/>
          <w:color w:val="auto"/>
          <w:sz w:val="28"/>
          <w:szCs w:val="28"/>
          <w:highlight w:val="none"/>
        </w:rPr>
        <w:t>五、</w:t>
      </w:r>
      <w:r>
        <w:rPr>
          <w:rFonts w:hint="eastAsia" w:ascii="宋体" w:hAnsi="宋体" w:eastAsia="宋体" w:cs="宋体"/>
          <w:color w:val="auto"/>
          <w:kern w:val="44"/>
          <w:sz w:val="28"/>
          <w:szCs w:val="28"/>
          <w:highlight w:val="none"/>
        </w:rPr>
        <w:t>磋商保证金</w:t>
      </w:r>
      <w:bookmarkEnd w:id="516"/>
      <w:bookmarkEnd w:id="517"/>
      <w:bookmarkEnd w:id="518"/>
    </w:p>
    <w:p w14:paraId="4723C696">
      <w:pPr>
        <w:spacing w:line="400" w:lineRule="exact"/>
        <w:jc w:val="center"/>
        <w:rPr>
          <w:rFonts w:hint="eastAsia" w:ascii="宋体" w:hAnsi="宋体" w:eastAsia="宋体" w:cs="宋体"/>
          <w:b/>
          <w:bCs/>
          <w:caps/>
          <w:color w:val="auto"/>
          <w:sz w:val="24"/>
          <w:szCs w:val="24"/>
          <w:highlight w:val="none"/>
        </w:rPr>
      </w:pPr>
      <w:r>
        <w:rPr>
          <w:rFonts w:hint="eastAsia" w:ascii="宋体" w:hAnsi="宋体" w:eastAsia="宋体" w:cs="宋体"/>
          <w:b/>
          <w:bCs/>
          <w:caps/>
          <w:color w:val="auto"/>
          <w:sz w:val="24"/>
          <w:szCs w:val="24"/>
          <w:highlight w:val="none"/>
        </w:rPr>
        <w:t>（请将磋商保证金缴纳凭证（复印件）及基本存款账户信息（盖单位公章）附于此页）</w:t>
      </w:r>
    </w:p>
    <w:p w14:paraId="7866F0DC">
      <w:pPr>
        <w:spacing w:line="400" w:lineRule="exact"/>
        <w:rPr>
          <w:rFonts w:hint="eastAsia" w:ascii="宋体" w:hAnsi="宋体" w:eastAsia="宋体" w:cs="宋体"/>
          <w:b/>
          <w:caps/>
          <w:color w:val="auto"/>
          <w:sz w:val="24"/>
          <w:szCs w:val="24"/>
          <w:highlight w:val="none"/>
        </w:rPr>
      </w:pPr>
    </w:p>
    <w:p w14:paraId="43CB07E4">
      <w:pPr>
        <w:pStyle w:val="80"/>
        <w:rPr>
          <w:rFonts w:hint="eastAsia" w:ascii="宋体" w:hAnsi="宋体" w:eastAsia="宋体" w:cs="宋体"/>
          <w:b/>
          <w:caps/>
          <w:color w:val="auto"/>
          <w:sz w:val="24"/>
          <w:szCs w:val="24"/>
          <w:highlight w:val="none"/>
        </w:rPr>
      </w:pPr>
    </w:p>
    <w:p w14:paraId="26A929FF">
      <w:pPr>
        <w:pStyle w:val="80"/>
        <w:rPr>
          <w:rFonts w:hint="eastAsia" w:ascii="宋体" w:hAnsi="宋体" w:eastAsia="宋体" w:cs="宋体"/>
          <w:b/>
          <w:caps/>
          <w:color w:val="auto"/>
          <w:sz w:val="24"/>
          <w:szCs w:val="24"/>
          <w:highlight w:val="none"/>
        </w:rPr>
      </w:pPr>
    </w:p>
    <w:p w14:paraId="7BAEE0CF">
      <w:pPr>
        <w:pStyle w:val="80"/>
        <w:rPr>
          <w:rFonts w:hint="eastAsia" w:ascii="宋体" w:hAnsi="宋体" w:eastAsia="宋体" w:cs="宋体"/>
          <w:b/>
          <w:caps/>
          <w:color w:val="auto"/>
          <w:sz w:val="24"/>
          <w:szCs w:val="24"/>
          <w:highlight w:val="none"/>
        </w:rPr>
      </w:pPr>
    </w:p>
    <w:p w14:paraId="283C66C4">
      <w:pPr>
        <w:pStyle w:val="80"/>
        <w:rPr>
          <w:rFonts w:hint="eastAsia" w:ascii="宋体" w:hAnsi="宋体" w:eastAsia="宋体" w:cs="宋体"/>
          <w:b/>
          <w:caps/>
          <w:color w:val="auto"/>
          <w:sz w:val="24"/>
          <w:szCs w:val="24"/>
          <w:highlight w:val="none"/>
        </w:rPr>
      </w:pPr>
    </w:p>
    <w:p w14:paraId="00ED2F37">
      <w:pPr>
        <w:pStyle w:val="80"/>
        <w:rPr>
          <w:rFonts w:hint="eastAsia" w:ascii="宋体" w:hAnsi="宋体" w:eastAsia="宋体" w:cs="宋体"/>
          <w:b/>
          <w:caps/>
          <w:color w:val="auto"/>
          <w:sz w:val="24"/>
          <w:szCs w:val="24"/>
          <w:highlight w:val="none"/>
        </w:rPr>
      </w:pPr>
    </w:p>
    <w:p w14:paraId="6CEC7087">
      <w:pPr>
        <w:pStyle w:val="3"/>
        <w:spacing w:line="400" w:lineRule="exact"/>
        <w:jc w:val="center"/>
        <w:outlineLvl w:val="1"/>
        <w:rPr>
          <w:rFonts w:hint="eastAsia" w:ascii="宋体" w:hAnsi="宋体" w:eastAsia="宋体" w:cs="宋体"/>
          <w:color w:val="auto"/>
          <w:sz w:val="28"/>
          <w:szCs w:val="28"/>
          <w:highlight w:val="none"/>
        </w:rPr>
      </w:pPr>
      <w:bookmarkStart w:id="519" w:name="_Toc531966070"/>
      <w:bookmarkStart w:id="520" w:name="_Toc10390"/>
      <w:bookmarkStart w:id="521" w:name="_Toc234382966"/>
      <w:bookmarkStart w:id="522" w:name="_Toc470531309"/>
      <w:bookmarkStart w:id="523" w:name="_Toc377657827"/>
      <w:bookmarkStart w:id="524" w:name="_Toc377657383"/>
      <w:bookmarkStart w:id="525" w:name="_Toc377657242"/>
      <w:bookmarkStart w:id="526" w:name="_Toc377657522"/>
      <w:bookmarkStart w:id="527" w:name="_Toc377657108"/>
      <w:bookmarkStart w:id="528" w:name="_Toc377657310"/>
      <w:bookmarkStart w:id="529" w:name="_Toc377658036"/>
      <w:r>
        <w:rPr>
          <w:rFonts w:hint="eastAsia" w:ascii="宋体" w:hAnsi="宋体" w:eastAsia="宋体" w:cs="宋体"/>
          <w:color w:val="auto"/>
          <w:sz w:val="28"/>
          <w:szCs w:val="28"/>
          <w:highlight w:val="none"/>
        </w:rPr>
        <w:t>六、施工组织设计</w:t>
      </w:r>
      <w:bookmarkEnd w:id="519"/>
      <w:bookmarkEnd w:id="520"/>
      <w:bookmarkEnd w:id="521"/>
    </w:p>
    <w:p w14:paraId="15FB94DA">
      <w:pPr>
        <w:spacing w:line="400" w:lineRule="exact"/>
        <w:ind w:firstLine="460" w:firstLineChars="192"/>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1.磋商申请人编制施工组织设计的要求：编制时应采用文字并结合图表形式说明施工方法；拟磋商申请人本项目的主要施工设备情况、拟配备本项目的试验和检测仪器设备情况、劳动力计划等；结合工程特点提出切实可行的工程质量、安全生产、文明施工、工程进度、技术组织措施，同时应对关键工序、复杂环节重点提出相应技术措施，如冬雨季节施工技术、减少噪音、降低环境污染、地下管线及其他地上地下设施的保护加固措施等。</w:t>
      </w:r>
    </w:p>
    <w:p w14:paraId="4B0B028B">
      <w:pPr>
        <w:spacing w:line="400" w:lineRule="exact"/>
        <w:ind w:firstLine="460" w:firstLineChars="192"/>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2.施工组织设计除采用文字表述可附下列图表，图表及格式要求附后。</w:t>
      </w:r>
    </w:p>
    <w:p w14:paraId="29DB787A">
      <w:pPr>
        <w:spacing w:line="400" w:lineRule="exact"/>
        <w:ind w:firstLine="460" w:firstLineChars="192"/>
        <w:rPr>
          <w:rFonts w:hint="eastAsia" w:ascii="宋体" w:hAnsi="宋体" w:eastAsia="宋体" w:cs="宋体"/>
          <w:b/>
          <w:caps/>
          <w:color w:val="auto"/>
          <w:sz w:val="24"/>
          <w:szCs w:val="24"/>
          <w:highlight w:val="none"/>
        </w:rPr>
      </w:pPr>
      <w:r>
        <w:rPr>
          <w:rFonts w:hint="eastAsia" w:ascii="宋体" w:hAnsi="宋体" w:eastAsia="宋体" w:cs="宋体"/>
          <w:caps/>
          <w:color w:val="auto"/>
          <w:sz w:val="24"/>
          <w:szCs w:val="24"/>
          <w:highlight w:val="none"/>
        </w:rPr>
        <w:t xml:space="preserve">  </w:t>
      </w:r>
      <w:r>
        <w:rPr>
          <w:rFonts w:hint="eastAsia" w:ascii="宋体" w:hAnsi="宋体" w:eastAsia="宋体" w:cs="宋体"/>
          <w:b/>
          <w:caps/>
          <w:color w:val="auto"/>
          <w:sz w:val="24"/>
          <w:szCs w:val="24"/>
          <w:highlight w:val="none"/>
        </w:rPr>
        <w:t>附表一  拟</w:t>
      </w:r>
      <w:r>
        <w:rPr>
          <w:rFonts w:hint="eastAsia" w:ascii="宋体" w:hAnsi="宋体" w:eastAsia="宋体" w:cs="宋体"/>
          <w:b/>
          <w:caps/>
          <w:color w:val="auto"/>
          <w:sz w:val="24"/>
          <w:szCs w:val="24"/>
          <w:highlight w:val="none"/>
          <w:lang w:eastAsia="zh-CN"/>
        </w:rPr>
        <w:t>投入</w:t>
      </w:r>
      <w:r>
        <w:rPr>
          <w:rFonts w:hint="eastAsia" w:ascii="宋体" w:hAnsi="宋体" w:eastAsia="宋体" w:cs="宋体"/>
          <w:b/>
          <w:caps/>
          <w:color w:val="auto"/>
          <w:sz w:val="24"/>
          <w:szCs w:val="24"/>
          <w:highlight w:val="none"/>
        </w:rPr>
        <w:t>本项目的主要施工设备表</w:t>
      </w:r>
    </w:p>
    <w:p w14:paraId="5412BBBC">
      <w:pPr>
        <w:spacing w:line="400" w:lineRule="exact"/>
        <w:ind w:firstLine="463" w:firstLineChars="192"/>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 xml:space="preserve">  附表二  拟配备本项目的试验和检测仪器设备表</w:t>
      </w:r>
    </w:p>
    <w:p w14:paraId="1FEF78A4">
      <w:pPr>
        <w:spacing w:line="400" w:lineRule="exact"/>
        <w:ind w:firstLine="463" w:firstLineChars="192"/>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 xml:space="preserve">  附表三  劳动力计划表</w:t>
      </w:r>
    </w:p>
    <w:p w14:paraId="2AF42EED">
      <w:pPr>
        <w:spacing w:line="400" w:lineRule="exact"/>
        <w:ind w:firstLine="463" w:firstLineChars="192"/>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 xml:space="preserve">  附表四  计划</w:t>
      </w:r>
      <w:r>
        <w:rPr>
          <w:rFonts w:hint="eastAsia" w:ascii="宋体" w:hAnsi="宋体" w:eastAsia="宋体" w:cs="宋体"/>
          <w:b/>
          <w:caps/>
          <w:color w:val="auto"/>
          <w:sz w:val="24"/>
          <w:szCs w:val="24"/>
          <w:highlight w:val="none"/>
          <w:lang w:eastAsia="zh-CN"/>
        </w:rPr>
        <w:t>开工</w:t>
      </w:r>
      <w:r>
        <w:rPr>
          <w:rFonts w:hint="eastAsia" w:ascii="宋体" w:hAnsi="宋体" w:eastAsia="宋体" w:cs="宋体"/>
          <w:b/>
          <w:caps/>
          <w:color w:val="auto"/>
          <w:sz w:val="24"/>
          <w:szCs w:val="24"/>
          <w:highlight w:val="none"/>
        </w:rPr>
        <w:t>、竣工日期和施工进度网络图</w:t>
      </w:r>
    </w:p>
    <w:p w14:paraId="225C3352">
      <w:pPr>
        <w:spacing w:line="400" w:lineRule="exact"/>
        <w:ind w:firstLine="699" w:firstLineChars="290"/>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附表五  施工总平面图</w:t>
      </w:r>
    </w:p>
    <w:p w14:paraId="26D6F56F">
      <w:pPr>
        <w:spacing w:line="400" w:lineRule="exact"/>
        <w:ind w:firstLine="704" w:firstLineChars="292"/>
        <w:rPr>
          <w:rFonts w:hint="eastAsia" w:ascii="宋体" w:hAnsi="宋体" w:eastAsia="宋体" w:cs="宋体"/>
          <w:b/>
          <w:caps/>
          <w:color w:val="auto"/>
          <w:sz w:val="24"/>
          <w:szCs w:val="24"/>
          <w:highlight w:val="none"/>
        </w:rPr>
        <w:sectPr>
          <w:footnotePr>
            <w:numFmt w:val="decimalEnclosedCircleChinese"/>
            <w:numRestart w:val="eachPage"/>
          </w:footnotePr>
          <w:pgSz w:w="11907" w:h="16840"/>
          <w:pgMar w:top="913" w:right="856" w:bottom="913" w:left="867" w:header="340" w:footer="227" w:gutter="0"/>
          <w:pgNumType w:fmt="decimal"/>
          <w:cols w:space="720" w:num="1"/>
          <w:titlePg/>
        </w:sectPr>
      </w:pPr>
      <w:r>
        <w:rPr>
          <w:rFonts w:hint="eastAsia" w:ascii="宋体" w:hAnsi="宋体" w:eastAsia="宋体" w:cs="宋体"/>
          <w:b/>
          <w:caps/>
          <w:color w:val="auto"/>
          <w:sz w:val="24"/>
          <w:szCs w:val="24"/>
          <w:highlight w:val="none"/>
        </w:rPr>
        <w:t>附表六  临时用地</w:t>
      </w:r>
    </w:p>
    <w:bookmarkEnd w:id="522"/>
    <w:bookmarkEnd w:id="523"/>
    <w:bookmarkEnd w:id="524"/>
    <w:bookmarkEnd w:id="525"/>
    <w:bookmarkEnd w:id="526"/>
    <w:bookmarkEnd w:id="527"/>
    <w:bookmarkEnd w:id="528"/>
    <w:bookmarkEnd w:id="529"/>
    <w:p w14:paraId="24D973C7">
      <w:pPr>
        <w:rPr>
          <w:rFonts w:hint="eastAsia" w:ascii="宋体" w:hAnsi="宋体" w:eastAsia="宋体" w:cs="宋体"/>
          <w:b/>
          <w:caps/>
          <w:color w:val="auto"/>
          <w:sz w:val="24"/>
          <w:szCs w:val="24"/>
          <w:highlight w:val="none"/>
        </w:rPr>
      </w:pPr>
      <w:bookmarkStart w:id="530" w:name="_Toc470531312"/>
      <w:r>
        <w:rPr>
          <w:rFonts w:hint="eastAsia" w:ascii="宋体" w:hAnsi="宋体" w:eastAsia="宋体" w:cs="宋体"/>
          <w:b/>
          <w:caps/>
          <w:color w:val="auto"/>
          <w:sz w:val="24"/>
          <w:szCs w:val="24"/>
          <w:highlight w:val="none"/>
        </w:rPr>
        <w:t>附表一：拟</w:t>
      </w:r>
      <w:r>
        <w:rPr>
          <w:rFonts w:hint="eastAsia" w:ascii="宋体" w:hAnsi="宋体" w:eastAsia="宋体" w:cs="宋体"/>
          <w:b/>
          <w:caps/>
          <w:color w:val="auto"/>
          <w:sz w:val="24"/>
          <w:szCs w:val="24"/>
          <w:highlight w:val="none"/>
          <w:lang w:eastAsia="zh-CN"/>
        </w:rPr>
        <w:t>投入</w:t>
      </w:r>
      <w:r>
        <w:rPr>
          <w:rFonts w:hint="eastAsia" w:ascii="宋体" w:hAnsi="宋体" w:eastAsia="宋体" w:cs="宋体"/>
          <w:b/>
          <w:caps/>
          <w:color w:val="auto"/>
          <w:sz w:val="24"/>
          <w:szCs w:val="24"/>
          <w:highlight w:val="none"/>
        </w:rPr>
        <w:t>本项目的主要施工设备表</w:t>
      </w:r>
    </w:p>
    <w:tbl>
      <w:tblPr>
        <w:tblStyle w:val="61"/>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488"/>
        <w:gridCol w:w="743"/>
        <w:gridCol w:w="745"/>
        <w:gridCol w:w="894"/>
        <w:gridCol w:w="743"/>
        <w:gridCol w:w="1340"/>
        <w:gridCol w:w="894"/>
        <w:gridCol w:w="1043"/>
        <w:gridCol w:w="1191"/>
      </w:tblGrid>
      <w:tr w14:paraId="6045D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007" w:type="dxa"/>
            <w:vAlign w:val="center"/>
          </w:tcPr>
          <w:p w14:paraId="54CC37EE">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88" w:type="dxa"/>
            <w:vAlign w:val="center"/>
          </w:tcPr>
          <w:p w14:paraId="67D1B6CD">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743" w:type="dxa"/>
            <w:vAlign w:val="center"/>
          </w:tcPr>
          <w:p w14:paraId="4F402CEE">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p w14:paraId="64B3F4C3">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tc>
        <w:tc>
          <w:tcPr>
            <w:tcW w:w="745" w:type="dxa"/>
            <w:vAlign w:val="center"/>
          </w:tcPr>
          <w:p w14:paraId="2D96392A">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94" w:type="dxa"/>
            <w:vAlign w:val="center"/>
          </w:tcPr>
          <w:p w14:paraId="0F19975D">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国别</w:t>
            </w:r>
          </w:p>
          <w:p w14:paraId="11451214">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743" w:type="dxa"/>
            <w:vAlign w:val="center"/>
          </w:tcPr>
          <w:p w14:paraId="073F449A">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w:t>
            </w:r>
          </w:p>
          <w:p w14:paraId="1179AB76">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年份</w:t>
            </w:r>
          </w:p>
        </w:tc>
        <w:tc>
          <w:tcPr>
            <w:tcW w:w="1340" w:type="dxa"/>
            <w:vAlign w:val="center"/>
          </w:tcPr>
          <w:p w14:paraId="5FDD8361">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额定功率（KW）</w:t>
            </w:r>
          </w:p>
        </w:tc>
        <w:tc>
          <w:tcPr>
            <w:tcW w:w="894" w:type="dxa"/>
            <w:vAlign w:val="center"/>
          </w:tcPr>
          <w:p w14:paraId="5D6ABB38">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w:t>
            </w:r>
          </w:p>
          <w:p w14:paraId="16919037">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能力</w:t>
            </w:r>
          </w:p>
        </w:tc>
        <w:tc>
          <w:tcPr>
            <w:tcW w:w="1043" w:type="dxa"/>
            <w:vAlign w:val="center"/>
          </w:tcPr>
          <w:p w14:paraId="679F478E">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w:t>
            </w:r>
          </w:p>
          <w:p w14:paraId="40BE3284">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w:t>
            </w:r>
          </w:p>
          <w:p w14:paraId="24040378">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部位</w:t>
            </w:r>
          </w:p>
        </w:tc>
        <w:tc>
          <w:tcPr>
            <w:tcW w:w="1191" w:type="dxa"/>
            <w:vAlign w:val="center"/>
          </w:tcPr>
          <w:p w14:paraId="17FF217D">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37FD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13D405DE">
            <w:pPr>
              <w:ind w:left="5250" w:firstLine="560"/>
              <w:jc w:val="center"/>
              <w:rPr>
                <w:rFonts w:hint="eastAsia" w:ascii="宋体" w:hAnsi="宋体" w:eastAsia="宋体" w:cs="宋体"/>
                <w:caps/>
                <w:color w:val="auto"/>
                <w:sz w:val="24"/>
                <w:szCs w:val="24"/>
                <w:highlight w:val="none"/>
              </w:rPr>
            </w:pPr>
          </w:p>
        </w:tc>
        <w:tc>
          <w:tcPr>
            <w:tcW w:w="1488" w:type="dxa"/>
            <w:vAlign w:val="center"/>
          </w:tcPr>
          <w:p w14:paraId="7064D220">
            <w:pPr>
              <w:ind w:firstLine="560"/>
              <w:jc w:val="center"/>
              <w:rPr>
                <w:rFonts w:hint="eastAsia" w:ascii="宋体" w:hAnsi="宋体" w:eastAsia="宋体" w:cs="宋体"/>
                <w:caps/>
                <w:color w:val="auto"/>
                <w:sz w:val="24"/>
                <w:szCs w:val="24"/>
                <w:highlight w:val="none"/>
              </w:rPr>
            </w:pPr>
          </w:p>
        </w:tc>
        <w:tc>
          <w:tcPr>
            <w:tcW w:w="743" w:type="dxa"/>
            <w:vAlign w:val="center"/>
          </w:tcPr>
          <w:p w14:paraId="28B2274D">
            <w:pPr>
              <w:ind w:firstLine="560"/>
              <w:jc w:val="center"/>
              <w:rPr>
                <w:rFonts w:hint="eastAsia" w:ascii="宋体" w:hAnsi="宋体" w:eastAsia="宋体" w:cs="宋体"/>
                <w:caps/>
                <w:color w:val="auto"/>
                <w:sz w:val="24"/>
                <w:szCs w:val="24"/>
                <w:highlight w:val="none"/>
              </w:rPr>
            </w:pPr>
          </w:p>
        </w:tc>
        <w:tc>
          <w:tcPr>
            <w:tcW w:w="745" w:type="dxa"/>
            <w:vAlign w:val="center"/>
          </w:tcPr>
          <w:p w14:paraId="740EE722">
            <w:pPr>
              <w:ind w:firstLine="560"/>
              <w:jc w:val="center"/>
              <w:rPr>
                <w:rFonts w:hint="eastAsia" w:ascii="宋体" w:hAnsi="宋体" w:eastAsia="宋体" w:cs="宋体"/>
                <w:caps/>
                <w:color w:val="auto"/>
                <w:sz w:val="24"/>
                <w:szCs w:val="24"/>
                <w:highlight w:val="none"/>
              </w:rPr>
            </w:pPr>
          </w:p>
        </w:tc>
        <w:tc>
          <w:tcPr>
            <w:tcW w:w="894" w:type="dxa"/>
            <w:vAlign w:val="center"/>
          </w:tcPr>
          <w:p w14:paraId="4C9E23D5">
            <w:pPr>
              <w:ind w:firstLine="560"/>
              <w:jc w:val="center"/>
              <w:rPr>
                <w:rFonts w:hint="eastAsia" w:ascii="宋体" w:hAnsi="宋体" w:eastAsia="宋体" w:cs="宋体"/>
                <w:caps/>
                <w:color w:val="auto"/>
                <w:sz w:val="24"/>
                <w:szCs w:val="24"/>
                <w:highlight w:val="none"/>
              </w:rPr>
            </w:pPr>
          </w:p>
        </w:tc>
        <w:tc>
          <w:tcPr>
            <w:tcW w:w="743" w:type="dxa"/>
            <w:vAlign w:val="center"/>
          </w:tcPr>
          <w:p w14:paraId="4455B56B">
            <w:pPr>
              <w:ind w:firstLine="560"/>
              <w:jc w:val="center"/>
              <w:rPr>
                <w:rFonts w:hint="eastAsia" w:ascii="宋体" w:hAnsi="宋体" w:eastAsia="宋体" w:cs="宋体"/>
                <w:caps/>
                <w:color w:val="auto"/>
                <w:sz w:val="24"/>
                <w:szCs w:val="24"/>
                <w:highlight w:val="none"/>
              </w:rPr>
            </w:pPr>
          </w:p>
        </w:tc>
        <w:tc>
          <w:tcPr>
            <w:tcW w:w="1340" w:type="dxa"/>
            <w:vAlign w:val="center"/>
          </w:tcPr>
          <w:p w14:paraId="7EA23BB6">
            <w:pPr>
              <w:ind w:firstLine="560"/>
              <w:jc w:val="center"/>
              <w:rPr>
                <w:rFonts w:hint="eastAsia" w:ascii="宋体" w:hAnsi="宋体" w:eastAsia="宋体" w:cs="宋体"/>
                <w:caps/>
                <w:color w:val="auto"/>
                <w:sz w:val="24"/>
                <w:szCs w:val="24"/>
                <w:highlight w:val="none"/>
              </w:rPr>
            </w:pPr>
          </w:p>
        </w:tc>
        <w:tc>
          <w:tcPr>
            <w:tcW w:w="894" w:type="dxa"/>
            <w:vAlign w:val="center"/>
          </w:tcPr>
          <w:p w14:paraId="3293B9FE">
            <w:pPr>
              <w:ind w:firstLine="560"/>
              <w:jc w:val="center"/>
              <w:rPr>
                <w:rFonts w:hint="eastAsia" w:ascii="宋体" w:hAnsi="宋体" w:eastAsia="宋体" w:cs="宋体"/>
                <w:caps/>
                <w:color w:val="auto"/>
                <w:sz w:val="24"/>
                <w:szCs w:val="24"/>
                <w:highlight w:val="none"/>
              </w:rPr>
            </w:pPr>
          </w:p>
        </w:tc>
        <w:tc>
          <w:tcPr>
            <w:tcW w:w="1043" w:type="dxa"/>
            <w:vAlign w:val="center"/>
          </w:tcPr>
          <w:p w14:paraId="6E2D6F2F">
            <w:pPr>
              <w:ind w:firstLine="560"/>
              <w:jc w:val="center"/>
              <w:rPr>
                <w:rFonts w:hint="eastAsia" w:ascii="宋体" w:hAnsi="宋体" w:eastAsia="宋体" w:cs="宋体"/>
                <w:caps/>
                <w:color w:val="auto"/>
                <w:sz w:val="24"/>
                <w:szCs w:val="24"/>
                <w:highlight w:val="none"/>
              </w:rPr>
            </w:pPr>
          </w:p>
        </w:tc>
        <w:tc>
          <w:tcPr>
            <w:tcW w:w="1191" w:type="dxa"/>
            <w:vAlign w:val="center"/>
          </w:tcPr>
          <w:p w14:paraId="7752DA3C">
            <w:pPr>
              <w:ind w:firstLine="560"/>
              <w:jc w:val="center"/>
              <w:rPr>
                <w:rFonts w:hint="eastAsia" w:ascii="宋体" w:hAnsi="宋体" w:eastAsia="宋体" w:cs="宋体"/>
                <w:caps/>
                <w:color w:val="auto"/>
                <w:sz w:val="24"/>
                <w:szCs w:val="24"/>
                <w:highlight w:val="none"/>
              </w:rPr>
            </w:pPr>
          </w:p>
        </w:tc>
      </w:tr>
      <w:tr w14:paraId="66EC0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2C9422AD">
            <w:pPr>
              <w:ind w:left="5250" w:firstLine="560"/>
              <w:jc w:val="center"/>
              <w:rPr>
                <w:rFonts w:hint="eastAsia" w:ascii="宋体" w:hAnsi="宋体" w:eastAsia="宋体" w:cs="宋体"/>
                <w:caps/>
                <w:color w:val="auto"/>
                <w:sz w:val="24"/>
                <w:szCs w:val="24"/>
                <w:highlight w:val="none"/>
              </w:rPr>
            </w:pPr>
          </w:p>
        </w:tc>
        <w:tc>
          <w:tcPr>
            <w:tcW w:w="1488" w:type="dxa"/>
            <w:vAlign w:val="center"/>
          </w:tcPr>
          <w:p w14:paraId="24D4EE96">
            <w:pPr>
              <w:ind w:firstLine="560"/>
              <w:jc w:val="center"/>
              <w:rPr>
                <w:rFonts w:hint="eastAsia" w:ascii="宋体" w:hAnsi="宋体" w:eastAsia="宋体" w:cs="宋体"/>
                <w:caps/>
                <w:color w:val="auto"/>
                <w:sz w:val="24"/>
                <w:szCs w:val="24"/>
                <w:highlight w:val="none"/>
              </w:rPr>
            </w:pPr>
          </w:p>
        </w:tc>
        <w:tc>
          <w:tcPr>
            <w:tcW w:w="743" w:type="dxa"/>
            <w:vAlign w:val="center"/>
          </w:tcPr>
          <w:p w14:paraId="1ACC2580">
            <w:pPr>
              <w:ind w:firstLine="560"/>
              <w:jc w:val="center"/>
              <w:rPr>
                <w:rFonts w:hint="eastAsia" w:ascii="宋体" w:hAnsi="宋体" w:eastAsia="宋体" w:cs="宋体"/>
                <w:caps/>
                <w:color w:val="auto"/>
                <w:sz w:val="24"/>
                <w:szCs w:val="24"/>
                <w:highlight w:val="none"/>
              </w:rPr>
            </w:pPr>
          </w:p>
        </w:tc>
        <w:tc>
          <w:tcPr>
            <w:tcW w:w="745" w:type="dxa"/>
            <w:vAlign w:val="center"/>
          </w:tcPr>
          <w:p w14:paraId="61E13AE4">
            <w:pPr>
              <w:ind w:firstLine="560"/>
              <w:jc w:val="center"/>
              <w:rPr>
                <w:rFonts w:hint="eastAsia" w:ascii="宋体" w:hAnsi="宋体" w:eastAsia="宋体" w:cs="宋体"/>
                <w:caps/>
                <w:color w:val="auto"/>
                <w:sz w:val="24"/>
                <w:szCs w:val="24"/>
                <w:highlight w:val="none"/>
              </w:rPr>
            </w:pPr>
          </w:p>
        </w:tc>
        <w:tc>
          <w:tcPr>
            <w:tcW w:w="894" w:type="dxa"/>
            <w:vAlign w:val="center"/>
          </w:tcPr>
          <w:p w14:paraId="3872E1C4">
            <w:pPr>
              <w:ind w:firstLine="560"/>
              <w:jc w:val="center"/>
              <w:rPr>
                <w:rFonts w:hint="eastAsia" w:ascii="宋体" w:hAnsi="宋体" w:eastAsia="宋体" w:cs="宋体"/>
                <w:caps/>
                <w:color w:val="auto"/>
                <w:sz w:val="24"/>
                <w:szCs w:val="24"/>
                <w:highlight w:val="none"/>
              </w:rPr>
            </w:pPr>
          </w:p>
        </w:tc>
        <w:tc>
          <w:tcPr>
            <w:tcW w:w="743" w:type="dxa"/>
            <w:vAlign w:val="center"/>
          </w:tcPr>
          <w:p w14:paraId="453226DC">
            <w:pPr>
              <w:ind w:firstLine="560"/>
              <w:jc w:val="center"/>
              <w:rPr>
                <w:rFonts w:hint="eastAsia" w:ascii="宋体" w:hAnsi="宋体" w:eastAsia="宋体" w:cs="宋体"/>
                <w:caps/>
                <w:color w:val="auto"/>
                <w:sz w:val="24"/>
                <w:szCs w:val="24"/>
                <w:highlight w:val="none"/>
              </w:rPr>
            </w:pPr>
          </w:p>
        </w:tc>
        <w:tc>
          <w:tcPr>
            <w:tcW w:w="1340" w:type="dxa"/>
            <w:vAlign w:val="center"/>
          </w:tcPr>
          <w:p w14:paraId="279DF0A8">
            <w:pPr>
              <w:ind w:firstLine="560"/>
              <w:jc w:val="center"/>
              <w:rPr>
                <w:rFonts w:hint="eastAsia" w:ascii="宋体" w:hAnsi="宋体" w:eastAsia="宋体" w:cs="宋体"/>
                <w:caps/>
                <w:color w:val="auto"/>
                <w:sz w:val="24"/>
                <w:szCs w:val="24"/>
                <w:highlight w:val="none"/>
              </w:rPr>
            </w:pPr>
          </w:p>
        </w:tc>
        <w:tc>
          <w:tcPr>
            <w:tcW w:w="894" w:type="dxa"/>
            <w:vAlign w:val="center"/>
          </w:tcPr>
          <w:p w14:paraId="3DDF5572">
            <w:pPr>
              <w:ind w:firstLine="560"/>
              <w:jc w:val="center"/>
              <w:rPr>
                <w:rFonts w:hint="eastAsia" w:ascii="宋体" w:hAnsi="宋体" w:eastAsia="宋体" w:cs="宋体"/>
                <w:caps/>
                <w:color w:val="auto"/>
                <w:sz w:val="24"/>
                <w:szCs w:val="24"/>
                <w:highlight w:val="none"/>
              </w:rPr>
            </w:pPr>
          </w:p>
        </w:tc>
        <w:tc>
          <w:tcPr>
            <w:tcW w:w="1043" w:type="dxa"/>
            <w:vAlign w:val="center"/>
          </w:tcPr>
          <w:p w14:paraId="0AE3A652">
            <w:pPr>
              <w:ind w:firstLine="560"/>
              <w:jc w:val="center"/>
              <w:rPr>
                <w:rFonts w:hint="eastAsia" w:ascii="宋体" w:hAnsi="宋体" w:eastAsia="宋体" w:cs="宋体"/>
                <w:caps/>
                <w:color w:val="auto"/>
                <w:sz w:val="24"/>
                <w:szCs w:val="24"/>
                <w:highlight w:val="none"/>
              </w:rPr>
            </w:pPr>
          </w:p>
        </w:tc>
        <w:tc>
          <w:tcPr>
            <w:tcW w:w="1191" w:type="dxa"/>
            <w:vAlign w:val="center"/>
          </w:tcPr>
          <w:p w14:paraId="0153557B">
            <w:pPr>
              <w:ind w:firstLine="560"/>
              <w:jc w:val="center"/>
              <w:rPr>
                <w:rFonts w:hint="eastAsia" w:ascii="宋体" w:hAnsi="宋体" w:eastAsia="宋体" w:cs="宋体"/>
                <w:caps/>
                <w:color w:val="auto"/>
                <w:sz w:val="24"/>
                <w:szCs w:val="24"/>
                <w:highlight w:val="none"/>
              </w:rPr>
            </w:pPr>
          </w:p>
        </w:tc>
      </w:tr>
      <w:tr w14:paraId="68F7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35D7ED45">
            <w:pPr>
              <w:ind w:left="5250" w:firstLine="560"/>
              <w:jc w:val="center"/>
              <w:rPr>
                <w:rFonts w:hint="eastAsia" w:ascii="宋体" w:hAnsi="宋体" w:eastAsia="宋体" w:cs="宋体"/>
                <w:caps/>
                <w:color w:val="auto"/>
                <w:sz w:val="24"/>
                <w:szCs w:val="24"/>
                <w:highlight w:val="none"/>
              </w:rPr>
            </w:pPr>
          </w:p>
        </w:tc>
        <w:tc>
          <w:tcPr>
            <w:tcW w:w="1488" w:type="dxa"/>
            <w:vAlign w:val="center"/>
          </w:tcPr>
          <w:p w14:paraId="2B97DE1F">
            <w:pPr>
              <w:ind w:firstLine="560"/>
              <w:jc w:val="center"/>
              <w:rPr>
                <w:rFonts w:hint="eastAsia" w:ascii="宋体" w:hAnsi="宋体" w:eastAsia="宋体" w:cs="宋体"/>
                <w:caps/>
                <w:color w:val="auto"/>
                <w:sz w:val="24"/>
                <w:szCs w:val="24"/>
                <w:highlight w:val="none"/>
              </w:rPr>
            </w:pPr>
          </w:p>
        </w:tc>
        <w:tc>
          <w:tcPr>
            <w:tcW w:w="743" w:type="dxa"/>
            <w:vAlign w:val="center"/>
          </w:tcPr>
          <w:p w14:paraId="5E16D9A1">
            <w:pPr>
              <w:ind w:firstLine="560"/>
              <w:jc w:val="center"/>
              <w:rPr>
                <w:rFonts w:hint="eastAsia" w:ascii="宋体" w:hAnsi="宋体" w:eastAsia="宋体" w:cs="宋体"/>
                <w:caps/>
                <w:color w:val="auto"/>
                <w:sz w:val="24"/>
                <w:szCs w:val="24"/>
                <w:highlight w:val="none"/>
              </w:rPr>
            </w:pPr>
          </w:p>
        </w:tc>
        <w:tc>
          <w:tcPr>
            <w:tcW w:w="745" w:type="dxa"/>
            <w:vAlign w:val="center"/>
          </w:tcPr>
          <w:p w14:paraId="47F0CE19">
            <w:pPr>
              <w:ind w:firstLine="560"/>
              <w:jc w:val="center"/>
              <w:rPr>
                <w:rFonts w:hint="eastAsia" w:ascii="宋体" w:hAnsi="宋体" w:eastAsia="宋体" w:cs="宋体"/>
                <w:caps/>
                <w:color w:val="auto"/>
                <w:sz w:val="24"/>
                <w:szCs w:val="24"/>
                <w:highlight w:val="none"/>
              </w:rPr>
            </w:pPr>
          </w:p>
        </w:tc>
        <w:tc>
          <w:tcPr>
            <w:tcW w:w="894" w:type="dxa"/>
            <w:vAlign w:val="center"/>
          </w:tcPr>
          <w:p w14:paraId="0B75DF7A">
            <w:pPr>
              <w:ind w:firstLine="560"/>
              <w:jc w:val="center"/>
              <w:rPr>
                <w:rFonts w:hint="eastAsia" w:ascii="宋体" w:hAnsi="宋体" w:eastAsia="宋体" w:cs="宋体"/>
                <w:caps/>
                <w:color w:val="auto"/>
                <w:sz w:val="24"/>
                <w:szCs w:val="24"/>
                <w:highlight w:val="none"/>
              </w:rPr>
            </w:pPr>
          </w:p>
        </w:tc>
        <w:tc>
          <w:tcPr>
            <w:tcW w:w="743" w:type="dxa"/>
            <w:vAlign w:val="center"/>
          </w:tcPr>
          <w:p w14:paraId="4BAF6DC5">
            <w:pPr>
              <w:ind w:firstLine="560"/>
              <w:jc w:val="center"/>
              <w:rPr>
                <w:rFonts w:hint="eastAsia" w:ascii="宋体" w:hAnsi="宋体" w:eastAsia="宋体" w:cs="宋体"/>
                <w:caps/>
                <w:color w:val="auto"/>
                <w:sz w:val="24"/>
                <w:szCs w:val="24"/>
                <w:highlight w:val="none"/>
              </w:rPr>
            </w:pPr>
          </w:p>
        </w:tc>
        <w:tc>
          <w:tcPr>
            <w:tcW w:w="1340" w:type="dxa"/>
            <w:vAlign w:val="center"/>
          </w:tcPr>
          <w:p w14:paraId="495960CB">
            <w:pPr>
              <w:ind w:firstLine="560"/>
              <w:jc w:val="center"/>
              <w:rPr>
                <w:rFonts w:hint="eastAsia" w:ascii="宋体" w:hAnsi="宋体" w:eastAsia="宋体" w:cs="宋体"/>
                <w:caps/>
                <w:color w:val="auto"/>
                <w:sz w:val="24"/>
                <w:szCs w:val="24"/>
                <w:highlight w:val="none"/>
              </w:rPr>
            </w:pPr>
          </w:p>
        </w:tc>
        <w:tc>
          <w:tcPr>
            <w:tcW w:w="894" w:type="dxa"/>
            <w:vAlign w:val="center"/>
          </w:tcPr>
          <w:p w14:paraId="20B29BDF">
            <w:pPr>
              <w:ind w:firstLine="560"/>
              <w:jc w:val="center"/>
              <w:rPr>
                <w:rFonts w:hint="eastAsia" w:ascii="宋体" w:hAnsi="宋体" w:eastAsia="宋体" w:cs="宋体"/>
                <w:caps/>
                <w:color w:val="auto"/>
                <w:sz w:val="24"/>
                <w:szCs w:val="24"/>
                <w:highlight w:val="none"/>
              </w:rPr>
            </w:pPr>
          </w:p>
        </w:tc>
        <w:tc>
          <w:tcPr>
            <w:tcW w:w="1043" w:type="dxa"/>
            <w:vAlign w:val="center"/>
          </w:tcPr>
          <w:p w14:paraId="74EA5086">
            <w:pPr>
              <w:ind w:firstLine="560"/>
              <w:jc w:val="center"/>
              <w:rPr>
                <w:rFonts w:hint="eastAsia" w:ascii="宋体" w:hAnsi="宋体" w:eastAsia="宋体" w:cs="宋体"/>
                <w:caps/>
                <w:color w:val="auto"/>
                <w:sz w:val="24"/>
                <w:szCs w:val="24"/>
                <w:highlight w:val="none"/>
              </w:rPr>
            </w:pPr>
          </w:p>
        </w:tc>
        <w:tc>
          <w:tcPr>
            <w:tcW w:w="1191" w:type="dxa"/>
            <w:vAlign w:val="center"/>
          </w:tcPr>
          <w:p w14:paraId="509B462C">
            <w:pPr>
              <w:ind w:firstLine="560"/>
              <w:jc w:val="center"/>
              <w:rPr>
                <w:rFonts w:hint="eastAsia" w:ascii="宋体" w:hAnsi="宋体" w:eastAsia="宋体" w:cs="宋体"/>
                <w:caps/>
                <w:color w:val="auto"/>
                <w:sz w:val="24"/>
                <w:szCs w:val="24"/>
                <w:highlight w:val="none"/>
              </w:rPr>
            </w:pPr>
          </w:p>
        </w:tc>
      </w:tr>
      <w:tr w14:paraId="49730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vAlign w:val="center"/>
          </w:tcPr>
          <w:p w14:paraId="49FBBE37">
            <w:pPr>
              <w:ind w:left="5250" w:firstLine="560"/>
              <w:jc w:val="center"/>
              <w:rPr>
                <w:rFonts w:hint="eastAsia" w:ascii="宋体" w:hAnsi="宋体" w:eastAsia="宋体" w:cs="宋体"/>
                <w:caps/>
                <w:color w:val="auto"/>
                <w:sz w:val="24"/>
                <w:szCs w:val="24"/>
                <w:highlight w:val="none"/>
              </w:rPr>
            </w:pPr>
          </w:p>
        </w:tc>
        <w:tc>
          <w:tcPr>
            <w:tcW w:w="1488" w:type="dxa"/>
            <w:vAlign w:val="center"/>
          </w:tcPr>
          <w:p w14:paraId="144F5D56">
            <w:pPr>
              <w:ind w:firstLine="560"/>
              <w:jc w:val="center"/>
              <w:rPr>
                <w:rFonts w:hint="eastAsia" w:ascii="宋体" w:hAnsi="宋体" w:eastAsia="宋体" w:cs="宋体"/>
                <w:caps/>
                <w:color w:val="auto"/>
                <w:sz w:val="24"/>
                <w:szCs w:val="24"/>
                <w:highlight w:val="none"/>
              </w:rPr>
            </w:pPr>
          </w:p>
        </w:tc>
        <w:tc>
          <w:tcPr>
            <w:tcW w:w="743" w:type="dxa"/>
            <w:vAlign w:val="center"/>
          </w:tcPr>
          <w:p w14:paraId="102498E4">
            <w:pPr>
              <w:ind w:firstLine="560"/>
              <w:jc w:val="center"/>
              <w:rPr>
                <w:rFonts w:hint="eastAsia" w:ascii="宋体" w:hAnsi="宋体" w:eastAsia="宋体" w:cs="宋体"/>
                <w:caps/>
                <w:color w:val="auto"/>
                <w:sz w:val="24"/>
                <w:szCs w:val="24"/>
                <w:highlight w:val="none"/>
              </w:rPr>
            </w:pPr>
          </w:p>
        </w:tc>
        <w:tc>
          <w:tcPr>
            <w:tcW w:w="745" w:type="dxa"/>
            <w:vAlign w:val="center"/>
          </w:tcPr>
          <w:p w14:paraId="5690B47F">
            <w:pPr>
              <w:ind w:firstLine="560"/>
              <w:jc w:val="center"/>
              <w:rPr>
                <w:rFonts w:hint="eastAsia" w:ascii="宋体" w:hAnsi="宋体" w:eastAsia="宋体" w:cs="宋体"/>
                <w:caps/>
                <w:color w:val="auto"/>
                <w:sz w:val="24"/>
                <w:szCs w:val="24"/>
                <w:highlight w:val="none"/>
              </w:rPr>
            </w:pPr>
          </w:p>
        </w:tc>
        <w:tc>
          <w:tcPr>
            <w:tcW w:w="894" w:type="dxa"/>
            <w:vAlign w:val="center"/>
          </w:tcPr>
          <w:p w14:paraId="5FA22E5A">
            <w:pPr>
              <w:ind w:firstLine="560"/>
              <w:jc w:val="center"/>
              <w:rPr>
                <w:rFonts w:hint="eastAsia" w:ascii="宋体" w:hAnsi="宋体" w:eastAsia="宋体" w:cs="宋体"/>
                <w:caps/>
                <w:color w:val="auto"/>
                <w:sz w:val="24"/>
                <w:szCs w:val="24"/>
                <w:highlight w:val="none"/>
              </w:rPr>
            </w:pPr>
          </w:p>
        </w:tc>
        <w:tc>
          <w:tcPr>
            <w:tcW w:w="743" w:type="dxa"/>
            <w:vAlign w:val="center"/>
          </w:tcPr>
          <w:p w14:paraId="208C6C8C">
            <w:pPr>
              <w:ind w:firstLine="560"/>
              <w:jc w:val="center"/>
              <w:rPr>
                <w:rFonts w:hint="eastAsia" w:ascii="宋体" w:hAnsi="宋体" w:eastAsia="宋体" w:cs="宋体"/>
                <w:caps/>
                <w:color w:val="auto"/>
                <w:sz w:val="24"/>
                <w:szCs w:val="24"/>
                <w:highlight w:val="none"/>
              </w:rPr>
            </w:pPr>
          </w:p>
        </w:tc>
        <w:tc>
          <w:tcPr>
            <w:tcW w:w="1340" w:type="dxa"/>
            <w:vAlign w:val="center"/>
          </w:tcPr>
          <w:p w14:paraId="28070F83">
            <w:pPr>
              <w:ind w:firstLine="560"/>
              <w:jc w:val="center"/>
              <w:rPr>
                <w:rFonts w:hint="eastAsia" w:ascii="宋体" w:hAnsi="宋体" w:eastAsia="宋体" w:cs="宋体"/>
                <w:caps/>
                <w:color w:val="auto"/>
                <w:sz w:val="24"/>
                <w:szCs w:val="24"/>
                <w:highlight w:val="none"/>
              </w:rPr>
            </w:pPr>
          </w:p>
        </w:tc>
        <w:tc>
          <w:tcPr>
            <w:tcW w:w="894" w:type="dxa"/>
            <w:vAlign w:val="center"/>
          </w:tcPr>
          <w:p w14:paraId="3F4B1989">
            <w:pPr>
              <w:ind w:firstLine="560"/>
              <w:jc w:val="center"/>
              <w:rPr>
                <w:rFonts w:hint="eastAsia" w:ascii="宋体" w:hAnsi="宋体" w:eastAsia="宋体" w:cs="宋体"/>
                <w:caps/>
                <w:color w:val="auto"/>
                <w:sz w:val="24"/>
                <w:szCs w:val="24"/>
                <w:highlight w:val="none"/>
              </w:rPr>
            </w:pPr>
          </w:p>
        </w:tc>
        <w:tc>
          <w:tcPr>
            <w:tcW w:w="1043" w:type="dxa"/>
            <w:vAlign w:val="center"/>
          </w:tcPr>
          <w:p w14:paraId="3E40A3F7">
            <w:pPr>
              <w:ind w:firstLine="560"/>
              <w:jc w:val="center"/>
              <w:rPr>
                <w:rFonts w:hint="eastAsia" w:ascii="宋体" w:hAnsi="宋体" w:eastAsia="宋体" w:cs="宋体"/>
                <w:caps/>
                <w:color w:val="auto"/>
                <w:sz w:val="24"/>
                <w:szCs w:val="24"/>
                <w:highlight w:val="none"/>
              </w:rPr>
            </w:pPr>
          </w:p>
        </w:tc>
        <w:tc>
          <w:tcPr>
            <w:tcW w:w="1191" w:type="dxa"/>
            <w:vAlign w:val="center"/>
          </w:tcPr>
          <w:p w14:paraId="07BBB4BE">
            <w:pPr>
              <w:ind w:firstLine="560"/>
              <w:jc w:val="center"/>
              <w:rPr>
                <w:rFonts w:hint="eastAsia" w:ascii="宋体" w:hAnsi="宋体" w:eastAsia="宋体" w:cs="宋体"/>
                <w:caps/>
                <w:color w:val="auto"/>
                <w:sz w:val="24"/>
                <w:szCs w:val="24"/>
                <w:highlight w:val="none"/>
              </w:rPr>
            </w:pPr>
          </w:p>
        </w:tc>
      </w:tr>
    </w:tbl>
    <w:p w14:paraId="2EA87538">
      <w:pPr>
        <w:rPr>
          <w:rFonts w:hint="eastAsia" w:ascii="宋体" w:hAnsi="宋体" w:eastAsia="宋体" w:cs="宋体"/>
          <w:b/>
          <w:caps/>
          <w:color w:val="auto"/>
          <w:sz w:val="24"/>
          <w:szCs w:val="24"/>
          <w:highlight w:val="none"/>
        </w:rPr>
      </w:pPr>
    </w:p>
    <w:p w14:paraId="5DAEE21F">
      <w:pPr>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附表二：拟配备本项目的试验和检测仪器设备表</w:t>
      </w:r>
    </w:p>
    <w:tbl>
      <w:tblPr>
        <w:tblStyle w:val="61"/>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764"/>
        <w:gridCol w:w="789"/>
        <w:gridCol w:w="828"/>
        <w:gridCol w:w="978"/>
        <w:gridCol w:w="1122"/>
        <w:gridCol w:w="978"/>
        <w:gridCol w:w="1628"/>
        <w:gridCol w:w="980"/>
      </w:tblGrid>
      <w:tr w14:paraId="3D080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95" w:type="dxa"/>
            <w:vAlign w:val="center"/>
          </w:tcPr>
          <w:p w14:paraId="24274914">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64" w:type="dxa"/>
            <w:vAlign w:val="center"/>
          </w:tcPr>
          <w:p w14:paraId="35A9E0A6">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仪器设备名称</w:t>
            </w:r>
          </w:p>
        </w:tc>
        <w:tc>
          <w:tcPr>
            <w:tcW w:w="789" w:type="dxa"/>
            <w:vAlign w:val="center"/>
          </w:tcPr>
          <w:p w14:paraId="40FCF471">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型号规格</w:t>
            </w:r>
          </w:p>
        </w:tc>
        <w:tc>
          <w:tcPr>
            <w:tcW w:w="828" w:type="dxa"/>
            <w:vAlign w:val="center"/>
          </w:tcPr>
          <w:p w14:paraId="0148BE58">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978" w:type="dxa"/>
            <w:vAlign w:val="center"/>
          </w:tcPr>
          <w:p w14:paraId="3FF0AD72">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国别</w:t>
            </w:r>
          </w:p>
          <w:p w14:paraId="764D2E35">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1122" w:type="dxa"/>
            <w:vAlign w:val="center"/>
          </w:tcPr>
          <w:p w14:paraId="4F66E65F">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w:t>
            </w:r>
          </w:p>
          <w:p w14:paraId="20CE2F37">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年份</w:t>
            </w:r>
          </w:p>
        </w:tc>
        <w:tc>
          <w:tcPr>
            <w:tcW w:w="978" w:type="dxa"/>
            <w:vAlign w:val="center"/>
          </w:tcPr>
          <w:p w14:paraId="7ED59605">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已使用台时数</w:t>
            </w:r>
          </w:p>
        </w:tc>
        <w:tc>
          <w:tcPr>
            <w:tcW w:w="1628" w:type="dxa"/>
            <w:vAlign w:val="center"/>
          </w:tcPr>
          <w:p w14:paraId="5681C9B1">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用途</w:t>
            </w:r>
          </w:p>
        </w:tc>
        <w:tc>
          <w:tcPr>
            <w:tcW w:w="980" w:type="dxa"/>
            <w:vAlign w:val="center"/>
          </w:tcPr>
          <w:p w14:paraId="668C779C">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6F4C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54E76BD7">
            <w:pPr>
              <w:ind w:left="5250" w:firstLine="560"/>
              <w:jc w:val="center"/>
              <w:rPr>
                <w:rFonts w:hint="eastAsia" w:ascii="宋体" w:hAnsi="宋体" w:eastAsia="宋体" w:cs="宋体"/>
                <w:caps/>
                <w:color w:val="auto"/>
                <w:sz w:val="24"/>
                <w:szCs w:val="24"/>
                <w:highlight w:val="none"/>
              </w:rPr>
            </w:pPr>
          </w:p>
        </w:tc>
        <w:tc>
          <w:tcPr>
            <w:tcW w:w="1764" w:type="dxa"/>
            <w:vAlign w:val="center"/>
          </w:tcPr>
          <w:p w14:paraId="7AFDC4C4">
            <w:pPr>
              <w:ind w:firstLine="560"/>
              <w:jc w:val="center"/>
              <w:rPr>
                <w:rFonts w:hint="eastAsia" w:ascii="宋体" w:hAnsi="宋体" w:eastAsia="宋体" w:cs="宋体"/>
                <w:caps/>
                <w:color w:val="auto"/>
                <w:sz w:val="24"/>
                <w:szCs w:val="24"/>
                <w:highlight w:val="none"/>
              </w:rPr>
            </w:pPr>
          </w:p>
        </w:tc>
        <w:tc>
          <w:tcPr>
            <w:tcW w:w="789" w:type="dxa"/>
            <w:vAlign w:val="center"/>
          </w:tcPr>
          <w:p w14:paraId="46AFC992">
            <w:pPr>
              <w:ind w:firstLine="560"/>
              <w:jc w:val="center"/>
              <w:rPr>
                <w:rFonts w:hint="eastAsia" w:ascii="宋体" w:hAnsi="宋体" w:eastAsia="宋体" w:cs="宋体"/>
                <w:caps/>
                <w:color w:val="auto"/>
                <w:sz w:val="24"/>
                <w:szCs w:val="24"/>
                <w:highlight w:val="none"/>
              </w:rPr>
            </w:pPr>
          </w:p>
        </w:tc>
        <w:tc>
          <w:tcPr>
            <w:tcW w:w="828" w:type="dxa"/>
            <w:vAlign w:val="center"/>
          </w:tcPr>
          <w:p w14:paraId="49C2565B">
            <w:pPr>
              <w:ind w:firstLine="560"/>
              <w:jc w:val="center"/>
              <w:rPr>
                <w:rFonts w:hint="eastAsia" w:ascii="宋体" w:hAnsi="宋体" w:eastAsia="宋体" w:cs="宋体"/>
                <w:caps/>
                <w:color w:val="auto"/>
                <w:sz w:val="24"/>
                <w:szCs w:val="24"/>
                <w:highlight w:val="none"/>
              </w:rPr>
            </w:pPr>
          </w:p>
        </w:tc>
        <w:tc>
          <w:tcPr>
            <w:tcW w:w="978" w:type="dxa"/>
            <w:vAlign w:val="center"/>
          </w:tcPr>
          <w:p w14:paraId="56854BCF">
            <w:pPr>
              <w:ind w:firstLine="560"/>
              <w:jc w:val="center"/>
              <w:rPr>
                <w:rFonts w:hint="eastAsia" w:ascii="宋体" w:hAnsi="宋体" w:eastAsia="宋体" w:cs="宋体"/>
                <w:caps/>
                <w:color w:val="auto"/>
                <w:sz w:val="24"/>
                <w:szCs w:val="24"/>
                <w:highlight w:val="none"/>
              </w:rPr>
            </w:pPr>
          </w:p>
        </w:tc>
        <w:tc>
          <w:tcPr>
            <w:tcW w:w="1122" w:type="dxa"/>
            <w:vAlign w:val="center"/>
          </w:tcPr>
          <w:p w14:paraId="5D25A524">
            <w:pPr>
              <w:ind w:firstLine="560"/>
              <w:jc w:val="center"/>
              <w:rPr>
                <w:rFonts w:hint="eastAsia" w:ascii="宋体" w:hAnsi="宋体" w:eastAsia="宋体" w:cs="宋体"/>
                <w:caps/>
                <w:color w:val="auto"/>
                <w:sz w:val="24"/>
                <w:szCs w:val="24"/>
                <w:highlight w:val="none"/>
              </w:rPr>
            </w:pPr>
          </w:p>
        </w:tc>
        <w:tc>
          <w:tcPr>
            <w:tcW w:w="978" w:type="dxa"/>
            <w:vAlign w:val="center"/>
          </w:tcPr>
          <w:p w14:paraId="585AF973">
            <w:pPr>
              <w:ind w:firstLine="560"/>
              <w:jc w:val="center"/>
              <w:rPr>
                <w:rFonts w:hint="eastAsia" w:ascii="宋体" w:hAnsi="宋体" w:eastAsia="宋体" w:cs="宋体"/>
                <w:caps/>
                <w:color w:val="auto"/>
                <w:sz w:val="24"/>
                <w:szCs w:val="24"/>
                <w:highlight w:val="none"/>
              </w:rPr>
            </w:pPr>
          </w:p>
        </w:tc>
        <w:tc>
          <w:tcPr>
            <w:tcW w:w="1628" w:type="dxa"/>
            <w:vAlign w:val="center"/>
          </w:tcPr>
          <w:p w14:paraId="0FD87227">
            <w:pPr>
              <w:ind w:firstLine="560"/>
              <w:jc w:val="center"/>
              <w:rPr>
                <w:rFonts w:hint="eastAsia" w:ascii="宋体" w:hAnsi="宋体" w:eastAsia="宋体" w:cs="宋体"/>
                <w:caps/>
                <w:color w:val="auto"/>
                <w:sz w:val="24"/>
                <w:szCs w:val="24"/>
                <w:highlight w:val="none"/>
              </w:rPr>
            </w:pPr>
          </w:p>
        </w:tc>
        <w:tc>
          <w:tcPr>
            <w:tcW w:w="980" w:type="dxa"/>
            <w:vAlign w:val="center"/>
          </w:tcPr>
          <w:p w14:paraId="45DC4818">
            <w:pPr>
              <w:ind w:firstLine="560"/>
              <w:jc w:val="center"/>
              <w:rPr>
                <w:rFonts w:hint="eastAsia" w:ascii="宋体" w:hAnsi="宋体" w:eastAsia="宋体" w:cs="宋体"/>
                <w:caps/>
                <w:color w:val="auto"/>
                <w:sz w:val="24"/>
                <w:szCs w:val="24"/>
                <w:highlight w:val="none"/>
              </w:rPr>
            </w:pPr>
          </w:p>
        </w:tc>
      </w:tr>
      <w:tr w14:paraId="59D34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310A244D">
            <w:pPr>
              <w:ind w:left="5250" w:firstLine="560"/>
              <w:jc w:val="center"/>
              <w:rPr>
                <w:rFonts w:hint="eastAsia" w:ascii="宋体" w:hAnsi="宋体" w:eastAsia="宋体" w:cs="宋体"/>
                <w:caps/>
                <w:color w:val="auto"/>
                <w:sz w:val="24"/>
                <w:szCs w:val="24"/>
                <w:highlight w:val="none"/>
              </w:rPr>
            </w:pPr>
          </w:p>
        </w:tc>
        <w:tc>
          <w:tcPr>
            <w:tcW w:w="1764" w:type="dxa"/>
            <w:vAlign w:val="center"/>
          </w:tcPr>
          <w:p w14:paraId="5421A6D1">
            <w:pPr>
              <w:ind w:firstLine="560"/>
              <w:jc w:val="center"/>
              <w:rPr>
                <w:rFonts w:hint="eastAsia" w:ascii="宋体" w:hAnsi="宋体" w:eastAsia="宋体" w:cs="宋体"/>
                <w:caps/>
                <w:color w:val="auto"/>
                <w:sz w:val="24"/>
                <w:szCs w:val="24"/>
                <w:highlight w:val="none"/>
              </w:rPr>
            </w:pPr>
          </w:p>
        </w:tc>
        <w:tc>
          <w:tcPr>
            <w:tcW w:w="789" w:type="dxa"/>
            <w:vAlign w:val="center"/>
          </w:tcPr>
          <w:p w14:paraId="4D018984">
            <w:pPr>
              <w:ind w:firstLine="560"/>
              <w:jc w:val="center"/>
              <w:rPr>
                <w:rFonts w:hint="eastAsia" w:ascii="宋体" w:hAnsi="宋体" w:eastAsia="宋体" w:cs="宋体"/>
                <w:caps/>
                <w:color w:val="auto"/>
                <w:sz w:val="24"/>
                <w:szCs w:val="24"/>
                <w:highlight w:val="none"/>
              </w:rPr>
            </w:pPr>
          </w:p>
        </w:tc>
        <w:tc>
          <w:tcPr>
            <w:tcW w:w="828" w:type="dxa"/>
            <w:vAlign w:val="center"/>
          </w:tcPr>
          <w:p w14:paraId="05F3CD93">
            <w:pPr>
              <w:ind w:firstLine="560"/>
              <w:jc w:val="center"/>
              <w:rPr>
                <w:rFonts w:hint="eastAsia" w:ascii="宋体" w:hAnsi="宋体" w:eastAsia="宋体" w:cs="宋体"/>
                <w:caps/>
                <w:color w:val="auto"/>
                <w:sz w:val="24"/>
                <w:szCs w:val="24"/>
                <w:highlight w:val="none"/>
              </w:rPr>
            </w:pPr>
          </w:p>
        </w:tc>
        <w:tc>
          <w:tcPr>
            <w:tcW w:w="978" w:type="dxa"/>
            <w:vAlign w:val="center"/>
          </w:tcPr>
          <w:p w14:paraId="3874C61C">
            <w:pPr>
              <w:ind w:firstLine="560"/>
              <w:jc w:val="center"/>
              <w:rPr>
                <w:rFonts w:hint="eastAsia" w:ascii="宋体" w:hAnsi="宋体" w:eastAsia="宋体" w:cs="宋体"/>
                <w:caps/>
                <w:color w:val="auto"/>
                <w:sz w:val="24"/>
                <w:szCs w:val="24"/>
                <w:highlight w:val="none"/>
              </w:rPr>
            </w:pPr>
          </w:p>
        </w:tc>
        <w:tc>
          <w:tcPr>
            <w:tcW w:w="1122" w:type="dxa"/>
            <w:vAlign w:val="center"/>
          </w:tcPr>
          <w:p w14:paraId="52A1701F">
            <w:pPr>
              <w:ind w:firstLine="560"/>
              <w:jc w:val="center"/>
              <w:rPr>
                <w:rFonts w:hint="eastAsia" w:ascii="宋体" w:hAnsi="宋体" w:eastAsia="宋体" w:cs="宋体"/>
                <w:caps/>
                <w:color w:val="auto"/>
                <w:sz w:val="24"/>
                <w:szCs w:val="24"/>
                <w:highlight w:val="none"/>
              </w:rPr>
            </w:pPr>
          </w:p>
        </w:tc>
        <w:tc>
          <w:tcPr>
            <w:tcW w:w="978" w:type="dxa"/>
            <w:vAlign w:val="center"/>
          </w:tcPr>
          <w:p w14:paraId="157924FF">
            <w:pPr>
              <w:ind w:firstLine="560"/>
              <w:jc w:val="center"/>
              <w:rPr>
                <w:rFonts w:hint="eastAsia" w:ascii="宋体" w:hAnsi="宋体" w:eastAsia="宋体" w:cs="宋体"/>
                <w:caps/>
                <w:color w:val="auto"/>
                <w:sz w:val="24"/>
                <w:szCs w:val="24"/>
                <w:highlight w:val="none"/>
              </w:rPr>
            </w:pPr>
          </w:p>
        </w:tc>
        <w:tc>
          <w:tcPr>
            <w:tcW w:w="1628" w:type="dxa"/>
            <w:vAlign w:val="center"/>
          </w:tcPr>
          <w:p w14:paraId="4175E52C">
            <w:pPr>
              <w:ind w:firstLine="560"/>
              <w:jc w:val="center"/>
              <w:rPr>
                <w:rFonts w:hint="eastAsia" w:ascii="宋体" w:hAnsi="宋体" w:eastAsia="宋体" w:cs="宋体"/>
                <w:caps/>
                <w:color w:val="auto"/>
                <w:sz w:val="24"/>
                <w:szCs w:val="24"/>
                <w:highlight w:val="none"/>
              </w:rPr>
            </w:pPr>
          </w:p>
        </w:tc>
        <w:tc>
          <w:tcPr>
            <w:tcW w:w="980" w:type="dxa"/>
            <w:vAlign w:val="center"/>
          </w:tcPr>
          <w:p w14:paraId="6CE4CC2F">
            <w:pPr>
              <w:ind w:firstLine="560"/>
              <w:jc w:val="center"/>
              <w:rPr>
                <w:rFonts w:hint="eastAsia" w:ascii="宋体" w:hAnsi="宋体" w:eastAsia="宋体" w:cs="宋体"/>
                <w:caps/>
                <w:color w:val="auto"/>
                <w:sz w:val="24"/>
                <w:szCs w:val="24"/>
                <w:highlight w:val="none"/>
              </w:rPr>
            </w:pPr>
          </w:p>
        </w:tc>
      </w:tr>
      <w:tr w14:paraId="5AD70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vAlign w:val="center"/>
          </w:tcPr>
          <w:p w14:paraId="2E2F3013">
            <w:pPr>
              <w:ind w:left="5250" w:firstLine="560"/>
              <w:jc w:val="center"/>
              <w:rPr>
                <w:rFonts w:hint="eastAsia" w:ascii="宋体" w:hAnsi="宋体" w:eastAsia="宋体" w:cs="宋体"/>
                <w:caps/>
                <w:color w:val="auto"/>
                <w:sz w:val="24"/>
                <w:szCs w:val="24"/>
                <w:highlight w:val="none"/>
              </w:rPr>
            </w:pPr>
          </w:p>
        </w:tc>
        <w:tc>
          <w:tcPr>
            <w:tcW w:w="1764" w:type="dxa"/>
            <w:vAlign w:val="center"/>
          </w:tcPr>
          <w:p w14:paraId="4017F199">
            <w:pPr>
              <w:ind w:firstLine="560"/>
              <w:jc w:val="center"/>
              <w:rPr>
                <w:rFonts w:hint="eastAsia" w:ascii="宋体" w:hAnsi="宋体" w:eastAsia="宋体" w:cs="宋体"/>
                <w:caps/>
                <w:color w:val="auto"/>
                <w:sz w:val="24"/>
                <w:szCs w:val="24"/>
                <w:highlight w:val="none"/>
              </w:rPr>
            </w:pPr>
          </w:p>
        </w:tc>
        <w:tc>
          <w:tcPr>
            <w:tcW w:w="789" w:type="dxa"/>
            <w:vAlign w:val="center"/>
          </w:tcPr>
          <w:p w14:paraId="267931CF">
            <w:pPr>
              <w:ind w:firstLine="560"/>
              <w:jc w:val="center"/>
              <w:rPr>
                <w:rFonts w:hint="eastAsia" w:ascii="宋体" w:hAnsi="宋体" w:eastAsia="宋体" w:cs="宋体"/>
                <w:caps/>
                <w:color w:val="auto"/>
                <w:sz w:val="24"/>
                <w:szCs w:val="24"/>
                <w:highlight w:val="none"/>
              </w:rPr>
            </w:pPr>
          </w:p>
        </w:tc>
        <w:tc>
          <w:tcPr>
            <w:tcW w:w="828" w:type="dxa"/>
            <w:vAlign w:val="center"/>
          </w:tcPr>
          <w:p w14:paraId="68CBF2A7">
            <w:pPr>
              <w:ind w:firstLine="560"/>
              <w:jc w:val="center"/>
              <w:rPr>
                <w:rFonts w:hint="eastAsia" w:ascii="宋体" w:hAnsi="宋体" w:eastAsia="宋体" w:cs="宋体"/>
                <w:caps/>
                <w:color w:val="auto"/>
                <w:sz w:val="24"/>
                <w:szCs w:val="24"/>
                <w:highlight w:val="none"/>
              </w:rPr>
            </w:pPr>
          </w:p>
        </w:tc>
        <w:tc>
          <w:tcPr>
            <w:tcW w:w="978" w:type="dxa"/>
            <w:vAlign w:val="center"/>
          </w:tcPr>
          <w:p w14:paraId="0908BB67">
            <w:pPr>
              <w:ind w:firstLine="560"/>
              <w:jc w:val="center"/>
              <w:rPr>
                <w:rFonts w:hint="eastAsia" w:ascii="宋体" w:hAnsi="宋体" w:eastAsia="宋体" w:cs="宋体"/>
                <w:caps/>
                <w:color w:val="auto"/>
                <w:sz w:val="24"/>
                <w:szCs w:val="24"/>
                <w:highlight w:val="none"/>
              </w:rPr>
            </w:pPr>
          </w:p>
        </w:tc>
        <w:tc>
          <w:tcPr>
            <w:tcW w:w="1122" w:type="dxa"/>
            <w:vAlign w:val="center"/>
          </w:tcPr>
          <w:p w14:paraId="2E574312">
            <w:pPr>
              <w:ind w:firstLine="560"/>
              <w:jc w:val="center"/>
              <w:rPr>
                <w:rFonts w:hint="eastAsia" w:ascii="宋体" w:hAnsi="宋体" w:eastAsia="宋体" w:cs="宋体"/>
                <w:caps/>
                <w:color w:val="auto"/>
                <w:sz w:val="24"/>
                <w:szCs w:val="24"/>
                <w:highlight w:val="none"/>
              </w:rPr>
            </w:pPr>
          </w:p>
        </w:tc>
        <w:tc>
          <w:tcPr>
            <w:tcW w:w="978" w:type="dxa"/>
            <w:vAlign w:val="center"/>
          </w:tcPr>
          <w:p w14:paraId="35B37110">
            <w:pPr>
              <w:ind w:firstLine="560"/>
              <w:jc w:val="center"/>
              <w:rPr>
                <w:rFonts w:hint="eastAsia" w:ascii="宋体" w:hAnsi="宋体" w:eastAsia="宋体" w:cs="宋体"/>
                <w:caps/>
                <w:color w:val="auto"/>
                <w:sz w:val="24"/>
                <w:szCs w:val="24"/>
                <w:highlight w:val="none"/>
              </w:rPr>
            </w:pPr>
          </w:p>
        </w:tc>
        <w:tc>
          <w:tcPr>
            <w:tcW w:w="1628" w:type="dxa"/>
            <w:vAlign w:val="center"/>
          </w:tcPr>
          <w:p w14:paraId="62B952B1">
            <w:pPr>
              <w:ind w:firstLine="560"/>
              <w:jc w:val="center"/>
              <w:rPr>
                <w:rFonts w:hint="eastAsia" w:ascii="宋体" w:hAnsi="宋体" w:eastAsia="宋体" w:cs="宋体"/>
                <w:caps/>
                <w:color w:val="auto"/>
                <w:sz w:val="24"/>
                <w:szCs w:val="24"/>
                <w:highlight w:val="none"/>
              </w:rPr>
            </w:pPr>
          </w:p>
        </w:tc>
        <w:tc>
          <w:tcPr>
            <w:tcW w:w="980" w:type="dxa"/>
            <w:vAlign w:val="center"/>
          </w:tcPr>
          <w:p w14:paraId="7D5A8ADD">
            <w:pPr>
              <w:ind w:firstLine="560"/>
              <w:jc w:val="center"/>
              <w:rPr>
                <w:rFonts w:hint="eastAsia" w:ascii="宋体" w:hAnsi="宋体" w:eastAsia="宋体" w:cs="宋体"/>
                <w:caps/>
                <w:color w:val="auto"/>
                <w:sz w:val="24"/>
                <w:szCs w:val="24"/>
                <w:highlight w:val="none"/>
              </w:rPr>
            </w:pPr>
          </w:p>
        </w:tc>
      </w:tr>
    </w:tbl>
    <w:p w14:paraId="05FBEB9D">
      <w:pPr>
        <w:spacing w:line="320" w:lineRule="exact"/>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附表三：劳动力计划表</w:t>
      </w:r>
    </w:p>
    <w:p w14:paraId="09B4E0D3">
      <w:pPr>
        <w:spacing w:line="320" w:lineRule="exact"/>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                                                                                                                       单位：人</w:t>
      </w:r>
    </w:p>
    <w:tbl>
      <w:tblPr>
        <w:tblStyle w:val="61"/>
        <w:tblW w:w="9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1212"/>
        <w:gridCol w:w="1212"/>
        <w:gridCol w:w="1211"/>
        <w:gridCol w:w="1212"/>
        <w:gridCol w:w="1212"/>
        <w:gridCol w:w="1212"/>
        <w:gridCol w:w="1410"/>
      </w:tblGrid>
      <w:tr w14:paraId="24485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223" w:type="dxa"/>
            <w:vAlign w:val="center"/>
          </w:tcPr>
          <w:p w14:paraId="757C7515">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工种</w:t>
            </w:r>
          </w:p>
        </w:tc>
        <w:tc>
          <w:tcPr>
            <w:tcW w:w="8681" w:type="dxa"/>
            <w:gridSpan w:val="7"/>
            <w:vAlign w:val="center"/>
          </w:tcPr>
          <w:p w14:paraId="46F9676E">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按工程施工阶段投入劳动力情况</w:t>
            </w:r>
          </w:p>
        </w:tc>
      </w:tr>
      <w:tr w14:paraId="141E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791E7AD7">
            <w:pPr>
              <w:ind w:left="5250" w:firstLine="560"/>
              <w:jc w:val="center"/>
              <w:rPr>
                <w:rFonts w:hint="eastAsia" w:ascii="宋体" w:hAnsi="宋体" w:eastAsia="宋体" w:cs="宋体"/>
                <w:caps/>
                <w:color w:val="auto"/>
                <w:sz w:val="24"/>
                <w:szCs w:val="24"/>
                <w:highlight w:val="none"/>
              </w:rPr>
            </w:pPr>
          </w:p>
        </w:tc>
        <w:tc>
          <w:tcPr>
            <w:tcW w:w="1212" w:type="dxa"/>
            <w:vAlign w:val="center"/>
          </w:tcPr>
          <w:p w14:paraId="50CA9F24">
            <w:pPr>
              <w:ind w:firstLine="560"/>
              <w:jc w:val="center"/>
              <w:rPr>
                <w:rFonts w:hint="eastAsia" w:ascii="宋体" w:hAnsi="宋体" w:eastAsia="宋体" w:cs="宋体"/>
                <w:caps/>
                <w:color w:val="auto"/>
                <w:sz w:val="24"/>
                <w:szCs w:val="24"/>
                <w:highlight w:val="none"/>
              </w:rPr>
            </w:pPr>
          </w:p>
        </w:tc>
        <w:tc>
          <w:tcPr>
            <w:tcW w:w="1212" w:type="dxa"/>
            <w:vAlign w:val="center"/>
          </w:tcPr>
          <w:p w14:paraId="1A343760">
            <w:pPr>
              <w:ind w:firstLine="560"/>
              <w:jc w:val="center"/>
              <w:rPr>
                <w:rFonts w:hint="eastAsia" w:ascii="宋体" w:hAnsi="宋体" w:eastAsia="宋体" w:cs="宋体"/>
                <w:caps/>
                <w:color w:val="auto"/>
                <w:sz w:val="24"/>
                <w:szCs w:val="24"/>
                <w:highlight w:val="none"/>
              </w:rPr>
            </w:pPr>
          </w:p>
        </w:tc>
        <w:tc>
          <w:tcPr>
            <w:tcW w:w="1211" w:type="dxa"/>
            <w:vAlign w:val="center"/>
          </w:tcPr>
          <w:p w14:paraId="7B33ABDF">
            <w:pPr>
              <w:ind w:firstLine="560"/>
              <w:jc w:val="center"/>
              <w:rPr>
                <w:rFonts w:hint="eastAsia" w:ascii="宋体" w:hAnsi="宋体" w:eastAsia="宋体" w:cs="宋体"/>
                <w:caps/>
                <w:color w:val="auto"/>
                <w:sz w:val="24"/>
                <w:szCs w:val="24"/>
                <w:highlight w:val="none"/>
              </w:rPr>
            </w:pPr>
          </w:p>
        </w:tc>
        <w:tc>
          <w:tcPr>
            <w:tcW w:w="1212" w:type="dxa"/>
            <w:vAlign w:val="center"/>
          </w:tcPr>
          <w:p w14:paraId="2D4887D7">
            <w:pPr>
              <w:ind w:firstLine="560"/>
              <w:jc w:val="center"/>
              <w:rPr>
                <w:rFonts w:hint="eastAsia" w:ascii="宋体" w:hAnsi="宋体" w:eastAsia="宋体" w:cs="宋体"/>
                <w:caps/>
                <w:color w:val="auto"/>
                <w:sz w:val="24"/>
                <w:szCs w:val="24"/>
                <w:highlight w:val="none"/>
              </w:rPr>
            </w:pPr>
          </w:p>
        </w:tc>
        <w:tc>
          <w:tcPr>
            <w:tcW w:w="1212" w:type="dxa"/>
            <w:vAlign w:val="center"/>
          </w:tcPr>
          <w:p w14:paraId="6EFDB667">
            <w:pPr>
              <w:ind w:firstLine="560"/>
              <w:jc w:val="center"/>
              <w:rPr>
                <w:rFonts w:hint="eastAsia" w:ascii="宋体" w:hAnsi="宋体" w:eastAsia="宋体" w:cs="宋体"/>
                <w:caps/>
                <w:color w:val="auto"/>
                <w:sz w:val="24"/>
                <w:szCs w:val="24"/>
                <w:highlight w:val="none"/>
              </w:rPr>
            </w:pPr>
          </w:p>
        </w:tc>
        <w:tc>
          <w:tcPr>
            <w:tcW w:w="1212" w:type="dxa"/>
            <w:vAlign w:val="center"/>
          </w:tcPr>
          <w:p w14:paraId="310D0F34">
            <w:pPr>
              <w:ind w:firstLine="560"/>
              <w:jc w:val="center"/>
              <w:rPr>
                <w:rFonts w:hint="eastAsia" w:ascii="宋体" w:hAnsi="宋体" w:eastAsia="宋体" w:cs="宋体"/>
                <w:caps/>
                <w:color w:val="auto"/>
                <w:sz w:val="24"/>
                <w:szCs w:val="24"/>
                <w:highlight w:val="none"/>
              </w:rPr>
            </w:pPr>
          </w:p>
        </w:tc>
        <w:tc>
          <w:tcPr>
            <w:tcW w:w="1410" w:type="dxa"/>
            <w:vAlign w:val="center"/>
          </w:tcPr>
          <w:p w14:paraId="34F82C73">
            <w:pPr>
              <w:ind w:firstLine="560"/>
              <w:jc w:val="center"/>
              <w:rPr>
                <w:rFonts w:hint="eastAsia" w:ascii="宋体" w:hAnsi="宋体" w:eastAsia="宋体" w:cs="宋体"/>
                <w:caps/>
                <w:color w:val="auto"/>
                <w:sz w:val="24"/>
                <w:szCs w:val="24"/>
                <w:highlight w:val="none"/>
              </w:rPr>
            </w:pPr>
          </w:p>
        </w:tc>
      </w:tr>
      <w:tr w14:paraId="6EF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7D0E0129">
            <w:pPr>
              <w:ind w:left="5250" w:firstLine="560"/>
              <w:jc w:val="center"/>
              <w:rPr>
                <w:rFonts w:hint="eastAsia" w:ascii="宋体" w:hAnsi="宋体" w:eastAsia="宋体" w:cs="宋体"/>
                <w:caps/>
                <w:color w:val="auto"/>
                <w:sz w:val="24"/>
                <w:szCs w:val="24"/>
                <w:highlight w:val="none"/>
              </w:rPr>
            </w:pPr>
          </w:p>
        </w:tc>
        <w:tc>
          <w:tcPr>
            <w:tcW w:w="1212" w:type="dxa"/>
            <w:vAlign w:val="center"/>
          </w:tcPr>
          <w:p w14:paraId="0CDAB6B8">
            <w:pPr>
              <w:ind w:firstLine="560"/>
              <w:jc w:val="center"/>
              <w:rPr>
                <w:rFonts w:hint="eastAsia" w:ascii="宋体" w:hAnsi="宋体" w:eastAsia="宋体" w:cs="宋体"/>
                <w:caps/>
                <w:color w:val="auto"/>
                <w:sz w:val="24"/>
                <w:szCs w:val="24"/>
                <w:highlight w:val="none"/>
              </w:rPr>
            </w:pPr>
          </w:p>
        </w:tc>
        <w:tc>
          <w:tcPr>
            <w:tcW w:w="1212" w:type="dxa"/>
            <w:vAlign w:val="center"/>
          </w:tcPr>
          <w:p w14:paraId="36E11448">
            <w:pPr>
              <w:ind w:firstLine="560"/>
              <w:jc w:val="center"/>
              <w:rPr>
                <w:rFonts w:hint="eastAsia" w:ascii="宋体" w:hAnsi="宋体" w:eastAsia="宋体" w:cs="宋体"/>
                <w:caps/>
                <w:color w:val="auto"/>
                <w:sz w:val="24"/>
                <w:szCs w:val="24"/>
                <w:highlight w:val="none"/>
              </w:rPr>
            </w:pPr>
          </w:p>
        </w:tc>
        <w:tc>
          <w:tcPr>
            <w:tcW w:w="1211" w:type="dxa"/>
            <w:vAlign w:val="center"/>
          </w:tcPr>
          <w:p w14:paraId="34F48A0B">
            <w:pPr>
              <w:ind w:firstLine="560"/>
              <w:jc w:val="center"/>
              <w:rPr>
                <w:rFonts w:hint="eastAsia" w:ascii="宋体" w:hAnsi="宋体" w:eastAsia="宋体" w:cs="宋体"/>
                <w:caps/>
                <w:color w:val="auto"/>
                <w:sz w:val="24"/>
                <w:szCs w:val="24"/>
                <w:highlight w:val="none"/>
              </w:rPr>
            </w:pPr>
          </w:p>
        </w:tc>
        <w:tc>
          <w:tcPr>
            <w:tcW w:w="1212" w:type="dxa"/>
            <w:vAlign w:val="center"/>
          </w:tcPr>
          <w:p w14:paraId="7809BD7E">
            <w:pPr>
              <w:ind w:firstLine="560"/>
              <w:jc w:val="center"/>
              <w:rPr>
                <w:rFonts w:hint="eastAsia" w:ascii="宋体" w:hAnsi="宋体" w:eastAsia="宋体" w:cs="宋体"/>
                <w:caps/>
                <w:color w:val="auto"/>
                <w:sz w:val="24"/>
                <w:szCs w:val="24"/>
                <w:highlight w:val="none"/>
              </w:rPr>
            </w:pPr>
          </w:p>
        </w:tc>
        <w:tc>
          <w:tcPr>
            <w:tcW w:w="1212" w:type="dxa"/>
            <w:vAlign w:val="center"/>
          </w:tcPr>
          <w:p w14:paraId="2F951C5E">
            <w:pPr>
              <w:ind w:firstLine="560"/>
              <w:jc w:val="center"/>
              <w:rPr>
                <w:rFonts w:hint="eastAsia" w:ascii="宋体" w:hAnsi="宋体" w:eastAsia="宋体" w:cs="宋体"/>
                <w:caps/>
                <w:color w:val="auto"/>
                <w:sz w:val="24"/>
                <w:szCs w:val="24"/>
                <w:highlight w:val="none"/>
              </w:rPr>
            </w:pPr>
          </w:p>
        </w:tc>
        <w:tc>
          <w:tcPr>
            <w:tcW w:w="1212" w:type="dxa"/>
            <w:vAlign w:val="center"/>
          </w:tcPr>
          <w:p w14:paraId="474C85AF">
            <w:pPr>
              <w:ind w:firstLine="560"/>
              <w:jc w:val="center"/>
              <w:rPr>
                <w:rFonts w:hint="eastAsia" w:ascii="宋体" w:hAnsi="宋体" w:eastAsia="宋体" w:cs="宋体"/>
                <w:caps/>
                <w:color w:val="auto"/>
                <w:sz w:val="24"/>
                <w:szCs w:val="24"/>
                <w:highlight w:val="none"/>
              </w:rPr>
            </w:pPr>
          </w:p>
        </w:tc>
        <w:tc>
          <w:tcPr>
            <w:tcW w:w="1410" w:type="dxa"/>
            <w:vAlign w:val="center"/>
          </w:tcPr>
          <w:p w14:paraId="68D5AB47">
            <w:pPr>
              <w:ind w:firstLine="560"/>
              <w:jc w:val="center"/>
              <w:rPr>
                <w:rFonts w:hint="eastAsia" w:ascii="宋体" w:hAnsi="宋体" w:eastAsia="宋体" w:cs="宋体"/>
                <w:caps/>
                <w:color w:val="auto"/>
                <w:sz w:val="24"/>
                <w:szCs w:val="24"/>
                <w:highlight w:val="none"/>
              </w:rPr>
            </w:pPr>
          </w:p>
        </w:tc>
      </w:tr>
      <w:tr w14:paraId="1CA88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16C8C8B6">
            <w:pPr>
              <w:ind w:left="5250" w:firstLine="560"/>
              <w:jc w:val="center"/>
              <w:rPr>
                <w:rFonts w:hint="eastAsia" w:ascii="宋体" w:hAnsi="宋体" w:eastAsia="宋体" w:cs="宋体"/>
                <w:caps/>
                <w:color w:val="auto"/>
                <w:sz w:val="24"/>
                <w:szCs w:val="24"/>
                <w:highlight w:val="none"/>
              </w:rPr>
            </w:pPr>
          </w:p>
        </w:tc>
        <w:tc>
          <w:tcPr>
            <w:tcW w:w="1212" w:type="dxa"/>
            <w:vAlign w:val="center"/>
          </w:tcPr>
          <w:p w14:paraId="0C6B2ACA">
            <w:pPr>
              <w:ind w:firstLine="560"/>
              <w:jc w:val="center"/>
              <w:rPr>
                <w:rFonts w:hint="eastAsia" w:ascii="宋体" w:hAnsi="宋体" w:eastAsia="宋体" w:cs="宋体"/>
                <w:caps/>
                <w:color w:val="auto"/>
                <w:sz w:val="24"/>
                <w:szCs w:val="24"/>
                <w:highlight w:val="none"/>
              </w:rPr>
            </w:pPr>
          </w:p>
        </w:tc>
        <w:tc>
          <w:tcPr>
            <w:tcW w:w="1212" w:type="dxa"/>
            <w:vAlign w:val="center"/>
          </w:tcPr>
          <w:p w14:paraId="4A7A9609">
            <w:pPr>
              <w:ind w:firstLine="560"/>
              <w:jc w:val="center"/>
              <w:rPr>
                <w:rFonts w:hint="eastAsia" w:ascii="宋体" w:hAnsi="宋体" w:eastAsia="宋体" w:cs="宋体"/>
                <w:caps/>
                <w:color w:val="auto"/>
                <w:sz w:val="24"/>
                <w:szCs w:val="24"/>
                <w:highlight w:val="none"/>
              </w:rPr>
            </w:pPr>
          </w:p>
        </w:tc>
        <w:tc>
          <w:tcPr>
            <w:tcW w:w="1211" w:type="dxa"/>
            <w:vAlign w:val="center"/>
          </w:tcPr>
          <w:p w14:paraId="15EB4A39">
            <w:pPr>
              <w:ind w:firstLine="560"/>
              <w:jc w:val="center"/>
              <w:rPr>
                <w:rFonts w:hint="eastAsia" w:ascii="宋体" w:hAnsi="宋体" w:eastAsia="宋体" w:cs="宋体"/>
                <w:caps/>
                <w:color w:val="auto"/>
                <w:sz w:val="24"/>
                <w:szCs w:val="24"/>
                <w:highlight w:val="none"/>
              </w:rPr>
            </w:pPr>
          </w:p>
        </w:tc>
        <w:tc>
          <w:tcPr>
            <w:tcW w:w="1212" w:type="dxa"/>
            <w:vAlign w:val="center"/>
          </w:tcPr>
          <w:p w14:paraId="4BD2A4A1">
            <w:pPr>
              <w:ind w:firstLine="560"/>
              <w:jc w:val="center"/>
              <w:rPr>
                <w:rFonts w:hint="eastAsia" w:ascii="宋体" w:hAnsi="宋体" w:eastAsia="宋体" w:cs="宋体"/>
                <w:caps/>
                <w:color w:val="auto"/>
                <w:sz w:val="24"/>
                <w:szCs w:val="24"/>
                <w:highlight w:val="none"/>
              </w:rPr>
            </w:pPr>
          </w:p>
        </w:tc>
        <w:tc>
          <w:tcPr>
            <w:tcW w:w="1212" w:type="dxa"/>
            <w:vAlign w:val="center"/>
          </w:tcPr>
          <w:p w14:paraId="7C1FA956">
            <w:pPr>
              <w:ind w:firstLine="560"/>
              <w:jc w:val="center"/>
              <w:rPr>
                <w:rFonts w:hint="eastAsia" w:ascii="宋体" w:hAnsi="宋体" w:eastAsia="宋体" w:cs="宋体"/>
                <w:caps/>
                <w:color w:val="auto"/>
                <w:sz w:val="24"/>
                <w:szCs w:val="24"/>
                <w:highlight w:val="none"/>
              </w:rPr>
            </w:pPr>
          </w:p>
        </w:tc>
        <w:tc>
          <w:tcPr>
            <w:tcW w:w="1212" w:type="dxa"/>
            <w:vAlign w:val="center"/>
          </w:tcPr>
          <w:p w14:paraId="02B4AB49">
            <w:pPr>
              <w:ind w:firstLine="560"/>
              <w:jc w:val="center"/>
              <w:rPr>
                <w:rFonts w:hint="eastAsia" w:ascii="宋体" w:hAnsi="宋体" w:eastAsia="宋体" w:cs="宋体"/>
                <w:caps/>
                <w:color w:val="auto"/>
                <w:sz w:val="24"/>
                <w:szCs w:val="24"/>
                <w:highlight w:val="none"/>
              </w:rPr>
            </w:pPr>
          </w:p>
        </w:tc>
        <w:tc>
          <w:tcPr>
            <w:tcW w:w="1410" w:type="dxa"/>
            <w:vAlign w:val="center"/>
          </w:tcPr>
          <w:p w14:paraId="243DD33B">
            <w:pPr>
              <w:ind w:firstLine="560"/>
              <w:jc w:val="center"/>
              <w:rPr>
                <w:rFonts w:hint="eastAsia" w:ascii="宋体" w:hAnsi="宋体" w:eastAsia="宋体" w:cs="宋体"/>
                <w:caps/>
                <w:color w:val="auto"/>
                <w:sz w:val="24"/>
                <w:szCs w:val="24"/>
                <w:highlight w:val="none"/>
              </w:rPr>
            </w:pPr>
          </w:p>
        </w:tc>
      </w:tr>
      <w:tr w14:paraId="5E8C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vAlign w:val="center"/>
          </w:tcPr>
          <w:p w14:paraId="485EEB04">
            <w:pPr>
              <w:ind w:left="5250" w:firstLine="560"/>
              <w:jc w:val="center"/>
              <w:rPr>
                <w:rFonts w:hint="eastAsia" w:ascii="宋体" w:hAnsi="宋体" w:eastAsia="宋体" w:cs="宋体"/>
                <w:caps/>
                <w:color w:val="auto"/>
                <w:sz w:val="24"/>
                <w:szCs w:val="24"/>
                <w:highlight w:val="none"/>
              </w:rPr>
            </w:pPr>
          </w:p>
        </w:tc>
        <w:tc>
          <w:tcPr>
            <w:tcW w:w="1212" w:type="dxa"/>
            <w:vAlign w:val="center"/>
          </w:tcPr>
          <w:p w14:paraId="34D616FF">
            <w:pPr>
              <w:ind w:firstLine="560"/>
              <w:jc w:val="center"/>
              <w:rPr>
                <w:rFonts w:hint="eastAsia" w:ascii="宋体" w:hAnsi="宋体" w:eastAsia="宋体" w:cs="宋体"/>
                <w:caps/>
                <w:color w:val="auto"/>
                <w:sz w:val="24"/>
                <w:szCs w:val="24"/>
                <w:highlight w:val="none"/>
              </w:rPr>
            </w:pPr>
          </w:p>
        </w:tc>
        <w:tc>
          <w:tcPr>
            <w:tcW w:w="1212" w:type="dxa"/>
            <w:vAlign w:val="center"/>
          </w:tcPr>
          <w:p w14:paraId="26CBED28">
            <w:pPr>
              <w:ind w:firstLine="560"/>
              <w:jc w:val="center"/>
              <w:rPr>
                <w:rFonts w:hint="eastAsia" w:ascii="宋体" w:hAnsi="宋体" w:eastAsia="宋体" w:cs="宋体"/>
                <w:caps/>
                <w:color w:val="auto"/>
                <w:sz w:val="24"/>
                <w:szCs w:val="24"/>
                <w:highlight w:val="none"/>
              </w:rPr>
            </w:pPr>
          </w:p>
        </w:tc>
        <w:tc>
          <w:tcPr>
            <w:tcW w:w="1211" w:type="dxa"/>
            <w:vAlign w:val="center"/>
          </w:tcPr>
          <w:p w14:paraId="00D8CF74">
            <w:pPr>
              <w:ind w:firstLine="560"/>
              <w:jc w:val="center"/>
              <w:rPr>
                <w:rFonts w:hint="eastAsia" w:ascii="宋体" w:hAnsi="宋体" w:eastAsia="宋体" w:cs="宋体"/>
                <w:caps/>
                <w:color w:val="auto"/>
                <w:sz w:val="24"/>
                <w:szCs w:val="24"/>
                <w:highlight w:val="none"/>
              </w:rPr>
            </w:pPr>
          </w:p>
        </w:tc>
        <w:tc>
          <w:tcPr>
            <w:tcW w:w="1212" w:type="dxa"/>
            <w:vAlign w:val="center"/>
          </w:tcPr>
          <w:p w14:paraId="1AC24F25">
            <w:pPr>
              <w:ind w:firstLine="560"/>
              <w:jc w:val="center"/>
              <w:rPr>
                <w:rFonts w:hint="eastAsia" w:ascii="宋体" w:hAnsi="宋体" w:eastAsia="宋体" w:cs="宋体"/>
                <w:caps/>
                <w:color w:val="auto"/>
                <w:sz w:val="24"/>
                <w:szCs w:val="24"/>
                <w:highlight w:val="none"/>
              </w:rPr>
            </w:pPr>
          </w:p>
        </w:tc>
        <w:tc>
          <w:tcPr>
            <w:tcW w:w="1212" w:type="dxa"/>
            <w:vAlign w:val="center"/>
          </w:tcPr>
          <w:p w14:paraId="1692260F">
            <w:pPr>
              <w:ind w:firstLine="560"/>
              <w:jc w:val="center"/>
              <w:rPr>
                <w:rFonts w:hint="eastAsia" w:ascii="宋体" w:hAnsi="宋体" w:eastAsia="宋体" w:cs="宋体"/>
                <w:caps/>
                <w:color w:val="auto"/>
                <w:sz w:val="24"/>
                <w:szCs w:val="24"/>
                <w:highlight w:val="none"/>
              </w:rPr>
            </w:pPr>
          </w:p>
        </w:tc>
        <w:tc>
          <w:tcPr>
            <w:tcW w:w="1212" w:type="dxa"/>
            <w:vAlign w:val="center"/>
          </w:tcPr>
          <w:p w14:paraId="26D5D02C">
            <w:pPr>
              <w:ind w:firstLine="560"/>
              <w:jc w:val="center"/>
              <w:rPr>
                <w:rFonts w:hint="eastAsia" w:ascii="宋体" w:hAnsi="宋体" w:eastAsia="宋体" w:cs="宋体"/>
                <w:caps/>
                <w:color w:val="auto"/>
                <w:sz w:val="24"/>
                <w:szCs w:val="24"/>
                <w:highlight w:val="none"/>
              </w:rPr>
            </w:pPr>
          </w:p>
        </w:tc>
        <w:tc>
          <w:tcPr>
            <w:tcW w:w="1410" w:type="dxa"/>
            <w:vAlign w:val="center"/>
          </w:tcPr>
          <w:p w14:paraId="6B1EA10B">
            <w:pPr>
              <w:ind w:firstLine="560"/>
              <w:jc w:val="center"/>
              <w:rPr>
                <w:rFonts w:hint="eastAsia" w:ascii="宋体" w:hAnsi="宋体" w:eastAsia="宋体" w:cs="宋体"/>
                <w:caps/>
                <w:color w:val="auto"/>
                <w:sz w:val="24"/>
                <w:szCs w:val="24"/>
                <w:highlight w:val="none"/>
              </w:rPr>
            </w:pPr>
          </w:p>
        </w:tc>
      </w:tr>
    </w:tbl>
    <w:p w14:paraId="28471E78">
      <w:pPr>
        <w:spacing w:line="360" w:lineRule="auto"/>
        <w:rPr>
          <w:rFonts w:hint="eastAsia" w:ascii="宋体" w:hAnsi="宋体" w:eastAsia="宋体" w:cs="宋体"/>
          <w:b/>
          <w:caps/>
          <w:color w:val="auto"/>
          <w:sz w:val="24"/>
          <w:szCs w:val="24"/>
          <w:highlight w:val="none"/>
        </w:rPr>
      </w:pPr>
    </w:p>
    <w:p w14:paraId="5CCE98DD">
      <w:pPr>
        <w:pStyle w:val="15"/>
        <w:rPr>
          <w:rFonts w:hint="eastAsia" w:ascii="宋体" w:hAnsi="宋体" w:eastAsia="宋体" w:cs="宋体"/>
          <w:b/>
          <w:caps/>
          <w:color w:val="auto"/>
          <w:sz w:val="24"/>
          <w:szCs w:val="24"/>
          <w:highlight w:val="none"/>
        </w:rPr>
      </w:pPr>
    </w:p>
    <w:p w14:paraId="1DB48B45">
      <w:pPr>
        <w:rPr>
          <w:rFonts w:hint="eastAsia"/>
          <w:color w:val="auto"/>
          <w:highlight w:val="none"/>
        </w:rPr>
      </w:pPr>
    </w:p>
    <w:p w14:paraId="498F8C87">
      <w:pPr>
        <w:spacing w:line="360" w:lineRule="exact"/>
        <w:rPr>
          <w:rFonts w:hint="eastAsia" w:ascii="宋体" w:hAnsi="宋体" w:eastAsia="宋体" w:cs="宋体"/>
          <w:b/>
          <w:caps/>
          <w:color w:val="auto"/>
          <w:sz w:val="24"/>
          <w:szCs w:val="24"/>
          <w:highlight w:val="none"/>
        </w:rPr>
      </w:pPr>
    </w:p>
    <w:p w14:paraId="2B4A318A">
      <w:pPr>
        <w:spacing w:line="360" w:lineRule="exact"/>
        <w:rPr>
          <w:rFonts w:hint="eastAsia" w:ascii="宋体" w:hAnsi="宋体" w:eastAsia="宋体" w:cs="宋体"/>
          <w:b/>
          <w:caps/>
          <w:color w:val="auto"/>
          <w:sz w:val="24"/>
          <w:szCs w:val="24"/>
          <w:highlight w:val="none"/>
        </w:rPr>
      </w:pPr>
    </w:p>
    <w:p w14:paraId="765BD091">
      <w:pPr>
        <w:spacing w:line="360" w:lineRule="exact"/>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附表四：计划</w:t>
      </w:r>
      <w:r>
        <w:rPr>
          <w:rFonts w:hint="eastAsia" w:ascii="宋体" w:hAnsi="宋体" w:eastAsia="宋体" w:cs="宋体"/>
          <w:b/>
          <w:caps/>
          <w:color w:val="auto"/>
          <w:sz w:val="24"/>
          <w:szCs w:val="24"/>
          <w:highlight w:val="none"/>
          <w:lang w:eastAsia="zh-CN"/>
        </w:rPr>
        <w:t>开工</w:t>
      </w:r>
      <w:r>
        <w:rPr>
          <w:rFonts w:hint="eastAsia" w:ascii="宋体" w:hAnsi="宋体" w:eastAsia="宋体" w:cs="宋体"/>
          <w:b/>
          <w:caps/>
          <w:color w:val="auto"/>
          <w:sz w:val="24"/>
          <w:szCs w:val="24"/>
          <w:highlight w:val="none"/>
        </w:rPr>
        <w:t>、竣工日期和施工进度网络图</w:t>
      </w:r>
    </w:p>
    <w:p w14:paraId="7833EC72">
      <w:pPr>
        <w:spacing w:line="36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1．磋商申请人应递交施工进度网络图或施工进度表，说明按磋商文件要求的计划工期进行施工的各个关键日期。</w:t>
      </w:r>
    </w:p>
    <w:p w14:paraId="22A28387">
      <w:pPr>
        <w:spacing w:line="360" w:lineRule="exact"/>
        <w:ind w:firstLine="600" w:firstLineChars="250"/>
        <w:rPr>
          <w:rFonts w:hint="eastAsia" w:ascii="宋体" w:hAnsi="宋体" w:eastAsia="宋体" w:cs="宋体"/>
          <w:b/>
          <w:caps/>
          <w:color w:val="auto"/>
          <w:sz w:val="24"/>
          <w:szCs w:val="24"/>
          <w:highlight w:val="none"/>
        </w:rPr>
      </w:pPr>
      <w:r>
        <w:rPr>
          <w:rFonts w:hint="eastAsia" w:ascii="宋体" w:hAnsi="宋体" w:eastAsia="宋体" w:cs="宋体"/>
          <w:color w:val="auto"/>
          <w:sz w:val="24"/>
          <w:szCs w:val="24"/>
          <w:highlight w:val="none"/>
        </w:rPr>
        <w:t>2．施工进度表可采用网络图（或横道图）表示。</w:t>
      </w:r>
      <w:bookmarkStart w:id="531" w:name="_Toc377657240"/>
      <w:bookmarkStart w:id="532" w:name="_Toc377657381"/>
      <w:bookmarkStart w:id="533" w:name="_Toc377657308"/>
    </w:p>
    <w:p w14:paraId="34CC05A5">
      <w:pPr>
        <w:spacing w:line="360" w:lineRule="exact"/>
        <w:rPr>
          <w:rFonts w:hint="eastAsia" w:ascii="宋体" w:hAnsi="宋体" w:eastAsia="宋体" w:cs="宋体"/>
          <w:color w:val="auto"/>
          <w:sz w:val="24"/>
          <w:szCs w:val="24"/>
          <w:highlight w:val="none"/>
        </w:rPr>
      </w:pPr>
      <w:r>
        <w:rPr>
          <w:rFonts w:hint="eastAsia" w:ascii="宋体" w:hAnsi="宋体" w:eastAsia="宋体" w:cs="宋体"/>
          <w:b/>
          <w:caps/>
          <w:color w:val="auto"/>
          <w:sz w:val="24"/>
          <w:szCs w:val="24"/>
          <w:highlight w:val="none"/>
        </w:rPr>
        <w:t>附表五：施工总平面图</w:t>
      </w:r>
      <w:bookmarkEnd w:id="531"/>
      <w:bookmarkEnd w:id="532"/>
      <w:bookmarkEnd w:id="533"/>
    </w:p>
    <w:p w14:paraId="3FE96DCF">
      <w:pPr>
        <w:spacing w:line="3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磋商申请人应递交一份施工总平面图，绘出现场临时设施布置图表并附文字说明，说明临时设施、加工车间、现场办公、设备及仓储、供电、供水、卫生、生活、道路、消防等设施的情况和布置。</w:t>
      </w:r>
      <w:r>
        <w:rPr>
          <w:rFonts w:hint="eastAsia" w:ascii="宋体" w:hAnsi="宋体" w:eastAsia="宋体" w:cs="宋体"/>
          <w:color w:val="auto"/>
          <w:sz w:val="24"/>
          <w:szCs w:val="24"/>
          <w:highlight w:val="none"/>
          <w:lang w:eastAsia="zh-CN"/>
        </w:rPr>
        <w:t>生产</w:t>
      </w:r>
      <w:r>
        <w:rPr>
          <w:rFonts w:hint="eastAsia" w:ascii="宋体" w:hAnsi="宋体" w:eastAsia="宋体" w:cs="宋体"/>
          <w:caps/>
          <w:color w:val="auto"/>
          <w:sz w:val="24"/>
          <w:szCs w:val="24"/>
          <w:highlight w:val="none"/>
        </w:rPr>
        <w:t>、生活、道路、消防等设施的情况和布置。</w:t>
      </w:r>
    </w:p>
    <w:p w14:paraId="08F3E9AB">
      <w:pPr>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t>附表六：临时用地表</w:t>
      </w:r>
    </w:p>
    <w:tbl>
      <w:tblPr>
        <w:tblStyle w:val="61"/>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1"/>
        <w:gridCol w:w="2372"/>
        <w:gridCol w:w="2362"/>
        <w:gridCol w:w="2362"/>
      </w:tblGrid>
      <w:tr w14:paraId="5D43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2B67BFC8">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用途</w:t>
            </w:r>
          </w:p>
        </w:tc>
        <w:tc>
          <w:tcPr>
            <w:tcW w:w="2372" w:type="dxa"/>
            <w:vAlign w:val="center"/>
          </w:tcPr>
          <w:p w14:paraId="47310836">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面积（平方米）</w:t>
            </w:r>
          </w:p>
        </w:tc>
        <w:tc>
          <w:tcPr>
            <w:tcW w:w="2362" w:type="dxa"/>
            <w:vAlign w:val="center"/>
          </w:tcPr>
          <w:p w14:paraId="5A7B1B7D">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位置</w:t>
            </w:r>
          </w:p>
        </w:tc>
        <w:tc>
          <w:tcPr>
            <w:tcW w:w="2362" w:type="dxa"/>
            <w:vAlign w:val="center"/>
          </w:tcPr>
          <w:p w14:paraId="3DD1981D">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需用时间</w:t>
            </w:r>
          </w:p>
        </w:tc>
      </w:tr>
      <w:tr w14:paraId="62DE7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3E2B3BFE">
            <w:pPr>
              <w:ind w:left="5250" w:firstLine="560"/>
              <w:jc w:val="center"/>
              <w:rPr>
                <w:rFonts w:hint="eastAsia" w:ascii="宋体" w:hAnsi="宋体" w:eastAsia="宋体" w:cs="宋体"/>
                <w:caps/>
                <w:color w:val="auto"/>
                <w:sz w:val="24"/>
                <w:szCs w:val="24"/>
                <w:highlight w:val="none"/>
              </w:rPr>
            </w:pPr>
          </w:p>
        </w:tc>
        <w:tc>
          <w:tcPr>
            <w:tcW w:w="2372" w:type="dxa"/>
            <w:vAlign w:val="center"/>
          </w:tcPr>
          <w:p w14:paraId="1523D304">
            <w:pPr>
              <w:ind w:firstLine="560"/>
              <w:jc w:val="center"/>
              <w:rPr>
                <w:rFonts w:hint="eastAsia" w:ascii="宋体" w:hAnsi="宋体" w:eastAsia="宋体" w:cs="宋体"/>
                <w:caps/>
                <w:color w:val="auto"/>
                <w:sz w:val="24"/>
                <w:szCs w:val="24"/>
                <w:highlight w:val="none"/>
              </w:rPr>
            </w:pPr>
          </w:p>
        </w:tc>
        <w:tc>
          <w:tcPr>
            <w:tcW w:w="2362" w:type="dxa"/>
            <w:vAlign w:val="center"/>
          </w:tcPr>
          <w:p w14:paraId="1C1AAB73">
            <w:pPr>
              <w:ind w:firstLine="560"/>
              <w:jc w:val="center"/>
              <w:rPr>
                <w:rFonts w:hint="eastAsia" w:ascii="宋体" w:hAnsi="宋体" w:eastAsia="宋体" w:cs="宋体"/>
                <w:caps/>
                <w:color w:val="auto"/>
                <w:sz w:val="24"/>
                <w:szCs w:val="24"/>
                <w:highlight w:val="none"/>
              </w:rPr>
            </w:pPr>
          </w:p>
        </w:tc>
        <w:tc>
          <w:tcPr>
            <w:tcW w:w="2362" w:type="dxa"/>
            <w:vAlign w:val="center"/>
          </w:tcPr>
          <w:p w14:paraId="34D923EE">
            <w:pPr>
              <w:ind w:firstLine="560"/>
              <w:jc w:val="center"/>
              <w:rPr>
                <w:rFonts w:hint="eastAsia" w:ascii="宋体" w:hAnsi="宋体" w:eastAsia="宋体" w:cs="宋体"/>
                <w:caps/>
                <w:color w:val="auto"/>
                <w:sz w:val="24"/>
                <w:szCs w:val="24"/>
                <w:highlight w:val="none"/>
              </w:rPr>
            </w:pPr>
          </w:p>
        </w:tc>
      </w:tr>
      <w:tr w14:paraId="485C0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69CAEBF1">
            <w:pPr>
              <w:ind w:left="5250" w:firstLine="560"/>
              <w:jc w:val="center"/>
              <w:rPr>
                <w:rFonts w:hint="eastAsia" w:ascii="宋体" w:hAnsi="宋体" w:eastAsia="宋体" w:cs="宋体"/>
                <w:caps/>
                <w:color w:val="auto"/>
                <w:sz w:val="24"/>
                <w:szCs w:val="24"/>
                <w:highlight w:val="none"/>
              </w:rPr>
            </w:pPr>
          </w:p>
        </w:tc>
        <w:tc>
          <w:tcPr>
            <w:tcW w:w="2372" w:type="dxa"/>
            <w:vAlign w:val="center"/>
          </w:tcPr>
          <w:p w14:paraId="597170DE">
            <w:pPr>
              <w:ind w:firstLine="560"/>
              <w:jc w:val="center"/>
              <w:rPr>
                <w:rFonts w:hint="eastAsia" w:ascii="宋体" w:hAnsi="宋体" w:eastAsia="宋体" w:cs="宋体"/>
                <w:caps/>
                <w:color w:val="auto"/>
                <w:sz w:val="24"/>
                <w:szCs w:val="24"/>
                <w:highlight w:val="none"/>
              </w:rPr>
            </w:pPr>
          </w:p>
        </w:tc>
        <w:tc>
          <w:tcPr>
            <w:tcW w:w="2362" w:type="dxa"/>
            <w:vAlign w:val="center"/>
          </w:tcPr>
          <w:p w14:paraId="4EEC45FB">
            <w:pPr>
              <w:ind w:firstLine="560"/>
              <w:jc w:val="center"/>
              <w:rPr>
                <w:rFonts w:hint="eastAsia" w:ascii="宋体" w:hAnsi="宋体" w:eastAsia="宋体" w:cs="宋体"/>
                <w:caps/>
                <w:color w:val="auto"/>
                <w:sz w:val="24"/>
                <w:szCs w:val="24"/>
                <w:highlight w:val="none"/>
              </w:rPr>
            </w:pPr>
          </w:p>
        </w:tc>
        <w:tc>
          <w:tcPr>
            <w:tcW w:w="2362" w:type="dxa"/>
            <w:vAlign w:val="center"/>
          </w:tcPr>
          <w:p w14:paraId="754BEB53">
            <w:pPr>
              <w:ind w:firstLine="560"/>
              <w:jc w:val="center"/>
              <w:rPr>
                <w:rFonts w:hint="eastAsia" w:ascii="宋体" w:hAnsi="宋体" w:eastAsia="宋体" w:cs="宋体"/>
                <w:caps/>
                <w:color w:val="auto"/>
                <w:sz w:val="24"/>
                <w:szCs w:val="24"/>
                <w:highlight w:val="none"/>
              </w:rPr>
            </w:pPr>
          </w:p>
        </w:tc>
      </w:tr>
      <w:tr w14:paraId="7EA9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vAlign w:val="center"/>
          </w:tcPr>
          <w:p w14:paraId="335FCB5F">
            <w:pPr>
              <w:ind w:left="5250" w:firstLine="560"/>
              <w:jc w:val="center"/>
              <w:rPr>
                <w:rFonts w:hint="eastAsia" w:ascii="宋体" w:hAnsi="宋体" w:eastAsia="宋体" w:cs="宋体"/>
                <w:caps/>
                <w:color w:val="auto"/>
                <w:sz w:val="24"/>
                <w:szCs w:val="24"/>
                <w:highlight w:val="none"/>
              </w:rPr>
            </w:pPr>
          </w:p>
        </w:tc>
        <w:tc>
          <w:tcPr>
            <w:tcW w:w="2372" w:type="dxa"/>
            <w:vAlign w:val="center"/>
          </w:tcPr>
          <w:p w14:paraId="5E61B173">
            <w:pPr>
              <w:ind w:firstLine="560"/>
              <w:jc w:val="center"/>
              <w:rPr>
                <w:rFonts w:hint="eastAsia" w:ascii="宋体" w:hAnsi="宋体" w:eastAsia="宋体" w:cs="宋体"/>
                <w:caps/>
                <w:color w:val="auto"/>
                <w:sz w:val="24"/>
                <w:szCs w:val="24"/>
                <w:highlight w:val="none"/>
              </w:rPr>
            </w:pPr>
          </w:p>
        </w:tc>
        <w:tc>
          <w:tcPr>
            <w:tcW w:w="2362" w:type="dxa"/>
            <w:vAlign w:val="center"/>
          </w:tcPr>
          <w:p w14:paraId="0D9A0651">
            <w:pPr>
              <w:ind w:firstLine="560"/>
              <w:jc w:val="center"/>
              <w:rPr>
                <w:rFonts w:hint="eastAsia" w:ascii="宋体" w:hAnsi="宋体" w:eastAsia="宋体" w:cs="宋体"/>
                <w:caps/>
                <w:color w:val="auto"/>
                <w:sz w:val="24"/>
                <w:szCs w:val="24"/>
                <w:highlight w:val="none"/>
              </w:rPr>
            </w:pPr>
          </w:p>
        </w:tc>
        <w:tc>
          <w:tcPr>
            <w:tcW w:w="2362" w:type="dxa"/>
            <w:vAlign w:val="center"/>
          </w:tcPr>
          <w:p w14:paraId="22BDDC56">
            <w:pPr>
              <w:ind w:firstLine="560"/>
              <w:jc w:val="center"/>
              <w:rPr>
                <w:rFonts w:hint="eastAsia" w:ascii="宋体" w:hAnsi="宋体" w:eastAsia="宋体" w:cs="宋体"/>
                <w:caps/>
                <w:color w:val="auto"/>
                <w:sz w:val="24"/>
                <w:szCs w:val="24"/>
                <w:highlight w:val="none"/>
              </w:rPr>
            </w:pPr>
          </w:p>
        </w:tc>
      </w:tr>
    </w:tbl>
    <w:p w14:paraId="57483D7E">
      <w:pPr>
        <w:rPr>
          <w:rFonts w:hint="eastAsia" w:ascii="宋体" w:hAnsi="宋体" w:eastAsia="宋体" w:cs="宋体"/>
          <w:color w:val="auto"/>
          <w:highlight w:val="none"/>
        </w:rPr>
      </w:pPr>
    </w:p>
    <w:p w14:paraId="0798FEF6">
      <w:pPr>
        <w:rPr>
          <w:rFonts w:hint="eastAsia" w:ascii="宋体" w:hAnsi="宋体" w:eastAsia="宋体" w:cs="宋体"/>
          <w:color w:val="auto"/>
          <w:sz w:val="28"/>
          <w:szCs w:val="28"/>
          <w:highlight w:val="none"/>
        </w:rPr>
      </w:pPr>
      <w:bookmarkStart w:id="534" w:name="_Toc531966071"/>
      <w:r>
        <w:rPr>
          <w:rFonts w:hint="eastAsia" w:ascii="宋体" w:hAnsi="宋体" w:eastAsia="宋体" w:cs="宋体"/>
          <w:color w:val="auto"/>
          <w:sz w:val="28"/>
          <w:szCs w:val="28"/>
          <w:highlight w:val="none"/>
        </w:rPr>
        <w:br w:type="page"/>
      </w:r>
    </w:p>
    <w:p w14:paraId="118582A2">
      <w:pPr>
        <w:pStyle w:val="3"/>
        <w:jc w:val="center"/>
        <w:outlineLvl w:val="1"/>
        <w:rPr>
          <w:rFonts w:hint="eastAsia" w:ascii="宋体" w:hAnsi="宋体" w:eastAsia="宋体" w:cs="宋体"/>
          <w:color w:val="auto"/>
          <w:sz w:val="28"/>
          <w:szCs w:val="28"/>
          <w:highlight w:val="none"/>
        </w:rPr>
      </w:pPr>
      <w:bookmarkStart w:id="535" w:name="_Toc3906"/>
      <w:r>
        <w:rPr>
          <w:rFonts w:hint="eastAsia" w:ascii="宋体" w:hAnsi="宋体" w:eastAsia="宋体" w:cs="宋体"/>
          <w:color w:val="auto"/>
          <w:sz w:val="28"/>
          <w:szCs w:val="28"/>
          <w:highlight w:val="none"/>
        </w:rPr>
        <w:t>七、项目管理机构</w:t>
      </w:r>
      <w:bookmarkEnd w:id="534"/>
      <w:bookmarkEnd w:id="535"/>
    </w:p>
    <w:p w14:paraId="7052F3E1">
      <w:pPr>
        <w:pStyle w:val="5"/>
        <w:jc w:val="center"/>
        <w:outlineLvl w:val="2"/>
        <w:rPr>
          <w:rFonts w:hint="eastAsia" w:ascii="宋体" w:hAnsi="宋体" w:eastAsia="宋体" w:cs="宋体"/>
          <w:color w:val="auto"/>
          <w:sz w:val="24"/>
          <w:szCs w:val="24"/>
          <w:highlight w:val="none"/>
        </w:rPr>
      </w:pPr>
      <w:bookmarkStart w:id="536" w:name="_Toc2689"/>
      <w:r>
        <w:rPr>
          <w:rFonts w:hint="eastAsia" w:ascii="宋体" w:hAnsi="宋体" w:eastAsia="宋体" w:cs="宋体"/>
          <w:color w:val="auto"/>
          <w:sz w:val="24"/>
          <w:szCs w:val="24"/>
          <w:highlight w:val="none"/>
        </w:rPr>
        <w:t>（一）项目管理机构组成表</w:t>
      </w:r>
      <w:bookmarkEnd w:id="536"/>
    </w:p>
    <w:tbl>
      <w:tblPr>
        <w:tblStyle w:val="61"/>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7"/>
        <w:gridCol w:w="900"/>
        <w:gridCol w:w="900"/>
        <w:gridCol w:w="1395"/>
        <w:gridCol w:w="984"/>
        <w:gridCol w:w="984"/>
        <w:gridCol w:w="1013"/>
        <w:gridCol w:w="1571"/>
      </w:tblGrid>
      <w:tr w14:paraId="75CB5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657" w:type="dxa"/>
            <w:vMerge w:val="restart"/>
            <w:vAlign w:val="center"/>
          </w:tcPr>
          <w:p w14:paraId="4CAFB134">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900" w:type="dxa"/>
            <w:vMerge w:val="restart"/>
            <w:vAlign w:val="center"/>
          </w:tcPr>
          <w:p w14:paraId="2029BACB">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00" w:type="dxa"/>
            <w:vMerge w:val="restart"/>
            <w:vAlign w:val="center"/>
          </w:tcPr>
          <w:p w14:paraId="490E9A20">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4376" w:type="dxa"/>
            <w:gridSpan w:val="4"/>
            <w:vAlign w:val="center"/>
          </w:tcPr>
          <w:p w14:paraId="134710C2">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执业或职业资格证明</w:t>
            </w:r>
          </w:p>
        </w:tc>
        <w:tc>
          <w:tcPr>
            <w:tcW w:w="1571" w:type="dxa"/>
            <w:vAlign w:val="center"/>
          </w:tcPr>
          <w:p w14:paraId="16FFF78E">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69635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657" w:type="dxa"/>
            <w:vMerge w:val="continue"/>
            <w:vAlign w:val="center"/>
          </w:tcPr>
          <w:p w14:paraId="43D13DE9">
            <w:pPr>
              <w:spacing w:after="0" w:line="0" w:lineRule="atLeast"/>
              <w:jc w:val="center"/>
              <w:rPr>
                <w:rFonts w:hint="eastAsia" w:ascii="宋体" w:hAnsi="宋体" w:eastAsia="宋体" w:cs="宋体"/>
                <w:color w:val="auto"/>
                <w:sz w:val="24"/>
                <w:szCs w:val="24"/>
                <w:highlight w:val="none"/>
              </w:rPr>
            </w:pPr>
          </w:p>
        </w:tc>
        <w:tc>
          <w:tcPr>
            <w:tcW w:w="900" w:type="dxa"/>
            <w:vMerge w:val="continue"/>
            <w:vAlign w:val="center"/>
          </w:tcPr>
          <w:p w14:paraId="7158BE26">
            <w:pPr>
              <w:spacing w:after="0" w:line="0" w:lineRule="atLeast"/>
              <w:jc w:val="center"/>
              <w:rPr>
                <w:rFonts w:hint="eastAsia" w:ascii="宋体" w:hAnsi="宋体" w:eastAsia="宋体" w:cs="宋体"/>
                <w:color w:val="auto"/>
                <w:sz w:val="24"/>
                <w:szCs w:val="24"/>
                <w:highlight w:val="none"/>
              </w:rPr>
            </w:pPr>
          </w:p>
        </w:tc>
        <w:tc>
          <w:tcPr>
            <w:tcW w:w="900" w:type="dxa"/>
            <w:vMerge w:val="continue"/>
            <w:vAlign w:val="center"/>
          </w:tcPr>
          <w:p w14:paraId="093E5D83">
            <w:pPr>
              <w:spacing w:after="0" w:line="0" w:lineRule="atLeast"/>
              <w:jc w:val="center"/>
              <w:rPr>
                <w:rFonts w:hint="eastAsia" w:ascii="宋体" w:hAnsi="宋体" w:eastAsia="宋体" w:cs="宋体"/>
                <w:color w:val="auto"/>
                <w:sz w:val="24"/>
                <w:szCs w:val="24"/>
                <w:highlight w:val="none"/>
              </w:rPr>
            </w:pPr>
          </w:p>
        </w:tc>
        <w:tc>
          <w:tcPr>
            <w:tcW w:w="1395" w:type="dxa"/>
            <w:vAlign w:val="center"/>
          </w:tcPr>
          <w:p w14:paraId="7666C9E0">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证书名称</w:t>
            </w:r>
          </w:p>
        </w:tc>
        <w:tc>
          <w:tcPr>
            <w:tcW w:w="984" w:type="dxa"/>
            <w:vAlign w:val="center"/>
          </w:tcPr>
          <w:p w14:paraId="016EC962">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级别</w:t>
            </w:r>
          </w:p>
        </w:tc>
        <w:tc>
          <w:tcPr>
            <w:tcW w:w="984" w:type="dxa"/>
            <w:vAlign w:val="center"/>
          </w:tcPr>
          <w:p w14:paraId="66C51492">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证号</w:t>
            </w:r>
          </w:p>
        </w:tc>
        <w:tc>
          <w:tcPr>
            <w:tcW w:w="1013" w:type="dxa"/>
            <w:vAlign w:val="center"/>
          </w:tcPr>
          <w:p w14:paraId="6EAD4AA9">
            <w:pPr>
              <w:spacing w:after="0"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1571" w:type="dxa"/>
            <w:vAlign w:val="center"/>
          </w:tcPr>
          <w:p w14:paraId="36DDA8D6">
            <w:pPr>
              <w:spacing w:after="0" w:line="0" w:lineRule="atLeast"/>
              <w:jc w:val="center"/>
              <w:rPr>
                <w:rFonts w:hint="eastAsia" w:ascii="宋体" w:hAnsi="宋体" w:eastAsia="宋体" w:cs="宋体"/>
                <w:color w:val="auto"/>
                <w:sz w:val="24"/>
                <w:szCs w:val="24"/>
                <w:highlight w:val="none"/>
              </w:rPr>
            </w:pPr>
          </w:p>
        </w:tc>
      </w:tr>
      <w:tr w14:paraId="358E6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657" w:type="dxa"/>
            <w:vAlign w:val="center"/>
          </w:tcPr>
          <w:p w14:paraId="4DC4E2D7">
            <w:pPr>
              <w:ind w:firstLine="560"/>
              <w:jc w:val="center"/>
              <w:rPr>
                <w:rFonts w:hint="eastAsia" w:ascii="宋体" w:hAnsi="宋体" w:eastAsia="宋体" w:cs="宋体"/>
                <w:caps/>
                <w:color w:val="auto"/>
                <w:sz w:val="24"/>
                <w:szCs w:val="24"/>
                <w:highlight w:val="none"/>
              </w:rPr>
            </w:pPr>
          </w:p>
        </w:tc>
        <w:tc>
          <w:tcPr>
            <w:tcW w:w="900" w:type="dxa"/>
            <w:vAlign w:val="center"/>
          </w:tcPr>
          <w:p w14:paraId="3C9458A1">
            <w:pPr>
              <w:ind w:firstLine="560"/>
              <w:jc w:val="center"/>
              <w:rPr>
                <w:rFonts w:hint="eastAsia" w:ascii="宋体" w:hAnsi="宋体" w:eastAsia="宋体" w:cs="宋体"/>
                <w:caps/>
                <w:color w:val="auto"/>
                <w:sz w:val="24"/>
                <w:szCs w:val="24"/>
                <w:highlight w:val="none"/>
              </w:rPr>
            </w:pPr>
          </w:p>
        </w:tc>
        <w:tc>
          <w:tcPr>
            <w:tcW w:w="900" w:type="dxa"/>
            <w:vAlign w:val="center"/>
          </w:tcPr>
          <w:p w14:paraId="34C6B702">
            <w:pPr>
              <w:ind w:firstLine="560"/>
              <w:jc w:val="center"/>
              <w:rPr>
                <w:rFonts w:hint="eastAsia" w:ascii="宋体" w:hAnsi="宋体" w:eastAsia="宋体" w:cs="宋体"/>
                <w:caps/>
                <w:color w:val="auto"/>
                <w:sz w:val="24"/>
                <w:szCs w:val="24"/>
                <w:highlight w:val="none"/>
              </w:rPr>
            </w:pPr>
          </w:p>
        </w:tc>
        <w:tc>
          <w:tcPr>
            <w:tcW w:w="1395" w:type="dxa"/>
            <w:vAlign w:val="center"/>
          </w:tcPr>
          <w:p w14:paraId="76EE5259">
            <w:pPr>
              <w:ind w:firstLine="560"/>
              <w:jc w:val="center"/>
              <w:rPr>
                <w:rFonts w:hint="eastAsia" w:ascii="宋体" w:hAnsi="宋体" w:eastAsia="宋体" w:cs="宋体"/>
                <w:caps/>
                <w:color w:val="auto"/>
                <w:sz w:val="24"/>
                <w:szCs w:val="24"/>
                <w:highlight w:val="none"/>
              </w:rPr>
            </w:pPr>
          </w:p>
        </w:tc>
        <w:tc>
          <w:tcPr>
            <w:tcW w:w="984" w:type="dxa"/>
            <w:vAlign w:val="center"/>
          </w:tcPr>
          <w:p w14:paraId="7C04792E">
            <w:pPr>
              <w:ind w:firstLine="560"/>
              <w:jc w:val="center"/>
              <w:rPr>
                <w:rFonts w:hint="eastAsia" w:ascii="宋体" w:hAnsi="宋体" w:eastAsia="宋体" w:cs="宋体"/>
                <w:caps/>
                <w:color w:val="auto"/>
                <w:sz w:val="24"/>
                <w:szCs w:val="24"/>
                <w:highlight w:val="none"/>
              </w:rPr>
            </w:pPr>
          </w:p>
        </w:tc>
        <w:tc>
          <w:tcPr>
            <w:tcW w:w="984" w:type="dxa"/>
            <w:vAlign w:val="center"/>
          </w:tcPr>
          <w:p w14:paraId="4468811A">
            <w:pPr>
              <w:ind w:firstLine="560"/>
              <w:jc w:val="center"/>
              <w:rPr>
                <w:rFonts w:hint="eastAsia" w:ascii="宋体" w:hAnsi="宋体" w:eastAsia="宋体" w:cs="宋体"/>
                <w:caps/>
                <w:color w:val="auto"/>
                <w:sz w:val="24"/>
                <w:szCs w:val="24"/>
                <w:highlight w:val="none"/>
              </w:rPr>
            </w:pPr>
          </w:p>
        </w:tc>
        <w:tc>
          <w:tcPr>
            <w:tcW w:w="1013" w:type="dxa"/>
            <w:vAlign w:val="center"/>
          </w:tcPr>
          <w:p w14:paraId="6EFC29EE">
            <w:pPr>
              <w:ind w:firstLine="560"/>
              <w:jc w:val="center"/>
              <w:rPr>
                <w:rFonts w:hint="eastAsia" w:ascii="宋体" w:hAnsi="宋体" w:eastAsia="宋体" w:cs="宋体"/>
                <w:caps/>
                <w:color w:val="auto"/>
                <w:sz w:val="24"/>
                <w:szCs w:val="24"/>
                <w:highlight w:val="none"/>
              </w:rPr>
            </w:pPr>
          </w:p>
        </w:tc>
        <w:tc>
          <w:tcPr>
            <w:tcW w:w="1571" w:type="dxa"/>
            <w:vAlign w:val="center"/>
          </w:tcPr>
          <w:p w14:paraId="0201C82B">
            <w:pPr>
              <w:ind w:firstLine="560"/>
              <w:jc w:val="center"/>
              <w:rPr>
                <w:rFonts w:hint="eastAsia" w:ascii="宋体" w:hAnsi="宋体" w:eastAsia="宋体" w:cs="宋体"/>
                <w:caps/>
                <w:color w:val="auto"/>
                <w:sz w:val="24"/>
                <w:szCs w:val="24"/>
                <w:highlight w:val="none"/>
              </w:rPr>
            </w:pPr>
          </w:p>
        </w:tc>
      </w:tr>
      <w:tr w14:paraId="0B0E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657" w:type="dxa"/>
            <w:vAlign w:val="center"/>
          </w:tcPr>
          <w:p w14:paraId="5433F465">
            <w:pPr>
              <w:ind w:firstLine="560"/>
              <w:jc w:val="center"/>
              <w:rPr>
                <w:rFonts w:hint="eastAsia" w:ascii="宋体" w:hAnsi="宋体" w:eastAsia="宋体" w:cs="宋体"/>
                <w:caps/>
                <w:color w:val="auto"/>
                <w:sz w:val="24"/>
                <w:szCs w:val="24"/>
                <w:highlight w:val="none"/>
              </w:rPr>
            </w:pPr>
          </w:p>
        </w:tc>
        <w:tc>
          <w:tcPr>
            <w:tcW w:w="900" w:type="dxa"/>
            <w:vAlign w:val="center"/>
          </w:tcPr>
          <w:p w14:paraId="4C92D30E">
            <w:pPr>
              <w:ind w:firstLine="560"/>
              <w:jc w:val="center"/>
              <w:rPr>
                <w:rFonts w:hint="eastAsia" w:ascii="宋体" w:hAnsi="宋体" w:eastAsia="宋体" w:cs="宋体"/>
                <w:caps/>
                <w:color w:val="auto"/>
                <w:sz w:val="24"/>
                <w:szCs w:val="24"/>
                <w:highlight w:val="none"/>
              </w:rPr>
            </w:pPr>
          </w:p>
        </w:tc>
        <w:tc>
          <w:tcPr>
            <w:tcW w:w="900" w:type="dxa"/>
            <w:vAlign w:val="center"/>
          </w:tcPr>
          <w:p w14:paraId="39AC00D9">
            <w:pPr>
              <w:ind w:firstLine="560"/>
              <w:jc w:val="center"/>
              <w:rPr>
                <w:rFonts w:hint="eastAsia" w:ascii="宋体" w:hAnsi="宋体" w:eastAsia="宋体" w:cs="宋体"/>
                <w:caps/>
                <w:color w:val="auto"/>
                <w:sz w:val="24"/>
                <w:szCs w:val="24"/>
                <w:highlight w:val="none"/>
              </w:rPr>
            </w:pPr>
          </w:p>
        </w:tc>
        <w:tc>
          <w:tcPr>
            <w:tcW w:w="1395" w:type="dxa"/>
            <w:vAlign w:val="center"/>
          </w:tcPr>
          <w:p w14:paraId="13AC81F0">
            <w:pPr>
              <w:ind w:firstLine="560"/>
              <w:jc w:val="center"/>
              <w:rPr>
                <w:rFonts w:hint="eastAsia" w:ascii="宋体" w:hAnsi="宋体" w:eastAsia="宋体" w:cs="宋体"/>
                <w:caps/>
                <w:color w:val="auto"/>
                <w:sz w:val="24"/>
                <w:szCs w:val="24"/>
                <w:highlight w:val="none"/>
              </w:rPr>
            </w:pPr>
          </w:p>
        </w:tc>
        <w:tc>
          <w:tcPr>
            <w:tcW w:w="984" w:type="dxa"/>
            <w:vAlign w:val="center"/>
          </w:tcPr>
          <w:p w14:paraId="22528AD3">
            <w:pPr>
              <w:ind w:firstLine="560"/>
              <w:jc w:val="center"/>
              <w:rPr>
                <w:rFonts w:hint="eastAsia" w:ascii="宋体" w:hAnsi="宋体" w:eastAsia="宋体" w:cs="宋体"/>
                <w:caps/>
                <w:color w:val="auto"/>
                <w:sz w:val="24"/>
                <w:szCs w:val="24"/>
                <w:highlight w:val="none"/>
              </w:rPr>
            </w:pPr>
          </w:p>
        </w:tc>
        <w:tc>
          <w:tcPr>
            <w:tcW w:w="984" w:type="dxa"/>
            <w:vAlign w:val="center"/>
          </w:tcPr>
          <w:p w14:paraId="52324119">
            <w:pPr>
              <w:ind w:firstLine="560"/>
              <w:jc w:val="center"/>
              <w:rPr>
                <w:rFonts w:hint="eastAsia" w:ascii="宋体" w:hAnsi="宋体" w:eastAsia="宋体" w:cs="宋体"/>
                <w:caps/>
                <w:color w:val="auto"/>
                <w:sz w:val="24"/>
                <w:szCs w:val="24"/>
                <w:highlight w:val="none"/>
              </w:rPr>
            </w:pPr>
          </w:p>
        </w:tc>
        <w:tc>
          <w:tcPr>
            <w:tcW w:w="1013" w:type="dxa"/>
            <w:vAlign w:val="center"/>
          </w:tcPr>
          <w:p w14:paraId="2C5BBAD8">
            <w:pPr>
              <w:ind w:firstLine="560"/>
              <w:jc w:val="center"/>
              <w:rPr>
                <w:rFonts w:hint="eastAsia" w:ascii="宋体" w:hAnsi="宋体" w:eastAsia="宋体" w:cs="宋体"/>
                <w:caps/>
                <w:color w:val="auto"/>
                <w:sz w:val="24"/>
                <w:szCs w:val="24"/>
                <w:highlight w:val="none"/>
              </w:rPr>
            </w:pPr>
          </w:p>
        </w:tc>
        <w:tc>
          <w:tcPr>
            <w:tcW w:w="1571" w:type="dxa"/>
            <w:vAlign w:val="center"/>
          </w:tcPr>
          <w:p w14:paraId="3A71B33E">
            <w:pPr>
              <w:ind w:firstLine="560"/>
              <w:jc w:val="center"/>
              <w:rPr>
                <w:rFonts w:hint="eastAsia" w:ascii="宋体" w:hAnsi="宋体" w:eastAsia="宋体" w:cs="宋体"/>
                <w:caps/>
                <w:color w:val="auto"/>
                <w:sz w:val="24"/>
                <w:szCs w:val="24"/>
                <w:highlight w:val="none"/>
              </w:rPr>
            </w:pPr>
          </w:p>
        </w:tc>
      </w:tr>
      <w:tr w14:paraId="3DE78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657" w:type="dxa"/>
            <w:vAlign w:val="center"/>
          </w:tcPr>
          <w:p w14:paraId="65B185C5">
            <w:pPr>
              <w:ind w:firstLine="560"/>
              <w:jc w:val="center"/>
              <w:rPr>
                <w:rFonts w:hint="eastAsia" w:ascii="宋体" w:hAnsi="宋体" w:eastAsia="宋体" w:cs="宋体"/>
                <w:caps/>
                <w:color w:val="auto"/>
                <w:sz w:val="24"/>
                <w:szCs w:val="24"/>
                <w:highlight w:val="none"/>
              </w:rPr>
            </w:pPr>
          </w:p>
        </w:tc>
        <w:tc>
          <w:tcPr>
            <w:tcW w:w="900" w:type="dxa"/>
            <w:vAlign w:val="center"/>
          </w:tcPr>
          <w:p w14:paraId="62736F8E">
            <w:pPr>
              <w:ind w:firstLine="560"/>
              <w:jc w:val="center"/>
              <w:rPr>
                <w:rFonts w:hint="eastAsia" w:ascii="宋体" w:hAnsi="宋体" w:eastAsia="宋体" w:cs="宋体"/>
                <w:caps/>
                <w:color w:val="auto"/>
                <w:sz w:val="24"/>
                <w:szCs w:val="24"/>
                <w:highlight w:val="none"/>
              </w:rPr>
            </w:pPr>
          </w:p>
        </w:tc>
        <w:tc>
          <w:tcPr>
            <w:tcW w:w="900" w:type="dxa"/>
            <w:vAlign w:val="center"/>
          </w:tcPr>
          <w:p w14:paraId="1B328970">
            <w:pPr>
              <w:ind w:firstLine="560"/>
              <w:jc w:val="center"/>
              <w:rPr>
                <w:rFonts w:hint="eastAsia" w:ascii="宋体" w:hAnsi="宋体" w:eastAsia="宋体" w:cs="宋体"/>
                <w:caps/>
                <w:color w:val="auto"/>
                <w:sz w:val="24"/>
                <w:szCs w:val="24"/>
                <w:highlight w:val="none"/>
              </w:rPr>
            </w:pPr>
          </w:p>
        </w:tc>
        <w:tc>
          <w:tcPr>
            <w:tcW w:w="1395" w:type="dxa"/>
            <w:vAlign w:val="center"/>
          </w:tcPr>
          <w:p w14:paraId="65034A2C">
            <w:pPr>
              <w:ind w:firstLine="560"/>
              <w:jc w:val="center"/>
              <w:rPr>
                <w:rFonts w:hint="eastAsia" w:ascii="宋体" w:hAnsi="宋体" w:eastAsia="宋体" w:cs="宋体"/>
                <w:caps/>
                <w:color w:val="auto"/>
                <w:sz w:val="24"/>
                <w:szCs w:val="24"/>
                <w:highlight w:val="none"/>
              </w:rPr>
            </w:pPr>
          </w:p>
        </w:tc>
        <w:tc>
          <w:tcPr>
            <w:tcW w:w="984" w:type="dxa"/>
            <w:vAlign w:val="center"/>
          </w:tcPr>
          <w:p w14:paraId="69231C91">
            <w:pPr>
              <w:ind w:firstLine="560"/>
              <w:jc w:val="center"/>
              <w:rPr>
                <w:rFonts w:hint="eastAsia" w:ascii="宋体" w:hAnsi="宋体" w:eastAsia="宋体" w:cs="宋体"/>
                <w:caps/>
                <w:color w:val="auto"/>
                <w:sz w:val="24"/>
                <w:szCs w:val="24"/>
                <w:highlight w:val="none"/>
              </w:rPr>
            </w:pPr>
          </w:p>
        </w:tc>
        <w:tc>
          <w:tcPr>
            <w:tcW w:w="984" w:type="dxa"/>
            <w:vAlign w:val="center"/>
          </w:tcPr>
          <w:p w14:paraId="4996A874">
            <w:pPr>
              <w:ind w:firstLine="560"/>
              <w:jc w:val="center"/>
              <w:rPr>
                <w:rFonts w:hint="eastAsia" w:ascii="宋体" w:hAnsi="宋体" w:eastAsia="宋体" w:cs="宋体"/>
                <w:caps/>
                <w:color w:val="auto"/>
                <w:sz w:val="24"/>
                <w:szCs w:val="24"/>
                <w:highlight w:val="none"/>
              </w:rPr>
            </w:pPr>
          </w:p>
        </w:tc>
        <w:tc>
          <w:tcPr>
            <w:tcW w:w="1013" w:type="dxa"/>
            <w:vAlign w:val="center"/>
          </w:tcPr>
          <w:p w14:paraId="421AAB2A">
            <w:pPr>
              <w:ind w:firstLine="560"/>
              <w:jc w:val="center"/>
              <w:rPr>
                <w:rFonts w:hint="eastAsia" w:ascii="宋体" w:hAnsi="宋体" w:eastAsia="宋体" w:cs="宋体"/>
                <w:caps/>
                <w:color w:val="auto"/>
                <w:sz w:val="24"/>
                <w:szCs w:val="24"/>
                <w:highlight w:val="none"/>
              </w:rPr>
            </w:pPr>
          </w:p>
        </w:tc>
        <w:tc>
          <w:tcPr>
            <w:tcW w:w="1571" w:type="dxa"/>
            <w:vAlign w:val="center"/>
          </w:tcPr>
          <w:p w14:paraId="75747DAB">
            <w:pPr>
              <w:ind w:firstLine="560"/>
              <w:jc w:val="center"/>
              <w:rPr>
                <w:rFonts w:hint="eastAsia" w:ascii="宋体" w:hAnsi="宋体" w:eastAsia="宋体" w:cs="宋体"/>
                <w:caps/>
                <w:color w:val="auto"/>
                <w:sz w:val="24"/>
                <w:szCs w:val="24"/>
                <w:highlight w:val="none"/>
              </w:rPr>
            </w:pPr>
          </w:p>
        </w:tc>
      </w:tr>
      <w:tr w14:paraId="42D00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657" w:type="dxa"/>
            <w:vAlign w:val="center"/>
          </w:tcPr>
          <w:p w14:paraId="44B7BCAE">
            <w:pPr>
              <w:ind w:firstLine="560"/>
              <w:jc w:val="center"/>
              <w:rPr>
                <w:rFonts w:hint="eastAsia" w:ascii="宋体" w:hAnsi="宋体" w:eastAsia="宋体" w:cs="宋体"/>
                <w:caps/>
                <w:color w:val="auto"/>
                <w:sz w:val="24"/>
                <w:szCs w:val="24"/>
                <w:highlight w:val="none"/>
              </w:rPr>
            </w:pPr>
          </w:p>
        </w:tc>
        <w:tc>
          <w:tcPr>
            <w:tcW w:w="900" w:type="dxa"/>
            <w:vAlign w:val="center"/>
          </w:tcPr>
          <w:p w14:paraId="765C8B67">
            <w:pPr>
              <w:ind w:firstLine="560"/>
              <w:jc w:val="center"/>
              <w:rPr>
                <w:rFonts w:hint="eastAsia" w:ascii="宋体" w:hAnsi="宋体" w:eastAsia="宋体" w:cs="宋体"/>
                <w:caps/>
                <w:color w:val="auto"/>
                <w:sz w:val="24"/>
                <w:szCs w:val="24"/>
                <w:highlight w:val="none"/>
              </w:rPr>
            </w:pPr>
          </w:p>
        </w:tc>
        <w:tc>
          <w:tcPr>
            <w:tcW w:w="900" w:type="dxa"/>
            <w:vAlign w:val="center"/>
          </w:tcPr>
          <w:p w14:paraId="362E8361">
            <w:pPr>
              <w:ind w:firstLine="560"/>
              <w:jc w:val="center"/>
              <w:rPr>
                <w:rFonts w:hint="eastAsia" w:ascii="宋体" w:hAnsi="宋体" w:eastAsia="宋体" w:cs="宋体"/>
                <w:caps/>
                <w:color w:val="auto"/>
                <w:sz w:val="24"/>
                <w:szCs w:val="24"/>
                <w:highlight w:val="none"/>
              </w:rPr>
            </w:pPr>
          </w:p>
        </w:tc>
        <w:tc>
          <w:tcPr>
            <w:tcW w:w="1395" w:type="dxa"/>
            <w:vAlign w:val="center"/>
          </w:tcPr>
          <w:p w14:paraId="2CA29F9C">
            <w:pPr>
              <w:ind w:firstLine="560"/>
              <w:jc w:val="center"/>
              <w:rPr>
                <w:rFonts w:hint="eastAsia" w:ascii="宋体" w:hAnsi="宋体" w:eastAsia="宋体" w:cs="宋体"/>
                <w:caps/>
                <w:color w:val="auto"/>
                <w:sz w:val="24"/>
                <w:szCs w:val="24"/>
                <w:highlight w:val="none"/>
              </w:rPr>
            </w:pPr>
          </w:p>
        </w:tc>
        <w:tc>
          <w:tcPr>
            <w:tcW w:w="984" w:type="dxa"/>
            <w:vAlign w:val="center"/>
          </w:tcPr>
          <w:p w14:paraId="52D9B13D">
            <w:pPr>
              <w:ind w:firstLine="560"/>
              <w:jc w:val="center"/>
              <w:rPr>
                <w:rFonts w:hint="eastAsia" w:ascii="宋体" w:hAnsi="宋体" w:eastAsia="宋体" w:cs="宋体"/>
                <w:caps/>
                <w:color w:val="auto"/>
                <w:sz w:val="24"/>
                <w:szCs w:val="24"/>
                <w:highlight w:val="none"/>
              </w:rPr>
            </w:pPr>
          </w:p>
        </w:tc>
        <w:tc>
          <w:tcPr>
            <w:tcW w:w="984" w:type="dxa"/>
            <w:vAlign w:val="center"/>
          </w:tcPr>
          <w:p w14:paraId="5479BB20">
            <w:pPr>
              <w:ind w:firstLine="560"/>
              <w:jc w:val="center"/>
              <w:rPr>
                <w:rFonts w:hint="eastAsia" w:ascii="宋体" w:hAnsi="宋体" w:eastAsia="宋体" w:cs="宋体"/>
                <w:caps/>
                <w:color w:val="auto"/>
                <w:sz w:val="24"/>
                <w:szCs w:val="24"/>
                <w:highlight w:val="none"/>
              </w:rPr>
            </w:pPr>
          </w:p>
        </w:tc>
        <w:tc>
          <w:tcPr>
            <w:tcW w:w="1013" w:type="dxa"/>
            <w:vAlign w:val="center"/>
          </w:tcPr>
          <w:p w14:paraId="410C4AE2">
            <w:pPr>
              <w:ind w:firstLine="560"/>
              <w:jc w:val="center"/>
              <w:rPr>
                <w:rFonts w:hint="eastAsia" w:ascii="宋体" w:hAnsi="宋体" w:eastAsia="宋体" w:cs="宋体"/>
                <w:caps/>
                <w:color w:val="auto"/>
                <w:sz w:val="24"/>
                <w:szCs w:val="24"/>
                <w:highlight w:val="none"/>
              </w:rPr>
            </w:pPr>
          </w:p>
        </w:tc>
        <w:tc>
          <w:tcPr>
            <w:tcW w:w="1571" w:type="dxa"/>
            <w:vAlign w:val="center"/>
          </w:tcPr>
          <w:p w14:paraId="1508B981">
            <w:pPr>
              <w:ind w:firstLine="560"/>
              <w:jc w:val="center"/>
              <w:rPr>
                <w:rFonts w:hint="eastAsia" w:ascii="宋体" w:hAnsi="宋体" w:eastAsia="宋体" w:cs="宋体"/>
                <w:caps/>
                <w:color w:val="auto"/>
                <w:sz w:val="24"/>
                <w:szCs w:val="24"/>
                <w:highlight w:val="none"/>
              </w:rPr>
            </w:pPr>
          </w:p>
        </w:tc>
      </w:tr>
      <w:tr w14:paraId="2D759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657" w:type="dxa"/>
            <w:vAlign w:val="center"/>
          </w:tcPr>
          <w:p w14:paraId="2DD077EF">
            <w:pPr>
              <w:ind w:firstLine="560"/>
              <w:jc w:val="center"/>
              <w:rPr>
                <w:rFonts w:hint="eastAsia" w:ascii="宋体" w:hAnsi="宋体" w:eastAsia="宋体" w:cs="宋体"/>
                <w:caps/>
                <w:color w:val="auto"/>
                <w:sz w:val="24"/>
                <w:szCs w:val="24"/>
                <w:highlight w:val="none"/>
              </w:rPr>
            </w:pPr>
          </w:p>
        </w:tc>
        <w:tc>
          <w:tcPr>
            <w:tcW w:w="900" w:type="dxa"/>
            <w:vAlign w:val="center"/>
          </w:tcPr>
          <w:p w14:paraId="0624C979">
            <w:pPr>
              <w:ind w:firstLine="560"/>
              <w:jc w:val="center"/>
              <w:rPr>
                <w:rFonts w:hint="eastAsia" w:ascii="宋体" w:hAnsi="宋体" w:eastAsia="宋体" w:cs="宋体"/>
                <w:caps/>
                <w:color w:val="auto"/>
                <w:sz w:val="24"/>
                <w:szCs w:val="24"/>
                <w:highlight w:val="none"/>
              </w:rPr>
            </w:pPr>
          </w:p>
        </w:tc>
        <w:tc>
          <w:tcPr>
            <w:tcW w:w="900" w:type="dxa"/>
            <w:vAlign w:val="center"/>
          </w:tcPr>
          <w:p w14:paraId="50C99BCB">
            <w:pPr>
              <w:ind w:firstLine="560"/>
              <w:jc w:val="center"/>
              <w:rPr>
                <w:rFonts w:hint="eastAsia" w:ascii="宋体" w:hAnsi="宋体" w:eastAsia="宋体" w:cs="宋体"/>
                <w:caps/>
                <w:color w:val="auto"/>
                <w:sz w:val="24"/>
                <w:szCs w:val="24"/>
                <w:highlight w:val="none"/>
              </w:rPr>
            </w:pPr>
          </w:p>
        </w:tc>
        <w:tc>
          <w:tcPr>
            <w:tcW w:w="1395" w:type="dxa"/>
            <w:vAlign w:val="center"/>
          </w:tcPr>
          <w:p w14:paraId="12269906">
            <w:pPr>
              <w:ind w:firstLine="560"/>
              <w:jc w:val="center"/>
              <w:rPr>
                <w:rFonts w:hint="eastAsia" w:ascii="宋体" w:hAnsi="宋体" w:eastAsia="宋体" w:cs="宋体"/>
                <w:caps/>
                <w:color w:val="auto"/>
                <w:sz w:val="24"/>
                <w:szCs w:val="24"/>
                <w:highlight w:val="none"/>
              </w:rPr>
            </w:pPr>
          </w:p>
        </w:tc>
        <w:tc>
          <w:tcPr>
            <w:tcW w:w="984" w:type="dxa"/>
            <w:vAlign w:val="center"/>
          </w:tcPr>
          <w:p w14:paraId="58D7C91E">
            <w:pPr>
              <w:ind w:firstLine="560"/>
              <w:jc w:val="center"/>
              <w:rPr>
                <w:rFonts w:hint="eastAsia" w:ascii="宋体" w:hAnsi="宋体" w:eastAsia="宋体" w:cs="宋体"/>
                <w:caps/>
                <w:color w:val="auto"/>
                <w:sz w:val="24"/>
                <w:szCs w:val="24"/>
                <w:highlight w:val="none"/>
              </w:rPr>
            </w:pPr>
          </w:p>
        </w:tc>
        <w:tc>
          <w:tcPr>
            <w:tcW w:w="984" w:type="dxa"/>
            <w:vAlign w:val="center"/>
          </w:tcPr>
          <w:p w14:paraId="6AB24AED">
            <w:pPr>
              <w:ind w:firstLine="560"/>
              <w:jc w:val="center"/>
              <w:rPr>
                <w:rFonts w:hint="eastAsia" w:ascii="宋体" w:hAnsi="宋体" w:eastAsia="宋体" w:cs="宋体"/>
                <w:caps/>
                <w:color w:val="auto"/>
                <w:sz w:val="24"/>
                <w:szCs w:val="24"/>
                <w:highlight w:val="none"/>
              </w:rPr>
            </w:pPr>
          </w:p>
        </w:tc>
        <w:tc>
          <w:tcPr>
            <w:tcW w:w="1013" w:type="dxa"/>
            <w:vAlign w:val="center"/>
          </w:tcPr>
          <w:p w14:paraId="2F63A52E">
            <w:pPr>
              <w:ind w:firstLine="560"/>
              <w:jc w:val="center"/>
              <w:rPr>
                <w:rFonts w:hint="eastAsia" w:ascii="宋体" w:hAnsi="宋体" w:eastAsia="宋体" w:cs="宋体"/>
                <w:caps/>
                <w:color w:val="auto"/>
                <w:sz w:val="24"/>
                <w:szCs w:val="24"/>
                <w:highlight w:val="none"/>
              </w:rPr>
            </w:pPr>
          </w:p>
        </w:tc>
        <w:tc>
          <w:tcPr>
            <w:tcW w:w="1571" w:type="dxa"/>
            <w:vAlign w:val="center"/>
          </w:tcPr>
          <w:p w14:paraId="72F1FC86">
            <w:pPr>
              <w:ind w:firstLine="560"/>
              <w:jc w:val="center"/>
              <w:rPr>
                <w:rFonts w:hint="eastAsia" w:ascii="宋体" w:hAnsi="宋体" w:eastAsia="宋体" w:cs="宋体"/>
                <w:caps/>
                <w:color w:val="auto"/>
                <w:sz w:val="24"/>
                <w:szCs w:val="24"/>
                <w:highlight w:val="none"/>
              </w:rPr>
            </w:pPr>
          </w:p>
        </w:tc>
      </w:tr>
    </w:tbl>
    <w:p w14:paraId="72069F1B">
      <w:pPr>
        <w:jc w:val="center"/>
        <w:outlineLvl w:val="2"/>
        <w:rPr>
          <w:rFonts w:hint="eastAsia" w:ascii="宋体" w:hAnsi="宋体" w:eastAsia="宋体" w:cs="宋体"/>
          <w:b/>
          <w:caps/>
          <w:color w:val="auto"/>
          <w:sz w:val="24"/>
          <w:szCs w:val="24"/>
          <w:highlight w:val="none"/>
        </w:rPr>
      </w:pPr>
      <w:bookmarkStart w:id="537" w:name="_Toc25584"/>
      <w:r>
        <w:rPr>
          <w:rFonts w:hint="eastAsia" w:ascii="宋体" w:hAnsi="宋体" w:eastAsia="宋体" w:cs="宋体"/>
          <w:b/>
          <w:caps/>
          <w:color w:val="auto"/>
          <w:sz w:val="24"/>
          <w:szCs w:val="24"/>
          <w:highlight w:val="none"/>
        </w:rPr>
        <w:t>（二）主要人员简历表</w:t>
      </w:r>
      <w:bookmarkEnd w:id="537"/>
    </w:p>
    <w:p w14:paraId="08D8D497">
      <w:pPr>
        <w:rPr>
          <w:rFonts w:hint="eastAsia" w:ascii="宋体" w:hAnsi="宋体" w:eastAsia="宋体" w:cs="宋体"/>
          <w:b/>
          <w:caps/>
          <w:color w:val="auto"/>
          <w:sz w:val="24"/>
          <w:szCs w:val="24"/>
          <w:highlight w:val="none"/>
        </w:rPr>
      </w:pPr>
      <w:r>
        <w:rPr>
          <w:rFonts w:hint="eastAsia" w:ascii="宋体" w:hAnsi="宋体" w:eastAsia="宋体" w:cs="宋体"/>
          <w:caps/>
          <w:color w:val="auto"/>
          <w:sz w:val="24"/>
          <w:szCs w:val="24"/>
          <w:highlight w:val="none"/>
        </w:rPr>
        <w:t xml:space="preserve">   “主要人员简历表”中的项目负责人应附项目负责人注册建造师证、项目负责人安全生产考核合格证书、身份证复印件；技术负责人应附身份证、职称证复印件；项目专职安全员应附专职安全生产管理人员安全生产考核合格</w:t>
      </w:r>
      <w:r>
        <w:rPr>
          <w:rFonts w:hint="eastAsia" w:ascii="宋体" w:hAnsi="宋体" w:eastAsia="宋体" w:cs="宋体"/>
          <w:color w:val="auto"/>
          <w:sz w:val="24"/>
          <w:szCs w:val="24"/>
          <w:highlight w:val="none"/>
        </w:rPr>
        <w:t>证书、身份证复印件；</w:t>
      </w:r>
      <w:r>
        <w:rPr>
          <w:rFonts w:hint="eastAsia" w:ascii="宋体" w:hAnsi="宋体" w:eastAsia="宋体" w:cs="宋体"/>
          <w:caps/>
          <w:color w:val="auto"/>
          <w:sz w:val="24"/>
          <w:szCs w:val="24"/>
          <w:highlight w:val="none"/>
        </w:rPr>
        <w:t>其他主要人员应附执业证或上岗证书复印件。</w:t>
      </w:r>
    </w:p>
    <w:tbl>
      <w:tblPr>
        <w:tblStyle w:val="61"/>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1148"/>
        <w:gridCol w:w="2000"/>
        <w:gridCol w:w="1152"/>
        <w:gridCol w:w="2007"/>
        <w:gridCol w:w="1570"/>
      </w:tblGrid>
      <w:tr w14:paraId="3008B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04A54F01">
            <w:pPr>
              <w:ind w:left="-13" w:leftChars="-137" w:hanging="288" w:hangingChars="120"/>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姓名</w:t>
            </w:r>
          </w:p>
        </w:tc>
        <w:tc>
          <w:tcPr>
            <w:tcW w:w="1148" w:type="dxa"/>
            <w:vAlign w:val="center"/>
          </w:tcPr>
          <w:p w14:paraId="2B53C22E">
            <w:pPr>
              <w:ind w:firstLine="560"/>
              <w:jc w:val="center"/>
              <w:rPr>
                <w:rFonts w:hint="eastAsia" w:ascii="宋体" w:hAnsi="宋体" w:eastAsia="宋体" w:cs="宋体"/>
                <w:caps/>
                <w:color w:val="auto"/>
                <w:sz w:val="24"/>
                <w:szCs w:val="24"/>
                <w:highlight w:val="none"/>
              </w:rPr>
            </w:pPr>
          </w:p>
        </w:tc>
        <w:tc>
          <w:tcPr>
            <w:tcW w:w="2000" w:type="dxa"/>
            <w:vAlign w:val="center"/>
          </w:tcPr>
          <w:p w14:paraId="11071F08">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年龄</w:t>
            </w:r>
          </w:p>
        </w:tc>
        <w:tc>
          <w:tcPr>
            <w:tcW w:w="1152" w:type="dxa"/>
            <w:vAlign w:val="center"/>
          </w:tcPr>
          <w:p w14:paraId="517A532B">
            <w:pPr>
              <w:ind w:firstLine="560"/>
              <w:jc w:val="center"/>
              <w:rPr>
                <w:rFonts w:hint="eastAsia" w:ascii="宋体" w:hAnsi="宋体" w:eastAsia="宋体" w:cs="宋体"/>
                <w:caps/>
                <w:color w:val="auto"/>
                <w:sz w:val="24"/>
                <w:szCs w:val="24"/>
                <w:highlight w:val="none"/>
              </w:rPr>
            </w:pPr>
          </w:p>
        </w:tc>
        <w:tc>
          <w:tcPr>
            <w:tcW w:w="2007" w:type="dxa"/>
            <w:vAlign w:val="center"/>
          </w:tcPr>
          <w:p w14:paraId="2062C490">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学历</w:t>
            </w:r>
          </w:p>
        </w:tc>
        <w:tc>
          <w:tcPr>
            <w:tcW w:w="1570" w:type="dxa"/>
            <w:vAlign w:val="center"/>
          </w:tcPr>
          <w:p w14:paraId="199B0296">
            <w:pPr>
              <w:ind w:firstLine="560"/>
              <w:jc w:val="center"/>
              <w:rPr>
                <w:rFonts w:hint="eastAsia" w:ascii="宋体" w:hAnsi="宋体" w:eastAsia="宋体" w:cs="宋体"/>
                <w:caps/>
                <w:color w:val="auto"/>
                <w:sz w:val="24"/>
                <w:szCs w:val="24"/>
                <w:highlight w:val="none"/>
              </w:rPr>
            </w:pPr>
          </w:p>
        </w:tc>
      </w:tr>
      <w:tr w14:paraId="3F833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53DDD127">
            <w:pPr>
              <w:ind w:left="-13" w:leftChars="-137" w:hanging="288" w:hangingChars="120"/>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职称</w:t>
            </w:r>
          </w:p>
        </w:tc>
        <w:tc>
          <w:tcPr>
            <w:tcW w:w="1148" w:type="dxa"/>
            <w:vAlign w:val="center"/>
          </w:tcPr>
          <w:p w14:paraId="42A78D3C">
            <w:pPr>
              <w:ind w:firstLine="560"/>
              <w:jc w:val="center"/>
              <w:rPr>
                <w:rFonts w:hint="eastAsia" w:ascii="宋体" w:hAnsi="宋体" w:eastAsia="宋体" w:cs="宋体"/>
                <w:caps/>
                <w:color w:val="auto"/>
                <w:sz w:val="24"/>
                <w:szCs w:val="24"/>
                <w:highlight w:val="none"/>
              </w:rPr>
            </w:pPr>
          </w:p>
        </w:tc>
        <w:tc>
          <w:tcPr>
            <w:tcW w:w="2000" w:type="dxa"/>
            <w:vAlign w:val="center"/>
          </w:tcPr>
          <w:p w14:paraId="2F32D17B">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职务</w:t>
            </w:r>
          </w:p>
        </w:tc>
        <w:tc>
          <w:tcPr>
            <w:tcW w:w="1152" w:type="dxa"/>
            <w:vAlign w:val="center"/>
          </w:tcPr>
          <w:p w14:paraId="290401E6">
            <w:pPr>
              <w:ind w:firstLine="560"/>
              <w:jc w:val="center"/>
              <w:rPr>
                <w:rFonts w:hint="eastAsia" w:ascii="宋体" w:hAnsi="宋体" w:eastAsia="宋体" w:cs="宋体"/>
                <w:caps/>
                <w:color w:val="auto"/>
                <w:sz w:val="24"/>
                <w:szCs w:val="24"/>
                <w:highlight w:val="none"/>
              </w:rPr>
            </w:pPr>
          </w:p>
        </w:tc>
        <w:tc>
          <w:tcPr>
            <w:tcW w:w="2007" w:type="dxa"/>
            <w:vAlign w:val="center"/>
          </w:tcPr>
          <w:p w14:paraId="1B00F5C4">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拟在本合同任职</w:t>
            </w:r>
          </w:p>
        </w:tc>
        <w:tc>
          <w:tcPr>
            <w:tcW w:w="1570" w:type="dxa"/>
            <w:vAlign w:val="center"/>
          </w:tcPr>
          <w:p w14:paraId="71D09813">
            <w:pPr>
              <w:ind w:firstLine="560"/>
              <w:jc w:val="center"/>
              <w:rPr>
                <w:rFonts w:hint="eastAsia" w:ascii="宋体" w:hAnsi="宋体" w:eastAsia="宋体" w:cs="宋体"/>
                <w:caps/>
                <w:color w:val="auto"/>
                <w:sz w:val="24"/>
                <w:szCs w:val="24"/>
                <w:highlight w:val="none"/>
              </w:rPr>
            </w:pPr>
          </w:p>
        </w:tc>
      </w:tr>
      <w:tr w14:paraId="061B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1580" w:type="dxa"/>
            <w:vAlign w:val="center"/>
          </w:tcPr>
          <w:p w14:paraId="1DAB467D">
            <w:pPr>
              <w:ind w:left="-13" w:leftChars="-137" w:hanging="288" w:hangingChars="120"/>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毕业学校</w:t>
            </w:r>
          </w:p>
        </w:tc>
        <w:tc>
          <w:tcPr>
            <w:tcW w:w="7877" w:type="dxa"/>
            <w:gridSpan w:val="5"/>
            <w:vAlign w:val="center"/>
          </w:tcPr>
          <w:p w14:paraId="140A7E0E">
            <w:pPr>
              <w:ind w:left="480" w:hanging="480" w:hangingChars="200"/>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u w:val="single"/>
              </w:rPr>
              <w:t xml:space="preserve">         </w:t>
            </w:r>
            <w:r>
              <w:rPr>
                <w:rFonts w:hint="eastAsia" w:ascii="宋体" w:hAnsi="宋体" w:eastAsia="宋体" w:cs="宋体"/>
                <w:caps/>
                <w:color w:val="auto"/>
                <w:sz w:val="24"/>
                <w:szCs w:val="24"/>
                <w:highlight w:val="none"/>
              </w:rPr>
              <w:t>年毕业于</w:t>
            </w:r>
            <w:r>
              <w:rPr>
                <w:rFonts w:hint="eastAsia" w:ascii="宋体" w:hAnsi="宋体" w:eastAsia="宋体" w:cs="宋体"/>
                <w:caps/>
                <w:color w:val="auto"/>
                <w:sz w:val="24"/>
                <w:szCs w:val="24"/>
                <w:highlight w:val="none"/>
                <w:u w:val="single"/>
              </w:rPr>
              <w:t xml:space="preserve">        </w:t>
            </w:r>
            <w:r>
              <w:rPr>
                <w:rFonts w:hint="eastAsia" w:ascii="宋体" w:hAnsi="宋体" w:eastAsia="宋体" w:cs="宋体"/>
                <w:caps/>
                <w:color w:val="auto"/>
                <w:sz w:val="24"/>
                <w:szCs w:val="24"/>
                <w:highlight w:val="none"/>
              </w:rPr>
              <w:t>学校</w:t>
            </w:r>
            <w:r>
              <w:rPr>
                <w:rFonts w:hint="eastAsia" w:ascii="宋体" w:hAnsi="宋体" w:eastAsia="宋体" w:cs="宋体"/>
                <w:caps/>
                <w:color w:val="auto"/>
                <w:sz w:val="24"/>
                <w:szCs w:val="24"/>
                <w:highlight w:val="none"/>
                <w:u w:val="single"/>
              </w:rPr>
              <w:t xml:space="preserve">             </w:t>
            </w:r>
            <w:r>
              <w:rPr>
                <w:rFonts w:hint="eastAsia" w:ascii="宋体" w:hAnsi="宋体" w:eastAsia="宋体" w:cs="宋体"/>
                <w:caps/>
                <w:color w:val="auto"/>
                <w:sz w:val="24"/>
                <w:szCs w:val="24"/>
                <w:highlight w:val="none"/>
              </w:rPr>
              <w:t>专业</w:t>
            </w:r>
          </w:p>
        </w:tc>
      </w:tr>
      <w:tr w14:paraId="3B397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457" w:type="dxa"/>
            <w:gridSpan w:val="6"/>
            <w:vAlign w:val="center"/>
          </w:tcPr>
          <w:p w14:paraId="42C1F24D">
            <w:pPr>
              <w:ind w:left="-13" w:leftChars="-137" w:hanging="288" w:hangingChars="120"/>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主要工作经历</w:t>
            </w:r>
          </w:p>
        </w:tc>
      </w:tr>
      <w:tr w14:paraId="59A2A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5E15DEA8">
            <w:pPr>
              <w:ind w:left="-13" w:leftChars="-137" w:hanging="288" w:hangingChars="120"/>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时间</w:t>
            </w:r>
          </w:p>
        </w:tc>
        <w:tc>
          <w:tcPr>
            <w:tcW w:w="3148" w:type="dxa"/>
            <w:gridSpan w:val="2"/>
            <w:vAlign w:val="center"/>
          </w:tcPr>
          <w:p w14:paraId="07DF4F1C">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参加过的类似项目</w:t>
            </w:r>
          </w:p>
        </w:tc>
        <w:tc>
          <w:tcPr>
            <w:tcW w:w="1152" w:type="dxa"/>
            <w:vAlign w:val="center"/>
          </w:tcPr>
          <w:p w14:paraId="675D8FE1">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担任</w:t>
            </w:r>
          </w:p>
          <w:p w14:paraId="6813B399">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职务</w:t>
            </w:r>
          </w:p>
        </w:tc>
        <w:tc>
          <w:tcPr>
            <w:tcW w:w="3577" w:type="dxa"/>
            <w:gridSpan w:val="2"/>
            <w:vAlign w:val="center"/>
          </w:tcPr>
          <w:p w14:paraId="62303ACF">
            <w:pPr>
              <w:jc w:val="cente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发包人及联系电话</w:t>
            </w:r>
          </w:p>
        </w:tc>
      </w:tr>
      <w:tr w14:paraId="5BF61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71C20B6C">
            <w:pPr>
              <w:ind w:left="5250" w:firstLine="560"/>
              <w:jc w:val="center"/>
              <w:rPr>
                <w:rFonts w:hint="eastAsia" w:ascii="宋体" w:hAnsi="宋体" w:eastAsia="宋体" w:cs="宋体"/>
                <w:caps/>
                <w:color w:val="auto"/>
                <w:sz w:val="24"/>
                <w:szCs w:val="24"/>
                <w:highlight w:val="none"/>
              </w:rPr>
            </w:pPr>
          </w:p>
        </w:tc>
        <w:tc>
          <w:tcPr>
            <w:tcW w:w="3148" w:type="dxa"/>
            <w:gridSpan w:val="2"/>
            <w:vAlign w:val="center"/>
          </w:tcPr>
          <w:p w14:paraId="64EA9DE4">
            <w:pPr>
              <w:ind w:firstLine="560"/>
              <w:jc w:val="center"/>
              <w:rPr>
                <w:rFonts w:hint="eastAsia" w:ascii="宋体" w:hAnsi="宋体" w:eastAsia="宋体" w:cs="宋体"/>
                <w:caps/>
                <w:color w:val="auto"/>
                <w:sz w:val="24"/>
                <w:szCs w:val="24"/>
                <w:highlight w:val="none"/>
              </w:rPr>
            </w:pPr>
          </w:p>
        </w:tc>
        <w:tc>
          <w:tcPr>
            <w:tcW w:w="1152" w:type="dxa"/>
            <w:vAlign w:val="center"/>
          </w:tcPr>
          <w:p w14:paraId="0611687B">
            <w:pPr>
              <w:ind w:firstLine="560"/>
              <w:jc w:val="center"/>
              <w:rPr>
                <w:rFonts w:hint="eastAsia" w:ascii="宋体" w:hAnsi="宋体" w:eastAsia="宋体" w:cs="宋体"/>
                <w:caps/>
                <w:color w:val="auto"/>
                <w:sz w:val="24"/>
                <w:szCs w:val="24"/>
                <w:highlight w:val="none"/>
              </w:rPr>
            </w:pPr>
          </w:p>
        </w:tc>
        <w:tc>
          <w:tcPr>
            <w:tcW w:w="2007" w:type="dxa"/>
            <w:vAlign w:val="center"/>
          </w:tcPr>
          <w:p w14:paraId="030B6280">
            <w:pPr>
              <w:ind w:firstLine="560"/>
              <w:jc w:val="center"/>
              <w:rPr>
                <w:rFonts w:hint="eastAsia" w:ascii="宋体" w:hAnsi="宋体" w:eastAsia="宋体" w:cs="宋体"/>
                <w:caps/>
                <w:color w:val="auto"/>
                <w:sz w:val="24"/>
                <w:szCs w:val="24"/>
                <w:highlight w:val="none"/>
              </w:rPr>
            </w:pPr>
          </w:p>
        </w:tc>
        <w:tc>
          <w:tcPr>
            <w:tcW w:w="1570" w:type="dxa"/>
            <w:vAlign w:val="center"/>
          </w:tcPr>
          <w:p w14:paraId="44962372">
            <w:pPr>
              <w:ind w:firstLine="560"/>
              <w:jc w:val="center"/>
              <w:rPr>
                <w:rFonts w:hint="eastAsia" w:ascii="宋体" w:hAnsi="宋体" w:eastAsia="宋体" w:cs="宋体"/>
                <w:caps/>
                <w:color w:val="auto"/>
                <w:sz w:val="24"/>
                <w:szCs w:val="24"/>
                <w:highlight w:val="none"/>
              </w:rPr>
            </w:pPr>
          </w:p>
        </w:tc>
      </w:tr>
      <w:tr w14:paraId="4396A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1187B1DD">
            <w:pPr>
              <w:ind w:left="5250" w:firstLine="560"/>
              <w:jc w:val="center"/>
              <w:rPr>
                <w:rFonts w:hint="eastAsia" w:ascii="宋体" w:hAnsi="宋体" w:eastAsia="宋体" w:cs="宋体"/>
                <w:caps/>
                <w:color w:val="auto"/>
                <w:sz w:val="24"/>
                <w:szCs w:val="24"/>
                <w:highlight w:val="none"/>
              </w:rPr>
            </w:pPr>
            <w:bookmarkStart w:id="538" w:name="_Toc11088"/>
          </w:p>
        </w:tc>
        <w:tc>
          <w:tcPr>
            <w:tcW w:w="3148" w:type="dxa"/>
            <w:gridSpan w:val="2"/>
            <w:vAlign w:val="center"/>
          </w:tcPr>
          <w:p w14:paraId="1B482C83">
            <w:pPr>
              <w:ind w:firstLine="560"/>
              <w:jc w:val="center"/>
              <w:rPr>
                <w:rFonts w:hint="eastAsia" w:ascii="宋体" w:hAnsi="宋体" w:eastAsia="宋体" w:cs="宋体"/>
                <w:caps/>
                <w:color w:val="auto"/>
                <w:sz w:val="24"/>
                <w:szCs w:val="24"/>
                <w:highlight w:val="none"/>
              </w:rPr>
            </w:pPr>
          </w:p>
        </w:tc>
        <w:tc>
          <w:tcPr>
            <w:tcW w:w="1152" w:type="dxa"/>
            <w:vAlign w:val="center"/>
          </w:tcPr>
          <w:p w14:paraId="12F7F1B5">
            <w:pPr>
              <w:ind w:firstLine="560"/>
              <w:jc w:val="center"/>
              <w:rPr>
                <w:rFonts w:hint="eastAsia" w:ascii="宋体" w:hAnsi="宋体" w:eastAsia="宋体" w:cs="宋体"/>
                <w:caps/>
                <w:color w:val="auto"/>
                <w:sz w:val="24"/>
                <w:szCs w:val="24"/>
                <w:highlight w:val="none"/>
              </w:rPr>
            </w:pPr>
          </w:p>
        </w:tc>
        <w:tc>
          <w:tcPr>
            <w:tcW w:w="2007" w:type="dxa"/>
            <w:vAlign w:val="center"/>
          </w:tcPr>
          <w:p w14:paraId="49EBA038">
            <w:pPr>
              <w:ind w:firstLine="560"/>
              <w:jc w:val="center"/>
              <w:rPr>
                <w:rFonts w:hint="eastAsia" w:ascii="宋体" w:hAnsi="宋体" w:eastAsia="宋体" w:cs="宋体"/>
                <w:caps/>
                <w:color w:val="auto"/>
                <w:sz w:val="24"/>
                <w:szCs w:val="24"/>
                <w:highlight w:val="none"/>
              </w:rPr>
            </w:pPr>
          </w:p>
        </w:tc>
        <w:tc>
          <w:tcPr>
            <w:tcW w:w="1570" w:type="dxa"/>
            <w:vAlign w:val="center"/>
          </w:tcPr>
          <w:p w14:paraId="06423A46">
            <w:pPr>
              <w:ind w:firstLine="560"/>
              <w:jc w:val="center"/>
              <w:rPr>
                <w:rFonts w:hint="eastAsia" w:ascii="宋体" w:hAnsi="宋体" w:eastAsia="宋体" w:cs="宋体"/>
                <w:caps/>
                <w:color w:val="auto"/>
                <w:sz w:val="24"/>
                <w:szCs w:val="24"/>
                <w:highlight w:val="none"/>
              </w:rPr>
            </w:pPr>
          </w:p>
        </w:tc>
      </w:tr>
      <w:tr w14:paraId="312AF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22EF05A5">
            <w:pPr>
              <w:ind w:left="5250" w:firstLine="560"/>
              <w:jc w:val="center"/>
              <w:rPr>
                <w:rFonts w:hint="eastAsia" w:ascii="宋体" w:hAnsi="宋体" w:eastAsia="宋体" w:cs="宋体"/>
                <w:caps/>
                <w:color w:val="auto"/>
                <w:sz w:val="24"/>
                <w:szCs w:val="24"/>
                <w:highlight w:val="none"/>
              </w:rPr>
            </w:pPr>
          </w:p>
        </w:tc>
        <w:tc>
          <w:tcPr>
            <w:tcW w:w="3148" w:type="dxa"/>
            <w:gridSpan w:val="2"/>
            <w:vAlign w:val="center"/>
          </w:tcPr>
          <w:p w14:paraId="1FAE1BD9">
            <w:pPr>
              <w:ind w:firstLine="560"/>
              <w:jc w:val="center"/>
              <w:rPr>
                <w:rFonts w:hint="eastAsia" w:ascii="宋体" w:hAnsi="宋体" w:eastAsia="宋体" w:cs="宋体"/>
                <w:caps/>
                <w:color w:val="auto"/>
                <w:sz w:val="24"/>
                <w:szCs w:val="24"/>
                <w:highlight w:val="none"/>
              </w:rPr>
            </w:pPr>
          </w:p>
        </w:tc>
        <w:tc>
          <w:tcPr>
            <w:tcW w:w="1152" w:type="dxa"/>
            <w:vAlign w:val="center"/>
          </w:tcPr>
          <w:p w14:paraId="63FCFC36">
            <w:pPr>
              <w:ind w:firstLine="560"/>
              <w:jc w:val="center"/>
              <w:rPr>
                <w:rFonts w:hint="eastAsia" w:ascii="宋体" w:hAnsi="宋体" w:eastAsia="宋体" w:cs="宋体"/>
                <w:caps/>
                <w:color w:val="auto"/>
                <w:sz w:val="24"/>
                <w:szCs w:val="24"/>
                <w:highlight w:val="none"/>
              </w:rPr>
            </w:pPr>
          </w:p>
        </w:tc>
        <w:tc>
          <w:tcPr>
            <w:tcW w:w="2007" w:type="dxa"/>
            <w:vAlign w:val="center"/>
          </w:tcPr>
          <w:p w14:paraId="459D36D8">
            <w:pPr>
              <w:ind w:firstLine="560"/>
              <w:jc w:val="center"/>
              <w:rPr>
                <w:rFonts w:hint="eastAsia" w:ascii="宋体" w:hAnsi="宋体" w:eastAsia="宋体" w:cs="宋体"/>
                <w:caps/>
                <w:color w:val="auto"/>
                <w:sz w:val="24"/>
                <w:szCs w:val="24"/>
                <w:highlight w:val="none"/>
              </w:rPr>
            </w:pPr>
          </w:p>
        </w:tc>
        <w:tc>
          <w:tcPr>
            <w:tcW w:w="1570" w:type="dxa"/>
            <w:vAlign w:val="center"/>
          </w:tcPr>
          <w:p w14:paraId="4C1F8F32">
            <w:pPr>
              <w:ind w:firstLine="560"/>
              <w:jc w:val="center"/>
              <w:rPr>
                <w:rFonts w:hint="eastAsia" w:ascii="宋体" w:hAnsi="宋体" w:eastAsia="宋体" w:cs="宋体"/>
                <w:caps/>
                <w:color w:val="auto"/>
                <w:sz w:val="24"/>
                <w:szCs w:val="24"/>
                <w:highlight w:val="none"/>
              </w:rPr>
            </w:pPr>
          </w:p>
        </w:tc>
      </w:tr>
      <w:tr w14:paraId="3BC1A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1404084B">
            <w:pPr>
              <w:ind w:left="5250" w:firstLine="560"/>
              <w:jc w:val="center"/>
              <w:rPr>
                <w:rFonts w:hint="eastAsia" w:ascii="宋体" w:hAnsi="宋体" w:eastAsia="宋体" w:cs="宋体"/>
                <w:caps/>
                <w:color w:val="auto"/>
                <w:sz w:val="24"/>
                <w:szCs w:val="24"/>
                <w:highlight w:val="none"/>
              </w:rPr>
            </w:pPr>
          </w:p>
        </w:tc>
        <w:tc>
          <w:tcPr>
            <w:tcW w:w="3148" w:type="dxa"/>
            <w:gridSpan w:val="2"/>
            <w:vAlign w:val="center"/>
          </w:tcPr>
          <w:p w14:paraId="39BF9A7E">
            <w:pPr>
              <w:ind w:firstLine="560"/>
              <w:jc w:val="center"/>
              <w:rPr>
                <w:rFonts w:hint="eastAsia" w:ascii="宋体" w:hAnsi="宋体" w:eastAsia="宋体" w:cs="宋体"/>
                <w:caps/>
                <w:color w:val="auto"/>
                <w:sz w:val="24"/>
                <w:szCs w:val="24"/>
                <w:highlight w:val="none"/>
              </w:rPr>
            </w:pPr>
          </w:p>
        </w:tc>
        <w:tc>
          <w:tcPr>
            <w:tcW w:w="1152" w:type="dxa"/>
            <w:vAlign w:val="center"/>
          </w:tcPr>
          <w:p w14:paraId="60738ECD">
            <w:pPr>
              <w:ind w:firstLine="560"/>
              <w:jc w:val="center"/>
              <w:rPr>
                <w:rFonts w:hint="eastAsia" w:ascii="宋体" w:hAnsi="宋体" w:eastAsia="宋体" w:cs="宋体"/>
                <w:caps/>
                <w:color w:val="auto"/>
                <w:sz w:val="24"/>
                <w:szCs w:val="24"/>
                <w:highlight w:val="none"/>
              </w:rPr>
            </w:pPr>
          </w:p>
        </w:tc>
        <w:tc>
          <w:tcPr>
            <w:tcW w:w="2007" w:type="dxa"/>
            <w:vAlign w:val="center"/>
          </w:tcPr>
          <w:p w14:paraId="63F44F90">
            <w:pPr>
              <w:ind w:firstLine="560"/>
              <w:jc w:val="center"/>
              <w:rPr>
                <w:rFonts w:hint="eastAsia" w:ascii="宋体" w:hAnsi="宋体" w:eastAsia="宋体" w:cs="宋体"/>
                <w:caps/>
                <w:color w:val="auto"/>
                <w:sz w:val="24"/>
                <w:szCs w:val="24"/>
                <w:highlight w:val="none"/>
              </w:rPr>
            </w:pPr>
          </w:p>
        </w:tc>
        <w:tc>
          <w:tcPr>
            <w:tcW w:w="1570" w:type="dxa"/>
            <w:vAlign w:val="center"/>
          </w:tcPr>
          <w:p w14:paraId="59DCA63C">
            <w:pPr>
              <w:ind w:firstLine="560"/>
              <w:jc w:val="center"/>
              <w:rPr>
                <w:rFonts w:hint="eastAsia" w:ascii="宋体" w:hAnsi="宋体" w:eastAsia="宋体" w:cs="宋体"/>
                <w:caps/>
                <w:color w:val="auto"/>
                <w:sz w:val="24"/>
                <w:szCs w:val="24"/>
                <w:highlight w:val="none"/>
              </w:rPr>
            </w:pPr>
          </w:p>
        </w:tc>
      </w:tr>
    </w:tbl>
    <w:p w14:paraId="5699EBC6">
      <w:pPr>
        <w:jc w:val="both"/>
        <w:outlineLvl w:val="9"/>
        <w:rPr>
          <w:rFonts w:hint="eastAsia" w:ascii="宋体" w:hAnsi="宋体" w:eastAsia="宋体" w:cs="宋体"/>
          <w:b/>
          <w:color w:val="auto"/>
          <w:sz w:val="28"/>
          <w:szCs w:val="28"/>
          <w:highlight w:val="none"/>
        </w:rPr>
      </w:pPr>
    </w:p>
    <w:p w14:paraId="19FF09C3">
      <w:pPr>
        <w:jc w:val="center"/>
        <w:outlineLvl w:val="9"/>
        <w:rPr>
          <w:rFonts w:hint="eastAsia" w:ascii="宋体" w:hAnsi="宋体" w:eastAsia="宋体" w:cs="宋体"/>
          <w:b/>
          <w:color w:val="auto"/>
          <w:sz w:val="28"/>
          <w:szCs w:val="28"/>
          <w:highlight w:val="none"/>
        </w:rPr>
      </w:pPr>
    </w:p>
    <w:p w14:paraId="3DF5FC0B">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BD323C4">
      <w:pPr>
        <w:jc w:val="center"/>
        <w:outlineLvl w:val="1"/>
        <w:rPr>
          <w:rFonts w:hint="eastAsia" w:ascii="宋体" w:hAnsi="宋体" w:eastAsia="宋体" w:cs="宋体"/>
          <w:b/>
          <w:caps/>
          <w:color w:val="auto"/>
          <w:sz w:val="28"/>
          <w:szCs w:val="28"/>
          <w:highlight w:val="none"/>
        </w:rPr>
      </w:pPr>
      <w:r>
        <w:rPr>
          <w:rFonts w:hint="eastAsia" w:ascii="宋体" w:hAnsi="宋体" w:eastAsia="宋体" w:cs="宋体"/>
          <w:b/>
          <w:color w:val="auto"/>
          <w:sz w:val="28"/>
          <w:szCs w:val="28"/>
          <w:highlight w:val="none"/>
        </w:rPr>
        <w:t>八、资格审查资料</w:t>
      </w:r>
      <w:bookmarkEnd w:id="530"/>
      <w:bookmarkEnd w:id="538"/>
    </w:p>
    <w:p w14:paraId="1BFC973E">
      <w:pPr>
        <w:pStyle w:val="5"/>
        <w:jc w:val="center"/>
        <w:outlineLvl w:val="2"/>
        <w:rPr>
          <w:rFonts w:hint="eastAsia" w:ascii="宋体" w:hAnsi="宋体" w:eastAsia="宋体" w:cs="宋体"/>
          <w:color w:val="auto"/>
          <w:sz w:val="24"/>
          <w:szCs w:val="24"/>
          <w:highlight w:val="none"/>
        </w:rPr>
      </w:pPr>
      <w:bookmarkStart w:id="539" w:name="_Toc234382978"/>
      <w:bookmarkStart w:id="540" w:name="_Toc531966072"/>
      <w:bookmarkStart w:id="541" w:name="_Toc536534071"/>
      <w:bookmarkStart w:id="542" w:name="_Toc536534341"/>
      <w:bookmarkStart w:id="543" w:name="_Toc31383"/>
      <w:r>
        <w:rPr>
          <w:rFonts w:hint="eastAsia" w:ascii="宋体" w:hAnsi="宋体" w:eastAsia="宋体" w:cs="宋体"/>
          <w:color w:val="auto"/>
          <w:sz w:val="24"/>
          <w:szCs w:val="24"/>
          <w:highlight w:val="none"/>
        </w:rPr>
        <w:t>（一）磋商申请人基本情况表</w:t>
      </w:r>
      <w:bookmarkEnd w:id="539"/>
      <w:bookmarkEnd w:id="540"/>
      <w:bookmarkEnd w:id="541"/>
      <w:bookmarkEnd w:id="542"/>
      <w:bookmarkEnd w:id="543"/>
    </w:p>
    <w:tbl>
      <w:tblPr>
        <w:tblStyle w:val="61"/>
        <w:tblW w:w="96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1942"/>
        <w:gridCol w:w="1010"/>
        <w:gridCol w:w="1070"/>
        <w:gridCol w:w="1416"/>
        <w:gridCol w:w="350"/>
        <w:gridCol w:w="1212"/>
        <w:gridCol w:w="557"/>
        <w:gridCol w:w="966"/>
        <w:gridCol w:w="1116"/>
      </w:tblGrid>
      <w:tr w14:paraId="3D685F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490F782D">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磋商申请人名称</w:t>
            </w:r>
          </w:p>
        </w:tc>
        <w:tc>
          <w:tcPr>
            <w:tcW w:w="7697" w:type="dxa"/>
            <w:gridSpan w:val="8"/>
            <w:vAlign w:val="center"/>
          </w:tcPr>
          <w:p w14:paraId="469A3709">
            <w:pPr>
              <w:autoSpaceDE w:val="0"/>
              <w:autoSpaceDN w:val="0"/>
              <w:spacing w:line="360" w:lineRule="auto"/>
              <w:jc w:val="center"/>
              <w:rPr>
                <w:rFonts w:hint="eastAsia" w:ascii="宋体" w:hAnsi="宋体" w:eastAsia="宋体" w:cs="宋体"/>
                <w:color w:val="auto"/>
                <w:sz w:val="24"/>
                <w:szCs w:val="24"/>
                <w:highlight w:val="none"/>
              </w:rPr>
            </w:pPr>
          </w:p>
        </w:tc>
      </w:tr>
      <w:tr w14:paraId="26620E0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1181B897">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3846" w:type="dxa"/>
            <w:gridSpan w:val="4"/>
            <w:vAlign w:val="center"/>
          </w:tcPr>
          <w:p w14:paraId="22485DD4">
            <w:pPr>
              <w:autoSpaceDE w:val="0"/>
              <w:autoSpaceDN w:val="0"/>
              <w:spacing w:line="360" w:lineRule="auto"/>
              <w:jc w:val="center"/>
              <w:rPr>
                <w:rFonts w:hint="eastAsia" w:ascii="宋体" w:hAnsi="宋体" w:eastAsia="宋体" w:cs="宋体"/>
                <w:color w:val="auto"/>
                <w:sz w:val="24"/>
                <w:szCs w:val="24"/>
                <w:highlight w:val="none"/>
              </w:rPr>
            </w:pPr>
          </w:p>
        </w:tc>
        <w:tc>
          <w:tcPr>
            <w:tcW w:w="1212" w:type="dxa"/>
            <w:vAlign w:val="center"/>
          </w:tcPr>
          <w:p w14:paraId="09285F76">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639" w:type="dxa"/>
            <w:gridSpan w:val="3"/>
            <w:vAlign w:val="center"/>
          </w:tcPr>
          <w:p w14:paraId="1C2F4992">
            <w:pPr>
              <w:autoSpaceDE w:val="0"/>
              <w:autoSpaceDN w:val="0"/>
              <w:spacing w:line="360" w:lineRule="auto"/>
              <w:jc w:val="center"/>
              <w:rPr>
                <w:rFonts w:hint="eastAsia" w:ascii="宋体" w:hAnsi="宋体" w:eastAsia="宋体" w:cs="宋体"/>
                <w:color w:val="auto"/>
                <w:sz w:val="24"/>
                <w:szCs w:val="24"/>
                <w:highlight w:val="none"/>
              </w:rPr>
            </w:pPr>
          </w:p>
        </w:tc>
      </w:tr>
      <w:tr w14:paraId="277D51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Merge w:val="restart"/>
            <w:vAlign w:val="center"/>
          </w:tcPr>
          <w:p w14:paraId="5061B478">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010" w:type="dxa"/>
            <w:vAlign w:val="center"/>
          </w:tcPr>
          <w:p w14:paraId="7E1C7E1B">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836" w:type="dxa"/>
            <w:gridSpan w:val="3"/>
            <w:vAlign w:val="center"/>
          </w:tcPr>
          <w:p w14:paraId="5EE589BD">
            <w:pPr>
              <w:autoSpaceDE w:val="0"/>
              <w:autoSpaceDN w:val="0"/>
              <w:spacing w:line="360" w:lineRule="auto"/>
              <w:jc w:val="center"/>
              <w:rPr>
                <w:rFonts w:hint="eastAsia" w:ascii="宋体" w:hAnsi="宋体" w:eastAsia="宋体" w:cs="宋体"/>
                <w:color w:val="auto"/>
                <w:sz w:val="24"/>
                <w:szCs w:val="24"/>
                <w:highlight w:val="none"/>
              </w:rPr>
            </w:pPr>
          </w:p>
        </w:tc>
        <w:tc>
          <w:tcPr>
            <w:tcW w:w="1212" w:type="dxa"/>
            <w:vAlign w:val="center"/>
          </w:tcPr>
          <w:p w14:paraId="005F1F59">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话</w:t>
            </w:r>
          </w:p>
        </w:tc>
        <w:tc>
          <w:tcPr>
            <w:tcW w:w="2639" w:type="dxa"/>
            <w:gridSpan w:val="3"/>
            <w:vAlign w:val="center"/>
          </w:tcPr>
          <w:p w14:paraId="397FD733">
            <w:pPr>
              <w:autoSpaceDE w:val="0"/>
              <w:autoSpaceDN w:val="0"/>
              <w:spacing w:line="360" w:lineRule="auto"/>
              <w:jc w:val="center"/>
              <w:rPr>
                <w:rFonts w:hint="eastAsia" w:ascii="宋体" w:hAnsi="宋体" w:eastAsia="宋体" w:cs="宋体"/>
                <w:color w:val="auto"/>
                <w:sz w:val="24"/>
                <w:szCs w:val="24"/>
                <w:highlight w:val="none"/>
              </w:rPr>
            </w:pPr>
          </w:p>
        </w:tc>
      </w:tr>
      <w:tr w14:paraId="0DBBEE9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Merge w:val="continue"/>
            <w:vAlign w:val="center"/>
          </w:tcPr>
          <w:p w14:paraId="2412EE63">
            <w:pPr>
              <w:autoSpaceDE w:val="0"/>
              <w:autoSpaceDN w:val="0"/>
              <w:spacing w:line="360" w:lineRule="auto"/>
              <w:jc w:val="center"/>
              <w:rPr>
                <w:rFonts w:hint="eastAsia" w:ascii="宋体" w:hAnsi="宋体" w:eastAsia="宋体" w:cs="宋体"/>
                <w:color w:val="auto"/>
                <w:sz w:val="24"/>
                <w:szCs w:val="24"/>
                <w:highlight w:val="none"/>
              </w:rPr>
            </w:pPr>
          </w:p>
        </w:tc>
        <w:tc>
          <w:tcPr>
            <w:tcW w:w="1010" w:type="dxa"/>
            <w:vAlign w:val="center"/>
          </w:tcPr>
          <w:p w14:paraId="1D35B15A">
            <w:pPr>
              <w:tabs>
                <w:tab w:val="left" w:pos="540"/>
              </w:tabs>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p>
        </w:tc>
        <w:tc>
          <w:tcPr>
            <w:tcW w:w="2836" w:type="dxa"/>
            <w:gridSpan w:val="3"/>
            <w:vAlign w:val="center"/>
          </w:tcPr>
          <w:p w14:paraId="03233906">
            <w:pPr>
              <w:autoSpaceDE w:val="0"/>
              <w:autoSpaceDN w:val="0"/>
              <w:spacing w:line="360" w:lineRule="auto"/>
              <w:jc w:val="center"/>
              <w:rPr>
                <w:rFonts w:hint="eastAsia" w:ascii="宋体" w:hAnsi="宋体" w:eastAsia="宋体" w:cs="宋体"/>
                <w:color w:val="auto"/>
                <w:sz w:val="24"/>
                <w:szCs w:val="24"/>
                <w:highlight w:val="none"/>
              </w:rPr>
            </w:pPr>
          </w:p>
        </w:tc>
        <w:tc>
          <w:tcPr>
            <w:tcW w:w="1212" w:type="dxa"/>
            <w:vAlign w:val="center"/>
          </w:tcPr>
          <w:p w14:paraId="1541903F">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w:t>
            </w:r>
          </w:p>
        </w:tc>
        <w:tc>
          <w:tcPr>
            <w:tcW w:w="2639" w:type="dxa"/>
            <w:gridSpan w:val="3"/>
            <w:vAlign w:val="center"/>
          </w:tcPr>
          <w:p w14:paraId="6773AE18">
            <w:pPr>
              <w:autoSpaceDE w:val="0"/>
              <w:autoSpaceDN w:val="0"/>
              <w:spacing w:line="360" w:lineRule="auto"/>
              <w:jc w:val="center"/>
              <w:rPr>
                <w:rFonts w:hint="eastAsia" w:ascii="宋体" w:hAnsi="宋体" w:eastAsia="宋体" w:cs="宋体"/>
                <w:color w:val="auto"/>
                <w:sz w:val="24"/>
                <w:szCs w:val="24"/>
                <w:highlight w:val="none"/>
              </w:rPr>
            </w:pPr>
          </w:p>
        </w:tc>
      </w:tr>
      <w:tr w14:paraId="20A94D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4EE60CD">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010" w:type="dxa"/>
            <w:vAlign w:val="center"/>
          </w:tcPr>
          <w:p w14:paraId="6045153B">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070" w:type="dxa"/>
            <w:vAlign w:val="center"/>
          </w:tcPr>
          <w:p w14:paraId="2B563FA1">
            <w:pPr>
              <w:autoSpaceDE w:val="0"/>
              <w:autoSpaceDN w:val="0"/>
              <w:spacing w:line="360" w:lineRule="auto"/>
              <w:jc w:val="center"/>
              <w:rPr>
                <w:rFonts w:hint="eastAsia" w:ascii="宋体" w:hAnsi="宋体" w:eastAsia="宋体" w:cs="宋体"/>
                <w:color w:val="auto"/>
                <w:sz w:val="24"/>
                <w:szCs w:val="24"/>
                <w:highlight w:val="none"/>
              </w:rPr>
            </w:pPr>
          </w:p>
        </w:tc>
        <w:tc>
          <w:tcPr>
            <w:tcW w:w="1416" w:type="dxa"/>
            <w:vAlign w:val="center"/>
          </w:tcPr>
          <w:p w14:paraId="78A28B2D">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2119" w:type="dxa"/>
            <w:gridSpan w:val="3"/>
            <w:vAlign w:val="center"/>
          </w:tcPr>
          <w:p w14:paraId="0D176CBB">
            <w:pPr>
              <w:autoSpaceDE w:val="0"/>
              <w:autoSpaceDN w:val="0"/>
              <w:spacing w:line="360" w:lineRule="auto"/>
              <w:jc w:val="center"/>
              <w:rPr>
                <w:rFonts w:hint="eastAsia" w:ascii="宋体" w:hAnsi="宋体" w:eastAsia="宋体" w:cs="宋体"/>
                <w:color w:val="auto"/>
                <w:sz w:val="24"/>
                <w:szCs w:val="24"/>
                <w:highlight w:val="none"/>
              </w:rPr>
            </w:pPr>
          </w:p>
        </w:tc>
        <w:tc>
          <w:tcPr>
            <w:tcW w:w="966" w:type="dxa"/>
            <w:vAlign w:val="center"/>
          </w:tcPr>
          <w:p w14:paraId="776311D3">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116" w:type="dxa"/>
            <w:vAlign w:val="center"/>
          </w:tcPr>
          <w:p w14:paraId="79C5183B">
            <w:pPr>
              <w:autoSpaceDE w:val="0"/>
              <w:autoSpaceDN w:val="0"/>
              <w:spacing w:line="360" w:lineRule="auto"/>
              <w:jc w:val="center"/>
              <w:rPr>
                <w:rFonts w:hint="eastAsia" w:ascii="宋体" w:hAnsi="宋体" w:eastAsia="宋体" w:cs="宋体"/>
                <w:color w:val="auto"/>
                <w:sz w:val="24"/>
                <w:szCs w:val="24"/>
                <w:highlight w:val="none"/>
              </w:rPr>
            </w:pPr>
          </w:p>
        </w:tc>
      </w:tr>
      <w:tr w14:paraId="225F12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4780E908">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1010" w:type="dxa"/>
            <w:vAlign w:val="center"/>
          </w:tcPr>
          <w:p w14:paraId="1646C474">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070" w:type="dxa"/>
            <w:vAlign w:val="center"/>
          </w:tcPr>
          <w:p w14:paraId="144357EB">
            <w:pPr>
              <w:autoSpaceDE w:val="0"/>
              <w:autoSpaceDN w:val="0"/>
              <w:spacing w:line="360" w:lineRule="auto"/>
              <w:jc w:val="center"/>
              <w:rPr>
                <w:rFonts w:hint="eastAsia" w:ascii="宋体" w:hAnsi="宋体" w:eastAsia="宋体" w:cs="宋体"/>
                <w:color w:val="auto"/>
                <w:sz w:val="24"/>
                <w:szCs w:val="24"/>
                <w:highlight w:val="none"/>
              </w:rPr>
            </w:pPr>
          </w:p>
        </w:tc>
        <w:tc>
          <w:tcPr>
            <w:tcW w:w="1416" w:type="dxa"/>
            <w:vAlign w:val="center"/>
          </w:tcPr>
          <w:p w14:paraId="6D2F8B89">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2119" w:type="dxa"/>
            <w:gridSpan w:val="3"/>
            <w:vAlign w:val="center"/>
          </w:tcPr>
          <w:p w14:paraId="36C73BD3">
            <w:pPr>
              <w:autoSpaceDE w:val="0"/>
              <w:autoSpaceDN w:val="0"/>
              <w:spacing w:line="360" w:lineRule="auto"/>
              <w:jc w:val="center"/>
              <w:rPr>
                <w:rFonts w:hint="eastAsia" w:ascii="宋体" w:hAnsi="宋体" w:eastAsia="宋体" w:cs="宋体"/>
                <w:color w:val="auto"/>
                <w:sz w:val="24"/>
                <w:szCs w:val="24"/>
                <w:highlight w:val="none"/>
              </w:rPr>
            </w:pPr>
          </w:p>
        </w:tc>
        <w:tc>
          <w:tcPr>
            <w:tcW w:w="966" w:type="dxa"/>
            <w:vAlign w:val="center"/>
          </w:tcPr>
          <w:p w14:paraId="72AA21C9">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116" w:type="dxa"/>
            <w:vAlign w:val="center"/>
          </w:tcPr>
          <w:p w14:paraId="43D610A9">
            <w:pPr>
              <w:autoSpaceDE w:val="0"/>
              <w:autoSpaceDN w:val="0"/>
              <w:spacing w:line="360" w:lineRule="auto"/>
              <w:jc w:val="center"/>
              <w:rPr>
                <w:rFonts w:hint="eastAsia" w:ascii="宋体" w:hAnsi="宋体" w:eastAsia="宋体" w:cs="宋体"/>
                <w:color w:val="auto"/>
                <w:sz w:val="24"/>
                <w:szCs w:val="24"/>
                <w:highlight w:val="none"/>
              </w:rPr>
            </w:pPr>
          </w:p>
        </w:tc>
      </w:tr>
      <w:tr w14:paraId="7F3BC0E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4E169AF0">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080" w:type="dxa"/>
            <w:gridSpan w:val="2"/>
            <w:vAlign w:val="center"/>
          </w:tcPr>
          <w:p w14:paraId="25B662A0">
            <w:pPr>
              <w:autoSpaceDE w:val="0"/>
              <w:autoSpaceDN w:val="0"/>
              <w:spacing w:line="360" w:lineRule="auto"/>
              <w:jc w:val="center"/>
              <w:rPr>
                <w:rFonts w:hint="eastAsia" w:ascii="宋体" w:hAnsi="宋体" w:eastAsia="宋体" w:cs="宋体"/>
                <w:color w:val="auto"/>
                <w:sz w:val="24"/>
                <w:szCs w:val="24"/>
                <w:highlight w:val="none"/>
              </w:rPr>
            </w:pPr>
          </w:p>
        </w:tc>
        <w:tc>
          <w:tcPr>
            <w:tcW w:w="5617" w:type="dxa"/>
            <w:gridSpan w:val="6"/>
            <w:vAlign w:val="center"/>
          </w:tcPr>
          <w:p w14:paraId="60F8526A">
            <w:pPr>
              <w:autoSpaceDE w:val="0"/>
              <w:autoSpaceDN w:val="0"/>
              <w:spacing w:line="360" w:lineRule="auto"/>
              <w:ind w:left="110" w:leftChars="50"/>
              <w:jc w:val="cente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员工总人数：</w:t>
            </w:r>
          </w:p>
        </w:tc>
      </w:tr>
      <w:tr w14:paraId="3BA480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F7C0FF6">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企业资质等级</w:t>
            </w:r>
          </w:p>
        </w:tc>
        <w:tc>
          <w:tcPr>
            <w:tcW w:w="2080" w:type="dxa"/>
            <w:gridSpan w:val="2"/>
            <w:vAlign w:val="center"/>
          </w:tcPr>
          <w:p w14:paraId="6BE65CC9">
            <w:pPr>
              <w:autoSpaceDE w:val="0"/>
              <w:autoSpaceDN w:val="0"/>
              <w:spacing w:line="360" w:lineRule="auto"/>
              <w:jc w:val="center"/>
              <w:rPr>
                <w:rFonts w:hint="eastAsia" w:ascii="宋体" w:hAnsi="宋体" w:eastAsia="宋体" w:cs="宋体"/>
                <w:color w:val="auto"/>
                <w:sz w:val="24"/>
                <w:szCs w:val="24"/>
                <w:highlight w:val="none"/>
              </w:rPr>
            </w:pPr>
          </w:p>
        </w:tc>
        <w:tc>
          <w:tcPr>
            <w:tcW w:w="1416" w:type="dxa"/>
            <w:vMerge w:val="restart"/>
            <w:vAlign w:val="center"/>
          </w:tcPr>
          <w:p w14:paraId="32A2E1BF">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2119" w:type="dxa"/>
            <w:gridSpan w:val="3"/>
            <w:vAlign w:val="center"/>
          </w:tcPr>
          <w:p w14:paraId="02022426">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项目经理</w:t>
            </w:r>
          </w:p>
        </w:tc>
        <w:tc>
          <w:tcPr>
            <w:tcW w:w="2082" w:type="dxa"/>
            <w:gridSpan w:val="2"/>
            <w:vAlign w:val="center"/>
          </w:tcPr>
          <w:p w14:paraId="2934D323">
            <w:pPr>
              <w:autoSpaceDE w:val="0"/>
              <w:autoSpaceDN w:val="0"/>
              <w:spacing w:line="360" w:lineRule="auto"/>
              <w:jc w:val="center"/>
              <w:rPr>
                <w:rFonts w:hint="eastAsia" w:ascii="宋体" w:hAnsi="宋体" w:eastAsia="宋体" w:cs="宋体"/>
                <w:color w:val="auto"/>
                <w:sz w:val="24"/>
                <w:szCs w:val="24"/>
                <w:highlight w:val="none"/>
              </w:rPr>
            </w:pPr>
          </w:p>
        </w:tc>
      </w:tr>
      <w:tr w14:paraId="723B11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8D188B4">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营业执照号</w:t>
            </w:r>
          </w:p>
        </w:tc>
        <w:tc>
          <w:tcPr>
            <w:tcW w:w="2080" w:type="dxa"/>
            <w:gridSpan w:val="2"/>
            <w:vAlign w:val="center"/>
          </w:tcPr>
          <w:p w14:paraId="74B19C43">
            <w:pPr>
              <w:autoSpaceDE w:val="0"/>
              <w:autoSpaceDN w:val="0"/>
              <w:spacing w:line="360" w:lineRule="auto"/>
              <w:jc w:val="center"/>
              <w:rPr>
                <w:rFonts w:hint="eastAsia" w:ascii="宋体" w:hAnsi="宋体" w:eastAsia="宋体" w:cs="宋体"/>
                <w:color w:val="auto"/>
                <w:sz w:val="24"/>
                <w:szCs w:val="24"/>
                <w:highlight w:val="none"/>
              </w:rPr>
            </w:pPr>
          </w:p>
        </w:tc>
        <w:tc>
          <w:tcPr>
            <w:tcW w:w="1416" w:type="dxa"/>
            <w:vMerge w:val="continue"/>
            <w:vAlign w:val="center"/>
          </w:tcPr>
          <w:p w14:paraId="0CE27B15">
            <w:pPr>
              <w:autoSpaceDE w:val="0"/>
              <w:autoSpaceDN w:val="0"/>
              <w:spacing w:line="360" w:lineRule="auto"/>
              <w:jc w:val="center"/>
              <w:rPr>
                <w:rFonts w:hint="eastAsia" w:ascii="宋体" w:hAnsi="宋体" w:eastAsia="宋体" w:cs="宋体"/>
                <w:color w:val="auto"/>
                <w:sz w:val="24"/>
                <w:szCs w:val="24"/>
                <w:highlight w:val="none"/>
              </w:rPr>
            </w:pPr>
          </w:p>
        </w:tc>
        <w:tc>
          <w:tcPr>
            <w:tcW w:w="2119" w:type="dxa"/>
            <w:gridSpan w:val="3"/>
            <w:vAlign w:val="center"/>
          </w:tcPr>
          <w:p w14:paraId="3C001C9E">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高级职称人员</w:t>
            </w:r>
          </w:p>
        </w:tc>
        <w:tc>
          <w:tcPr>
            <w:tcW w:w="2082" w:type="dxa"/>
            <w:gridSpan w:val="2"/>
            <w:vAlign w:val="center"/>
          </w:tcPr>
          <w:p w14:paraId="6DE4824D">
            <w:pPr>
              <w:autoSpaceDE w:val="0"/>
              <w:autoSpaceDN w:val="0"/>
              <w:spacing w:line="360" w:lineRule="auto"/>
              <w:jc w:val="center"/>
              <w:rPr>
                <w:rFonts w:hint="eastAsia" w:ascii="宋体" w:hAnsi="宋体" w:eastAsia="宋体" w:cs="宋体"/>
                <w:color w:val="auto"/>
                <w:sz w:val="24"/>
                <w:szCs w:val="24"/>
                <w:highlight w:val="none"/>
              </w:rPr>
            </w:pPr>
          </w:p>
        </w:tc>
      </w:tr>
      <w:tr w14:paraId="6FF99A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0E74E672">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2080" w:type="dxa"/>
            <w:gridSpan w:val="2"/>
            <w:vAlign w:val="center"/>
          </w:tcPr>
          <w:p w14:paraId="77ACE6BC">
            <w:pPr>
              <w:autoSpaceDE w:val="0"/>
              <w:autoSpaceDN w:val="0"/>
              <w:spacing w:line="360" w:lineRule="auto"/>
              <w:jc w:val="center"/>
              <w:rPr>
                <w:rFonts w:hint="eastAsia" w:ascii="宋体" w:hAnsi="宋体" w:eastAsia="宋体" w:cs="宋体"/>
                <w:color w:val="auto"/>
                <w:sz w:val="24"/>
                <w:szCs w:val="24"/>
                <w:highlight w:val="none"/>
              </w:rPr>
            </w:pPr>
          </w:p>
        </w:tc>
        <w:tc>
          <w:tcPr>
            <w:tcW w:w="1416" w:type="dxa"/>
            <w:vMerge w:val="continue"/>
            <w:vAlign w:val="center"/>
          </w:tcPr>
          <w:p w14:paraId="070327BE">
            <w:pPr>
              <w:autoSpaceDE w:val="0"/>
              <w:autoSpaceDN w:val="0"/>
              <w:spacing w:line="360" w:lineRule="auto"/>
              <w:jc w:val="center"/>
              <w:rPr>
                <w:rFonts w:hint="eastAsia" w:ascii="宋体" w:hAnsi="宋体" w:eastAsia="宋体" w:cs="宋体"/>
                <w:color w:val="auto"/>
                <w:sz w:val="24"/>
                <w:szCs w:val="24"/>
                <w:highlight w:val="none"/>
              </w:rPr>
            </w:pPr>
          </w:p>
        </w:tc>
        <w:tc>
          <w:tcPr>
            <w:tcW w:w="2119" w:type="dxa"/>
            <w:gridSpan w:val="3"/>
            <w:vAlign w:val="center"/>
          </w:tcPr>
          <w:p w14:paraId="2D6B32C3">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中级职称人员</w:t>
            </w:r>
          </w:p>
        </w:tc>
        <w:tc>
          <w:tcPr>
            <w:tcW w:w="2082" w:type="dxa"/>
            <w:gridSpan w:val="2"/>
            <w:vAlign w:val="center"/>
          </w:tcPr>
          <w:p w14:paraId="7664567A">
            <w:pPr>
              <w:autoSpaceDE w:val="0"/>
              <w:autoSpaceDN w:val="0"/>
              <w:spacing w:line="360" w:lineRule="auto"/>
              <w:jc w:val="center"/>
              <w:rPr>
                <w:rFonts w:hint="eastAsia" w:ascii="宋体" w:hAnsi="宋体" w:eastAsia="宋体" w:cs="宋体"/>
                <w:color w:val="auto"/>
                <w:sz w:val="24"/>
                <w:szCs w:val="24"/>
                <w:highlight w:val="none"/>
              </w:rPr>
            </w:pPr>
          </w:p>
        </w:tc>
      </w:tr>
      <w:tr w14:paraId="3AA25D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1D58EB2C">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基本账户开户银行</w:t>
            </w:r>
          </w:p>
        </w:tc>
        <w:tc>
          <w:tcPr>
            <w:tcW w:w="2080" w:type="dxa"/>
            <w:gridSpan w:val="2"/>
            <w:vAlign w:val="center"/>
          </w:tcPr>
          <w:p w14:paraId="0356D9BF">
            <w:pPr>
              <w:autoSpaceDE w:val="0"/>
              <w:autoSpaceDN w:val="0"/>
              <w:spacing w:line="360" w:lineRule="auto"/>
              <w:jc w:val="center"/>
              <w:rPr>
                <w:rFonts w:hint="eastAsia" w:ascii="宋体" w:hAnsi="宋体" w:eastAsia="宋体" w:cs="宋体"/>
                <w:color w:val="auto"/>
                <w:sz w:val="24"/>
                <w:szCs w:val="24"/>
                <w:highlight w:val="none"/>
              </w:rPr>
            </w:pPr>
          </w:p>
        </w:tc>
        <w:tc>
          <w:tcPr>
            <w:tcW w:w="1416" w:type="dxa"/>
            <w:vMerge w:val="continue"/>
            <w:vAlign w:val="center"/>
          </w:tcPr>
          <w:p w14:paraId="31FDE5A5">
            <w:pPr>
              <w:autoSpaceDE w:val="0"/>
              <w:autoSpaceDN w:val="0"/>
              <w:spacing w:line="360" w:lineRule="auto"/>
              <w:jc w:val="center"/>
              <w:rPr>
                <w:rFonts w:hint="eastAsia" w:ascii="宋体" w:hAnsi="宋体" w:eastAsia="宋体" w:cs="宋体"/>
                <w:color w:val="auto"/>
                <w:sz w:val="24"/>
                <w:szCs w:val="24"/>
                <w:highlight w:val="none"/>
              </w:rPr>
            </w:pPr>
          </w:p>
        </w:tc>
        <w:tc>
          <w:tcPr>
            <w:tcW w:w="2119" w:type="dxa"/>
            <w:gridSpan w:val="3"/>
            <w:vAlign w:val="center"/>
          </w:tcPr>
          <w:p w14:paraId="33D841A2">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初级职称人员</w:t>
            </w:r>
          </w:p>
        </w:tc>
        <w:tc>
          <w:tcPr>
            <w:tcW w:w="2082" w:type="dxa"/>
            <w:gridSpan w:val="2"/>
            <w:vAlign w:val="center"/>
          </w:tcPr>
          <w:p w14:paraId="52E93922">
            <w:pPr>
              <w:autoSpaceDE w:val="0"/>
              <w:autoSpaceDN w:val="0"/>
              <w:spacing w:line="360" w:lineRule="auto"/>
              <w:jc w:val="center"/>
              <w:rPr>
                <w:rFonts w:hint="eastAsia" w:ascii="宋体" w:hAnsi="宋体" w:eastAsia="宋体" w:cs="宋体"/>
                <w:color w:val="auto"/>
                <w:sz w:val="24"/>
                <w:szCs w:val="24"/>
                <w:highlight w:val="none"/>
              </w:rPr>
            </w:pPr>
          </w:p>
        </w:tc>
      </w:tr>
      <w:tr w14:paraId="23919B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6EACEA15">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基本账户账号</w:t>
            </w:r>
          </w:p>
        </w:tc>
        <w:tc>
          <w:tcPr>
            <w:tcW w:w="2080" w:type="dxa"/>
            <w:gridSpan w:val="2"/>
            <w:vAlign w:val="center"/>
          </w:tcPr>
          <w:p w14:paraId="0919FF40">
            <w:pPr>
              <w:autoSpaceDE w:val="0"/>
              <w:autoSpaceDN w:val="0"/>
              <w:spacing w:line="360" w:lineRule="auto"/>
              <w:jc w:val="center"/>
              <w:rPr>
                <w:rFonts w:hint="eastAsia" w:ascii="宋体" w:hAnsi="宋体" w:eastAsia="宋体" w:cs="宋体"/>
                <w:color w:val="auto"/>
                <w:sz w:val="24"/>
                <w:szCs w:val="24"/>
                <w:highlight w:val="none"/>
              </w:rPr>
            </w:pPr>
          </w:p>
        </w:tc>
        <w:tc>
          <w:tcPr>
            <w:tcW w:w="1416" w:type="dxa"/>
            <w:vMerge w:val="continue"/>
            <w:vAlign w:val="center"/>
          </w:tcPr>
          <w:p w14:paraId="29720463">
            <w:pPr>
              <w:autoSpaceDE w:val="0"/>
              <w:autoSpaceDN w:val="0"/>
              <w:spacing w:line="360" w:lineRule="auto"/>
              <w:jc w:val="center"/>
              <w:rPr>
                <w:rFonts w:hint="eastAsia" w:ascii="宋体" w:hAnsi="宋体" w:eastAsia="宋体" w:cs="宋体"/>
                <w:color w:val="auto"/>
                <w:sz w:val="24"/>
                <w:szCs w:val="24"/>
                <w:highlight w:val="none"/>
              </w:rPr>
            </w:pPr>
          </w:p>
        </w:tc>
        <w:tc>
          <w:tcPr>
            <w:tcW w:w="2119" w:type="dxa"/>
            <w:gridSpan w:val="3"/>
            <w:vAlign w:val="center"/>
          </w:tcPr>
          <w:p w14:paraId="225D170F">
            <w:pPr>
              <w:tabs>
                <w:tab w:val="left" w:pos="1240"/>
              </w:tabs>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技工</w:t>
            </w:r>
          </w:p>
        </w:tc>
        <w:tc>
          <w:tcPr>
            <w:tcW w:w="2082" w:type="dxa"/>
            <w:gridSpan w:val="2"/>
            <w:vAlign w:val="center"/>
          </w:tcPr>
          <w:p w14:paraId="61CC656C">
            <w:pPr>
              <w:autoSpaceDE w:val="0"/>
              <w:autoSpaceDN w:val="0"/>
              <w:spacing w:line="360" w:lineRule="auto"/>
              <w:jc w:val="center"/>
              <w:rPr>
                <w:rFonts w:hint="eastAsia" w:ascii="宋体" w:hAnsi="宋体" w:eastAsia="宋体" w:cs="宋体"/>
                <w:color w:val="auto"/>
                <w:sz w:val="24"/>
                <w:szCs w:val="24"/>
                <w:highlight w:val="none"/>
              </w:rPr>
            </w:pPr>
          </w:p>
        </w:tc>
      </w:tr>
      <w:tr w14:paraId="417640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157" w:hRule="exact"/>
          <w:jc w:val="center"/>
        </w:trPr>
        <w:tc>
          <w:tcPr>
            <w:tcW w:w="1942" w:type="dxa"/>
            <w:vAlign w:val="center"/>
          </w:tcPr>
          <w:p w14:paraId="54212686">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7697" w:type="dxa"/>
            <w:gridSpan w:val="8"/>
            <w:vAlign w:val="center"/>
          </w:tcPr>
          <w:p w14:paraId="0BCD03D9">
            <w:pPr>
              <w:autoSpaceDE w:val="0"/>
              <w:autoSpaceDN w:val="0"/>
              <w:spacing w:line="360" w:lineRule="auto"/>
              <w:jc w:val="center"/>
              <w:rPr>
                <w:rFonts w:hint="eastAsia" w:ascii="宋体" w:hAnsi="宋体" w:eastAsia="宋体" w:cs="宋体"/>
                <w:color w:val="auto"/>
                <w:sz w:val="24"/>
                <w:szCs w:val="24"/>
                <w:highlight w:val="none"/>
              </w:rPr>
            </w:pPr>
          </w:p>
        </w:tc>
      </w:tr>
      <w:tr w14:paraId="2CFC60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698" w:hRule="exact"/>
          <w:jc w:val="center"/>
        </w:trPr>
        <w:tc>
          <w:tcPr>
            <w:tcW w:w="1942" w:type="dxa"/>
            <w:vAlign w:val="center"/>
          </w:tcPr>
          <w:p w14:paraId="6E2DEAC0">
            <w:pPr>
              <w:autoSpaceDE w:val="0"/>
              <w:autoSpaceDN w:val="0"/>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资产构成情况及申请人投资参股的关联企业情况</w:t>
            </w:r>
          </w:p>
        </w:tc>
        <w:tc>
          <w:tcPr>
            <w:tcW w:w="7697" w:type="dxa"/>
            <w:gridSpan w:val="8"/>
            <w:vAlign w:val="center"/>
          </w:tcPr>
          <w:p w14:paraId="62740CCD">
            <w:pPr>
              <w:autoSpaceDE w:val="0"/>
              <w:autoSpaceDN w:val="0"/>
              <w:spacing w:line="360" w:lineRule="auto"/>
              <w:jc w:val="center"/>
              <w:rPr>
                <w:rFonts w:hint="eastAsia" w:ascii="宋体" w:hAnsi="宋体" w:eastAsia="宋体" w:cs="宋体"/>
                <w:color w:val="auto"/>
                <w:sz w:val="24"/>
                <w:szCs w:val="24"/>
                <w:highlight w:val="none"/>
              </w:rPr>
            </w:pPr>
          </w:p>
        </w:tc>
      </w:tr>
      <w:tr w14:paraId="67659AE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567" w:hRule="exact"/>
          <w:jc w:val="center"/>
        </w:trPr>
        <w:tc>
          <w:tcPr>
            <w:tcW w:w="1942" w:type="dxa"/>
            <w:vAlign w:val="center"/>
          </w:tcPr>
          <w:p w14:paraId="71AFACCF">
            <w:pPr>
              <w:autoSpaceDE w:val="0"/>
              <w:autoSpaceDN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    注</w:t>
            </w:r>
          </w:p>
        </w:tc>
        <w:tc>
          <w:tcPr>
            <w:tcW w:w="7697" w:type="dxa"/>
            <w:gridSpan w:val="8"/>
            <w:vAlign w:val="center"/>
          </w:tcPr>
          <w:p w14:paraId="02DAB8FB">
            <w:pPr>
              <w:autoSpaceDE w:val="0"/>
              <w:autoSpaceDN w:val="0"/>
              <w:spacing w:line="360" w:lineRule="auto"/>
              <w:jc w:val="center"/>
              <w:rPr>
                <w:rFonts w:hint="eastAsia" w:ascii="宋体" w:hAnsi="宋体" w:eastAsia="宋体" w:cs="宋体"/>
                <w:color w:val="auto"/>
                <w:sz w:val="24"/>
                <w:szCs w:val="24"/>
                <w:highlight w:val="none"/>
              </w:rPr>
            </w:pPr>
          </w:p>
        </w:tc>
      </w:tr>
    </w:tbl>
    <w:p w14:paraId="32C07BBA">
      <w:pPr>
        <w:ind w:firstLine="241" w:firstLineChars="100"/>
        <w:rPr>
          <w:rFonts w:hint="eastAsia" w:ascii="宋体" w:hAnsi="宋体" w:eastAsia="宋体" w:cs="宋体"/>
          <w:b/>
          <w:color w:val="auto"/>
          <w:sz w:val="24"/>
          <w:szCs w:val="24"/>
          <w:highlight w:val="none"/>
        </w:rPr>
      </w:pPr>
      <w:bookmarkStart w:id="544" w:name="_Toc234382979"/>
      <w:bookmarkStart w:id="545" w:name="_Toc234382981"/>
      <w:bookmarkStart w:id="546" w:name="_Toc193904176"/>
      <w:bookmarkStart w:id="547" w:name="_Toc234242180"/>
      <w:r>
        <w:rPr>
          <w:rFonts w:hint="eastAsia" w:ascii="宋体" w:hAnsi="宋体" w:eastAsia="宋体" w:cs="宋体"/>
          <w:b/>
          <w:caps/>
          <w:color w:val="auto"/>
          <w:sz w:val="24"/>
          <w:szCs w:val="24"/>
          <w:highlight w:val="none"/>
        </w:rPr>
        <w:t>注：本表应附有效的磋商申请人营业执照副本、资质证书副本、安全生产许可证等材料的复印件并加盖磋商申请人公章，年检记录必须清楚。</w:t>
      </w:r>
    </w:p>
    <w:bookmarkEnd w:id="544"/>
    <w:p w14:paraId="701815E1">
      <w:pPr>
        <w:spacing w:line="500" w:lineRule="exact"/>
        <w:rPr>
          <w:rFonts w:hint="eastAsia" w:ascii="宋体" w:hAnsi="宋体" w:eastAsia="宋体" w:cs="宋体"/>
          <w:b/>
          <w:caps/>
          <w:color w:val="auto"/>
          <w:sz w:val="24"/>
          <w:szCs w:val="24"/>
          <w:highlight w:val="none"/>
        </w:rPr>
      </w:pPr>
    </w:p>
    <w:bookmarkEnd w:id="545"/>
    <w:bookmarkEnd w:id="546"/>
    <w:bookmarkEnd w:id="547"/>
    <w:p w14:paraId="648F34F8">
      <w:pPr>
        <w:pStyle w:val="2"/>
        <w:jc w:val="center"/>
        <w:rPr>
          <w:rFonts w:hint="eastAsia" w:ascii="宋体" w:hAnsi="宋体" w:eastAsia="宋体" w:cs="宋体"/>
          <w:color w:val="auto"/>
          <w:sz w:val="24"/>
          <w:szCs w:val="24"/>
          <w:highlight w:val="none"/>
        </w:rPr>
      </w:pPr>
      <w:bookmarkStart w:id="548" w:name="_Toc24162"/>
      <w:bookmarkStart w:id="549" w:name="_Toc536534072"/>
      <w:bookmarkStart w:id="550" w:name="_Toc531966073"/>
      <w:bookmarkStart w:id="551" w:name="_Toc536534342"/>
      <w:bookmarkStart w:id="552" w:name="_Toc6309"/>
      <w:r>
        <w:rPr>
          <w:rFonts w:hint="eastAsia" w:ascii="宋体" w:hAnsi="宋体" w:eastAsia="宋体" w:cs="宋体"/>
          <w:color w:val="auto"/>
          <w:sz w:val="24"/>
          <w:szCs w:val="24"/>
          <w:highlight w:val="none"/>
        </w:rPr>
        <w:t>（二）近年财务状况表</w:t>
      </w:r>
      <w:bookmarkEnd w:id="548"/>
      <w:bookmarkEnd w:id="549"/>
      <w:bookmarkEnd w:id="550"/>
      <w:bookmarkEnd w:id="551"/>
    </w:p>
    <w:p w14:paraId="1CA2A160">
      <w:pPr>
        <w:pStyle w:val="2"/>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cs="宋体"/>
          <w:b w:val="0"/>
          <w:bCs w:val="0"/>
          <w:color w:val="auto"/>
          <w:kern w:val="2"/>
          <w:sz w:val="24"/>
          <w:szCs w:val="24"/>
          <w:highlight w:val="none"/>
          <w:lang w:val="en-US" w:eastAsia="zh-CN" w:bidi="ar-SA"/>
        </w:rPr>
        <w:t>提供2024年至今任意一年经会计师事务所审计机构审计的审计报告及财务报表（包括资产负债表、利润表、现金流量表及财务情况说明书（附注））或投标文件递交截止时间前3个月内由银行开具的资信证明文件（或资金证明文件），成立不满1年的供应商提供自成立以来公司内部完整的财务报表（包括资产负债表、利润表、现金流量表）或投标文件递交截止时间前3个月内由银行开具的资信证明文件（或资金证明文件）</w:t>
      </w:r>
    </w:p>
    <w:p w14:paraId="74AC3AA9">
      <w:pPr>
        <w:rPr>
          <w:rFonts w:hint="eastAsia" w:ascii="宋体" w:hAnsi="宋体" w:eastAsia="宋体" w:cs="宋体"/>
          <w:b w:val="0"/>
          <w:bCs w:val="0"/>
          <w:color w:val="auto"/>
          <w:kern w:val="2"/>
          <w:sz w:val="24"/>
          <w:szCs w:val="24"/>
          <w:highlight w:val="none"/>
          <w:lang w:val="en-US" w:eastAsia="zh-CN" w:bidi="ar-SA"/>
        </w:rPr>
      </w:pPr>
    </w:p>
    <w:p w14:paraId="14C8ECFF">
      <w:pPr>
        <w:pStyle w:val="422"/>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2849CE95">
      <w:pPr>
        <w:pStyle w:val="422"/>
        <w:ind w:left="0" w:leftChars="0" w:firstLine="0" w:firstLineChars="0"/>
        <w:rPr>
          <w:rFonts w:hint="eastAsia" w:ascii="宋体" w:hAnsi="宋体" w:eastAsia="宋体" w:cs="宋体"/>
          <w:b w:val="0"/>
          <w:bCs w:val="0"/>
          <w:color w:val="auto"/>
          <w:kern w:val="2"/>
          <w:sz w:val="24"/>
          <w:szCs w:val="24"/>
          <w:highlight w:val="none"/>
          <w:lang w:val="en-US" w:eastAsia="zh-CN" w:bidi="ar-SA"/>
        </w:rPr>
      </w:pPr>
    </w:p>
    <w:p w14:paraId="28229F8F">
      <w:pPr>
        <w:pStyle w:val="2"/>
        <w:jc w:val="center"/>
        <w:rPr>
          <w:rFonts w:hint="eastAsia" w:ascii="宋体" w:hAnsi="宋体" w:eastAsia="宋体" w:cs="宋体"/>
          <w:color w:val="auto"/>
          <w:sz w:val="24"/>
          <w:szCs w:val="24"/>
          <w:highlight w:val="none"/>
        </w:rPr>
      </w:pPr>
      <w:bookmarkStart w:id="553" w:name="_Toc15561"/>
      <w:r>
        <w:rPr>
          <w:rFonts w:hint="eastAsia" w:ascii="宋体" w:hAnsi="宋体" w:eastAsia="宋体" w:cs="宋体"/>
          <w:color w:val="auto"/>
          <w:sz w:val="24"/>
          <w:szCs w:val="24"/>
          <w:highlight w:val="none"/>
        </w:rPr>
        <w:t>（三）纳税和社保缴纳情况</w:t>
      </w:r>
      <w:bookmarkEnd w:id="553"/>
    </w:p>
    <w:p w14:paraId="36E0FAFC">
      <w:pPr>
        <w:pStyle w:val="15"/>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①提供在2025年1月至本项目响应文件提交截止时间前任意3个月税务局税收通用缴款书或银行电子缴税（费）凭证或税务局出具纳税情况的相关证明，依法免税的，应提供依法免税的相关证明文件（或提供国家税务局开具的“无欠税证明”）。成立不满3个月的新企业提供情况说明，此项不作废标条件；②提供在2025年1月至本项目响应文件提交截止时间前任意3个月社会保险费缴款书或银行电子缴税（费）凭证或社保管理部门出具的有效的缴款证明，依法免缴的，应提供依法免缴的相关证明文件。成立不满3个月的新企业提供情况说明，此项不作废标条件。</w:t>
      </w:r>
    </w:p>
    <w:p w14:paraId="6CF6E330">
      <w:pPr>
        <w:pStyle w:val="2"/>
        <w:jc w:val="both"/>
        <w:outlineLvl w:val="9"/>
        <w:rPr>
          <w:rFonts w:hint="eastAsia" w:ascii="宋体" w:hAnsi="宋体" w:eastAsia="宋体" w:cs="宋体"/>
          <w:bCs w:val="0"/>
          <w:color w:val="auto"/>
          <w:kern w:val="2"/>
          <w:sz w:val="24"/>
          <w:szCs w:val="24"/>
          <w:highlight w:val="none"/>
        </w:rPr>
      </w:pPr>
    </w:p>
    <w:p w14:paraId="7997FDD0">
      <w:pPr>
        <w:rPr>
          <w:rFonts w:hint="eastAsia"/>
          <w:color w:val="auto"/>
          <w:highlight w:val="none"/>
        </w:rPr>
      </w:pPr>
    </w:p>
    <w:p w14:paraId="2B8678C6">
      <w:pPr>
        <w:pStyle w:val="2"/>
        <w:jc w:val="center"/>
        <w:rPr>
          <w:rFonts w:hint="eastAsia" w:ascii="宋体" w:hAnsi="宋体" w:eastAsia="宋体" w:cs="宋体"/>
          <w:bCs w:val="0"/>
          <w:color w:val="auto"/>
          <w:kern w:val="2"/>
          <w:sz w:val="24"/>
          <w:szCs w:val="24"/>
          <w:highlight w:val="none"/>
        </w:rPr>
      </w:pPr>
      <w:bookmarkStart w:id="554" w:name="_Toc9407"/>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四</w:t>
      </w:r>
      <w:r>
        <w:rPr>
          <w:rFonts w:hint="eastAsia" w:ascii="宋体" w:hAnsi="宋体" w:eastAsia="宋体" w:cs="宋体"/>
          <w:color w:val="auto"/>
          <w:sz w:val="24"/>
          <w:szCs w:val="24"/>
          <w:highlight w:val="none"/>
        </w:rPr>
        <w:t>）</w:t>
      </w:r>
      <w:r>
        <w:rPr>
          <w:rFonts w:hint="eastAsia" w:ascii="宋体" w:hAnsi="宋体" w:eastAsia="宋体" w:cs="宋体"/>
          <w:bCs w:val="0"/>
          <w:color w:val="auto"/>
          <w:kern w:val="2"/>
          <w:sz w:val="24"/>
          <w:szCs w:val="24"/>
          <w:highlight w:val="none"/>
        </w:rPr>
        <w:t>信誉</w:t>
      </w:r>
      <w:bookmarkEnd w:id="554"/>
    </w:p>
    <w:p w14:paraId="53D6EDAF">
      <w:pPr>
        <w:keepNext w:val="0"/>
        <w:keepLines w:val="0"/>
        <w:pageBreakBefore w:val="0"/>
        <w:widowControl w:val="0"/>
        <w:kinsoku/>
        <w:wordWrap/>
        <w:overflowPunct/>
        <w:topLinePunct w:val="0"/>
        <w:autoSpaceDE/>
        <w:autoSpaceDN/>
        <w:bidi w:val="0"/>
        <w:adjustRightInd/>
        <w:snapToGrid/>
        <w:spacing w:after="0" w:line="460" w:lineRule="exact"/>
        <w:ind w:left="220" w:leftChars="100" w:right="6" w:rightChars="0" w:firstLine="480" w:firstLineChars="20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信誉良好，当前未因不良行为记录被行政主管部门暂停或取消投标资格或未被列入“信用中国”网站（http://www.creditchina.gov.cn/）失信被执行人；经信用中国（www.creditchina.gov.cn）、中国政府采购网（www.ccgp.gov.cn）等渠道查询后，列入失信被执行人、重大税收违法失信名单、政府采购严重违法失信行为记录名单的，取消投标资格。（由采购人或采购代理机构在开标当天进行查询）。</w:t>
      </w:r>
    </w:p>
    <w:p w14:paraId="37D68DAE">
      <w:pPr>
        <w:pStyle w:val="422"/>
        <w:ind w:left="0" w:leftChars="0" w:firstLine="0" w:firstLineChars="0"/>
        <w:rPr>
          <w:rFonts w:hint="eastAsia" w:ascii="宋体" w:hAnsi="宋体" w:eastAsia="宋体" w:cs="宋体"/>
          <w:b/>
          <w:color w:val="auto"/>
          <w:kern w:val="2"/>
          <w:sz w:val="24"/>
          <w:szCs w:val="24"/>
          <w:highlight w:val="none"/>
        </w:rPr>
      </w:pPr>
    </w:p>
    <w:p w14:paraId="776D9BBF">
      <w:pPr>
        <w:pStyle w:val="422"/>
        <w:ind w:left="0" w:leftChars="0" w:firstLine="0" w:firstLineChars="0"/>
        <w:rPr>
          <w:rFonts w:hint="eastAsia" w:ascii="宋体" w:hAnsi="宋体" w:eastAsia="宋体" w:cs="宋体"/>
          <w:b/>
          <w:color w:val="auto"/>
          <w:kern w:val="2"/>
          <w:sz w:val="24"/>
          <w:szCs w:val="24"/>
          <w:highlight w:val="none"/>
        </w:rPr>
      </w:pPr>
    </w:p>
    <w:p w14:paraId="4171BBA6">
      <w:pPr>
        <w:pStyle w:val="422"/>
        <w:rPr>
          <w:rFonts w:hint="eastAsia" w:ascii="宋体" w:hAnsi="宋体" w:eastAsia="宋体" w:cs="宋体"/>
          <w:b/>
          <w:color w:val="auto"/>
          <w:kern w:val="2"/>
          <w:sz w:val="24"/>
          <w:szCs w:val="24"/>
          <w:highlight w:val="none"/>
        </w:rPr>
      </w:pPr>
    </w:p>
    <w:p w14:paraId="4C54F026">
      <w:pPr>
        <w:numPr>
          <w:ilvl w:val="0"/>
          <w:numId w:val="0"/>
        </w:numPr>
        <w:spacing w:line="600" w:lineRule="exact"/>
        <w:jc w:val="center"/>
        <w:outlineLvl w:val="9"/>
        <w:rPr>
          <w:rFonts w:hint="eastAsia" w:ascii="宋体" w:hAnsi="宋体" w:eastAsia="宋体" w:cs="宋体"/>
          <w:b/>
          <w:color w:val="auto"/>
          <w:kern w:val="2"/>
          <w:sz w:val="24"/>
          <w:szCs w:val="24"/>
          <w:highlight w:val="none"/>
        </w:rPr>
      </w:pPr>
    </w:p>
    <w:p w14:paraId="76EE1709">
      <w:pPr>
        <w:numPr>
          <w:ilvl w:val="0"/>
          <w:numId w:val="0"/>
        </w:numPr>
        <w:spacing w:line="600" w:lineRule="exact"/>
        <w:jc w:val="center"/>
        <w:outlineLvl w:val="2"/>
        <w:rPr>
          <w:rFonts w:hint="eastAsia" w:ascii="宋体" w:hAnsi="宋体" w:eastAsia="宋体" w:cs="宋体"/>
          <w:b/>
          <w:color w:val="auto"/>
          <w:kern w:val="2"/>
          <w:sz w:val="24"/>
          <w:szCs w:val="24"/>
          <w:highlight w:val="none"/>
        </w:rPr>
      </w:pPr>
    </w:p>
    <w:p w14:paraId="36AA7289">
      <w:pPr>
        <w:numPr>
          <w:ilvl w:val="0"/>
          <w:numId w:val="0"/>
        </w:numPr>
        <w:spacing w:line="600" w:lineRule="exact"/>
        <w:jc w:val="center"/>
        <w:outlineLvl w:val="2"/>
        <w:rPr>
          <w:rFonts w:hint="eastAsia" w:ascii="宋体" w:hAnsi="宋体" w:eastAsia="宋体" w:cs="宋体"/>
          <w:b/>
          <w:color w:val="auto"/>
          <w:kern w:val="2"/>
          <w:sz w:val="24"/>
          <w:szCs w:val="24"/>
          <w:highlight w:val="none"/>
        </w:rPr>
      </w:pPr>
    </w:p>
    <w:p w14:paraId="4A869CE2">
      <w:pPr>
        <w:numPr>
          <w:ilvl w:val="0"/>
          <w:numId w:val="0"/>
        </w:numPr>
        <w:spacing w:line="600" w:lineRule="exact"/>
        <w:jc w:val="center"/>
        <w:outlineLvl w:val="2"/>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rPr>
        <w:t>（</w:t>
      </w:r>
      <w:r>
        <w:rPr>
          <w:rFonts w:hint="eastAsia" w:ascii="宋体" w:hAnsi="宋体" w:eastAsia="宋体" w:cs="宋体"/>
          <w:b/>
          <w:color w:val="auto"/>
          <w:kern w:val="2"/>
          <w:sz w:val="24"/>
          <w:szCs w:val="24"/>
          <w:highlight w:val="none"/>
          <w:lang w:eastAsia="zh-CN"/>
        </w:rPr>
        <w:t>五</w:t>
      </w:r>
      <w:r>
        <w:rPr>
          <w:rFonts w:hint="eastAsia" w:ascii="宋体" w:hAnsi="宋体" w:eastAsia="宋体" w:cs="宋体"/>
          <w:b/>
          <w:color w:val="auto"/>
          <w:kern w:val="2"/>
          <w:sz w:val="24"/>
          <w:szCs w:val="24"/>
          <w:highlight w:val="none"/>
        </w:rPr>
        <w:t>）</w:t>
      </w:r>
      <w:r>
        <w:rPr>
          <w:rFonts w:hint="eastAsia" w:ascii="宋体" w:hAnsi="宋体" w:eastAsia="宋体" w:cs="宋体"/>
          <w:b/>
          <w:bCs w:val="0"/>
          <w:color w:val="auto"/>
          <w:kern w:val="2"/>
          <w:sz w:val="24"/>
          <w:szCs w:val="24"/>
          <w:highlight w:val="none"/>
          <w:lang w:val="en-US" w:eastAsia="zh-CN" w:bidi="ar-SA"/>
        </w:rPr>
        <w:t>具有履行合同所必需的设备和专业技术能力承诺函</w:t>
      </w:r>
    </w:p>
    <w:p w14:paraId="34D2E511">
      <w:pPr>
        <w:pStyle w:val="15"/>
        <w:numPr>
          <w:ilvl w:val="0"/>
          <w:numId w:val="0"/>
        </w:numPr>
        <w:rPr>
          <w:rFonts w:hint="eastAsia" w:ascii="宋体" w:hAnsi="宋体" w:eastAsia="宋体" w:cs="宋体"/>
          <w:color w:val="auto"/>
          <w:highlight w:val="none"/>
        </w:rPr>
      </w:pPr>
    </w:p>
    <w:p w14:paraId="24252492">
      <w:pPr>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eastAsia="宋体" w:cs="宋体"/>
          <w:color w:val="auto"/>
          <w:sz w:val="24"/>
          <w:highlight w:val="none"/>
          <w:u w:val="single"/>
        </w:rPr>
        <w:t>：             （</w:t>
      </w:r>
      <w:r>
        <w:rPr>
          <w:rFonts w:hint="eastAsia" w:ascii="宋体" w:hAnsi="宋体" w:eastAsia="宋体" w:cs="宋体"/>
          <w:color w:val="auto"/>
          <w:sz w:val="24"/>
          <w:highlight w:val="none"/>
          <w:u w:val="single"/>
          <w:lang w:eastAsia="zh-CN"/>
        </w:rPr>
        <w:t>采购人</w:t>
      </w:r>
      <w:r>
        <w:rPr>
          <w:rFonts w:hint="eastAsia" w:ascii="宋体" w:hAnsi="宋体" w:eastAsia="宋体" w:cs="宋体"/>
          <w:color w:val="auto"/>
          <w:sz w:val="24"/>
          <w:highlight w:val="none"/>
          <w:u w:val="single"/>
        </w:rPr>
        <w:t>名称）</w:t>
      </w:r>
    </w:p>
    <w:p w14:paraId="74B78AD3">
      <w:pPr>
        <w:spacing w:line="48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本公司参加的磋商项目投标活动，在此承诺：</w:t>
      </w:r>
    </w:p>
    <w:p w14:paraId="762635FD">
      <w:pPr>
        <w:spacing w:line="480" w:lineRule="auto"/>
        <w:ind w:firstLine="480" w:firstLineChars="200"/>
        <w:outlineLvl w:val="3"/>
        <w:rPr>
          <w:rFonts w:hint="eastAsia" w:ascii="宋体" w:hAnsi="宋体" w:eastAsia="宋体" w:cs="宋体"/>
          <w:color w:val="auto"/>
          <w:sz w:val="24"/>
          <w:highlight w:val="none"/>
        </w:rPr>
      </w:pPr>
      <w:r>
        <w:rPr>
          <w:rFonts w:hint="eastAsia" w:ascii="宋体" w:hAnsi="宋体" w:eastAsia="宋体" w:cs="宋体"/>
          <w:color w:val="auto"/>
          <w:sz w:val="24"/>
          <w:highlight w:val="none"/>
        </w:rPr>
        <w:t>1.具备履行合同所必需的设备和专业技术能力；</w:t>
      </w:r>
    </w:p>
    <w:p w14:paraId="17759B25">
      <w:pPr>
        <w:spacing w:line="48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2.按照磋商文件的要求提交磋商响应文件，并对所提供的全具备履行合同所必需的设备和专业技术能力的证明材料的真实性承担法律责任；</w:t>
      </w:r>
    </w:p>
    <w:p w14:paraId="478EF79A">
      <w:pPr>
        <w:spacing w:line="480" w:lineRule="auto"/>
        <w:ind w:firstLine="480" w:firstLineChars="200"/>
        <w:outlineLvl w:val="3"/>
        <w:rPr>
          <w:rFonts w:hint="eastAsia" w:ascii="宋体" w:hAnsi="宋体" w:eastAsia="宋体" w:cs="宋体"/>
          <w:color w:val="auto"/>
          <w:sz w:val="24"/>
          <w:highlight w:val="none"/>
        </w:rPr>
      </w:pPr>
      <w:r>
        <w:rPr>
          <w:rFonts w:hint="eastAsia" w:ascii="宋体" w:hAnsi="宋体" w:eastAsia="宋体" w:cs="宋体"/>
          <w:color w:val="auto"/>
          <w:sz w:val="24"/>
          <w:highlight w:val="none"/>
        </w:rPr>
        <w:t>3.且符合《中华人民共和国政府采购法》第二十二条规定。</w:t>
      </w:r>
    </w:p>
    <w:p w14:paraId="23A14571">
      <w:pPr>
        <w:spacing w:line="360" w:lineRule="auto"/>
        <w:ind w:firstLine="1807" w:firstLineChars="750"/>
        <w:rPr>
          <w:rFonts w:hint="eastAsia" w:ascii="宋体" w:hAnsi="宋体" w:eastAsia="宋体" w:cs="宋体"/>
          <w:b/>
          <w:color w:val="auto"/>
          <w:kern w:val="2"/>
          <w:sz w:val="24"/>
          <w:szCs w:val="24"/>
          <w:highlight w:val="none"/>
        </w:rPr>
      </w:pPr>
    </w:p>
    <w:p w14:paraId="75BFF86D">
      <w:pPr>
        <w:spacing w:line="360" w:lineRule="auto"/>
        <w:ind w:firstLine="1807" w:firstLineChars="750"/>
        <w:rPr>
          <w:rFonts w:hint="eastAsia" w:ascii="宋体" w:hAnsi="宋体" w:eastAsia="宋体" w:cs="宋体"/>
          <w:b/>
          <w:color w:val="auto"/>
          <w:kern w:val="2"/>
          <w:sz w:val="24"/>
          <w:szCs w:val="24"/>
          <w:highlight w:val="none"/>
        </w:rPr>
      </w:pPr>
    </w:p>
    <w:p w14:paraId="56A21F82">
      <w:pPr>
        <w:spacing w:line="360" w:lineRule="auto"/>
        <w:ind w:firstLine="1807" w:firstLineChars="750"/>
        <w:rPr>
          <w:rFonts w:hint="eastAsia" w:ascii="宋体" w:hAnsi="宋体" w:eastAsia="宋体" w:cs="宋体"/>
          <w:b/>
          <w:color w:val="auto"/>
          <w:kern w:val="2"/>
          <w:sz w:val="24"/>
          <w:szCs w:val="24"/>
          <w:highlight w:val="none"/>
        </w:rPr>
      </w:pPr>
    </w:p>
    <w:p w14:paraId="4062D73B">
      <w:pPr>
        <w:spacing w:line="360" w:lineRule="auto"/>
        <w:ind w:firstLine="1807" w:firstLineChars="750"/>
        <w:rPr>
          <w:rFonts w:hint="eastAsia" w:ascii="宋体" w:hAnsi="宋体" w:eastAsia="宋体" w:cs="宋体"/>
          <w:b/>
          <w:color w:val="auto"/>
          <w:kern w:val="2"/>
          <w:sz w:val="24"/>
          <w:szCs w:val="24"/>
          <w:highlight w:val="none"/>
        </w:rPr>
      </w:pPr>
    </w:p>
    <w:p w14:paraId="49B36652">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申请人名称：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（签章）</w:t>
      </w:r>
    </w:p>
    <w:p w14:paraId="46231DAD">
      <w:pPr>
        <w:spacing w:line="480" w:lineRule="auto"/>
        <w:ind w:right="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1763E207">
      <w:pPr>
        <w:numPr>
          <w:ilvl w:val="0"/>
          <w:numId w:val="0"/>
        </w:numPr>
        <w:spacing w:line="600" w:lineRule="exact"/>
        <w:jc w:val="both"/>
        <w:outlineLvl w:val="2"/>
        <w:rPr>
          <w:rFonts w:hint="eastAsia" w:ascii="宋体" w:hAnsi="宋体" w:eastAsia="宋体" w:cs="宋体"/>
          <w:b/>
          <w:color w:val="auto"/>
          <w:kern w:val="2"/>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6CB2781">
      <w:pPr>
        <w:numPr>
          <w:ilvl w:val="0"/>
          <w:numId w:val="0"/>
        </w:numPr>
        <w:spacing w:line="600" w:lineRule="exact"/>
        <w:jc w:val="center"/>
        <w:outlineLvl w:val="9"/>
        <w:rPr>
          <w:rFonts w:hint="eastAsia" w:ascii="宋体" w:hAnsi="宋体" w:eastAsia="宋体" w:cs="宋体"/>
          <w:b/>
          <w:color w:val="auto"/>
          <w:kern w:val="2"/>
          <w:sz w:val="24"/>
          <w:szCs w:val="24"/>
          <w:highlight w:val="none"/>
        </w:rPr>
      </w:pPr>
    </w:p>
    <w:p w14:paraId="43DCEE31">
      <w:pPr>
        <w:numPr>
          <w:ilvl w:val="0"/>
          <w:numId w:val="0"/>
        </w:numPr>
        <w:spacing w:line="600" w:lineRule="exact"/>
        <w:jc w:val="center"/>
        <w:outlineLvl w:val="9"/>
        <w:rPr>
          <w:rFonts w:hint="eastAsia" w:ascii="宋体" w:hAnsi="宋体" w:eastAsia="宋体" w:cs="宋体"/>
          <w:b/>
          <w:color w:val="auto"/>
          <w:kern w:val="2"/>
          <w:sz w:val="24"/>
          <w:szCs w:val="24"/>
          <w:highlight w:val="none"/>
        </w:rPr>
      </w:pPr>
    </w:p>
    <w:p w14:paraId="27D383A7">
      <w:pPr>
        <w:numPr>
          <w:ilvl w:val="0"/>
          <w:numId w:val="0"/>
        </w:numPr>
        <w:spacing w:line="600" w:lineRule="exact"/>
        <w:jc w:val="both"/>
        <w:outlineLvl w:val="9"/>
        <w:rPr>
          <w:rFonts w:hint="eastAsia" w:ascii="宋体" w:hAnsi="宋体" w:eastAsia="宋体" w:cs="宋体"/>
          <w:b/>
          <w:color w:val="auto"/>
          <w:kern w:val="2"/>
          <w:sz w:val="24"/>
          <w:szCs w:val="24"/>
          <w:highlight w:val="none"/>
        </w:rPr>
      </w:pPr>
    </w:p>
    <w:p w14:paraId="43F7C72D">
      <w:pPr>
        <w:numPr>
          <w:ilvl w:val="0"/>
          <w:numId w:val="0"/>
        </w:numPr>
        <w:spacing w:line="600" w:lineRule="exact"/>
        <w:jc w:val="center"/>
        <w:outlineLvl w:val="2"/>
        <w:rPr>
          <w:rFonts w:hint="eastAsia" w:ascii="宋体" w:hAnsi="宋体" w:eastAsia="宋体" w:cs="宋体"/>
          <w:b/>
          <w:color w:val="auto"/>
          <w:kern w:val="2"/>
          <w:sz w:val="24"/>
          <w:szCs w:val="24"/>
          <w:highlight w:val="none"/>
        </w:rPr>
      </w:pPr>
    </w:p>
    <w:p w14:paraId="5B0AE2F0">
      <w:pPr>
        <w:numPr>
          <w:ilvl w:val="0"/>
          <w:numId w:val="0"/>
        </w:numPr>
        <w:spacing w:line="600" w:lineRule="exact"/>
        <w:jc w:val="center"/>
        <w:outlineLvl w:val="2"/>
        <w:rPr>
          <w:rFonts w:hint="eastAsia" w:ascii="宋体" w:hAnsi="宋体" w:eastAsia="宋体" w:cs="宋体"/>
          <w:b/>
          <w:color w:val="auto"/>
          <w:kern w:val="2"/>
          <w:sz w:val="24"/>
          <w:szCs w:val="24"/>
          <w:highlight w:val="none"/>
          <w:lang w:val="en-US" w:eastAsia="zh-CN"/>
        </w:rPr>
      </w:pPr>
      <w:r>
        <w:rPr>
          <w:rFonts w:hint="eastAsia" w:ascii="宋体" w:hAnsi="宋体" w:eastAsia="宋体" w:cs="宋体"/>
          <w:b/>
          <w:color w:val="auto"/>
          <w:kern w:val="2"/>
          <w:sz w:val="24"/>
          <w:szCs w:val="24"/>
          <w:highlight w:val="none"/>
        </w:rPr>
        <w:t>（</w:t>
      </w:r>
      <w:r>
        <w:rPr>
          <w:rFonts w:hint="eastAsia" w:ascii="宋体" w:hAnsi="宋体" w:eastAsia="宋体" w:cs="宋体"/>
          <w:b/>
          <w:color w:val="auto"/>
          <w:kern w:val="2"/>
          <w:sz w:val="24"/>
          <w:szCs w:val="24"/>
          <w:highlight w:val="none"/>
          <w:lang w:eastAsia="zh-CN"/>
        </w:rPr>
        <w:t>六</w:t>
      </w:r>
      <w:r>
        <w:rPr>
          <w:rFonts w:hint="eastAsia" w:ascii="宋体" w:hAnsi="宋体" w:eastAsia="宋体" w:cs="宋体"/>
          <w:b/>
          <w:color w:val="auto"/>
          <w:kern w:val="2"/>
          <w:sz w:val="24"/>
          <w:szCs w:val="24"/>
          <w:highlight w:val="none"/>
        </w:rPr>
        <w:t>）</w:t>
      </w:r>
      <w:r>
        <w:rPr>
          <w:rFonts w:hint="eastAsia" w:ascii="宋体" w:hAnsi="宋体" w:eastAsia="宋体" w:cs="宋体"/>
          <w:b/>
          <w:color w:val="auto"/>
          <w:kern w:val="2"/>
          <w:sz w:val="24"/>
          <w:szCs w:val="24"/>
          <w:highlight w:val="none"/>
          <w:lang w:val="en-US" w:eastAsia="zh-CN"/>
        </w:rPr>
        <w:t>参加政府采购活动前三年内在经营活动中没有重大违法记录的书面声明</w:t>
      </w:r>
    </w:p>
    <w:p w14:paraId="5867BB23">
      <w:pPr>
        <w:pStyle w:val="422"/>
        <w:numPr>
          <w:ilvl w:val="0"/>
          <w:numId w:val="0"/>
        </w:numPr>
        <w:rPr>
          <w:rFonts w:hint="eastAsia"/>
          <w:color w:val="auto"/>
          <w:highlight w:val="none"/>
          <w:lang w:val="en-US" w:eastAsia="zh-CN"/>
        </w:rPr>
      </w:pPr>
    </w:p>
    <w:p w14:paraId="40DC9D07">
      <w:pPr>
        <w:pStyle w:val="422"/>
        <w:numPr>
          <w:ilvl w:val="0"/>
          <w:numId w:val="0"/>
        </w:numPr>
        <w:rPr>
          <w:rFonts w:hint="eastAsia"/>
          <w:color w:val="auto"/>
          <w:highlight w:val="none"/>
          <w:lang w:val="en-US" w:eastAsia="zh-CN"/>
        </w:rPr>
      </w:pPr>
    </w:p>
    <w:p w14:paraId="1DD1A734">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highlight w:val="none"/>
          <w:u w:val="singl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highlight w:val="none"/>
          <w:u w:val="single"/>
          <w:lang w:eastAsia="zh-CN"/>
        </w:rPr>
        <w:t>采购人</w:t>
      </w:r>
      <w:r>
        <w:rPr>
          <w:rFonts w:hint="eastAsia" w:ascii="宋体" w:hAnsi="宋体" w:eastAsia="宋体" w:cs="宋体"/>
          <w:color w:val="auto"/>
          <w:sz w:val="24"/>
          <w:highlight w:val="none"/>
          <w:u w:val="single"/>
        </w:rPr>
        <w:t>名称</w:t>
      </w:r>
      <w:r>
        <w:rPr>
          <w:rFonts w:hint="eastAsia" w:ascii="宋体" w:hAnsi="宋体" w:eastAsia="宋体" w:cs="宋体"/>
          <w:color w:val="auto"/>
          <w:sz w:val="24"/>
          <w:szCs w:val="24"/>
          <w:highlight w:val="none"/>
          <w:u w:val="single"/>
        </w:rPr>
        <w:t>）</w:t>
      </w:r>
    </w:p>
    <w:p w14:paraId="59CA1AB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磋商</w:t>
      </w:r>
      <w:r>
        <w:rPr>
          <w:rFonts w:hint="eastAsia" w:ascii="宋体" w:hAnsi="宋体" w:eastAsia="宋体" w:cs="宋体"/>
          <w:color w:val="auto"/>
          <w:sz w:val="24"/>
          <w:szCs w:val="24"/>
          <w:highlight w:val="none"/>
          <w:u w:val="single"/>
        </w:rPr>
        <w:t xml:space="preserve">申请人名称)  </w:t>
      </w:r>
      <w:r>
        <w:rPr>
          <w:rFonts w:hint="eastAsia" w:ascii="宋体" w:hAnsi="宋体" w:eastAsia="宋体" w:cs="宋体"/>
          <w:color w:val="auto"/>
          <w:sz w:val="24"/>
          <w:szCs w:val="24"/>
          <w:highlight w:val="none"/>
        </w:rPr>
        <w:t>法定代表人的资格，郑重承诺：</w:t>
      </w:r>
    </w:p>
    <w:p w14:paraId="31D410CD">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具有履行合同要求的专业技术能力，参加本项目招标投标活动前三年内，在经营活动中无违法、违规的不良记录,无因违法经营受到刑事处罚或者责令停产停业、吊销许可证或者执照、较大数额罚款等行政处罚。若在本次项目的招标全过程中，被查实我公司提供的资料及上述承诺不属实，或提供的相关资料不属实或不满足</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文件的要求，则</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有权取消我公司的参与</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及成交资格，且我公司将无条件承担由此给本次采购活动带来的一切后果(包括经济损失)。</w:t>
      </w:r>
    </w:p>
    <w:p w14:paraId="02AFC9DC">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特此声明。</w:t>
      </w:r>
    </w:p>
    <w:p w14:paraId="70D82E13">
      <w:pPr>
        <w:spacing w:line="480" w:lineRule="auto"/>
        <w:rPr>
          <w:rFonts w:hint="eastAsia" w:ascii="宋体" w:hAnsi="宋体" w:eastAsia="宋体" w:cs="宋体"/>
          <w:color w:val="auto"/>
          <w:sz w:val="24"/>
          <w:szCs w:val="24"/>
          <w:highlight w:val="none"/>
        </w:rPr>
      </w:pPr>
    </w:p>
    <w:p w14:paraId="5CBBA8FF">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申请人名称：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（签章）</w:t>
      </w:r>
    </w:p>
    <w:p w14:paraId="743CA4FF">
      <w:pPr>
        <w:spacing w:line="480" w:lineRule="auto"/>
        <w:ind w:right="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11507543">
      <w:pPr>
        <w:spacing w:line="480" w:lineRule="auto"/>
        <w:ind w:right="9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EFD94C4">
      <w:pPr>
        <w:spacing w:line="360" w:lineRule="auto"/>
        <w:ind w:firstLine="1807" w:firstLineChars="750"/>
        <w:rPr>
          <w:rFonts w:hint="eastAsia" w:ascii="宋体" w:hAnsi="宋体" w:eastAsia="宋体" w:cs="宋体"/>
          <w:b/>
          <w:color w:val="auto"/>
          <w:kern w:val="2"/>
          <w:sz w:val="24"/>
          <w:szCs w:val="24"/>
          <w:highlight w:val="none"/>
        </w:rPr>
      </w:pPr>
    </w:p>
    <w:p w14:paraId="7E82A90B">
      <w:pPr>
        <w:spacing w:line="360" w:lineRule="auto"/>
        <w:ind w:firstLine="1807" w:firstLineChars="750"/>
        <w:rPr>
          <w:rFonts w:hint="eastAsia" w:ascii="宋体" w:hAnsi="宋体" w:eastAsia="宋体" w:cs="宋体"/>
          <w:b/>
          <w:color w:val="auto"/>
          <w:kern w:val="2"/>
          <w:sz w:val="24"/>
          <w:szCs w:val="24"/>
          <w:highlight w:val="none"/>
        </w:rPr>
      </w:pPr>
    </w:p>
    <w:p w14:paraId="0336F1FF">
      <w:pPr>
        <w:spacing w:line="360" w:lineRule="auto"/>
        <w:ind w:firstLine="1807" w:firstLineChars="750"/>
        <w:rPr>
          <w:rFonts w:hint="eastAsia" w:ascii="宋体" w:hAnsi="宋体" w:eastAsia="宋体" w:cs="宋体"/>
          <w:b/>
          <w:color w:val="auto"/>
          <w:kern w:val="2"/>
          <w:sz w:val="24"/>
          <w:szCs w:val="24"/>
          <w:highlight w:val="none"/>
        </w:rPr>
      </w:pPr>
    </w:p>
    <w:p w14:paraId="095BC8BB">
      <w:pPr>
        <w:spacing w:line="360" w:lineRule="auto"/>
        <w:ind w:firstLine="1807" w:firstLineChars="750"/>
        <w:rPr>
          <w:rFonts w:hint="eastAsia" w:ascii="宋体" w:hAnsi="宋体" w:eastAsia="宋体" w:cs="宋体"/>
          <w:b/>
          <w:color w:val="auto"/>
          <w:kern w:val="2"/>
          <w:sz w:val="24"/>
          <w:szCs w:val="24"/>
          <w:highlight w:val="none"/>
        </w:rPr>
      </w:pPr>
    </w:p>
    <w:p w14:paraId="2F84E13D">
      <w:pPr>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br w:type="page"/>
      </w:r>
    </w:p>
    <w:p w14:paraId="056F74EB">
      <w:pPr>
        <w:numPr>
          <w:ilvl w:val="0"/>
          <w:numId w:val="0"/>
        </w:numPr>
        <w:spacing w:line="360" w:lineRule="auto"/>
        <w:ind w:left="0" w:leftChars="0" w:firstLine="441" w:firstLineChars="183"/>
        <w:jc w:val="center"/>
        <w:rPr>
          <w:rFonts w:hint="eastAsia" w:ascii="宋体" w:hAnsi="宋体" w:eastAsia="宋体" w:cs="宋体"/>
          <w:b/>
          <w:kern w:val="2"/>
          <w:sz w:val="24"/>
          <w:szCs w:val="24"/>
          <w:highlight w:val="none"/>
        </w:rPr>
      </w:pPr>
      <w:r>
        <w:rPr>
          <w:rFonts w:hint="eastAsia" w:ascii="宋体" w:hAnsi="宋体" w:eastAsia="宋体" w:cs="宋体"/>
          <w:b/>
          <w:kern w:val="2"/>
          <w:sz w:val="24"/>
          <w:szCs w:val="24"/>
          <w:highlight w:val="none"/>
          <w:lang w:val="en-US" w:eastAsia="zh-CN" w:bidi="ar-SA"/>
        </w:rPr>
        <w:t>（七）</w:t>
      </w:r>
      <w:r>
        <w:rPr>
          <w:rFonts w:hint="eastAsia" w:ascii="宋体" w:hAnsi="宋体" w:eastAsia="宋体" w:cs="宋体"/>
          <w:b/>
          <w:kern w:val="2"/>
          <w:sz w:val="24"/>
          <w:szCs w:val="24"/>
          <w:highlight w:val="none"/>
        </w:rPr>
        <w:t>本项目的特定资格要求：</w:t>
      </w:r>
    </w:p>
    <w:p w14:paraId="0D558754">
      <w:pPr>
        <w:numPr>
          <w:ilvl w:val="0"/>
          <w:numId w:val="0"/>
        </w:numPr>
        <w:spacing w:line="360" w:lineRule="auto"/>
        <w:ind w:left="0" w:leftChars="0" w:firstLine="439" w:firstLineChars="183"/>
        <w:rPr>
          <w:rFonts w:hint="eastAsia" w:ascii="宋体" w:hAnsi="宋体" w:eastAsia="宋体" w:cs="宋体"/>
          <w:b w:val="0"/>
          <w:bCs/>
          <w:kern w:val="2"/>
          <w:sz w:val="24"/>
          <w:szCs w:val="24"/>
          <w:highlight w:val="none"/>
          <w:lang w:val="en-US" w:eastAsia="zh-CN"/>
        </w:rPr>
      </w:pPr>
      <w:r>
        <w:rPr>
          <w:rFonts w:hint="eastAsia" w:ascii="宋体" w:hAnsi="宋体" w:eastAsia="宋体" w:cs="宋体"/>
          <w:b w:val="0"/>
          <w:bCs/>
          <w:kern w:val="2"/>
          <w:sz w:val="24"/>
          <w:szCs w:val="24"/>
          <w:highlight w:val="none"/>
          <w:lang w:val="en-US" w:eastAsia="zh-CN"/>
        </w:rPr>
        <w:t xml:space="preserve">①须具备建设行政主管部门颁发的建筑工程施工总承包叁级（含叁级）及以上资质并在人员、设备、资金等方面具有相应的施工能力（具有设备安装资质或承诺具有设备安装的能力），具有有效的安全生产许可证； </w:t>
      </w:r>
    </w:p>
    <w:p w14:paraId="045F16CF">
      <w:pPr>
        <w:numPr>
          <w:ilvl w:val="0"/>
          <w:numId w:val="0"/>
        </w:numPr>
        <w:spacing w:line="360" w:lineRule="auto"/>
        <w:ind w:left="0" w:leftChars="0" w:firstLine="439" w:firstLineChars="183"/>
        <w:rPr>
          <w:rFonts w:hint="default" w:ascii="宋体" w:hAnsi="宋体" w:eastAsia="宋体" w:cs="宋体"/>
          <w:b w:val="0"/>
          <w:bCs/>
          <w:kern w:val="2"/>
          <w:sz w:val="24"/>
          <w:szCs w:val="24"/>
          <w:highlight w:val="none"/>
          <w:lang w:val="en-US" w:eastAsia="zh-CN"/>
        </w:rPr>
      </w:pPr>
      <w:r>
        <w:rPr>
          <w:rFonts w:hint="eastAsia" w:ascii="宋体" w:hAnsi="宋体" w:eastAsia="宋体" w:cs="宋体"/>
          <w:b w:val="0"/>
          <w:bCs/>
          <w:kern w:val="2"/>
          <w:sz w:val="24"/>
          <w:szCs w:val="24"/>
          <w:highlight w:val="none"/>
          <w:lang w:val="en-US" w:eastAsia="zh-CN"/>
        </w:rPr>
        <w:t>②拟任本项目负责人须具有建设行政主管部门核发的建筑工程专业贰级及以上注册建造师证和有效的安全生产考核合格证书（B证年检合格）；拟派的项目负责人的注册建造师证书及安全生产考核证注册单位需与磋商申请人名称一致。</w:t>
      </w:r>
    </w:p>
    <w:p w14:paraId="57685AD3">
      <w:pPr>
        <w:rPr>
          <w:rFonts w:hint="eastAsia" w:ascii="宋体" w:hAnsi="宋体" w:eastAsia="宋体" w:cs="宋体"/>
          <w:b/>
          <w:kern w:val="2"/>
          <w:sz w:val="24"/>
          <w:szCs w:val="24"/>
          <w:highlight w:val="none"/>
        </w:rPr>
      </w:pPr>
      <w:r>
        <w:rPr>
          <w:rFonts w:hint="eastAsia" w:ascii="宋体" w:hAnsi="宋体" w:eastAsia="宋体" w:cs="宋体"/>
          <w:b/>
          <w:kern w:val="2"/>
          <w:sz w:val="24"/>
          <w:szCs w:val="24"/>
          <w:highlight w:val="none"/>
        </w:rPr>
        <w:br w:type="page"/>
      </w:r>
    </w:p>
    <w:p w14:paraId="0773342B">
      <w:pPr>
        <w:spacing w:line="360" w:lineRule="auto"/>
        <w:ind w:firstLine="1807" w:firstLineChars="750"/>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 xml:space="preserve">八 </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磋商申请人认为需要提供的资格证明资料（格式自拟）</w:t>
      </w:r>
    </w:p>
    <w:bookmarkEnd w:id="552"/>
    <w:p w14:paraId="2383B6F3">
      <w:pPr>
        <w:adjustRightInd/>
        <w:snapToGrid/>
        <w:spacing w:after="0"/>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br w:type="page"/>
      </w:r>
    </w:p>
    <w:p w14:paraId="457532F6">
      <w:pPr>
        <w:jc w:val="center"/>
        <w:outlineLvl w:val="2"/>
        <w:rPr>
          <w:rFonts w:hint="default" w:ascii="宋体" w:hAnsi="宋体" w:eastAsia="宋体" w:cs="宋体"/>
          <w:b/>
          <w:color w:val="auto"/>
          <w:kern w:val="2"/>
          <w:sz w:val="24"/>
          <w:szCs w:val="24"/>
          <w:highlight w:val="none"/>
          <w:lang w:val="en-US" w:eastAsia="zh-CN"/>
        </w:rPr>
      </w:pPr>
      <w:bookmarkStart w:id="555" w:name="_Toc10195"/>
      <w:r>
        <w:rPr>
          <w:rFonts w:hint="eastAsia" w:ascii="宋体" w:hAnsi="宋体" w:eastAsia="宋体" w:cs="宋体"/>
          <w:b/>
          <w:color w:val="auto"/>
          <w:kern w:val="2"/>
          <w:sz w:val="24"/>
          <w:szCs w:val="24"/>
          <w:highlight w:val="none"/>
          <w:lang w:val="en-US" w:eastAsia="zh-CN"/>
        </w:rPr>
        <w:t>九、类似业绩</w:t>
      </w:r>
    </w:p>
    <w:p w14:paraId="12FA0348">
      <w:pPr>
        <w:jc w:val="center"/>
        <w:outlineLvl w:val="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lang w:val="en-US" w:eastAsia="zh-CN"/>
        </w:rPr>
        <w:t>一</w:t>
      </w:r>
      <w:r>
        <w:rPr>
          <w:rFonts w:hint="eastAsia" w:ascii="宋体" w:hAnsi="宋体" w:eastAsia="宋体" w:cs="宋体"/>
          <w:b/>
          <w:color w:val="auto"/>
          <w:kern w:val="2"/>
          <w:sz w:val="24"/>
          <w:szCs w:val="24"/>
          <w:highlight w:val="none"/>
          <w:lang w:eastAsia="zh-CN"/>
        </w:rPr>
        <w:t>）</w:t>
      </w:r>
      <w:r>
        <w:rPr>
          <w:rFonts w:hint="eastAsia" w:ascii="宋体" w:hAnsi="宋体" w:eastAsia="宋体" w:cs="宋体"/>
          <w:b/>
          <w:color w:val="auto"/>
          <w:kern w:val="2"/>
          <w:sz w:val="24"/>
          <w:szCs w:val="24"/>
          <w:highlight w:val="none"/>
        </w:rPr>
        <w:t>近年完成的类似项目情况表</w:t>
      </w:r>
      <w:bookmarkEnd w:id="555"/>
    </w:p>
    <w:tbl>
      <w:tblPr>
        <w:tblStyle w:val="61"/>
        <w:tblW w:w="9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7337"/>
      </w:tblGrid>
      <w:tr w14:paraId="6BCB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2A542BAC">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337" w:type="dxa"/>
            <w:vAlign w:val="center"/>
          </w:tcPr>
          <w:p w14:paraId="4E5A0968">
            <w:pPr>
              <w:spacing w:after="0" w:line="0" w:lineRule="atLeast"/>
              <w:jc w:val="center"/>
              <w:rPr>
                <w:rFonts w:hint="eastAsia" w:ascii="宋体" w:hAnsi="宋体" w:eastAsia="宋体" w:cs="宋体"/>
                <w:color w:val="auto"/>
                <w:sz w:val="21"/>
                <w:szCs w:val="21"/>
                <w:highlight w:val="none"/>
              </w:rPr>
            </w:pPr>
          </w:p>
        </w:tc>
      </w:tr>
      <w:tr w14:paraId="333BC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DB36BC3">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项目所在地</w:t>
            </w:r>
          </w:p>
        </w:tc>
        <w:tc>
          <w:tcPr>
            <w:tcW w:w="7337" w:type="dxa"/>
            <w:vAlign w:val="center"/>
          </w:tcPr>
          <w:p w14:paraId="5CCC807A">
            <w:pPr>
              <w:spacing w:after="0" w:line="0" w:lineRule="atLeast"/>
              <w:jc w:val="center"/>
              <w:rPr>
                <w:rFonts w:hint="eastAsia" w:ascii="宋体" w:hAnsi="宋体" w:eastAsia="宋体" w:cs="宋体"/>
                <w:color w:val="auto"/>
                <w:sz w:val="21"/>
                <w:szCs w:val="21"/>
                <w:highlight w:val="none"/>
              </w:rPr>
            </w:pPr>
          </w:p>
        </w:tc>
      </w:tr>
      <w:tr w14:paraId="5172A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19924CEB">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发包人名称</w:t>
            </w:r>
          </w:p>
        </w:tc>
        <w:tc>
          <w:tcPr>
            <w:tcW w:w="7337" w:type="dxa"/>
            <w:vAlign w:val="center"/>
          </w:tcPr>
          <w:p w14:paraId="6D047349">
            <w:pPr>
              <w:spacing w:after="0" w:line="0" w:lineRule="atLeast"/>
              <w:jc w:val="center"/>
              <w:rPr>
                <w:rFonts w:hint="eastAsia" w:ascii="宋体" w:hAnsi="宋体" w:eastAsia="宋体" w:cs="宋体"/>
                <w:color w:val="auto"/>
                <w:sz w:val="21"/>
                <w:szCs w:val="21"/>
                <w:highlight w:val="none"/>
              </w:rPr>
            </w:pPr>
          </w:p>
        </w:tc>
      </w:tr>
      <w:tr w14:paraId="5532A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4AB1E52E">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发包人地址</w:t>
            </w:r>
          </w:p>
        </w:tc>
        <w:tc>
          <w:tcPr>
            <w:tcW w:w="7337" w:type="dxa"/>
            <w:vAlign w:val="center"/>
          </w:tcPr>
          <w:p w14:paraId="10702867">
            <w:pPr>
              <w:spacing w:after="0" w:line="0" w:lineRule="atLeast"/>
              <w:jc w:val="center"/>
              <w:rPr>
                <w:rFonts w:hint="eastAsia" w:ascii="宋体" w:hAnsi="宋体" w:eastAsia="宋体" w:cs="宋体"/>
                <w:color w:val="auto"/>
                <w:sz w:val="21"/>
                <w:szCs w:val="21"/>
                <w:highlight w:val="none"/>
              </w:rPr>
            </w:pPr>
          </w:p>
        </w:tc>
      </w:tr>
      <w:tr w14:paraId="5A4A5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33E69571">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发包人电话</w:t>
            </w:r>
          </w:p>
        </w:tc>
        <w:tc>
          <w:tcPr>
            <w:tcW w:w="7337" w:type="dxa"/>
            <w:vAlign w:val="center"/>
          </w:tcPr>
          <w:p w14:paraId="0D4D1044">
            <w:pPr>
              <w:spacing w:after="0" w:line="0" w:lineRule="atLeast"/>
              <w:jc w:val="center"/>
              <w:rPr>
                <w:rFonts w:hint="eastAsia" w:ascii="宋体" w:hAnsi="宋体" w:eastAsia="宋体" w:cs="宋体"/>
                <w:color w:val="auto"/>
                <w:sz w:val="21"/>
                <w:szCs w:val="21"/>
                <w:highlight w:val="none"/>
              </w:rPr>
            </w:pPr>
          </w:p>
        </w:tc>
      </w:tr>
      <w:tr w14:paraId="48731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2BE7FEB5">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w:t>
            </w:r>
          </w:p>
        </w:tc>
        <w:tc>
          <w:tcPr>
            <w:tcW w:w="7337" w:type="dxa"/>
            <w:vAlign w:val="center"/>
          </w:tcPr>
          <w:p w14:paraId="58CD337C">
            <w:pPr>
              <w:spacing w:after="0" w:line="0" w:lineRule="atLeast"/>
              <w:jc w:val="center"/>
              <w:rPr>
                <w:rFonts w:hint="eastAsia" w:ascii="宋体" w:hAnsi="宋体" w:eastAsia="宋体" w:cs="宋体"/>
                <w:color w:val="auto"/>
                <w:sz w:val="21"/>
                <w:szCs w:val="21"/>
                <w:highlight w:val="none"/>
              </w:rPr>
            </w:pPr>
          </w:p>
        </w:tc>
      </w:tr>
      <w:tr w14:paraId="43E7D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DEAE47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开工日期</w:t>
            </w:r>
          </w:p>
        </w:tc>
        <w:tc>
          <w:tcPr>
            <w:tcW w:w="7337" w:type="dxa"/>
            <w:vAlign w:val="center"/>
          </w:tcPr>
          <w:p w14:paraId="150803A6">
            <w:pPr>
              <w:spacing w:after="0" w:line="0" w:lineRule="atLeast"/>
              <w:jc w:val="center"/>
              <w:rPr>
                <w:rFonts w:hint="eastAsia" w:ascii="宋体" w:hAnsi="宋体" w:eastAsia="宋体" w:cs="宋体"/>
                <w:color w:val="auto"/>
                <w:sz w:val="21"/>
                <w:szCs w:val="21"/>
                <w:highlight w:val="none"/>
              </w:rPr>
            </w:pPr>
          </w:p>
        </w:tc>
      </w:tr>
      <w:tr w14:paraId="51F31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61ED589">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竣工日期</w:t>
            </w:r>
          </w:p>
        </w:tc>
        <w:tc>
          <w:tcPr>
            <w:tcW w:w="7337" w:type="dxa"/>
            <w:vAlign w:val="center"/>
          </w:tcPr>
          <w:p w14:paraId="432C0C36">
            <w:pPr>
              <w:spacing w:after="0" w:line="0" w:lineRule="atLeast"/>
              <w:jc w:val="center"/>
              <w:rPr>
                <w:rFonts w:hint="eastAsia" w:ascii="宋体" w:hAnsi="宋体" w:eastAsia="宋体" w:cs="宋体"/>
                <w:color w:val="auto"/>
                <w:sz w:val="21"/>
                <w:szCs w:val="21"/>
                <w:highlight w:val="none"/>
              </w:rPr>
            </w:pPr>
          </w:p>
        </w:tc>
      </w:tr>
      <w:tr w14:paraId="2F6A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1DEA0F4">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承担的工作</w:t>
            </w:r>
          </w:p>
        </w:tc>
        <w:tc>
          <w:tcPr>
            <w:tcW w:w="7337" w:type="dxa"/>
            <w:vAlign w:val="center"/>
          </w:tcPr>
          <w:p w14:paraId="0BC09937">
            <w:pPr>
              <w:spacing w:after="0" w:line="0" w:lineRule="atLeast"/>
              <w:jc w:val="center"/>
              <w:rPr>
                <w:rFonts w:hint="eastAsia" w:ascii="宋体" w:hAnsi="宋体" w:eastAsia="宋体" w:cs="宋体"/>
                <w:color w:val="auto"/>
                <w:sz w:val="21"/>
                <w:szCs w:val="21"/>
                <w:highlight w:val="none"/>
              </w:rPr>
            </w:pPr>
          </w:p>
        </w:tc>
      </w:tr>
      <w:tr w14:paraId="1306E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5CAAC53">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7337" w:type="dxa"/>
            <w:vAlign w:val="center"/>
          </w:tcPr>
          <w:p w14:paraId="1A723D5C">
            <w:pPr>
              <w:spacing w:after="0" w:line="0" w:lineRule="atLeast"/>
              <w:jc w:val="center"/>
              <w:rPr>
                <w:rFonts w:hint="eastAsia" w:ascii="宋体" w:hAnsi="宋体" w:eastAsia="宋体" w:cs="宋体"/>
                <w:color w:val="auto"/>
                <w:sz w:val="21"/>
                <w:szCs w:val="21"/>
                <w:highlight w:val="none"/>
              </w:rPr>
            </w:pPr>
          </w:p>
        </w:tc>
      </w:tr>
      <w:tr w14:paraId="6A060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26158BC3">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tc>
        <w:tc>
          <w:tcPr>
            <w:tcW w:w="7337" w:type="dxa"/>
            <w:vAlign w:val="center"/>
          </w:tcPr>
          <w:p w14:paraId="74E07C01">
            <w:pPr>
              <w:spacing w:after="0" w:line="0" w:lineRule="atLeast"/>
              <w:jc w:val="center"/>
              <w:rPr>
                <w:rFonts w:hint="eastAsia" w:ascii="宋体" w:hAnsi="宋体" w:eastAsia="宋体" w:cs="宋体"/>
                <w:color w:val="auto"/>
                <w:sz w:val="21"/>
                <w:szCs w:val="21"/>
                <w:highlight w:val="none"/>
              </w:rPr>
            </w:pPr>
          </w:p>
        </w:tc>
      </w:tr>
      <w:tr w14:paraId="2BA1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60803DFB">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7337" w:type="dxa"/>
            <w:vAlign w:val="center"/>
          </w:tcPr>
          <w:p w14:paraId="3FF9729C">
            <w:pPr>
              <w:spacing w:after="0" w:line="0" w:lineRule="atLeast"/>
              <w:jc w:val="center"/>
              <w:rPr>
                <w:rFonts w:hint="eastAsia" w:ascii="宋体" w:hAnsi="宋体" w:eastAsia="宋体" w:cs="宋体"/>
                <w:color w:val="auto"/>
                <w:sz w:val="21"/>
                <w:szCs w:val="21"/>
                <w:highlight w:val="none"/>
              </w:rPr>
            </w:pPr>
          </w:p>
        </w:tc>
      </w:tr>
      <w:tr w14:paraId="0DD21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7AD1564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总监理工程师及电话</w:t>
            </w:r>
          </w:p>
        </w:tc>
        <w:tc>
          <w:tcPr>
            <w:tcW w:w="7337" w:type="dxa"/>
            <w:vAlign w:val="center"/>
          </w:tcPr>
          <w:p w14:paraId="7FC194DA">
            <w:pPr>
              <w:spacing w:after="0" w:line="0" w:lineRule="atLeast"/>
              <w:jc w:val="center"/>
              <w:rPr>
                <w:rFonts w:hint="eastAsia" w:ascii="宋体" w:hAnsi="宋体" w:eastAsia="宋体" w:cs="宋体"/>
                <w:color w:val="auto"/>
                <w:sz w:val="21"/>
                <w:szCs w:val="21"/>
                <w:highlight w:val="none"/>
              </w:rPr>
            </w:pPr>
          </w:p>
        </w:tc>
      </w:tr>
      <w:tr w14:paraId="69576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090EDDF8">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项目描述</w:t>
            </w:r>
          </w:p>
        </w:tc>
        <w:tc>
          <w:tcPr>
            <w:tcW w:w="7337" w:type="dxa"/>
            <w:vAlign w:val="center"/>
          </w:tcPr>
          <w:p w14:paraId="005698ED">
            <w:pPr>
              <w:spacing w:after="0" w:line="0" w:lineRule="atLeast"/>
              <w:jc w:val="center"/>
              <w:rPr>
                <w:rFonts w:hint="eastAsia" w:ascii="宋体" w:hAnsi="宋体" w:eastAsia="宋体" w:cs="宋体"/>
                <w:color w:val="auto"/>
                <w:sz w:val="21"/>
                <w:szCs w:val="21"/>
                <w:highlight w:val="none"/>
              </w:rPr>
            </w:pPr>
          </w:p>
        </w:tc>
      </w:tr>
      <w:tr w14:paraId="775F4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63" w:type="dxa"/>
            <w:vAlign w:val="center"/>
          </w:tcPr>
          <w:p w14:paraId="50A05CA9">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337" w:type="dxa"/>
            <w:vAlign w:val="center"/>
          </w:tcPr>
          <w:p w14:paraId="39CE7785">
            <w:pPr>
              <w:spacing w:after="0" w:line="0" w:lineRule="atLeast"/>
              <w:jc w:val="center"/>
              <w:rPr>
                <w:rFonts w:hint="eastAsia" w:ascii="宋体" w:hAnsi="宋体" w:eastAsia="宋体" w:cs="宋体"/>
                <w:color w:val="auto"/>
                <w:sz w:val="21"/>
                <w:szCs w:val="21"/>
                <w:highlight w:val="none"/>
              </w:rPr>
            </w:pPr>
          </w:p>
        </w:tc>
      </w:tr>
    </w:tbl>
    <w:p w14:paraId="5F6D032C">
      <w:pPr>
        <w:adjustRightInd/>
        <w:snapToGrid/>
        <w:spacing w:after="0"/>
        <w:rPr>
          <w:rFonts w:hint="eastAsia" w:ascii="宋体" w:hAnsi="宋体" w:eastAsia="宋体" w:cs="宋体"/>
          <w:b/>
          <w:caps/>
          <w:color w:val="auto"/>
          <w:sz w:val="24"/>
          <w:szCs w:val="24"/>
          <w:highlight w:val="none"/>
        </w:rPr>
      </w:pPr>
      <w:r>
        <w:rPr>
          <w:rFonts w:hint="eastAsia" w:ascii="宋体" w:hAnsi="宋体" w:eastAsia="宋体" w:cs="宋体"/>
          <w:b/>
          <w:color w:val="auto"/>
          <w:sz w:val="24"/>
          <w:szCs w:val="24"/>
          <w:highlight w:val="none"/>
        </w:rPr>
        <w:t>注：</w:t>
      </w:r>
      <w:r>
        <w:rPr>
          <w:rFonts w:hint="eastAsia" w:ascii="宋体" w:hAnsi="宋体" w:eastAsia="宋体" w:cs="宋体"/>
          <w:b/>
          <w:color w:val="auto"/>
          <w:sz w:val="24"/>
          <w:szCs w:val="24"/>
          <w:highlight w:val="none"/>
          <w:lang w:val="en-US" w:eastAsia="zh-CN"/>
        </w:rPr>
        <w:t>业绩证明材料以中标（成交）通知书或合同（协议）复印件加盖公章为准，业绩证明材料放入响应文件中，未提供不得分。</w:t>
      </w:r>
      <w:r>
        <w:rPr>
          <w:rFonts w:hint="eastAsia" w:ascii="宋体" w:hAnsi="宋体" w:eastAsia="宋体" w:cs="宋体"/>
          <w:b/>
          <w:caps/>
          <w:color w:val="auto"/>
          <w:sz w:val="24"/>
          <w:szCs w:val="24"/>
          <w:highlight w:val="none"/>
        </w:rPr>
        <w:br w:type="page"/>
      </w:r>
    </w:p>
    <w:p w14:paraId="2E265BF4">
      <w:pPr>
        <w:pStyle w:val="5"/>
        <w:jc w:val="center"/>
        <w:outlineLvl w:val="2"/>
        <w:rPr>
          <w:rFonts w:hint="eastAsia" w:ascii="宋体" w:hAnsi="宋体" w:eastAsia="宋体" w:cs="宋体"/>
          <w:color w:val="auto"/>
          <w:sz w:val="24"/>
          <w:szCs w:val="24"/>
          <w:highlight w:val="none"/>
        </w:rPr>
      </w:pPr>
      <w:bookmarkStart w:id="556" w:name="_Toc234242182"/>
      <w:bookmarkStart w:id="557" w:name="_Toc531966074"/>
      <w:bookmarkStart w:id="558" w:name="_Toc536534073"/>
      <w:bookmarkStart w:id="559" w:name="_Toc193904177"/>
      <w:bookmarkStart w:id="560" w:name="_Toc536534343"/>
      <w:bookmarkStart w:id="561" w:name="_Toc234382983"/>
      <w:bookmarkStart w:id="562" w:name="_Toc17685"/>
      <w:r>
        <w:rPr>
          <w:rFonts w:hint="eastAsia" w:ascii="宋体" w:hAnsi="宋体" w:cs="宋体"/>
          <w:color w:val="auto"/>
          <w:sz w:val="24"/>
          <w:szCs w:val="24"/>
          <w:highlight w:val="none"/>
          <w:lang w:val="en-US" w:eastAsia="zh-CN"/>
        </w:rPr>
        <w:t>（二）</w:t>
      </w:r>
      <w:r>
        <w:rPr>
          <w:rFonts w:hint="eastAsia" w:ascii="宋体" w:hAnsi="宋体" w:eastAsia="宋体" w:cs="宋体"/>
          <w:color w:val="auto"/>
          <w:sz w:val="24"/>
          <w:szCs w:val="24"/>
          <w:highlight w:val="none"/>
        </w:rPr>
        <w:t>正在施工和新承接的项目情况表</w:t>
      </w:r>
      <w:bookmarkEnd w:id="556"/>
      <w:bookmarkEnd w:id="557"/>
      <w:bookmarkEnd w:id="558"/>
      <w:bookmarkEnd w:id="559"/>
      <w:bookmarkEnd w:id="560"/>
      <w:bookmarkEnd w:id="561"/>
      <w:bookmarkEnd w:id="562"/>
    </w:p>
    <w:tbl>
      <w:tblPr>
        <w:tblStyle w:val="61"/>
        <w:tblW w:w="103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05"/>
        <w:gridCol w:w="7554"/>
      </w:tblGrid>
      <w:tr w14:paraId="15CB8A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83B5B15">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554" w:type="dxa"/>
            <w:vAlign w:val="center"/>
          </w:tcPr>
          <w:p w14:paraId="43E34628">
            <w:pPr>
              <w:spacing w:after="0" w:line="0" w:lineRule="atLeast"/>
              <w:jc w:val="center"/>
              <w:rPr>
                <w:rFonts w:hint="eastAsia" w:ascii="宋体" w:hAnsi="宋体" w:eastAsia="宋体" w:cs="宋体"/>
                <w:color w:val="auto"/>
                <w:sz w:val="21"/>
                <w:szCs w:val="21"/>
                <w:highlight w:val="none"/>
              </w:rPr>
            </w:pPr>
          </w:p>
        </w:tc>
      </w:tr>
      <w:tr w14:paraId="07E7FE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2FCD612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项目所在地</w:t>
            </w:r>
          </w:p>
        </w:tc>
        <w:tc>
          <w:tcPr>
            <w:tcW w:w="7554" w:type="dxa"/>
            <w:vAlign w:val="center"/>
          </w:tcPr>
          <w:p w14:paraId="5F66FDCB">
            <w:pPr>
              <w:spacing w:after="0" w:line="0" w:lineRule="atLeast"/>
              <w:jc w:val="center"/>
              <w:rPr>
                <w:rFonts w:hint="eastAsia" w:ascii="宋体" w:hAnsi="宋体" w:eastAsia="宋体" w:cs="宋体"/>
                <w:color w:val="auto"/>
                <w:sz w:val="21"/>
                <w:szCs w:val="21"/>
                <w:highlight w:val="none"/>
              </w:rPr>
            </w:pPr>
          </w:p>
        </w:tc>
      </w:tr>
      <w:tr w14:paraId="3E8C7E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12A6C9F6">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发包人名称</w:t>
            </w:r>
          </w:p>
        </w:tc>
        <w:tc>
          <w:tcPr>
            <w:tcW w:w="7554" w:type="dxa"/>
            <w:vAlign w:val="center"/>
          </w:tcPr>
          <w:p w14:paraId="7562BFFB">
            <w:pPr>
              <w:spacing w:after="0" w:line="0" w:lineRule="atLeast"/>
              <w:jc w:val="center"/>
              <w:rPr>
                <w:rFonts w:hint="eastAsia" w:ascii="宋体" w:hAnsi="宋体" w:eastAsia="宋体" w:cs="宋体"/>
                <w:color w:val="auto"/>
                <w:sz w:val="21"/>
                <w:szCs w:val="21"/>
                <w:highlight w:val="none"/>
              </w:rPr>
            </w:pPr>
          </w:p>
        </w:tc>
      </w:tr>
      <w:tr w14:paraId="6DD662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43584CD6">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发包人地址</w:t>
            </w:r>
          </w:p>
        </w:tc>
        <w:tc>
          <w:tcPr>
            <w:tcW w:w="7554" w:type="dxa"/>
            <w:vAlign w:val="center"/>
          </w:tcPr>
          <w:p w14:paraId="0A0865A4">
            <w:pPr>
              <w:spacing w:after="0" w:line="0" w:lineRule="atLeast"/>
              <w:jc w:val="center"/>
              <w:rPr>
                <w:rFonts w:hint="eastAsia" w:ascii="宋体" w:hAnsi="宋体" w:eastAsia="宋体" w:cs="宋体"/>
                <w:color w:val="auto"/>
                <w:sz w:val="21"/>
                <w:szCs w:val="21"/>
                <w:highlight w:val="none"/>
              </w:rPr>
            </w:pPr>
          </w:p>
        </w:tc>
      </w:tr>
      <w:tr w14:paraId="5375FD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23371EE8">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发包人电话</w:t>
            </w:r>
          </w:p>
        </w:tc>
        <w:tc>
          <w:tcPr>
            <w:tcW w:w="7554" w:type="dxa"/>
            <w:vAlign w:val="center"/>
          </w:tcPr>
          <w:p w14:paraId="5F947417">
            <w:pPr>
              <w:spacing w:after="0" w:line="0" w:lineRule="atLeast"/>
              <w:jc w:val="center"/>
              <w:rPr>
                <w:rFonts w:hint="eastAsia" w:ascii="宋体" w:hAnsi="宋体" w:eastAsia="宋体" w:cs="宋体"/>
                <w:color w:val="auto"/>
                <w:sz w:val="21"/>
                <w:szCs w:val="21"/>
                <w:highlight w:val="none"/>
              </w:rPr>
            </w:pPr>
          </w:p>
        </w:tc>
      </w:tr>
      <w:tr w14:paraId="7A378B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345B99CB">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w:t>
            </w:r>
          </w:p>
        </w:tc>
        <w:tc>
          <w:tcPr>
            <w:tcW w:w="7554" w:type="dxa"/>
            <w:vAlign w:val="center"/>
          </w:tcPr>
          <w:p w14:paraId="5652F4AF">
            <w:pPr>
              <w:spacing w:after="0" w:line="0" w:lineRule="atLeast"/>
              <w:jc w:val="center"/>
              <w:rPr>
                <w:rFonts w:hint="eastAsia" w:ascii="宋体" w:hAnsi="宋体" w:eastAsia="宋体" w:cs="宋体"/>
                <w:color w:val="auto"/>
                <w:sz w:val="21"/>
                <w:szCs w:val="21"/>
                <w:highlight w:val="none"/>
              </w:rPr>
            </w:pPr>
          </w:p>
        </w:tc>
      </w:tr>
      <w:tr w14:paraId="3CF752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13B09FCB">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开工日期</w:t>
            </w:r>
          </w:p>
        </w:tc>
        <w:tc>
          <w:tcPr>
            <w:tcW w:w="7554" w:type="dxa"/>
            <w:vAlign w:val="center"/>
          </w:tcPr>
          <w:p w14:paraId="1E5F4A43">
            <w:pPr>
              <w:spacing w:after="0" w:line="0" w:lineRule="atLeast"/>
              <w:jc w:val="center"/>
              <w:rPr>
                <w:rFonts w:hint="eastAsia" w:ascii="宋体" w:hAnsi="宋体" w:eastAsia="宋体" w:cs="宋体"/>
                <w:color w:val="auto"/>
                <w:sz w:val="21"/>
                <w:szCs w:val="21"/>
                <w:highlight w:val="none"/>
              </w:rPr>
            </w:pPr>
          </w:p>
        </w:tc>
      </w:tr>
      <w:tr w14:paraId="0A618C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6881F570">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计划交工日期</w:t>
            </w:r>
          </w:p>
        </w:tc>
        <w:tc>
          <w:tcPr>
            <w:tcW w:w="7554" w:type="dxa"/>
            <w:vAlign w:val="center"/>
          </w:tcPr>
          <w:p w14:paraId="109C3EA1">
            <w:pPr>
              <w:spacing w:after="0" w:line="0" w:lineRule="atLeast"/>
              <w:jc w:val="center"/>
              <w:rPr>
                <w:rFonts w:hint="eastAsia" w:ascii="宋体" w:hAnsi="宋体" w:eastAsia="宋体" w:cs="宋体"/>
                <w:color w:val="auto"/>
                <w:sz w:val="21"/>
                <w:szCs w:val="21"/>
                <w:highlight w:val="none"/>
              </w:rPr>
            </w:pPr>
          </w:p>
        </w:tc>
      </w:tr>
      <w:tr w14:paraId="4DEB5C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EE5C471">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承担的工作</w:t>
            </w:r>
          </w:p>
        </w:tc>
        <w:tc>
          <w:tcPr>
            <w:tcW w:w="7554" w:type="dxa"/>
            <w:vAlign w:val="center"/>
          </w:tcPr>
          <w:p w14:paraId="2F1BF530">
            <w:pPr>
              <w:spacing w:after="0" w:line="0" w:lineRule="atLeast"/>
              <w:jc w:val="center"/>
              <w:rPr>
                <w:rFonts w:hint="eastAsia" w:ascii="宋体" w:hAnsi="宋体" w:eastAsia="宋体" w:cs="宋体"/>
                <w:color w:val="auto"/>
                <w:sz w:val="21"/>
                <w:szCs w:val="21"/>
                <w:highlight w:val="none"/>
              </w:rPr>
            </w:pPr>
          </w:p>
        </w:tc>
      </w:tr>
      <w:tr w14:paraId="52CD30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9E24FA7">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工程质量要求</w:t>
            </w:r>
          </w:p>
        </w:tc>
        <w:tc>
          <w:tcPr>
            <w:tcW w:w="7554" w:type="dxa"/>
            <w:vAlign w:val="center"/>
          </w:tcPr>
          <w:p w14:paraId="392EC436">
            <w:pPr>
              <w:spacing w:after="0" w:line="0" w:lineRule="atLeast"/>
              <w:jc w:val="center"/>
              <w:rPr>
                <w:rFonts w:hint="eastAsia" w:ascii="宋体" w:hAnsi="宋体" w:eastAsia="宋体" w:cs="宋体"/>
                <w:color w:val="auto"/>
                <w:sz w:val="21"/>
                <w:szCs w:val="21"/>
                <w:highlight w:val="none"/>
              </w:rPr>
            </w:pPr>
          </w:p>
        </w:tc>
      </w:tr>
      <w:tr w14:paraId="1981E2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35988E0">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tc>
        <w:tc>
          <w:tcPr>
            <w:tcW w:w="7554" w:type="dxa"/>
            <w:vAlign w:val="center"/>
          </w:tcPr>
          <w:p w14:paraId="16FDA839">
            <w:pPr>
              <w:spacing w:after="0" w:line="0" w:lineRule="atLeast"/>
              <w:jc w:val="center"/>
              <w:rPr>
                <w:rFonts w:hint="eastAsia" w:ascii="宋体" w:hAnsi="宋体" w:eastAsia="宋体" w:cs="宋体"/>
                <w:color w:val="auto"/>
                <w:sz w:val="21"/>
                <w:szCs w:val="21"/>
                <w:highlight w:val="none"/>
              </w:rPr>
            </w:pPr>
          </w:p>
        </w:tc>
      </w:tr>
      <w:tr w14:paraId="622CE1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1E915C66">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7554" w:type="dxa"/>
            <w:vAlign w:val="center"/>
          </w:tcPr>
          <w:p w14:paraId="584F931C">
            <w:pPr>
              <w:spacing w:after="0" w:line="0" w:lineRule="atLeast"/>
              <w:jc w:val="center"/>
              <w:rPr>
                <w:rFonts w:hint="eastAsia" w:ascii="宋体" w:hAnsi="宋体" w:eastAsia="宋体" w:cs="宋体"/>
                <w:color w:val="auto"/>
                <w:sz w:val="21"/>
                <w:szCs w:val="21"/>
                <w:highlight w:val="none"/>
              </w:rPr>
            </w:pPr>
          </w:p>
        </w:tc>
      </w:tr>
      <w:tr w14:paraId="1B556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6D84D07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总监理工程师及电话</w:t>
            </w:r>
          </w:p>
        </w:tc>
        <w:tc>
          <w:tcPr>
            <w:tcW w:w="7554" w:type="dxa"/>
            <w:vAlign w:val="center"/>
          </w:tcPr>
          <w:p w14:paraId="4F1E6ECE">
            <w:pPr>
              <w:spacing w:after="0" w:line="0" w:lineRule="atLeast"/>
              <w:jc w:val="center"/>
              <w:rPr>
                <w:rFonts w:hint="eastAsia" w:ascii="宋体" w:hAnsi="宋体" w:eastAsia="宋体" w:cs="宋体"/>
                <w:color w:val="auto"/>
                <w:sz w:val="21"/>
                <w:szCs w:val="21"/>
                <w:highlight w:val="none"/>
              </w:rPr>
            </w:pPr>
          </w:p>
        </w:tc>
      </w:tr>
      <w:tr w14:paraId="573A9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414C34B4">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项目描述</w:t>
            </w:r>
          </w:p>
        </w:tc>
        <w:tc>
          <w:tcPr>
            <w:tcW w:w="7554" w:type="dxa"/>
            <w:vAlign w:val="center"/>
          </w:tcPr>
          <w:p w14:paraId="1F51ECB8">
            <w:pPr>
              <w:spacing w:after="0" w:line="0" w:lineRule="atLeast"/>
              <w:jc w:val="center"/>
              <w:rPr>
                <w:rFonts w:hint="eastAsia" w:ascii="宋体" w:hAnsi="宋体" w:eastAsia="宋体" w:cs="宋体"/>
                <w:color w:val="auto"/>
                <w:sz w:val="21"/>
                <w:szCs w:val="21"/>
                <w:highlight w:val="none"/>
              </w:rPr>
            </w:pPr>
          </w:p>
        </w:tc>
      </w:tr>
      <w:tr w14:paraId="3AC9C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454F6B9">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554" w:type="dxa"/>
            <w:vAlign w:val="center"/>
          </w:tcPr>
          <w:p w14:paraId="72B6E8BF">
            <w:pPr>
              <w:spacing w:after="0" w:line="0" w:lineRule="atLeast"/>
              <w:jc w:val="center"/>
              <w:rPr>
                <w:rFonts w:hint="eastAsia" w:ascii="宋体" w:hAnsi="宋体" w:eastAsia="宋体" w:cs="宋体"/>
                <w:color w:val="auto"/>
                <w:sz w:val="21"/>
                <w:szCs w:val="21"/>
                <w:highlight w:val="none"/>
              </w:rPr>
            </w:pPr>
          </w:p>
        </w:tc>
      </w:tr>
    </w:tbl>
    <w:p w14:paraId="6CA386E8">
      <w:pPr>
        <w:spacing w:line="0" w:lineRule="atLeas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注：1、每张表格只填写一个项目，并标明序号。</w:t>
      </w:r>
    </w:p>
    <w:p w14:paraId="55E00913">
      <w:pPr>
        <w:spacing w:line="0" w:lineRule="atLeast"/>
        <w:ind w:firstLine="640" w:firstLineChars="26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2、本表后应附中标（成交）通知书和（或）合同协议书复印件。（只提供显示工程名称及项目经理名称的页码即可）</w:t>
      </w:r>
    </w:p>
    <w:p w14:paraId="3D247F4C">
      <w:pPr>
        <w:spacing w:line="0" w:lineRule="atLeast"/>
        <w:ind w:firstLine="643" w:firstLineChars="2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3、本表应包含所有在建工程项目，包括正在施工、已签订合同协议书即将开工或已收到中标（成交）通知书或意向书但尚未签订合同的所有项目。</w:t>
      </w:r>
      <w:bookmarkStart w:id="563" w:name="_Toc234382984"/>
    </w:p>
    <w:p w14:paraId="2779DAFC">
      <w:pPr>
        <w:adjustRightInd/>
        <w:snapToGrid/>
        <w:spacing w:after="0"/>
        <w:rPr>
          <w:rFonts w:hint="eastAsia" w:ascii="宋体" w:hAnsi="宋体" w:eastAsia="宋体" w:cs="宋体"/>
          <w:b/>
          <w:bCs/>
          <w:color w:val="auto"/>
          <w:kern w:val="44"/>
          <w:sz w:val="24"/>
          <w:szCs w:val="24"/>
          <w:highlight w:val="none"/>
        </w:rPr>
      </w:pPr>
      <w:bookmarkStart w:id="564" w:name="_Toc536534074"/>
      <w:bookmarkStart w:id="565" w:name="_Toc536534344"/>
      <w:bookmarkStart w:id="566" w:name="_Toc531966075"/>
      <w:r>
        <w:rPr>
          <w:rFonts w:hint="eastAsia" w:ascii="宋体" w:hAnsi="宋体" w:eastAsia="宋体" w:cs="宋体"/>
          <w:color w:val="auto"/>
          <w:sz w:val="24"/>
          <w:szCs w:val="24"/>
          <w:highlight w:val="none"/>
        </w:rPr>
        <w:br w:type="page"/>
      </w:r>
    </w:p>
    <w:bookmarkEnd w:id="563"/>
    <w:bookmarkEnd w:id="564"/>
    <w:bookmarkEnd w:id="565"/>
    <w:bookmarkEnd w:id="566"/>
    <w:p w14:paraId="01063CC4">
      <w:pPr>
        <w:pStyle w:val="5"/>
        <w:jc w:val="center"/>
        <w:outlineLvl w:val="2"/>
        <w:rPr>
          <w:rFonts w:hint="eastAsia" w:ascii="宋体" w:hAnsi="宋体" w:eastAsia="宋体" w:cs="宋体"/>
          <w:color w:val="auto"/>
          <w:sz w:val="24"/>
          <w:szCs w:val="24"/>
          <w:highlight w:val="none"/>
        </w:rPr>
      </w:pPr>
      <w:bookmarkStart w:id="567" w:name="_Toc27615"/>
      <w:bookmarkStart w:id="568" w:name="_Toc234382989"/>
      <w:bookmarkStart w:id="569" w:name="_Toc7938"/>
      <w:bookmarkStart w:id="570" w:name="_Toc531966078"/>
      <w:r>
        <w:rPr>
          <w:rFonts w:hint="eastAsia" w:ascii="宋体" w:hAnsi="宋体" w:eastAsia="宋体" w:cs="宋体"/>
          <w:b/>
          <w:bCs/>
          <w:color w:val="auto"/>
          <w:sz w:val="24"/>
          <w:szCs w:val="24"/>
          <w:highlight w:val="none"/>
          <w:lang w:val="en-US" w:eastAsia="zh-CN" w:bidi="ar-SA"/>
        </w:rPr>
        <w:t>十、</w:t>
      </w:r>
      <w:r>
        <w:rPr>
          <w:rFonts w:hint="eastAsia" w:ascii="宋体" w:hAnsi="宋体" w:eastAsia="宋体" w:cs="宋体"/>
          <w:color w:val="auto"/>
          <w:sz w:val="24"/>
          <w:szCs w:val="24"/>
          <w:highlight w:val="none"/>
        </w:rPr>
        <w:t>近年发生的诉讼及仲裁情况</w:t>
      </w:r>
      <w:bookmarkEnd w:id="567"/>
    </w:p>
    <w:tbl>
      <w:tblPr>
        <w:tblStyle w:val="61"/>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19"/>
        <w:gridCol w:w="4820"/>
      </w:tblGrid>
      <w:tr w14:paraId="23C14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4819" w:type="dxa"/>
            <w:vAlign w:val="center"/>
          </w:tcPr>
          <w:p w14:paraId="0758ECC9">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4820" w:type="dxa"/>
            <w:vAlign w:val="center"/>
          </w:tcPr>
          <w:p w14:paraId="29C4DCC8">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磋商申请人情况说明</w:t>
            </w:r>
          </w:p>
        </w:tc>
      </w:tr>
      <w:tr w14:paraId="238691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75B4A487">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2990E5D1">
            <w:pPr>
              <w:spacing w:after="0" w:line="0" w:lineRule="atLeast"/>
              <w:jc w:val="center"/>
              <w:rPr>
                <w:rFonts w:hint="eastAsia" w:ascii="宋体" w:hAnsi="宋体" w:eastAsia="宋体" w:cs="宋体"/>
                <w:color w:val="auto"/>
                <w:sz w:val="21"/>
                <w:szCs w:val="21"/>
                <w:highlight w:val="none"/>
              </w:rPr>
            </w:pPr>
          </w:p>
        </w:tc>
      </w:tr>
      <w:tr w14:paraId="39C4F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70A3B39F">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2587D9D1">
            <w:pPr>
              <w:spacing w:after="0" w:line="0" w:lineRule="atLeast"/>
              <w:jc w:val="center"/>
              <w:rPr>
                <w:rFonts w:hint="eastAsia" w:ascii="宋体" w:hAnsi="宋体" w:eastAsia="宋体" w:cs="宋体"/>
                <w:color w:val="auto"/>
                <w:sz w:val="21"/>
                <w:szCs w:val="21"/>
                <w:highlight w:val="none"/>
              </w:rPr>
            </w:pPr>
          </w:p>
        </w:tc>
      </w:tr>
      <w:tr w14:paraId="238DC2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242DBAA7">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376077CE">
            <w:pPr>
              <w:spacing w:after="0" w:line="0" w:lineRule="atLeast"/>
              <w:jc w:val="center"/>
              <w:rPr>
                <w:rFonts w:hint="eastAsia" w:ascii="宋体" w:hAnsi="宋体" w:eastAsia="宋体" w:cs="宋体"/>
                <w:color w:val="auto"/>
                <w:sz w:val="21"/>
                <w:szCs w:val="21"/>
                <w:highlight w:val="none"/>
              </w:rPr>
            </w:pPr>
          </w:p>
        </w:tc>
      </w:tr>
      <w:tr w14:paraId="58601C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253D1C99">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1B68FC86">
            <w:pPr>
              <w:spacing w:after="0" w:line="0" w:lineRule="atLeast"/>
              <w:jc w:val="center"/>
              <w:rPr>
                <w:rFonts w:hint="eastAsia" w:ascii="宋体" w:hAnsi="宋体" w:eastAsia="宋体" w:cs="宋体"/>
                <w:color w:val="auto"/>
                <w:sz w:val="21"/>
                <w:szCs w:val="21"/>
                <w:highlight w:val="none"/>
              </w:rPr>
            </w:pPr>
          </w:p>
        </w:tc>
      </w:tr>
      <w:tr w14:paraId="474DF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5D89844A">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54769FA6">
            <w:pPr>
              <w:spacing w:after="0" w:line="0" w:lineRule="atLeast"/>
              <w:jc w:val="center"/>
              <w:rPr>
                <w:rFonts w:hint="eastAsia" w:ascii="宋体" w:hAnsi="宋体" w:eastAsia="宋体" w:cs="宋体"/>
                <w:color w:val="auto"/>
                <w:sz w:val="21"/>
                <w:szCs w:val="21"/>
                <w:highlight w:val="none"/>
              </w:rPr>
            </w:pPr>
          </w:p>
        </w:tc>
      </w:tr>
      <w:tr w14:paraId="0827DE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691F8FF8">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050A0D77">
            <w:pPr>
              <w:spacing w:after="0" w:line="0" w:lineRule="atLeast"/>
              <w:jc w:val="center"/>
              <w:rPr>
                <w:rFonts w:hint="eastAsia" w:ascii="宋体" w:hAnsi="宋体" w:eastAsia="宋体" w:cs="宋体"/>
                <w:color w:val="auto"/>
                <w:sz w:val="21"/>
                <w:szCs w:val="21"/>
                <w:highlight w:val="none"/>
              </w:rPr>
            </w:pPr>
          </w:p>
        </w:tc>
      </w:tr>
      <w:tr w14:paraId="08BA27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697C43FA">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06594351">
            <w:pPr>
              <w:spacing w:after="0" w:line="0" w:lineRule="atLeast"/>
              <w:jc w:val="center"/>
              <w:rPr>
                <w:rFonts w:hint="eastAsia" w:ascii="宋体" w:hAnsi="宋体" w:eastAsia="宋体" w:cs="宋体"/>
                <w:color w:val="auto"/>
                <w:sz w:val="21"/>
                <w:szCs w:val="21"/>
                <w:highlight w:val="none"/>
              </w:rPr>
            </w:pPr>
          </w:p>
        </w:tc>
      </w:tr>
      <w:tr w14:paraId="4960BD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5BD905FD">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3A5B1AF9">
            <w:pPr>
              <w:spacing w:after="0" w:line="0" w:lineRule="atLeast"/>
              <w:jc w:val="center"/>
              <w:rPr>
                <w:rFonts w:hint="eastAsia" w:ascii="宋体" w:hAnsi="宋体" w:eastAsia="宋体" w:cs="宋体"/>
                <w:color w:val="auto"/>
                <w:sz w:val="21"/>
                <w:szCs w:val="21"/>
                <w:highlight w:val="none"/>
              </w:rPr>
            </w:pPr>
          </w:p>
        </w:tc>
      </w:tr>
    </w:tbl>
    <w:p w14:paraId="07EB34B0">
      <w:pPr>
        <w:spacing w:line="360" w:lineRule="auto"/>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注：本表后应附法院或仲裁机构做出的判决、裁决等有关法律文书复印件。近三年内没有发生过诉讼或仲裁的企业写“无”即可。</w:t>
      </w:r>
      <w:bookmarkStart w:id="571" w:name="_Toc234382985"/>
    </w:p>
    <w:bookmarkEnd w:id="571"/>
    <w:p w14:paraId="69A4C8E4">
      <w:pPr>
        <w:adjustRightInd/>
        <w:snapToGrid/>
        <w:spacing w:after="0"/>
        <w:rPr>
          <w:rFonts w:hint="eastAsia" w:ascii="宋体" w:hAnsi="宋体" w:eastAsia="宋体" w:cs="宋体"/>
          <w:b/>
          <w:bCs/>
          <w:color w:val="auto"/>
          <w:kern w:val="44"/>
          <w:sz w:val="24"/>
          <w:szCs w:val="24"/>
          <w:highlight w:val="none"/>
        </w:rPr>
      </w:pPr>
      <w:r>
        <w:rPr>
          <w:rFonts w:hint="eastAsia" w:ascii="宋体" w:hAnsi="宋体" w:eastAsia="宋体" w:cs="宋体"/>
          <w:color w:val="auto"/>
          <w:sz w:val="24"/>
          <w:szCs w:val="24"/>
          <w:highlight w:val="none"/>
        </w:rPr>
        <w:br w:type="page"/>
      </w:r>
    </w:p>
    <w:p w14:paraId="1AC742DD">
      <w:pPr>
        <w:pStyle w:val="3"/>
        <w:jc w:val="center"/>
        <w:outlineLvl w:val="1"/>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十一、</w:t>
      </w:r>
      <w:r>
        <w:rPr>
          <w:rFonts w:hint="eastAsia" w:ascii="宋体" w:hAnsi="宋体" w:eastAsia="宋体" w:cs="宋体"/>
          <w:color w:val="auto"/>
          <w:sz w:val="24"/>
          <w:szCs w:val="24"/>
          <w:highlight w:val="none"/>
        </w:rPr>
        <w:t xml:space="preserve">承  诺  </w:t>
      </w:r>
      <w:bookmarkEnd w:id="568"/>
      <w:r>
        <w:rPr>
          <w:rFonts w:hint="eastAsia" w:ascii="宋体" w:hAnsi="宋体" w:eastAsia="宋体" w:cs="宋体"/>
          <w:color w:val="auto"/>
          <w:sz w:val="24"/>
          <w:szCs w:val="24"/>
          <w:highlight w:val="none"/>
        </w:rPr>
        <w:t>书</w:t>
      </w:r>
      <w:bookmarkEnd w:id="569"/>
      <w:bookmarkEnd w:id="570"/>
    </w:p>
    <w:p w14:paraId="086D052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名称）：</w:t>
      </w:r>
    </w:p>
    <w:p w14:paraId="5F132BE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我方参加了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（项目名称）磋商，若我方中标，我方在此承诺：</w:t>
      </w:r>
    </w:p>
    <w:p w14:paraId="5EF2E74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若本项目资格预审文件或磋商文件未要求我方在资格预审申请文件或磋商响应文件中填报派驻本项目的其他主要管理人员和技术人员及主要机械设备和试验检测设备，在</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向我方发出成交通知书之前，我方将按照合同附件提出的最低要求填报派驻本项目的其他主要管理人员和技术人员及主要机械设备和试验检测设备，在经</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审批后作为派驻本项目的项目管理机构主要人员和主要设备且不进行更换。</w:t>
      </w:r>
    </w:p>
    <w:p w14:paraId="65B4F29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我方已按本项目资格预审文件或磋商文件要求在资格预审申请文件或磋商响应文件中填报派驻本项目的其他主要管理人员和技术人员及主要机械设备和试验检测设备，我方将严格按照在资格预审申请文件或磋商响应文件中填报的其他主要管理人员和技术人员及主要机械设备和试验检测设备组织进场施工，且不进行更换。</w:t>
      </w:r>
    </w:p>
    <w:p w14:paraId="493B5D7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如我方违背了上述承诺，本项目</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有权取消我方的成交资格，并由</w:t>
      </w:r>
      <w:r>
        <w:rPr>
          <w:rFonts w:hint="eastAsia" w:ascii="宋体" w:hAnsi="宋体" w:eastAsia="宋体" w:cs="宋体"/>
          <w:color w:val="auto"/>
          <w:sz w:val="24"/>
          <w:szCs w:val="24"/>
          <w:highlight w:val="none"/>
          <w:lang w:eastAsia="zh-CN"/>
        </w:rPr>
        <w:t>采购人</w:t>
      </w:r>
      <w:r>
        <w:rPr>
          <w:rFonts w:hint="eastAsia" w:ascii="宋体" w:hAnsi="宋体" w:eastAsia="宋体" w:cs="宋体"/>
          <w:color w:val="auto"/>
          <w:sz w:val="24"/>
          <w:szCs w:val="24"/>
          <w:highlight w:val="none"/>
        </w:rPr>
        <w:t>将我方的违约行为上报省级交通主管部门，作为不良记录纳入建设市场信息管理系统。</w:t>
      </w:r>
    </w:p>
    <w:p w14:paraId="0094447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磋商申请人：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2E70BB9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58CDB78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785D569">
      <w:pPr>
        <w:rPr>
          <w:rFonts w:hint="eastAsia" w:ascii="宋体" w:hAnsi="宋体" w:eastAsia="宋体" w:cs="宋体"/>
          <w:b/>
          <w:bCs/>
          <w:color w:val="auto"/>
          <w:kern w:val="44"/>
          <w:sz w:val="24"/>
          <w:szCs w:val="24"/>
          <w:highlight w:val="none"/>
        </w:rPr>
      </w:pPr>
      <w:bookmarkStart w:id="572" w:name="_Toc234382990"/>
    </w:p>
    <w:p w14:paraId="4D6CC9E5">
      <w:pPr>
        <w:rPr>
          <w:rFonts w:hint="eastAsia" w:ascii="宋体" w:hAnsi="宋体" w:eastAsia="宋体" w:cs="宋体"/>
          <w:b/>
          <w:bCs/>
          <w:color w:val="auto"/>
          <w:kern w:val="44"/>
          <w:sz w:val="24"/>
          <w:szCs w:val="24"/>
          <w:highlight w:val="none"/>
        </w:rPr>
      </w:pPr>
    </w:p>
    <w:p w14:paraId="2233F638">
      <w:pPr>
        <w:rPr>
          <w:rFonts w:hint="eastAsia" w:ascii="宋体" w:hAnsi="宋体" w:eastAsia="宋体" w:cs="宋体"/>
          <w:b/>
          <w:bCs/>
          <w:color w:val="auto"/>
          <w:sz w:val="24"/>
          <w:szCs w:val="24"/>
          <w:highlight w:val="none"/>
        </w:rPr>
      </w:pPr>
      <w:bookmarkStart w:id="573" w:name="_Toc536534348"/>
      <w:r>
        <w:rPr>
          <w:rFonts w:hint="eastAsia" w:ascii="宋体" w:hAnsi="宋体" w:eastAsia="宋体" w:cs="宋体"/>
          <w:b/>
          <w:bCs/>
          <w:color w:val="auto"/>
          <w:sz w:val="24"/>
          <w:szCs w:val="24"/>
          <w:highlight w:val="none"/>
        </w:rPr>
        <w:br w:type="page"/>
      </w:r>
    </w:p>
    <w:bookmarkEnd w:id="573"/>
    <w:p w14:paraId="4580CFBA">
      <w:pPr>
        <w:numPr>
          <w:ilvl w:val="0"/>
          <w:numId w:val="0"/>
        </w:numPr>
        <w:jc w:val="center"/>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十</w:t>
      </w:r>
      <w:r>
        <w:rPr>
          <w:rFonts w:hint="eastAsia" w:ascii="宋体" w:hAnsi="宋体" w:eastAsia="宋体" w:cs="宋体"/>
          <w:b/>
          <w:bCs/>
          <w:color w:val="auto"/>
          <w:kern w:val="44"/>
          <w:sz w:val="24"/>
          <w:szCs w:val="24"/>
          <w:highlight w:val="none"/>
          <w:lang w:val="en-US" w:eastAsia="zh-CN" w:bidi="ar-SA"/>
        </w:rPr>
        <w:t>二</w:t>
      </w:r>
      <w:r>
        <w:rPr>
          <w:rFonts w:hint="eastAsia" w:ascii="宋体" w:hAnsi="宋体" w:eastAsia="宋体" w:cs="宋体"/>
          <w:b/>
          <w:bCs/>
          <w:color w:val="auto"/>
          <w:sz w:val="24"/>
          <w:szCs w:val="24"/>
          <w:highlight w:val="none"/>
          <w:lang w:val="en-US" w:eastAsia="zh-CN" w:bidi="ar-SA"/>
        </w:rPr>
        <w:t>、</w:t>
      </w:r>
      <w:r>
        <w:rPr>
          <w:rFonts w:hint="eastAsia" w:ascii="宋体" w:hAnsi="宋体" w:eastAsia="宋体" w:cs="宋体"/>
          <w:b/>
          <w:bCs/>
          <w:color w:val="auto"/>
          <w:sz w:val="24"/>
          <w:szCs w:val="24"/>
          <w:highlight w:val="none"/>
        </w:rPr>
        <w:t>中小企业声明函</w:t>
      </w:r>
      <w:r>
        <w:rPr>
          <w:rFonts w:hint="eastAsia" w:ascii="宋体" w:hAnsi="宋体" w:eastAsia="宋体" w:cs="宋体"/>
          <w:b/>
          <w:bCs/>
          <w:color w:val="auto"/>
          <w:sz w:val="24"/>
          <w:szCs w:val="24"/>
          <w:highlight w:val="none"/>
          <w:lang w:eastAsia="zh-CN"/>
        </w:rPr>
        <w:t>（工程）</w:t>
      </w:r>
    </w:p>
    <w:p w14:paraId="704F6FED">
      <w:pPr>
        <w:numPr>
          <w:ilvl w:val="0"/>
          <w:numId w:val="0"/>
        </w:numPr>
        <w:spacing w:line="360" w:lineRule="auto"/>
        <w:ind w:firstLine="720" w:firstLineChars="300"/>
        <w:jc w:val="both"/>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采购活动，工程的施工单位全部为符合政策要求的中小企业（或者：服务</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全部由符合政策要求的中小企业承接）。相关企业（含联合体中的中小企业、签订分包意向协议的中小企业）的具体情况如下：</w:t>
      </w:r>
    </w:p>
    <w:p w14:paraId="3EA1C33A">
      <w:pPr>
        <w:numPr>
          <w:ilvl w:val="0"/>
          <w:numId w:val="0"/>
        </w:numPr>
        <w:spacing w:line="360" w:lineRule="auto"/>
        <w:ind w:firstLine="480" w:firstLineChars="200"/>
        <w:jc w:val="both"/>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single"/>
        </w:rPr>
        <w:t>      （项目名称）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行业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；承建企业为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（单位名称）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23CAD199">
      <w:pPr>
        <w:numPr>
          <w:ilvl w:val="0"/>
          <w:numId w:val="0"/>
        </w:numPr>
        <w:spacing w:line="360" w:lineRule="auto"/>
        <w:ind w:firstLine="480" w:firstLineChars="200"/>
        <w:jc w:val="both"/>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single"/>
        </w:rPr>
        <w:t>      （项目名称）  </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u w:val="single"/>
          <w:lang w:eastAsia="zh-CN"/>
        </w:rPr>
        <w:t>行业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；承建企业为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（单位名称）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人，营业 收入为</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 小型企业、微型企业）</w:t>
      </w:r>
      <w:r>
        <w:rPr>
          <w:rFonts w:hint="eastAsia" w:ascii="宋体" w:hAnsi="宋体" w:eastAsia="宋体" w:cs="宋体"/>
          <w:color w:val="auto"/>
          <w:sz w:val="24"/>
          <w:szCs w:val="24"/>
          <w:highlight w:val="none"/>
        </w:rPr>
        <w:t>；</w:t>
      </w:r>
    </w:p>
    <w:p w14:paraId="30BE1CBA">
      <w:pPr>
        <w:numPr>
          <w:ilvl w:val="0"/>
          <w:numId w:val="0"/>
        </w:numPr>
        <w:spacing w:line="360" w:lineRule="auto"/>
        <w:ind w:firstLine="720" w:firstLineChars="300"/>
        <w:jc w:val="both"/>
        <w:outlineLvl w:val="9"/>
        <w:rPr>
          <w:rFonts w:hint="eastAsia" w:ascii="宋体" w:hAnsi="宋体" w:eastAsia="宋体" w:cs="宋体"/>
          <w:color w:val="auto"/>
          <w:sz w:val="24"/>
          <w:szCs w:val="24"/>
          <w:highlight w:val="none"/>
          <w:lang w:eastAsia="zh-CN"/>
        </w:rPr>
      </w:pPr>
    </w:p>
    <w:p w14:paraId="4D44F566">
      <w:pPr>
        <w:numPr>
          <w:ilvl w:val="0"/>
          <w:numId w:val="0"/>
        </w:numPr>
        <w:spacing w:line="360" w:lineRule="auto"/>
        <w:ind w:firstLine="720" w:firstLineChars="300"/>
        <w:jc w:val="both"/>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 </w:t>
      </w:r>
    </w:p>
    <w:p w14:paraId="066504B9">
      <w:pPr>
        <w:pStyle w:val="24"/>
        <w:rPr>
          <w:rFonts w:hint="eastAsia" w:ascii="宋体" w:hAnsi="宋体" w:eastAsia="宋体" w:cs="宋体"/>
          <w:color w:val="auto"/>
          <w:highlight w:val="none"/>
          <w:lang w:eastAsia="zh-CN"/>
        </w:rPr>
      </w:pPr>
    </w:p>
    <w:p w14:paraId="30E4A4DC">
      <w:pPr>
        <w:numPr>
          <w:ilvl w:val="0"/>
          <w:numId w:val="0"/>
        </w:numPr>
        <w:spacing w:line="360" w:lineRule="auto"/>
        <w:ind w:firstLine="720" w:firstLineChars="300"/>
        <w:jc w:val="both"/>
        <w:outlineLvl w:val="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本公司对上述声明的真实性负责。如有虚假，将依法承担相应责任。</w:t>
      </w:r>
    </w:p>
    <w:p w14:paraId="589D4B30">
      <w:pPr>
        <w:pStyle w:val="24"/>
        <w:rPr>
          <w:rFonts w:hint="eastAsia" w:ascii="宋体" w:hAnsi="宋体" w:eastAsia="宋体" w:cs="宋体"/>
          <w:color w:val="auto"/>
          <w:highlight w:val="none"/>
          <w:lang w:eastAsia="zh-CN"/>
        </w:rPr>
      </w:pPr>
    </w:p>
    <w:p w14:paraId="21E582EF">
      <w:pPr>
        <w:pStyle w:val="24"/>
        <w:rPr>
          <w:rFonts w:hint="eastAsia" w:ascii="宋体" w:hAnsi="宋体" w:eastAsia="宋体" w:cs="宋体"/>
          <w:color w:val="auto"/>
          <w:highlight w:val="none"/>
          <w:lang w:eastAsia="zh-CN"/>
        </w:rPr>
      </w:pPr>
    </w:p>
    <w:p w14:paraId="472B04E1">
      <w:pPr>
        <w:pStyle w:val="24"/>
        <w:rPr>
          <w:rFonts w:hint="eastAsia" w:ascii="宋体" w:hAnsi="宋体" w:eastAsia="宋体" w:cs="宋体"/>
          <w:color w:val="auto"/>
          <w:highlight w:val="none"/>
          <w:lang w:eastAsia="zh-CN"/>
        </w:rPr>
      </w:pPr>
    </w:p>
    <w:p w14:paraId="57D720E7">
      <w:pPr>
        <w:pStyle w:val="112"/>
        <w:spacing w:line="560" w:lineRule="exact"/>
        <w:ind w:left="719" w:leftChars="327" w:firstLine="3840" w:firstLineChars="1600"/>
        <w:rPr>
          <w:rFonts w:hint="eastAsia" w:ascii="宋体" w:hAnsi="宋体" w:eastAsia="宋体" w:cs="宋体"/>
          <w:color w:val="auto"/>
          <w:sz w:val="24"/>
          <w:szCs w:val="24"/>
          <w:highlight w:val="none"/>
          <w:lang w:val="en-US"/>
        </w:rPr>
      </w:pPr>
    </w:p>
    <w:p w14:paraId="3EEC2BFD">
      <w:pPr>
        <w:pStyle w:val="112"/>
        <w:spacing w:line="560" w:lineRule="exact"/>
        <w:ind w:left="719" w:leftChars="327" w:firstLine="3840" w:firstLineChars="16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  </w:t>
      </w:r>
    </w:p>
    <w:p w14:paraId="1E8E4EC8">
      <w:pPr>
        <w:spacing w:line="360" w:lineRule="auto"/>
        <w:ind w:firstLine="4800" w:firstLineChars="20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 </w:t>
      </w:r>
      <w:r>
        <w:rPr>
          <w:rFonts w:hint="eastAsia" w:ascii="宋体" w:hAnsi="宋体" w:eastAsia="宋体" w:cs="宋体"/>
          <w:color w:val="auto"/>
          <w:sz w:val="24"/>
          <w:szCs w:val="24"/>
          <w:highlight w:val="none"/>
        </w:rPr>
        <w:t>磋商申请人：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161D5D2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0A8A9DC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2BCF528">
      <w:pPr>
        <w:pStyle w:val="112"/>
        <w:spacing w:line="560" w:lineRule="exact"/>
        <w:ind w:left="752" w:leftChars="342" w:firstLine="3849" w:firstLineChars="1604"/>
        <w:rPr>
          <w:rFonts w:hint="eastAsia" w:ascii="宋体" w:hAnsi="宋体" w:eastAsia="宋体" w:cs="宋体"/>
          <w:color w:val="auto"/>
          <w:sz w:val="24"/>
          <w:szCs w:val="24"/>
          <w:highlight w:val="none"/>
        </w:rPr>
      </w:pPr>
    </w:p>
    <w:p w14:paraId="1CE6C7DD">
      <w:pPr>
        <w:pStyle w:val="112"/>
        <w:spacing w:line="560" w:lineRule="exact"/>
        <w:ind w:left="752" w:leftChars="342" w:firstLine="4089" w:firstLineChars="1704"/>
        <w:rPr>
          <w:rFonts w:hint="eastAsia" w:ascii="宋体" w:hAnsi="宋体" w:eastAsia="宋体" w:cs="宋体"/>
          <w:color w:val="auto"/>
          <w:sz w:val="24"/>
          <w:szCs w:val="24"/>
          <w:highlight w:val="none"/>
        </w:rPr>
      </w:pPr>
    </w:p>
    <w:p w14:paraId="5C01694F">
      <w:pPr>
        <w:pStyle w:val="112"/>
        <w:spacing w:line="560" w:lineRule="exact"/>
        <w:ind w:left="720" w:firstLine="0"/>
        <w:rPr>
          <w:rFonts w:hint="eastAsia" w:ascii="宋体" w:hAnsi="宋体" w:eastAsia="宋体" w:cs="宋体"/>
          <w:color w:val="auto"/>
          <w:sz w:val="24"/>
          <w:szCs w:val="24"/>
          <w:highlight w:val="none"/>
        </w:rPr>
      </w:pPr>
    </w:p>
    <w:p w14:paraId="6BBC28D8">
      <w:pPr>
        <w:numPr>
          <w:ilvl w:val="0"/>
          <w:numId w:val="0"/>
        </w:numPr>
        <w:ind w:left="0" w:leftChars="0" w:right="0" w:rightChars="0" w:firstLine="0" w:firstLineChars="0"/>
        <w:jc w:val="center"/>
        <w:outlineLvl w:val="1"/>
        <w:rPr>
          <w:rFonts w:hint="eastAsia" w:ascii="宋体" w:hAnsi="宋体" w:eastAsia="宋体" w:cs="宋体"/>
          <w:b/>
          <w:bCs/>
          <w:color w:val="auto"/>
          <w:kern w:val="44"/>
          <w:sz w:val="24"/>
          <w:szCs w:val="24"/>
          <w:highlight w:val="none"/>
          <w:lang w:val="en-US" w:eastAsia="zh-CN" w:bidi="ar-SA"/>
        </w:rPr>
      </w:pPr>
      <w:bookmarkStart w:id="574" w:name="_Toc531966079"/>
      <w:r>
        <w:rPr>
          <w:rFonts w:hint="eastAsia" w:ascii="宋体" w:hAnsi="宋体" w:eastAsia="宋体" w:cs="宋体"/>
          <w:color w:val="auto"/>
          <w:sz w:val="24"/>
          <w:szCs w:val="24"/>
          <w:highlight w:val="none"/>
        </w:rPr>
        <w:br w:type="page"/>
      </w:r>
    </w:p>
    <w:p w14:paraId="34E6669D">
      <w:pPr>
        <w:pStyle w:val="24"/>
        <w:numPr>
          <w:ilvl w:val="0"/>
          <w:numId w:val="0"/>
        </w:numPr>
        <w:rPr>
          <w:rFonts w:hint="eastAsia" w:ascii="宋体" w:hAnsi="宋体" w:eastAsia="宋体" w:cs="宋体"/>
          <w:color w:val="auto"/>
          <w:highlight w:val="none"/>
          <w:lang w:val="en-US" w:eastAsia="zh-CN"/>
        </w:rPr>
      </w:pPr>
    </w:p>
    <w:p w14:paraId="4E287E30">
      <w:pPr>
        <w:rPr>
          <w:rFonts w:hint="eastAsia" w:ascii="宋体" w:hAnsi="宋体" w:eastAsia="宋体" w:cs="宋体"/>
          <w:color w:val="auto"/>
          <w:sz w:val="24"/>
          <w:szCs w:val="24"/>
          <w:highlight w:val="none"/>
        </w:rPr>
      </w:pPr>
    </w:p>
    <w:p w14:paraId="133372CE">
      <w:pPr>
        <w:pStyle w:val="24"/>
        <w:ind w:left="0" w:leftChars="0" w:firstLine="0" w:firstLineChars="0"/>
        <w:rPr>
          <w:rFonts w:hint="eastAsia" w:ascii="宋体" w:hAnsi="宋体" w:eastAsia="宋体" w:cs="宋体"/>
          <w:color w:val="auto"/>
          <w:highlight w:val="none"/>
        </w:rPr>
      </w:pPr>
    </w:p>
    <w:p w14:paraId="3CE0557C">
      <w:pPr>
        <w:jc w:val="both"/>
        <w:outlineLvl w:val="9"/>
        <w:rPr>
          <w:rFonts w:hint="eastAsia" w:ascii="宋体" w:hAnsi="宋体" w:eastAsia="宋体" w:cs="宋体"/>
          <w:color w:val="auto"/>
          <w:sz w:val="24"/>
          <w:szCs w:val="24"/>
          <w:highlight w:val="none"/>
        </w:rPr>
      </w:pPr>
    </w:p>
    <w:p w14:paraId="5126B9D8">
      <w:pPr>
        <w:jc w:val="both"/>
        <w:outlineLvl w:val="9"/>
        <w:rPr>
          <w:rFonts w:hint="eastAsia" w:ascii="宋体" w:hAnsi="宋体" w:eastAsia="宋体" w:cs="宋体"/>
          <w:color w:val="auto"/>
          <w:sz w:val="24"/>
          <w:szCs w:val="24"/>
          <w:highlight w:val="none"/>
        </w:rPr>
      </w:pPr>
    </w:p>
    <w:p w14:paraId="4EA2212A">
      <w:pPr>
        <w:jc w:val="both"/>
        <w:outlineLvl w:val="9"/>
        <w:rPr>
          <w:rFonts w:hint="eastAsia" w:ascii="宋体" w:hAnsi="宋体" w:eastAsia="宋体" w:cs="宋体"/>
          <w:color w:val="auto"/>
          <w:sz w:val="24"/>
          <w:szCs w:val="24"/>
          <w:highlight w:val="none"/>
        </w:rPr>
      </w:pPr>
    </w:p>
    <w:p w14:paraId="37EDB897">
      <w:pPr>
        <w:jc w:val="center"/>
        <w:outlineLvl w:val="9"/>
        <w:rPr>
          <w:rFonts w:hint="eastAsia" w:ascii="宋体" w:hAnsi="宋体" w:eastAsia="宋体" w:cs="宋体"/>
          <w:color w:val="auto"/>
          <w:sz w:val="24"/>
          <w:szCs w:val="24"/>
          <w:highlight w:val="none"/>
        </w:rPr>
      </w:pPr>
    </w:p>
    <w:p w14:paraId="18286583">
      <w:pPr>
        <w:jc w:val="center"/>
        <w:outlineLvl w:val="9"/>
        <w:rPr>
          <w:rFonts w:hint="eastAsia" w:ascii="宋体" w:hAnsi="宋体" w:eastAsia="宋体" w:cs="宋体"/>
          <w:color w:val="auto"/>
          <w:sz w:val="24"/>
          <w:szCs w:val="24"/>
          <w:highlight w:val="none"/>
        </w:rPr>
      </w:pPr>
    </w:p>
    <w:p w14:paraId="5DB000AA">
      <w:pPr>
        <w:jc w:val="center"/>
        <w:outlineLvl w:val="9"/>
        <w:rPr>
          <w:rFonts w:hint="eastAsia" w:ascii="宋体" w:hAnsi="宋体" w:eastAsia="宋体" w:cs="宋体"/>
          <w:color w:val="auto"/>
          <w:sz w:val="24"/>
          <w:szCs w:val="24"/>
          <w:highlight w:val="none"/>
        </w:rPr>
      </w:pPr>
    </w:p>
    <w:p w14:paraId="72AA787D">
      <w:pPr>
        <w:pStyle w:val="3"/>
        <w:jc w:val="center"/>
        <w:outlineLvl w:val="1"/>
        <w:rPr>
          <w:rFonts w:hint="eastAsia" w:ascii="宋体" w:hAnsi="宋体" w:eastAsia="宋体" w:cs="宋体"/>
          <w:color w:val="auto"/>
          <w:sz w:val="24"/>
          <w:szCs w:val="24"/>
          <w:highlight w:val="none"/>
        </w:rPr>
      </w:pPr>
      <w:bookmarkStart w:id="575" w:name="_Toc1433"/>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rPr>
        <w:t>、其 他 材 料</w:t>
      </w:r>
      <w:bookmarkEnd w:id="572"/>
      <w:bookmarkEnd w:id="574"/>
      <w:bookmarkEnd w:id="575"/>
    </w:p>
    <w:p w14:paraId="1AE9B1CF">
      <w:pPr>
        <w:jc w:val="center"/>
        <w:outlineLvl w:val="9"/>
        <w:rPr>
          <w:rFonts w:hint="eastAsia" w:ascii="宋体" w:hAnsi="宋体" w:eastAsia="宋体" w:cs="宋体"/>
          <w:b/>
          <w:bCs/>
          <w:color w:val="auto"/>
          <w:sz w:val="24"/>
          <w:szCs w:val="24"/>
          <w:highlight w:val="none"/>
        </w:rPr>
      </w:pPr>
      <w:bookmarkStart w:id="576" w:name="_Toc536534350"/>
      <w:bookmarkStart w:id="577" w:name="_Toc531966080"/>
      <w:bookmarkStart w:id="578" w:name="_Toc531599280"/>
      <w:r>
        <w:rPr>
          <w:rFonts w:hint="eastAsia" w:ascii="宋体" w:hAnsi="宋体" w:eastAsia="宋体" w:cs="宋体"/>
          <w:b/>
          <w:bCs/>
          <w:color w:val="auto"/>
          <w:sz w:val="24"/>
          <w:szCs w:val="24"/>
          <w:highlight w:val="none"/>
        </w:rPr>
        <w:t>（竞争性磋商文件中所涉及到的相关资料及证明文件（格式中未体现的）或磋商申请人认为必须提供的其他相关资料。）</w:t>
      </w:r>
      <w:bookmarkEnd w:id="576"/>
      <w:bookmarkEnd w:id="577"/>
      <w:bookmarkEnd w:id="578"/>
    </w:p>
    <w:p w14:paraId="553D3EFF">
      <w:pPr>
        <w:pStyle w:val="80"/>
        <w:rPr>
          <w:rFonts w:hint="eastAsia"/>
          <w:color w:val="auto"/>
          <w:highlight w:val="none"/>
        </w:rPr>
      </w:pPr>
    </w:p>
    <w:p w14:paraId="3BFB0226">
      <w:pPr>
        <w:topLinePunct/>
        <w:spacing w:before="4" w:line="360" w:lineRule="auto"/>
        <w:rPr>
          <w:rFonts w:hint="eastAsia" w:ascii="宋体" w:hAnsi="宋体" w:eastAsia="宋体" w:cs="宋体"/>
          <w:color w:val="auto"/>
          <w:sz w:val="24"/>
          <w:szCs w:val="24"/>
          <w:highlight w:val="none"/>
        </w:rPr>
      </w:pPr>
    </w:p>
    <w:p w14:paraId="63DAA156">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14:paraId="0D490A13">
      <w:pPr>
        <w:outlineLvl w:val="0"/>
        <w:rPr>
          <w:rFonts w:hint="eastAsia" w:ascii="宋体" w:hAnsi="宋体" w:eastAsia="宋体" w:cs="宋体"/>
          <w:b/>
          <w:bCs/>
          <w:color w:val="auto"/>
          <w:sz w:val="24"/>
          <w:szCs w:val="24"/>
          <w:highlight w:val="none"/>
          <w:lang w:val="en-US" w:eastAsia="zh-CN"/>
        </w:rPr>
      </w:pPr>
      <w:bookmarkStart w:id="579" w:name="_Toc18514"/>
      <w:r>
        <w:rPr>
          <w:rFonts w:hint="eastAsia" w:ascii="宋体" w:hAnsi="宋体" w:eastAsia="宋体" w:cs="宋体"/>
          <w:b/>
          <w:bCs/>
          <w:color w:val="auto"/>
          <w:sz w:val="20"/>
          <w:szCs w:val="20"/>
          <w:highlight w:val="none"/>
        </w:rPr>
        <w:t>附件</w:t>
      </w:r>
      <w:r>
        <w:rPr>
          <w:rFonts w:hint="eastAsia" w:ascii="宋体" w:hAnsi="宋体" w:eastAsia="宋体" w:cs="宋体"/>
          <w:b/>
          <w:bCs/>
          <w:color w:val="auto"/>
          <w:sz w:val="20"/>
          <w:szCs w:val="20"/>
          <w:highlight w:val="none"/>
          <w:lang w:val="en-US" w:eastAsia="zh-CN"/>
        </w:rPr>
        <w:t>1</w:t>
      </w:r>
      <w:bookmarkEnd w:id="579"/>
    </w:p>
    <w:p w14:paraId="7FF6A5CD">
      <w:pPr>
        <w:keepNext/>
        <w:keepLines/>
        <w:spacing w:line="360" w:lineRule="auto"/>
        <w:jc w:val="center"/>
        <w:outlineLvl w:val="0"/>
        <w:rPr>
          <w:rFonts w:hint="eastAsia" w:ascii="宋体" w:hAnsi="宋体" w:eastAsia="宋体" w:cs="宋体"/>
          <w:b/>
          <w:bCs/>
          <w:color w:val="auto"/>
          <w:sz w:val="32"/>
          <w:szCs w:val="32"/>
          <w:highlight w:val="none"/>
        </w:rPr>
      </w:pPr>
      <w:bookmarkStart w:id="580" w:name="_Toc21034"/>
      <w:r>
        <w:rPr>
          <w:rFonts w:hint="eastAsia" w:ascii="宋体" w:hAnsi="宋体" w:eastAsia="宋体" w:cs="宋体"/>
          <w:b/>
          <w:bCs/>
          <w:color w:val="auto"/>
          <w:sz w:val="32"/>
          <w:szCs w:val="32"/>
          <w:highlight w:val="none"/>
        </w:rPr>
        <w:t>残疾人福利性单位声明函</w:t>
      </w:r>
      <w:bookmarkEnd w:id="580"/>
    </w:p>
    <w:p w14:paraId="751B9CF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FCFA43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7A716A45">
      <w:pPr>
        <w:spacing w:line="360" w:lineRule="auto"/>
        <w:ind w:firstLine="480" w:firstLineChars="200"/>
        <w:rPr>
          <w:rFonts w:hint="eastAsia" w:ascii="宋体" w:hAnsi="宋体" w:eastAsia="宋体" w:cs="宋体"/>
          <w:color w:val="auto"/>
          <w:sz w:val="24"/>
          <w:szCs w:val="24"/>
          <w:highlight w:val="none"/>
        </w:rPr>
      </w:pPr>
    </w:p>
    <w:p w14:paraId="4827048E">
      <w:pPr>
        <w:spacing w:line="400" w:lineRule="exact"/>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（盖章）</w:t>
      </w:r>
    </w:p>
    <w:p w14:paraId="2882F656">
      <w:pPr>
        <w:spacing w:line="440" w:lineRule="exact"/>
        <w:ind w:right="960"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 </w:t>
      </w:r>
      <w:r>
        <w:rPr>
          <w:rFonts w:hint="eastAsia" w:ascii="宋体" w:hAnsi="宋体" w:eastAsia="宋体" w:cs="宋体"/>
          <w:color w:val="auto"/>
          <w:sz w:val="24"/>
          <w:highlight w:val="none"/>
          <w:u w:val="single"/>
        </w:rPr>
        <w:t xml:space="preserve">           （签字或盖章）</w:t>
      </w:r>
    </w:p>
    <w:p w14:paraId="0DE338B1">
      <w:pPr>
        <w:wordWrap w:val="0"/>
        <w:adjustRightInd/>
        <w:snapToGrid/>
        <w:spacing w:after="0"/>
        <w:ind w:firstLine="3360" w:firstLineChars="1400"/>
        <w:jc w:val="both"/>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44B429AF">
      <w:pPr>
        <w:adjustRightInd/>
        <w:snapToGrid/>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63867154">
      <w:pPr>
        <w:keepNext/>
        <w:keepLines/>
        <w:spacing w:line="360" w:lineRule="auto"/>
        <w:outlineLvl w:val="0"/>
        <w:rPr>
          <w:rFonts w:hint="eastAsia" w:ascii="宋体" w:hAnsi="宋体" w:eastAsia="宋体" w:cs="宋体"/>
          <w:b/>
          <w:bCs/>
          <w:color w:val="auto"/>
          <w:sz w:val="20"/>
          <w:szCs w:val="20"/>
          <w:highlight w:val="none"/>
        </w:rPr>
      </w:pPr>
      <w:bookmarkStart w:id="581" w:name="_Toc542"/>
      <w:r>
        <w:rPr>
          <w:rFonts w:hint="eastAsia" w:ascii="宋体" w:hAnsi="宋体" w:eastAsia="宋体" w:cs="宋体"/>
          <w:b/>
          <w:bCs/>
          <w:color w:val="auto"/>
          <w:sz w:val="20"/>
          <w:szCs w:val="20"/>
          <w:highlight w:val="none"/>
        </w:rPr>
        <w:t>附件</w:t>
      </w:r>
      <w:r>
        <w:rPr>
          <w:rFonts w:hint="eastAsia" w:ascii="宋体" w:hAnsi="宋体" w:eastAsia="宋体" w:cs="宋体"/>
          <w:b/>
          <w:bCs/>
          <w:color w:val="auto"/>
          <w:sz w:val="20"/>
          <w:szCs w:val="20"/>
          <w:highlight w:val="none"/>
          <w:lang w:eastAsia="zh-CN"/>
        </w:rPr>
        <w:t>2</w:t>
      </w:r>
      <w:bookmarkEnd w:id="581"/>
    </w:p>
    <w:p w14:paraId="0DE11499">
      <w:pPr>
        <w:keepNext/>
        <w:keepLines/>
        <w:spacing w:line="360" w:lineRule="auto"/>
        <w:jc w:val="center"/>
        <w:outlineLvl w:val="0"/>
        <w:rPr>
          <w:rFonts w:hint="eastAsia" w:ascii="宋体" w:hAnsi="宋体" w:eastAsia="宋体" w:cs="宋体"/>
          <w:b/>
          <w:bCs/>
          <w:color w:val="auto"/>
          <w:sz w:val="32"/>
          <w:szCs w:val="32"/>
          <w:highlight w:val="none"/>
        </w:rPr>
      </w:pPr>
      <w:bookmarkStart w:id="582" w:name="_Toc18490"/>
      <w:r>
        <w:rPr>
          <w:rFonts w:hint="eastAsia" w:ascii="宋体" w:hAnsi="宋体" w:eastAsia="宋体" w:cs="宋体"/>
          <w:b/>
          <w:bCs/>
          <w:color w:val="auto"/>
          <w:sz w:val="32"/>
          <w:szCs w:val="32"/>
          <w:highlight w:val="none"/>
        </w:rPr>
        <w:t>监狱企业证明文件</w:t>
      </w:r>
      <w:bookmarkEnd w:id="582"/>
    </w:p>
    <w:p w14:paraId="5A24D58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 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24F978FE">
      <w:pPr>
        <w:shd w:val="clear" w:color="auto" w:fill="FFFFFF"/>
        <w:spacing w:line="360" w:lineRule="auto"/>
        <w:rPr>
          <w:rFonts w:hint="eastAsia" w:ascii="宋体" w:hAnsi="宋体" w:eastAsia="宋体" w:cs="宋体"/>
          <w:color w:val="auto"/>
          <w:sz w:val="24"/>
          <w:szCs w:val="24"/>
          <w:highlight w:val="none"/>
        </w:rPr>
      </w:pPr>
    </w:p>
    <w:p w14:paraId="5819AE31">
      <w:pPr>
        <w:shd w:val="clear" w:color="auto" w:fill="FFFFFF"/>
        <w:spacing w:line="360" w:lineRule="auto"/>
        <w:ind w:firstLine="4560" w:firstLineChars="1900"/>
        <w:rPr>
          <w:rFonts w:hint="eastAsia" w:ascii="宋体" w:hAnsi="宋体" w:eastAsia="宋体" w:cs="宋体"/>
          <w:color w:val="auto"/>
          <w:sz w:val="24"/>
          <w:szCs w:val="24"/>
          <w:highlight w:val="none"/>
        </w:rPr>
      </w:pPr>
    </w:p>
    <w:p w14:paraId="45156E56">
      <w:pPr>
        <w:shd w:val="clear" w:color="auto" w:fill="FFFFFF"/>
        <w:spacing w:line="360" w:lineRule="auto"/>
        <w:ind w:firstLine="4560" w:firstLineChars="1900"/>
        <w:rPr>
          <w:rFonts w:hint="eastAsia" w:ascii="宋体" w:hAnsi="宋体" w:eastAsia="宋体" w:cs="宋体"/>
          <w:color w:val="auto"/>
          <w:sz w:val="24"/>
          <w:szCs w:val="24"/>
          <w:highlight w:val="none"/>
        </w:rPr>
      </w:pPr>
    </w:p>
    <w:p w14:paraId="1F41DF80">
      <w:pPr>
        <w:shd w:val="clear" w:color="auto" w:fill="FFFFFF"/>
        <w:spacing w:line="360" w:lineRule="auto"/>
        <w:ind w:firstLine="4560" w:firstLineChars="1900"/>
        <w:rPr>
          <w:rFonts w:hint="eastAsia" w:ascii="宋体" w:hAnsi="宋体" w:eastAsia="宋体" w:cs="宋体"/>
          <w:color w:val="auto"/>
          <w:sz w:val="24"/>
          <w:szCs w:val="24"/>
          <w:highlight w:val="none"/>
        </w:rPr>
      </w:pPr>
    </w:p>
    <w:p w14:paraId="5E079B45">
      <w:pPr>
        <w:spacing w:line="400" w:lineRule="exact"/>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（盖章）</w:t>
      </w:r>
    </w:p>
    <w:p w14:paraId="66512B02">
      <w:pPr>
        <w:spacing w:line="440" w:lineRule="exact"/>
        <w:ind w:right="960"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（签字或盖章）</w:t>
      </w:r>
    </w:p>
    <w:p w14:paraId="67BA04EC">
      <w:pPr>
        <w:wordWrap w:val="0"/>
        <w:adjustRightInd/>
        <w:snapToGrid/>
        <w:spacing w:after="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8D9FD2D">
      <w:pPr>
        <w:keepNext/>
        <w:keepLines/>
        <w:spacing w:line="360" w:lineRule="auto"/>
        <w:outlineLvl w:val="9"/>
        <w:rPr>
          <w:rFonts w:hint="eastAsia" w:ascii="宋体" w:hAnsi="宋体" w:eastAsia="宋体" w:cs="宋体"/>
          <w:b/>
          <w:bCs/>
          <w:color w:val="auto"/>
          <w:sz w:val="24"/>
          <w:szCs w:val="24"/>
          <w:highlight w:val="none"/>
        </w:rPr>
      </w:pPr>
    </w:p>
    <w:p w14:paraId="1AEBD9D9">
      <w:pPr>
        <w:topLinePunct/>
        <w:spacing w:before="4" w:line="360" w:lineRule="auto"/>
        <w:ind w:firstLine="480" w:firstLineChars="200"/>
        <w:rPr>
          <w:rFonts w:hint="eastAsia" w:ascii="宋体" w:hAnsi="宋体" w:eastAsia="宋体" w:cs="宋体"/>
          <w:color w:val="auto"/>
          <w:sz w:val="24"/>
          <w:szCs w:val="24"/>
          <w:highlight w:val="none"/>
        </w:rPr>
      </w:pPr>
    </w:p>
    <w:sectPr>
      <w:footerReference r:id="rId15" w:type="even"/>
      <w:pgSz w:w="11906" w:h="16838"/>
      <w:pgMar w:top="873" w:right="890" w:bottom="873" w:left="890" w:header="340" w:footer="227"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DFKai-SB">
    <w:altName w:val="Microsoft JhengHei Light"/>
    <w:panose1 w:val="03000509000000000000"/>
    <w:charset w:val="88"/>
    <w:family w:val="auto"/>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Sim Sun+ 2">
    <w:altName w:val="微软雅黑"/>
    <w:panose1 w:val="00000000000000000000"/>
    <w:charset w:val="00"/>
    <w:family w:val="swiss"/>
    <w:pitch w:val="default"/>
    <w:sig w:usb0="00000000" w:usb1="00000000" w:usb2="00000000"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auto"/>
    <w:pitch w:val="default"/>
    <w:sig w:usb0="00000000" w:usb1="00000000" w:usb2="00000000" w:usb3="00000000" w:csb0="00040001" w:csb1="00000000"/>
  </w:font>
  <w:font w:name="RomanD">
    <w:altName w:val="Courier New"/>
    <w:panose1 w:val="00000000000000000000"/>
    <w:charset w:val="00"/>
    <w:family w:val="auto"/>
    <w:pitch w:val="default"/>
    <w:sig w:usb0="00000000" w:usb1="00000000" w:usb2="00000000" w:usb3="00000000" w:csb0="000001FF" w:csb1="00000000"/>
  </w:font>
  <w:font w:name="华文中宋">
    <w:altName w:val="宋体"/>
    <w:panose1 w:val="02010600040101010101"/>
    <w:charset w:val="86"/>
    <w:family w:val="auto"/>
    <w:pitch w:val="default"/>
    <w:sig w:usb0="00000000" w:usb1="0000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Univers">
    <w:altName w:val="Segoe Print"/>
    <w:panose1 w:val="020B0603020202030204"/>
    <w:charset w:val="00"/>
    <w:family w:val="swiss"/>
    <w:pitch w:val="default"/>
    <w:sig w:usb0="00000000" w:usb1="00000000" w:usb2="00000000" w:usb3="00000000" w:csb0="00000093" w:csb1="00000000"/>
  </w:font>
  <w:font w:name="Segoe Print">
    <w:panose1 w:val="02000600000000000000"/>
    <w:charset w:val="00"/>
    <w:family w:val="auto"/>
    <w:pitch w:val="default"/>
    <w:sig w:usb0="0000028F" w:usb1="00000000" w:usb2="00000000" w:usb3="00000000" w:csb0="2000009F" w:csb1="47010000"/>
  </w:font>
  <w:font w:name="Tms Rmn">
    <w:altName w:val="Segoe Print"/>
    <w:panose1 w:val="020206030405050203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方正仿宋_GBK">
    <w:altName w:val="微软雅黑"/>
    <w:panose1 w:val="02000000000000000000"/>
    <w:charset w:val="86"/>
    <w:family w:val="auto"/>
    <w:pitch w:val="default"/>
    <w:sig w:usb0="00000000" w:usb1="00000000" w:usb2="00082016" w:usb3="00000000" w:csb0="00040001" w:csb1="00000000"/>
  </w:font>
  <w:font w:name="Microsoft YaHei UI">
    <w:panose1 w:val="020B0503020204020204"/>
    <w:charset w:val="86"/>
    <w:family w:val="auto"/>
    <w:pitch w:val="default"/>
    <w:sig w:usb0="80000287" w:usb1="2ACF3C50" w:usb2="00000016" w:usb3="00000000" w:csb0="0004001F" w:csb1="00000000"/>
  </w:font>
  <w:font w:name="KSOFD8A28030">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C607F">
    <w:pPr>
      <w:pStyle w:val="39"/>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C1E65E5">
                          <w:pPr>
                            <w:rPr>
                              <w:sz w:val="18"/>
                            </w:rPr>
                          </w:pP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zSVju0AAAAAUBAAAPAAAAAAAAAAEAIAAAACIAAABkcnMv&#10;ZG93bnJldi54bWxQSwECFAAUAAAACACHTuJAisGpJtIBAACjAwAADgAAAAAAAAABACAAAAAfAQAA&#10;ZHJzL2Uyb0RvYy54bWxQSwUGAAAAAAYABgBZAQAAYwUAAAAA&#10;">
              <v:fill on="f" focussize="0,0"/>
              <v:stroke on="f" weight="0.5pt"/>
              <v:imagedata o:title=""/>
              <o:lock v:ext="edit" aspectratio="f"/>
              <v:textbox inset="0mm,0mm,0mm,0mm" style="mso-fit-shape-to-text:t;">
                <w:txbxContent>
                  <w:p w14:paraId="2C1E65E5">
                    <w:pPr>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4FE7D">
    <w:pPr>
      <w:pStyle w:val="3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42B49">
    <w:pPr>
      <w:pStyle w:val="39"/>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CB515B3">
                          <w:pPr>
                            <w:rPr>
                              <w:sz w:val="18"/>
                            </w:rPr>
                          </w:pP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0lY7tAAAAAFAQAADwAAAAAAAAABACAAAAAiAAAAZHJz&#10;L2Rvd25yZXYueG1sUEsBAhQAFAAAAAgAh07iQIA59mDTAQAAowMAAA4AAAAAAAAAAQAgAAAAHwEA&#10;AGRycy9lMm9Eb2MueG1sUEsFBgAAAAAGAAYAWQEAAGQFAAAAAA==&#10;">
              <v:fill on="f" focussize="0,0"/>
              <v:stroke on="f" weight="0.5pt"/>
              <v:imagedata o:title=""/>
              <o:lock v:ext="edit" aspectratio="f"/>
              <v:textbox inset="0mm,0mm,0mm,0mm" style="mso-fit-shape-to-text:t;">
                <w:txbxContent>
                  <w:p w14:paraId="6CB515B3">
                    <w:pPr>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9012CE">
    <w:pPr>
      <w:pStyle w:val="39"/>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52D9B7">
                          <w:pPr>
                            <w:pStyle w:val="3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052D9B7">
                    <w:pPr>
                      <w:pStyle w:val="39"/>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65269887">
                          <w:pPr>
                            <w:rPr>
                              <w:sz w:val="18"/>
                            </w:rPr>
                          </w:pPr>
                        </w:p>
                      </w:txbxContent>
                    </wps:txbx>
                    <wps:bodyPr wrap="none" lIns="0" tIns="0" rIns="0" bIns="0" upright="1">
                      <a:spAutoFit/>
                    </wps:bodyPr>
                  </wps:wsp>
                </a:graphicData>
              </a:graphic>
            </wp:anchor>
          </w:drawing>
        </mc:Choice>
        <mc:Fallback>
          <w:pict>
            <v:shape id="文本框 10" o:spid="_x0000_s1026" o:spt="202" type="#_x0000_t202" style="position:absolute;left:0pt;margin-top:0pt;height:144pt;width:144pt;mso-position-horizontal:right;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Bcozb70QEAAKMDAAAOAAAAAAAAAAEAIAAAAB8BAABk&#10;cnMvZTJvRG9jLnhtbFBLBQYAAAAABgAGAFkBAABiBQAAAAA=&#10;">
              <v:fill on="f" focussize="0,0"/>
              <v:stroke on="f" weight="0.5pt"/>
              <v:imagedata o:title=""/>
              <o:lock v:ext="edit" aspectratio="f"/>
              <v:textbox inset="0mm,0mm,0mm,0mm" style="mso-fit-shape-to-text:t;">
                <w:txbxContent>
                  <w:p w14:paraId="65269887">
                    <w:pPr>
                      <w:rPr>
                        <w:sz w:val="18"/>
                      </w:rPr>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17810">
    <w:pPr>
      <w:pStyle w:val="39"/>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7BB3C0">
                          <w:pPr>
                            <w:pStyle w:val="3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17BB3C0">
                    <w:pPr>
                      <w:pStyle w:val="39"/>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64384"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311EF37">
                          <w:pPr>
                            <w:rPr>
                              <w:sz w:val="18"/>
                            </w:rPr>
                          </w:pP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right;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0lY7tAAAAAFAQAADwAAAAAAAAABACAAAAAiAAAAZHJz&#10;L2Rvd25yZXYueG1sUEsBAhQAFAAAAAgAh07iQN/bzEvTAQAAowMAAA4AAAAAAAAAAQAgAAAAHwEA&#10;AGRycy9lMm9Eb2MueG1sUEsFBgAAAAAGAAYAWQEAAGQFAAAAAA==&#10;">
              <v:fill on="f" focussize="0,0"/>
              <v:stroke on="f" weight="0.5pt"/>
              <v:imagedata o:title=""/>
              <o:lock v:ext="edit" aspectratio="f"/>
              <v:textbox inset="0mm,0mm,0mm,0mm" style="mso-fit-shape-to-text:t;">
                <w:txbxContent>
                  <w:p w14:paraId="7311EF37">
                    <w:pPr>
                      <w:rPr>
                        <w:sz w:val="1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2472E">
    <w:pPr>
      <w:pStyle w:val="39"/>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BF3EE9">
                          <w:pPr>
                            <w:pStyle w:val="39"/>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06BF3EE9">
                    <w:pPr>
                      <w:pStyle w:val="39"/>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CE7FF">
    <w:pPr>
      <w:pStyle w:val="39"/>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B1D6D6">
                          <w:pPr>
                            <w:pStyle w:val="39"/>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68B1D6D6">
                    <w:pPr>
                      <w:pStyle w:val="39"/>
                    </w:pPr>
                    <w:r>
                      <w:fldChar w:fldCharType="begin"/>
                    </w:r>
                    <w:r>
                      <w:instrText xml:space="preserve"> PAGE  \* MERGEFORMAT </w:instrText>
                    </w:r>
                    <w:r>
                      <w:fldChar w:fldCharType="separate"/>
                    </w:r>
                    <w:r>
                      <w:t>26</w:t>
                    </w:r>
                    <w:r>
                      <w:fldChar w:fldCharType="end"/>
                    </w: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7B4AEDBF">
                          <w:pPr>
                            <w:rPr>
                              <w:sz w:val="18"/>
                            </w:rPr>
                          </w:pPr>
                        </w:p>
                      </w:txbxContent>
                    </wps:txbx>
                    <wps:bodyPr wrap="none" lIns="0" tIns="0" rIns="0" bIns="0" upright="1">
                      <a:spAutoFit/>
                    </wps:bodyPr>
                  </wps:wsp>
                </a:graphicData>
              </a:graphic>
            </wp:anchor>
          </w:drawing>
        </mc:Choice>
        <mc:Fallback>
          <w:pict>
            <v:shape id="文本框 11" o:spid="_x0000_s1026" o:spt="202" type="#_x0000_t202" style="position:absolute;left:0pt;margin-top:0pt;height:144pt;width:144pt;mso-position-horizontal:right;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s0lY7tAAAAAFAQAADwAAAAAAAAABACAAAAAiAAAAZHJz&#10;L2Rvd25yZXYueG1sUEsBAhQAFAAAAAgAh07iQG36uQDTAQAAowMAAA4AAAAAAAAAAQAgAAAAHwEA&#10;AGRycy9lMm9Eb2MueG1sUEsFBgAAAAAGAAYAWQEAAGQFAAAAAA==&#10;">
              <v:fill on="f" focussize="0,0"/>
              <v:stroke on="f" weight="0.5pt"/>
              <v:imagedata o:title=""/>
              <o:lock v:ext="edit" aspectratio="f"/>
              <v:textbox inset="0mm,0mm,0mm,0mm" style="mso-fit-shape-to-text:t;">
                <w:txbxContent>
                  <w:p w14:paraId="7B4AEDBF">
                    <w:pPr>
                      <w:rPr>
                        <w:sz w:val="18"/>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DF0D2">
    <w:pPr>
      <w:pStyle w:val="39"/>
      <w:framePr w:wrap="around" w:vAnchor="text" w:hAnchor="margin" w:xAlign="outside" w:y="1"/>
      <w:rPr>
        <w:rStyle w:val="66"/>
      </w:rPr>
    </w:pPr>
    <w:r>
      <w:fldChar w:fldCharType="begin"/>
    </w:r>
    <w:r>
      <w:rPr>
        <w:rStyle w:val="66"/>
      </w:rPr>
      <w:instrText xml:space="preserve">PAGE  </w:instrText>
    </w:r>
    <w:r>
      <w:fldChar w:fldCharType="separate"/>
    </w:r>
    <w:r>
      <w:rPr>
        <w:rStyle w:val="66"/>
      </w:rPr>
      <w:t>5</w:t>
    </w:r>
    <w:r>
      <w:fldChar w:fldCharType="end"/>
    </w:r>
  </w:p>
  <w:p w14:paraId="7A4A5312">
    <w:pPr>
      <w:pStyle w:val="39"/>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40BA50">
    <w:pPr>
      <w:pBdr>
        <w:bottom w:val="single" w:color="auto" w:sz="4" w:space="0"/>
      </w:pBdr>
      <w:spacing w:line="600" w:lineRule="exact"/>
      <w:rPr>
        <w:rFonts w:hint="eastAsia" w:ascii="宋体" w:hAnsi="宋体" w:eastAsia="宋体" w:cs="宋体"/>
        <w:w w:val="80"/>
        <w:sz w:val="21"/>
        <w:szCs w:val="21"/>
      </w:rPr>
    </w:pPr>
    <w:r>
      <w:rPr>
        <w:rFonts w:hint="eastAsia" w:ascii="宋体" w:hAnsi="宋体" w:eastAsia="宋体" w:cs="宋体"/>
        <w:w w:val="80"/>
        <w:sz w:val="21"/>
        <w:szCs w:val="21"/>
        <w:lang w:eastAsia="zh-CN"/>
      </w:rPr>
      <w:t>红河职业技术学院数智校园建设项目—工程类</w:t>
    </w:r>
    <w:r>
      <w:rPr>
        <w:rFonts w:hint="eastAsia" w:ascii="宋体" w:hAnsi="宋体" w:eastAsia="宋体" w:cs="宋体"/>
        <w:w w:val="80"/>
        <w:sz w:val="21"/>
        <w:szCs w:val="21"/>
        <w:lang w:val="en-US" w:eastAsia="zh-CN"/>
      </w:rPr>
      <w:t>........................... ...........................</w:t>
    </w:r>
    <w:r>
      <w:rPr>
        <w:rFonts w:hint="eastAsia" w:ascii="宋体" w:hAnsi="宋体" w:eastAsia="宋体" w:cs="宋体"/>
        <w:w w:val="80"/>
        <w:sz w:val="21"/>
        <w:szCs w:val="21"/>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91CBC">
    <w:pPr>
      <w:pStyle w:val="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0F6D62">
    <w:pPr>
      <w:pStyle w:val="41"/>
      <w:pBdr>
        <w:bottom w:val="single" w:color="auto" w:sz="4" w:space="1"/>
      </w:pBdr>
      <w:rPr>
        <w:rFonts w:hint="eastAsia" w:eastAsia="宋体"/>
        <w:lang w:val="en-US" w:eastAsia="zh-CN"/>
      </w:rPr>
    </w:pPr>
    <w:r>
      <w:rPr>
        <w:rFonts w:hint="eastAsia" w:ascii="宋体" w:hAnsi="宋体" w:eastAsia="宋体" w:cs="宋体"/>
        <w:b w:val="0"/>
        <w:bCs w:val="0"/>
        <w:w w:val="80"/>
        <w:sz w:val="18"/>
        <w:szCs w:val="21"/>
        <w:lang w:eastAsia="zh-CN"/>
      </w:rPr>
      <w:t>红河职业技术学院数智校园建设项目—工程类</w:t>
    </w:r>
    <w:r>
      <w:rPr>
        <w:rFonts w:hint="eastAsia" w:ascii="宋体" w:hAnsi="宋体" w:eastAsia="宋体" w:cs="宋体"/>
        <w:b w:val="0"/>
        <w:bCs w:val="0"/>
        <w:w w:val="80"/>
        <w:sz w:val="18"/>
        <w:szCs w:val="21"/>
      </w:rPr>
      <w:t xml:space="preserve"> </w:t>
    </w:r>
    <w:r>
      <w:rPr>
        <w:rFonts w:hint="eastAsia" w:ascii="宋体" w:hAnsi="宋体" w:eastAsia="宋体" w:cs="宋体"/>
        <w:w w:val="80"/>
        <w:sz w:val="18"/>
        <w:szCs w:val="21"/>
      </w:rPr>
      <w:t xml:space="preserve">     </w:t>
    </w:r>
    <w:r>
      <w:rPr>
        <w:rFonts w:hint="eastAsia" w:ascii="宋体" w:hAnsi="宋体" w:eastAsia="宋体" w:cs="宋体"/>
        <w:w w:val="80"/>
        <w:sz w:val="18"/>
        <w:szCs w:val="21"/>
        <w:lang w:val="en-US" w:eastAsia="zh-CN"/>
      </w:rPr>
      <w:t xml:space="preserve">                                                                                    </w:t>
    </w:r>
    <w:r>
      <w:rPr>
        <w:rFonts w:hint="eastAsia" w:ascii="宋体" w:hAnsi="宋体" w:eastAsia="宋体" w:cs="宋体"/>
        <w:w w:val="80"/>
        <w:sz w:val="18"/>
        <w:szCs w:val="21"/>
      </w:rPr>
      <w:t xml:space="preserve">     竞争性磋商文</w:t>
    </w:r>
    <w:r>
      <w:rPr>
        <w:rFonts w:hint="eastAsia" w:ascii="宋体" w:hAnsi="宋体" w:eastAsia="宋体" w:cs="宋体"/>
        <w:w w:val="80"/>
        <w:sz w:val="18"/>
        <w:szCs w:val="21"/>
        <w:lang w:val="en-US" w:eastAsia="zh-CN"/>
      </w:rPr>
      <w:t>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06DA6">
    <w:pPr>
      <w:pBdr>
        <w:bottom w:val="single" w:color="auto" w:sz="4" w:space="0"/>
      </w:pBdr>
      <w:spacing w:line="600" w:lineRule="exact"/>
      <w:rPr>
        <w:rFonts w:hint="eastAsia" w:ascii="宋体" w:hAnsi="宋体" w:eastAsia="宋体" w:cs="宋体"/>
        <w:w w:val="80"/>
        <w:sz w:val="15"/>
        <w:szCs w:val="18"/>
      </w:rPr>
    </w:pPr>
    <w:r>
      <w:rPr>
        <w:rFonts w:hint="eastAsia" w:ascii="宋体" w:hAnsi="宋体" w:eastAsia="宋体" w:cs="宋体"/>
        <w:w w:val="80"/>
        <w:sz w:val="24"/>
        <w:szCs w:val="24"/>
        <w:lang w:eastAsia="zh-CN"/>
      </w:rPr>
      <w:t>红河职业技术学院数智校园建设项目—工程类</w:t>
    </w:r>
    <w:r>
      <w:rPr>
        <w:rFonts w:hint="eastAsia" w:ascii="宋体" w:hAnsi="宋体" w:eastAsia="宋体" w:cs="宋体"/>
        <w:w w:val="80"/>
        <w:sz w:val="24"/>
        <w:szCs w:val="24"/>
        <w:lang w:val="en-US" w:eastAsia="zh-CN"/>
      </w:rPr>
      <w:t>......................................</w:t>
    </w:r>
    <w:r>
      <w:rPr>
        <w:rFonts w:hint="eastAsia" w:ascii="宋体" w:hAnsi="宋体" w:eastAsia="宋体" w:cs="宋体"/>
        <w:w w:val="80"/>
        <w:sz w:val="24"/>
        <w:szCs w:val="24"/>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813C4E"/>
    <w:multiLevelType w:val="multilevel"/>
    <w:tmpl w:val="39813C4E"/>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hideSpellingErrors/>
  <w:documentProtection w:edit="readOnly" w:enforcement="0"/>
  <w:defaultTabStop w:val="720"/>
  <w:drawingGridHorizontalSpacing w:val="110"/>
  <w:drawingGridVerticalSpacing w:val="156"/>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MzMmVkNzY3ODFiNzZiYWY5ZjFkMjRiNjg2ZTJhNDMifQ=="/>
    <w:docVar w:name="DocumentID" w:val="{6025BCCA-7B92-4011-BD71-D42C7575BBB1}"/>
    <w:docVar w:name="DocumentName" w:val="金平县2021年强边固防四位一体项目批复文稿"/>
  </w:docVars>
  <w:rsids>
    <w:rsidRoot w:val="00D31D50"/>
    <w:rsid w:val="00004308"/>
    <w:rsid w:val="0000578F"/>
    <w:rsid w:val="000065FA"/>
    <w:rsid w:val="00006660"/>
    <w:rsid w:val="0000667E"/>
    <w:rsid w:val="00007DE9"/>
    <w:rsid w:val="00012932"/>
    <w:rsid w:val="00012A80"/>
    <w:rsid w:val="00013103"/>
    <w:rsid w:val="0001456F"/>
    <w:rsid w:val="00016367"/>
    <w:rsid w:val="0002011B"/>
    <w:rsid w:val="0002229E"/>
    <w:rsid w:val="00022648"/>
    <w:rsid w:val="00022C2D"/>
    <w:rsid w:val="00023E43"/>
    <w:rsid w:val="00024A25"/>
    <w:rsid w:val="00025732"/>
    <w:rsid w:val="00027AE2"/>
    <w:rsid w:val="000307FA"/>
    <w:rsid w:val="00030896"/>
    <w:rsid w:val="00031892"/>
    <w:rsid w:val="00032DD0"/>
    <w:rsid w:val="00032ED7"/>
    <w:rsid w:val="0003342C"/>
    <w:rsid w:val="00034096"/>
    <w:rsid w:val="00034B01"/>
    <w:rsid w:val="000353E6"/>
    <w:rsid w:val="00035BA3"/>
    <w:rsid w:val="00036CCD"/>
    <w:rsid w:val="0004014B"/>
    <w:rsid w:val="000408B9"/>
    <w:rsid w:val="00040B05"/>
    <w:rsid w:val="00042604"/>
    <w:rsid w:val="000429F4"/>
    <w:rsid w:val="00042D6A"/>
    <w:rsid w:val="00043BC6"/>
    <w:rsid w:val="00044C95"/>
    <w:rsid w:val="00046AD0"/>
    <w:rsid w:val="000522D2"/>
    <w:rsid w:val="000535B4"/>
    <w:rsid w:val="000539BE"/>
    <w:rsid w:val="00053F9B"/>
    <w:rsid w:val="0005572B"/>
    <w:rsid w:val="00055BE9"/>
    <w:rsid w:val="00056CF7"/>
    <w:rsid w:val="00057281"/>
    <w:rsid w:val="0005758F"/>
    <w:rsid w:val="000605FF"/>
    <w:rsid w:val="00060F95"/>
    <w:rsid w:val="00061AC3"/>
    <w:rsid w:val="00062A06"/>
    <w:rsid w:val="00063022"/>
    <w:rsid w:val="00064715"/>
    <w:rsid w:val="00066108"/>
    <w:rsid w:val="000662B0"/>
    <w:rsid w:val="000670CC"/>
    <w:rsid w:val="00067D66"/>
    <w:rsid w:val="00070069"/>
    <w:rsid w:val="00073021"/>
    <w:rsid w:val="000734CA"/>
    <w:rsid w:val="000741AF"/>
    <w:rsid w:val="000749AD"/>
    <w:rsid w:val="00074B9C"/>
    <w:rsid w:val="00075277"/>
    <w:rsid w:val="00076791"/>
    <w:rsid w:val="000803D3"/>
    <w:rsid w:val="0008102B"/>
    <w:rsid w:val="0008227A"/>
    <w:rsid w:val="00082E05"/>
    <w:rsid w:val="00083355"/>
    <w:rsid w:val="00083897"/>
    <w:rsid w:val="00083B4A"/>
    <w:rsid w:val="00084F08"/>
    <w:rsid w:val="00085B80"/>
    <w:rsid w:val="000866B4"/>
    <w:rsid w:val="00086C8F"/>
    <w:rsid w:val="0008711E"/>
    <w:rsid w:val="0009104C"/>
    <w:rsid w:val="00092255"/>
    <w:rsid w:val="00092E8D"/>
    <w:rsid w:val="00093B2B"/>
    <w:rsid w:val="00093CF6"/>
    <w:rsid w:val="000940FF"/>
    <w:rsid w:val="00094CF3"/>
    <w:rsid w:val="0009564C"/>
    <w:rsid w:val="00096FD9"/>
    <w:rsid w:val="0009751E"/>
    <w:rsid w:val="00097EEA"/>
    <w:rsid w:val="000A18D4"/>
    <w:rsid w:val="000A1CDB"/>
    <w:rsid w:val="000A2966"/>
    <w:rsid w:val="000A3360"/>
    <w:rsid w:val="000A3FC6"/>
    <w:rsid w:val="000A4A40"/>
    <w:rsid w:val="000A5D83"/>
    <w:rsid w:val="000A5DBA"/>
    <w:rsid w:val="000A6D93"/>
    <w:rsid w:val="000B036A"/>
    <w:rsid w:val="000B268D"/>
    <w:rsid w:val="000B2744"/>
    <w:rsid w:val="000B29EC"/>
    <w:rsid w:val="000B3B82"/>
    <w:rsid w:val="000B3F83"/>
    <w:rsid w:val="000B41E9"/>
    <w:rsid w:val="000B4BDB"/>
    <w:rsid w:val="000B668F"/>
    <w:rsid w:val="000B75E6"/>
    <w:rsid w:val="000B7F02"/>
    <w:rsid w:val="000C2368"/>
    <w:rsid w:val="000C2601"/>
    <w:rsid w:val="000C4D10"/>
    <w:rsid w:val="000C5A69"/>
    <w:rsid w:val="000C6AFD"/>
    <w:rsid w:val="000D07C5"/>
    <w:rsid w:val="000D09BF"/>
    <w:rsid w:val="000D1357"/>
    <w:rsid w:val="000D1532"/>
    <w:rsid w:val="000D4B80"/>
    <w:rsid w:val="000D5082"/>
    <w:rsid w:val="000E015D"/>
    <w:rsid w:val="000E0E4D"/>
    <w:rsid w:val="000E1AE0"/>
    <w:rsid w:val="000E1E9F"/>
    <w:rsid w:val="000E2B21"/>
    <w:rsid w:val="000E3486"/>
    <w:rsid w:val="000E40B8"/>
    <w:rsid w:val="000E437D"/>
    <w:rsid w:val="000E4647"/>
    <w:rsid w:val="000E53A1"/>
    <w:rsid w:val="000E55BA"/>
    <w:rsid w:val="000E56A7"/>
    <w:rsid w:val="000E6F10"/>
    <w:rsid w:val="000E7048"/>
    <w:rsid w:val="000F0DED"/>
    <w:rsid w:val="000F10C3"/>
    <w:rsid w:val="000F1810"/>
    <w:rsid w:val="000F1A6C"/>
    <w:rsid w:val="000F2459"/>
    <w:rsid w:val="000F3266"/>
    <w:rsid w:val="000F4169"/>
    <w:rsid w:val="000F607F"/>
    <w:rsid w:val="000F61FC"/>
    <w:rsid w:val="000F635F"/>
    <w:rsid w:val="000F6621"/>
    <w:rsid w:val="000F6AF7"/>
    <w:rsid w:val="000F6CED"/>
    <w:rsid w:val="00100DA5"/>
    <w:rsid w:val="00102234"/>
    <w:rsid w:val="0010337C"/>
    <w:rsid w:val="001048D8"/>
    <w:rsid w:val="00106303"/>
    <w:rsid w:val="00106421"/>
    <w:rsid w:val="00107517"/>
    <w:rsid w:val="00110048"/>
    <w:rsid w:val="00110BC9"/>
    <w:rsid w:val="00110E6C"/>
    <w:rsid w:val="001121A9"/>
    <w:rsid w:val="00113DFE"/>
    <w:rsid w:val="001158B4"/>
    <w:rsid w:val="00116786"/>
    <w:rsid w:val="00116F56"/>
    <w:rsid w:val="001173AD"/>
    <w:rsid w:val="00123022"/>
    <w:rsid w:val="00123025"/>
    <w:rsid w:val="00125028"/>
    <w:rsid w:val="001261F3"/>
    <w:rsid w:val="00130F72"/>
    <w:rsid w:val="001318A4"/>
    <w:rsid w:val="00132EF5"/>
    <w:rsid w:val="00133342"/>
    <w:rsid w:val="00133387"/>
    <w:rsid w:val="00137160"/>
    <w:rsid w:val="00137E6A"/>
    <w:rsid w:val="00140B54"/>
    <w:rsid w:val="00141696"/>
    <w:rsid w:val="00141B32"/>
    <w:rsid w:val="0014274F"/>
    <w:rsid w:val="0014289A"/>
    <w:rsid w:val="00143635"/>
    <w:rsid w:val="001436D4"/>
    <w:rsid w:val="001438C7"/>
    <w:rsid w:val="00144691"/>
    <w:rsid w:val="00144BED"/>
    <w:rsid w:val="00144E11"/>
    <w:rsid w:val="001455D1"/>
    <w:rsid w:val="00146F68"/>
    <w:rsid w:val="00147734"/>
    <w:rsid w:val="001509D7"/>
    <w:rsid w:val="00150C4C"/>
    <w:rsid w:val="001526DA"/>
    <w:rsid w:val="00153CE1"/>
    <w:rsid w:val="00153DE0"/>
    <w:rsid w:val="00155E8B"/>
    <w:rsid w:val="0015610F"/>
    <w:rsid w:val="00160484"/>
    <w:rsid w:val="001622B6"/>
    <w:rsid w:val="0016280D"/>
    <w:rsid w:val="00162E17"/>
    <w:rsid w:val="00163CDC"/>
    <w:rsid w:val="00165CD6"/>
    <w:rsid w:val="001665C6"/>
    <w:rsid w:val="0017240C"/>
    <w:rsid w:val="00173E24"/>
    <w:rsid w:val="0017443A"/>
    <w:rsid w:val="00175C6B"/>
    <w:rsid w:val="001805B3"/>
    <w:rsid w:val="00181877"/>
    <w:rsid w:val="001828FB"/>
    <w:rsid w:val="001840EA"/>
    <w:rsid w:val="00185D1C"/>
    <w:rsid w:val="00185EB1"/>
    <w:rsid w:val="00186D4C"/>
    <w:rsid w:val="001939F5"/>
    <w:rsid w:val="00195F81"/>
    <w:rsid w:val="001969B2"/>
    <w:rsid w:val="001A1FEE"/>
    <w:rsid w:val="001A4716"/>
    <w:rsid w:val="001A4AB4"/>
    <w:rsid w:val="001A541C"/>
    <w:rsid w:val="001A58F1"/>
    <w:rsid w:val="001A6A37"/>
    <w:rsid w:val="001A7416"/>
    <w:rsid w:val="001B1323"/>
    <w:rsid w:val="001B1F70"/>
    <w:rsid w:val="001B2D77"/>
    <w:rsid w:val="001B3A74"/>
    <w:rsid w:val="001B51B7"/>
    <w:rsid w:val="001B5DCF"/>
    <w:rsid w:val="001B645A"/>
    <w:rsid w:val="001C09CE"/>
    <w:rsid w:val="001C279C"/>
    <w:rsid w:val="001C283C"/>
    <w:rsid w:val="001C5367"/>
    <w:rsid w:val="001C5813"/>
    <w:rsid w:val="001C58FA"/>
    <w:rsid w:val="001C5D52"/>
    <w:rsid w:val="001C5D63"/>
    <w:rsid w:val="001C6F2B"/>
    <w:rsid w:val="001D0B02"/>
    <w:rsid w:val="001D2513"/>
    <w:rsid w:val="001D2778"/>
    <w:rsid w:val="001D3410"/>
    <w:rsid w:val="001D5AF6"/>
    <w:rsid w:val="001D6A53"/>
    <w:rsid w:val="001D6C74"/>
    <w:rsid w:val="001D70C7"/>
    <w:rsid w:val="001E17FE"/>
    <w:rsid w:val="001E2958"/>
    <w:rsid w:val="001E30D7"/>
    <w:rsid w:val="001E3497"/>
    <w:rsid w:val="001E37BD"/>
    <w:rsid w:val="001E645E"/>
    <w:rsid w:val="001E64F7"/>
    <w:rsid w:val="001E681C"/>
    <w:rsid w:val="001E7393"/>
    <w:rsid w:val="001F0429"/>
    <w:rsid w:val="001F39A9"/>
    <w:rsid w:val="001F3CE1"/>
    <w:rsid w:val="001F63F5"/>
    <w:rsid w:val="001F6D1C"/>
    <w:rsid w:val="00202D17"/>
    <w:rsid w:val="002031B8"/>
    <w:rsid w:val="00203309"/>
    <w:rsid w:val="00204FE8"/>
    <w:rsid w:val="00205D0A"/>
    <w:rsid w:val="002065FF"/>
    <w:rsid w:val="00206D95"/>
    <w:rsid w:val="00207D7A"/>
    <w:rsid w:val="00211396"/>
    <w:rsid w:val="00211D30"/>
    <w:rsid w:val="002127B6"/>
    <w:rsid w:val="00212AD8"/>
    <w:rsid w:val="00212B06"/>
    <w:rsid w:val="00212FFB"/>
    <w:rsid w:val="00213D34"/>
    <w:rsid w:val="002152F5"/>
    <w:rsid w:val="0021531A"/>
    <w:rsid w:val="00215DE7"/>
    <w:rsid w:val="00220DCF"/>
    <w:rsid w:val="002233A8"/>
    <w:rsid w:val="002257B0"/>
    <w:rsid w:val="00227CCB"/>
    <w:rsid w:val="0023158E"/>
    <w:rsid w:val="002322BD"/>
    <w:rsid w:val="00233A16"/>
    <w:rsid w:val="00234BAC"/>
    <w:rsid w:val="00236CE6"/>
    <w:rsid w:val="0023797C"/>
    <w:rsid w:val="00240714"/>
    <w:rsid w:val="00241629"/>
    <w:rsid w:val="002420A3"/>
    <w:rsid w:val="00243273"/>
    <w:rsid w:val="00246EBE"/>
    <w:rsid w:val="00247252"/>
    <w:rsid w:val="0025097F"/>
    <w:rsid w:val="00251725"/>
    <w:rsid w:val="00252B35"/>
    <w:rsid w:val="00253CCB"/>
    <w:rsid w:val="002551B9"/>
    <w:rsid w:val="00255A98"/>
    <w:rsid w:val="00255E09"/>
    <w:rsid w:val="00260DF1"/>
    <w:rsid w:val="002610E7"/>
    <w:rsid w:val="00263780"/>
    <w:rsid w:val="00264833"/>
    <w:rsid w:val="00264860"/>
    <w:rsid w:val="00265F43"/>
    <w:rsid w:val="00267D5E"/>
    <w:rsid w:val="00270622"/>
    <w:rsid w:val="0027124E"/>
    <w:rsid w:val="0027232C"/>
    <w:rsid w:val="00272825"/>
    <w:rsid w:val="0027352B"/>
    <w:rsid w:val="00273868"/>
    <w:rsid w:val="00274597"/>
    <w:rsid w:val="002752D0"/>
    <w:rsid w:val="002760E6"/>
    <w:rsid w:val="002764DC"/>
    <w:rsid w:val="0027657E"/>
    <w:rsid w:val="00277BCE"/>
    <w:rsid w:val="0028133B"/>
    <w:rsid w:val="00281DB8"/>
    <w:rsid w:val="00282569"/>
    <w:rsid w:val="00283755"/>
    <w:rsid w:val="00284E00"/>
    <w:rsid w:val="00286943"/>
    <w:rsid w:val="00290D3A"/>
    <w:rsid w:val="002921D2"/>
    <w:rsid w:val="00295E5D"/>
    <w:rsid w:val="0029605C"/>
    <w:rsid w:val="0029681F"/>
    <w:rsid w:val="00296923"/>
    <w:rsid w:val="00296AFF"/>
    <w:rsid w:val="002977D2"/>
    <w:rsid w:val="002A0BC5"/>
    <w:rsid w:val="002A12BA"/>
    <w:rsid w:val="002A1368"/>
    <w:rsid w:val="002A1EC1"/>
    <w:rsid w:val="002A2FFC"/>
    <w:rsid w:val="002A58D8"/>
    <w:rsid w:val="002A6119"/>
    <w:rsid w:val="002B2961"/>
    <w:rsid w:val="002B475A"/>
    <w:rsid w:val="002B67FE"/>
    <w:rsid w:val="002B736B"/>
    <w:rsid w:val="002B7D91"/>
    <w:rsid w:val="002C121A"/>
    <w:rsid w:val="002C1C21"/>
    <w:rsid w:val="002C243A"/>
    <w:rsid w:val="002D204B"/>
    <w:rsid w:val="002D419E"/>
    <w:rsid w:val="002D6521"/>
    <w:rsid w:val="002E1635"/>
    <w:rsid w:val="002E446F"/>
    <w:rsid w:val="002E4F8F"/>
    <w:rsid w:val="002E515E"/>
    <w:rsid w:val="002E522E"/>
    <w:rsid w:val="002F1713"/>
    <w:rsid w:val="002F24A1"/>
    <w:rsid w:val="002F2EAA"/>
    <w:rsid w:val="002F2F1F"/>
    <w:rsid w:val="002F2FCD"/>
    <w:rsid w:val="002F364E"/>
    <w:rsid w:val="002F54C0"/>
    <w:rsid w:val="002F552D"/>
    <w:rsid w:val="002F750B"/>
    <w:rsid w:val="003011AD"/>
    <w:rsid w:val="003031DA"/>
    <w:rsid w:val="00303305"/>
    <w:rsid w:val="00303A02"/>
    <w:rsid w:val="00303AF7"/>
    <w:rsid w:val="003049D4"/>
    <w:rsid w:val="00305DD0"/>
    <w:rsid w:val="00306920"/>
    <w:rsid w:val="0030700C"/>
    <w:rsid w:val="00310367"/>
    <w:rsid w:val="0031068E"/>
    <w:rsid w:val="0031087D"/>
    <w:rsid w:val="00313CC0"/>
    <w:rsid w:val="00313FAD"/>
    <w:rsid w:val="00315354"/>
    <w:rsid w:val="00315716"/>
    <w:rsid w:val="003157EA"/>
    <w:rsid w:val="0031629D"/>
    <w:rsid w:val="00316F31"/>
    <w:rsid w:val="0031798F"/>
    <w:rsid w:val="003200A4"/>
    <w:rsid w:val="003201C0"/>
    <w:rsid w:val="003201DF"/>
    <w:rsid w:val="0032037D"/>
    <w:rsid w:val="00320DBB"/>
    <w:rsid w:val="0032101D"/>
    <w:rsid w:val="00321CF0"/>
    <w:rsid w:val="00322000"/>
    <w:rsid w:val="00322757"/>
    <w:rsid w:val="00322FA1"/>
    <w:rsid w:val="00323B43"/>
    <w:rsid w:val="00326F70"/>
    <w:rsid w:val="003279BF"/>
    <w:rsid w:val="003313E7"/>
    <w:rsid w:val="00331EB8"/>
    <w:rsid w:val="003325AE"/>
    <w:rsid w:val="00332768"/>
    <w:rsid w:val="00332A8A"/>
    <w:rsid w:val="003330FC"/>
    <w:rsid w:val="00333737"/>
    <w:rsid w:val="003345FA"/>
    <w:rsid w:val="00334843"/>
    <w:rsid w:val="00335409"/>
    <w:rsid w:val="00335B3F"/>
    <w:rsid w:val="0033604F"/>
    <w:rsid w:val="00337BEF"/>
    <w:rsid w:val="003401BF"/>
    <w:rsid w:val="00341080"/>
    <w:rsid w:val="00341A6E"/>
    <w:rsid w:val="00344922"/>
    <w:rsid w:val="00345CA6"/>
    <w:rsid w:val="00345F8A"/>
    <w:rsid w:val="00350D8C"/>
    <w:rsid w:val="00350F18"/>
    <w:rsid w:val="003516CB"/>
    <w:rsid w:val="00351CD4"/>
    <w:rsid w:val="00352B2F"/>
    <w:rsid w:val="00353D67"/>
    <w:rsid w:val="003545EE"/>
    <w:rsid w:val="00354C06"/>
    <w:rsid w:val="00356AE8"/>
    <w:rsid w:val="00360CC3"/>
    <w:rsid w:val="00360DC0"/>
    <w:rsid w:val="003623EB"/>
    <w:rsid w:val="00364B5A"/>
    <w:rsid w:val="00364D67"/>
    <w:rsid w:val="003653CD"/>
    <w:rsid w:val="003658FC"/>
    <w:rsid w:val="003661F8"/>
    <w:rsid w:val="00370A05"/>
    <w:rsid w:val="003713C1"/>
    <w:rsid w:val="00371A0C"/>
    <w:rsid w:val="00371BD8"/>
    <w:rsid w:val="00373581"/>
    <w:rsid w:val="00374C0D"/>
    <w:rsid w:val="00375C63"/>
    <w:rsid w:val="00377706"/>
    <w:rsid w:val="00381BF5"/>
    <w:rsid w:val="00383AA5"/>
    <w:rsid w:val="00383C96"/>
    <w:rsid w:val="00384EE3"/>
    <w:rsid w:val="003852A6"/>
    <w:rsid w:val="0038562C"/>
    <w:rsid w:val="00385E61"/>
    <w:rsid w:val="003863B2"/>
    <w:rsid w:val="0039034D"/>
    <w:rsid w:val="00391121"/>
    <w:rsid w:val="00391D6B"/>
    <w:rsid w:val="00391E24"/>
    <w:rsid w:val="00394644"/>
    <w:rsid w:val="0039465A"/>
    <w:rsid w:val="00395070"/>
    <w:rsid w:val="003A0336"/>
    <w:rsid w:val="003A0BA7"/>
    <w:rsid w:val="003A0CA6"/>
    <w:rsid w:val="003A14F9"/>
    <w:rsid w:val="003A1D50"/>
    <w:rsid w:val="003A4CFB"/>
    <w:rsid w:val="003A51EC"/>
    <w:rsid w:val="003A69AE"/>
    <w:rsid w:val="003B063F"/>
    <w:rsid w:val="003B1A54"/>
    <w:rsid w:val="003B3A76"/>
    <w:rsid w:val="003B47BD"/>
    <w:rsid w:val="003B61E8"/>
    <w:rsid w:val="003B7065"/>
    <w:rsid w:val="003C247E"/>
    <w:rsid w:val="003C4527"/>
    <w:rsid w:val="003C55DF"/>
    <w:rsid w:val="003C76AF"/>
    <w:rsid w:val="003C77FB"/>
    <w:rsid w:val="003C7BAE"/>
    <w:rsid w:val="003D2837"/>
    <w:rsid w:val="003D2AF3"/>
    <w:rsid w:val="003D37D8"/>
    <w:rsid w:val="003D4003"/>
    <w:rsid w:val="003D5986"/>
    <w:rsid w:val="003D5E80"/>
    <w:rsid w:val="003D612A"/>
    <w:rsid w:val="003D6D33"/>
    <w:rsid w:val="003E0CDD"/>
    <w:rsid w:val="003E60AD"/>
    <w:rsid w:val="003E60DF"/>
    <w:rsid w:val="003E6DDD"/>
    <w:rsid w:val="003E772F"/>
    <w:rsid w:val="003E792F"/>
    <w:rsid w:val="003F0A98"/>
    <w:rsid w:val="003F2200"/>
    <w:rsid w:val="003F23E5"/>
    <w:rsid w:val="003F2666"/>
    <w:rsid w:val="003F4071"/>
    <w:rsid w:val="003F445F"/>
    <w:rsid w:val="003F460C"/>
    <w:rsid w:val="003F7013"/>
    <w:rsid w:val="00401252"/>
    <w:rsid w:val="0040157E"/>
    <w:rsid w:val="004023AA"/>
    <w:rsid w:val="00402D5E"/>
    <w:rsid w:val="00403522"/>
    <w:rsid w:val="0040436B"/>
    <w:rsid w:val="004043C6"/>
    <w:rsid w:val="004050EF"/>
    <w:rsid w:val="004058C8"/>
    <w:rsid w:val="00405BC8"/>
    <w:rsid w:val="00406206"/>
    <w:rsid w:val="004075A4"/>
    <w:rsid w:val="00410980"/>
    <w:rsid w:val="00411E6E"/>
    <w:rsid w:val="00411F4D"/>
    <w:rsid w:val="0041219C"/>
    <w:rsid w:val="004126AD"/>
    <w:rsid w:val="00414ADA"/>
    <w:rsid w:val="00414E17"/>
    <w:rsid w:val="004157C0"/>
    <w:rsid w:val="00417268"/>
    <w:rsid w:val="00417816"/>
    <w:rsid w:val="00417931"/>
    <w:rsid w:val="0042009C"/>
    <w:rsid w:val="00420590"/>
    <w:rsid w:val="00420A4B"/>
    <w:rsid w:val="00425783"/>
    <w:rsid w:val="00426133"/>
    <w:rsid w:val="00430AD6"/>
    <w:rsid w:val="00430EBD"/>
    <w:rsid w:val="0043122C"/>
    <w:rsid w:val="00431CAA"/>
    <w:rsid w:val="00432A41"/>
    <w:rsid w:val="00432D83"/>
    <w:rsid w:val="00433269"/>
    <w:rsid w:val="0043331E"/>
    <w:rsid w:val="004337B6"/>
    <w:rsid w:val="004358AB"/>
    <w:rsid w:val="004358AC"/>
    <w:rsid w:val="0043594C"/>
    <w:rsid w:val="0043599C"/>
    <w:rsid w:val="0044080E"/>
    <w:rsid w:val="0044170A"/>
    <w:rsid w:val="00441F98"/>
    <w:rsid w:val="0044229D"/>
    <w:rsid w:val="00442BAA"/>
    <w:rsid w:val="00443BB8"/>
    <w:rsid w:val="00443C67"/>
    <w:rsid w:val="004441C5"/>
    <w:rsid w:val="00444DB4"/>
    <w:rsid w:val="0044609C"/>
    <w:rsid w:val="0044693C"/>
    <w:rsid w:val="00446CB3"/>
    <w:rsid w:val="0044776E"/>
    <w:rsid w:val="004504DA"/>
    <w:rsid w:val="004514F4"/>
    <w:rsid w:val="00453BBF"/>
    <w:rsid w:val="00455004"/>
    <w:rsid w:val="00455232"/>
    <w:rsid w:val="004552C6"/>
    <w:rsid w:val="00455374"/>
    <w:rsid w:val="00455AF9"/>
    <w:rsid w:val="00455CF1"/>
    <w:rsid w:val="0045605D"/>
    <w:rsid w:val="00456BE9"/>
    <w:rsid w:val="00456D1F"/>
    <w:rsid w:val="00457B96"/>
    <w:rsid w:val="004604C9"/>
    <w:rsid w:val="004612D0"/>
    <w:rsid w:val="00461DFA"/>
    <w:rsid w:val="00462089"/>
    <w:rsid w:val="00462C17"/>
    <w:rsid w:val="004632C3"/>
    <w:rsid w:val="004634B2"/>
    <w:rsid w:val="00463C95"/>
    <w:rsid w:val="00464729"/>
    <w:rsid w:val="004652B9"/>
    <w:rsid w:val="00465DC1"/>
    <w:rsid w:val="00466B83"/>
    <w:rsid w:val="00467BB7"/>
    <w:rsid w:val="00470255"/>
    <w:rsid w:val="0047154D"/>
    <w:rsid w:val="00472C2C"/>
    <w:rsid w:val="00473CCB"/>
    <w:rsid w:val="00474A0B"/>
    <w:rsid w:val="0047577E"/>
    <w:rsid w:val="00475CB8"/>
    <w:rsid w:val="00475CC2"/>
    <w:rsid w:val="00476908"/>
    <w:rsid w:val="004777B2"/>
    <w:rsid w:val="00477A02"/>
    <w:rsid w:val="00477CE4"/>
    <w:rsid w:val="00483496"/>
    <w:rsid w:val="004847E4"/>
    <w:rsid w:val="0048748F"/>
    <w:rsid w:val="00491533"/>
    <w:rsid w:val="004929C9"/>
    <w:rsid w:val="00492B1E"/>
    <w:rsid w:val="00492D12"/>
    <w:rsid w:val="00493164"/>
    <w:rsid w:val="0049393C"/>
    <w:rsid w:val="00494CF7"/>
    <w:rsid w:val="00494F39"/>
    <w:rsid w:val="004A0C70"/>
    <w:rsid w:val="004A1E03"/>
    <w:rsid w:val="004A23B6"/>
    <w:rsid w:val="004A31A8"/>
    <w:rsid w:val="004A340A"/>
    <w:rsid w:val="004A3A8D"/>
    <w:rsid w:val="004A3FE0"/>
    <w:rsid w:val="004A6FE6"/>
    <w:rsid w:val="004B0590"/>
    <w:rsid w:val="004B12FC"/>
    <w:rsid w:val="004B1B5B"/>
    <w:rsid w:val="004B3D00"/>
    <w:rsid w:val="004B4D72"/>
    <w:rsid w:val="004B4E94"/>
    <w:rsid w:val="004B64B6"/>
    <w:rsid w:val="004B6EC2"/>
    <w:rsid w:val="004B73C4"/>
    <w:rsid w:val="004B7D73"/>
    <w:rsid w:val="004C2BEC"/>
    <w:rsid w:val="004C5A32"/>
    <w:rsid w:val="004C7D39"/>
    <w:rsid w:val="004C7F15"/>
    <w:rsid w:val="004D10AD"/>
    <w:rsid w:val="004D1ADB"/>
    <w:rsid w:val="004D32A8"/>
    <w:rsid w:val="004D4565"/>
    <w:rsid w:val="004D4807"/>
    <w:rsid w:val="004D5181"/>
    <w:rsid w:val="004D5AF5"/>
    <w:rsid w:val="004D657B"/>
    <w:rsid w:val="004D6C9E"/>
    <w:rsid w:val="004D76DF"/>
    <w:rsid w:val="004E090D"/>
    <w:rsid w:val="004E0D3B"/>
    <w:rsid w:val="004E181E"/>
    <w:rsid w:val="004E22C6"/>
    <w:rsid w:val="004E2685"/>
    <w:rsid w:val="004E2C5D"/>
    <w:rsid w:val="004E5910"/>
    <w:rsid w:val="004E7B1C"/>
    <w:rsid w:val="004F38DC"/>
    <w:rsid w:val="004F3C1B"/>
    <w:rsid w:val="004F4D56"/>
    <w:rsid w:val="004F5E39"/>
    <w:rsid w:val="004F6698"/>
    <w:rsid w:val="004F70B8"/>
    <w:rsid w:val="004F772E"/>
    <w:rsid w:val="00511CA0"/>
    <w:rsid w:val="00511E15"/>
    <w:rsid w:val="0051214E"/>
    <w:rsid w:val="00512373"/>
    <w:rsid w:val="005137C7"/>
    <w:rsid w:val="005139FE"/>
    <w:rsid w:val="00516E74"/>
    <w:rsid w:val="0052063D"/>
    <w:rsid w:val="0052111A"/>
    <w:rsid w:val="00522A48"/>
    <w:rsid w:val="00523DED"/>
    <w:rsid w:val="00526174"/>
    <w:rsid w:val="0052719E"/>
    <w:rsid w:val="005306EE"/>
    <w:rsid w:val="00530F07"/>
    <w:rsid w:val="00530F26"/>
    <w:rsid w:val="00532F4D"/>
    <w:rsid w:val="00533933"/>
    <w:rsid w:val="0053400B"/>
    <w:rsid w:val="0053596E"/>
    <w:rsid w:val="00537A3C"/>
    <w:rsid w:val="00537AFF"/>
    <w:rsid w:val="0054026D"/>
    <w:rsid w:val="0054044D"/>
    <w:rsid w:val="00540A63"/>
    <w:rsid w:val="00540D66"/>
    <w:rsid w:val="0054222E"/>
    <w:rsid w:val="00542450"/>
    <w:rsid w:val="0054340B"/>
    <w:rsid w:val="005437B1"/>
    <w:rsid w:val="005439ED"/>
    <w:rsid w:val="00543C88"/>
    <w:rsid w:val="00546193"/>
    <w:rsid w:val="005462D8"/>
    <w:rsid w:val="005466B4"/>
    <w:rsid w:val="005472BA"/>
    <w:rsid w:val="00550E38"/>
    <w:rsid w:val="005515B0"/>
    <w:rsid w:val="00552C4D"/>
    <w:rsid w:val="005558F0"/>
    <w:rsid w:val="00556D84"/>
    <w:rsid w:val="00560DAA"/>
    <w:rsid w:val="00561A08"/>
    <w:rsid w:val="005620D0"/>
    <w:rsid w:val="00564C6F"/>
    <w:rsid w:val="0056590D"/>
    <w:rsid w:val="00565D0C"/>
    <w:rsid w:val="00566426"/>
    <w:rsid w:val="0056791C"/>
    <w:rsid w:val="00570964"/>
    <w:rsid w:val="00570FEF"/>
    <w:rsid w:val="0057277F"/>
    <w:rsid w:val="0057298B"/>
    <w:rsid w:val="00573CDE"/>
    <w:rsid w:val="00573EE8"/>
    <w:rsid w:val="00574540"/>
    <w:rsid w:val="00576B28"/>
    <w:rsid w:val="00580B25"/>
    <w:rsid w:val="005812F2"/>
    <w:rsid w:val="0058155F"/>
    <w:rsid w:val="00582695"/>
    <w:rsid w:val="005848DA"/>
    <w:rsid w:val="00584C2B"/>
    <w:rsid w:val="00585939"/>
    <w:rsid w:val="00585CB2"/>
    <w:rsid w:val="00585DAA"/>
    <w:rsid w:val="005874D7"/>
    <w:rsid w:val="00587978"/>
    <w:rsid w:val="00593861"/>
    <w:rsid w:val="005950C9"/>
    <w:rsid w:val="005954D9"/>
    <w:rsid w:val="005967DD"/>
    <w:rsid w:val="005969D3"/>
    <w:rsid w:val="00597560"/>
    <w:rsid w:val="00597704"/>
    <w:rsid w:val="00597862"/>
    <w:rsid w:val="005A1F6A"/>
    <w:rsid w:val="005A403E"/>
    <w:rsid w:val="005A4083"/>
    <w:rsid w:val="005A4706"/>
    <w:rsid w:val="005A5A82"/>
    <w:rsid w:val="005A67D2"/>
    <w:rsid w:val="005A7587"/>
    <w:rsid w:val="005A7FEE"/>
    <w:rsid w:val="005B229E"/>
    <w:rsid w:val="005B67A3"/>
    <w:rsid w:val="005C0315"/>
    <w:rsid w:val="005C0A33"/>
    <w:rsid w:val="005C11E0"/>
    <w:rsid w:val="005C1200"/>
    <w:rsid w:val="005C2896"/>
    <w:rsid w:val="005C4717"/>
    <w:rsid w:val="005C5A23"/>
    <w:rsid w:val="005C6FB5"/>
    <w:rsid w:val="005C78FB"/>
    <w:rsid w:val="005D0223"/>
    <w:rsid w:val="005D2AD0"/>
    <w:rsid w:val="005D4385"/>
    <w:rsid w:val="005D74C3"/>
    <w:rsid w:val="005D7DA2"/>
    <w:rsid w:val="005E4753"/>
    <w:rsid w:val="005E6483"/>
    <w:rsid w:val="005E6E55"/>
    <w:rsid w:val="005E7F00"/>
    <w:rsid w:val="005F385E"/>
    <w:rsid w:val="005F424B"/>
    <w:rsid w:val="005F54F8"/>
    <w:rsid w:val="005F7138"/>
    <w:rsid w:val="0060104C"/>
    <w:rsid w:val="00601A1A"/>
    <w:rsid w:val="0060404B"/>
    <w:rsid w:val="006040EE"/>
    <w:rsid w:val="00611C7E"/>
    <w:rsid w:val="006136E4"/>
    <w:rsid w:val="00613D25"/>
    <w:rsid w:val="00614DE1"/>
    <w:rsid w:val="0061581B"/>
    <w:rsid w:val="00615BA1"/>
    <w:rsid w:val="00615F0A"/>
    <w:rsid w:val="00617F11"/>
    <w:rsid w:val="00621320"/>
    <w:rsid w:val="006218EF"/>
    <w:rsid w:val="0062375F"/>
    <w:rsid w:val="0062476C"/>
    <w:rsid w:val="00624ED3"/>
    <w:rsid w:val="0062704C"/>
    <w:rsid w:val="00627475"/>
    <w:rsid w:val="00632F45"/>
    <w:rsid w:val="0063358F"/>
    <w:rsid w:val="00633750"/>
    <w:rsid w:val="00635A9A"/>
    <w:rsid w:val="00637913"/>
    <w:rsid w:val="00642324"/>
    <w:rsid w:val="006430E0"/>
    <w:rsid w:val="00643623"/>
    <w:rsid w:val="006438D1"/>
    <w:rsid w:val="00643C23"/>
    <w:rsid w:val="00643E04"/>
    <w:rsid w:val="0064502E"/>
    <w:rsid w:val="00651D6B"/>
    <w:rsid w:val="00652239"/>
    <w:rsid w:val="006523E8"/>
    <w:rsid w:val="00652CA9"/>
    <w:rsid w:val="0065451F"/>
    <w:rsid w:val="006545FF"/>
    <w:rsid w:val="006549C8"/>
    <w:rsid w:val="0065537B"/>
    <w:rsid w:val="006558F9"/>
    <w:rsid w:val="0065621F"/>
    <w:rsid w:val="00657FA4"/>
    <w:rsid w:val="0066094C"/>
    <w:rsid w:val="00661248"/>
    <w:rsid w:val="00661C32"/>
    <w:rsid w:val="00661C63"/>
    <w:rsid w:val="00661FC4"/>
    <w:rsid w:val="00662430"/>
    <w:rsid w:val="006627CD"/>
    <w:rsid w:val="00662A90"/>
    <w:rsid w:val="006643B9"/>
    <w:rsid w:val="006644C4"/>
    <w:rsid w:val="006669FF"/>
    <w:rsid w:val="00666C4D"/>
    <w:rsid w:val="00667281"/>
    <w:rsid w:val="006700A3"/>
    <w:rsid w:val="00670C31"/>
    <w:rsid w:val="0067255A"/>
    <w:rsid w:val="006738B6"/>
    <w:rsid w:val="00673E54"/>
    <w:rsid w:val="00675DB5"/>
    <w:rsid w:val="00677590"/>
    <w:rsid w:val="00683FB6"/>
    <w:rsid w:val="00684110"/>
    <w:rsid w:val="00684B23"/>
    <w:rsid w:val="00686091"/>
    <w:rsid w:val="00687C1F"/>
    <w:rsid w:val="00691E78"/>
    <w:rsid w:val="00695730"/>
    <w:rsid w:val="006958F1"/>
    <w:rsid w:val="006A0883"/>
    <w:rsid w:val="006A111C"/>
    <w:rsid w:val="006A1397"/>
    <w:rsid w:val="006A22A3"/>
    <w:rsid w:val="006A629E"/>
    <w:rsid w:val="006A7006"/>
    <w:rsid w:val="006A7E44"/>
    <w:rsid w:val="006B08A8"/>
    <w:rsid w:val="006B0B75"/>
    <w:rsid w:val="006B242B"/>
    <w:rsid w:val="006B3079"/>
    <w:rsid w:val="006B5E1F"/>
    <w:rsid w:val="006B6660"/>
    <w:rsid w:val="006B6785"/>
    <w:rsid w:val="006C0864"/>
    <w:rsid w:val="006C0AC9"/>
    <w:rsid w:val="006C14BA"/>
    <w:rsid w:val="006C1E3B"/>
    <w:rsid w:val="006C27FD"/>
    <w:rsid w:val="006C62BB"/>
    <w:rsid w:val="006C653B"/>
    <w:rsid w:val="006C7419"/>
    <w:rsid w:val="006C7E26"/>
    <w:rsid w:val="006C7F1A"/>
    <w:rsid w:val="006D0593"/>
    <w:rsid w:val="006D0BD0"/>
    <w:rsid w:val="006D153E"/>
    <w:rsid w:val="006D1C33"/>
    <w:rsid w:val="006D4675"/>
    <w:rsid w:val="006D6971"/>
    <w:rsid w:val="006D6D0F"/>
    <w:rsid w:val="006E3245"/>
    <w:rsid w:val="006E5560"/>
    <w:rsid w:val="006E5750"/>
    <w:rsid w:val="006E599F"/>
    <w:rsid w:val="006E7944"/>
    <w:rsid w:val="006F0AF0"/>
    <w:rsid w:val="006F3084"/>
    <w:rsid w:val="006F33B0"/>
    <w:rsid w:val="006F3894"/>
    <w:rsid w:val="006F3A3A"/>
    <w:rsid w:val="006F3F50"/>
    <w:rsid w:val="006F6459"/>
    <w:rsid w:val="006F7272"/>
    <w:rsid w:val="006F74B0"/>
    <w:rsid w:val="006F758C"/>
    <w:rsid w:val="007010DA"/>
    <w:rsid w:val="0070111D"/>
    <w:rsid w:val="00702372"/>
    <w:rsid w:val="00702696"/>
    <w:rsid w:val="007030D5"/>
    <w:rsid w:val="007037CC"/>
    <w:rsid w:val="0070509E"/>
    <w:rsid w:val="00705B7D"/>
    <w:rsid w:val="00705FDE"/>
    <w:rsid w:val="007065B5"/>
    <w:rsid w:val="00711D71"/>
    <w:rsid w:val="0071352C"/>
    <w:rsid w:val="00714849"/>
    <w:rsid w:val="0071496B"/>
    <w:rsid w:val="007149E5"/>
    <w:rsid w:val="00714F34"/>
    <w:rsid w:val="007156B1"/>
    <w:rsid w:val="00717FC5"/>
    <w:rsid w:val="0072066D"/>
    <w:rsid w:val="00723AB6"/>
    <w:rsid w:val="007244DC"/>
    <w:rsid w:val="00725833"/>
    <w:rsid w:val="0072596D"/>
    <w:rsid w:val="00725984"/>
    <w:rsid w:val="007278F2"/>
    <w:rsid w:val="00727EC6"/>
    <w:rsid w:val="007300BD"/>
    <w:rsid w:val="007303DD"/>
    <w:rsid w:val="007309EB"/>
    <w:rsid w:val="00730FC1"/>
    <w:rsid w:val="007310A4"/>
    <w:rsid w:val="00731550"/>
    <w:rsid w:val="007345AC"/>
    <w:rsid w:val="0073480F"/>
    <w:rsid w:val="00735E21"/>
    <w:rsid w:val="0073669D"/>
    <w:rsid w:val="00736BBA"/>
    <w:rsid w:val="00737AFA"/>
    <w:rsid w:val="00742196"/>
    <w:rsid w:val="007423F4"/>
    <w:rsid w:val="0074555E"/>
    <w:rsid w:val="0074582E"/>
    <w:rsid w:val="007465F7"/>
    <w:rsid w:val="00750EBB"/>
    <w:rsid w:val="00753029"/>
    <w:rsid w:val="0075312A"/>
    <w:rsid w:val="0075768A"/>
    <w:rsid w:val="00757CC3"/>
    <w:rsid w:val="00762363"/>
    <w:rsid w:val="00762479"/>
    <w:rsid w:val="0076300E"/>
    <w:rsid w:val="007641CC"/>
    <w:rsid w:val="007648F5"/>
    <w:rsid w:val="00765034"/>
    <w:rsid w:val="007679B4"/>
    <w:rsid w:val="0077012D"/>
    <w:rsid w:val="00771111"/>
    <w:rsid w:val="00771D85"/>
    <w:rsid w:val="00772B63"/>
    <w:rsid w:val="00773921"/>
    <w:rsid w:val="00774053"/>
    <w:rsid w:val="00774414"/>
    <w:rsid w:val="00775384"/>
    <w:rsid w:val="007758C2"/>
    <w:rsid w:val="00781B1C"/>
    <w:rsid w:val="00781D25"/>
    <w:rsid w:val="00782830"/>
    <w:rsid w:val="00783427"/>
    <w:rsid w:val="0078787D"/>
    <w:rsid w:val="0079293F"/>
    <w:rsid w:val="007946A5"/>
    <w:rsid w:val="00795E3B"/>
    <w:rsid w:val="00796C0B"/>
    <w:rsid w:val="00797B55"/>
    <w:rsid w:val="007A0CCE"/>
    <w:rsid w:val="007A0E9B"/>
    <w:rsid w:val="007A1DE7"/>
    <w:rsid w:val="007A3582"/>
    <w:rsid w:val="007A4462"/>
    <w:rsid w:val="007A75EE"/>
    <w:rsid w:val="007B031A"/>
    <w:rsid w:val="007B323E"/>
    <w:rsid w:val="007B3E98"/>
    <w:rsid w:val="007C0EEC"/>
    <w:rsid w:val="007C2FB9"/>
    <w:rsid w:val="007C4752"/>
    <w:rsid w:val="007C4961"/>
    <w:rsid w:val="007C49D6"/>
    <w:rsid w:val="007C4A9C"/>
    <w:rsid w:val="007D0D41"/>
    <w:rsid w:val="007D3C8A"/>
    <w:rsid w:val="007D5AE0"/>
    <w:rsid w:val="007E0DB3"/>
    <w:rsid w:val="007E2DD5"/>
    <w:rsid w:val="007E5B2F"/>
    <w:rsid w:val="007F1375"/>
    <w:rsid w:val="007F300B"/>
    <w:rsid w:val="007F3175"/>
    <w:rsid w:val="007F3B57"/>
    <w:rsid w:val="007F3CB9"/>
    <w:rsid w:val="007F4918"/>
    <w:rsid w:val="007F4DAB"/>
    <w:rsid w:val="007F5517"/>
    <w:rsid w:val="007F68D1"/>
    <w:rsid w:val="007F756B"/>
    <w:rsid w:val="00801057"/>
    <w:rsid w:val="00801B18"/>
    <w:rsid w:val="0080405A"/>
    <w:rsid w:val="00804E09"/>
    <w:rsid w:val="00804EFE"/>
    <w:rsid w:val="00804F63"/>
    <w:rsid w:val="00805D33"/>
    <w:rsid w:val="00812244"/>
    <w:rsid w:val="00812AE0"/>
    <w:rsid w:val="008133D3"/>
    <w:rsid w:val="00813918"/>
    <w:rsid w:val="0081427B"/>
    <w:rsid w:val="00814CF1"/>
    <w:rsid w:val="008153F4"/>
    <w:rsid w:val="00815655"/>
    <w:rsid w:val="00815E95"/>
    <w:rsid w:val="00816D36"/>
    <w:rsid w:val="00817A7B"/>
    <w:rsid w:val="00817CA1"/>
    <w:rsid w:val="00820759"/>
    <w:rsid w:val="00820B04"/>
    <w:rsid w:val="008210D5"/>
    <w:rsid w:val="00821792"/>
    <w:rsid w:val="00822972"/>
    <w:rsid w:val="00825AEC"/>
    <w:rsid w:val="00826075"/>
    <w:rsid w:val="0082655A"/>
    <w:rsid w:val="00826A3F"/>
    <w:rsid w:val="00826FE4"/>
    <w:rsid w:val="00831DE4"/>
    <w:rsid w:val="00834F7E"/>
    <w:rsid w:val="00835BCB"/>
    <w:rsid w:val="00836DDA"/>
    <w:rsid w:val="00837F77"/>
    <w:rsid w:val="0084100C"/>
    <w:rsid w:val="008411A4"/>
    <w:rsid w:val="00841620"/>
    <w:rsid w:val="00841B8F"/>
    <w:rsid w:val="008439D0"/>
    <w:rsid w:val="00843C61"/>
    <w:rsid w:val="00844876"/>
    <w:rsid w:val="008449FB"/>
    <w:rsid w:val="00846932"/>
    <w:rsid w:val="00851459"/>
    <w:rsid w:val="008515C8"/>
    <w:rsid w:val="008529B5"/>
    <w:rsid w:val="00854996"/>
    <w:rsid w:val="00854EC5"/>
    <w:rsid w:val="008579C7"/>
    <w:rsid w:val="00860069"/>
    <w:rsid w:val="00860561"/>
    <w:rsid w:val="008615E5"/>
    <w:rsid w:val="00862882"/>
    <w:rsid w:val="00864BD9"/>
    <w:rsid w:val="00864C33"/>
    <w:rsid w:val="0086643C"/>
    <w:rsid w:val="00866F66"/>
    <w:rsid w:val="0086758A"/>
    <w:rsid w:val="00867B55"/>
    <w:rsid w:val="00867F98"/>
    <w:rsid w:val="00872123"/>
    <w:rsid w:val="00872E99"/>
    <w:rsid w:val="00872FEB"/>
    <w:rsid w:val="008734DD"/>
    <w:rsid w:val="008758D3"/>
    <w:rsid w:val="00876382"/>
    <w:rsid w:val="00876DFD"/>
    <w:rsid w:val="008774D4"/>
    <w:rsid w:val="00877C94"/>
    <w:rsid w:val="00881139"/>
    <w:rsid w:val="00882FBB"/>
    <w:rsid w:val="00884C5B"/>
    <w:rsid w:val="008874AF"/>
    <w:rsid w:val="00890DEF"/>
    <w:rsid w:val="00890F0A"/>
    <w:rsid w:val="00891F28"/>
    <w:rsid w:val="00894918"/>
    <w:rsid w:val="008952DE"/>
    <w:rsid w:val="008968B9"/>
    <w:rsid w:val="00896E82"/>
    <w:rsid w:val="008A2912"/>
    <w:rsid w:val="008A415F"/>
    <w:rsid w:val="008A4584"/>
    <w:rsid w:val="008A49E3"/>
    <w:rsid w:val="008A6C7C"/>
    <w:rsid w:val="008B0CF7"/>
    <w:rsid w:val="008B0F67"/>
    <w:rsid w:val="008B3380"/>
    <w:rsid w:val="008B3A35"/>
    <w:rsid w:val="008B3AA0"/>
    <w:rsid w:val="008B3EE9"/>
    <w:rsid w:val="008B5821"/>
    <w:rsid w:val="008B7726"/>
    <w:rsid w:val="008C09D1"/>
    <w:rsid w:val="008C0F66"/>
    <w:rsid w:val="008C2C83"/>
    <w:rsid w:val="008C4041"/>
    <w:rsid w:val="008C45E3"/>
    <w:rsid w:val="008C544E"/>
    <w:rsid w:val="008C64F2"/>
    <w:rsid w:val="008D0231"/>
    <w:rsid w:val="008D11B7"/>
    <w:rsid w:val="008D1B87"/>
    <w:rsid w:val="008D1F66"/>
    <w:rsid w:val="008D3254"/>
    <w:rsid w:val="008D32CD"/>
    <w:rsid w:val="008D488C"/>
    <w:rsid w:val="008D5656"/>
    <w:rsid w:val="008D677A"/>
    <w:rsid w:val="008D77BC"/>
    <w:rsid w:val="008E033C"/>
    <w:rsid w:val="008E261D"/>
    <w:rsid w:val="008E4DBF"/>
    <w:rsid w:val="008E57E6"/>
    <w:rsid w:val="008E5EFD"/>
    <w:rsid w:val="008E64DE"/>
    <w:rsid w:val="008E73E9"/>
    <w:rsid w:val="008E7A99"/>
    <w:rsid w:val="008E7FCB"/>
    <w:rsid w:val="008F0D2B"/>
    <w:rsid w:val="008F0D5E"/>
    <w:rsid w:val="008F217F"/>
    <w:rsid w:val="008F2C25"/>
    <w:rsid w:val="008F315C"/>
    <w:rsid w:val="008F5ADE"/>
    <w:rsid w:val="008F6D52"/>
    <w:rsid w:val="00900F76"/>
    <w:rsid w:val="0090201C"/>
    <w:rsid w:val="009022B4"/>
    <w:rsid w:val="009043B2"/>
    <w:rsid w:val="00904E8E"/>
    <w:rsid w:val="00904EDC"/>
    <w:rsid w:val="009064AF"/>
    <w:rsid w:val="00907700"/>
    <w:rsid w:val="0091075A"/>
    <w:rsid w:val="009109DF"/>
    <w:rsid w:val="009110BE"/>
    <w:rsid w:val="009120ED"/>
    <w:rsid w:val="00912148"/>
    <w:rsid w:val="009124FD"/>
    <w:rsid w:val="00912F3B"/>
    <w:rsid w:val="00913EA4"/>
    <w:rsid w:val="00914A6C"/>
    <w:rsid w:val="00914CD4"/>
    <w:rsid w:val="0091510F"/>
    <w:rsid w:val="009164D9"/>
    <w:rsid w:val="00920191"/>
    <w:rsid w:val="0092179C"/>
    <w:rsid w:val="00921BE4"/>
    <w:rsid w:val="0092266E"/>
    <w:rsid w:val="00923137"/>
    <w:rsid w:val="00924EFC"/>
    <w:rsid w:val="00926766"/>
    <w:rsid w:val="00926E93"/>
    <w:rsid w:val="00930FC6"/>
    <w:rsid w:val="009343DC"/>
    <w:rsid w:val="0093482C"/>
    <w:rsid w:val="009348B6"/>
    <w:rsid w:val="009348EB"/>
    <w:rsid w:val="00934907"/>
    <w:rsid w:val="00940440"/>
    <w:rsid w:val="0094091F"/>
    <w:rsid w:val="0094148E"/>
    <w:rsid w:val="009429F8"/>
    <w:rsid w:val="00942B3D"/>
    <w:rsid w:val="00943900"/>
    <w:rsid w:val="00944C8A"/>
    <w:rsid w:val="0094570C"/>
    <w:rsid w:val="00947958"/>
    <w:rsid w:val="00950611"/>
    <w:rsid w:val="009512DA"/>
    <w:rsid w:val="00951793"/>
    <w:rsid w:val="009552A8"/>
    <w:rsid w:val="009603CE"/>
    <w:rsid w:val="00961A8B"/>
    <w:rsid w:val="00962A9F"/>
    <w:rsid w:val="00962AA6"/>
    <w:rsid w:val="009645EA"/>
    <w:rsid w:val="00966E72"/>
    <w:rsid w:val="0096782D"/>
    <w:rsid w:val="00967ADC"/>
    <w:rsid w:val="00967B2D"/>
    <w:rsid w:val="009706C1"/>
    <w:rsid w:val="00970B7D"/>
    <w:rsid w:val="00971D76"/>
    <w:rsid w:val="00971FBA"/>
    <w:rsid w:val="00972A9B"/>
    <w:rsid w:val="00973B15"/>
    <w:rsid w:val="00976F1D"/>
    <w:rsid w:val="00977039"/>
    <w:rsid w:val="00980A36"/>
    <w:rsid w:val="0098125B"/>
    <w:rsid w:val="00983217"/>
    <w:rsid w:val="0098324D"/>
    <w:rsid w:val="00984339"/>
    <w:rsid w:val="009856C2"/>
    <w:rsid w:val="00986FF5"/>
    <w:rsid w:val="009870C8"/>
    <w:rsid w:val="009914B7"/>
    <w:rsid w:val="0099162D"/>
    <w:rsid w:val="0099174A"/>
    <w:rsid w:val="00991D4A"/>
    <w:rsid w:val="00993E40"/>
    <w:rsid w:val="00993E96"/>
    <w:rsid w:val="0099405E"/>
    <w:rsid w:val="00994446"/>
    <w:rsid w:val="0099485D"/>
    <w:rsid w:val="00994872"/>
    <w:rsid w:val="00994CC7"/>
    <w:rsid w:val="009956EB"/>
    <w:rsid w:val="00995B52"/>
    <w:rsid w:val="00997A74"/>
    <w:rsid w:val="009A041B"/>
    <w:rsid w:val="009A22E0"/>
    <w:rsid w:val="009A3197"/>
    <w:rsid w:val="009A3AD8"/>
    <w:rsid w:val="009A3D19"/>
    <w:rsid w:val="009B0A6E"/>
    <w:rsid w:val="009B2AF6"/>
    <w:rsid w:val="009B311D"/>
    <w:rsid w:val="009B4068"/>
    <w:rsid w:val="009B4127"/>
    <w:rsid w:val="009C0269"/>
    <w:rsid w:val="009C1D65"/>
    <w:rsid w:val="009C2393"/>
    <w:rsid w:val="009C40A6"/>
    <w:rsid w:val="009C4E5C"/>
    <w:rsid w:val="009C740B"/>
    <w:rsid w:val="009D0B4F"/>
    <w:rsid w:val="009D0F4B"/>
    <w:rsid w:val="009D10E8"/>
    <w:rsid w:val="009D32C5"/>
    <w:rsid w:val="009D3437"/>
    <w:rsid w:val="009D3A03"/>
    <w:rsid w:val="009D58F8"/>
    <w:rsid w:val="009D5DBF"/>
    <w:rsid w:val="009D670B"/>
    <w:rsid w:val="009D6D68"/>
    <w:rsid w:val="009D72AB"/>
    <w:rsid w:val="009E08B2"/>
    <w:rsid w:val="009E0E6C"/>
    <w:rsid w:val="009E15BE"/>
    <w:rsid w:val="009E2D04"/>
    <w:rsid w:val="009E3A39"/>
    <w:rsid w:val="009E6DD6"/>
    <w:rsid w:val="009E75A1"/>
    <w:rsid w:val="009F17F9"/>
    <w:rsid w:val="009F1AEF"/>
    <w:rsid w:val="009F241A"/>
    <w:rsid w:val="009F48F2"/>
    <w:rsid w:val="009F4C1B"/>
    <w:rsid w:val="009F4ECF"/>
    <w:rsid w:val="009F69ED"/>
    <w:rsid w:val="00A001B9"/>
    <w:rsid w:val="00A0138B"/>
    <w:rsid w:val="00A013D3"/>
    <w:rsid w:val="00A01808"/>
    <w:rsid w:val="00A02826"/>
    <w:rsid w:val="00A0289B"/>
    <w:rsid w:val="00A035D0"/>
    <w:rsid w:val="00A04E19"/>
    <w:rsid w:val="00A0736A"/>
    <w:rsid w:val="00A07D89"/>
    <w:rsid w:val="00A10B68"/>
    <w:rsid w:val="00A11020"/>
    <w:rsid w:val="00A112C8"/>
    <w:rsid w:val="00A1237B"/>
    <w:rsid w:val="00A135EC"/>
    <w:rsid w:val="00A14659"/>
    <w:rsid w:val="00A14ED6"/>
    <w:rsid w:val="00A214D4"/>
    <w:rsid w:val="00A21A10"/>
    <w:rsid w:val="00A23208"/>
    <w:rsid w:val="00A254CA"/>
    <w:rsid w:val="00A258D1"/>
    <w:rsid w:val="00A27503"/>
    <w:rsid w:val="00A27948"/>
    <w:rsid w:val="00A31238"/>
    <w:rsid w:val="00A31AE4"/>
    <w:rsid w:val="00A34871"/>
    <w:rsid w:val="00A34AE0"/>
    <w:rsid w:val="00A35D5F"/>
    <w:rsid w:val="00A36214"/>
    <w:rsid w:val="00A37D43"/>
    <w:rsid w:val="00A423EB"/>
    <w:rsid w:val="00A4320C"/>
    <w:rsid w:val="00A43864"/>
    <w:rsid w:val="00A44790"/>
    <w:rsid w:val="00A46856"/>
    <w:rsid w:val="00A46962"/>
    <w:rsid w:val="00A472AB"/>
    <w:rsid w:val="00A47E24"/>
    <w:rsid w:val="00A50384"/>
    <w:rsid w:val="00A50F6B"/>
    <w:rsid w:val="00A5106E"/>
    <w:rsid w:val="00A52119"/>
    <w:rsid w:val="00A529E8"/>
    <w:rsid w:val="00A52DEC"/>
    <w:rsid w:val="00A54A55"/>
    <w:rsid w:val="00A54BBD"/>
    <w:rsid w:val="00A570BD"/>
    <w:rsid w:val="00A57B71"/>
    <w:rsid w:val="00A6082D"/>
    <w:rsid w:val="00A60AC7"/>
    <w:rsid w:val="00A61B5A"/>
    <w:rsid w:val="00A61CF5"/>
    <w:rsid w:val="00A63610"/>
    <w:rsid w:val="00A65C7C"/>
    <w:rsid w:val="00A660EA"/>
    <w:rsid w:val="00A66522"/>
    <w:rsid w:val="00A70527"/>
    <w:rsid w:val="00A70C24"/>
    <w:rsid w:val="00A71DBB"/>
    <w:rsid w:val="00A72CBE"/>
    <w:rsid w:val="00A72F97"/>
    <w:rsid w:val="00A73C8E"/>
    <w:rsid w:val="00A7497D"/>
    <w:rsid w:val="00A75CCF"/>
    <w:rsid w:val="00A76786"/>
    <w:rsid w:val="00A77079"/>
    <w:rsid w:val="00A77E9B"/>
    <w:rsid w:val="00A81610"/>
    <w:rsid w:val="00A81AFC"/>
    <w:rsid w:val="00A81CE7"/>
    <w:rsid w:val="00A82C69"/>
    <w:rsid w:val="00A83D66"/>
    <w:rsid w:val="00A85118"/>
    <w:rsid w:val="00A86216"/>
    <w:rsid w:val="00A87D7B"/>
    <w:rsid w:val="00A9015F"/>
    <w:rsid w:val="00A91630"/>
    <w:rsid w:val="00A92311"/>
    <w:rsid w:val="00A92903"/>
    <w:rsid w:val="00A92B2F"/>
    <w:rsid w:val="00A939C9"/>
    <w:rsid w:val="00A93B72"/>
    <w:rsid w:val="00A94038"/>
    <w:rsid w:val="00A95902"/>
    <w:rsid w:val="00A9707C"/>
    <w:rsid w:val="00A973A7"/>
    <w:rsid w:val="00AA248F"/>
    <w:rsid w:val="00AA28AA"/>
    <w:rsid w:val="00AA2AFD"/>
    <w:rsid w:val="00AA4651"/>
    <w:rsid w:val="00AA6559"/>
    <w:rsid w:val="00AA6E60"/>
    <w:rsid w:val="00AA7582"/>
    <w:rsid w:val="00AB0513"/>
    <w:rsid w:val="00AB0A6D"/>
    <w:rsid w:val="00AB2626"/>
    <w:rsid w:val="00AB2A6D"/>
    <w:rsid w:val="00AB2BEE"/>
    <w:rsid w:val="00AB3235"/>
    <w:rsid w:val="00AB41C4"/>
    <w:rsid w:val="00AB4C81"/>
    <w:rsid w:val="00AB686E"/>
    <w:rsid w:val="00AB75C7"/>
    <w:rsid w:val="00AB781B"/>
    <w:rsid w:val="00AC10ED"/>
    <w:rsid w:val="00AC1EF4"/>
    <w:rsid w:val="00AC2902"/>
    <w:rsid w:val="00AC43B2"/>
    <w:rsid w:val="00AC4839"/>
    <w:rsid w:val="00AC4EAE"/>
    <w:rsid w:val="00AC5609"/>
    <w:rsid w:val="00AC5CD2"/>
    <w:rsid w:val="00AC5D2D"/>
    <w:rsid w:val="00AC661A"/>
    <w:rsid w:val="00AC67A5"/>
    <w:rsid w:val="00AC6B85"/>
    <w:rsid w:val="00AC7957"/>
    <w:rsid w:val="00AC7AFC"/>
    <w:rsid w:val="00AD13F0"/>
    <w:rsid w:val="00AD24AA"/>
    <w:rsid w:val="00AD3E6B"/>
    <w:rsid w:val="00AD53D1"/>
    <w:rsid w:val="00AD69C7"/>
    <w:rsid w:val="00AD7DB7"/>
    <w:rsid w:val="00AE14EC"/>
    <w:rsid w:val="00AE1D05"/>
    <w:rsid w:val="00AE2B96"/>
    <w:rsid w:val="00AE4E92"/>
    <w:rsid w:val="00AE57EB"/>
    <w:rsid w:val="00AE5AC9"/>
    <w:rsid w:val="00AE7255"/>
    <w:rsid w:val="00AF0FFE"/>
    <w:rsid w:val="00AF1EF5"/>
    <w:rsid w:val="00AF272E"/>
    <w:rsid w:val="00AF3D87"/>
    <w:rsid w:val="00AF42F6"/>
    <w:rsid w:val="00AF52F0"/>
    <w:rsid w:val="00AF648F"/>
    <w:rsid w:val="00AF71A8"/>
    <w:rsid w:val="00AF728B"/>
    <w:rsid w:val="00AF7B70"/>
    <w:rsid w:val="00AF7D49"/>
    <w:rsid w:val="00B00D2C"/>
    <w:rsid w:val="00B02483"/>
    <w:rsid w:val="00B02A95"/>
    <w:rsid w:val="00B050D0"/>
    <w:rsid w:val="00B060E4"/>
    <w:rsid w:val="00B06343"/>
    <w:rsid w:val="00B0670C"/>
    <w:rsid w:val="00B0726E"/>
    <w:rsid w:val="00B1001B"/>
    <w:rsid w:val="00B1090A"/>
    <w:rsid w:val="00B10D95"/>
    <w:rsid w:val="00B118EA"/>
    <w:rsid w:val="00B14718"/>
    <w:rsid w:val="00B16057"/>
    <w:rsid w:val="00B17741"/>
    <w:rsid w:val="00B2065D"/>
    <w:rsid w:val="00B206C0"/>
    <w:rsid w:val="00B2176E"/>
    <w:rsid w:val="00B23698"/>
    <w:rsid w:val="00B2424D"/>
    <w:rsid w:val="00B26873"/>
    <w:rsid w:val="00B268CF"/>
    <w:rsid w:val="00B27837"/>
    <w:rsid w:val="00B309AE"/>
    <w:rsid w:val="00B31393"/>
    <w:rsid w:val="00B3487E"/>
    <w:rsid w:val="00B3664D"/>
    <w:rsid w:val="00B3696C"/>
    <w:rsid w:val="00B37211"/>
    <w:rsid w:val="00B376F5"/>
    <w:rsid w:val="00B37E43"/>
    <w:rsid w:val="00B37F0A"/>
    <w:rsid w:val="00B4046F"/>
    <w:rsid w:val="00B4297E"/>
    <w:rsid w:val="00B42C4D"/>
    <w:rsid w:val="00B44989"/>
    <w:rsid w:val="00B44A94"/>
    <w:rsid w:val="00B456CF"/>
    <w:rsid w:val="00B45D1A"/>
    <w:rsid w:val="00B5215F"/>
    <w:rsid w:val="00B539D4"/>
    <w:rsid w:val="00B53A0E"/>
    <w:rsid w:val="00B544B1"/>
    <w:rsid w:val="00B55C17"/>
    <w:rsid w:val="00B578BA"/>
    <w:rsid w:val="00B60E41"/>
    <w:rsid w:val="00B61F3E"/>
    <w:rsid w:val="00B61F78"/>
    <w:rsid w:val="00B6235C"/>
    <w:rsid w:val="00B623F1"/>
    <w:rsid w:val="00B628A8"/>
    <w:rsid w:val="00B62A19"/>
    <w:rsid w:val="00B63C01"/>
    <w:rsid w:val="00B647BF"/>
    <w:rsid w:val="00B65780"/>
    <w:rsid w:val="00B65C8B"/>
    <w:rsid w:val="00B66AEB"/>
    <w:rsid w:val="00B67E54"/>
    <w:rsid w:val="00B70EED"/>
    <w:rsid w:val="00B7100B"/>
    <w:rsid w:val="00B716C9"/>
    <w:rsid w:val="00B727E5"/>
    <w:rsid w:val="00B731E3"/>
    <w:rsid w:val="00B73DED"/>
    <w:rsid w:val="00B74E5D"/>
    <w:rsid w:val="00B74E9F"/>
    <w:rsid w:val="00B814C2"/>
    <w:rsid w:val="00B81508"/>
    <w:rsid w:val="00B822B8"/>
    <w:rsid w:val="00B829F6"/>
    <w:rsid w:val="00B83AA4"/>
    <w:rsid w:val="00B84584"/>
    <w:rsid w:val="00B84927"/>
    <w:rsid w:val="00B90E8C"/>
    <w:rsid w:val="00B91114"/>
    <w:rsid w:val="00B91E6A"/>
    <w:rsid w:val="00B926F6"/>
    <w:rsid w:val="00B92853"/>
    <w:rsid w:val="00B92D2E"/>
    <w:rsid w:val="00B94599"/>
    <w:rsid w:val="00B97451"/>
    <w:rsid w:val="00BA0025"/>
    <w:rsid w:val="00BA0035"/>
    <w:rsid w:val="00BA063A"/>
    <w:rsid w:val="00BA0691"/>
    <w:rsid w:val="00BA3E76"/>
    <w:rsid w:val="00BA4541"/>
    <w:rsid w:val="00BA7994"/>
    <w:rsid w:val="00BA7AD9"/>
    <w:rsid w:val="00BA7BDE"/>
    <w:rsid w:val="00BB0857"/>
    <w:rsid w:val="00BB0A70"/>
    <w:rsid w:val="00BB3736"/>
    <w:rsid w:val="00BB4173"/>
    <w:rsid w:val="00BB4203"/>
    <w:rsid w:val="00BB44BF"/>
    <w:rsid w:val="00BB4DC3"/>
    <w:rsid w:val="00BB68D5"/>
    <w:rsid w:val="00BC1604"/>
    <w:rsid w:val="00BC2385"/>
    <w:rsid w:val="00BC2510"/>
    <w:rsid w:val="00BC2FEB"/>
    <w:rsid w:val="00BC3856"/>
    <w:rsid w:val="00BC3EBA"/>
    <w:rsid w:val="00BC6E36"/>
    <w:rsid w:val="00BC6E72"/>
    <w:rsid w:val="00BC7A9C"/>
    <w:rsid w:val="00BD00B8"/>
    <w:rsid w:val="00BD0746"/>
    <w:rsid w:val="00BD10C5"/>
    <w:rsid w:val="00BD13BC"/>
    <w:rsid w:val="00BD2183"/>
    <w:rsid w:val="00BD2B3A"/>
    <w:rsid w:val="00BD2D15"/>
    <w:rsid w:val="00BD3763"/>
    <w:rsid w:val="00BD3B20"/>
    <w:rsid w:val="00BD5A85"/>
    <w:rsid w:val="00BD5D05"/>
    <w:rsid w:val="00BE231F"/>
    <w:rsid w:val="00BE3492"/>
    <w:rsid w:val="00BE6071"/>
    <w:rsid w:val="00BE64F1"/>
    <w:rsid w:val="00BE6793"/>
    <w:rsid w:val="00BE6C89"/>
    <w:rsid w:val="00BE7544"/>
    <w:rsid w:val="00BE7936"/>
    <w:rsid w:val="00BF135F"/>
    <w:rsid w:val="00BF2E2E"/>
    <w:rsid w:val="00BF3011"/>
    <w:rsid w:val="00BF3B6C"/>
    <w:rsid w:val="00BF575E"/>
    <w:rsid w:val="00BF5CA9"/>
    <w:rsid w:val="00BF6978"/>
    <w:rsid w:val="00BF6AA9"/>
    <w:rsid w:val="00BF79C9"/>
    <w:rsid w:val="00C0287B"/>
    <w:rsid w:val="00C03353"/>
    <w:rsid w:val="00C03843"/>
    <w:rsid w:val="00C04B88"/>
    <w:rsid w:val="00C05710"/>
    <w:rsid w:val="00C1323E"/>
    <w:rsid w:val="00C1428C"/>
    <w:rsid w:val="00C153F3"/>
    <w:rsid w:val="00C15E16"/>
    <w:rsid w:val="00C16A53"/>
    <w:rsid w:val="00C178A7"/>
    <w:rsid w:val="00C214FA"/>
    <w:rsid w:val="00C2162B"/>
    <w:rsid w:val="00C2171B"/>
    <w:rsid w:val="00C25BC7"/>
    <w:rsid w:val="00C268CE"/>
    <w:rsid w:val="00C26D59"/>
    <w:rsid w:val="00C279D7"/>
    <w:rsid w:val="00C27D9E"/>
    <w:rsid w:val="00C27DBE"/>
    <w:rsid w:val="00C301D3"/>
    <w:rsid w:val="00C3085A"/>
    <w:rsid w:val="00C31C79"/>
    <w:rsid w:val="00C327C8"/>
    <w:rsid w:val="00C33B0B"/>
    <w:rsid w:val="00C348F5"/>
    <w:rsid w:val="00C363C5"/>
    <w:rsid w:val="00C37FA6"/>
    <w:rsid w:val="00C426D3"/>
    <w:rsid w:val="00C43792"/>
    <w:rsid w:val="00C44976"/>
    <w:rsid w:val="00C453B6"/>
    <w:rsid w:val="00C4650D"/>
    <w:rsid w:val="00C46924"/>
    <w:rsid w:val="00C510FD"/>
    <w:rsid w:val="00C511B0"/>
    <w:rsid w:val="00C52219"/>
    <w:rsid w:val="00C52528"/>
    <w:rsid w:val="00C52E07"/>
    <w:rsid w:val="00C534F7"/>
    <w:rsid w:val="00C534FB"/>
    <w:rsid w:val="00C54041"/>
    <w:rsid w:val="00C602E0"/>
    <w:rsid w:val="00C63105"/>
    <w:rsid w:val="00C6568A"/>
    <w:rsid w:val="00C6664C"/>
    <w:rsid w:val="00C66BA4"/>
    <w:rsid w:val="00C679BD"/>
    <w:rsid w:val="00C709CF"/>
    <w:rsid w:val="00C725FE"/>
    <w:rsid w:val="00C727CE"/>
    <w:rsid w:val="00C7314D"/>
    <w:rsid w:val="00C73ECF"/>
    <w:rsid w:val="00C74489"/>
    <w:rsid w:val="00C74FCA"/>
    <w:rsid w:val="00C7545B"/>
    <w:rsid w:val="00C7665A"/>
    <w:rsid w:val="00C77026"/>
    <w:rsid w:val="00C779F5"/>
    <w:rsid w:val="00C80BAE"/>
    <w:rsid w:val="00C8493D"/>
    <w:rsid w:val="00C861CB"/>
    <w:rsid w:val="00C86A4E"/>
    <w:rsid w:val="00C87C7B"/>
    <w:rsid w:val="00C9034B"/>
    <w:rsid w:val="00C9080B"/>
    <w:rsid w:val="00C91948"/>
    <w:rsid w:val="00C94460"/>
    <w:rsid w:val="00C9587F"/>
    <w:rsid w:val="00C97578"/>
    <w:rsid w:val="00CA084D"/>
    <w:rsid w:val="00CA43D3"/>
    <w:rsid w:val="00CA5E16"/>
    <w:rsid w:val="00CA7496"/>
    <w:rsid w:val="00CA78A2"/>
    <w:rsid w:val="00CA7AAD"/>
    <w:rsid w:val="00CA7BC6"/>
    <w:rsid w:val="00CB0198"/>
    <w:rsid w:val="00CB186D"/>
    <w:rsid w:val="00CB4F08"/>
    <w:rsid w:val="00CB537D"/>
    <w:rsid w:val="00CB5E09"/>
    <w:rsid w:val="00CC1FEF"/>
    <w:rsid w:val="00CC353E"/>
    <w:rsid w:val="00CC4F8F"/>
    <w:rsid w:val="00CC64AA"/>
    <w:rsid w:val="00CC76DE"/>
    <w:rsid w:val="00CD14DE"/>
    <w:rsid w:val="00CD14E2"/>
    <w:rsid w:val="00CD1A17"/>
    <w:rsid w:val="00CD2037"/>
    <w:rsid w:val="00CD2904"/>
    <w:rsid w:val="00CD3748"/>
    <w:rsid w:val="00CD3FA2"/>
    <w:rsid w:val="00CD47EC"/>
    <w:rsid w:val="00CD4966"/>
    <w:rsid w:val="00CD4ED2"/>
    <w:rsid w:val="00CD50EA"/>
    <w:rsid w:val="00CE1029"/>
    <w:rsid w:val="00CE1B2D"/>
    <w:rsid w:val="00CE3AE4"/>
    <w:rsid w:val="00CE3CB2"/>
    <w:rsid w:val="00CE4264"/>
    <w:rsid w:val="00CE45B1"/>
    <w:rsid w:val="00CE487D"/>
    <w:rsid w:val="00CE5971"/>
    <w:rsid w:val="00CE7617"/>
    <w:rsid w:val="00CE7E42"/>
    <w:rsid w:val="00CF01DE"/>
    <w:rsid w:val="00CF028E"/>
    <w:rsid w:val="00CF0771"/>
    <w:rsid w:val="00CF09DC"/>
    <w:rsid w:val="00CF3C44"/>
    <w:rsid w:val="00CF3CEF"/>
    <w:rsid w:val="00CF4AB3"/>
    <w:rsid w:val="00CF539B"/>
    <w:rsid w:val="00CF6FD2"/>
    <w:rsid w:val="00CF7818"/>
    <w:rsid w:val="00D00E2B"/>
    <w:rsid w:val="00D020C5"/>
    <w:rsid w:val="00D02A8C"/>
    <w:rsid w:val="00D02D19"/>
    <w:rsid w:val="00D0331B"/>
    <w:rsid w:val="00D04994"/>
    <w:rsid w:val="00D04D3E"/>
    <w:rsid w:val="00D05950"/>
    <w:rsid w:val="00D06414"/>
    <w:rsid w:val="00D067C7"/>
    <w:rsid w:val="00D07F1A"/>
    <w:rsid w:val="00D10E8E"/>
    <w:rsid w:val="00D11197"/>
    <w:rsid w:val="00D14A20"/>
    <w:rsid w:val="00D1540D"/>
    <w:rsid w:val="00D16563"/>
    <w:rsid w:val="00D16B13"/>
    <w:rsid w:val="00D16C4E"/>
    <w:rsid w:val="00D20DE0"/>
    <w:rsid w:val="00D2111E"/>
    <w:rsid w:val="00D225B9"/>
    <w:rsid w:val="00D22B45"/>
    <w:rsid w:val="00D24263"/>
    <w:rsid w:val="00D25481"/>
    <w:rsid w:val="00D25509"/>
    <w:rsid w:val="00D2553F"/>
    <w:rsid w:val="00D258EC"/>
    <w:rsid w:val="00D25A3F"/>
    <w:rsid w:val="00D267A1"/>
    <w:rsid w:val="00D273EA"/>
    <w:rsid w:val="00D300FC"/>
    <w:rsid w:val="00D30515"/>
    <w:rsid w:val="00D30BF8"/>
    <w:rsid w:val="00D31426"/>
    <w:rsid w:val="00D31D50"/>
    <w:rsid w:val="00D31EAD"/>
    <w:rsid w:val="00D32128"/>
    <w:rsid w:val="00D333D7"/>
    <w:rsid w:val="00D35D47"/>
    <w:rsid w:val="00D36024"/>
    <w:rsid w:val="00D36F4F"/>
    <w:rsid w:val="00D4014D"/>
    <w:rsid w:val="00D41982"/>
    <w:rsid w:val="00D4217D"/>
    <w:rsid w:val="00D423A8"/>
    <w:rsid w:val="00D42859"/>
    <w:rsid w:val="00D43DEF"/>
    <w:rsid w:val="00D45A6A"/>
    <w:rsid w:val="00D461AA"/>
    <w:rsid w:val="00D47204"/>
    <w:rsid w:val="00D50992"/>
    <w:rsid w:val="00D51515"/>
    <w:rsid w:val="00D51A67"/>
    <w:rsid w:val="00D52D9F"/>
    <w:rsid w:val="00D5310A"/>
    <w:rsid w:val="00D551D4"/>
    <w:rsid w:val="00D55B4B"/>
    <w:rsid w:val="00D5671B"/>
    <w:rsid w:val="00D573B1"/>
    <w:rsid w:val="00D60366"/>
    <w:rsid w:val="00D60E5D"/>
    <w:rsid w:val="00D62829"/>
    <w:rsid w:val="00D62E23"/>
    <w:rsid w:val="00D6343E"/>
    <w:rsid w:val="00D644F4"/>
    <w:rsid w:val="00D649CB"/>
    <w:rsid w:val="00D65404"/>
    <w:rsid w:val="00D666AB"/>
    <w:rsid w:val="00D66C2E"/>
    <w:rsid w:val="00D66CF5"/>
    <w:rsid w:val="00D70C42"/>
    <w:rsid w:val="00D7199D"/>
    <w:rsid w:val="00D726FB"/>
    <w:rsid w:val="00D74BCC"/>
    <w:rsid w:val="00D74D28"/>
    <w:rsid w:val="00D77E62"/>
    <w:rsid w:val="00D8077D"/>
    <w:rsid w:val="00D8078F"/>
    <w:rsid w:val="00D8285C"/>
    <w:rsid w:val="00D82C58"/>
    <w:rsid w:val="00D834DE"/>
    <w:rsid w:val="00D83D9F"/>
    <w:rsid w:val="00D841B9"/>
    <w:rsid w:val="00D85B71"/>
    <w:rsid w:val="00D85C67"/>
    <w:rsid w:val="00D87346"/>
    <w:rsid w:val="00D901BE"/>
    <w:rsid w:val="00D90441"/>
    <w:rsid w:val="00D90EB5"/>
    <w:rsid w:val="00D924E5"/>
    <w:rsid w:val="00D92C95"/>
    <w:rsid w:val="00D9397A"/>
    <w:rsid w:val="00D93BD6"/>
    <w:rsid w:val="00D93ECD"/>
    <w:rsid w:val="00D95BE4"/>
    <w:rsid w:val="00D95FB9"/>
    <w:rsid w:val="00D97970"/>
    <w:rsid w:val="00DA21C9"/>
    <w:rsid w:val="00DA631B"/>
    <w:rsid w:val="00DA6D7E"/>
    <w:rsid w:val="00DA7E11"/>
    <w:rsid w:val="00DB0EA5"/>
    <w:rsid w:val="00DB12F8"/>
    <w:rsid w:val="00DB14D7"/>
    <w:rsid w:val="00DB1F61"/>
    <w:rsid w:val="00DB3F41"/>
    <w:rsid w:val="00DB5CC7"/>
    <w:rsid w:val="00DB6394"/>
    <w:rsid w:val="00DC05F7"/>
    <w:rsid w:val="00DC145F"/>
    <w:rsid w:val="00DC22FD"/>
    <w:rsid w:val="00DC2A65"/>
    <w:rsid w:val="00DC2B4E"/>
    <w:rsid w:val="00DC2EB4"/>
    <w:rsid w:val="00DC4767"/>
    <w:rsid w:val="00DC5EC7"/>
    <w:rsid w:val="00DC6AAB"/>
    <w:rsid w:val="00DC7821"/>
    <w:rsid w:val="00DC7B83"/>
    <w:rsid w:val="00DD0E19"/>
    <w:rsid w:val="00DD20EF"/>
    <w:rsid w:val="00DD23F4"/>
    <w:rsid w:val="00DD3613"/>
    <w:rsid w:val="00DD3A4A"/>
    <w:rsid w:val="00DD3B74"/>
    <w:rsid w:val="00DD49C5"/>
    <w:rsid w:val="00DD6760"/>
    <w:rsid w:val="00DD6CAC"/>
    <w:rsid w:val="00DE0581"/>
    <w:rsid w:val="00DE0DAB"/>
    <w:rsid w:val="00DE0E47"/>
    <w:rsid w:val="00DE11E7"/>
    <w:rsid w:val="00DE4794"/>
    <w:rsid w:val="00DE4934"/>
    <w:rsid w:val="00DE4A42"/>
    <w:rsid w:val="00DE4F91"/>
    <w:rsid w:val="00DE5D72"/>
    <w:rsid w:val="00DE6ABC"/>
    <w:rsid w:val="00DE6C28"/>
    <w:rsid w:val="00DE7010"/>
    <w:rsid w:val="00DF0492"/>
    <w:rsid w:val="00DF08D9"/>
    <w:rsid w:val="00DF2BEB"/>
    <w:rsid w:val="00DF3269"/>
    <w:rsid w:val="00DF3BCB"/>
    <w:rsid w:val="00DF3DC2"/>
    <w:rsid w:val="00DF667F"/>
    <w:rsid w:val="00DF7407"/>
    <w:rsid w:val="00E008B9"/>
    <w:rsid w:val="00E01203"/>
    <w:rsid w:val="00E050A5"/>
    <w:rsid w:val="00E06361"/>
    <w:rsid w:val="00E07369"/>
    <w:rsid w:val="00E13300"/>
    <w:rsid w:val="00E13A29"/>
    <w:rsid w:val="00E147E7"/>
    <w:rsid w:val="00E15478"/>
    <w:rsid w:val="00E166E6"/>
    <w:rsid w:val="00E17D48"/>
    <w:rsid w:val="00E20347"/>
    <w:rsid w:val="00E20385"/>
    <w:rsid w:val="00E20A68"/>
    <w:rsid w:val="00E21029"/>
    <w:rsid w:val="00E21DBB"/>
    <w:rsid w:val="00E22F43"/>
    <w:rsid w:val="00E2378B"/>
    <w:rsid w:val="00E23D74"/>
    <w:rsid w:val="00E253CD"/>
    <w:rsid w:val="00E26B0D"/>
    <w:rsid w:val="00E270B1"/>
    <w:rsid w:val="00E27218"/>
    <w:rsid w:val="00E301D4"/>
    <w:rsid w:val="00E30390"/>
    <w:rsid w:val="00E30605"/>
    <w:rsid w:val="00E312E9"/>
    <w:rsid w:val="00E338DF"/>
    <w:rsid w:val="00E406B6"/>
    <w:rsid w:val="00E45AF0"/>
    <w:rsid w:val="00E461CB"/>
    <w:rsid w:val="00E461F3"/>
    <w:rsid w:val="00E5027E"/>
    <w:rsid w:val="00E508A0"/>
    <w:rsid w:val="00E50E39"/>
    <w:rsid w:val="00E52B22"/>
    <w:rsid w:val="00E53634"/>
    <w:rsid w:val="00E53EC2"/>
    <w:rsid w:val="00E54201"/>
    <w:rsid w:val="00E54DDF"/>
    <w:rsid w:val="00E55010"/>
    <w:rsid w:val="00E572D2"/>
    <w:rsid w:val="00E6126C"/>
    <w:rsid w:val="00E614B7"/>
    <w:rsid w:val="00E615A8"/>
    <w:rsid w:val="00E624A2"/>
    <w:rsid w:val="00E628E1"/>
    <w:rsid w:val="00E62B44"/>
    <w:rsid w:val="00E62F69"/>
    <w:rsid w:val="00E66574"/>
    <w:rsid w:val="00E66A21"/>
    <w:rsid w:val="00E70C46"/>
    <w:rsid w:val="00E71E5F"/>
    <w:rsid w:val="00E72082"/>
    <w:rsid w:val="00E7415A"/>
    <w:rsid w:val="00E764FA"/>
    <w:rsid w:val="00E7723A"/>
    <w:rsid w:val="00E77D24"/>
    <w:rsid w:val="00E77E00"/>
    <w:rsid w:val="00E80399"/>
    <w:rsid w:val="00E81362"/>
    <w:rsid w:val="00E827D3"/>
    <w:rsid w:val="00E84DEB"/>
    <w:rsid w:val="00E85B2D"/>
    <w:rsid w:val="00E878B5"/>
    <w:rsid w:val="00E90477"/>
    <w:rsid w:val="00E90CB2"/>
    <w:rsid w:val="00E917F7"/>
    <w:rsid w:val="00E919D8"/>
    <w:rsid w:val="00E91FF5"/>
    <w:rsid w:val="00E94863"/>
    <w:rsid w:val="00E9507F"/>
    <w:rsid w:val="00E95389"/>
    <w:rsid w:val="00E95C6B"/>
    <w:rsid w:val="00EA0160"/>
    <w:rsid w:val="00EA058C"/>
    <w:rsid w:val="00EA088C"/>
    <w:rsid w:val="00EA54BC"/>
    <w:rsid w:val="00EA6F73"/>
    <w:rsid w:val="00EA70A2"/>
    <w:rsid w:val="00EB2A76"/>
    <w:rsid w:val="00EB3450"/>
    <w:rsid w:val="00EB603D"/>
    <w:rsid w:val="00EB7415"/>
    <w:rsid w:val="00EB7982"/>
    <w:rsid w:val="00EB7DF5"/>
    <w:rsid w:val="00EC07AA"/>
    <w:rsid w:val="00EC1B76"/>
    <w:rsid w:val="00EC1B99"/>
    <w:rsid w:val="00EC2139"/>
    <w:rsid w:val="00EC2B8F"/>
    <w:rsid w:val="00EC4066"/>
    <w:rsid w:val="00EC46F5"/>
    <w:rsid w:val="00EC4E67"/>
    <w:rsid w:val="00EC58E8"/>
    <w:rsid w:val="00EC601C"/>
    <w:rsid w:val="00EC6BD5"/>
    <w:rsid w:val="00EC7C06"/>
    <w:rsid w:val="00ED083A"/>
    <w:rsid w:val="00ED1F2A"/>
    <w:rsid w:val="00ED239A"/>
    <w:rsid w:val="00ED2D10"/>
    <w:rsid w:val="00ED310E"/>
    <w:rsid w:val="00ED4338"/>
    <w:rsid w:val="00ED7304"/>
    <w:rsid w:val="00EE0270"/>
    <w:rsid w:val="00EE0BA8"/>
    <w:rsid w:val="00EE10AF"/>
    <w:rsid w:val="00EE35B3"/>
    <w:rsid w:val="00EE3D1E"/>
    <w:rsid w:val="00EE4260"/>
    <w:rsid w:val="00EE4988"/>
    <w:rsid w:val="00EE6956"/>
    <w:rsid w:val="00EE705C"/>
    <w:rsid w:val="00EE715C"/>
    <w:rsid w:val="00EE73AF"/>
    <w:rsid w:val="00EF15A8"/>
    <w:rsid w:val="00EF1D8D"/>
    <w:rsid w:val="00EF2D9C"/>
    <w:rsid w:val="00EF3B1F"/>
    <w:rsid w:val="00EF3BA1"/>
    <w:rsid w:val="00EF7CCF"/>
    <w:rsid w:val="00F00B1C"/>
    <w:rsid w:val="00F030D1"/>
    <w:rsid w:val="00F03C72"/>
    <w:rsid w:val="00F07E71"/>
    <w:rsid w:val="00F07F40"/>
    <w:rsid w:val="00F10145"/>
    <w:rsid w:val="00F106D0"/>
    <w:rsid w:val="00F11207"/>
    <w:rsid w:val="00F1244C"/>
    <w:rsid w:val="00F13428"/>
    <w:rsid w:val="00F15966"/>
    <w:rsid w:val="00F16D26"/>
    <w:rsid w:val="00F16E75"/>
    <w:rsid w:val="00F1716E"/>
    <w:rsid w:val="00F20D7E"/>
    <w:rsid w:val="00F20DF4"/>
    <w:rsid w:val="00F210DC"/>
    <w:rsid w:val="00F21CDF"/>
    <w:rsid w:val="00F227DD"/>
    <w:rsid w:val="00F22CBB"/>
    <w:rsid w:val="00F2307E"/>
    <w:rsid w:val="00F235AF"/>
    <w:rsid w:val="00F2453E"/>
    <w:rsid w:val="00F24968"/>
    <w:rsid w:val="00F263BF"/>
    <w:rsid w:val="00F27817"/>
    <w:rsid w:val="00F304E3"/>
    <w:rsid w:val="00F31F33"/>
    <w:rsid w:val="00F32B4B"/>
    <w:rsid w:val="00F345E8"/>
    <w:rsid w:val="00F34646"/>
    <w:rsid w:val="00F347E2"/>
    <w:rsid w:val="00F35227"/>
    <w:rsid w:val="00F378E4"/>
    <w:rsid w:val="00F37CBD"/>
    <w:rsid w:val="00F4011F"/>
    <w:rsid w:val="00F41BAA"/>
    <w:rsid w:val="00F41F9E"/>
    <w:rsid w:val="00F505A0"/>
    <w:rsid w:val="00F509F1"/>
    <w:rsid w:val="00F51048"/>
    <w:rsid w:val="00F54140"/>
    <w:rsid w:val="00F56399"/>
    <w:rsid w:val="00F62713"/>
    <w:rsid w:val="00F62764"/>
    <w:rsid w:val="00F62BE8"/>
    <w:rsid w:val="00F62CCE"/>
    <w:rsid w:val="00F634DA"/>
    <w:rsid w:val="00F63CF6"/>
    <w:rsid w:val="00F669AD"/>
    <w:rsid w:val="00F710DF"/>
    <w:rsid w:val="00F724D0"/>
    <w:rsid w:val="00F733EB"/>
    <w:rsid w:val="00F735D1"/>
    <w:rsid w:val="00F74564"/>
    <w:rsid w:val="00F752F0"/>
    <w:rsid w:val="00F757EE"/>
    <w:rsid w:val="00F75E57"/>
    <w:rsid w:val="00F762C1"/>
    <w:rsid w:val="00F77F6F"/>
    <w:rsid w:val="00F8058A"/>
    <w:rsid w:val="00F810C6"/>
    <w:rsid w:val="00F8121F"/>
    <w:rsid w:val="00F84540"/>
    <w:rsid w:val="00F849F8"/>
    <w:rsid w:val="00F84EE7"/>
    <w:rsid w:val="00F85479"/>
    <w:rsid w:val="00F86710"/>
    <w:rsid w:val="00F86F0A"/>
    <w:rsid w:val="00F87BE2"/>
    <w:rsid w:val="00F87C43"/>
    <w:rsid w:val="00F9020D"/>
    <w:rsid w:val="00F91911"/>
    <w:rsid w:val="00F92B93"/>
    <w:rsid w:val="00F92CD5"/>
    <w:rsid w:val="00F941AE"/>
    <w:rsid w:val="00F94726"/>
    <w:rsid w:val="00F95984"/>
    <w:rsid w:val="00F964E2"/>
    <w:rsid w:val="00F96C4C"/>
    <w:rsid w:val="00FA0B55"/>
    <w:rsid w:val="00FA1D00"/>
    <w:rsid w:val="00FA239D"/>
    <w:rsid w:val="00FA270A"/>
    <w:rsid w:val="00FA2841"/>
    <w:rsid w:val="00FA2CC7"/>
    <w:rsid w:val="00FA2DBA"/>
    <w:rsid w:val="00FA420C"/>
    <w:rsid w:val="00FA4758"/>
    <w:rsid w:val="00FA4B90"/>
    <w:rsid w:val="00FA5350"/>
    <w:rsid w:val="00FA6159"/>
    <w:rsid w:val="00FA768D"/>
    <w:rsid w:val="00FB0532"/>
    <w:rsid w:val="00FB1113"/>
    <w:rsid w:val="00FB2BC5"/>
    <w:rsid w:val="00FB3D72"/>
    <w:rsid w:val="00FB4443"/>
    <w:rsid w:val="00FB4DF1"/>
    <w:rsid w:val="00FB63A8"/>
    <w:rsid w:val="00FC0A94"/>
    <w:rsid w:val="00FC0D2A"/>
    <w:rsid w:val="00FC0F13"/>
    <w:rsid w:val="00FC1D76"/>
    <w:rsid w:val="00FC2639"/>
    <w:rsid w:val="00FC461C"/>
    <w:rsid w:val="00FC5ADC"/>
    <w:rsid w:val="00FC5F28"/>
    <w:rsid w:val="00FC67B2"/>
    <w:rsid w:val="00FC7448"/>
    <w:rsid w:val="00FC7F84"/>
    <w:rsid w:val="00FD038B"/>
    <w:rsid w:val="00FD06A0"/>
    <w:rsid w:val="00FD087D"/>
    <w:rsid w:val="00FD09D5"/>
    <w:rsid w:val="00FD13A2"/>
    <w:rsid w:val="00FD43F2"/>
    <w:rsid w:val="00FD55C1"/>
    <w:rsid w:val="00FD6595"/>
    <w:rsid w:val="00FE0A17"/>
    <w:rsid w:val="00FE2AD7"/>
    <w:rsid w:val="00FE31D3"/>
    <w:rsid w:val="00FE3B1F"/>
    <w:rsid w:val="00FE40BD"/>
    <w:rsid w:val="00FE63C9"/>
    <w:rsid w:val="00FE6E48"/>
    <w:rsid w:val="00FE7030"/>
    <w:rsid w:val="00FE726C"/>
    <w:rsid w:val="00FE77D3"/>
    <w:rsid w:val="00FF0C0E"/>
    <w:rsid w:val="00FF2754"/>
    <w:rsid w:val="00FF27AC"/>
    <w:rsid w:val="00FF38FA"/>
    <w:rsid w:val="00FF44F4"/>
    <w:rsid w:val="00FF588C"/>
    <w:rsid w:val="00FF592C"/>
    <w:rsid w:val="00FF5E8B"/>
    <w:rsid w:val="00FF7422"/>
    <w:rsid w:val="00FF7C2F"/>
    <w:rsid w:val="0102767B"/>
    <w:rsid w:val="01036992"/>
    <w:rsid w:val="010A3DC7"/>
    <w:rsid w:val="010F7FF3"/>
    <w:rsid w:val="011C6E32"/>
    <w:rsid w:val="012C342C"/>
    <w:rsid w:val="0131442B"/>
    <w:rsid w:val="014411B5"/>
    <w:rsid w:val="014A2DD9"/>
    <w:rsid w:val="014D28C9"/>
    <w:rsid w:val="0157207F"/>
    <w:rsid w:val="018352EB"/>
    <w:rsid w:val="018C33F1"/>
    <w:rsid w:val="018C519F"/>
    <w:rsid w:val="01944054"/>
    <w:rsid w:val="019A61D9"/>
    <w:rsid w:val="01A23AC6"/>
    <w:rsid w:val="01A7022B"/>
    <w:rsid w:val="01AF179F"/>
    <w:rsid w:val="01B3097E"/>
    <w:rsid w:val="01B41D4E"/>
    <w:rsid w:val="01BD702C"/>
    <w:rsid w:val="01C04E49"/>
    <w:rsid w:val="01D152A8"/>
    <w:rsid w:val="01EF3980"/>
    <w:rsid w:val="01F01BD2"/>
    <w:rsid w:val="02023FEE"/>
    <w:rsid w:val="020411DA"/>
    <w:rsid w:val="020E364B"/>
    <w:rsid w:val="0213766F"/>
    <w:rsid w:val="02145195"/>
    <w:rsid w:val="021F367C"/>
    <w:rsid w:val="023A183B"/>
    <w:rsid w:val="02443CCC"/>
    <w:rsid w:val="02557590"/>
    <w:rsid w:val="025B6B00"/>
    <w:rsid w:val="029248F1"/>
    <w:rsid w:val="02B17E86"/>
    <w:rsid w:val="02BA528A"/>
    <w:rsid w:val="02E06D4D"/>
    <w:rsid w:val="02F44E10"/>
    <w:rsid w:val="02FA0CA3"/>
    <w:rsid w:val="02FA63BF"/>
    <w:rsid w:val="03124594"/>
    <w:rsid w:val="032064E7"/>
    <w:rsid w:val="0322159A"/>
    <w:rsid w:val="033755DF"/>
    <w:rsid w:val="034749DB"/>
    <w:rsid w:val="03525F75"/>
    <w:rsid w:val="03547F3F"/>
    <w:rsid w:val="035E50C1"/>
    <w:rsid w:val="0361265C"/>
    <w:rsid w:val="0361643E"/>
    <w:rsid w:val="038D3451"/>
    <w:rsid w:val="03912F41"/>
    <w:rsid w:val="03990047"/>
    <w:rsid w:val="039C6D93"/>
    <w:rsid w:val="03AC181E"/>
    <w:rsid w:val="03B86DBA"/>
    <w:rsid w:val="03C52BEB"/>
    <w:rsid w:val="03CC77E8"/>
    <w:rsid w:val="03F76F7E"/>
    <w:rsid w:val="03FB485E"/>
    <w:rsid w:val="03FE4DF0"/>
    <w:rsid w:val="03FE7EAB"/>
    <w:rsid w:val="040D6EAF"/>
    <w:rsid w:val="040E4592"/>
    <w:rsid w:val="0415532F"/>
    <w:rsid w:val="04194CE4"/>
    <w:rsid w:val="045B70AB"/>
    <w:rsid w:val="04891E6A"/>
    <w:rsid w:val="048D2738"/>
    <w:rsid w:val="048F18DC"/>
    <w:rsid w:val="048F3877"/>
    <w:rsid w:val="049A1F16"/>
    <w:rsid w:val="049B027C"/>
    <w:rsid w:val="049C1B9D"/>
    <w:rsid w:val="04C904B8"/>
    <w:rsid w:val="04CD7FA9"/>
    <w:rsid w:val="04CE75FF"/>
    <w:rsid w:val="04D70E27"/>
    <w:rsid w:val="04D9035A"/>
    <w:rsid w:val="050D2A9B"/>
    <w:rsid w:val="050D6A1D"/>
    <w:rsid w:val="05107ED8"/>
    <w:rsid w:val="051931EE"/>
    <w:rsid w:val="052120A3"/>
    <w:rsid w:val="05556356"/>
    <w:rsid w:val="055E45C2"/>
    <w:rsid w:val="05662AFC"/>
    <w:rsid w:val="05677C11"/>
    <w:rsid w:val="05714E06"/>
    <w:rsid w:val="058014BF"/>
    <w:rsid w:val="059960DD"/>
    <w:rsid w:val="05BE5B43"/>
    <w:rsid w:val="05C21C05"/>
    <w:rsid w:val="05C84C14"/>
    <w:rsid w:val="05CE1D75"/>
    <w:rsid w:val="05D02834"/>
    <w:rsid w:val="05D84E57"/>
    <w:rsid w:val="05D87FF7"/>
    <w:rsid w:val="05DB04A3"/>
    <w:rsid w:val="05F54548"/>
    <w:rsid w:val="06012CA2"/>
    <w:rsid w:val="061B4D44"/>
    <w:rsid w:val="061F2A86"/>
    <w:rsid w:val="0639341C"/>
    <w:rsid w:val="065842E5"/>
    <w:rsid w:val="065B15E4"/>
    <w:rsid w:val="065D35AE"/>
    <w:rsid w:val="068C5C42"/>
    <w:rsid w:val="069845E6"/>
    <w:rsid w:val="06A5417C"/>
    <w:rsid w:val="06AD136D"/>
    <w:rsid w:val="06B86A37"/>
    <w:rsid w:val="06BF357F"/>
    <w:rsid w:val="06D60267"/>
    <w:rsid w:val="06E64EF0"/>
    <w:rsid w:val="06E81F0A"/>
    <w:rsid w:val="06EC0A77"/>
    <w:rsid w:val="06ED4932"/>
    <w:rsid w:val="06F7755F"/>
    <w:rsid w:val="070103DE"/>
    <w:rsid w:val="072440CC"/>
    <w:rsid w:val="07267E44"/>
    <w:rsid w:val="0729031D"/>
    <w:rsid w:val="072E4624"/>
    <w:rsid w:val="073159B3"/>
    <w:rsid w:val="073A569E"/>
    <w:rsid w:val="073C7668"/>
    <w:rsid w:val="075F5F6F"/>
    <w:rsid w:val="077566D6"/>
    <w:rsid w:val="07852DBD"/>
    <w:rsid w:val="07860B13"/>
    <w:rsid w:val="07941252"/>
    <w:rsid w:val="0798353A"/>
    <w:rsid w:val="079C5DDB"/>
    <w:rsid w:val="07AC659B"/>
    <w:rsid w:val="07AD5E6F"/>
    <w:rsid w:val="07AE0585"/>
    <w:rsid w:val="07BC4304"/>
    <w:rsid w:val="07EE76FC"/>
    <w:rsid w:val="080D19C3"/>
    <w:rsid w:val="081B4DF1"/>
    <w:rsid w:val="081C0CE2"/>
    <w:rsid w:val="082500FC"/>
    <w:rsid w:val="08253C58"/>
    <w:rsid w:val="082E7F45"/>
    <w:rsid w:val="084B7261"/>
    <w:rsid w:val="086A1FB2"/>
    <w:rsid w:val="086C431D"/>
    <w:rsid w:val="087846CF"/>
    <w:rsid w:val="087D7F38"/>
    <w:rsid w:val="088E75E5"/>
    <w:rsid w:val="08AC6F2B"/>
    <w:rsid w:val="08C82760"/>
    <w:rsid w:val="08D15B8E"/>
    <w:rsid w:val="08D44286"/>
    <w:rsid w:val="08D6096C"/>
    <w:rsid w:val="08E458C1"/>
    <w:rsid w:val="08E57FA5"/>
    <w:rsid w:val="08EC0C19"/>
    <w:rsid w:val="08ED1239"/>
    <w:rsid w:val="08FB745A"/>
    <w:rsid w:val="0911242E"/>
    <w:rsid w:val="09116536"/>
    <w:rsid w:val="094F37E4"/>
    <w:rsid w:val="09691F89"/>
    <w:rsid w:val="09931095"/>
    <w:rsid w:val="09A73616"/>
    <w:rsid w:val="09BA374B"/>
    <w:rsid w:val="09F00295"/>
    <w:rsid w:val="0A09283D"/>
    <w:rsid w:val="0A122902"/>
    <w:rsid w:val="0A2059F7"/>
    <w:rsid w:val="0A283ED3"/>
    <w:rsid w:val="0A2A4351"/>
    <w:rsid w:val="0A2C3E4D"/>
    <w:rsid w:val="0A39280F"/>
    <w:rsid w:val="0A456833"/>
    <w:rsid w:val="0A6441E0"/>
    <w:rsid w:val="0A7464E2"/>
    <w:rsid w:val="0AA4701E"/>
    <w:rsid w:val="0AAC68B2"/>
    <w:rsid w:val="0AB13EC9"/>
    <w:rsid w:val="0AB35FA2"/>
    <w:rsid w:val="0AC473B6"/>
    <w:rsid w:val="0AC97307"/>
    <w:rsid w:val="0AE766CC"/>
    <w:rsid w:val="0B0E131B"/>
    <w:rsid w:val="0B233FD5"/>
    <w:rsid w:val="0B3017CD"/>
    <w:rsid w:val="0B5605CC"/>
    <w:rsid w:val="0B5A4560"/>
    <w:rsid w:val="0B6030D9"/>
    <w:rsid w:val="0B7C263D"/>
    <w:rsid w:val="0B800051"/>
    <w:rsid w:val="0B9E444D"/>
    <w:rsid w:val="0BA44907"/>
    <w:rsid w:val="0BC32105"/>
    <w:rsid w:val="0BC93BA4"/>
    <w:rsid w:val="0BCE4606"/>
    <w:rsid w:val="0BD47E6F"/>
    <w:rsid w:val="0C0624E1"/>
    <w:rsid w:val="0C0C48C7"/>
    <w:rsid w:val="0C184491"/>
    <w:rsid w:val="0C360B29"/>
    <w:rsid w:val="0C456227"/>
    <w:rsid w:val="0C5509A8"/>
    <w:rsid w:val="0C6311F3"/>
    <w:rsid w:val="0C803BC6"/>
    <w:rsid w:val="0C863D4E"/>
    <w:rsid w:val="0C9870EE"/>
    <w:rsid w:val="0C99761E"/>
    <w:rsid w:val="0CA73CCE"/>
    <w:rsid w:val="0CAC2B9A"/>
    <w:rsid w:val="0CAD55C8"/>
    <w:rsid w:val="0CB76BA4"/>
    <w:rsid w:val="0CBD7FD9"/>
    <w:rsid w:val="0CC11499"/>
    <w:rsid w:val="0CC913A6"/>
    <w:rsid w:val="0CC9374C"/>
    <w:rsid w:val="0CD00653"/>
    <w:rsid w:val="0CE2650E"/>
    <w:rsid w:val="0CEC22AC"/>
    <w:rsid w:val="0CF14A50"/>
    <w:rsid w:val="0D073A66"/>
    <w:rsid w:val="0D091D9A"/>
    <w:rsid w:val="0D224644"/>
    <w:rsid w:val="0D35644A"/>
    <w:rsid w:val="0D3B1950"/>
    <w:rsid w:val="0D4F1B63"/>
    <w:rsid w:val="0D511274"/>
    <w:rsid w:val="0D556D8D"/>
    <w:rsid w:val="0D783B40"/>
    <w:rsid w:val="0D821B4C"/>
    <w:rsid w:val="0D892EDB"/>
    <w:rsid w:val="0DA132FE"/>
    <w:rsid w:val="0DA2618E"/>
    <w:rsid w:val="0DA970D9"/>
    <w:rsid w:val="0DB937C0"/>
    <w:rsid w:val="0DB9751C"/>
    <w:rsid w:val="0DC61A39"/>
    <w:rsid w:val="0DE14AC5"/>
    <w:rsid w:val="0DE95B0D"/>
    <w:rsid w:val="0E0778FF"/>
    <w:rsid w:val="0E0F4FC4"/>
    <w:rsid w:val="0E2F5D53"/>
    <w:rsid w:val="0E39220B"/>
    <w:rsid w:val="0E474E73"/>
    <w:rsid w:val="0E4868F2"/>
    <w:rsid w:val="0E5E6115"/>
    <w:rsid w:val="0E6E735E"/>
    <w:rsid w:val="0E6F0323"/>
    <w:rsid w:val="0E7845C3"/>
    <w:rsid w:val="0EB83A78"/>
    <w:rsid w:val="0EC56195"/>
    <w:rsid w:val="0EE27DD0"/>
    <w:rsid w:val="0EE357B8"/>
    <w:rsid w:val="0EFE3455"/>
    <w:rsid w:val="0F051991"/>
    <w:rsid w:val="0F0D3BD8"/>
    <w:rsid w:val="0F1E6488"/>
    <w:rsid w:val="0F205179"/>
    <w:rsid w:val="0F234C69"/>
    <w:rsid w:val="0F274468"/>
    <w:rsid w:val="0F2C7FC2"/>
    <w:rsid w:val="0F3330FE"/>
    <w:rsid w:val="0F3C168E"/>
    <w:rsid w:val="0F3D21CF"/>
    <w:rsid w:val="0F3D3FA1"/>
    <w:rsid w:val="0F4470B9"/>
    <w:rsid w:val="0F6E4136"/>
    <w:rsid w:val="0F847DFE"/>
    <w:rsid w:val="0F9437FB"/>
    <w:rsid w:val="0FB57FB7"/>
    <w:rsid w:val="0FC25C6E"/>
    <w:rsid w:val="0FC401FA"/>
    <w:rsid w:val="0FC825A6"/>
    <w:rsid w:val="0FC85F3C"/>
    <w:rsid w:val="0FD175A5"/>
    <w:rsid w:val="0FD40909"/>
    <w:rsid w:val="0FE410B2"/>
    <w:rsid w:val="0FEF1FD3"/>
    <w:rsid w:val="0FF7237E"/>
    <w:rsid w:val="10131CD8"/>
    <w:rsid w:val="101747CE"/>
    <w:rsid w:val="10233173"/>
    <w:rsid w:val="10437371"/>
    <w:rsid w:val="10594DE6"/>
    <w:rsid w:val="106F460A"/>
    <w:rsid w:val="10734C0B"/>
    <w:rsid w:val="108C0107"/>
    <w:rsid w:val="10977814"/>
    <w:rsid w:val="109D510D"/>
    <w:rsid w:val="10AD7440"/>
    <w:rsid w:val="10BE5617"/>
    <w:rsid w:val="10C009C2"/>
    <w:rsid w:val="10C34956"/>
    <w:rsid w:val="10CE29BB"/>
    <w:rsid w:val="10D93D28"/>
    <w:rsid w:val="10E02E12"/>
    <w:rsid w:val="10E56317"/>
    <w:rsid w:val="10FB6CAD"/>
    <w:rsid w:val="1109680C"/>
    <w:rsid w:val="110D6814"/>
    <w:rsid w:val="110F2CF1"/>
    <w:rsid w:val="111A6E6E"/>
    <w:rsid w:val="11304EB8"/>
    <w:rsid w:val="113B1891"/>
    <w:rsid w:val="11447845"/>
    <w:rsid w:val="114710E3"/>
    <w:rsid w:val="11472A3F"/>
    <w:rsid w:val="11500457"/>
    <w:rsid w:val="116E48C1"/>
    <w:rsid w:val="119105B0"/>
    <w:rsid w:val="119B7451"/>
    <w:rsid w:val="119C5FA1"/>
    <w:rsid w:val="11B30526"/>
    <w:rsid w:val="11B5531F"/>
    <w:rsid w:val="11B745B0"/>
    <w:rsid w:val="11BD5EA3"/>
    <w:rsid w:val="11C02347"/>
    <w:rsid w:val="11C113C0"/>
    <w:rsid w:val="11D230A2"/>
    <w:rsid w:val="11D52911"/>
    <w:rsid w:val="11DB6441"/>
    <w:rsid w:val="11E20E0C"/>
    <w:rsid w:val="11E51AAE"/>
    <w:rsid w:val="11ED1C8A"/>
    <w:rsid w:val="11F254F3"/>
    <w:rsid w:val="12067507"/>
    <w:rsid w:val="12071932"/>
    <w:rsid w:val="1212349F"/>
    <w:rsid w:val="12244F80"/>
    <w:rsid w:val="122A67EE"/>
    <w:rsid w:val="1246139A"/>
    <w:rsid w:val="12485112"/>
    <w:rsid w:val="124F3936"/>
    <w:rsid w:val="12550A02"/>
    <w:rsid w:val="125E1611"/>
    <w:rsid w:val="12665599"/>
    <w:rsid w:val="12751C80"/>
    <w:rsid w:val="12791770"/>
    <w:rsid w:val="12977E48"/>
    <w:rsid w:val="129A3494"/>
    <w:rsid w:val="12BD7D5C"/>
    <w:rsid w:val="12C66037"/>
    <w:rsid w:val="12C7072D"/>
    <w:rsid w:val="12CA58C6"/>
    <w:rsid w:val="12D314EA"/>
    <w:rsid w:val="12E76E9F"/>
    <w:rsid w:val="12E92CD3"/>
    <w:rsid w:val="13052DC4"/>
    <w:rsid w:val="13053004"/>
    <w:rsid w:val="130A061A"/>
    <w:rsid w:val="130B7EEE"/>
    <w:rsid w:val="131B2827"/>
    <w:rsid w:val="132711CC"/>
    <w:rsid w:val="132F28D0"/>
    <w:rsid w:val="133D279D"/>
    <w:rsid w:val="133F7F19"/>
    <w:rsid w:val="13427DB4"/>
    <w:rsid w:val="134E6EC7"/>
    <w:rsid w:val="135770AC"/>
    <w:rsid w:val="1360594A"/>
    <w:rsid w:val="13631AD8"/>
    <w:rsid w:val="137904FB"/>
    <w:rsid w:val="13AE4E4F"/>
    <w:rsid w:val="13D50C28"/>
    <w:rsid w:val="13D779B7"/>
    <w:rsid w:val="13E65B71"/>
    <w:rsid w:val="13E9022F"/>
    <w:rsid w:val="141D612B"/>
    <w:rsid w:val="14221993"/>
    <w:rsid w:val="142B6A9A"/>
    <w:rsid w:val="14383927"/>
    <w:rsid w:val="143C2A55"/>
    <w:rsid w:val="14432035"/>
    <w:rsid w:val="1445127B"/>
    <w:rsid w:val="145B10EE"/>
    <w:rsid w:val="145F2878"/>
    <w:rsid w:val="147D45F6"/>
    <w:rsid w:val="147F6DE6"/>
    <w:rsid w:val="14885C9A"/>
    <w:rsid w:val="149914B5"/>
    <w:rsid w:val="149C1746"/>
    <w:rsid w:val="14A8633C"/>
    <w:rsid w:val="14AE1EAA"/>
    <w:rsid w:val="14B56307"/>
    <w:rsid w:val="14C81A92"/>
    <w:rsid w:val="14C87B1E"/>
    <w:rsid w:val="14EA1A67"/>
    <w:rsid w:val="15086DDB"/>
    <w:rsid w:val="151439D2"/>
    <w:rsid w:val="151573BA"/>
    <w:rsid w:val="15174315"/>
    <w:rsid w:val="1546345F"/>
    <w:rsid w:val="15634011"/>
    <w:rsid w:val="157D0A4E"/>
    <w:rsid w:val="158000A1"/>
    <w:rsid w:val="158521DA"/>
    <w:rsid w:val="15971237"/>
    <w:rsid w:val="15B66837"/>
    <w:rsid w:val="15B7330B"/>
    <w:rsid w:val="15B900D5"/>
    <w:rsid w:val="15BC49FD"/>
    <w:rsid w:val="15CE592F"/>
    <w:rsid w:val="15F10D28"/>
    <w:rsid w:val="15F64E85"/>
    <w:rsid w:val="15F67F71"/>
    <w:rsid w:val="15F83A70"/>
    <w:rsid w:val="160C159C"/>
    <w:rsid w:val="16306FDB"/>
    <w:rsid w:val="16314110"/>
    <w:rsid w:val="164953DE"/>
    <w:rsid w:val="165B2F3A"/>
    <w:rsid w:val="165C4F54"/>
    <w:rsid w:val="166B2947"/>
    <w:rsid w:val="16907088"/>
    <w:rsid w:val="169326D4"/>
    <w:rsid w:val="16946B78"/>
    <w:rsid w:val="1695469E"/>
    <w:rsid w:val="16AB3EC2"/>
    <w:rsid w:val="16B965DF"/>
    <w:rsid w:val="16BC60CF"/>
    <w:rsid w:val="16CC39B3"/>
    <w:rsid w:val="16D60C3A"/>
    <w:rsid w:val="16FA0834"/>
    <w:rsid w:val="17060626"/>
    <w:rsid w:val="170C3D84"/>
    <w:rsid w:val="173B5D8A"/>
    <w:rsid w:val="173E4D36"/>
    <w:rsid w:val="173E6AE4"/>
    <w:rsid w:val="17442587"/>
    <w:rsid w:val="1752258F"/>
    <w:rsid w:val="17555BDC"/>
    <w:rsid w:val="175828CF"/>
    <w:rsid w:val="175E7186"/>
    <w:rsid w:val="17603F43"/>
    <w:rsid w:val="176608AC"/>
    <w:rsid w:val="17665A7A"/>
    <w:rsid w:val="17802574"/>
    <w:rsid w:val="179429CA"/>
    <w:rsid w:val="17991B35"/>
    <w:rsid w:val="17997C85"/>
    <w:rsid w:val="179E47E1"/>
    <w:rsid w:val="17AF1A5F"/>
    <w:rsid w:val="17B4244F"/>
    <w:rsid w:val="17CC711B"/>
    <w:rsid w:val="17CE7E68"/>
    <w:rsid w:val="17D31922"/>
    <w:rsid w:val="17E90B60"/>
    <w:rsid w:val="17EF6030"/>
    <w:rsid w:val="17FB4099"/>
    <w:rsid w:val="18066FA7"/>
    <w:rsid w:val="18115CF9"/>
    <w:rsid w:val="182D5476"/>
    <w:rsid w:val="18335F1D"/>
    <w:rsid w:val="18363C5F"/>
    <w:rsid w:val="1840063A"/>
    <w:rsid w:val="18502225"/>
    <w:rsid w:val="1864257A"/>
    <w:rsid w:val="18714C97"/>
    <w:rsid w:val="18834D39"/>
    <w:rsid w:val="188744BB"/>
    <w:rsid w:val="18930F6C"/>
    <w:rsid w:val="18A81DEA"/>
    <w:rsid w:val="18A85E26"/>
    <w:rsid w:val="18B03A11"/>
    <w:rsid w:val="18BF1EA7"/>
    <w:rsid w:val="18C339CF"/>
    <w:rsid w:val="18ED431E"/>
    <w:rsid w:val="191C2E55"/>
    <w:rsid w:val="191C3904"/>
    <w:rsid w:val="19241B84"/>
    <w:rsid w:val="192A7DC0"/>
    <w:rsid w:val="1943328B"/>
    <w:rsid w:val="19453FE3"/>
    <w:rsid w:val="19510D51"/>
    <w:rsid w:val="1958645C"/>
    <w:rsid w:val="19595E57"/>
    <w:rsid w:val="1986762D"/>
    <w:rsid w:val="19930995"/>
    <w:rsid w:val="19B65AC6"/>
    <w:rsid w:val="19C332D1"/>
    <w:rsid w:val="19C71013"/>
    <w:rsid w:val="19E27BFB"/>
    <w:rsid w:val="19E57F62"/>
    <w:rsid w:val="1A0C7662"/>
    <w:rsid w:val="1A11228E"/>
    <w:rsid w:val="1A141D7E"/>
    <w:rsid w:val="1A1F479E"/>
    <w:rsid w:val="1A323B81"/>
    <w:rsid w:val="1A383CBF"/>
    <w:rsid w:val="1A3B160E"/>
    <w:rsid w:val="1A51621D"/>
    <w:rsid w:val="1A5605E9"/>
    <w:rsid w:val="1A562397"/>
    <w:rsid w:val="1A5B175B"/>
    <w:rsid w:val="1A626914"/>
    <w:rsid w:val="1A8A3DEE"/>
    <w:rsid w:val="1AA03612"/>
    <w:rsid w:val="1AA72BF2"/>
    <w:rsid w:val="1AB64BE3"/>
    <w:rsid w:val="1AC854E2"/>
    <w:rsid w:val="1AD0039B"/>
    <w:rsid w:val="1ADF413A"/>
    <w:rsid w:val="1AE837A9"/>
    <w:rsid w:val="1B0342CC"/>
    <w:rsid w:val="1B291859"/>
    <w:rsid w:val="1B397CEE"/>
    <w:rsid w:val="1B3A5814"/>
    <w:rsid w:val="1B3E3632"/>
    <w:rsid w:val="1B4363B7"/>
    <w:rsid w:val="1B7639C5"/>
    <w:rsid w:val="1B851185"/>
    <w:rsid w:val="1B877863"/>
    <w:rsid w:val="1B8F6A2D"/>
    <w:rsid w:val="1BC91004"/>
    <w:rsid w:val="1BD23C9F"/>
    <w:rsid w:val="1BD523A8"/>
    <w:rsid w:val="1BEF4851"/>
    <w:rsid w:val="1C050F51"/>
    <w:rsid w:val="1C0C4619"/>
    <w:rsid w:val="1C0F4EF3"/>
    <w:rsid w:val="1C262598"/>
    <w:rsid w:val="1C341A7A"/>
    <w:rsid w:val="1C3777D0"/>
    <w:rsid w:val="1C3B579F"/>
    <w:rsid w:val="1C4A79F0"/>
    <w:rsid w:val="1C536B8E"/>
    <w:rsid w:val="1C61751F"/>
    <w:rsid w:val="1C694603"/>
    <w:rsid w:val="1C6C549E"/>
    <w:rsid w:val="1C715266"/>
    <w:rsid w:val="1C7F5EE5"/>
    <w:rsid w:val="1C844F99"/>
    <w:rsid w:val="1CA41763"/>
    <w:rsid w:val="1CA46FFD"/>
    <w:rsid w:val="1CAD6A00"/>
    <w:rsid w:val="1CB02232"/>
    <w:rsid w:val="1CCE090A"/>
    <w:rsid w:val="1CCE26B8"/>
    <w:rsid w:val="1CE2585D"/>
    <w:rsid w:val="1CEC2B3E"/>
    <w:rsid w:val="1CF6095A"/>
    <w:rsid w:val="1CFA525B"/>
    <w:rsid w:val="1D0A7416"/>
    <w:rsid w:val="1D1C3750"/>
    <w:rsid w:val="1D23426F"/>
    <w:rsid w:val="1D34702C"/>
    <w:rsid w:val="1D350989"/>
    <w:rsid w:val="1D3A1513"/>
    <w:rsid w:val="1D5232E9"/>
    <w:rsid w:val="1D5D7271"/>
    <w:rsid w:val="1D682B0D"/>
    <w:rsid w:val="1D69245C"/>
    <w:rsid w:val="1D695F2A"/>
    <w:rsid w:val="1D7276BB"/>
    <w:rsid w:val="1D7809AD"/>
    <w:rsid w:val="1D9F5E03"/>
    <w:rsid w:val="1DA17DCD"/>
    <w:rsid w:val="1DAB29F9"/>
    <w:rsid w:val="1DB55626"/>
    <w:rsid w:val="1DD37D79"/>
    <w:rsid w:val="1DDE2DCF"/>
    <w:rsid w:val="1DE01725"/>
    <w:rsid w:val="1DE83BD7"/>
    <w:rsid w:val="1DEB755F"/>
    <w:rsid w:val="1DFD14A7"/>
    <w:rsid w:val="1DFF01EE"/>
    <w:rsid w:val="1E5A7495"/>
    <w:rsid w:val="1E617AE2"/>
    <w:rsid w:val="1E98498A"/>
    <w:rsid w:val="1E9B6F04"/>
    <w:rsid w:val="1EA57449"/>
    <w:rsid w:val="1EA96D9B"/>
    <w:rsid w:val="1EB952FA"/>
    <w:rsid w:val="1EBD0C36"/>
    <w:rsid w:val="1EC25883"/>
    <w:rsid w:val="1EC275E7"/>
    <w:rsid w:val="1EE100DF"/>
    <w:rsid w:val="1EF3346D"/>
    <w:rsid w:val="1EFC175F"/>
    <w:rsid w:val="1EFD6D2B"/>
    <w:rsid w:val="1F0D396C"/>
    <w:rsid w:val="1F1C3BAF"/>
    <w:rsid w:val="1F40071A"/>
    <w:rsid w:val="1F4B30C4"/>
    <w:rsid w:val="1F4B7FF0"/>
    <w:rsid w:val="1F6669AD"/>
    <w:rsid w:val="1F6E676B"/>
    <w:rsid w:val="1F7638D9"/>
    <w:rsid w:val="1F7D3F22"/>
    <w:rsid w:val="1F817EB6"/>
    <w:rsid w:val="1F833C2E"/>
    <w:rsid w:val="1F9A2D26"/>
    <w:rsid w:val="1FA0658E"/>
    <w:rsid w:val="1FAA740D"/>
    <w:rsid w:val="1FAB6CE1"/>
    <w:rsid w:val="1FCA55B1"/>
    <w:rsid w:val="1FD2426D"/>
    <w:rsid w:val="1FD75D28"/>
    <w:rsid w:val="1FE02E2E"/>
    <w:rsid w:val="1FE10436"/>
    <w:rsid w:val="1FE967F9"/>
    <w:rsid w:val="1FF00B97"/>
    <w:rsid w:val="20234AC9"/>
    <w:rsid w:val="2043542A"/>
    <w:rsid w:val="204C4A83"/>
    <w:rsid w:val="205630F0"/>
    <w:rsid w:val="20692E24"/>
    <w:rsid w:val="206A094A"/>
    <w:rsid w:val="207812B9"/>
    <w:rsid w:val="207B2B57"/>
    <w:rsid w:val="20814BA1"/>
    <w:rsid w:val="208373EC"/>
    <w:rsid w:val="20A74EF7"/>
    <w:rsid w:val="20AE75FE"/>
    <w:rsid w:val="20B460F0"/>
    <w:rsid w:val="20BA2413"/>
    <w:rsid w:val="20BD1CF0"/>
    <w:rsid w:val="20C0056A"/>
    <w:rsid w:val="20EB5245"/>
    <w:rsid w:val="21025026"/>
    <w:rsid w:val="21035DFF"/>
    <w:rsid w:val="211D59BC"/>
    <w:rsid w:val="212F6C34"/>
    <w:rsid w:val="21473AFD"/>
    <w:rsid w:val="21622589"/>
    <w:rsid w:val="216C71A5"/>
    <w:rsid w:val="21771570"/>
    <w:rsid w:val="21982270"/>
    <w:rsid w:val="219A1C81"/>
    <w:rsid w:val="219C4B33"/>
    <w:rsid w:val="21A63C04"/>
    <w:rsid w:val="21E15AFB"/>
    <w:rsid w:val="21E53FF3"/>
    <w:rsid w:val="21E604A4"/>
    <w:rsid w:val="21E90D26"/>
    <w:rsid w:val="21E94FBA"/>
    <w:rsid w:val="22046CA4"/>
    <w:rsid w:val="2217377C"/>
    <w:rsid w:val="221F3429"/>
    <w:rsid w:val="22244388"/>
    <w:rsid w:val="222608A0"/>
    <w:rsid w:val="22356D36"/>
    <w:rsid w:val="225C1876"/>
    <w:rsid w:val="22684714"/>
    <w:rsid w:val="2268710B"/>
    <w:rsid w:val="226B54E2"/>
    <w:rsid w:val="227635D6"/>
    <w:rsid w:val="227855A0"/>
    <w:rsid w:val="22837AA1"/>
    <w:rsid w:val="229C0B85"/>
    <w:rsid w:val="22A30143"/>
    <w:rsid w:val="22A719E1"/>
    <w:rsid w:val="22AF0271"/>
    <w:rsid w:val="22BC1214"/>
    <w:rsid w:val="22C37BB7"/>
    <w:rsid w:val="22E45E4F"/>
    <w:rsid w:val="22FF181D"/>
    <w:rsid w:val="230501D1"/>
    <w:rsid w:val="23213B8D"/>
    <w:rsid w:val="23360FB7"/>
    <w:rsid w:val="233D398A"/>
    <w:rsid w:val="23474FCC"/>
    <w:rsid w:val="235A4CA6"/>
    <w:rsid w:val="23783B75"/>
    <w:rsid w:val="239D4B92"/>
    <w:rsid w:val="23AE4F14"/>
    <w:rsid w:val="23B0613B"/>
    <w:rsid w:val="23BD6B45"/>
    <w:rsid w:val="23C17235"/>
    <w:rsid w:val="23CB16FF"/>
    <w:rsid w:val="23DD119A"/>
    <w:rsid w:val="23FC0FE6"/>
    <w:rsid w:val="2403533D"/>
    <w:rsid w:val="24066BDB"/>
    <w:rsid w:val="2412732E"/>
    <w:rsid w:val="24415E66"/>
    <w:rsid w:val="244403DF"/>
    <w:rsid w:val="2448265F"/>
    <w:rsid w:val="244A6AC8"/>
    <w:rsid w:val="246D0A09"/>
    <w:rsid w:val="24741D97"/>
    <w:rsid w:val="247A3ADF"/>
    <w:rsid w:val="247E2C16"/>
    <w:rsid w:val="24A26904"/>
    <w:rsid w:val="24AC7783"/>
    <w:rsid w:val="24B04C42"/>
    <w:rsid w:val="24C07CDC"/>
    <w:rsid w:val="24C148B0"/>
    <w:rsid w:val="24D97E4C"/>
    <w:rsid w:val="251610A0"/>
    <w:rsid w:val="25180A16"/>
    <w:rsid w:val="253371BA"/>
    <w:rsid w:val="255816B9"/>
    <w:rsid w:val="256242E5"/>
    <w:rsid w:val="256C6F12"/>
    <w:rsid w:val="257C55BF"/>
    <w:rsid w:val="25861D82"/>
    <w:rsid w:val="259D0D31"/>
    <w:rsid w:val="25A22934"/>
    <w:rsid w:val="25E10737"/>
    <w:rsid w:val="25E43A45"/>
    <w:rsid w:val="260D24A3"/>
    <w:rsid w:val="261A1D24"/>
    <w:rsid w:val="261A696E"/>
    <w:rsid w:val="26280FB8"/>
    <w:rsid w:val="265A6959"/>
    <w:rsid w:val="2663022B"/>
    <w:rsid w:val="2668592C"/>
    <w:rsid w:val="26732B16"/>
    <w:rsid w:val="2674607E"/>
    <w:rsid w:val="26874CC5"/>
    <w:rsid w:val="268D5392"/>
    <w:rsid w:val="268E625D"/>
    <w:rsid w:val="26B96187"/>
    <w:rsid w:val="26CC2FD0"/>
    <w:rsid w:val="26CD6128"/>
    <w:rsid w:val="26CF33D3"/>
    <w:rsid w:val="26D618E2"/>
    <w:rsid w:val="26D91416"/>
    <w:rsid w:val="26D951F8"/>
    <w:rsid w:val="26EA4592"/>
    <w:rsid w:val="26ED1ED0"/>
    <w:rsid w:val="26ED4B63"/>
    <w:rsid w:val="26ED541F"/>
    <w:rsid w:val="26EF5379"/>
    <w:rsid w:val="26FE3B9A"/>
    <w:rsid w:val="27075984"/>
    <w:rsid w:val="271E423C"/>
    <w:rsid w:val="272C0AF5"/>
    <w:rsid w:val="2748156A"/>
    <w:rsid w:val="27581E9B"/>
    <w:rsid w:val="2758774E"/>
    <w:rsid w:val="275F6D2E"/>
    <w:rsid w:val="27657B07"/>
    <w:rsid w:val="278A123C"/>
    <w:rsid w:val="278D7CB2"/>
    <w:rsid w:val="27963F25"/>
    <w:rsid w:val="279B1007"/>
    <w:rsid w:val="27A24E6D"/>
    <w:rsid w:val="27A31CCE"/>
    <w:rsid w:val="27C9064C"/>
    <w:rsid w:val="27CB6172"/>
    <w:rsid w:val="27CE4CF3"/>
    <w:rsid w:val="27D22CBB"/>
    <w:rsid w:val="27DF5779"/>
    <w:rsid w:val="27E309B7"/>
    <w:rsid w:val="27EB3961"/>
    <w:rsid w:val="27EE5153"/>
    <w:rsid w:val="281A4989"/>
    <w:rsid w:val="281F2D05"/>
    <w:rsid w:val="283511A5"/>
    <w:rsid w:val="283A6E54"/>
    <w:rsid w:val="28511090"/>
    <w:rsid w:val="28517809"/>
    <w:rsid w:val="28705C12"/>
    <w:rsid w:val="28771E56"/>
    <w:rsid w:val="28903662"/>
    <w:rsid w:val="289A294C"/>
    <w:rsid w:val="28A16ED3"/>
    <w:rsid w:val="28C50E13"/>
    <w:rsid w:val="28CF3A40"/>
    <w:rsid w:val="28D70B46"/>
    <w:rsid w:val="28DE3C83"/>
    <w:rsid w:val="28F416F8"/>
    <w:rsid w:val="2908738A"/>
    <w:rsid w:val="29211DC2"/>
    <w:rsid w:val="294A57BC"/>
    <w:rsid w:val="29673725"/>
    <w:rsid w:val="296D22D5"/>
    <w:rsid w:val="29722737"/>
    <w:rsid w:val="29764020"/>
    <w:rsid w:val="29875C5D"/>
    <w:rsid w:val="29B53312"/>
    <w:rsid w:val="29CB6064"/>
    <w:rsid w:val="29CE2D7C"/>
    <w:rsid w:val="29D55086"/>
    <w:rsid w:val="29D86924"/>
    <w:rsid w:val="29F90CF9"/>
    <w:rsid w:val="29FD282F"/>
    <w:rsid w:val="29FF5B2B"/>
    <w:rsid w:val="2A0369C2"/>
    <w:rsid w:val="2A092F82"/>
    <w:rsid w:val="2A3F1A26"/>
    <w:rsid w:val="2A471A22"/>
    <w:rsid w:val="2A510485"/>
    <w:rsid w:val="2A7F1496"/>
    <w:rsid w:val="2AB40A1C"/>
    <w:rsid w:val="2AB54EB7"/>
    <w:rsid w:val="2AD154AB"/>
    <w:rsid w:val="2AF575CF"/>
    <w:rsid w:val="2AF61758"/>
    <w:rsid w:val="2B116592"/>
    <w:rsid w:val="2B220CBE"/>
    <w:rsid w:val="2B372C85"/>
    <w:rsid w:val="2B3758CC"/>
    <w:rsid w:val="2B4A5600"/>
    <w:rsid w:val="2B4C75CA"/>
    <w:rsid w:val="2B6A7A50"/>
    <w:rsid w:val="2B717030"/>
    <w:rsid w:val="2B7827E1"/>
    <w:rsid w:val="2B7D6163"/>
    <w:rsid w:val="2B85488A"/>
    <w:rsid w:val="2B8925CC"/>
    <w:rsid w:val="2B9D6077"/>
    <w:rsid w:val="2BA47A3D"/>
    <w:rsid w:val="2BAE2033"/>
    <w:rsid w:val="2BB04C95"/>
    <w:rsid w:val="2BC37160"/>
    <w:rsid w:val="2BCA6427"/>
    <w:rsid w:val="2BE27F2E"/>
    <w:rsid w:val="2BF475BF"/>
    <w:rsid w:val="2BFC6B48"/>
    <w:rsid w:val="2C0E2AD1"/>
    <w:rsid w:val="2C3A25CC"/>
    <w:rsid w:val="2C9A6113"/>
    <w:rsid w:val="2C9E3E55"/>
    <w:rsid w:val="2CA376BD"/>
    <w:rsid w:val="2CB011CB"/>
    <w:rsid w:val="2CCB09C2"/>
    <w:rsid w:val="2CCB0BEB"/>
    <w:rsid w:val="2CDF621C"/>
    <w:rsid w:val="2D073406"/>
    <w:rsid w:val="2D184EDC"/>
    <w:rsid w:val="2D2C4E00"/>
    <w:rsid w:val="2D327F2E"/>
    <w:rsid w:val="2D333429"/>
    <w:rsid w:val="2D5664DE"/>
    <w:rsid w:val="2D566CAC"/>
    <w:rsid w:val="2D573993"/>
    <w:rsid w:val="2D5B7F98"/>
    <w:rsid w:val="2D5E35E4"/>
    <w:rsid w:val="2D742BB3"/>
    <w:rsid w:val="2D755577"/>
    <w:rsid w:val="2D76092E"/>
    <w:rsid w:val="2D9C2D60"/>
    <w:rsid w:val="2DC932A4"/>
    <w:rsid w:val="2DD45655"/>
    <w:rsid w:val="2DD64B53"/>
    <w:rsid w:val="2DD6761F"/>
    <w:rsid w:val="2DE27D71"/>
    <w:rsid w:val="2DE97352"/>
    <w:rsid w:val="2DF301D1"/>
    <w:rsid w:val="2DF9330D"/>
    <w:rsid w:val="2E27269A"/>
    <w:rsid w:val="2E2C36E3"/>
    <w:rsid w:val="2E2D3F94"/>
    <w:rsid w:val="2E4C021C"/>
    <w:rsid w:val="2E586286"/>
    <w:rsid w:val="2E7C4C87"/>
    <w:rsid w:val="2E8F1B19"/>
    <w:rsid w:val="2E9E0680"/>
    <w:rsid w:val="2EA509B7"/>
    <w:rsid w:val="2EB72FAC"/>
    <w:rsid w:val="2EC67693"/>
    <w:rsid w:val="2EC90F31"/>
    <w:rsid w:val="2EE831C9"/>
    <w:rsid w:val="2EEC3940"/>
    <w:rsid w:val="2F124686"/>
    <w:rsid w:val="2F1C5813"/>
    <w:rsid w:val="2F2B6C61"/>
    <w:rsid w:val="2F326AD7"/>
    <w:rsid w:val="2F4F1437"/>
    <w:rsid w:val="2F52544D"/>
    <w:rsid w:val="2F54221D"/>
    <w:rsid w:val="2F556D4F"/>
    <w:rsid w:val="2F61560E"/>
    <w:rsid w:val="2F677163"/>
    <w:rsid w:val="2F701FB2"/>
    <w:rsid w:val="2F7075FF"/>
    <w:rsid w:val="2F7E1D1C"/>
    <w:rsid w:val="2F803CE6"/>
    <w:rsid w:val="2FA87C85"/>
    <w:rsid w:val="2FAA0D63"/>
    <w:rsid w:val="2FB376C1"/>
    <w:rsid w:val="2FEC137B"/>
    <w:rsid w:val="2FED73F7"/>
    <w:rsid w:val="30034807"/>
    <w:rsid w:val="30084C35"/>
    <w:rsid w:val="300F506A"/>
    <w:rsid w:val="301663F8"/>
    <w:rsid w:val="303B19BB"/>
    <w:rsid w:val="306233EC"/>
    <w:rsid w:val="30666FCE"/>
    <w:rsid w:val="30817D16"/>
    <w:rsid w:val="308242CF"/>
    <w:rsid w:val="3086532C"/>
    <w:rsid w:val="30896AF0"/>
    <w:rsid w:val="30B8125D"/>
    <w:rsid w:val="30C91C96"/>
    <w:rsid w:val="30CE0A81"/>
    <w:rsid w:val="30DA7426"/>
    <w:rsid w:val="310B75DF"/>
    <w:rsid w:val="31102E48"/>
    <w:rsid w:val="31107375"/>
    <w:rsid w:val="313B2577"/>
    <w:rsid w:val="313E1763"/>
    <w:rsid w:val="315C42DF"/>
    <w:rsid w:val="317433D6"/>
    <w:rsid w:val="31844436"/>
    <w:rsid w:val="319C292D"/>
    <w:rsid w:val="31D5021B"/>
    <w:rsid w:val="31D75713"/>
    <w:rsid w:val="31E56082"/>
    <w:rsid w:val="31F97D80"/>
    <w:rsid w:val="32035938"/>
    <w:rsid w:val="32120A22"/>
    <w:rsid w:val="321D3A6E"/>
    <w:rsid w:val="324F174E"/>
    <w:rsid w:val="325E5B80"/>
    <w:rsid w:val="326A0F3A"/>
    <w:rsid w:val="32785148"/>
    <w:rsid w:val="327C3BFC"/>
    <w:rsid w:val="327F0285"/>
    <w:rsid w:val="328B139F"/>
    <w:rsid w:val="32977B7B"/>
    <w:rsid w:val="329E17A4"/>
    <w:rsid w:val="32A37039"/>
    <w:rsid w:val="32AE0B6A"/>
    <w:rsid w:val="32B0761D"/>
    <w:rsid w:val="32BC2D35"/>
    <w:rsid w:val="32C81234"/>
    <w:rsid w:val="32CE2FBA"/>
    <w:rsid w:val="32DD2345"/>
    <w:rsid w:val="32F31C4A"/>
    <w:rsid w:val="32F953D1"/>
    <w:rsid w:val="32FF13C6"/>
    <w:rsid w:val="33004082"/>
    <w:rsid w:val="33095DA0"/>
    <w:rsid w:val="330B0703"/>
    <w:rsid w:val="331D7A9E"/>
    <w:rsid w:val="3321133C"/>
    <w:rsid w:val="333E1EEE"/>
    <w:rsid w:val="334516DD"/>
    <w:rsid w:val="334B4AED"/>
    <w:rsid w:val="33557238"/>
    <w:rsid w:val="335A693F"/>
    <w:rsid w:val="33631FC9"/>
    <w:rsid w:val="33694A91"/>
    <w:rsid w:val="336D4581"/>
    <w:rsid w:val="339729D9"/>
    <w:rsid w:val="33AE23D9"/>
    <w:rsid w:val="33CB74FA"/>
    <w:rsid w:val="33E22DC7"/>
    <w:rsid w:val="33ED391B"/>
    <w:rsid w:val="33F14D68"/>
    <w:rsid w:val="33F324B5"/>
    <w:rsid w:val="33F46A50"/>
    <w:rsid w:val="342F1837"/>
    <w:rsid w:val="343452ED"/>
    <w:rsid w:val="343B6F1E"/>
    <w:rsid w:val="34520630"/>
    <w:rsid w:val="345725A6"/>
    <w:rsid w:val="345A7DC5"/>
    <w:rsid w:val="345F557F"/>
    <w:rsid w:val="346809D9"/>
    <w:rsid w:val="34864A58"/>
    <w:rsid w:val="349977F4"/>
    <w:rsid w:val="34A36E45"/>
    <w:rsid w:val="34A55F9D"/>
    <w:rsid w:val="34BA37F6"/>
    <w:rsid w:val="34BD6E42"/>
    <w:rsid w:val="34C46423"/>
    <w:rsid w:val="34C93A39"/>
    <w:rsid w:val="34DC6F73"/>
    <w:rsid w:val="34EE34A0"/>
    <w:rsid w:val="34F67037"/>
    <w:rsid w:val="34F82570"/>
    <w:rsid w:val="34FD1935"/>
    <w:rsid w:val="35154B18"/>
    <w:rsid w:val="351C625F"/>
    <w:rsid w:val="354B6B44"/>
    <w:rsid w:val="354D6418"/>
    <w:rsid w:val="35532619"/>
    <w:rsid w:val="356674DA"/>
    <w:rsid w:val="35670C44"/>
    <w:rsid w:val="357B604D"/>
    <w:rsid w:val="359E0DF0"/>
    <w:rsid w:val="35B00A32"/>
    <w:rsid w:val="35C70269"/>
    <w:rsid w:val="35C758FA"/>
    <w:rsid w:val="35D74C6D"/>
    <w:rsid w:val="35DD378E"/>
    <w:rsid w:val="35E5121D"/>
    <w:rsid w:val="35F72828"/>
    <w:rsid w:val="36177606"/>
    <w:rsid w:val="361B4A5A"/>
    <w:rsid w:val="36264191"/>
    <w:rsid w:val="36282A8D"/>
    <w:rsid w:val="362D1DA6"/>
    <w:rsid w:val="36405F7D"/>
    <w:rsid w:val="36462E68"/>
    <w:rsid w:val="36776332"/>
    <w:rsid w:val="3684230E"/>
    <w:rsid w:val="36A41CC6"/>
    <w:rsid w:val="36BC4191"/>
    <w:rsid w:val="36C606FF"/>
    <w:rsid w:val="36D355D3"/>
    <w:rsid w:val="36DC4C29"/>
    <w:rsid w:val="36E414DE"/>
    <w:rsid w:val="36E44B5A"/>
    <w:rsid w:val="36EC59A8"/>
    <w:rsid w:val="36F40202"/>
    <w:rsid w:val="37214C13"/>
    <w:rsid w:val="37644D99"/>
    <w:rsid w:val="376E08C8"/>
    <w:rsid w:val="37730050"/>
    <w:rsid w:val="378620B5"/>
    <w:rsid w:val="37865C12"/>
    <w:rsid w:val="378710EF"/>
    <w:rsid w:val="37950B23"/>
    <w:rsid w:val="37AC5EA6"/>
    <w:rsid w:val="37B81B43"/>
    <w:rsid w:val="37C43207"/>
    <w:rsid w:val="37CC3488"/>
    <w:rsid w:val="37DF47BD"/>
    <w:rsid w:val="37FA61AF"/>
    <w:rsid w:val="37FE7E9E"/>
    <w:rsid w:val="380A4A95"/>
    <w:rsid w:val="38332C63"/>
    <w:rsid w:val="38392C84"/>
    <w:rsid w:val="385808E3"/>
    <w:rsid w:val="385E6B8E"/>
    <w:rsid w:val="385F53EC"/>
    <w:rsid w:val="38843E8A"/>
    <w:rsid w:val="388D48BA"/>
    <w:rsid w:val="38B8629F"/>
    <w:rsid w:val="38D014B6"/>
    <w:rsid w:val="38F17A02"/>
    <w:rsid w:val="38F72A1F"/>
    <w:rsid w:val="38F77BA8"/>
    <w:rsid w:val="38FA098A"/>
    <w:rsid w:val="38FF0C19"/>
    <w:rsid w:val="39131727"/>
    <w:rsid w:val="39141FA0"/>
    <w:rsid w:val="391D7538"/>
    <w:rsid w:val="3922245F"/>
    <w:rsid w:val="392470EE"/>
    <w:rsid w:val="39301378"/>
    <w:rsid w:val="39305C6D"/>
    <w:rsid w:val="395F671A"/>
    <w:rsid w:val="396226AE"/>
    <w:rsid w:val="397930B2"/>
    <w:rsid w:val="39797168"/>
    <w:rsid w:val="39A374C1"/>
    <w:rsid w:val="39AC56D7"/>
    <w:rsid w:val="39AE31FE"/>
    <w:rsid w:val="39CC413E"/>
    <w:rsid w:val="39CE5B60"/>
    <w:rsid w:val="39DA00F5"/>
    <w:rsid w:val="39F50861"/>
    <w:rsid w:val="3A0045DC"/>
    <w:rsid w:val="3A076B18"/>
    <w:rsid w:val="3A0F6392"/>
    <w:rsid w:val="3A1514CF"/>
    <w:rsid w:val="3A2636DC"/>
    <w:rsid w:val="3A2D4A6A"/>
    <w:rsid w:val="3A3C6A5B"/>
    <w:rsid w:val="3A3E0A25"/>
    <w:rsid w:val="3A4818A4"/>
    <w:rsid w:val="3A577D39"/>
    <w:rsid w:val="3A8D30E5"/>
    <w:rsid w:val="3A974968"/>
    <w:rsid w:val="3AA7481D"/>
    <w:rsid w:val="3AAF36D1"/>
    <w:rsid w:val="3AC30AC3"/>
    <w:rsid w:val="3AD20A8C"/>
    <w:rsid w:val="3AE96BE3"/>
    <w:rsid w:val="3AEE244B"/>
    <w:rsid w:val="3AEF1D20"/>
    <w:rsid w:val="3AF64E5C"/>
    <w:rsid w:val="3AF70BD4"/>
    <w:rsid w:val="3B1116C5"/>
    <w:rsid w:val="3B153D01"/>
    <w:rsid w:val="3B286FE0"/>
    <w:rsid w:val="3B292EB7"/>
    <w:rsid w:val="3B3A743F"/>
    <w:rsid w:val="3B47390A"/>
    <w:rsid w:val="3B4F27BE"/>
    <w:rsid w:val="3B9850E4"/>
    <w:rsid w:val="3B9F3746"/>
    <w:rsid w:val="3BB645EB"/>
    <w:rsid w:val="3BBB24AC"/>
    <w:rsid w:val="3BC74A4B"/>
    <w:rsid w:val="3BCB69C4"/>
    <w:rsid w:val="3C0B4937"/>
    <w:rsid w:val="3C16166D"/>
    <w:rsid w:val="3C3B1EF8"/>
    <w:rsid w:val="3C410B97"/>
    <w:rsid w:val="3C485B8B"/>
    <w:rsid w:val="3C70585C"/>
    <w:rsid w:val="3C720E5A"/>
    <w:rsid w:val="3C7263C2"/>
    <w:rsid w:val="3C88106B"/>
    <w:rsid w:val="3C8956A3"/>
    <w:rsid w:val="3C9963E7"/>
    <w:rsid w:val="3CAC52BC"/>
    <w:rsid w:val="3CC316B6"/>
    <w:rsid w:val="3CE4106E"/>
    <w:rsid w:val="3CE506A4"/>
    <w:rsid w:val="3CEA6C43"/>
    <w:rsid w:val="3D087AB6"/>
    <w:rsid w:val="3D0A2E41"/>
    <w:rsid w:val="3D0A7A0D"/>
    <w:rsid w:val="3D0F0457"/>
    <w:rsid w:val="3D121CF5"/>
    <w:rsid w:val="3D135DA3"/>
    <w:rsid w:val="3D141F11"/>
    <w:rsid w:val="3D156C74"/>
    <w:rsid w:val="3D2C1C38"/>
    <w:rsid w:val="3D2E08B2"/>
    <w:rsid w:val="3D600AB6"/>
    <w:rsid w:val="3D7D3613"/>
    <w:rsid w:val="3D930B9A"/>
    <w:rsid w:val="3D951402"/>
    <w:rsid w:val="3D9820ED"/>
    <w:rsid w:val="3D9F507C"/>
    <w:rsid w:val="3DA037A5"/>
    <w:rsid w:val="3DD56E3E"/>
    <w:rsid w:val="3DDE107A"/>
    <w:rsid w:val="3DF52B3C"/>
    <w:rsid w:val="3E081BE0"/>
    <w:rsid w:val="3E0941BD"/>
    <w:rsid w:val="3E242D59"/>
    <w:rsid w:val="3E30343D"/>
    <w:rsid w:val="3E346D2F"/>
    <w:rsid w:val="3E43485C"/>
    <w:rsid w:val="3E462476"/>
    <w:rsid w:val="3E5F71BC"/>
    <w:rsid w:val="3E6A64C2"/>
    <w:rsid w:val="3E6C13AA"/>
    <w:rsid w:val="3E8B7FB1"/>
    <w:rsid w:val="3E9A01F4"/>
    <w:rsid w:val="3E9C7F9D"/>
    <w:rsid w:val="3EA51073"/>
    <w:rsid w:val="3EA6303D"/>
    <w:rsid w:val="3EC15781"/>
    <w:rsid w:val="3ED71449"/>
    <w:rsid w:val="3EEA117C"/>
    <w:rsid w:val="3EF933AB"/>
    <w:rsid w:val="3F0538C0"/>
    <w:rsid w:val="3F0F0BE2"/>
    <w:rsid w:val="3F20694C"/>
    <w:rsid w:val="3F2557DB"/>
    <w:rsid w:val="3F290CFD"/>
    <w:rsid w:val="3F545713"/>
    <w:rsid w:val="3F6E3B5B"/>
    <w:rsid w:val="3F710F55"/>
    <w:rsid w:val="3F7722E4"/>
    <w:rsid w:val="3F780536"/>
    <w:rsid w:val="3F913CD4"/>
    <w:rsid w:val="3FBF6350"/>
    <w:rsid w:val="3FC437DE"/>
    <w:rsid w:val="3FDD2A8F"/>
    <w:rsid w:val="3FE23904"/>
    <w:rsid w:val="3FE61943"/>
    <w:rsid w:val="3FF027C2"/>
    <w:rsid w:val="3FF34060"/>
    <w:rsid w:val="40103BCB"/>
    <w:rsid w:val="401C4038"/>
    <w:rsid w:val="402E7D90"/>
    <w:rsid w:val="403C77B5"/>
    <w:rsid w:val="404C7458"/>
    <w:rsid w:val="40661756"/>
    <w:rsid w:val="40670574"/>
    <w:rsid w:val="40742A24"/>
    <w:rsid w:val="40823D26"/>
    <w:rsid w:val="408C6A13"/>
    <w:rsid w:val="40A4535A"/>
    <w:rsid w:val="40A8048F"/>
    <w:rsid w:val="40B557B9"/>
    <w:rsid w:val="40B90E06"/>
    <w:rsid w:val="40C5326E"/>
    <w:rsid w:val="40CC662C"/>
    <w:rsid w:val="40D14905"/>
    <w:rsid w:val="40D50EF1"/>
    <w:rsid w:val="40F13510"/>
    <w:rsid w:val="41054DFD"/>
    <w:rsid w:val="41116532"/>
    <w:rsid w:val="41533B80"/>
    <w:rsid w:val="415B3C6B"/>
    <w:rsid w:val="417118D0"/>
    <w:rsid w:val="41792E05"/>
    <w:rsid w:val="4182744A"/>
    <w:rsid w:val="41846FD8"/>
    <w:rsid w:val="419704FF"/>
    <w:rsid w:val="419E624E"/>
    <w:rsid w:val="41A76EB0"/>
    <w:rsid w:val="41B415CD"/>
    <w:rsid w:val="41BB48E2"/>
    <w:rsid w:val="41CA7043"/>
    <w:rsid w:val="41CE08E1"/>
    <w:rsid w:val="41E33C60"/>
    <w:rsid w:val="41ED6011"/>
    <w:rsid w:val="41FC20F8"/>
    <w:rsid w:val="42140266"/>
    <w:rsid w:val="42162288"/>
    <w:rsid w:val="421E7286"/>
    <w:rsid w:val="4230334A"/>
    <w:rsid w:val="42415557"/>
    <w:rsid w:val="424871A1"/>
    <w:rsid w:val="42575EE5"/>
    <w:rsid w:val="42621029"/>
    <w:rsid w:val="4269685C"/>
    <w:rsid w:val="427021F1"/>
    <w:rsid w:val="42790CFE"/>
    <w:rsid w:val="427D62E3"/>
    <w:rsid w:val="428616B9"/>
    <w:rsid w:val="428762B3"/>
    <w:rsid w:val="428E6995"/>
    <w:rsid w:val="429513FF"/>
    <w:rsid w:val="429531AD"/>
    <w:rsid w:val="429A6A15"/>
    <w:rsid w:val="42B63187"/>
    <w:rsid w:val="42B91C97"/>
    <w:rsid w:val="42C961E7"/>
    <w:rsid w:val="42CF6863"/>
    <w:rsid w:val="42D70A6E"/>
    <w:rsid w:val="42F870E4"/>
    <w:rsid w:val="42FF16EA"/>
    <w:rsid w:val="430635E6"/>
    <w:rsid w:val="43064DA0"/>
    <w:rsid w:val="431052A5"/>
    <w:rsid w:val="431C38BF"/>
    <w:rsid w:val="431C4F49"/>
    <w:rsid w:val="433160DD"/>
    <w:rsid w:val="433429C6"/>
    <w:rsid w:val="4338369B"/>
    <w:rsid w:val="433C5D1E"/>
    <w:rsid w:val="43452E25"/>
    <w:rsid w:val="4347356A"/>
    <w:rsid w:val="434A7C88"/>
    <w:rsid w:val="43514F84"/>
    <w:rsid w:val="435968D0"/>
    <w:rsid w:val="43603049"/>
    <w:rsid w:val="43784FA8"/>
    <w:rsid w:val="43842F6F"/>
    <w:rsid w:val="43881F6B"/>
    <w:rsid w:val="43A35CA8"/>
    <w:rsid w:val="43A713E9"/>
    <w:rsid w:val="43AC4C52"/>
    <w:rsid w:val="43B835F7"/>
    <w:rsid w:val="43C9634B"/>
    <w:rsid w:val="43CF26EE"/>
    <w:rsid w:val="43E11E5F"/>
    <w:rsid w:val="43E37EFB"/>
    <w:rsid w:val="43E416E0"/>
    <w:rsid w:val="43E75C8A"/>
    <w:rsid w:val="43EC4E91"/>
    <w:rsid w:val="441318F1"/>
    <w:rsid w:val="44187B12"/>
    <w:rsid w:val="44330ECF"/>
    <w:rsid w:val="443B7D84"/>
    <w:rsid w:val="443F5AC6"/>
    <w:rsid w:val="444035EC"/>
    <w:rsid w:val="445504FF"/>
    <w:rsid w:val="4456696C"/>
    <w:rsid w:val="44857D6C"/>
    <w:rsid w:val="448B3531"/>
    <w:rsid w:val="44A21BB1"/>
    <w:rsid w:val="44AE0556"/>
    <w:rsid w:val="44C44C6D"/>
    <w:rsid w:val="44DF2E05"/>
    <w:rsid w:val="44EE3048"/>
    <w:rsid w:val="44FF5255"/>
    <w:rsid w:val="450308A1"/>
    <w:rsid w:val="450D3ADA"/>
    <w:rsid w:val="451777A6"/>
    <w:rsid w:val="45330586"/>
    <w:rsid w:val="45442C68"/>
    <w:rsid w:val="454C5185"/>
    <w:rsid w:val="45572A7F"/>
    <w:rsid w:val="4566277A"/>
    <w:rsid w:val="456926CF"/>
    <w:rsid w:val="45717F01"/>
    <w:rsid w:val="45805E1D"/>
    <w:rsid w:val="4582759F"/>
    <w:rsid w:val="45863281"/>
    <w:rsid w:val="45A1609B"/>
    <w:rsid w:val="45A81449"/>
    <w:rsid w:val="45C142B9"/>
    <w:rsid w:val="45CC15DB"/>
    <w:rsid w:val="45E2495B"/>
    <w:rsid w:val="45FB3C6E"/>
    <w:rsid w:val="46162856"/>
    <w:rsid w:val="46236D21"/>
    <w:rsid w:val="462C02CC"/>
    <w:rsid w:val="462F56C6"/>
    <w:rsid w:val="463136F5"/>
    <w:rsid w:val="463740AD"/>
    <w:rsid w:val="463D6035"/>
    <w:rsid w:val="46504D3E"/>
    <w:rsid w:val="4651547F"/>
    <w:rsid w:val="465B384B"/>
    <w:rsid w:val="467C4DAF"/>
    <w:rsid w:val="46827EEC"/>
    <w:rsid w:val="468518BF"/>
    <w:rsid w:val="46875502"/>
    <w:rsid w:val="468768C4"/>
    <w:rsid w:val="468C0D6B"/>
    <w:rsid w:val="468D5724"/>
    <w:rsid w:val="46A10745"/>
    <w:rsid w:val="46A25BD5"/>
    <w:rsid w:val="46AB6ED1"/>
    <w:rsid w:val="46B8390E"/>
    <w:rsid w:val="46D83FB0"/>
    <w:rsid w:val="46E841F3"/>
    <w:rsid w:val="46EC0006"/>
    <w:rsid w:val="46ED379E"/>
    <w:rsid w:val="471B227B"/>
    <w:rsid w:val="473310AA"/>
    <w:rsid w:val="4734568A"/>
    <w:rsid w:val="47347438"/>
    <w:rsid w:val="473C5A6B"/>
    <w:rsid w:val="47525B10"/>
    <w:rsid w:val="476475F1"/>
    <w:rsid w:val="476B4E24"/>
    <w:rsid w:val="476D46F8"/>
    <w:rsid w:val="476E2FDA"/>
    <w:rsid w:val="476E40EF"/>
    <w:rsid w:val="47855EE6"/>
    <w:rsid w:val="478D08F6"/>
    <w:rsid w:val="47AC3472"/>
    <w:rsid w:val="47B77B28"/>
    <w:rsid w:val="47C36A0E"/>
    <w:rsid w:val="47EF1C64"/>
    <w:rsid w:val="47F170D7"/>
    <w:rsid w:val="480A7BBA"/>
    <w:rsid w:val="48455675"/>
    <w:rsid w:val="484C07B1"/>
    <w:rsid w:val="484F02A2"/>
    <w:rsid w:val="48531B40"/>
    <w:rsid w:val="486D24D6"/>
    <w:rsid w:val="486E5999"/>
    <w:rsid w:val="486F44A0"/>
    <w:rsid w:val="48706321"/>
    <w:rsid w:val="487B1097"/>
    <w:rsid w:val="487D4E0F"/>
    <w:rsid w:val="48867CD4"/>
    <w:rsid w:val="48A631FF"/>
    <w:rsid w:val="48A64365"/>
    <w:rsid w:val="48C4659A"/>
    <w:rsid w:val="48EB1D78"/>
    <w:rsid w:val="48F16E56"/>
    <w:rsid w:val="48F905A4"/>
    <w:rsid w:val="48F95EA1"/>
    <w:rsid w:val="48FE70D9"/>
    <w:rsid w:val="4961028C"/>
    <w:rsid w:val="4964375B"/>
    <w:rsid w:val="49787384"/>
    <w:rsid w:val="49850B99"/>
    <w:rsid w:val="499E503D"/>
    <w:rsid w:val="499E6DEB"/>
    <w:rsid w:val="49A36A32"/>
    <w:rsid w:val="49AD702E"/>
    <w:rsid w:val="49D92519"/>
    <w:rsid w:val="49DF11B1"/>
    <w:rsid w:val="49E8137E"/>
    <w:rsid w:val="49F06D62"/>
    <w:rsid w:val="4A0C3400"/>
    <w:rsid w:val="4A0F5F3A"/>
    <w:rsid w:val="4A161077"/>
    <w:rsid w:val="4A1E617D"/>
    <w:rsid w:val="4A27496E"/>
    <w:rsid w:val="4A471230"/>
    <w:rsid w:val="4A65747E"/>
    <w:rsid w:val="4A663076"/>
    <w:rsid w:val="4A6738AA"/>
    <w:rsid w:val="4A67511A"/>
    <w:rsid w:val="4A7171D7"/>
    <w:rsid w:val="4A750F60"/>
    <w:rsid w:val="4A9A1CA8"/>
    <w:rsid w:val="4A9B5A20"/>
    <w:rsid w:val="4A9C584A"/>
    <w:rsid w:val="4ADF3B5F"/>
    <w:rsid w:val="4AE253FD"/>
    <w:rsid w:val="4AF34F14"/>
    <w:rsid w:val="4B1B1200"/>
    <w:rsid w:val="4B1F03FF"/>
    <w:rsid w:val="4B25045F"/>
    <w:rsid w:val="4B294DDA"/>
    <w:rsid w:val="4B3519D1"/>
    <w:rsid w:val="4B3B5B9C"/>
    <w:rsid w:val="4B644064"/>
    <w:rsid w:val="4BA003F3"/>
    <w:rsid w:val="4BA12BC2"/>
    <w:rsid w:val="4BB36B62"/>
    <w:rsid w:val="4BB51397"/>
    <w:rsid w:val="4BBA7447"/>
    <w:rsid w:val="4BC61C0B"/>
    <w:rsid w:val="4BCA036B"/>
    <w:rsid w:val="4BD645F7"/>
    <w:rsid w:val="4BF947AC"/>
    <w:rsid w:val="4BF94E9E"/>
    <w:rsid w:val="4C0E33F2"/>
    <w:rsid w:val="4C105472"/>
    <w:rsid w:val="4C167838"/>
    <w:rsid w:val="4C177B87"/>
    <w:rsid w:val="4C18798A"/>
    <w:rsid w:val="4C3B3017"/>
    <w:rsid w:val="4C422E07"/>
    <w:rsid w:val="4C4A3E15"/>
    <w:rsid w:val="4C4B21CA"/>
    <w:rsid w:val="4C561BFF"/>
    <w:rsid w:val="4C577725"/>
    <w:rsid w:val="4C6A7847"/>
    <w:rsid w:val="4C6F0F12"/>
    <w:rsid w:val="4C6F4F8D"/>
    <w:rsid w:val="4C724E0A"/>
    <w:rsid w:val="4C7C718B"/>
    <w:rsid w:val="4C9221CB"/>
    <w:rsid w:val="4CB40795"/>
    <w:rsid w:val="4CC730F1"/>
    <w:rsid w:val="4CE95494"/>
    <w:rsid w:val="4CEE62DB"/>
    <w:rsid w:val="4D0C49B3"/>
    <w:rsid w:val="4D1675E0"/>
    <w:rsid w:val="4D177130"/>
    <w:rsid w:val="4D3D691B"/>
    <w:rsid w:val="4D4A2A90"/>
    <w:rsid w:val="4D5B20E4"/>
    <w:rsid w:val="4D5E1CFA"/>
    <w:rsid w:val="4D662315"/>
    <w:rsid w:val="4D8207D1"/>
    <w:rsid w:val="4D931A0A"/>
    <w:rsid w:val="4D9C654A"/>
    <w:rsid w:val="4DB210B7"/>
    <w:rsid w:val="4DE0716F"/>
    <w:rsid w:val="4DE65204"/>
    <w:rsid w:val="4DE75BFE"/>
    <w:rsid w:val="4DFD361F"/>
    <w:rsid w:val="4DFE0019"/>
    <w:rsid w:val="4E052BEB"/>
    <w:rsid w:val="4E06631F"/>
    <w:rsid w:val="4E0B6A19"/>
    <w:rsid w:val="4E173610"/>
    <w:rsid w:val="4E192EE4"/>
    <w:rsid w:val="4E233B70"/>
    <w:rsid w:val="4E347D1E"/>
    <w:rsid w:val="4E4025FD"/>
    <w:rsid w:val="4E417ABD"/>
    <w:rsid w:val="4E4C150B"/>
    <w:rsid w:val="4E4F2DA9"/>
    <w:rsid w:val="4E522718"/>
    <w:rsid w:val="4E6D1482"/>
    <w:rsid w:val="4E7D238A"/>
    <w:rsid w:val="4EBE6CA9"/>
    <w:rsid w:val="4EE408FB"/>
    <w:rsid w:val="4EEB4A99"/>
    <w:rsid w:val="4EEE25C2"/>
    <w:rsid w:val="4EF43951"/>
    <w:rsid w:val="4F0A5E14"/>
    <w:rsid w:val="4F0B3174"/>
    <w:rsid w:val="4F4F58F5"/>
    <w:rsid w:val="4F5F526E"/>
    <w:rsid w:val="4F6C0364"/>
    <w:rsid w:val="4F7F321A"/>
    <w:rsid w:val="4F8B1BBF"/>
    <w:rsid w:val="4F934F18"/>
    <w:rsid w:val="4F952A3E"/>
    <w:rsid w:val="4F9F1B0F"/>
    <w:rsid w:val="4FBB2C4B"/>
    <w:rsid w:val="4FCA372F"/>
    <w:rsid w:val="4FE03917"/>
    <w:rsid w:val="4FE92D8A"/>
    <w:rsid w:val="4FE94B38"/>
    <w:rsid w:val="50096F88"/>
    <w:rsid w:val="501222E0"/>
    <w:rsid w:val="50355FCF"/>
    <w:rsid w:val="50371D47"/>
    <w:rsid w:val="503F09B5"/>
    <w:rsid w:val="50414262"/>
    <w:rsid w:val="509176A9"/>
    <w:rsid w:val="50A00394"/>
    <w:rsid w:val="50A80B97"/>
    <w:rsid w:val="50C744A8"/>
    <w:rsid w:val="50D04016"/>
    <w:rsid w:val="50D06EDD"/>
    <w:rsid w:val="50E1432C"/>
    <w:rsid w:val="50ED0658"/>
    <w:rsid w:val="50EF2622"/>
    <w:rsid w:val="50F723F9"/>
    <w:rsid w:val="510862C6"/>
    <w:rsid w:val="512200B2"/>
    <w:rsid w:val="513329C6"/>
    <w:rsid w:val="51363DAD"/>
    <w:rsid w:val="51370AC0"/>
    <w:rsid w:val="513B5867"/>
    <w:rsid w:val="51447203"/>
    <w:rsid w:val="516803F9"/>
    <w:rsid w:val="51791EEB"/>
    <w:rsid w:val="518C67E8"/>
    <w:rsid w:val="518F47FB"/>
    <w:rsid w:val="51953861"/>
    <w:rsid w:val="51BB3E02"/>
    <w:rsid w:val="51BF3DA2"/>
    <w:rsid w:val="51E24BEC"/>
    <w:rsid w:val="52081345"/>
    <w:rsid w:val="52100AA2"/>
    <w:rsid w:val="52262073"/>
    <w:rsid w:val="523522B6"/>
    <w:rsid w:val="52383B54"/>
    <w:rsid w:val="5242530E"/>
    <w:rsid w:val="525E7A5F"/>
    <w:rsid w:val="529945F3"/>
    <w:rsid w:val="52B458D1"/>
    <w:rsid w:val="52C164D5"/>
    <w:rsid w:val="52C35B14"/>
    <w:rsid w:val="52C4342B"/>
    <w:rsid w:val="52C61160"/>
    <w:rsid w:val="52CF44B9"/>
    <w:rsid w:val="52D65847"/>
    <w:rsid w:val="52D911D3"/>
    <w:rsid w:val="52EB0446"/>
    <w:rsid w:val="53034162"/>
    <w:rsid w:val="530A3743"/>
    <w:rsid w:val="5322154A"/>
    <w:rsid w:val="53272FA8"/>
    <w:rsid w:val="532F3E3F"/>
    <w:rsid w:val="5334256E"/>
    <w:rsid w:val="53373E0C"/>
    <w:rsid w:val="535D1AC5"/>
    <w:rsid w:val="537C4DA6"/>
    <w:rsid w:val="5397518A"/>
    <w:rsid w:val="53F266B1"/>
    <w:rsid w:val="53FD6E04"/>
    <w:rsid w:val="5412554E"/>
    <w:rsid w:val="541738B8"/>
    <w:rsid w:val="542B307C"/>
    <w:rsid w:val="542E4BE9"/>
    <w:rsid w:val="5439544B"/>
    <w:rsid w:val="543B00DA"/>
    <w:rsid w:val="543C16DA"/>
    <w:rsid w:val="544E765F"/>
    <w:rsid w:val="545410D4"/>
    <w:rsid w:val="545855A0"/>
    <w:rsid w:val="54673C41"/>
    <w:rsid w:val="54924AEC"/>
    <w:rsid w:val="549E05E7"/>
    <w:rsid w:val="54A13C33"/>
    <w:rsid w:val="54AB6860"/>
    <w:rsid w:val="54C0330A"/>
    <w:rsid w:val="54D04518"/>
    <w:rsid w:val="54D943F4"/>
    <w:rsid w:val="54D9766C"/>
    <w:rsid w:val="54E81862"/>
    <w:rsid w:val="54EB6DBF"/>
    <w:rsid w:val="54F41FB5"/>
    <w:rsid w:val="551725EA"/>
    <w:rsid w:val="551B1F3B"/>
    <w:rsid w:val="551B39E5"/>
    <w:rsid w:val="551D59AF"/>
    <w:rsid w:val="551E7AAA"/>
    <w:rsid w:val="551E7EF0"/>
    <w:rsid w:val="552741A9"/>
    <w:rsid w:val="552D56A0"/>
    <w:rsid w:val="553A3CCE"/>
    <w:rsid w:val="554009B4"/>
    <w:rsid w:val="5563538C"/>
    <w:rsid w:val="556F788D"/>
    <w:rsid w:val="5588094F"/>
    <w:rsid w:val="55A25EB5"/>
    <w:rsid w:val="55AA5FA1"/>
    <w:rsid w:val="55B00FDE"/>
    <w:rsid w:val="55B6025C"/>
    <w:rsid w:val="55C45E2B"/>
    <w:rsid w:val="55C804A0"/>
    <w:rsid w:val="55CF0D59"/>
    <w:rsid w:val="55DA0083"/>
    <w:rsid w:val="55E233F6"/>
    <w:rsid w:val="55E740A0"/>
    <w:rsid w:val="55F54236"/>
    <w:rsid w:val="56024E21"/>
    <w:rsid w:val="5610181C"/>
    <w:rsid w:val="562B5EAA"/>
    <w:rsid w:val="56323B98"/>
    <w:rsid w:val="565151E5"/>
    <w:rsid w:val="565C2507"/>
    <w:rsid w:val="56753BE5"/>
    <w:rsid w:val="567767E5"/>
    <w:rsid w:val="568C27C7"/>
    <w:rsid w:val="569A3030"/>
    <w:rsid w:val="56A954E8"/>
    <w:rsid w:val="56AB2B47"/>
    <w:rsid w:val="56B2584F"/>
    <w:rsid w:val="56D402F0"/>
    <w:rsid w:val="56E478E1"/>
    <w:rsid w:val="5705494D"/>
    <w:rsid w:val="570566FB"/>
    <w:rsid w:val="570F04E3"/>
    <w:rsid w:val="571050A0"/>
    <w:rsid w:val="571132F2"/>
    <w:rsid w:val="571D5FBE"/>
    <w:rsid w:val="57285B1E"/>
    <w:rsid w:val="574E4C62"/>
    <w:rsid w:val="574F097A"/>
    <w:rsid w:val="575A7F9B"/>
    <w:rsid w:val="576C128B"/>
    <w:rsid w:val="576C6556"/>
    <w:rsid w:val="576D6A26"/>
    <w:rsid w:val="577562B9"/>
    <w:rsid w:val="5785783C"/>
    <w:rsid w:val="579B414A"/>
    <w:rsid w:val="57AC5917"/>
    <w:rsid w:val="57AD38D0"/>
    <w:rsid w:val="57AE0ED6"/>
    <w:rsid w:val="57BB14B0"/>
    <w:rsid w:val="57CB7B54"/>
    <w:rsid w:val="57CD424A"/>
    <w:rsid w:val="57D32355"/>
    <w:rsid w:val="57EE3633"/>
    <w:rsid w:val="57F64296"/>
    <w:rsid w:val="580E24A7"/>
    <w:rsid w:val="5838654E"/>
    <w:rsid w:val="583E1BC3"/>
    <w:rsid w:val="58422786"/>
    <w:rsid w:val="58472D43"/>
    <w:rsid w:val="5855720E"/>
    <w:rsid w:val="585B21AD"/>
    <w:rsid w:val="58627B7D"/>
    <w:rsid w:val="58773629"/>
    <w:rsid w:val="587D12B1"/>
    <w:rsid w:val="58A07CC4"/>
    <w:rsid w:val="58A46B3B"/>
    <w:rsid w:val="58C223CA"/>
    <w:rsid w:val="58CB127E"/>
    <w:rsid w:val="58D71E53"/>
    <w:rsid w:val="58D739A1"/>
    <w:rsid w:val="58D740C7"/>
    <w:rsid w:val="58D85F63"/>
    <w:rsid w:val="58E0741B"/>
    <w:rsid w:val="58EC57F0"/>
    <w:rsid w:val="58F24684"/>
    <w:rsid w:val="5903310E"/>
    <w:rsid w:val="590F3E46"/>
    <w:rsid w:val="59182B7D"/>
    <w:rsid w:val="591A29EC"/>
    <w:rsid w:val="59280AFA"/>
    <w:rsid w:val="593372B7"/>
    <w:rsid w:val="5945561B"/>
    <w:rsid w:val="594961DA"/>
    <w:rsid w:val="598A2EE8"/>
    <w:rsid w:val="59945C10"/>
    <w:rsid w:val="59A57D21"/>
    <w:rsid w:val="59A87812"/>
    <w:rsid w:val="59B85D01"/>
    <w:rsid w:val="59CF4D9E"/>
    <w:rsid w:val="59DB7BE7"/>
    <w:rsid w:val="59E33EEB"/>
    <w:rsid w:val="59E76988"/>
    <w:rsid w:val="59F157EB"/>
    <w:rsid w:val="5A035E54"/>
    <w:rsid w:val="5A086077"/>
    <w:rsid w:val="5A1B0365"/>
    <w:rsid w:val="5A252C10"/>
    <w:rsid w:val="5A296BA4"/>
    <w:rsid w:val="5A3F1F24"/>
    <w:rsid w:val="5A487831"/>
    <w:rsid w:val="5A512369"/>
    <w:rsid w:val="5A553465"/>
    <w:rsid w:val="5A5D684E"/>
    <w:rsid w:val="5A5E4C4D"/>
    <w:rsid w:val="5A6E45B7"/>
    <w:rsid w:val="5A764770"/>
    <w:rsid w:val="5A78098D"/>
    <w:rsid w:val="5A7F67C4"/>
    <w:rsid w:val="5AA81011"/>
    <w:rsid w:val="5AB32912"/>
    <w:rsid w:val="5ABA241A"/>
    <w:rsid w:val="5AC62645"/>
    <w:rsid w:val="5ACD0FD2"/>
    <w:rsid w:val="5ADF3707"/>
    <w:rsid w:val="5AF3063B"/>
    <w:rsid w:val="5B2353A2"/>
    <w:rsid w:val="5B2630E4"/>
    <w:rsid w:val="5B297D09"/>
    <w:rsid w:val="5B372BFB"/>
    <w:rsid w:val="5B5D464B"/>
    <w:rsid w:val="5B644029"/>
    <w:rsid w:val="5B687259"/>
    <w:rsid w:val="5B7C71A8"/>
    <w:rsid w:val="5B871DD5"/>
    <w:rsid w:val="5BA036EB"/>
    <w:rsid w:val="5BA04C44"/>
    <w:rsid w:val="5BA30291"/>
    <w:rsid w:val="5BB46942"/>
    <w:rsid w:val="5BCC3C8B"/>
    <w:rsid w:val="5BE106D2"/>
    <w:rsid w:val="5BE34B31"/>
    <w:rsid w:val="5BE363EF"/>
    <w:rsid w:val="5BE52C87"/>
    <w:rsid w:val="5BF1244A"/>
    <w:rsid w:val="5BF157B7"/>
    <w:rsid w:val="5BF362D8"/>
    <w:rsid w:val="5BF44F90"/>
    <w:rsid w:val="5BFD3E45"/>
    <w:rsid w:val="5C0A7A8D"/>
    <w:rsid w:val="5C11169E"/>
    <w:rsid w:val="5C1C544A"/>
    <w:rsid w:val="5C2C7702"/>
    <w:rsid w:val="5C390BF5"/>
    <w:rsid w:val="5C414623"/>
    <w:rsid w:val="5C5D0D4F"/>
    <w:rsid w:val="5C6117EC"/>
    <w:rsid w:val="5C7A7B21"/>
    <w:rsid w:val="5C831AAB"/>
    <w:rsid w:val="5C8C7CC2"/>
    <w:rsid w:val="5C910A31"/>
    <w:rsid w:val="5C9275D6"/>
    <w:rsid w:val="5C9508C6"/>
    <w:rsid w:val="5C981DBF"/>
    <w:rsid w:val="5CA11356"/>
    <w:rsid w:val="5CCE3A33"/>
    <w:rsid w:val="5CEE19DF"/>
    <w:rsid w:val="5CEE7AF4"/>
    <w:rsid w:val="5CF462FC"/>
    <w:rsid w:val="5CF52884"/>
    <w:rsid w:val="5D2D265C"/>
    <w:rsid w:val="5D395350"/>
    <w:rsid w:val="5D3C274B"/>
    <w:rsid w:val="5D5B4D70"/>
    <w:rsid w:val="5D61631C"/>
    <w:rsid w:val="5D63484D"/>
    <w:rsid w:val="5D7B44AE"/>
    <w:rsid w:val="5DA2662A"/>
    <w:rsid w:val="5DA54794"/>
    <w:rsid w:val="5DBF0CAC"/>
    <w:rsid w:val="5DC10EA2"/>
    <w:rsid w:val="5DD230AF"/>
    <w:rsid w:val="5DDC51C7"/>
    <w:rsid w:val="5DEB5BE0"/>
    <w:rsid w:val="5DF70D68"/>
    <w:rsid w:val="5E053485"/>
    <w:rsid w:val="5E692E79"/>
    <w:rsid w:val="5E6E102A"/>
    <w:rsid w:val="5E6F748B"/>
    <w:rsid w:val="5E726A7A"/>
    <w:rsid w:val="5E745F14"/>
    <w:rsid w:val="5E785A05"/>
    <w:rsid w:val="5E8D2BCF"/>
    <w:rsid w:val="5E9F5687"/>
    <w:rsid w:val="5EB3022A"/>
    <w:rsid w:val="5EB34C8F"/>
    <w:rsid w:val="5EE16635"/>
    <w:rsid w:val="5EEB4428"/>
    <w:rsid w:val="5EF343A1"/>
    <w:rsid w:val="5F0B6879"/>
    <w:rsid w:val="5F23389D"/>
    <w:rsid w:val="5F3F6522"/>
    <w:rsid w:val="5F427D80"/>
    <w:rsid w:val="5F5111BA"/>
    <w:rsid w:val="5F5C70D4"/>
    <w:rsid w:val="5F6A27FA"/>
    <w:rsid w:val="5F7268F8"/>
    <w:rsid w:val="5F7C7776"/>
    <w:rsid w:val="5F7E34EF"/>
    <w:rsid w:val="5F812FDF"/>
    <w:rsid w:val="5F950BCA"/>
    <w:rsid w:val="5FA728CB"/>
    <w:rsid w:val="5FAB3BB8"/>
    <w:rsid w:val="5FB00D41"/>
    <w:rsid w:val="5FC133DB"/>
    <w:rsid w:val="5FD3519E"/>
    <w:rsid w:val="5FD96977"/>
    <w:rsid w:val="5FE33352"/>
    <w:rsid w:val="5FE476B2"/>
    <w:rsid w:val="5FE61094"/>
    <w:rsid w:val="5FF546D0"/>
    <w:rsid w:val="5FF92B75"/>
    <w:rsid w:val="600A12BD"/>
    <w:rsid w:val="6031230F"/>
    <w:rsid w:val="604F6C39"/>
    <w:rsid w:val="6062071A"/>
    <w:rsid w:val="60803296"/>
    <w:rsid w:val="60883EF9"/>
    <w:rsid w:val="60A26D69"/>
    <w:rsid w:val="60B42F40"/>
    <w:rsid w:val="60BB590E"/>
    <w:rsid w:val="60C018E5"/>
    <w:rsid w:val="60C72C73"/>
    <w:rsid w:val="60EB4BB4"/>
    <w:rsid w:val="60FA66B2"/>
    <w:rsid w:val="61024C7A"/>
    <w:rsid w:val="611609E0"/>
    <w:rsid w:val="611D620D"/>
    <w:rsid w:val="611F660B"/>
    <w:rsid w:val="613227E3"/>
    <w:rsid w:val="61462326"/>
    <w:rsid w:val="615E62D6"/>
    <w:rsid w:val="6166248C"/>
    <w:rsid w:val="61734FCF"/>
    <w:rsid w:val="617701F5"/>
    <w:rsid w:val="61776447"/>
    <w:rsid w:val="617A5F38"/>
    <w:rsid w:val="617C1E5D"/>
    <w:rsid w:val="617C689F"/>
    <w:rsid w:val="61954B1F"/>
    <w:rsid w:val="61A21F71"/>
    <w:rsid w:val="61A22E69"/>
    <w:rsid w:val="61AF3E33"/>
    <w:rsid w:val="61C41E80"/>
    <w:rsid w:val="61C4751D"/>
    <w:rsid w:val="61CF0031"/>
    <w:rsid w:val="61D2367E"/>
    <w:rsid w:val="61EC1000"/>
    <w:rsid w:val="61ED495B"/>
    <w:rsid w:val="61F351EC"/>
    <w:rsid w:val="62287742"/>
    <w:rsid w:val="622B574C"/>
    <w:rsid w:val="623C7D70"/>
    <w:rsid w:val="623E6F65"/>
    <w:rsid w:val="625247BE"/>
    <w:rsid w:val="62554527"/>
    <w:rsid w:val="62650996"/>
    <w:rsid w:val="626A43D3"/>
    <w:rsid w:val="62AF08FF"/>
    <w:rsid w:val="62B64D4D"/>
    <w:rsid w:val="62D474D9"/>
    <w:rsid w:val="62D578C9"/>
    <w:rsid w:val="62D81168"/>
    <w:rsid w:val="62E31A59"/>
    <w:rsid w:val="62E418BB"/>
    <w:rsid w:val="62E96ED1"/>
    <w:rsid w:val="62FA33B3"/>
    <w:rsid w:val="63065CD5"/>
    <w:rsid w:val="63147CC6"/>
    <w:rsid w:val="632E3B0F"/>
    <w:rsid w:val="633D721D"/>
    <w:rsid w:val="635B58F5"/>
    <w:rsid w:val="636E5817"/>
    <w:rsid w:val="63750E47"/>
    <w:rsid w:val="63770981"/>
    <w:rsid w:val="63870498"/>
    <w:rsid w:val="638F4B54"/>
    <w:rsid w:val="639332E1"/>
    <w:rsid w:val="63A425E5"/>
    <w:rsid w:val="63A76158"/>
    <w:rsid w:val="63C65464"/>
    <w:rsid w:val="63DD0B9D"/>
    <w:rsid w:val="64063AB3"/>
    <w:rsid w:val="640C5B3A"/>
    <w:rsid w:val="6422115D"/>
    <w:rsid w:val="64285620"/>
    <w:rsid w:val="64552344"/>
    <w:rsid w:val="645808B4"/>
    <w:rsid w:val="645D564F"/>
    <w:rsid w:val="64732901"/>
    <w:rsid w:val="647F0DC5"/>
    <w:rsid w:val="648047DB"/>
    <w:rsid w:val="649E1F3D"/>
    <w:rsid w:val="649F0C5F"/>
    <w:rsid w:val="64A137DB"/>
    <w:rsid w:val="64B928D3"/>
    <w:rsid w:val="64BD0615"/>
    <w:rsid w:val="64CC0858"/>
    <w:rsid w:val="64DA2448"/>
    <w:rsid w:val="64E57B6C"/>
    <w:rsid w:val="6502023B"/>
    <w:rsid w:val="650C50F9"/>
    <w:rsid w:val="65130E94"/>
    <w:rsid w:val="651D0967"/>
    <w:rsid w:val="651F5E6D"/>
    <w:rsid w:val="65240177"/>
    <w:rsid w:val="652C7A7C"/>
    <w:rsid w:val="65373B82"/>
    <w:rsid w:val="65490EFD"/>
    <w:rsid w:val="6552647F"/>
    <w:rsid w:val="655D7745"/>
    <w:rsid w:val="656C6B2B"/>
    <w:rsid w:val="657741E8"/>
    <w:rsid w:val="657E2C91"/>
    <w:rsid w:val="65827169"/>
    <w:rsid w:val="658B0713"/>
    <w:rsid w:val="65931376"/>
    <w:rsid w:val="65A71012"/>
    <w:rsid w:val="65A90ABF"/>
    <w:rsid w:val="65B04C7D"/>
    <w:rsid w:val="65D20DF0"/>
    <w:rsid w:val="65DD665E"/>
    <w:rsid w:val="65DE4CE7"/>
    <w:rsid w:val="65E302FA"/>
    <w:rsid w:val="65E51562"/>
    <w:rsid w:val="65EB15A8"/>
    <w:rsid w:val="65FF71BF"/>
    <w:rsid w:val="660263D2"/>
    <w:rsid w:val="66106E6A"/>
    <w:rsid w:val="661204ED"/>
    <w:rsid w:val="661A3845"/>
    <w:rsid w:val="6636536C"/>
    <w:rsid w:val="66390C42"/>
    <w:rsid w:val="663A7A43"/>
    <w:rsid w:val="665C5C0C"/>
    <w:rsid w:val="666351EC"/>
    <w:rsid w:val="666668A3"/>
    <w:rsid w:val="66807B4C"/>
    <w:rsid w:val="668274B1"/>
    <w:rsid w:val="66885FDE"/>
    <w:rsid w:val="668D4017"/>
    <w:rsid w:val="66907529"/>
    <w:rsid w:val="669C6C3E"/>
    <w:rsid w:val="669D5583"/>
    <w:rsid w:val="66A16F0E"/>
    <w:rsid w:val="66A17AC3"/>
    <w:rsid w:val="66AA65D5"/>
    <w:rsid w:val="66AB0941"/>
    <w:rsid w:val="66B23A7E"/>
    <w:rsid w:val="66BA1D3B"/>
    <w:rsid w:val="66BC0678"/>
    <w:rsid w:val="66BC2B4E"/>
    <w:rsid w:val="66C57C55"/>
    <w:rsid w:val="66CC7EEE"/>
    <w:rsid w:val="66DA073C"/>
    <w:rsid w:val="66DC085E"/>
    <w:rsid w:val="66E23D27"/>
    <w:rsid w:val="66FB3D87"/>
    <w:rsid w:val="6707201B"/>
    <w:rsid w:val="67095D94"/>
    <w:rsid w:val="670D5158"/>
    <w:rsid w:val="67360239"/>
    <w:rsid w:val="674C7A2E"/>
    <w:rsid w:val="67592CFE"/>
    <w:rsid w:val="675A0AFA"/>
    <w:rsid w:val="675C3383"/>
    <w:rsid w:val="675E16A0"/>
    <w:rsid w:val="676958F4"/>
    <w:rsid w:val="676B6C08"/>
    <w:rsid w:val="67784CC7"/>
    <w:rsid w:val="67876CB8"/>
    <w:rsid w:val="67957572"/>
    <w:rsid w:val="67A23AF2"/>
    <w:rsid w:val="67A32ED7"/>
    <w:rsid w:val="67A41618"/>
    <w:rsid w:val="67AA29A7"/>
    <w:rsid w:val="67B42DD5"/>
    <w:rsid w:val="67D02E17"/>
    <w:rsid w:val="67D143D7"/>
    <w:rsid w:val="67E903F1"/>
    <w:rsid w:val="67EE2AAE"/>
    <w:rsid w:val="67FB4AF3"/>
    <w:rsid w:val="67FE26B2"/>
    <w:rsid w:val="68067547"/>
    <w:rsid w:val="680A5BCC"/>
    <w:rsid w:val="680D4FD9"/>
    <w:rsid w:val="68185D8D"/>
    <w:rsid w:val="682A11F6"/>
    <w:rsid w:val="682B1D3A"/>
    <w:rsid w:val="683E27CB"/>
    <w:rsid w:val="68896A60"/>
    <w:rsid w:val="688B4586"/>
    <w:rsid w:val="68945B31"/>
    <w:rsid w:val="689D6A9B"/>
    <w:rsid w:val="68E5013A"/>
    <w:rsid w:val="68ED5241"/>
    <w:rsid w:val="68F767D3"/>
    <w:rsid w:val="6900523E"/>
    <w:rsid w:val="69104E15"/>
    <w:rsid w:val="693334A2"/>
    <w:rsid w:val="69562DE6"/>
    <w:rsid w:val="695928D6"/>
    <w:rsid w:val="696324F7"/>
    <w:rsid w:val="6965127B"/>
    <w:rsid w:val="69670B4F"/>
    <w:rsid w:val="696C260A"/>
    <w:rsid w:val="697274F4"/>
    <w:rsid w:val="6985204A"/>
    <w:rsid w:val="69A11F68"/>
    <w:rsid w:val="69A16679"/>
    <w:rsid w:val="69B144C0"/>
    <w:rsid w:val="69B96468"/>
    <w:rsid w:val="69F34AD9"/>
    <w:rsid w:val="6A0403B7"/>
    <w:rsid w:val="6A0B6DEC"/>
    <w:rsid w:val="6A107439"/>
    <w:rsid w:val="6A164324"/>
    <w:rsid w:val="6A1707C7"/>
    <w:rsid w:val="6A1F58CE"/>
    <w:rsid w:val="6A471A64"/>
    <w:rsid w:val="6A632BDC"/>
    <w:rsid w:val="6A721EA2"/>
    <w:rsid w:val="6A7F7CE2"/>
    <w:rsid w:val="6A806700"/>
    <w:rsid w:val="6A83077D"/>
    <w:rsid w:val="6A831C60"/>
    <w:rsid w:val="6A973B65"/>
    <w:rsid w:val="6AAD4C88"/>
    <w:rsid w:val="6ACD0E86"/>
    <w:rsid w:val="6ACE4725"/>
    <w:rsid w:val="6ACE4BFE"/>
    <w:rsid w:val="6AE34B4E"/>
    <w:rsid w:val="6AFE7291"/>
    <w:rsid w:val="6B00532F"/>
    <w:rsid w:val="6B07083C"/>
    <w:rsid w:val="6B105217"/>
    <w:rsid w:val="6B170353"/>
    <w:rsid w:val="6B250CC2"/>
    <w:rsid w:val="6B4078AA"/>
    <w:rsid w:val="6B4B3E7F"/>
    <w:rsid w:val="6B54715A"/>
    <w:rsid w:val="6B580ED4"/>
    <w:rsid w:val="6B72717D"/>
    <w:rsid w:val="6B8754D9"/>
    <w:rsid w:val="6B893953"/>
    <w:rsid w:val="6B8C0D18"/>
    <w:rsid w:val="6B922DE5"/>
    <w:rsid w:val="6B9B0F84"/>
    <w:rsid w:val="6BAF6ABE"/>
    <w:rsid w:val="6BB40298"/>
    <w:rsid w:val="6BC24763"/>
    <w:rsid w:val="6BE94F83"/>
    <w:rsid w:val="6BEE6F64"/>
    <w:rsid w:val="6BF3602D"/>
    <w:rsid w:val="6BF367AD"/>
    <w:rsid w:val="6BFF1513"/>
    <w:rsid w:val="6C0E0E84"/>
    <w:rsid w:val="6C1D7BEB"/>
    <w:rsid w:val="6C225D2A"/>
    <w:rsid w:val="6C327B3B"/>
    <w:rsid w:val="6C3D33A3"/>
    <w:rsid w:val="6C4E249B"/>
    <w:rsid w:val="6C6C46CF"/>
    <w:rsid w:val="6C823EF2"/>
    <w:rsid w:val="6C880260"/>
    <w:rsid w:val="6CA56ECC"/>
    <w:rsid w:val="6CA65E33"/>
    <w:rsid w:val="6CA805EA"/>
    <w:rsid w:val="6CB23A7B"/>
    <w:rsid w:val="6CBA368C"/>
    <w:rsid w:val="6CC15ADF"/>
    <w:rsid w:val="6CD75FEC"/>
    <w:rsid w:val="6CDF4640"/>
    <w:rsid w:val="6CE150BD"/>
    <w:rsid w:val="6CFB162C"/>
    <w:rsid w:val="6D047801"/>
    <w:rsid w:val="6D050DAB"/>
    <w:rsid w:val="6D21195D"/>
    <w:rsid w:val="6D2277C6"/>
    <w:rsid w:val="6D25380D"/>
    <w:rsid w:val="6D287521"/>
    <w:rsid w:val="6D3C0545"/>
    <w:rsid w:val="6D48513C"/>
    <w:rsid w:val="6D541837"/>
    <w:rsid w:val="6D54222E"/>
    <w:rsid w:val="6D551264"/>
    <w:rsid w:val="6D561A4E"/>
    <w:rsid w:val="6D752BD3"/>
    <w:rsid w:val="6D7B138A"/>
    <w:rsid w:val="6D7E46BA"/>
    <w:rsid w:val="6D9914F3"/>
    <w:rsid w:val="6D9A3C09"/>
    <w:rsid w:val="6D9D06E2"/>
    <w:rsid w:val="6D9E678A"/>
    <w:rsid w:val="6DAB6739"/>
    <w:rsid w:val="6DB2751D"/>
    <w:rsid w:val="6DC02F24"/>
    <w:rsid w:val="6DC97665"/>
    <w:rsid w:val="6DD766CE"/>
    <w:rsid w:val="6DE36C13"/>
    <w:rsid w:val="6DFF1C9E"/>
    <w:rsid w:val="6E123280"/>
    <w:rsid w:val="6E2711F5"/>
    <w:rsid w:val="6E405E13"/>
    <w:rsid w:val="6E5B49FB"/>
    <w:rsid w:val="6E6439BC"/>
    <w:rsid w:val="6E647D53"/>
    <w:rsid w:val="6E677844"/>
    <w:rsid w:val="6E7A7577"/>
    <w:rsid w:val="6E8967B0"/>
    <w:rsid w:val="6E8B48D5"/>
    <w:rsid w:val="6E922B12"/>
    <w:rsid w:val="6E9F6FDD"/>
    <w:rsid w:val="6EC95E08"/>
    <w:rsid w:val="6ED858B9"/>
    <w:rsid w:val="6ED913BE"/>
    <w:rsid w:val="6EF07839"/>
    <w:rsid w:val="6EFF182A"/>
    <w:rsid w:val="6F045092"/>
    <w:rsid w:val="6F07403E"/>
    <w:rsid w:val="6F152DFC"/>
    <w:rsid w:val="6F1D050B"/>
    <w:rsid w:val="6F204C25"/>
    <w:rsid w:val="6F2C4A50"/>
    <w:rsid w:val="6F307C36"/>
    <w:rsid w:val="6F365091"/>
    <w:rsid w:val="6F524050"/>
    <w:rsid w:val="6F6F435E"/>
    <w:rsid w:val="6F723065"/>
    <w:rsid w:val="6FA36F5A"/>
    <w:rsid w:val="6FB22D40"/>
    <w:rsid w:val="6FCD00A9"/>
    <w:rsid w:val="700D462E"/>
    <w:rsid w:val="701D74D0"/>
    <w:rsid w:val="701F4B4C"/>
    <w:rsid w:val="70205EFC"/>
    <w:rsid w:val="70293003"/>
    <w:rsid w:val="702A0B29"/>
    <w:rsid w:val="70573A15"/>
    <w:rsid w:val="705D2CAC"/>
    <w:rsid w:val="70730722"/>
    <w:rsid w:val="70967F6C"/>
    <w:rsid w:val="70BF74C3"/>
    <w:rsid w:val="70C61F84"/>
    <w:rsid w:val="70E92C04"/>
    <w:rsid w:val="70F40DDC"/>
    <w:rsid w:val="71071719"/>
    <w:rsid w:val="710A39B3"/>
    <w:rsid w:val="712A4FA3"/>
    <w:rsid w:val="71341C5F"/>
    <w:rsid w:val="714C04DB"/>
    <w:rsid w:val="71502811"/>
    <w:rsid w:val="71520337"/>
    <w:rsid w:val="715C514B"/>
    <w:rsid w:val="71665B90"/>
    <w:rsid w:val="716B4379"/>
    <w:rsid w:val="719A60B1"/>
    <w:rsid w:val="719C7804"/>
    <w:rsid w:val="719D1A73"/>
    <w:rsid w:val="719D47F2"/>
    <w:rsid w:val="71AA41D3"/>
    <w:rsid w:val="71B0505E"/>
    <w:rsid w:val="71C72AD3"/>
    <w:rsid w:val="71E03B95"/>
    <w:rsid w:val="71E11C25"/>
    <w:rsid w:val="71E371E1"/>
    <w:rsid w:val="71EA73A3"/>
    <w:rsid w:val="71F71048"/>
    <w:rsid w:val="720F73C0"/>
    <w:rsid w:val="72404633"/>
    <w:rsid w:val="724F2AC9"/>
    <w:rsid w:val="724F44A0"/>
    <w:rsid w:val="726732E2"/>
    <w:rsid w:val="72763201"/>
    <w:rsid w:val="728C58B3"/>
    <w:rsid w:val="7291351C"/>
    <w:rsid w:val="7298621E"/>
    <w:rsid w:val="72A9042B"/>
    <w:rsid w:val="72BF255F"/>
    <w:rsid w:val="72C47013"/>
    <w:rsid w:val="72D354A8"/>
    <w:rsid w:val="72D96924"/>
    <w:rsid w:val="731A6C33"/>
    <w:rsid w:val="731C5A26"/>
    <w:rsid w:val="731E31D8"/>
    <w:rsid w:val="731F249B"/>
    <w:rsid w:val="73205948"/>
    <w:rsid w:val="7321789F"/>
    <w:rsid w:val="73522870"/>
    <w:rsid w:val="73571C35"/>
    <w:rsid w:val="735D1A64"/>
    <w:rsid w:val="73770C8D"/>
    <w:rsid w:val="73836B41"/>
    <w:rsid w:val="73927111"/>
    <w:rsid w:val="73942ECA"/>
    <w:rsid w:val="73A34EFA"/>
    <w:rsid w:val="73AF288C"/>
    <w:rsid w:val="73AF7CC3"/>
    <w:rsid w:val="73B057E9"/>
    <w:rsid w:val="73BC418E"/>
    <w:rsid w:val="73D2575F"/>
    <w:rsid w:val="73E3796C"/>
    <w:rsid w:val="73EF4563"/>
    <w:rsid w:val="73F12089"/>
    <w:rsid w:val="73FA0BE1"/>
    <w:rsid w:val="73FC5E86"/>
    <w:rsid w:val="74097EF2"/>
    <w:rsid w:val="740F0761"/>
    <w:rsid w:val="74215C20"/>
    <w:rsid w:val="74326F44"/>
    <w:rsid w:val="744F46CC"/>
    <w:rsid w:val="745D105D"/>
    <w:rsid w:val="746114E4"/>
    <w:rsid w:val="74726D68"/>
    <w:rsid w:val="7476433D"/>
    <w:rsid w:val="74803BC1"/>
    <w:rsid w:val="74856C75"/>
    <w:rsid w:val="748A7C3A"/>
    <w:rsid w:val="74B76CA4"/>
    <w:rsid w:val="74B84955"/>
    <w:rsid w:val="74B85156"/>
    <w:rsid w:val="74C96B62"/>
    <w:rsid w:val="74D6127F"/>
    <w:rsid w:val="74D66A04"/>
    <w:rsid w:val="74E90FB2"/>
    <w:rsid w:val="74F33BDF"/>
    <w:rsid w:val="74FC7D7B"/>
    <w:rsid w:val="74FD4A5E"/>
    <w:rsid w:val="75076A0A"/>
    <w:rsid w:val="750951B1"/>
    <w:rsid w:val="750C6A4F"/>
    <w:rsid w:val="7513602F"/>
    <w:rsid w:val="753A0E80"/>
    <w:rsid w:val="753E7B40"/>
    <w:rsid w:val="75432A47"/>
    <w:rsid w:val="7568637B"/>
    <w:rsid w:val="756D65E6"/>
    <w:rsid w:val="75750A98"/>
    <w:rsid w:val="758E6E77"/>
    <w:rsid w:val="75B70C39"/>
    <w:rsid w:val="75B80AC2"/>
    <w:rsid w:val="75D06853"/>
    <w:rsid w:val="75D7705D"/>
    <w:rsid w:val="75F82EB9"/>
    <w:rsid w:val="76080C63"/>
    <w:rsid w:val="762878B8"/>
    <w:rsid w:val="762915ED"/>
    <w:rsid w:val="762C55FB"/>
    <w:rsid w:val="76357769"/>
    <w:rsid w:val="76377AFB"/>
    <w:rsid w:val="764A1199"/>
    <w:rsid w:val="764D1292"/>
    <w:rsid w:val="76595CC4"/>
    <w:rsid w:val="765C57B4"/>
    <w:rsid w:val="766052A4"/>
    <w:rsid w:val="76661B74"/>
    <w:rsid w:val="766F54E7"/>
    <w:rsid w:val="76760624"/>
    <w:rsid w:val="768F5B89"/>
    <w:rsid w:val="769F3B10"/>
    <w:rsid w:val="76B12E8C"/>
    <w:rsid w:val="76B52833"/>
    <w:rsid w:val="76C27081"/>
    <w:rsid w:val="76C70E7F"/>
    <w:rsid w:val="76D66F9E"/>
    <w:rsid w:val="76DB2B7D"/>
    <w:rsid w:val="76E77774"/>
    <w:rsid w:val="76EE0C05"/>
    <w:rsid w:val="76EF6F63"/>
    <w:rsid w:val="76FF65F3"/>
    <w:rsid w:val="771B7F9A"/>
    <w:rsid w:val="773D55E5"/>
    <w:rsid w:val="776A06C6"/>
    <w:rsid w:val="776A0B8D"/>
    <w:rsid w:val="7789082B"/>
    <w:rsid w:val="77A92C7B"/>
    <w:rsid w:val="77C83FE3"/>
    <w:rsid w:val="77D00208"/>
    <w:rsid w:val="77D96107"/>
    <w:rsid w:val="77FA34D6"/>
    <w:rsid w:val="77FF6D50"/>
    <w:rsid w:val="780103C1"/>
    <w:rsid w:val="781F7778"/>
    <w:rsid w:val="78206E60"/>
    <w:rsid w:val="782923BF"/>
    <w:rsid w:val="78511348"/>
    <w:rsid w:val="786646C8"/>
    <w:rsid w:val="786B3209"/>
    <w:rsid w:val="78762B5D"/>
    <w:rsid w:val="78793410"/>
    <w:rsid w:val="788B412F"/>
    <w:rsid w:val="788E06DC"/>
    <w:rsid w:val="78AE1D53"/>
    <w:rsid w:val="78D32E0A"/>
    <w:rsid w:val="78E0447A"/>
    <w:rsid w:val="78F673C3"/>
    <w:rsid w:val="7904016A"/>
    <w:rsid w:val="790A14F7"/>
    <w:rsid w:val="79135D96"/>
    <w:rsid w:val="79200409"/>
    <w:rsid w:val="79256331"/>
    <w:rsid w:val="792E3438"/>
    <w:rsid w:val="793A5EEF"/>
    <w:rsid w:val="793F3F76"/>
    <w:rsid w:val="79484882"/>
    <w:rsid w:val="794E160F"/>
    <w:rsid w:val="79570BE0"/>
    <w:rsid w:val="795A4F75"/>
    <w:rsid w:val="795A6286"/>
    <w:rsid w:val="795B2239"/>
    <w:rsid w:val="795F2907"/>
    <w:rsid w:val="79680404"/>
    <w:rsid w:val="797D616D"/>
    <w:rsid w:val="79815C5D"/>
    <w:rsid w:val="7984574E"/>
    <w:rsid w:val="79A060E3"/>
    <w:rsid w:val="79AC5C58"/>
    <w:rsid w:val="79B778D1"/>
    <w:rsid w:val="79CE4C06"/>
    <w:rsid w:val="79DE4E5E"/>
    <w:rsid w:val="79E81839"/>
    <w:rsid w:val="79EF3512"/>
    <w:rsid w:val="79EF706B"/>
    <w:rsid w:val="79F0693F"/>
    <w:rsid w:val="7A032F94"/>
    <w:rsid w:val="7A2627C0"/>
    <w:rsid w:val="7A3251AA"/>
    <w:rsid w:val="7A326F58"/>
    <w:rsid w:val="7A356A48"/>
    <w:rsid w:val="7A401521"/>
    <w:rsid w:val="7A480A1D"/>
    <w:rsid w:val="7A633E78"/>
    <w:rsid w:val="7A7B26AD"/>
    <w:rsid w:val="7A7D726B"/>
    <w:rsid w:val="7A7E219D"/>
    <w:rsid w:val="7A8D19E1"/>
    <w:rsid w:val="7A931CBF"/>
    <w:rsid w:val="7A965738"/>
    <w:rsid w:val="7A9725A1"/>
    <w:rsid w:val="7AA20CB1"/>
    <w:rsid w:val="7AA80CC3"/>
    <w:rsid w:val="7AAC1E2A"/>
    <w:rsid w:val="7ABE2046"/>
    <w:rsid w:val="7AED10D1"/>
    <w:rsid w:val="7AF827DC"/>
    <w:rsid w:val="7AFF5CA6"/>
    <w:rsid w:val="7B15632F"/>
    <w:rsid w:val="7B1F64CB"/>
    <w:rsid w:val="7B202E8E"/>
    <w:rsid w:val="7B283175"/>
    <w:rsid w:val="7B292961"/>
    <w:rsid w:val="7B2A0156"/>
    <w:rsid w:val="7B2F18F7"/>
    <w:rsid w:val="7B3274AA"/>
    <w:rsid w:val="7B3D5BE9"/>
    <w:rsid w:val="7B4A244C"/>
    <w:rsid w:val="7B527D38"/>
    <w:rsid w:val="7B55490A"/>
    <w:rsid w:val="7B763F38"/>
    <w:rsid w:val="7B83730E"/>
    <w:rsid w:val="7B8A743C"/>
    <w:rsid w:val="7B8E6410"/>
    <w:rsid w:val="7BD034A5"/>
    <w:rsid w:val="7BE1474D"/>
    <w:rsid w:val="7BE92B22"/>
    <w:rsid w:val="7BF73FB5"/>
    <w:rsid w:val="7BFA5853"/>
    <w:rsid w:val="7BFB0E5F"/>
    <w:rsid w:val="7BFB5177"/>
    <w:rsid w:val="7C0972AC"/>
    <w:rsid w:val="7C1032C9"/>
    <w:rsid w:val="7C240B22"/>
    <w:rsid w:val="7C246D74"/>
    <w:rsid w:val="7C322961"/>
    <w:rsid w:val="7C452309"/>
    <w:rsid w:val="7C605FFE"/>
    <w:rsid w:val="7C696F46"/>
    <w:rsid w:val="7C6F561D"/>
    <w:rsid w:val="7C725D31"/>
    <w:rsid w:val="7C7575D0"/>
    <w:rsid w:val="7C7A21C8"/>
    <w:rsid w:val="7C8B22DF"/>
    <w:rsid w:val="7C9C4B5C"/>
    <w:rsid w:val="7CA3413D"/>
    <w:rsid w:val="7CD12A58"/>
    <w:rsid w:val="7CD24A22"/>
    <w:rsid w:val="7CF60710"/>
    <w:rsid w:val="7CF630E0"/>
    <w:rsid w:val="7D093D88"/>
    <w:rsid w:val="7D1312C2"/>
    <w:rsid w:val="7D140B97"/>
    <w:rsid w:val="7D1D5C9D"/>
    <w:rsid w:val="7D6B6665"/>
    <w:rsid w:val="7D6F2271"/>
    <w:rsid w:val="7D7C721D"/>
    <w:rsid w:val="7D8C550C"/>
    <w:rsid w:val="7D8D2E35"/>
    <w:rsid w:val="7DA63716"/>
    <w:rsid w:val="7DEC38C1"/>
    <w:rsid w:val="7DEC5EB0"/>
    <w:rsid w:val="7DEF298D"/>
    <w:rsid w:val="7E066731"/>
    <w:rsid w:val="7E11188E"/>
    <w:rsid w:val="7E1D1BAF"/>
    <w:rsid w:val="7E1E6C14"/>
    <w:rsid w:val="7E2766A8"/>
    <w:rsid w:val="7E297EAE"/>
    <w:rsid w:val="7E357016"/>
    <w:rsid w:val="7E4004F3"/>
    <w:rsid w:val="7E5E2B88"/>
    <w:rsid w:val="7E673626"/>
    <w:rsid w:val="7E7F4735"/>
    <w:rsid w:val="7E7F6D8A"/>
    <w:rsid w:val="7E872343"/>
    <w:rsid w:val="7E993D2C"/>
    <w:rsid w:val="7E9B3C6F"/>
    <w:rsid w:val="7EA63A70"/>
    <w:rsid w:val="7EB529E1"/>
    <w:rsid w:val="7EB81099"/>
    <w:rsid w:val="7EC81C39"/>
    <w:rsid w:val="7ED54355"/>
    <w:rsid w:val="7ED71B31"/>
    <w:rsid w:val="7EEC1DCB"/>
    <w:rsid w:val="7F0D1D41"/>
    <w:rsid w:val="7F17496E"/>
    <w:rsid w:val="7F2C666B"/>
    <w:rsid w:val="7F590E76"/>
    <w:rsid w:val="7F5E434B"/>
    <w:rsid w:val="7F772791"/>
    <w:rsid w:val="7F7B5C87"/>
    <w:rsid w:val="7F903487"/>
    <w:rsid w:val="7FB16B71"/>
    <w:rsid w:val="7FC22B2C"/>
    <w:rsid w:val="7FE26D2A"/>
    <w:rsid w:val="7FE37298"/>
    <w:rsid w:val="7FEE3921"/>
    <w:rsid w:val="7FF37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iPriority="0" w:semiHidden="0" w:name="Body Text Indent 3"/>
    <w:lsdException w:qFormat="1" w:unhideWhenUsed="0" w:uiPriority="0" w:semiHidden="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link w:val="81"/>
    <w:autoRedefine/>
    <w:qFormat/>
    <w:uiPriority w:val="0"/>
    <w:pPr>
      <w:keepNext/>
      <w:keepLines/>
      <w:widowControl w:val="0"/>
      <w:adjustRightInd/>
      <w:snapToGrid/>
      <w:spacing w:after="0" w:line="360" w:lineRule="auto"/>
      <w:jc w:val="both"/>
      <w:outlineLvl w:val="0"/>
    </w:pPr>
    <w:rPr>
      <w:rFonts w:ascii="Times New Roman" w:hAnsi="Times New Roman" w:eastAsia="宋体" w:cs="Times New Roman"/>
      <w:b/>
      <w:bCs/>
      <w:kern w:val="44"/>
      <w:sz w:val="32"/>
      <w:szCs w:val="44"/>
    </w:rPr>
  </w:style>
  <w:style w:type="paragraph" w:styleId="3">
    <w:name w:val="heading 2"/>
    <w:basedOn w:val="1"/>
    <w:next w:val="4"/>
    <w:link w:val="82"/>
    <w:autoRedefine/>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paragraph" w:styleId="5">
    <w:name w:val="heading 3"/>
    <w:basedOn w:val="1"/>
    <w:next w:val="1"/>
    <w:link w:val="83"/>
    <w:autoRedefine/>
    <w:qFormat/>
    <w:uiPriority w:val="0"/>
    <w:pPr>
      <w:keepNext/>
      <w:keepLines/>
      <w:widowControl w:val="0"/>
      <w:adjustRightInd/>
      <w:snapToGrid/>
      <w:spacing w:after="0" w:line="360" w:lineRule="auto"/>
      <w:jc w:val="both"/>
      <w:outlineLvl w:val="2"/>
    </w:pPr>
    <w:rPr>
      <w:rFonts w:ascii="Times New Roman" w:hAnsi="Times New Roman" w:eastAsia="宋体" w:cs="Times New Roman"/>
      <w:b/>
      <w:bCs/>
      <w:kern w:val="2"/>
      <w:sz w:val="24"/>
      <w:szCs w:val="32"/>
    </w:rPr>
  </w:style>
  <w:style w:type="paragraph" w:styleId="6">
    <w:name w:val="heading 4"/>
    <w:basedOn w:val="1"/>
    <w:next w:val="1"/>
    <w:link w:val="84"/>
    <w:autoRedefine/>
    <w:qFormat/>
    <w:uiPriority w:val="0"/>
    <w:pPr>
      <w:keepNext/>
      <w:keepLines/>
      <w:widowControl w:val="0"/>
      <w:adjustRightInd/>
      <w:snapToGrid/>
      <w:spacing w:after="0" w:line="360" w:lineRule="auto"/>
      <w:jc w:val="both"/>
      <w:outlineLvl w:val="3"/>
    </w:pPr>
    <w:rPr>
      <w:rFonts w:ascii="Arial" w:hAnsi="Arial" w:eastAsia="宋体" w:cs="Times New Roman"/>
      <w:b/>
      <w:bCs/>
      <w:kern w:val="2"/>
      <w:sz w:val="21"/>
      <w:szCs w:val="28"/>
    </w:rPr>
  </w:style>
  <w:style w:type="paragraph" w:styleId="7">
    <w:name w:val="heading 5"/>
    <w:basedOn w:val="1"/>
    <w:next w:val="1"/>
    <w:link w:val="85"/>
    <w:autoRedefine/>
    <w:qFormat/>
    <w:uiPriority w:val="0"/>
    <w:pPr>
      <w:keepNext/>
      <w:keepLines/>
      <w:widowControl w:val="0"/>
      <w:adjustRightInd/>
      <w:snapToGrid/>
      <w:spacing w:before="280" w:after="290" w:line="372" w:lineRule="auto"/>
      <w:jc w:val="both"/>
      <w:outlineLvl w:val="4"/>
    </w:pPr>
    <w:rPr>
      <w:rFonts w:ascii="Times New Roman" w:hAnsi="Times New Roman" w:eastAsia="宋体" w:cs="Times New Roman"/>
      <w:b/>
      <w:bCs/>
      <w:kern w:val="2"/>
      <w:sz w:val="28"/>
      <w:szCs w:val="28"/>
    </w:rPr>
  </w:style>
  <w:style w:type="paragraph" w:styleId="8">
    <w:name w:val="heading 6"/>
    <w:basedOn w:val="1"/>
    <w:next w:val="1"/>
    <w:link w:val="136"/>
    <w:autoRedefine/>
    <w:qFormat/>
    <w:uiPriority w:val="0"/>
    <w:pPr>
      <w:keepNext/>
      <w:keepLines/>
      <w:widowControl w:val="0"/>
      <w:adjustRightInd/>
      <w:snapToGrid/>
      <w:spacing w:before="240" w:after="64" w:line="317" w:lineRule="auto"/>
      <w:jc w:val="both"/>
      <w:outlineLvl w:val="5"/>
    </w:pPr>
    <w:rPr>
      <w:rFonts w:ascii="Cambria" w:hAnsi="Cambria" w:eastAsia="宋体" w:cs="Times New Roman"/>
      <w:b/>
      <w:bCs/>
      <w:kern w:val="2"/>
      <w:sz w:val="24"/>
      <w:szCs w:val="24"/>
    </w:rPr>
  </w:style>
  <w:style w:type="paragraph" w:styleId="9">
    <w:name w:val="heading 7"/>
    <w:basedOn w:val="1"/>
    <w:next w:val="1"/>
    <w:link w:val="137"/>
    <w:autoRedefine/>
    <w:qFormat/>
    <w:uiPriority w:val="0"/>
    <w:pPr>
      <w:keepNext/>
      <w:keepLines/>
      <w:widowControl w:val="0"/>
      <w:adjustRightInd/>
      <w:snapToGrid/>
      <w:spacing w:before="240" w:after="64" w:line="317" w:lineRule="auto"/>
      <w:jc w:val="both"/>
      <w:outlineLvl w:val="6"/>
    </w:pPr>
    <w:rPr>
      <w:rFonts w:ascii="Calibri" w:hAnsi="Calibri" w:eastAsia="宋体" w:cs="Times New Roman"/>
      <w:b/>
      <w:bCs/>
      <w:kern w:val="2"/>
      <w:sz w:val="24"/>
      <w:szCs w:val="24"/>
    </w:rPr>
  </w:style>
  <w:style w:type="paragraph" w:styleId="10">
    <w:name w:val="heading 8"/>
    <w:basedOn w:val="1"/>
    <w:next w:val="1"/>
    <w:link w:val="138"/>
    <w:autoRedefine/>
    <w:qFormat/>
    <w:uiPriority w:val="0"/>
    <w:pPr>
      <w:keepNext/>
      <w:keepLines/>
      <w:widowControl w:val="0"/>
      <w:adjustRightInd/>
      <w:snapToGrid/>
      <w:spacing w:before="240" w:after="64" w:line="317" w:lineRule="auto"/>
      <w:jc w:val="both"/>
      <w:outlineLvl w:val="7"/>
    </w:pPr>
    <w:rPr>
      <w:rFonts w:ascii="Cambria" w:hAnsi="Cambria" w:eastAsia="宋体" w:cs="Times New Roman"/>
      <w:kern w:val="2"/>
      <w:sz w:val="24"/>
      <w:szCs w:val="24"/>
    </w:rPr>
  </w:style>
  <w:style w:type="paragraph" w:styleId="11">
    <w:name w:val="heading 9"/>
    <w:basedOn w:val="1"/>
    <w:next w:val="1"/>
    <w:link w:val="139"/>
    <w:autoRedefine/>
    <w:qFormat/>
    <w:uiPriority w:val="0"/>
    <w:pPr>
      <w:keepNext/>
      <w:keepLines/>
      <w:widowControl w:val="0"/>
      <w:adjustRightInd/>
      <w:snapToGrid/>
      <w:spacing w:before="240" w:after="64" w:line="317" w:lineRule="auto"/>
      <w:jc w:val="both"/>
      <w:outlineLvl w:val="8"/>
    </w:pPr>
    <w:rPr>
      <w:rFonts w:ascii="Cambria" w:hAnsi="Cambria" w:eastAsia="宋体" w:cs="Times New Roman"/>
      <w:kern w:val="2"/>
      <w:sz w:val="21"/>
      <w:szCs w:val="21"/>
    </w:rPr>
  </w:style>
  <w:style w:type="character" w:default="1" w:styleId="63">
    <w:name w:val="Default Paragraph Font"/>
    <w:autoRedefine/>
    <w:unhideWhenUsed/>
    <w:qFormat/>
    <w:uiPriority w:val="1"/>
  </w:style>
  <w:style w:type="table" w:default="1" w:styleId="61">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105"/>
    <w:autoRedefine/>
    <w:qFormat/>
    <w:uiPriority w:val="0"/>
    <w:pPr>
      <w:adjustRightInd/>
      <w:snapToGrid/>
      <w:spacing w:after="0"/>
      <w:ind w:firstLine="420"/>
    </w:pPr>
    <w:rPr>
      <w:rFonts w:ascii="Times New Roman" w:hAnsi="Times New Roman" w:eastAsia="宋体" w:cs="Times New Roman"/>
      <w:sz w:val="20"/>
      <w:szCs w:val="20"/>
    </w:rPr>
  </w:style>
  <w:style w:type="paragraph" w:styleId="12">
    <w:name w:val="toc 7"/>
    <w:basedOn w:val="1"/>
    <w:next w:val="1"/>
    <w:autoRedefine/>
    <w:unhideWhenUsed/>
    <w:qFormat/>
    <w:uiPriority w:val="39"/>
    <w:pPr>
      <w:widowControl w:val="0"/>
      <w:adjustRightInd/>
      <w:snapToGrid/>
      <w:spacing w:after="0"/>
      <w:ind w:left="2520" w:leftChars="1200"/>
      <w:jc w:val="both"/>
    </w:pPr>
    <w:rPr>
      <w:rFonts w:asciiTheme="minorHAnsi" w:hAnsiTheme="minorHAnsi" w:eastAsiaTheme="minorEastAsia"/>
      <w:kern w:val="2"/>
      <w:sz w:val="21"/>
    </w:rPr>
  </w:style>
  <w:style w:type="paragraph" w:styleId="13">
    <w:name w:val="List Number 2"/>
    <w:basedOn w:val="14"/>
    <w:autoRedefine/>
    <w:qFormat/>
    <w:uiPriority w:val="0"/>
    <w:pPr>
      <w:tabs>
        <w:tab w:val="left" w:pos="360"/>
        <w:tab w:val="left" w:pos="851"/>
      </w:tabs>
      <w:spacing w:before="120"/>
    </w:pPr>
  </w:style>
  <w:style w:type="paragraph" w:styleId="14">
    <w:name w:val="List Number"/>
    <w:basedOn w:val="15"/>
    <w:autoRedefine/>
    <w:qFormat/>
    <w:uiPriority w:val="0"/>
    <w:pPr>
      <w:keepLines/>
      <w:widowControl/>
      <w:tabs>
        <w:tab w:val="left" w:pos="851"/>
      </w:tabs>
      <w:spacing w:before="50" w:after="0" w:line="280" w:lineRule="atLeast"/>
      <w:ind w:left="851" w:hanging="426"/>
    </w:pPr>
    <w:rPr>
      <w:rFonts w:ascii="Calibri" w:hAnsi="Calibri"/>
      <w:kern w:val="0"/>
      <w:sz w:val="22"/>
      <w:szCs w:val="20"/>
      <w:lang w:val="en-GB"/>
    </w:rPr>
  </w:style>
  <w:style w:type="paragraph" w:styleId="15">
    <w:name w:val="Body Text"/>
    <w:basedOn w:val="1"/>
    <w:link w:val="94"/>
    <w:autoRedefine/>
    <w:qFormat/>
    <w:uiPriority w:val="0"/>
    <w:pPr>
      <w:widowControl w:val="0"/>
      <w:adjustRightInd/>
      <w:snapToGrid/>
      <w:spacing w:after="120"/>
      <w:jc w:val="both"/>
    </w:pPr>
    <w:rPr>
      <w:rFonts w:ascii="Times New Roman" w:hAnsi="Times New Roman" w:eastAsia="宋体" w:cs="Times New Roman"/>
      <w:kern w:val="2"/>
      <w:sz w:val="21"/>
      <w:szCs w:val="24"/>
    </w:rPr>
  </w:style>
  <w:style w:type="paragraph" w:styleId="16">
    <w:name w:val="table of authorities"/>
    <w:basedOn w:val="1"/>
    <w:next w:val="1"/>
    <w:autoRedefine/>
    <w:qFormat/>
    <w:uiPriority w:val="0"/>
    <w:pPr>
      <w:widowControl w:val="0"/>
      <w:adjustRightInd/>
      <w:snapToGrid/>
      <w:spacing w:after="0"/>
      <w:ind w:left="420" w:leftChars="200"/>
      <w:jc w:val="both"/>
    </w:pPr>
    <w:rPr>
      <w:rFonts w:ascii="Times New Roman" w:hAnsi="Times New Roman" w:eastAsia="宋体" w:cs="Times New Roman"/>
      <w:kern w:val="2"/>
      <w:sz w:val="21"/>
      <w:szCs w:val="24"/>
    </w:rPr>
  </w:style>
  <w:style w:type="paragraph" w:styleId="17">
    <w:name w:val="caption"/>
    <w:basedOn w:val="1"/>
    <w:next w:val="1"/>
    <w:autoRedefine/>
    <w:qFormat/>
    <w:uiPriority w:val="0"/>
    <w:pPr>
      <w:widowControl w:val="0"/>
      <w:adjustRightInd/>
      <w:snapToGrid/>
      <w:spacing w:after="0"/>
      <w:jc w:val="both"/>
    </w:pPr>
    <w:rPr>
      <w:rFonts w:ascii="Cambria" w:hAnsi="Cambria" w:eastAsia="黑体" w:cs="Times New Roman"/>
      <w:kern w:val="2"/>
      <w:sz w:val="20"/>
      <w:szCs w:val="20"/>
    </w:rPr>
  </w:style>
  <w:style w:type="paragraph" w:styleId="18">
    <w:name w:val="List Bullet"/>
    <w:basedOn w:val="15"/>
    <w:autoRedefine/>
    <w:qFormat/>
    <w:uiPriority w:val="0"/>
    <w:pPr>
      <w:keepLines/>
      <w:widowControl/>
      <w:spacing w:after="0" w:line="360" w:lineRule="auto"/>
    </w:pPr>
    <w:rPr>
      <w:rFonts w:ascii="Calibri" w:hAnsi="Calibri"/>
      <w:color w:val="000000"/>
      <w:kern w:val="0"/>
      <w:sz w:val="20"/>
      <w:szCs w:val="20"/>
      <w:lang w:val="en-GB"/>
    </w:rPr>
  </w:style>
  <w:style w:type="paragraph" w:styleId="19">
    <w:name w:val="Document Map"/>
    <w:basedOn w:val="1"/>
    <w:link w:val="110"/>
    <w:autoRedefine/>
    <w:unhideWhenUsed/>
    <w:qFormat/>
    <w:uiPriority w:val="0"/>
    <w:rPr>
      <w:rFonts w:ascii="宋体" w:eastAsia="宋体"/>
      <w:sz w:val="18"/>
      <w:szCs w:val="18"/>
    </w:rPr>
  </w:style>
  <w:style w:type="paragraph" w:styleId="20">
    <w:name w:val="annotation text"/>
    <w:basedOn w:val="1"/>
    <w:link w:val="263"/>
    <w:autoRedefine/>
    <w:unhideWhenUsed/>
    <w:qFormat/>
    <w:uiPriority w:val="0"/>
  </w:style>
  <w:style w:type="paragraph" w:styleId="21">
    <w:name w:val="Body Text 3"/>
    <w:basedOn w:val="1"/>
    <w:link w:val="96"/>
    <w:autoRedefine/>
    <w:qFormat/>
    <w:uiPriority w:val="0"/>
    <w:pPr>
      <w:widowControl w:val="0"/>
      <w:adjustRightInd/>
      <w:snapToGrid/>
      <w:spacing w:after="120"/>
      <w:jc w:val="both"/>
    </w:pPr>
    <w:rPr>
      <w:rFonts w:ascii="Times New Roman" w:hAnsi="Times New Roman" w:eastAsia="宋体" w:cs="Times New Roman"/>
      <w:kern w:val="2"/>
      <w:sz w:val="16"/>
      <w:szCs w:val="16"/>
    </w:rPr>
  </w:style>
  <w:style w:type="paragraph" w:styleId="22">
    <w:name w:val="List Bullet 3"/>
    <w:basedOn w:val="15"/>
    <w:autoRedefine/>
    <w:qFormat/>
    <w:uiPriority w:val="0"/>
    <w:pPr>
      <w:widowControl/>
      <w:tabs>
        <w:tab w:val="left" w:pos="1276"/>
      </w:tabs>
      <w:spacing w:line="280" w:lineRule="atLeast"/>
      <w:ind w:left="1276" w:hanging="425"/>
    </w:pPr>
    <w:rPr>
      <w:rFonts w:ascii="Calibri" w:hAnsi="Calibri"/>
      <w:kern w:val="0"/>
      <w:sz w:val="22"/>
      <w:szCs w:val="20"/>
      <w:lang w:val="en-GB"/>
    </w:rPr>
  </w:style>
  <w:style w:type="paragraph" w:styleId="23">
    <w:name w:val="Body Text Indent"/>
    <w:basedOn w:val="1"/>
    <w:next w:val="24"/>
    <w:link w:val="95"/>
    <w:autoRedefine/>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styleId="24">
    <w:name w:val="Body Text First Indent 2"/>
    <w:basedOn w:val="23"/>
    <w:next w:val="25"/>
    <w:autoRedefine/>
    <w:qFormat/>
    <w:uiPriority w:val="0"/>
    <w:pPr>
      <w:autoSpaceDE/>
      <w:autoSpaceDN/>
      <w:adjustRightInd/>
      <w:ind w:leftChars="0" w:firstLine="420"/>
      <w:jc w:val="both"/>
      <w:textAlignment w:val="auto"/>
    </w:pPr>
    <w:rPr>
      <w:rFonts w:ascii="Times New Roman" w:hAnsi="Times New Roman" w:eastAsia="宋体" w:cs="Times New Roman"/>
      <w:kern w:val="2"/>
      <w:sz w:val="21"/>
      <w:szCs w:val="24"/>
    </w:rPr>
  </w:style>
  <w:style w:type="paragraph" w:styleId="25">
    <w:name w:val="Body Text First Indent"/>
    <w:basedOn w:val="15"/>
    <w:next w:val="1"/>
    <w:autoRedefine/>
    <w:qFormat/>
    <w:uiPriority w:val="0"/>
    <w:pPr>
      <w:spacing w:line="312" w:lineRule="auto"/>
      <w:ind w:firstLine="420"/>
    </w:pPr>
    <w:rPr>
      <w:rFonts w:eastAsia="仿宋_GB2312"/>
    </w:rPr>
  </w:style>
  <w:style w:type="paragraph" w:styleId="26">
    <w:name w:val="List 2"/>
    <w:basedOn w:val="1"/>
    <w:autoRedefine/>
    <w:qFormat/>
    <w:uiPriority w:val="0"/>
    <w:pPr>
      <w:widowControl w:val="0"/>
      <w:adjustRightInd/>
      <w:snapToGrid/>
      <w:spacing w:after="0"/>
      <w:ind w:left="200" w:leftChars="200" w:hanging="200" w:hangingChars="200"/>
      <w:jc w:val="both"/>
    </w:pPr>
    <w:rPr>
      <w:rFonts w:ascii="Times New Roman" w:hAnsi="Times New Roman" w:eastAsia="宋体" w:cs="Times New Roman"/>
      <w:kern w:val="2"/>
      <w:sz w:val="21"/>
      <w:szCs w:val="24"/>
    </w:rPr>
  </w:style>
  <w:style w:type="paragraph" w:styleId="27">
    <w:name w:val="Block Text"/>
    <w:basedOn w:val="1"/>
    <w:autoRedefine/>
    <w:qFormat/>
    <w:uiPriority w:val="0"/>
    <w:pPr>
      <w:widowControl w:val="0"/>
      <w:tabs>
        <w:tab w:val="left" w:pos="900"/>
      </w:tabs>
      <w:spacing w:beforeLines="50" w:afterLines="50" w:line="400" w:lineRule="atLeast"/>
      <w:ind w:left="901" w:leftChars="428" w:right="32" w:hanging="2"/>
      <w:jc w:val="both"/>
    </w:pPr>
    <w:rPr>
      <w:rFonts w:ascii="Times New Roman" w:hAnsi="Times New Roman" w:eastAsia="宋体" w:cs="Times New Roman"/>
      <w:kern w:val="2"/>
      <w:sz w:val="24"/>
      <w:szCs w:val="24"/>
    </w:rPr>
  </w:style>
  <w:style w:type="paragraph" w:styleId="28">
    <w:name w:val="List Bullet 2"/>
    <w:basedOn w:val="18"/>
    <w:autoRedefine/>
    <w:qFormat/>
    <w:uiPriority w:val="0"/>
    <w:pPr>
      <w:tabs>
        <w:tab w:val="left" w:pos="780"/>
      </w:tabs>
      <w:spacing w:before="120"/>
      <w:ind w:left="780" w:hanging="360"/>
    </w:pPr>
  </w:style>
  <w:style w:type="paragraph" w:styleId="29">
    <w:name w:val="index 4"/>
    <w:basedOn w:val="1"/>
    <w:next w:val="1"/>
    <w:autoRedefine/>
    <w:qFormat/>
    <w:uiPriority w:val="0"/>
    <w:pPr>
      <w:widowControl w:val="0"/>
      <w:adjustRightInd/>
      <w:snapToGrid/>
      <w:spacing w:after="0"/>
      <w:ind w:left="600" w:leftChars="600"/>
      <w:jc w:val="both"/>
    </w:pPr>
    <w:rPr>
      <w:rFonts w:ascii="Times New Roman" w:hAnsi="Times New Roman" w:eastAsia="宋体" w:cs="Times New Roman"/>
      <w:kern w:val="2"/>
      <w:sz w:val="21"/>
      <w:szCs w:val="24"/>
    </w:rPr>
  </w:style>
  <w:style w:type="paragraph" w:styleId="30">
    <w:name w:val="toc 5"/>
    <w:basedOn w:val="1"/>
    <w:next w:val="1"/>
    <w:autoRedefine/>
    <w:unhideWhenUsed/>
    <w:qFormat/>
    <w:uiPriority w:val="39"/>
    <w:pPr>
      <w:widowControl w:val="0"/>
      <w:adjustRightInd/>
      <w:snapToGrid/>
      <w:spacing w:after="0"/>
      <w:ind w:left="1680" w:leftChars="800"/>
      <w:jc w:val="both"/>
    </w:pPr>
    <w:rPr>
      <w:rFonts w:asciiTheme="minorHAnsi" w:hAnsiTheme="minorHAnsi" w:eastAsiaTheme="minorEastAsia"/>
      <w:kern w:val="2"/>
      <w:sz w:val="21"/>
    </w:rPr>
  </w:style>
  <w:style w:type="paragraph" w:styleId="31">
    <w:name w:val="toc 3"/>
    <w:basedOn w:val="1"/>
    <w:next w:val="1"/>
    <w:autoRedefine/>
    <w:qFormat/>
    <w:uiPriority w:val="39"/>
    <w:pPr>
      <w:widowControl w:val="0"/>
      <w:adjustRightInd/>
      <w:snapToGrid/>
      <w:spacing w:after="0"/>
      <w:ind w:left="420"/>
    </w:pPr>
    <w:rPr>
      <w:rFonts w:ascii="Times New Roman" w:hAnsi="Times New Roman" w:eastAsia="宋体" w:cs="Times New Roman"/>
      <w:i/>
      <w:iCs/>
      <w:kern w:val="2"/>
      <w:sz w:val="20"/>
      <w:szCs w:val="20"/>
    </w:rPr>
  </w:style>
  <w:style w:type="paragraph" w:styleId="32">
    <w:name w:val="Plain Text"/>
    <w:basedOn w:val="1"/>
    <w:link w:val="132"/>
    <w:autoRedefine/>
    <w:qFormat/>
    <w:uiPriority w:val="0"/>
    <w:pPr>
      <w:widowControl w:val="0"/>
      <w:adjustRightInd/>
      <w:snapToGrid/>
      <w:spacing w:after="0"/>
      <w:jc w:val="both"/>
    </w:pPr>
    <w:rPr>
      <w:rFonts w:ascii="宋体" w:hAnsi="Courier New" w:eastAsia="宋体" w:cs="Times New Roman"/>
      <w:kern w:val="2"/>
      <w:sz w:val="21"/>
      <w:szCs w:val="20"/>
    </w:rPr>
  </w:style>
  <w:style w:type="paragraph" w:styleId="33">
    <w:name w:val="toc 8"/>
    <w:basedOn w:val="1"/>
    <w:next w:val="1"/>
    <w:autoRedefine/>
    <w:unhideWhenUsed/>
    <w:qFormat/>
    <w:uiPriority w:val="39"/>
    <w:pPr>
      <w:widowControl w:val="0"/>
      <w:adjustRightInd/>
      <w:snapToGrid/>
      <w:spacing w:after="0"/>
      <w:ind w:left="2940" w:leftChars="1400"/>
      <w:jc w:val="both"/>
    </w:pPr>
    <w:rPr>
      <w:rFonts w:asciiTheme="minorHAnsi" w:hAnsiTheme="minorHAnsi" w:eastAsiaTheme="minorEastAsia"/>
      <w:kern w:val="2"/>
      <w:sz w:val="21"/>
    </w:rPr>
  </w:style>
  <w:style w:type="paragraph" w:styleId="34">
    <w:name w:val="index 3"/>
    <w:basedOn w:val="1"/>
    <w:next w:val="1"/>
    <w:autoRedefine/>
    <w:semiHidden/>
    <w:qFormat/>
    <w:uiPriority w:val="0"/>
    <w:pPr>
      <w:widowControl w:val="0"/>
      <w:adjustRightInd/>
      <w:snapToGrid/>
      <w:spacing w:after="0"/>
      <w:ind w:left="400" w:leftChars="400"/>
      <w:jc w:val="both"/>
    </w:pPr>
    <w:rPr>
      <w:rFonts w:ascii="Times New Roman" w:hAnsi="Times New Roman" w:eastAsia="宋体" w:cs="Times New Roman"/>
      <w:kern w:val="2"/>
      <w:sz w:val="21"/>
      <w:szCs w:val="24"/>
    </w:rPr>
  </w:style>
  <w:style w:type="paragraph" w:styleId="35">
    <w:name w:val="Date"/>
    <w:basedOn w:val="1"/>
    <w:next w:val="1"/>
    <w:link w:val="93"/>
    <w:autoRedefine/>
    <w:qFormat/>
    <w:uiPriority w:val="0"/>
    <w:pPr>
      <w:widowControl w:val="0"/>
      <w:adjustRightInd/>
      <w:snapToGrid/>
      <w:spacing w:after="0"/>
      <w:ind w:left="100" w:leftChars="2500"/>
      <w:jc w:val="both"/>
    </w:pPr>
    <w:rPr>
      <w:rFonts w:ascii="Times New Roman" w:hAnsi="Times New Roman" w:eastAsia="宋体" w:cs="Times New Roman"/>
      <w:kern w:val="2"/>
      <w:sz w:val="21"/>
      <w:szCs w:val="24"/>
    </w:rPr>
  </w:style>
  <w:style w:type="paragraph" w:styleId="36">
    <w:name w:val="Body Text Indent 2"/>
    <w:basedOn w:val="1"/>
    <w:link w:val="166"/>
    <w:autoRedefine/>
    <w:qFormat/>
    <w:uiPriority w:val="0"/>
    <w:pPr>
      <w:widowControl w:val="0"/>
      <w:adjustRightInd/>
      <w:snapToGrid/>
      <w:spacing w:after="120" w:line="480" w:lineRule="auto"/>
      <w:ind w:left="420" w:leftChars="200"/>
      <w:jc w:val="both"/>
    </w:pPr>
    <w:rPr>
      <w:rFonts w:ascii="Times New Roman" w:hAnsi="Times New Roman" w:eastAsia="宋体" w:cs="Times New Roman"/>
      <w:sz w:val="20"/>
      <w:szCs w:val="24"/>
    </w:rPr>
  </w:style>
  <w:style w:type="paragraph" w:styleId="37">
    <w:name w:val="endnote text"/>
    <w:basedOn w:val="1"/>
    <w:link w:val="247"/>
    <w:autoRedefine/>
    <w:qFormat/>
    <w:uiPriority w:val="0"/>
    <w:pPr>
      <w:widowControl w:val="0"/>
      <w:adjustRightInd/>
      <w:spacing w:after="0"/>
    </w:pPr>
    <w:rPr>
      <w:rFonts w:ascii="Times New Roman" w:hAnsi="Times New Roman" w:eastAsia="宋体" w:cs="Times New Roman"/>
      <w:kern w:val="2"/>
      <w:sz w:val="21"/>
      <w:szCs w:val="24"/>
    </w:rPr>
  </w:style>
  <w:style w:type="paragraph" w:styleId="38">
    <w:name w:val="Balloon Text"/>
    <w:basedOn w:val="1"/>
    <w:link w:val="92"/>
    <w:autoRedefine/>
    <w:qFormat/>
    <w:uiPriority w:val="0"/>
    <w:pPr>
      <w:widowControl w:val="0"/>
      <w:adjustRightInd/>
      <w:snapToGrid/>
      <w:spacing w:after="0"/>
      <w:jc w:val="both"/>
    </w:pPr>
    <w:rPr>
      <w:rFonts w:ascii="Times New Roman" w:hAnsi="Times New Roman" w:eastAsia="宋体" w:cs="Times New Roman"/>
      <w:kern w:val="2"/>
      <w:sz w:val="18"/>
      <w:szCs w:val="18"/>
    </w:rPr>
  </w:style>
  <w:style w:type="paragraph" w:styleId="39">
    <w:name w:val="footer"/>
    <w:basedOn w:val="1"/>
    <w:link w:val="87"/>
    <w:autoRedefine/>
    <w:unhideWhenUsed/>
    <w:qFormat/>
    <w:uiPriority w:val="99"/>
    <w:pPr>
      <w:tabs>
        <w:tab w:val="center" w:pos="4153"/>
        <w:tab w:val="right" w:pos="8306"/>
      </w:tabs>
    </w:pPr>
    <w:rPr>
      <w:sz w:val="18"/>
      <w:szCs w:val="18"/>
    </w:rPr>
  </w:style>
  <w:style w:type="paragraph" w:styleId="40">
    <w:name w:val="envelope return"/>
    <w:basedOn w:val="1"/>
    <w:autoRedefine/>
    <w:qFormat/>
    <w:uiPriority w:val="0"/>
    <w:pPr>
      <w:autoSpaceDE/>
      <w:autoSpaceDN/>
      <w:adjustRightInd/>
      <w:snapToGrid w:val="0"/>
      <w:jc w:val="both"/>
      <w:textAlignment w:val="auto"/>
    </w:pPr>
    <w:rPr>
      <w:rFonts w:ascii="Arial" w:hAnsi="Times New Roman" w:eastAsia="宋体" w:cs="Arial"/>
      <w:kern w:val="2"/>
      <w:sz w:val="21"/>
      <w:szCs w:val="24"/>
    </w:rPr>
  </w:style>
  <w:style w:type="paragraph" w:styleId="41">
    <w:name w:val="header"/>
    <w:basedOn w:val="1"/>
    <w:link w:val="86"/>
    <w:autoRedefine/>
    <w:unhideWhenUsed/>
    <w:qFormat/>
    <w:uiPriority w:val="99"/>
    <w:pPr>
      <w:pBdr>
        <w:bottom w:val="single" w:color="auto" w:sz="6" w:space="1"/>
      </w:pBdr>
      <w:tabs>
        <w:tab w:val="center" w:pos="4153"/>
        <w:tab w:val="right" w:pos="8306"/>
      </w:tabs>
      <w:jc w:val="center"/>
    </w:pPr>
    <w:rPr>
      <w:sz w:val="18"/>
      <w:szCs w:val="18"/>
    </w:rPr>
  </w:style>
  <w:style w:type="paragraph" w:styleId="42">
    <w:name w:val="toc 1"/>
    <w:basedOn w:val="1"/>
    <w:next w:val="1"/>
    <w:autoRedefine/>
    <w:qFormat/>
    <w:uiPriority w:val="39"/>
    <w:pPr>
      <w:widowControl w:val="0"/>
      <w:tabs>
        <w:tab w:val="right" w:leader="dot" w:pos="9540"/>
      </w:tabs>
      <w:adjustRightInd/>
      <w:snapToGrid/>
      <w:spacing w:before="120" w:after="120"/>
    </w:pPr>
    <w:rPr>
      <w:rFonts w:ascii="黑体" w:hAnsi="黑体" w:eastAsia="黑体" w:cs="Times New Roman"/>
      <w:bCs/>
      <w:caps/>
      <w:kern w:val="2"/>
      <w:sz w:val="20"/>
      <w:szCs w:val="20"/>
    </w:rPr>
  </w:style>
  <w:style w:type="paragraph" w:styleId="43">
    <w:name w:val="toc 4"/>
    <w:basedOn w:val="1"/>
    <w:next w:val="1"/>
    <w:autoRedefine/>
    <w:unhideWhenUsed/>
    <w:qFormat/>
    <w:uiPriority w:val="39"/>
    <w:pPr>
      <w:widowControl w:val="0"/>
      <w:adjustRightInd/>
      <w:snapToGrid/>
      <w:spacing w:after="0"/>
      <w:ind w:left="1260" w:leftChars="600"/>
      <w:jc w:val="both"/>
    </w:pPr>
    <w:rPr>
      <w:rFonts w:asciiTheme="minorHAnsi" w:hAnsiTheme="minorHAnsi" w:eastAsiaTheme="minorEastAsia"/>
      <w:kern w:val="2"/>
      <w:sz w:val="21"/>
    </w:rPr>
  </w:style>
  <w:style w:type="paragraph" w:styleId="44">
    <w:name w:val="Subtitle"/>
    <w:basedOn w:val="1"/>
    <w:next w:val="1"/>
    <w:link w:val="206"/>
    <w:autoRedefine/>
    <w:qFormat/>
    <w:uiPriority w:val="0"/>
    <w:pPr>
      <w:widowControl w:val="0"/>
      <w:adjustRightInd/>
      <w:snapToGrid/>
      <w:spacing w:before="240" w:after="60" w:line="312" w:lineRule="auto"/>
      <w:jc w:val="center"/>
      <w:outlineLvl w:val="1"/>
    </w:pPr>
    <w:rPr>
      <w:rFonts w:ascii="Cambria" w:hAnsi="Cambria" w:eastAsia="宋体" w:cs="Times New Roman"/>
      <w:b/>
      <w:bCs/>
      <w:kern w:val="28"/>
      <w:sz w:val="32"/>
      <w:szCs w:val="32"/>
    </w:rPr>
  </w:style>
  <w:style w:type="paragraph" w:styleId="45">
    <w:name w:val="List"/>
    <w:basedOn w:val="1"/>
    <w:autoRedefine/>
    <w:qFormat/>
    <w:uiPriority w:val="0"/>
    <w:pPr>
      <w:widowControl w:val="0"/>
      <w:adjustRightInd/>
      <w:snapToGrid/>
      <w:spacing w:before="120" w:after="120" w:line="360" w:lineRule="exact"/>
      <w:ind w:firstLine="454"/>
      <w:jc w:val="center"/>
    </w:pPr>
    <w:rPr>
      <w:rFonts w:ascii="Times New Roman" w:hAnsi="Times New Roman" w:eastAsia="宋体" w:cs="Times New Roman"/>
      <w:b/>
      <w:kern w:val="2"/>
      <w:sz w:val="24"/>
      <w:szCs w:val="20"/>
    </w:rPr>
  </w:style>
  <w:style w:type="paragraph" w:styleId="46">
    <w:name w:val="footnote text"/>
    <w:basedOn w:val="1"/>
    <w:link w:val="199"/>
    <w:autoRedefine/>
    <w:qFormat/>
    <w:uiPriority w:val="0"/>
    <w:pPr>
      <w:widowControl w:val="0"/>
      <w:adjustRightInd/>
      <w:spacing w:after="0"/>
    </w:pPr>
    <w:rPr>
      <w:rFonts w:ascii="Times New Roman" w:hAnsi="Times New Roman" w:eastAsia="宋体" w:cs="Times New Roman"/>
      <w:kern w:val="2"/>
      <w:sz w:val="18"/>
      <w:szCs w:val="18"/>
    </w:rPr>
  </w:style>
  <w:style w:type="paragraph" w:styleId="47">
    <w:name w:val="toc 6"/>
    <w:basedOn w:val="1"/>
    <w:next w:val="1"/>
    <w:autoRedefine/>
    <w:unhideWhenUsed/>
    <w:qFormat/>
    <w:uiPriority w:val="39"/>
    <w:pPr>
      <w:widowControl w:val="0"/>
      <w:adjustRightInd/>
      <w:snapToGrid/>
      <w:spacing w:after="0"/>
      <w:ind w:left="2100" w:leftChars="1000"/>
      <w:jc w:val="both"/>
    </w:pPr>
    <w:rPr>
      <w:rFonts w:asciiTheme="minorHAnsi" w:hAnsiTheme="minorHAnsi" w:eastAsiaTheme="minorEastAsia"/>
      <w:kern w:val="2"/>
      <w:sz w:val="21"/>
    </w:rPr>
  </w:style>
  <w:style w:type="paragraph" w:styleId="48">
    <w:name w:val="List 5"/>
    <w:basedOn w:val="1"/>
    <w:autoRedefine/>
    <w:qFormat/>
    <w:uiPriority w:val="0"/>
    <w:pPr>
      <w:widowControl w:val="0"/>
      <w:adjustRightInd/>
      <w:snapToGrid/>
      <w:spacing w:after="0"/>
      <w:ind w:left="2100" w:hanging="420"/>
      <w:jc w:val="both"/>
    </w:pPr>
    <w:rPr>
      <w:rFonts w:ascii="Times New Roman" w:hAnsi="Times New Roman" w:eastAsia="宋体" w:cs="Times New Roman"/>
      <w:kern w:val="2"/>
      <w:sz w:val="21"/>
      <w:szCs w:val="20"/>
    </w:rPr>
  </w:style>
  <w:style w:type="paragraph" w:styleId="49">
    <w:name w:val="Body Text Indent 3"/>
    <w:basedOn w:val="1"/>
    <w:link w:val="131"/>
    <w:autoRedefine/>
    <w:unhideWhenUsed/>
    <w:qFormat/>
    <w:uiPriority w:val="0"/>
    <w:pPr>
      <w:spacing w:after="120"/>
      <w:ind w:left="420" w:leftChars="200"/>
    </w:pPr>
    <w:rPr>
      <w:sz w:val="16"/>
      <w:szCs w:val="16"/>
    </w:rPr>
  </w:style>
  <w:style w:type="paragraph" w:styleId="50">
    <w:name w:val="table of figures"/>
    <w:basedOn w:val="1"/>
    <w:next w:val="1"/>
    <w:autoRedefine/>
    <w:qFormat/>
    <w:uiPriority w:val="0"/>
    <w:pPr>
      <w:widowControl w:val="0"/>
      <w:adjustRightInd/>
      <w:snapToGrid/>
      <w:spacing w:after="0" w:line="360" w:lineRule="auto"/>
      <w:ind w:left="840" w:hanging="420"/>
      <w:jc w:val="both"/>
    </w:pPr>
    <w:rPr>
      <w:rFonts w:ascii="Arial" w:hAnsi="Arial" w:eastAsia="宋体" w:cs="Times New Roman"/>
      <w:kern w:val="2"/>
      <w:sz w:val="24"/>
      <w:szCs w:val="20"/>
    </w:rPr>
  </w:style>
  <w:style w:type="paragraph" w:styleId="51">
    <w:name w:val="toc 2"/>
    <w:basedOn w:val="1"/>
    <w:next w:val="1"/>
    <w:autoRedefine/>
    <w:qFormat/>
    <w:uiPriority w:val="39"/>
    <w:pPr>
      <w:widowControl w:val="0"/>
      <w:adjustRightInd/>
      <w:snapToGrid/>
      <w:spacing w:after="0"/>
      <w:ind w:left="210"/>
    </w:pPr>
    <w:rPr>
      <w:rFonts w:ascii="Times New Roman" w:hAnsi="Times New Roman" w:eastAsia="宋体" w:cs="Times New Roman"/>
      <w:smallCaps/>
      <w:kern w:val="2"/>
      <w:sz w:val="20"/>
      <w:szCs w:val="20"/>
    </w:rPr>
  </w:style>
  <w:style w:type="paragraph" w:styleId="52">
    <w:name w:val="toc 9"/>
    <w:basedOn w:val="1"/>
    <w:next w:val="1"/>
    <w:autoRedefine/>
    <w:unhideWhenUsed/>
    <w:qFormat/>
    <w:uiPriority w:val="39"/>
    <w:pPr>
      <w:widowControl w:val="0"/>
      <w:adjustRightInd/>
      <w:snapToGrid/>
      <w:spacing w:after="0"/>
      <w:ind w:left="3360" w:leftChars="1600"/>
      <w:jc w:val="both"/>
    </w:pPr>
    <w:rPr>
      <w:rFonts w:asciiTheme="minorHAnsi" w:hAnsiTheme="minorHAnsi" w:eastAsiaTheme="minorEastAsia"/>
      <w:kern w:val="2"/>
      <w:sz w:val="21"/>
    </w:rPr>
  </w:style>
  <w:style w:type="paragraph" w:styleId="53">
    <w:name w:val="Body Text 2"/>
    <w:basedOn w:val="1"/>
    <w:link w:val="250"/>
    <w:autoRedefine/>
    <w:qFormat/>
    <w:uiPriority w:val="0"/>
    <w:pPr>
      <w:widowControl w:val="0"/>
      <w:adjustRightInd/>
      <w:snapToGrid/>
      <w:spacing w:after="120" w:line="480" w:lineRule="auto"/>
      <w:jc w:val="both"/>
    </w:pPr>
    <w:rPr>
      <w:rFonts w:ascii="Times New Roman" w:hAnsi="Times New Roman" w:eastAsia="宋体" w:cs="Times New Roman"/>
      <w:sz w:val="20"/>
      <w:szCs w:val="20"/>
    </w:rPr>
  </w:style>
  <w:style w:type="paragraph" w:styleId="54">
    <w:name w:val="List 4"/>
    <w:basedOn w:val="1"/>
    <w:autoRedefine/>
    <w:qFormat/>
    <w:uiPriority w:val="0"/>
    <w:pPr>
      <w:widowControl w:val="0"/>
      <w:tabs>
        <w:tab w:val="left" w:pos="420"/>
      </w:tabs>
      <w:adjustRightInd/>
      <w:snapToGrid/>
      <w:spacing w:after="0" w:line="420" w:lineRule="exact"/>
      <w:ind w:left="100" w:leftChars="600" w:hanging="200" w:hangingChars="200"/>
      <w:jc w:val="both"/>
    </w:pPr>
    <w:rPr>
      <w:rFonts w:ascii="Times New Roman" w:hAnsi="Times New Roman" w:eastAsia="宋体" w:cs="Times New Roman"/>
      <w:kern w:val="2"/>
      <w:sz w:val="24"/>
      <w:szCs w:val="24"/>
    </w:rPr>
  </w:style>
  <w:style w:type="paragraph" w:styleId="55">
    <w:name w:val="List Continue 2"/>
    <w:basedOn w:val="1"/>
    <w:autoRedefine/>
    <w:qFormat/>
    <w:uiPriority w:val="0"/>
    <w:pPr>
      <w:widowControl w:val="0"/>
      <w:adjustRightInd/>
      <w:snapToGrid/>
      <w:spacing w:after="120"/>
      <w:ind w:left="840" w:leftChars="400"/>
      <w:jc w:val="both"/>
    </w:pPr>
    <w:rPr>
      <w:rFonts w:ascii="Times New Roman" w:hAnsi="Times New Roman" w:eastAsia="宋体" w:cs="Times New Roman"/>
      <w:kern w:val="2"/>
      <w:sz w:val="21"/>
      <w:szCs w:val="24"/>
    </w:rPr>
  </w:style>
  <w:style w:type="paragraph" w:styleId="56">
    <w:name w:val="HTML Preformatted"/>
    <w:basedOn w:val="1"/>
    <w:link w:val="203"/>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0"/>
    </w:pPr>
    <w:rPr>
      <w:rFonts w:ascii="宋体" w:hAnsi="宋体" w:eastAsia="宋体" w:cs="宋体"/>
      <w:sz w:val="24"/>
      <w:szCs w:val="24"/>
    </w:rPr>
  </w:style>
  <w:style w:type="paragraph" w:styleId="57">
    <w:name w:val="Normal (Web)"/>
    <w:basedOn w:val="1"/>
    <w:link w:val="109"/>
    <w:autoRedefine/>
    <w:qFormat/>
    <w:uiPriority w:val="0"/>
    <w:pPr>
      <w:adjustRightInd/>
      <w:snapToGrid/>
      <w:spacing w:before="100" w:beforeAutospacing="1" w:after="100" w:afterAutospacing="1"/>
    </w:pPr>
    <w:rPr>
      <w:rFonts w:ascii="宋体" w:hAnsi="宋体" w:eastAsia="宋体" w:cs="宋体"/>
      <w:sz w:val="24"/>
      <w:szCs w:val="24"/>
    </w:rPr>
  </w:style>
  <w:style w:type="paragraph" w:styleId="58">
    <w:name w:val="index 1"/>
    <w:basedOn w:val="1"/>
    <w:next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styleId="59">
    <w:name w:val="Title"/>
    <w:basedOn w:val="1"/>
    <w:next w:val="1"/>
    <w:link w:val="423"/>
    <w:autoRedefine/>
    <w:qFormat/>
    <w:uiPriority w:val="0"/>
    <w:pPr>
      <w:widowControl w:val="0"/>
      <w:adjustRightInd/>
      <w:snapToGrid/>
      <w:spacing w:before="240" w:after="60"/>
      <w:jc w:val="center"/>
      <w:outlineLvl w:val="0"/>
    </w:pPr>
    <w:rPr>
      <w:rFonts w:ascii="Cambria" w:hAnsi="Cambria" w:eastAsia="宋体" w:cs="Cambria"/>
      <w:b/>
      <w:bCs/>
      <w:kern w:val="2"/>
      <w:sz w:val="32"/>
      <w:szCs w:val="32"/>
    </w:rPr>
  </w:style>
  <w:style w:type="paragraph" w:styleId="60">
    <w:name w:val="annotation subject"/>
    <w:basedOn w:val="20"/>
    <w:next w:val="20"/>
    <w:link w:val="227"/>
    <w:autoRedefine/>
    <w:qFormat/>
    <w:uiPriority w:val="0"/>
    <w:pPr>
      <w:widowControl w:val="0"/>
      <w:adjustRightInd/>
      <w:snapToGrid/>
      <w:spacing w:after="0"/>
    </w:pPr>
    <w:rPr>
      <w:rFonts w:ascii="Times New Roman" w:hAnsi="Times New Roman" w:eastAsia="宋体" w:cs="Times New Roman"/>
      <w:b/>
      <w:bCs/>
      <w:sz w:val="20"/>
      <w:szCs w:val="24"/>
    </w:rPr>
  </w:style>
  <w:style w:type="table" w:styleId="62">
    <w:name w:val="Table Grid"/>
    <w:basedOn w:val="6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4">
    <w:name w:val="Strong"/>
    <w:basedOn w:val="63"/>
    <w:autoRedefine/>
    <w:qFormat/>
    <w:uiPriority w:val="0"/>
    <w:rPr>
      <w:b/>
      <w:bCs/>
    </w:rPr>
  </w:style>
  <w:style w:type="character" w:styleId="65">
    <w:name w:val="endnote reference"/>
    <w:autoRedefine/>
    <w:qFormat/>
    <w:uiPriority w:val="0"/>
    <w:rPr>
      <w:vertAlign w:val="superscript"/>
    </w:rPr>
  </w:style>
  <w:style w:type="character" w:styleId="66">
    <w:name w:val="page number"/>
    <w:basedOn w:val="63"/>
    <w:autoRedefine/>
    <w:qFormat/>
    <w:uiPriority w:val="0"/>
    <w:rPr>
      <w:rFonts w:hint="default" w:ascii="Times New Roman" w:hAnsi="Times New Roman" w:cs="Times New Roman"/>
    </w:rPr>
  </w:style>
  <w:style w:type="character" w:styleId="67">
    <w:name w:val="FollowedHyperlink"/>
    <w:basedOn w:val="63"/>
    <w:autoRedefine/>
    <w:unhideWhenUsed/>
    <w:qFormat/>
    <w:uiPriority w:val="0"/>
    <w:rPr>
      <w:color w:val="337AB7"/>
      <w:u w:val="single"/>
    </w:rPr>
  </w:style>
  <w:style w:type="character" w:styleId="68">
    <w:name w:val="Emphasis"/>
    <w:autoRedefine/>
    <w:qFormat/>
    <w:uiPriority w:val="0"/>
    <w:rPr>
      <w:i/>
      <w:iCs/>
    </w:rPr>
  </w:style>
  <w:style w:type="character" w:styleId="69">
    <w:name w:val="HTML Definition"/>
    <w:basedOn w:val="63"/>
    <w:autoRedefine/>
    <w:unhideWhenUsed/>
    <w:qFormat/>
    <w:uiPriority w:val="99"/>
    <w:rPr>
      <w:i/>
    </w:rPr>
  </w:style>
  <w:style w:type="character" w:styleId="70">
    <w:name w:val="Hyperlink"/>
    <w:basedOn w:val="63"/>
    <w:autoRedefine/>
    <w:qFormat/>
    <w:uiPriority w:val="99"/>
    <w:rPr>
      <w:rFonts w:hint="eastAsia" w:ascii="宋体" w:hAnsi="宋体" w:eastAsia="宋体" w:cs="宋体"/>
      <w:color w:val="0033CC"/>
      <w:sz w:val="18"/>
      <w:szCs w:val="18"/>
      <w:u w:val="none"/>
    </w:rPr>
  </w:style>
  <w:style w:type="character" w:styleId="71">
    <w:name w:val="HTML Code"/>
    <w:basedOn w:val="63"/>
    <w:autoRedefine/>
    <w:unhideWhenUsed/>
    <w:qFormat/>
    <w:uiPriority w:val="99"/>
    <w:rPr>
      <w:rFonts w:ascii="Consolas" w:hAnsi="Consolas" w:eastAsia="Consolas" w:cs="Consolas"/>
      <w:color w:val="C7254E"/>
      <w:sz w:val="21"/>
      <w:szCs w:val="21"/>
      <w:shd w:val="clear" w:color="auto" w:fill="F9F2F4"/>
    </w:rPr>
  </w:style>
  <w:style w:type="character" w:styleId="72">
    <w:name w:val="annotation reference"/>
    <w:autoRedefine/>
    <w:qFormat/>
    <w:uiPriority w:val="0"/>
    <w:rPr>
      <w:sz w:val="21"/>
      <w:szCs w:val="21"/>
    </w:rPr>
  </w:style>
  <w:style w:type="character" w:styleId="73">
    <w:name w:val="footnote reference"/>
    <w:autoRedefine/>
    <w:qFormat/>
    <w:uiPriority w:val="0"/>
    <w:rPr>
      <w:vertAlign w:val="superscript"/>
    </w:rPr>
  </w:style>
  <w:style w:type="character" w:styleId="74">
    <w:name w:val="HTML Keyboard"/>
    <w:basedOn w:val="63"/>
    <w:autoRedefine/>
    <w:unhideWhenUsed/>
    <w:qFormat/>
    <w:uiPriority w:val="99"/>
    <w:rPr>
      <w:rFonts w:hint="default" w:ascii="Consolas" w:hAnsi="Consolas" w:eastAsia="Consolas" w:cs="Consolas"/>
      <w:color w:val="FFFFFF"/>
      <w:sz w:val="21"/>
      <w:szCs w:val="21"/>
      <w:shd w:val="clear" w:color="auto" w:fill="333333"/>
    </w:rPr>
  </w:style>
  <w:style w:type="character" w:styleId="75">
    <w:name w:val="HTML Sample"/>
    <w:basedOn w:val="63"/>
    <w:autoRedefine/>
    <w:unhideWhenUsed/>
    <w:qFormat/>
    <w:uiPriority w:val="99"/>
    <w:rPr>
      <w:rFonts w:hint="default" w:ascii="Consolas" w:hAnsi="Consolas" w:eastAsia="Consolas" w:cs="Consolas"/>
      <w:sz w:val="21"/>
      <w:szCs w:val="21"/>
    </w:rPr>
  </w:style>
  <w:style w:type="paragraph" w:customStyle="1" w:styleId="76">
    <w:name w:val="一级条标题"/>
    <w:basedOn w:val="77"/>
    <w:next w:val="78"/>
    <w:autoRedefine/>
    <w:qFormat/>
    <w:uiPriority w:val="0"/>
    <w:pPr>
      <w:spacing w:beforeLines="50" w:afterLines="50"/>
      <w:ind w:left="1069" w:hanging="450"/>
      <w:outlineLvl w:val="2"/>
    </w:pPr>
    <w:rPr>
      <w:rFonts w:ascii="黑体" w:hAnsi="Times New Roman" w:eastAsia="黑体" w:cs="Times New Roman"/>
      <w:szCs w:val="21"/>
      <w:lang w:val="en-US" w:eastAsia="zh-CN" w:bidi="ar-SA"/>
    </w:rPr>
  </w:style>
  <w:style w:type="paragraph" w:customStyle="1" w:styleId="77">
    <w:name w:val="章标题"/>
    <w:basedOn w:val="1"/>
    <w:next w:val="1"/>
    <w:autoRedefine/>
    <w:qFormat/>
    <w:uiPriority w:val="0"/>
    <w:pPr>
      <w:adjustRightInd/>
      <w:snapToGrid/>
      <w:spacing w:before="158" w:after="153" w:line="323" w:lineRule="atLeast"/>
      <w:jc w:val="center"/>
      <w:textAlignment w:val="baseline"/>
    </w:pPr>
    <w:rPr>
      <w:rFonts w:ascii="Arial" w:hAnsi="Times New Roman" w:eastAsia="黑体" w:cs="Times New Roman"/>
      <w:color w:val="000000"/>
      <w:sz w:val="31"/>
      <w:szCs w:val="20"/>
      <w:u w:color="000000"/>
    </w:rPr>
  </w:style>
  <w:style w:type="paragraph" w:customStyle="1" w:styleId="78">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9">
    <w:name w:val="Body Text First Indent1"/>
    <w:basedOn w:val="15"/>
    <w:autoRedefine/>
    <w:qFormat/>
    <w:uiPriority w:val="0"/>
    <w:pPr>
      <w:spacing w:after="120" w:afterLines="0"/>
      <w:ind w:firstLine="210" w:firstLineChars="100"/>
      <w:jc w:val="left"/>
    </w:pPr>
    <w:rPr>
      <w:rFonts w:ascii="DFKai-SB" w:hAnsi="Times New Roman" w:eastAsia="DFKai-SB"/>
      <w:szCs w:val="24"/>
      <w:lang w:eastAsia="zh-TW"/>
    </w:rPr>
  </w:style>
  <w:style w:type="paragraph" w:customStyle="1" w:styleId="80">
    <w:name w:val="Default"/>
    <w:autoRedefine/>
    <w:qFormat/>
    <w:uiPriority w:val="0"/>
    <w:pPr>
      <w:widowControl w:val="0"/>
      <w:autoSpaceDE w:val="0"/>
      <w:autoSpaceDN w:val="0"/>
      <w:adjustRightInd w:val="0"/>
    </w:pPr>
    <w:rPr>
      <w:rFonts w:ascii="Sim Sun+ 2" w:hAnsi="Times New Roman" w:eastAsia="Sim Sun+ 2" w:cs="Times New Roman"/>
      <w:color w:val="000000"/>
      <w:sz w:val="24"/>
      <w:szCs w:val="24"/>
      <w:lang w:val="en-US" w:eastAsia="zh-CN" w:bidi="ar-SA"/>
    </w:rPr>
  </w:style>
  <w:style w:type="character" w:customStyle="1" w:styleId="81">
    <w:name w:val="标题 1 Char"/>
    <w:basedOn w:val="63"/>
    <w:link w:val="2"/>
    <w:autoRedefine/>
    <w:qFormat/>
    <w:uiPriority w:val="1"/>
    <w:rPr>
      <w:rFonts w:ascii="Times New Roman" w:hAnsi="Times New Roman" w:eastAsia="宋体" w:cs="Times New Roman"/>
      <w:b/>
      <w:bCs/>
      <w:kern w:val="44"/>
      <w:sz w:val="32"/>
      <w:szCs w:val="44"/>
    </w:rPr>
  </w:style>
  <w:style w:type="character" w:customStyle="1" w:styleId="82">
    <w:name w:val="标题 2 Char"/>
    <w:basedOn w:val="63"/>
    <w:link w:val="3"/>
    <w:autoRedefine/>
    <w:qFormat/>
    <w:uiPriority w:val="0"/>
    <w:rPr>
      <w:rFonts w:ascii="Arial" w:hAnsi="Arial" w:eastAsia="黑体" w:cs="Times New Roman"/>
      <w:b/>
      <w:bCs/>
      <w:kern w:val="2"/>
      <w:sz w:val="32"/>
      <w:szCs w:val="32"/>
    </w:rPr>
  </w:style>
  <w:style w:type="character" w:customStyle="1" w:styleId="83">
    <w:name w:val="标题 3 Char"/>
    <w:basedOn w:val="63"/>
    <w:link w:val="5"/>
    <w:autoRedefine/>
    <w:qFormat/>
    <w:uiPriority w:val="0"/>
    <w:rPr>
      <w:rFonts w:ascii="Times New Roman" w:hAnsi="Times New Roman" w:eastAsia="宋体" w:cs="Times New Roman"/>
      <w:b/>
      <w:bCs/>
      <w:kern w:val="2"/>
      <w:sz w:val="24"/>
      <w:szCs w:val="32"/>
    </w:rPr>
  </w:style>
  <w:style w:type="character" w:customStyle="1" w:styleId="84">
    <w:name w:val="标题 4 Char"/>
    <w:basedOn w:val="63"/>
    <w:link w:val="6"/>
    <w:autoRedefine/>
    <w:qFormat/>
    <w:uiPriority w:val="0"/>
    <w:rPr>
      <w:rFonts w:ascii="Arial" w:hAnsi="Arial" w:eastAsia="宋体" w:cs="Times New Roman"/>
      <w:b/>
      <w:bCs/>
      <w:kern w:val="2"/>
      <w:sz w:val="21"/>
      <w:szCs w:val="28"/>
    </w:rPr>
  </w:style>
  <w:style w:type="character" w:customStyle="1" w:styleId="85">
    <w:name w:val="标题 5 Char"/>
    <w:basedOn w:val="63"/>
    <w:link w:val="7"/>
    <w:autoRedefine/>
    <w:qFormat/>
    <w:uiPriority w:val="0"/>
    <w:rPr>
      <w:rFonts w:ascii="Times New Roman" w:hAnsi="Times New Roman" w:eastAsia="宋体" w:cs="Times New Roman"/>
      <w:b/>
      <w:bCs/>
      <w:kern w:val="2"/>
      <w:sz w:val="28"/>
      <w:szCs w:val="28"/>
    </w:rPr>
  </w:style>
  <w:style w:type="character" w:customStyle="1" w:styleId="86">
    <w:name w:val="页眉 Char"/>
    <w:basedOn w:val="63"/>
    <w:link w:val="41"/>
    <w:autoRedefine/>
    <w:qFormat/>
    <w:uiPriority w:val="99"/>
    <w:rPr>
      <w:rFonts w:ascii="Tahoma" w:hAnsi="Tahoma"/>
      <w:sz w:val="18"/>
      <w:szCs w:val="18"/>
    </w:rPr>
  </w:style>
  <w:style w:type="character" w:customStyle="1" w:styleId="87">
    <w:name w:val="页脚 Char"/>
    <w:basedOn w:val="63"/>
    <w:link w:val="39"/>
    <w:autoRedefine/>
    <w:qFormat/>
    <w:uiPriority w:val="99"/>
    <w:rPr>
      <w:rFonts w:ascii="Tahoma" w:hAnsi="Tahoma"/>
      <w:sz w:val="18"/>
      <w:szCs w:val="18"/>
    </w:rPr>
  </w:style>
  <w:style w:type="character" w:customStyle="1" w:styleId="88">
    <w:name w:val="black1"/>
    <w:basedOn w:val="63"/>
    <w:autoRedefine/>
    <w:qFormat/>
    <w:uiPriority w:val="0"/>
    <w:rPr>
      <w:rFonts w:hint="eastAsia" w:ascii="宋体" w:hAnsi="宋体" w:eastAsia="宋体" w:cs="宋体"/>
      <w:color w:val="333333"/>
      <w:sz w:val="18"/>
      <w:szCs w:val="18"/>
      <w:u w:val="none"/>
    </w:rPr>
  </w:style>
  <w:style w:type="character" w:customStyle="1" w:styleId="89">
    <w:name w:val="正文文本缩进 Char1 Char"/>
    <w:basedOn w:val="63"/>
    <w:autoRedefine/>
    <w:qFormat/>
    <w:uiPriority w:val="0"/>
    <w:rPr>
      <w:rFonts w:eastAsia="宋体"/>
      <w:kern w:val="2"/>
      <w:sz w:val="28"/>
      <w:szCs w:val="24"/>
      <w:lang w:val="en-US" w:eastAsia="zh-CN" w:bidi="ar-SA"/>
    </w:rPr>
  </w:style>
  <w:style w:type="character" w:customStyle="1" w:styleId="90">
    <w:name w:val="无间隔 Char"/>
    <w:basedOn w:val="63"/>
    <w:link w:val="91"/>
    <w:autoRedefine/>
    <w:qFormat/>
    <w:uiPriority w:val="0"/>
    <w:rPr>
      <w:rFonts w:ascii="Calibri" w:hAnsi="Calibri"/>
    </w:rPr>
  </w:style>
  <w:style w:type="paragraph" w:customStyle="1" w:styleId="91">
    <w:name w:val="无间隔1"/>
    <w:link w:val="90"/>
    <w:autoRedefine/>
    <w:qFormat/>
    <w:uiPriority w:val="0"/>
    <w:rPr>
      <w:rFonts w:ascii="Calibri" w:hAnsi="Calibri" w:eastAsia="微软雅黑" w:cstheme="minorBidi"/>
      <w:sz w:val="22"/>
      <w:szCs w:val="22"/>
      <w:lang w:val="en-US" w:eastAsia="zh-CN" w:bidi="ar-SA"/>
    </w:rPr>
  </w:style>
  <w:style w:type="character" w:customStyle="1" w:styleId="92">
    <w:name w:val="批注框文本 Char"/>
    <w:basedOn w:val="63"/>
    <w:link w:val="38"/>
    <w:autoRedefine/>
    <w:qFormat/>
    <w:uiPriority w:val="0"/>
    <w:rPr>
      <w:rFonts w:ascii="Times New Roman" w:hAnsi="Times New Roman" w:eastAsia="宋体" w:cs="Times New Roman"/>
      <w:kern w:val="2"/>
      <w:sz w:val="18"/>
      <w:szCs w:val="18"/>
    </w:rPr>
  </w:style>
  <w:style w:type="character" w:customStyle="1" w:styleId="93">
    <w:name w:val="日期 Char"/>
    <w:basedOn w:val="63"/>
    <w:link w:val="35"/>
    <w:autoRedefine/>
    <w:qFormat/>
    <w:uiPriority w:val="0"/>
    <w:rPr>
      <w:rFonts w:ascii="Times New Roman" w:hAnsi="Times New Roman" w:eastAsia="宋体" w:cs="Times New Roman"/>
      <w:kern w:val="2"/>
      <w:sz w:val="21"/>
      <w:szCs w:val="24"/>
    </w:rPr>
  </w:style>
  <w:style w:type="character" w:customStyle="1" w:styleId="94">
    <w:name w:val="正文文本 Char"/>
    <w:basedOn w:val="63"/>
    <w:link w:val="15"/>
    <w:autoRedefine/>
    <w:qFormat/>
    <w:uiPriority w:val="0"/>
    <w:rPr>
      <w:rFonts w:ascii="Times New Roman" w:hAnsi="Times New Roman" w:eastAsia="宋体" w:cs="Times New Roman"/>
      <w:kern w:val="2"/>
      <w:sz w:val="21"/>
      <w:szCs w:val="24"/>
    </w:rPr>
  </w:style>
  <w:style w:type="character" w:customStyle="1" w:styleId="95">
    <w:name w:val="正文文本缩进 Char"/>
    <w:basedOn w:val="63"/>
    <w:link w:val="23"/>
    <w:autoRedefine/>
    <w:qFormat/>
    <w:uiPriority w:val="0"/>
    <w:rPr>
      <w:rFonts w:ascii="Times New Roman" w:hAnsi="Times New Roman" w:eastAsia="宋体" w:cs="Times New Roman"/>
      <w:kern w:val="2"/>
      <w:sz w:val="21"/>
      <w:szCs w:val="24"/>
    </w:rPr>
  </w:style>
  <w:style w:type="character" w:customStyle="1" w:styleId="96">
    <w:name w:val="正文文本 3 Char"/>
    <w:basedOn w:val="63"/>
    <w:link w:val="21"/>
    <w:autoRedefine/>
    <w:qFormat/>
    <w:uiPriority w:val="0"/>
    <w:rPr>
      <w:rFonts w:ascii="Times New Roman" w:hAnsi="Times New Roman" w:eastAsia="宋体" w:cs="Times New Roman"/>
      <w:kern w:val="2"/>
      <w:sz w:val="16"/>
      <w:szCs w:val="16"/>
    </w:rPr>
  </w:style>
  <w:style w:type="paragraph" w:customStyle="1" w:styleId="97">
    <w:name w:val="Char Char Char Char"/>
    <w:basedOn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98">
    <w:name w:val="Char"/>
    <w:basedOn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99">
    <w:name w:val="Char Char Char"/>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100">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cs="宋体"/>
      <w:b w:val="0"/>
      <w:bCs w:val="0"/>
      <w:sz w:val="28"/>
      <w:szCs w:val="20"/>
    </w:rPr>
  </w:style>
  <w:style w:type="paragraph" w:customStyle="1" w:styleId="101">
    <w:name w:val="Char1"/>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102">
    <w:name w:val="标题 2 + 黑体"/>
    <w:basedOn w:val="1"/>
    <w:autoRedefine/>
    <w:qFormat/>
    <w:uiPriority w:val="0"/>
    <w:pPr>
      <w:widowControl w:val="0"/>
      <w:adjustRightInd/>
      <w:snapToGrid/>
      <w:spacing w:afterLines="50" w:line="460" w:lineRule="exact"/>
      <w:jc w:val="both"/>
    </w:pPr>
    <w:rPr>
      <w:rFonts w:ascii="黑体" w:hAnsi="宋体" w:eastAsia="黑体" w:cs="Times New Roman"/>
      <w:kern w:val="2"/>
      <w:sz w:val="36"/>
      <w:szCs w:val="32"/>
    </w:rPr>
  </w:style>
  <w:style w:type="paragraph" w:customStyle="1" w:styleId="103">
    <w:name w:val="样式 标题 3 + (中文) 黑体 小四 非加粗 段前: 7.8 磅 段后: 0 磅 行距: 固定值 20 磅"/>
    <w:basedOn w:val="5"/>
    <w:autoRedefine/>
    <w:qFormat/>
    <w:uiPriority w:val="0"/>
    <w:pPr>
      <w:spacing w:line="400" w:lineRule="exact"/>
    </w:pPr>
    <w:rPr>
      <w:rFonts w:eastAsia="黑体" w:cs="宋体"/>
      <w:b w:val="0"/>
      <w:bCs w:val="0"/>
      <w:szCs w:val="20"/>
    </w:rPr>
  </w:style>
  <w:style w:type="paragraph" w:customStyle="1" w:styleId="104">
    <w:name w:val="Char Char Char1"/>
    <w:basedOn w:val="1"/>
    <w:autoRedefine/>
    <w:qFormat/>
    <w:uiPriority w:val="0"/>
    <w:pPr>
      <w:widowControl w:val="0"/>
      <w:adjustRightInd/>
      <w:snapToGrid/>
      <w:spacing w:after="0"/>
      <w:jc w:val="both"/>
    </w:pPr>
    <w:rPr>
      <w:rFonts w:eastAsia="宋体" w:cs="Times New Roman"/>
      <w:kern w:val="2"/>
      <w:sz w:val="24"/>
      <w:szCs w:val="20"/>
    </w:rPr>
  </w:style>
  <w:style w:type="character" w:customStyle="1" w:styleId="105">
    <w:name w:val="正文缩进 Char"/>
    <w:link w:val="4"/>
    <w:autoRedefine/>
    <w:qFormat/>
    <w:uiPriority w:val="0"/>
    <w:rPr>
      <w:rFonts w:ascii="Times New Roman" w:hAnsi="Times New Roman" w:eastAsia="宋体" w:cs="Times New Roman"/>
      <w:sz w:val="20"/>
      <w:szCs w:val="20"/>
    </w:rPr>
  </w:style>
  <w:style w:type="paragraph" w:customStyle="1" w:styleId="106">
    <w:name w:val="TOC 标题1"/>
    <w:basedOn w:val="2"/>
    <w:next w:val="1"/>
    <w:autoRedefine/>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7">
    <w:name w:val="apple-converted-space"/>
    <w:basedOn w:val="63"/>
    <w:autoRedefine/>
    <w:qFormat/>
    <w:uiPriority w:val="0"/>
  </w:style>
  <w:style w:type="paragraph" w:customStyle="1" w:styleId="108">
    <w:name w:val="列出段落1"/>
    <w:basedOn w:val="1"/>
    <w:autoRedefine/>
    <w:qFormat/>
    <w:uiPriority w:val="34"/>
    <w:pPr>
      <w:ind w:firstLine="420" w:firstLineChars="200"/>
    </w:pPr>
  </w:style>
  <w:style w:type="character" w:customStyle="1" w:styleId="109">
    <w:name w:val="普通(网站) Char"/>
    <w:link w:val="57"/>
    <w:autoRedefine/>
    <w:qFormat/>
    <w:uiPriority w:val="0"/>
    <w:rPr>
      <w:rFonts w:ascii="宋体" w:hAnsi="宋体" w:eastAsia="宋体" w:cs="宋体"/>
      <w:sz w:val="24"/>
      <w:szCs w:val="24"/>
    </w:rPr>
  </w:style>
  <w:style w:type="character" w:customStyle="1" w:styleId="110">
    <w:name w:val="文档结构图 Char"/>
    <w:basedOn w:val="63"/>
    <w:link w:val="19"/>
    <w:autoRedefine/>
    <w:qFormat/>
    <w:uiPriority w:val="0"/>
    <w:rPr>
      <w:rFonts w:ascii="宋体" w:hAnsi="Tahoma" w:eastAsia="宋体"/>
      <w:sz w:val="18"/>
      <w:szCs w:val="18"/>
    </w:rPr>
  </w:style>
  <w:style w:type="paragraph" w:customStyle="1" w:styleId="111">
    <w:name w:val="TOC 标题2"/>
    <w:basedOn w:val="2"/>
    <w:next w:val="1"/>
    <w:autoRedefine/>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12">
    <w:name w:val="列出段落2"/>
    <w:basedOn w:val="1"/>
    <w:autoRedefine/>
    <w:qFormat/>
    <w:uiPriority w:val="34"/>
    <w:pPr>
      <w:widowControl w:val="0"/>
      <w:autoSpaceDE w:val="0"/>
      <w:autoSpaceDN w:val="0"/>
      <w:adjustRightInd/>
      <w:snapToGrid/>
      <w:spacing w:after="0"/>
      <w:ind w:left="761" w:hanging="424"/>
    </w:pPr>
    <w:rPr>
      <w:rFonts w:ascii="宋体" w:hAnsi="宋体" w:eastAsia="宋体" w:cs="宋体"/>
      <w:lang w:val="zh-CN" w:bidi="zh-CN"/>
    </w:rPr>
  </w:style>
  <w:style w:type="table" w:customStyle="1" w:styleId="113">
    <w:name w:val="Table Normal"/>
    <w:autoRedefine/>
    <w:unhideWhenUsed/>
    <w:qFormat/>
    <w:uiPriority w:val="2"/>
    <w:tblPr>
      <w:tblCellMar>
        <w:top w:w="0" w:type="dxa"/>
        <w:left w:w="0" w:type="dxa"/>
        <w:bottom w:w="0" w:type="dxa"/>
        <w:right w:w="0" w:type="dxa"/>
      </w:tblCellMar>
    </w:tblPr>
  </w:style>
  <w:style w:type="paragraph" w:customStyle="1" w:styleId="114">
    <w:name w:val="Table Paragraph"/>
    <w:basedOn w:val="1"/>
    <w:autoRedefine/>
    <w:qFormat/>
    <w:uiPriority w:val="1"/>
    <w:pPr>
      <w:widowControl w:val="0"/>
      <w:autoSpaceDE w:val="0"/>
      <w:autoSpaceDN w:val="0"/>
      <w:adjustRightInd/>
      <w:snapToGrid/>
      <w:spacing w:after="0"/>
    </w:pPr>
    <w:rPr>
      <w:rFonts w:ascii="宋体" w:hAnsi="宋体" w:eastAsia="宋体" w:cs="宋体"/>
      <w:lang w:val="zh-CN" w:bidi="zh-CN"/>
    </w:rPr>
  </w:style>
  <w:style w:type="character" w:customStyle="1" w:styleId="115">
    <w:name w:val="hour_pm"/>
    <w:basedOn w:val="63"/>
    <w:autoRedefine/>
    <w:qFormat/>
    <w:uiPriority w:val="0"/>
  </w:style>
  <w:style w:type="character" w:customStyle="1" w:styleId="116">
    <w:name w:val="old"/>
    <w:basedOn w:val="63"/>
    <w:autoRedefine/>
    <w:qFormat/>
    <w:uiPriority w:val="0"/>
    <w:rPr>
      <w:color w:val="999999"/>
    </w:rPr>
  </w:style>
  <w:style w:type="character" w:customStyle="1" w:styleId="117">
    <w:name w:val="hover1"/>
    <w:basedOn w:val="63"/>
    <w:autoRedefine/>
    <w:qFormat/>
    <w:uiPriority w:val="0"/>
    <w:rPr>
      <w:shd w:val="clear" w:color="auto" w:fill="EEEEEE"/>
    </w:rPr>
  </w:style>
  <w:style w:type="character" w:customStyle="1" w:styleId="118">
    <w:name w:val="glyphicon6"/>
    <w:basedOn w:val="63"/>
    <w:autoRedefine/>
    <w:qFormat/>
    <w:uiPriority w:val="0"/>
  </w:style>
  <w:style w:type="character" w:customStyle="1" w:styleId="119">
    <w:name w:val="hour_am"/>
    <w:basedOn w:val="63"/>
    <w:autoRedefine/>
    <w:qFormat/>
    <w:uiPriority w:val="0"/>
  </w:style>
  <w:style w:type="character" w:customStyle="1" w:styleId="120">
    <w:name w:val="indent"/>
    <w:basedOn w:val="63"/>
    <w:autoRedefine/>
    <w:qFormat/>
    <w:uiPriority w:val="0"/>
  </w:style>
  <w:style w:type="character" w:customStyle="1" w:styleId="121">
    <w:name w:val="icon"/>
    <w:basedOn w:val="63"/>
    <w:autoRedefine/>
    <w:qFormat/>
    <w:uiPriority w:val="0"/>
  </w:style>
  <w:style w:type="paragraph" w:customStyle="1" w:styleId="122">
    <w:name w:val="_Style 79"/>
    <w:basedOn w:val="1"/>
    <w:next w:val="1"/>
    <w:autoRedefine/>
    <w:qFormat/>
    <w:uiPriority w:val="0"/>
    <w:pPr>
      <w:pBdr>
        <w:bottom w:val="single" w:color="auto" w:sz="6" w:space="1"/>
      </w:pBdr>
      <w:jc w:val="center"/>
    </w:pPr>
    <w:rPr>
      <w:rFonts w:ascii="Arial" w:eastAsia="宋体"/>
      <w:vanish/>
      <w:sz w:val="16"/>
    </w:rPr>
  </w:style>
  <w:style w:type="paragraph" w:customStyle="1" w:styleId="123">
    <w:name w:val="_Style 80"/>
    <w:basedOn w:val="1"/>
    <w:next w:val="1"/>
    <w:autoRedefine/>
    <w:qFormat/>
    <w:uiPriority w:val="0"/>
    <w:pPr>
      <w:pBdr>
        <w:top w:val="single" w:color="auto" w:sz="6" w:space="1"/>
      </w:pBdr>
      <w:jc w:val="center"/>
    </w:pPr>
    <w:rPr>
      <w:rFonts w:ascii="Arial" w:eastAsia="宋体"/>
      <w:vanish/>
      <w:sz w:val="16"/>
    </w:rPr>
  </w:style>
  <w:style w:type="character" w:customStyle="1" w:styleId="124">
    <w:name w:val="glyphicon"/>
    <w:basedOn w:val="63"/>
    <w:autoRedefine/>
    <w:qFormat/>
    <w:uiPriority w:val="0"/>
  </w:style>
  <w:style w:type="character" w:customStyle="1" w:styleId="125">
    <w:name w:val="hover"/>
    <w:basedOn w:val="63"/>
    <w:autoRedefine/>
    <w:qFormat/>
    <w:uiPriority w:val="0"/>
    <w:rPr>
      <w:shd w:val="clear" w:color="auto" w:fill="EEEEEE"/>
    </w:rPr>
  </w:style>
  <w:style w:type="paragraph" w:customStyle="1" w:styleId="126">
    <w:name w:val="_Style 1"/>
    <w:basedOn w:val="1"/>
    <w:next w:val="1"/>
    <w:autoRedefine/>
    <w:qFormat/>
    <w:uiPriority w:val="0"/>
    <w:pPr>
      <w:pBdr>
        <w:bottom w:val="single" w:color="auto" w:sz="6" w:space="1"/>
      </w:pBdr>
      <w:jc w:val="center"/>
    </w:pPr>
    <w:rPr>
      <w:rFonts w:ascii="Arial" w:eastAsia="宋体"/>
      <w:vanish/>
      <w:sz w:val="16"/>
    </w:rPr>
  </w:style>
  <w:style w:type="character" w:customStyle="1" w:styleId="127">
    <w:name w:val="标题 Char"/>
    <w:basedOn w:val="63"/>
    <w:autoRedefine/>
    <w:qFormat/>
    <w:uiPriority w:val="0"/>
    <w:rPr>
      <w:rFonts w:asciiTheme="majorHAnsi" w:hAnsiTheme="majorHAnsi" w:cstheme="majorBidi"/>
      <w:b/>
      <w:bCs/>
      <w:sz w:val="32"/>
      <w:szCs w:val="32"/>
    </w:rPr>
  </w:style>
  <w:style w:type="character" w:customStyle="1" w:styleId="128">
    <w:name w:val="标题 Char1"/>
    <w:basedOn w:val="63"/>
    <w:link w:val="59"/>
    <w:autoRedefine/>
    <w:qFormat/>
    <w:uiPriority w:val="0"/>
    <w:rPr>
      <w:rFonts w:ascii="Cambria" w:hAnsi="Cambria" w:cs="Cambria"/>
      <w:b/>
      <w:bCs/>
      <w:kern w:val="2"/>
      <w:sz w:val="32"/>
      <w:szCs w:val="32"/>
    </w:rPr>
  </w:style>
  <w:style w:type="character" w:customStyle="1" w:styleId="129">
    <w:name w:val="font31"/>
    <w:autoRedefine/>
    <w:qFormat/>
    <w:uiPriority w:val="0"/>
    <w:rPr>
      <w:rFonts w:hint="eastAsia" w:ascii="宋体" w:hAnsi="宋体" w:eastAsia="宋体" w:cs="宋体"/>
      <w:color w:val="000000"/>
      <w:sz w:val="18"/>
      <w:szCs w:val="18"/>
      <w:u w:val="none"/>
    </w:rPr>
  </w:style>
  <w:style w:type="character" w:customStyle="1" w:styleId="130">
    <w:name w:val="font41"/>
    <w:autoRedefine/>
    <w:qFormat/>
    <w:uiPriority w:val="0"/>
    <w:rPr>
      <w:rFonts w:hint="eastAsia" w:ascii="宋体" w:hAnsi="宋体" w:eastAsia="宋体" w:cs="宋体"/>
      <w:b/>
      <w:color w:val="000000"/>
      <w:sz w:val="18"/>
      <w:szCs w:val="18"/>
      <w:u w:val="none"/>
    </w:rPr>
  </w:style>
  <w:style w:type="character" w:customStyle="1" w:styleId="131">
    <w:name w:val="正文文本缩进 3 Char"/>
    <w:basedOn w:val="63"/>
    <w:link w:val="49"/>
    <w:autoRedefine/>
    <w:qFormat/>
    <w:uiPriority w:val="0"/>
    <w:rPr>
      <w:rFonts w:ascii="Tahoma" w:hAnsi="Tahoma" w:eastAsia="微软雅黑" w:cstheme="minorBidi"/>
      <w:sz w:val="16"/>
      <w:szCs w:val="16"/>
    </w:rPr>
  </w:style>
  <w:style w:type="character" w:customStyle="1" w:styleId="132">
    <w:name w:val="纯文本 Char"/>
    <w:link w:val="32"/>
    <w:autoRedefine/>
    <w:qFormat/>
    <w:uiPriority w:val="0"/>
    <w:rPr>
      <w:rFonts w:ascii="宋体" w:hAnsi="Courier New"/>
      <w:kern w:val="2"/>
      <w:sz w:val="21"/>
    </w:rPr>
  </w:style>
  <w:style w:type="character" w:customStyle="1" w:styleId="133">
    <w:name w:val="纯文本 Char1"/>
    <w:basedOn w:val="63"/>
    <w:autoRedefine/>
    <w:qFormat/>
    <w:uiPriority w:val="0"/>
    <w:rPr>
      <w:rFonts w:ascii="宋体" w:hAnsi="Courier New" w:cs="Courier New"/>
      <w:sz w:val="21"/>
      <w:szCs w:val="21"/>
    </w:rPr>
  </w:style>
  <w:style w:type="paragraph" w:customStyle="1" w:styleId="134">
    <w:name w:val="Body text|21"/>
    <w:basedOn w:val="1"/>
    <w:link w:val="135"/>
    <w:autoRedefine/>
    <w:qFormat/>
    <w:uiPriority w:val="0"/>
    <w:pPr>
      <w:widowControl w:val="0"/>
      <w:shd w:val="clear" w:color="auto" w:fill="FFFFFF"/>
      <w:snapToGrid/>
      <w:spacing w:after="1000" w:line="300" w:lineRule="exact"/>
      <w:jc w:val="center"/>
      <w:textAlignment w:val="baseline"/>
    </w:pPr>
    <w:rPr>
      <w:rFonts w:ascii="PMingLiU" w:hAnsi="PMingLiU" w:eastAsia="PMingLiU" w:cs="PMingLiU"/>
      <w:spacing w:val="30"/>
      <w:sz w:val="30"/>
      <w:szCs w:val="30"/>
    </w:rPr>
  </w:style>
  <w:style w:type="character" w:customStyle="1" w:styleId="135">
    <w:name w:val="Body text|2_"/>
    <w:basedOn w:val="63"/>
    <w:link w:val="134"/>
    <w:autoRedefine/>
    <w:qFormat/>
    <w:uiPriority w:val="0"/>
    <w:rPr>
      <w:rFonts w:ascii="PMingLiU" w:hAnsi="PMingLiU" w:eastAsia="PMingLiU" w:cs="PMingLiU"/>
      <w:spacing w:val="30"/>
      <w:sz w:val="30"/>
      <w:szCs w:val="30"/>
      <w:shd w:val="clear" w:color="auto" w:fill="FFFFFF"/>
    </w:rPr>
  </w:style>
  <w:style w:type="character" w:customStyle="1" w:styleId="136">
    <w:name w:val="标题 6 Char"/>
    <w:basedOn w:val="63"/>
    <w:link w:val="8"/>
    <w:autoRedefine/>
    <w:qFormat/>
    <w:uiPriority w:val="0"/>
    <w:rPr>
      <w:rFonts w:ascii="Cambria" w:hAnsi="Cambria"/>
      <w:b/>
      <w:bCs/>
      <w:kern w:val="2"/>
      <w:sz w:val="24"/>
      <w:szCs w:val="24"/>
    </w:rPr>
  </w:style>
  <w:style w:type="character" w:customStyle="1" w:styleId="137">
    <w:name w:val="标题 7 Char"/>
    <w:basedOn w:val="63"/>
    <w:link w:val="9"/>
    <w:autoRedefine/>
    <w:qFormat/>
    <w:uiPriority w:val="0"/>
    <w:rPr>
      <w:rFonts w:ascii="Calibri" w:hAnsi="Calibri"/>
      <w:b/>
      <w:bCs/>
      <w:kern w:val="2"/>
      <w:sz w:val="24"/>
      <w:szCs w:val="24"/>
    </w:rPr>
  </w:style>
  <w:style w:type="character" w:customStyle="1" w:styleId="138">
    <w:name w:val="标题 8 Char"/>
    <w:basedOn w:val="63"/>
    <w:link w:val="10"/>
    <w:autoRedefine/>
    <w:qFormat/>
    <w:uiPriority w:val="0"/>
    <w:rPr>
      <w:rFonts w:ascii="Cambria" w:hAnsi="Cambria"/>
      <w:kern w:val="2"/>
      <w:sz w:val="24"/>
      <w:szCs w:val="24"/>
    </w:rPr>
  </w:style>
  <w:style w:type="character" w:customStyle="1" w:styleId="139">
    <w:name w:val="标题 9 Char"/>
    <w:basedOn w:val="63"/>
    <w:link w:val="11"/>
    <w:autoRedefine/>
    <w:qFormat/>
    <w:uiPriority w:val="0"/>
    <w:rPr>
      <w:rFonts w:ascii="Cambria" w:hAnsi="Cambria"/>
      <w:kern w:val="2"/>
      <w:sz w:val="21"/>
      <w:szCs w:val="21"/>
    </w:rPr>
  </w:style>
  <w:style w:type="character" w:customStyle="1" w:styleId="140">
    <w:name w:val="正文文本缩进 Char1"/>
    <w:basedOn w:val="63"/>
    <w:autoRedefine/>
    <w:semiHidden/>
    <w:qFormat/>
    <w:uiPriority w:val="99"/>
  </w:style>
  <w:style w:type="character" w:customStyle="1" w:styleId="141">
    <w:name w:val="书籍标题1"/>
    <w:autoRedefine/>
    <w:qFormat/>
    <w:uiPriority w:val="0"/>
    <w:rPr>
      <w:b/>
      <w:bCs/>
      <w:smallCaps/>
      <w:spacing w:val="5"/>
    </w:rPr>
  </w:style>
  <w:style w:type="character" w:customStyle="1" w:styleId="142">
    <w:name w:val="H29 Char"/>
    <w:autoRedefine/>
    <w:qFormat/>
    <w:uiPriority w:val="0"/>
    <w:rPr>
      <w:rFonts w:ascii="宋体" w:hAnsi="宋体" w:eastAsia="宋体"/>
      <w:b/>
      <w:kern w:val="2"/>
      <w:sz w:val="28"/>
      <w:szCs w:val="28"/>
      <w:lang w:val="en-US" w:eastAsia="zh-CN" w:bidi="ar-SA"/>
    </w:rPr>
  </w:style>
  <w:style w:type="character" w:customStyle="1" w:styleId="143">
    <w:name w:val="正文文本缩进 2 Char1"/>
    <w:basedOn w:val="63"/>
    <w:autoRedefine/>
    <w:semiHidden/>
    <w:qFormat/>
    <w:uiPriority w:val="99"/>
  </w:style>
  <w:style w:type="character" w:customStyle="1" w:styleId="144">
    <w:name w:val="Í· Char"/>
    <w:autoRedefine/>
    <w:qFormat/>
    <w:uiPriority w:val="0"/>
    <w:rPr>
      <w:rFonts w:ascii="宋体" w:hAnsi="宋体" w:eastAsia="宋体"/>
      <w:b/>
      <w:kern w:val="2"/>
      <w:sz w:val="24"/>
      <w:szCs w:val="24"/>
      <w:lang w:val="en-US" w:eastAsia="zh-CN" w:bidi="ar-SA"/>
    </w:rPr>
  </w:style>
  <w:style w:type="character" w:customStyle="1" w:styleId="145">
    <w:name w:val="Char Char5"/>
    <w:autoRedefine/>
    <w:qFormat/>
    <w:uiPriority w:val="0"/>
    <w:rPr>
      <w:rFonts w:ascii="宋体" w:hAnsi="宋体" w:eastAsia="宋体"/>
      <w:kern w:val="2"/>
      <w:sz w:val="28"/>
      <w:szCs w:val="24"/>
      <w:lang w:val="en-US" w:eastAsia="zh-CN" w:bidi="ar-SA"/>
    </w:rPr>
  </w:style>
  <w:style w:type="character" w:customStyle="1" w:styleId="146">
    <w:name w:val="Char Char9"/>
    <w:autoRedefine/>
    <w:qFormat/>
    <w:uiPriority w:val="0"/>
    <w:rPr>
      <w:rFonts w:eastAsia="宋体"/>
      <w:color w:val="000000"/>
      <w:sz w:val="21"/>
      <w:u w:color="000000"/>
      <w:lang w:val="en-US" w:eastAsia="zh-CN" w:bidi="ar-SA"/>
    </w:rPr>
  </w:style>
  <w:style w:type="character" w:customStyle="1" w:styleId="147">
    <w:name w:val="标题 3 Char Char Char"/>
    <w:autoRedefine/>
    <w:qFormat/>
    <w:uiPriority w:val="0"/>
    <w:rPr>
      <w:rFonts w:ascii="宋体" w:hAnsi="宋体" w:eastAsia="宋体"/>
      <w:b/>
      <w:kern w:val="2"/>
      <w:sz w:val="24"/>
      <w:szCs w:val="24"/>
      <w:lang w:val="en-US" w:eastAsia="zh-CN" w:bidi="ar-SA"/>
    </w:rPr>
  </w:style>
  <w:style w:type="character" w:customStyle="1" w:styleId="148">
    <w:name w:val="正文文本缩进 3 Char1"/>
    <w:autoRedefine/>
    <w:semiHidden/>
    <w:qFormat/>
    <w:uiPriority w:val="99"/>
    <w:rPr>
      <w:sz w:val="16"/>
      <w:szCs w:val="16"/>
    </w:rPr>
  </w:style>
  <w:style w:type="character" w:customStyle="1" w:styleId="149">
    <w:name w:val="Blockquote Char"/>
    <w:link w:val="150"/>
    <w:autoRedefine/>
    <w:qFormat/>
    <w:uiPriority w:val="0"/>
    <w:rPr>
      <w:sz w:val="24"/>
    </w:rPr>
  </w:style>
  <w:style w:type="paragraph" w:customStyle="1" w:styleId="150">
    <w:name w:val="Blockquote"/>
    <w:basedOn w:val="1"/>
    <w:link w:val="149"/>
    <w:autoRedefine/>
    <w:qFormat/>
    <w:uiPriority w:val="0"/>
    <w:pPr>
      <w:widowControl w:val="0"/>
      <w:autoSpaceDE w:val="0"/>
      <w:autoSpaceDN w:val="0"/>
      <w:snapToGrid/>
      <w:spacing w:before="100" w:after="100"/>
      <w:ind w:left="360" w:right="360"/>
    </w:pPr>
    <w:rPr>
      <w:rFonts w:ascii="Times New Roman" w:hAnsi="Times New Roman" w:eastAsia="宋体" w:cs="Times New Roman"/>
      <w:sz w:val="24"/>
      <w:szCs w:val="20"/>
    </w:rPr>
  </w:style>
  <w:style w:type="character" w:customStyle="1" w:styleId="151">
    <w:name w:val="+正文 Char Char3 Char Char Char Char Char Char Char Char"/>
    <w:link w:val="152"/>
    <w:autoRedefine/>
    <w:qFormat/>
    <w:uiPriority w:val="0"/>
    <w:rPr>
      <w:sz w:val="24"/>
      <w:szCs w:val="24"/>
    </w:rPr>
  </w:style>
  <w:style w:type="paragraph" w:customStyle="1" w:styleId="152">
    <w:name w:val="+正文 Char Char3 Char Char Char Char Char Char"/>
    <w:basedOn w:val="1"/>
    <w:link w:val="15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53">
    <w:name w:val="+正文 Char Char Char Char Char Char Char Char Char"/>
    <w:link w:val="154"/>
    <w:autoRedefine/>
    <w:qFormat/>
    <w:uiPriority w:val="0"/>
    <w:rPr>
      <w:sz w:val="24"/>
      <w:szCs w:val="28"/>
    </w:rPr>
  </w:style>
  <w:style w:type="paragraph" w:customStyle="1" w:styleId="154">
    <w:name w:val="+正文 Char Char Char Char Char Char Char"/>
    <w:basedOn w:val="1"/>
    <w:link w:val="153"/>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8"/>
    </w:rPr>
  </w:style>
  <w:style w:type="character" w:customStyle="1" w:styleId="155">
    <w:name w:val="正文文本 3 Char1"/>
    <w:autoRedefine/>
    <w:semiHidden/>
    <w:qFormat/>
    <w:uiPriority w:val="99"/>
    <w:rPr>
      <w:sz w:val="16"/>
      <w:szCs w:val="16"/>
    </w:rPr>
  </w:style>
  <w:style w:type="character" w:customStyle="1" w:styleId="156">
    <w:name w:val="四1"/>
    <w:autoRedefine/>
    <w:qFormat/>
    <w:uiPriority w:val="0"/>
    <w:rPr>
      <w:rFonts w:eastAsia="宋体"/>
      <w:b/>
      <w:kern w:val="2"/>
      <w:sz w:val="24"/>
      <w:szCs w:val="24"/>
      <w:lang w:val="en-US" w:eastAsia="zh-CN" w:bidi="ar-SA"/>
    </w:rPr>
  </w:style>
  <w:style w:type="character" w:customStyle="1" w:styleId="157">
    <w:name w:val="Í Char"/>
    <w:autoRedefine/>
    <w:qFormat/>
    <w:uiPriority w:val="0"/>
    <w:rPr>
      <w:rFonts w:ascii="宋体" w:hAnsi="宋体"/>
      <w:b/>
      <w:kern w:val="2"/>
      <w:sz w:val="24"/>
      <w:szCs w:val="24"/>
    </w:rPr>
  </w:style>
  <w:style w:type="character" w:customStyle="1" w:styleId="158">
    <w:name w:val="+列表编号 Char Char"/>
    <w:autoRedefine/>
    <w:qFormat/>
    <w:uiPriority w:val="0"/>
    <w:rPr>
      <w:rFonts w:eastAsia="宋体"/>
      <w:b/>
      <w:kern w:val="2"/>
      <w:sz w:val="24"/>
      <w:szCs w:val="28"/>
      <w:lang w:val="en-US" w:eastAsia="zh-CN" w:bidi="ar-SA"/>
    </w:rPr>
  </w:style>
  <w:style w:type="character" w:customStyle="1" w:styleId="159">
    <w:name w:val="+正文 Char Char2 Char Char Char Char Char Char Char Char"/>
    <w:link w:val="160"/>
    <w:autoRedefine/>
    <w:qFormat/>
    <w:uiPriority w:val="0"/>
    <w:rPr>
      <w:sz w:val="24"/>
      <w:szCs w:val="28"/>
    </w:rPr>
  </w:style>
  <w:style w:type="paragraph" w:customStyle="1" w:styleId="160">
    <w:name w:val="+正文 Char Char2 Char Char Char Char Char Char"/>
    <w:basedOn w:val="1"/>
    <w:link w:val="159"/>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8"/>
    </w:rPr>
  </w:style>
  <w:style w:type="character" w:customStyle="1" w:styleId="161">
    <w:name w:val="文档结构图 Char2"/>
    <w:autoRedefine/>
    <w:semiHidden/>
    <w:qFormat/>
    <w:uiPriority w:val="99"/>
    <w:rPr>
      <w:rFonts w:ascii="宋体" w:eastAsia="宋体"/>
      <w:sz w:val="18"/>
      <w:szCs w:val="18"/>
    </w:rPr>
  </w:style>
  <w:style w:type="character" w:customStyle="1" w:styleId="162">
    <w:name w:val="+正文 Char Char Char4"/>
    <w:autoRedefine/>
    <w:qFormat/>
    <w:uiPriority w:val="0"/>
    <w:rPr>
      <w:rFonts w:eastAsia="宋体"/>
      <w:kern w:val="2"/>
      <w:sz w:val="24"/>
      <w:szCs w:val="24"/>
      <w:lang w:val="en-US" w:eastAsia="zh-CN" w:bidi="ar-SA"/>
    </w:rPr>
  </w:style>
  <w:style w:type="character" w:customStyle="1" w:styleId="163">
    <w:name w:val="H210 Char"/>
    <w:autoRedefine/>
    <w:qFormat/>
    <w:uiPriority w:val="0"/>
    <w:rPr>
      <w:rFonts w:ascii="宋体" w:hAnsi="宋体" w:eastAsia="宋体"/>
      <w:b/>
      <w:kern w:val="2"/>
      <w:sz w:val="28"/>
      <w:szCs w:val="28"/>
      <w:lang w:val="en-US" w:eastAsia="zh-CN" w:bidi="ar-SA"/>
    </w:rPr>
  </w:style>
  <w:style w:type="character" w:customStyle="1" w:styleId="164">
    <w:name w:val="标题5 Char Char"/>
    <w:link w:val="165"/>
    <w:autoRedefine/>
    <w:qFormat/>
    <w:uiPriority w:val="0"/>
    <w:rPr>
      <w:rFonts w:ascii="Arial" w:hAnsi="Arial"/>
      <w:b/>
      <w:bCs/>
      <w:sz w:val="24"/>
      <w:szCs w:val="32"/>
    </w:rPr>
  </w:style>
  <w:style w:type="paragraph" w:customStyle="1" w:styleId="165">
    <w:name w:val="标题5"/>
    <w:basedOn w:val="5"/>
    <w:link w:val="164"/>
    <w:autoRedefine/>
    <w:qFormat/>
    <w:uiPriority w:val="0"/>
    <w:pPr>
      <w:spacing w:before="260" w:after="260" w:line="413" w:lineRule="auto"/>
    </w:pPr>
    <w:rPr>
      <w:rFonts w:ascii="Arial" w:hAnsi="Arial"/>
      <w:kern w:val="0"/>
    </w:rPr>
  </w:style>
  <w:style w:type="character" w:customStyle="1" w:styleId="166">
    <w:name w:val="正文文本缩进 2 Char"/>
    <w:link w:val="36"/>
    <w:autoRedefine/>
    <w:qFormat/>
    <w:uiPriority w:val="0"/>
    <w:rPr>
      <w:szCs w:val="24"/>
    </w:rPr>
  </w:style>
  <w:style w:type="character" w:customStyle="1" w:styleId="167">
    <w:name w:val="Ü5 + Nr1"/>
    <w:autoRedefine/>
    <w:qFormat/>
    <w:uiPriority w:val="0"/>
    <w:rPr>
      <w:rFonts w:eastAsia="宋体"/>
      <w:b/>
      <w:bCs/>
      <w:kern w:val="2"/>
      <w:sz w:val="28"/>
      <w:szCs w:val="28"/>
      <w:lang w:val="en-US" w:eastAsia="zh-CN" w:bidi="ar-SA"/>
    </w:rPr>
  </w:style>
  <w:style w:type="character" w:customStyle="1" w:styleId="168">
    <w:name w:val="+正文 Char Char1 Char Char Char Char Char Char Char"/>
    <w:link w:val="169"/>
    <w:autoRedefine/>
    <w:qFormat/>
    <w:uiPriority w:val="0"/>
    <w:rPr>
      <w:sz w:val="24"/>
      <w:szCs w:val="24"/>
    </w:rPr>
  </w:style>
  <w:style w:type="paragraph" w:customStyle="1" w:styleId="169">
    <w:name w:val="+正文 Char Char1 Char Char Char Char Char"/>
    <w:basedOn w:val="1"/>
    <w:link w:val="168"/>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70">
    <w:name w:val="Char Char20"/>
    <w:autoRedefine/>
    <w:qFormat/>
    <w:uiPriority w:val="0"/>
    <w:rPr>
      <w:rFonts w:ascii="宋体" w:hAnsi="宋体" w:eastAsia="宋体"/>
      <w:b/>
      <w:kern w:val="2"/>
      <w:sz w:val="28"/>
      <w:szCs w:val="28"/>
      <w:lang w:val="en-US" w:eastAsia="zh-CN" w:bidi="ar-SA"/>
    </w:rPr>
  </w:style>
  <w:style w:type="character" w:customStyle="1" w:styleId="171">
    <w:name w:val="引用 Char1"/>
    <w:autoRedefine/>
    <w:qFormat/>
    <w:uiPriority w:val="29"/>
    <w:rPr>
      <w:i/>
      <w:iCs/>
      <w:color w:val="000000"/>
    </w:rPr>
  </w:style>
  <w:style w:type="character" w:customStyle="1" w:styleId="172">
    <w:name w:val="不明显强调1"/>
    <w:autoRedefine/>
    <w:qFormat/>
    <w:uiPriority w:val="0"/>
    <w:rPr>
      <w:i/>
      <w:iCs/>
      <w:color w:val="808080"/>
    </w:rPr>
  </w:style>
  <w:style w:type="character" w:customStyle="1" w:styleId="173">
    <w:name w:val="样式 样式 宋体 四号 + Times New Roman 小三 加粗"/>
    <w:autoRedefine/>
    <w:qFormat/>
    <w:uiPriority w:val="0"/>
    <w:rPr>
      <w:rFonts w:ascii="Times New Roman" w:hAnsi="Times New Roman" w:eastAsia="黑体"/>
      <w:bCs/>
      <w:spacing w:val="2"/>
      <w:sz w:val="28"/>
      <w:szCs w:val="28"/>
    </w:rPr>
  </w:style>
  <w:style w:type="character" w:customStyle="1" w:styleId="174">
    <w:name w:val="标准正文 Char Char Char Char Char Char Char Char Char"/>
    <w:link w:val="175"/>
    <w:autoRedefine/>
    <w:qFormat/>
    <w:uiPriority w:val="0"/>
    <w:rPr>
      <w:rFonts w:cs="宋体"/>
      <w:sz w:val="24"/>
      <w:szCs w:val="24"/>
    </w:rPr>
  </w:style>
  <w:style w:type="paragraph" w:customStyle="1" w:styleId="175">
    <w:name w:val="标准正文 Char Char Char Char Char Char Char"/>
    <w:basedOn w:val="1"/>
    <w:link w:val="174"/>
    <w:autoRedefine/>
    <w:qFormat/>
    <w:uiPriority w:val="0"/>
    <w:pPr>
      <w:widowControl w:val="0"/>
      <w:adjustRightInd/>
      <w:snapToGrid/>
      <w:spacing w:after="0" w:line="360" w:lineRule="auto"/>
      <w:ind w:left="840" w:leftChars="400" w:firstLine="480" w:firstLineChars="200"/>
      <w:jc w:val="both"/>
    </w:pPr>
    <w:rPr>
      <w:rFonts w:ascii="Times New Roman" w:hAnsi="Times New Roman" w:eastAsia="宋体" w:cs="宋体"/>
      <w:sz w:val="24"/>
      <w:szCs w:val="24"/>
    </w:rPr>
  </w:style>
  <w:style w:type="character" w:customStyle="1" w:styleId="176">
    <w:name w:val="正文文本 2 Char1"/>
    <w:basedOn w:val="63"/>
    <w:autoRedefine/>
    <w:semiHidden/>
    <w:qFormat/>
    <w:uiPriority w:val="99"/>
  </w:style>
  <w:style w:type="character" w:customStyle="1" w:styleId="177">
    <w:name w:val="Char Char6"/>
    <w:autoRedefine/>
    <w:qFormat/>
    <w:locked/>
    <w:uiPriority w:val="0"/>
    <w:rPr>
      <w:rFonts w:eastAsia="宋体"/>
      <w:b/>
      <w:bCs/>
      <w:kern w:val="2"/>
      <w:sz w:val="24"/>
      <w:szCs w:val="32"/>
      <w:lang w:val="en-US" w:eastAsia="zh-CN" w:bidi="ar-SA"/>
    </w:rPr>
  </w:style>
  <w:style w:type="character" w:customStyle="1" w:styleId="178">
    <w:name w:val="+正文 Char4"/>
    <w:autoRedefine/>
    <w:qFormat/>
    <w:uiPriority w:val="0"/>
    <w:rPr>
      <w:rFonts w:eastAsia="宋体"/>
      <w:kern w:val="2"/>
      <w:sz w:val="24"/>
      <w:szCs w:val="28"/>
      <w:lang w:val="en-US" w:eastAsia="zh-CN" w:bidi="ar-SA"/>
    </w:rPr>
  </w:style>
  <w:style w:type="character" w:customStyle="1" w:styleId="179">
    <w:name w:val="H210 Char1"/>
    <w:autoRedefine/>
    <w:qFormat/>
    <w:uiPriority w:val="0"/>
    <w:rPr>
      <w:rFonts w:ascii="宋体" w:hAnsi="宋体" w:eastAsia="宋体"/>
      <w:b/>
      <w:kern w:val="2"/>
      <w:sz w:val="28"/>
      <w:szCs w:val="28"/>
      <w:lang w:val="en-US" w:eastAsia="zh-CN" w:bidi="ar-SA"/>
    </w:rPr>
  </w:style>
  <w:style w:type="character" w:customStyle="1" w:styleId="180">
    <w:name w:val="Char Char18"/>
    <w:autoRedefine/>
    <w:qFormat/>
    <w:uiPriority w:val="0"/>
    <w:rPr>
      <w:b/>
      <w:bCs/>
      <w:kern w:val="44"/>
      <w:sz w:val="44"/>
      <w:szCs w:val="44"/>
    </w:rPr>
  </w:style>
  <w:style w:type="character" w:customStyle="1" w:styleId="181">
    <w:name w:val="明显引用 Char1"/>
    <w:autoRedefine/>
    <w:qFormat/>
    <w:uiPriority w:val="30"/>
    <w:rPr>
      <w:b/>
      <w:bCs/>
      <w:i/>
      <w:iCs/>
      <w:color w:val="4F81BD"/>
    </w:rPr>
  </w:style>
  <w:style w:type="character" w:customStyle="1" w:styleId="182">
    <w:name w:val="标题4 Char Char"/>
    <w:link w:val="183"/>
    <w:autoRedefine/>
    <w:qFormat/>
    <w:uiPriority w:val="0"/>
    <w:rPr>
      <w:rFonts w:ascii="Arial" w:hAnsi="Arial"/>
      <w:b/>
      <w:bCs/>
      <w:sz w:val="24"/>
      <w:szCs w:val="32"/>
    </w:rPr>
  </w:style>
  <w:style w:type="paragraph" w:customStyle="1" w:styleId="183">
    <w:name w:val="标题4"/>
    <w:basedOn w:val="3"/>
    <w:next w:val="29"/>
    <w:link w:val="182"/>
    <w:autoRedefine/>
    <w:qFormat/>
    <w:uiPriority w:val="0"/>
    <w:rPr>
      <w:rFonts w:eastAsia="宋体"/>
      <w:kern w:val="0"/>
      <w:sz w:val="24"/>
    </w:rPr>
  </w:style>
  <w:style w:type="character" w:customStyle="1" w:styleId="184">
    <w:name w:val="副标题 Char1"/>
    <w:autoRedefine/>
    <w:qFormat/>
    <w:uiPriority w:val="11"/>
    <w:rPr>
      <w:rFonts w:ascii="Cambria" w:hAnsi="Cambria" w:eastAsia="宋体" w:cs="Times New Roman"/>
      <w:b/>
      <w:bCs/>
      <w:kern w:val="28"/>
      <w:sz w:val="32"/>
      <w:szCs w:val="32"/>
    </w:rPr>
  </w:style>
  <w:style w:type="character" w:customStyle="1" w:styleId="185">
    <w:name w:val="+正文 Char Char Char Char Char Char"/>
    <w:autoRedefine/>
    <w:qFormat/>
    <w:uiPriority w:val="0"/>
    <w:rPr>
      <w:rFonts w:ascii="楷体_GB2312" w:eastAsia="宋体"/>
      <w:kern w:val="2"/>
      <w:sz w:val="24"/>
      <w:szCs w:val="28"/>
      <w:lang w:val="en-US" w:eastAsia="zh-CN" w:bidi="ar-SA"/>
    </w:rPr>
  </w:style>
  <w:style w:type="character" w:customStyle="1" w:styleId="186">
    <w:name w:val="头1"/>
    <w:autoRedefine/>
    <w:qFormat/>
    <w:uiPriority w:val="0"/>
    <w:rPr>
      <w:rFonts w:ascii="宋体" w:hAnsi="宋体" w:eastAsia="宋体"/>
      <w:b/>
      <w:kern w:val="2"/>
      <w:sz w:val="24"/>
      <w:szCs w:val="24"/>
      <w:lang w:val="en-US" w:eastAsia="zh-CN" w:bidi="ar-SA"/>
    </w:rPr>
  </w:style>
  <w:style w:type="character" w:customStyle="1" w:styleId="187">
    <w:name w:val="明显引用 Char"/>
    <w:link w:val="188"/>
    <w:autoRedefine/>
    <w:qFormat/>
    <w:uiPriority w:val="0"/>
    <w:rPr>
      <w:b/>
      <w:bCs/>
      <w:i/>
      <w:iCs/>
      <w:color w:val="4F81BD"/>
    </w:rPr>
  </w:style>
  <w:style w:type="paragraph" w:customStyle="1" w:styleId="188">
    <w:name w:val="明显引用1"/>
    <w:basedOn w:val="1"/>
    <w:next w:val="1"/>
    <w:link w:val="187"/>
    <w:autoRedefine/>
    <w:qFormat/>
    <w:uiPriority w:val="0"/>
    <w:pPr>
      <w:widowControl w:val="0"/>
      <w:pBdr>
        <w:bottom w:val="single" w:color="4F81BD" w:sz="4" w:space="4"/>
      </w:pBdr>
      <w:adjustRightInd/>
      <w:snapToGrid/>
      <w:spacing w:before="200" w:after="280"/>
      <w:ind w:left="936" w:right="936"/>
      <w:jc w:val="both"/>
    </w:pPr>
    <w:rPr>
      <w:rFonts w:ascii="Times New Roman" w:hAnsi="Times New Roman" w:eastAsia="宋体" w:cs="Times New Roman"/>
      <w:b/>
      <w:bCs/>
      <w:i/>
      <w:iCs/>
      <w:color w:val="4F81BD"/>
      <w:sz w:val="20"/>
      <w:szCs w:val="20"/>
    </w:rPr>
  </w:style>
  <w:style w:type="character" w:customStyle="1" w:styleId="189">
    <w:name w:val="m2"/>
    <w:autoRedefine/>
    <w:qFormat/>
    <w:uiPriority w:val="0"/>
    <w:rPr>
      <w:rFonts w:hint="default" w:ascii="ˎ̥" w:hAnsi="ˎ̥"/>
      <w:sz w:val="21"/>
      <w:szCs w:val="21"/>
    </w:rPr>
  </w:style>
  <w:style w:type="character" w:customStyle="1" w:styleId="190">
    <w:name w:val="样式 样式 样式 标题 3 + 首行缩进:  2 字符 + 首行缩进:  2 字符 + 首行缩进:  2 字符 Char Char Char Char Char Char"/>
    <w:autoRedefine/>
    <w:qFormat/>
    <w:uiPriority w:val="0"/>
    <w:rPr>
      <w:rFonts w:eastAsia="黑体" w:cs="宋体"/>
      <w:kern w:val="2"/>
      <w:sz w:val="24"/>
      <w:szCs w:val="24"/>
      <w:lang w:val="en-US" w:eastAsia="zh-CN" w:bidi="ar-SA"/>
    </w:rPr>
  </w:style>
  <w:style w:type="character" w:customStyle="1" w:styleId="191">
    <w:name w:val="标准正文 Char Char Char Char"/>
    <w:link w:val="192"/>
    <w:autoRedefine/>
    <w:qFormat/>
    <w:uiPriority w:val="0"/>
    <w:rPr>
      <w:rFonts w:cs="宋体"/>
      <w:sz w:val="24"/>
      <w:szCs w:val="24"/>
    </w:rPr>
  </w:style>
  <w:style w:type="paragraph" w:customStyle="1" w:styleId="192">
    <w:name w:val="标准正文 Char"/>
    <w:basedOn w:val="1"/>
    <w:link w:val="191"/>
    <w:autoRedefine/>
    <w:qFormat/>
    <w:uiPriority w:val="0"/>
    <w:pPr>
      <w:widowControl w:val="0"/>
      <w:adjustRightInd/>
      <w:snapToGrid/>
      <w:spacing w:after="0" w:line="360" w:lineRule="auto"/>
      <w:ind w:left="840" w:leftChars="400" w:firstLine="480" w:firstLineChars="200"/>
      <w:jc w:val="both"/>
    </w:pPr>
    <w:rPr>
      <w:rFonts w:ascii="Times New Roman" w:hAnsi="Times New Roman" w:eastAsia="宋体" w:cs="宋体"/>
      <w:sz w:val="24"/>
      <w:szCs w:val="24"/>
    </w:rPr>
  </w:style>
  <w:style w:type="character" w:customStyle="1" w:styleId="193">
    <w:name w:val="+正文 Char Char5 Char Char Char Char Char Char"/>
    <w:link w:val="194"/>
    <w:autoRedefine/>
    <w:qFormat/>
    <w:uiPriority w:val="0"/>
    <w:rPr>
      <w:sz w:val="24"/>
      <w:szCs w:val="24"/>
    </w:rPr>
  </w:style>
  <w:style w:type="paragraph" w:customStyle="1" w:styleId="194">
    <w:name w:val="+正文 Char Char5 Char Char Char Char"/>
    <w:basedOn w:val="1"/>
    <w:link w:val="193"/>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195">
    <w:name w:val="标题 6 Char Char Char"/>
    <w:autoRedefine/>
    <w:qFormat/>
    <w:uiPriority w:val="0"/>
    <w:rPr>
      <w:rFonts w:ascii="Arial" w:hAnsi="Arial" w:eastAsia="宋体"/>
      <w:b/>
      <w:snapToGrid w:val="0"/>
      <w:sz w:val="26"/>
      <w:lang w:val="en-GB" w:eastAsia="zh-CN" w:bidi="ar-SA"/>
    </w:rPr>
  </w:style>
  <w:style w:type="character" w:customStyle="1" w:styleId="196">
    <w:name w:val="批注框文本 Char1"/>
    <w:autoRedefine/>
    <w:qFormat/>
    <w:uiPriority w:val="0"/>
    <w:rPr>
      <w:kern w:val="2"/>
      <w:sz w:val="18"/>
      <w:szCs w:val="18"/>
    </w:rPr>
  </w:style>
  <w:style w:type="character" w:customStyle="1" w:styleId="197">
    <w:name w:val="textorange"/>
    <w:autoRedefine/>
    <w:qFormat/>
    <w:uiPriority w:val="0"/>
    <w:rPr>
      <w:rFonts w:eastAsia="宋体"/>
      <w:kern w:val="2"/>
      <w:sz w:val="21"/>
      <w:szCs w:val="24"/>
      <w:lang w:val="en-US" w:eastAsia="zh-CN" w:bidi="ar-SA"/>
    </w:rPr>
  </w:style>
  <w:style w:type="character" w:customStyle="1" w:styleId="198">
    <w:name w:val="themebody1"/>
    <w:autoRedefine/>
    <w:qFormat/>
    <w:uiPriority w:val="0"/>
    <w:rPr>
      <w:color w:val="FFFFFF"/>
    </w:rPr>
  </w:style>
  <w:style w:type="character" w:customStyle="1" w:styleId="199">
    <w:name w:val="脚注文本 Char"/>
    <w:link w:val="46"/>
    <w:autoRedefine/>
    <w:qFormat/>
    <w:uiPriority w:val="0"/>
    <w:rPr>
      <w:kern w:val="2"/>
      <w:sz w:val="18"/>
      <w:szCs w:val="18"/>
    </w:rPr>
  </w:style>
  <w:style w:type="character" w:customStyle="1" w:styleId="200">
    <w:name w:val="批注文字 Char"/>
    <w:autoRedefine/>
    <w:qFormat/>
    <w:uiPriority w:val="0"/>
    <w:rPr>
      <w:rFonts w:eastAsia="宋体"/>
      <w:color w:val="000000"/>
      <w:sz w:val="21"/>
      <w:u w:color="000000"/>
      <w:lang w:val="en-US" w:eastAsia="zh-CN" w:bidi="ar-SA"/>
    </w:rPr>
  </w:style>
  <w:style w:type="character" w:customStyle="1" w:styleId="201">
    <w:name w:val="批注文字 Char Char"/>
    <w:autoRedefine/>
    <w:qFormat/>
    <w:uiPriority w:val="0"/>
    <w:rPr>
      <w:rFonts w:ascii="宋体" w:hAnsi="Times New Roman" w:eastAsia="宋体" w:cs="Times New Roman"/>
      <w:sz w:val="28"/>
      <w:szCs w:val="20"/>
    </w:rPr>
  </w:style>
  <w:style w:type="character" w:customStyle="1" w:styleId="202">
    <w:name w:val="标题 9 Char Char Char"/>
    <w:autoRedefine/>
    <w:qFormat/>
    <w:uiPriority w:val="0"/>
    <w:rPr>
      <w:rFonts w:ascii="Arial" w:hAnsi="Arial" w:eastAsia="宋体"/>
      <w:b/>
      <w:sz w:val="22"/>
      <w:lang w:val="en-GB" w:eastAsia="zh-CN" w:bidi="ar-SA"/>
    </w:rPr>
  </w:style>
  <w:style w:type="character" w:customStyle="1" w:styleId="203">
    <w:name w:val="HTML 预设格式 Char"/>
    <w:link w:val="56"/>
    <w:autoRedefine/>
    <w:qFormat/>
    <w:uiPriority w:val="0"/>
    <w:rPr>
      <w:rFonts w:ascii="宋体" w:hAnsi="宋体" w:cs="宋体"/>
      <w:sz w:val="24"/>
      <w:szCs w:val="24"/>
    </w:rPr>
  </w:style>
  <w:style w:type="character" w:customStyle="1" w:styleId="204">
    <w:name w:val="引用 Char"/>
    <w:link w:val="205"/>
    <w:autoRedefine/>
    <w:qFormat/>
    <w:uiPriority w:val="0"/>
    <w:rPr>
      <w:i/>
      <w:iCs/>
      <w:color w:val="000000"/>
    </w:rPr>
  </w:style>
  <w:style w:type="paragraph" w:customStyle="1" w:styleId="205">
    <w:name w:val="引用1"/>
    <w:basedOn w:val="1"/>
    <w:next w:val="1"/>
    <w:link w:val="204"/>
    <w:autoRedefine/>
    <w:qFormat/>
    <w:uiPriority w:val="0"/>
    <w:pPr>
      <w:widowControl w:val="0"/>
      <w:adjustRightInd/>
      <w:snapToGrid/>
      <w:spacing w:after="0"/>
      <w:jc w:val="both"/>
    </w:pPr>
    <w:rPr>
      <w:rFonts w:ascii="Times New Roman" w:hAnsi="Times New Roman" w:eastAsia="宋体" w:cs="Times New Roman"/>
      <w:i/>
      <w:iCs/>
      <w:color w:val="000000"/>
      <w:sz w:val="20"/>
      <w:szCs w:val="20"/>
    </w:rPr>
  </w:style>
  <w:style w:type="character" w:customStyle="1" w:styleId="206">
    <w:name w:val="副标题 Char"/>
    <w:link w:val="44"/>
    <w:autoRedefine/>
    <w:qFormat/>
    <w:uiPriority w:val="0"/>
    <w:rPr>
      <w:rFonts w:ascii="Cambria" w:hAnsi="Cambria"/>
      <w:b/>
      <w:bCs/>
      <w:kern w:val="28"/>
      <w:sz w:val="32"/>
      <w:szCs w:val="32"/>
    </w:rPr>
  </w:style>
  <w:style w:type="character" w:customStyle="1" w:styleId="207">
    <w:name w:val="明显强调1"/>
    <w:autoRedefine/>
    <w:qFormat/>
    <w:uiPriority w:val="0"/>
    <w:rPr>
      <w:b/>
      <w:bCs/>
      <w:i/>
      <w:iCs/>
      <w:color w:val="4F81BD"/>
    </w:rPr>
  </w:style>
  <w:style w:type="character" w:customStyle="1" w:styleId="208">
    <w:name w:val="正文文本 Char2"/>
    <w:basedOn w:val="63"/>
    <w:autoRedefine/>
    <w:semiHidden/>
    <w:qFormat/>
    <w:uiPriority w:val="99"/>
  </w:style>
  <w:style w:type="character" w:customStyle="1" w:styleId="209">
    <w:name w:val="标题 7 Char Char Char"/>
    <w:autoRedefine/>
    <w:qFormat/>
    <w:uiPriority w:val="0"/>
    <w:rPr>
      <w:rFonts w:ascii="Arial" w:hAnsi="Arial" w:eastAsia="宋体"/>
      <w:b/>
      <w:sz w:val="22"/>
      <w:lang w:val="en-GB" w:eastAsia="zh-CN" w:bidi="ar-SA"/>
    </w:rPr>
  </w:style>
  <w:style w:type="character" w:customStyle="1" w:styleId="210">
    <w:name w:val="Blockquote Char Char"/>
    <w:autoRedefine/>
    <w:qFormat/>
    <w:uiPriority w:val="0"/>
    <w:rPr>
      <w:rFonts w:eastAsia="宋体"/>
      <w:sz w:val="24"/>
      <w:lang w:val="en-US" w:eastAsia="zh-CN" w:bidi="ar-SA"/>
    </w:rPr>
  </w:style>
  <w:style w:type="character" w:customStyle="1" w:styleId="211">
    <w:name w:val="Heading 1 Char"/>
    <w:autoRedefine/>
    <w:qFormat/>
    <w:locked/>
    <w:uiPriority w:val="0"/>
    <w:rPr>
      <w:rFonts w:cs="Times New Roman"/>
      <w:b/>
      <w:bCs/>
      <w:kern w:val="44"/>
      <w:sz w:val="44"/>
      <w:szCs w:val="44"/>
    </w:rPr>
  </w:style>
  <w:style w:type="character" w:customStyle="1" w:styleId="212">
    <w:name w:val="正文文本 Char1"/>
    <w:autoRedefine/>
    <w:qFormat/>
    <w:uiPriority w:val="0"/>
    <w:rPr>
      <w:kern w:val="2"/>
      <w:sz w:val="21"/>
      <w:szCs w:val="22"/>
    </w:rPr>
  </w:style>
  <w:style w:type="character" w:customStyle="1" w:styleId="213">
    <w:name w:val="Ü6 + Nr1"/>
    <w:autoRedefine/>
    <w:qFormat/>
    <w:uiPriority w:val="0"/>
    <w:rPr>
      <w:rFonts w:ascii="Arial" w:hAnsi="Arial" w:eastAsia="宋体"/>
      <w:b/>
      <w:snapToGrid w:val="0"/>
      <w:kern w:val="2"/>
      <w:sz w:val="26"/>
      <w:szCs w:val="24"/>
      <w:lang w:val="en-GB" w:eastAsia="zh-CN" w:bidi="ar-SA"/>
    </w:rPr>
  </w:style>
  <w:style w:type="character" w:customStyle="1" w:styleId="214">
    <w:name w:val="heading 42 Char"/>
    <w:autoRedefine/>
    <w:qFormat/>
    <w:uiPriority w:val="0"/>
    <w:rPr>
      <w:b/>
      <w:kern w:val="2"/>
      <w:sz w:val="24"/>
    </w:rPr>
  </w:style>
  <w:style w:type="character" w:customStyle="1" w:styleId="215">
    <w:name w:val="正文文本 Char Char Char"/>
    <w:autoRedefine/>
    <w:qFormat/>
    <w:uiPriority w:val="0"/>
    <w:rPr>
      <w:rFonts w:eastAsia="宋体"/>
      <w:kern w:val="2"/>
      <w:sz w:val="21"/>
      <w:szCs w:val="24"/>
      <w:lang w:val="en-US" w:eastAsia="zh-CN" w:bidi="ar-SA"/>
    </w:rPr>
  </w:style>
  <w:style w:type="character" w:customStyle="1" w:styleId="216">
    <w:name w:val="标题 2 Char Char Char"/>
    <w:autoRedefine/>
    <w:qFormat/>
    <w:uiPriority w:val="0"/>
    <w:rPr>
      <w:rFonts w:ascii="宋体" w:hAnsi="宋体" w:eastAsia="宋体"/>
      <w:b/>
      <w:kern w:val="2"/>
      <w:sz w:val="28"/>
      <w:szCs w:val="28"/>
      <w:lang w:val="en-US" w:eastAsia="zh-CN" w:bidi="ar-SA"/>
    </w:rPr>
  </w:style>
  <w:style w:type="character" w:customStyle="1" w:styleId="217">
    <w:name w:val="textcontents"/>
    <w:autoRedefine/>
    <w:qFormat/>
    <w:uiPriority w:val="0"/>
    <w:rPr>
      <w:rFonts w:cs="Times New Roman"/>
    </w:rPr>
  </w:style>
  <w:style w:type="character" w:customStyle="1" w:styleId="218">
    <w:name w:val="Gerenal"/>
    <w:autoRedefine/>
    <w:qFormat/>
    <w:uiPriority w:val="0"/>
    <w:rPr>
      <w:rFonts w:ascii="RomanD" w:hAnsi="RomanD" w:eastAsia="宋体"/>
      <w:b/>
      <w:i/>
      <w:sz w:val="24"/>
      <w:szCs w:val="24"/>
      <w:u w:val="none"/>
    </w:rPr>
  </w:style>
  <w:style w:type="character" w:customStyle="1" w:styleId="219">
    <w:name w:val="font161"/>
    <w:autoRedefine/>
    <w:qFormat/>
    <w:uiPriority w:val="0"/>
    <w:rPr>
      <w:b/>
      <w:bCs/>
      <w:sz w:val="32"/>
      <w:szCs w:val="32"/>
    </w:rPr>
  </w:style>
  <w:style w:type="character" w:customStyle="1" w:styleId="220">
    <w:name w:val="+列表编号 Char1"/>
    <w:autoRedefine/>
    <w:qFormat/>
    <w:uiPriority w:val="0"/>
    <w:rPr>
      <w:rFonts w:eastAsia="宋体"/>
      <w:b/>
      <w:kern w:val="2"/>
      <w:sz w:val="24"/>
      <w:szCs w:val="28"/>
      <w:lang w:val="en-US" w:eastAsia="zh-CN" w:bidi="ar-SA"/>
    </w:rPr>
  </w:style>
  <w:style w:type="character" w:customStyle="1" w:styleId="221">
    <w:name w:val="批注主题 Char1"/>
    <w:autoRedefine/>
    <w:qFormat/>
    <w:uiPriority w:val="0"/>
    <w:rPr>
      <w:b/>
      <w:bCs/>
      <w:kern w:val="2"/>
      <w:sz w:val="21"/>
      <w:szCs w:val="22"/>
    </w:rPr>
  </w:style>
  <w:style w:type="character" w:customStyle="1" w:styleId="222">
    <w:name w:val="文档结构图 Char1"/>
    <w:autoRedefine/>
    <w:qFormat/>
    <w:uiPriority w:val="0"/>
    <w:rPr>
      <w:rFonts w:ascii="宋体"/>
      <w:kern w:val="2"/>
      <w:sz w:val="18"/>
      <w:szCs w:val="18"/>
    </w:rPr>
  </w:style>
  <w:style w:type="character" w:customStyle="1" w:styleId="223">
    <w:name w:val="标题 1 Char1"/>
    <w:autoRedefine/>
    <w:qFormat/>
    <w:locked/>
    <w:uiPriority w:val="0"/>
    <w:rPr>
      <w:rFonts w:eastAsia="宋体"/>
      <w:b/>
      <w:bCs/>
      <w:kern w:val="44"/>
      <w:sz w:val="32"/>
      <w:szCs w:val="44"/>
      <w:lang w:val="en-US" w:eastAsia="zh-CN" w:bidi="ar-SA"/>
    </w:rPr>
  </w:style>
  <w:style w:type="character" w:customStyle="1" w:styleId="224">
    <w:name w:val="Char Char17"/>
    <w:autoRedefine/>
    <w:qFormat/>
    <w:uiPriority w:val="0"/>
    <w:rPr>
      <w:rFonts w:ascii="Cambria" w:hAnsi="Cambria" w:eastAsia="宋体" w:cs="Times New Roman"/>
      <w:b/>
      <w:bCs/>
      <w:kern w:val="2"/>
      <w:sz w:val="32"/>
      <w:szCs w:val="32"/>
    </w:rPr>
  </w:style>
  <w:style w:type="character" w:customStyle="1" w:styleId="225">
    <w:name w:val="批注文字 Char1"/>
    <w:basedOn w:val="63"/>
    <w:autoRedefine/>
    <w:semiHidden/>
    <w:qFormat/>
    <w:uiPriority w:val="99"/>
  </w:style>
  <w:style w:type="character" w:customStyle="1" w:styleId="226">
    <w:name w:val="text4"/>
    <w:autoRedefine/>
    <w:qFormat/>
    <w:uiPriority w:val="0"/>
    <w:rPr>
      <w:rFonts w:eastAsia="宋体"/>
      <w:kern w:val="2"/>
      <w:sz w:val="21"/>
      <w:szCs w:val="24"/>
      <w:lang w:val="en-US" w:eastAsia="zh-CN" w:bidi="ar-SA"/>
    </w:rPr>
  </w:style>
  <w:style w:type="character" w:customStyle="1" w:styleId="227">
    <w:name w:val="批注主题 Char"/>
    <w:link w:val="60"/>
    <w:autoRedefine/>
    <w:qFormat/>
    <w:uiPriority w:val="0"/>
    <w:rPr>
      <w:b/>
      <w:bCs/>
      <w:szCs w:val="24"/>
    </w:rPr>
  </w:style>
  <w:style w:type="character" w:customStyle="1" w:styleId="228">
    <w:name w:val="标题 8 Char Char Char"/>
    <w:autoRedefine/>
    <w:qFormat/>
    <w:uiPriority w:val="0"/>
    <w:rPr>
      <w:rFonts w:ascii="Arial" w:hAnsi="Arial" w:eastAsia="宋体"/>
      <w:b/>
      <w:sz w:val="22"/>
      <w:lang w:val="en-GB" w:eastAsia="zh-CN" w:bidi="ar-SA"/>
    </w:rPr>
  </w:style>
  <w:style w:type="character" w:customStyle="1" w:styleId="229">
    <w:name w:val="+正文 Char Char7 Char Char Char Char"/>
    <w:link w:val="230"/>
    <w:autoRedefine/>
    <w:qFormat/>
    <w:uiPriority w:val="0"/>
    <w:rPr>
      <w:sz w:val="24"/>
      <w:szCs w:val="24"/>
    </w:rPr>
  </w:style>
  <w:style w:type="paragraph" w:customStyle="1" w:styleId="230">
    <w:name w:val="+正文 Char Char7 Char"/>
    <w:basedOn w:val="1"/>
    <w:link w:val="229"/>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sz w:val="24"/>
      <w:szCs w:val="24"/>
    </w:rPr>
  </w:style>
  <w:style w:type="character" w:customStyle="1" w:styleId="231">
    <w:name w:val="标题 4 Char Char Char"/>
    <w:autoRedefine/>
    <w:qFormat/>
    <w:uiPriority w:val="0"/>
    <w:rPr>
      <w:rFonts w:eastAsia="宋体"/>
      <w:b/>
      <w:kern w:val="2"/>
      <w:sz w:val="24"/>
      <w:lang w:val="en-US" w:eastAsia="zh-CN" w:bidi="ar-SA"/>
    </w:rPr>
  </w:style>
  <w:style w:type="character" w:customStyle="1" w:styleId="232">
    <w:name w:val="样式 宋体 四号"/>
    <w:autoRedefine/>
    <w:qFormat/>
    <w:uiPriority w:val="0"/>
    <w:rPr>
      <w:rFonts w:ascii="Times New Roman" w:hAnsi="Times New Roman" w:eastAsia="黑体"/>
      <w:spacing w:val="2"/>
      <w:sz w:val="28"/>
      <w:szCs w:val="28"/>
    </w:rPr>
  </w:style>
  <w:style w:type="character" w:customStyle="1" w:styleId="233">
    <w:name w:val="正文1 Char"/>
    <w:autoRedefine/>
    <w:qFormat/>
    <w:uiPriority w:val="0"/>
    <w:rPr>
      <w:rFonts w:ascii="Arial" w:hAnsi="Arial"/>
      <w:b/>
      <w:snapToGrid w:val="0"/>
      <w:sz w:val="26"/>
      <w:lang w:val="en-GB"/>
    </w:rPr>
  </w:style>
  <w:style w:type="character" w:customStyle="1" w:styleId="234">
    <w:name w:val="样式 样式 标题 2 + 小二 Char + (中文) 黑体 非加粗"/>
    <w:autoRedefine/>
    <w:qFormat/>
    <w:uiPriority w:val="0"/>
    <w:rPr>
      <w:rFonts w:eastAsia="黑体"/>
      <w:b/>
      <w:bCs/>
      <w:kern w:val="2"/>
      <w:sz w:val="28"/>
      <w:szCs w:val="32"/>
      <w:lang w:val="en-US" w:eastAsia="zh-CN" w:bidi="ar-SA"/>
    </w:rPr>
  </w:style>
  <w:style w:type="character" w:customStyle="1" w:styleId="235">
    <w:name w:val="批注框文本 Char Char Char"/>
    <w:autoRedefine/>
    <w:qFormat/>
    <w:uiPriority w:val="0"/>
    <w:rPr>
      <w:rFonts w:ascii="宋体" w:hAnsi="Courier New" w:eastAsia="宋体" w:cs="Courier New"/>
      <w:kern w:val="2"/>
      <w:sz w:val="21"/>
      <w:szCs w:val="21"/>
      <w:lang w:val="en-US" w:eastAsia="zh-CN" w:bidi="ar-SA"/>
    </w:rPr>
  </w:style>
  <w:style w:type="character" w:customStyle="1" w:styleId="236">
    <w:name w:val="Char Char8"/>
    <w:autoRedefine/>
    <w:qFormat/>
    <w:locked/>
    <w:uiPriority w:val="0"/>
    <w:rPr>
      <w:rFonts w:eastAsia="宋体"/>
      <w:b/>
      <w:bCs/>
      <w:kern w:val="44"/>
      <w:sz w:val="32"/>
      <w:szCs w:val="44"/>
      <w:lang w:val="en-US" w:eastAsia="zh-CN" w:bidi="ar-SA"/>
    </w:rPr>
  </w:style>
  <w:style w:type="character" w:customStyle="1" w:styleId="237">
    <w:name w:val="日期 Char1"/>
    <w:autoRedefine/>
    <w:qFormat/>
    <w:uiPriority w:val="0"/>
    <w:rPr>
      <w:kern w:val="2"/>
      <w:sz w:val="21"/>
      <w:szCs w:val="22"/>
    </w:rPr>
  </w:style>
  <w:style w:type="character" w:customStyle="1" w:styleId="238">
    <w:name w:val="表格内文字 Char1"/>
    <w:link w:val="239"/>
    <w:autoRedefine/>
    <w:qFormat/>
    <w:uiPriority w:val="0"/>
    <w:rPr>
      <w:rFonts w:ascii="宋体" w:hAnsi="宋体"/>
      <w:snapToGrid w:val="0"/>
      <w:sz w:val="24"/>
      <w:szCs w:val="24"/>
    </w:rPr>
  </w:style>
  <w:style w:type="paragraph" w:customStyle="1" w:styleId="239">
    <w:name w:val="表格内文字"/>
    <w:basedOn w:val="1"/>
    <w:link w:val="238"/>
    <w:autoRedefine/>
    <w:qFormat/>
    <w:uiPriority w:val="0"/>
    <w:pPr>
      <w:widowControl w:val="0"/>
      <w:spacing w:after="0" w:line="320" w:lineRule="exact"/>
      <w:ind w:firstLine="200" w:firstLineChars="200"/>
      <w:jc w:val="center"/>
    </w:pPr>
    <w:rPr>
      <w:rFonts w:ascii="宋体" w:hAnsi="宋体" w:eastAsia="宋体" w:cs="Times New Roman"/>
      <w:snapToGrid w:val="0"/>
      <w:sz w:val="24"/>
      <w:szCs w:val="24"/>
    </w:rPr>
  </w:style>
  <w:style w:type="character" w:customStyle="1" w:styleId="240">
    <w:name w:val="日期 Char2"/>
    <w:basedOn w:val="63"/>
    <w:autoRedefine/>
    <w:semiHidden/>
    <w:qFormat/>
    <w:uiPriority w:val="99"/>
  </w:style>
  <w:style w:type="character" w:customStyle="1" w:styleId="241">
    <w:name w:val="正文文本缩进 2 Char Char Char"/>
    <w:autoRedefine/>
    <w:qFormat/>
    <w:uiPriority w:val="0"/>
    <w:rPr>
      <w:rFonts w:eastAsia="宋体"/>
      <w:kern w:val="2"/>
      <w:sz w:val="21"/>
      <w:szCs w:val="24"/>
      <w:lang w:val="en-US" w:eastAsia="zh-CN" w:bidi="ar-SA"/>
    </w:rPr>
  </w:style>
  <w:style w:type="character" w:customStyle="1" w:styleId="242">
    <w:name w:val="明显参考1"/>
    <w:autoRedefine/>
    <w:qFormat/>
    <w:uiPriority w:val="0"/>
    <w:rPr>
      <w:b/>
      <w:bCs/>
      <w:smallCaps/>
      <w:color w:val="C0504D"/>
      <w:spacing w:val="5"/>
      <w:u w:val="single"/>
    </w:rPr>
  </w:style>
  <w:style w:type="character" w:customStyle="1" w:styleId="243">
    <w:name w:val="链接"/>
    <w:autoRedefine/>
    <w:qFormat/>
    <w:uiPriority w:val="0"/>
    <w:rPr>
      <w:rFonts w:ascii="Times New Roman" w:eastAsia="宋体"/>
      <w:color w:val="0000FF"/>
      <w:sz w:val="21"/>
      <w:u w:val="single" w:color="0000FF"/>
      <w:vertAlign w:val="baseline"/>
      <w:lang w:val="en-US" w:eastAsia="zh-CN"/>
    </w:rPr>
  </w:style>
  <w:style w:type="character" w:customStyle="1" w:styleId="244">
    <w:name w:val="样式4 Char Char Char Char Char Char Char"/>
    <w:link w:val="245"/>
    <w:autoRedefine/>
    <w:qFormat/>
    <w:uiPriority w:val="0"/>
    <w:rPr>
      <w:spacing w:val="-10"/>
      <w:sz w:val="28"/>
      <w:szCs w:val="24"/>
    </w:rPr>
  </w:style>
  <w:style w:type="paragraph" w:customStyle="1" w:styleId="245">
    <w:name w:val="样式4 Char Char Char Char Char"/>
    <w:basedOn w:val="1"/>
    <w:next w:val="1"/>
    <w:link w:val="244"/>
    <w:autoRedefine/>
    <w:qFormat/>
    <w:uiPriority w:val="0"/>
    <w:pPr>
      <w:widowControl w:val="0"/>
      <w:tabs>
        <w:tab w:val="left" w:pos="1784"/>
      </w:tabs>
      <w:adjustRightInd/>
      <w:spacing w:after="0" w:line="360" w:lineRule="auto"/>
      <w:ind w:left="1784" w:hanging="1260"/>
      <w:jc w:val="both"/>
    </w:pPr>
    <w:rPr>
      <w:rFonts w:ascii="Times New Roman" w:hAnsi="Times New Roman" w:eastAsia="宋体" w:cs="Times New Roman"/>
      <w:spacing w:val="-10"/>
      <w:sz w:val="28"/>
      <w:szCs w:val="24"/>
    </w:rPr>
  </w:style>
  <w:style w:type="character" w:customStyle="1" w:styleId="246">
    <w:name w:val="标题 5 Char Char Char"/>
    <w:autoRedefine/>
    <w:qFormat/>
    <w:uiPriority w:val="0"/>
    <w:rPr>
      <w:rFonts w:eastAsia="宋体"/>
      <w:b/>
      <w:bCs/>
      <w:kern w:val="2"/>
      <w:sz w:val="28"/>
      <w:szCs w:val="28"/>
      <w:lang w:val="en-US" w:eastAsia="zh-CN" w:bidi="ar-SA"/>
    </w:rPr>
  </w:style>
  <w:style w:type="character" w:customStyle="1" w:styleId="247">
    <w:name w:val="尾注文本 Char"/>
    <w:link w:val="37"/>
    <w:autoRedefine/>
    <w:qFormat/>
    <w:uiPriority w:val="0"/>
    <w:rPr>
      <w:kern w:val="2"/>
      <w:sz w:val="21"/>
      <w:szCs w:val="24"/>
    </w:rPr>
  </w:style>
  <w:style w:type="character" w:customStyle="1" w:styleId="248">
    <w:name w:val="不明显参考1"/>
    <w:autoRedefine/>
    <w:qFormat/>
    <w:uiPriority w:val="0"/>
    <w:rPr>
      <w:smallCaps/>
      <w:color w:val="C0504D"/>
      <w:u w:val="single"/>
    </w:rPr>
  </w:style>
  <w:style w:type="character" w:customStyle="1" w:styleId="249">
    <w:name w:val="Í Char1"/>
    <w:autoRedefine/>
    <w:qFormat/>
    <w:uiPriority w:val="0"/>
    <w:rPr>
      <w:rFonts w:ascii="宋体" w:hAnsi="宋体"/>
      <w:b/>
      <w:kern w:val="2"/>
      <w:sz w:val="24"/>
      <w:szCs w:val="24"/>
    </w:rPr>
  </w:style>
  <w:style w:type="character" w:customStyle="1" w:styleId="250">
    <w:name w:val="正文文本 2 Char"/>
    <w:link w:val="53"/>
    <w:autoRedefine/>
    <w:qFormat/>
    <w:uiPriority w:val="0"/>
  </w:style>
  <w:style w:type="character" w:customStyle="1" w:styleId="251">
    <w:name w:val="正文文本缩进 2 Char2"/>
    <w:basedOn w:val="63"/>
    <w:autoRedefine/>
    <w:semiHidden/>
    <w:qFormat/>
    <w:uiPriority w:val="99"/>
    <w:rPr>
      <w:rFonts w:ascii="Tahoma" w:hAnsi="Tahoma" w:eastAsia="微软雅黑" w:cstheme="minorBidi"/>
      <w:sz w:val="22"/>
      <w:szCs w:val="22"/>
    </w:rPr>
  </w:style>
  <w:style w:type="paragraph" w:customStyle="1" w:styleId="252">
    <w:name w:val="Char Char Char11"/>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253">
    <w:name w:val="样式 标题 1标题 1 Char Char标题 1 Char章 + 小三 居中1"/>
    <w:basedOn w:val="1"/>
    <w:autoRedefine/>
    <w:qFormat/>
    <w:uiPriority w:val="0"/>
    <w:pPr>
      <w:widowControl w:val="0"/>
      <w:tabs>
        <w:tab w:val="left" w:pos="420"/>
      </w:tabs>
      <w:adjustRightInd/>
      <w:spacing w:after="0" w:line="360" w:lineRule="auto"/>
      <w:ind w:left="420" w:hanging="420"/>
      <w:jc w:val="both"/>
    </w:pPr>
    <w:rPr>
      <w:rFonts w:ascii="Times New Roman" w:hAnsi="Times New Roman" w:eastAsia="宋体" w:cs="Times New Roman"/>
      <w:spacing w:val="-10"/>
      <w:kern w:val="2"/>
      <w:sz w:val="21"/>
      <w:szCs w:val="24"/>
    </w:rPr>
  </w:style>
  <w:style w:type="paragraph" w:customStyle="1" w:styleId="254">
    <w:name w:val="节标题"/>
    <w:basedOn w:val="1"/>
    <w:next w:val="255"/>
    <w:autoRedefine/>
    <w:qFormat/>
    <w:uiPriority w:val="0"/>
    <w:pPr>
      <w:adjustRightInd/>
      <w:snapToGrid/>
      <w:spacing w:after="0" w:line="289" w:lineRule="atLeast"/>
      <w:jc w:val="center"/>
      <w:textAlignment w:val="baseline"/>
    </w:pPr>
    <w:rPr>
      <w:rFonts w:ascii="Times New Roman" w:hAnsi="Times New Roman" w:eastAsia="宋体" w:cs="Times New Roman"/>
      <w:color w:val="000000"/>
      <w:sz w:val="28"/>
      <w:szCs w:val="20"/>
      <w:u w:color="000000"/>
    </w:rPr>
  </w:style>
  <w:style w:type="paragraph" w:customStyle="1" w:styleId="255">
    <w:name w:val="小节标题"/>
    <w:basedOn w:val="1"/>
    <w:next w:val="1"/>
    <w:autoRedefine/>
    <w:qFormat/>
    <w:uiPriority w:val="0"/>
    <w:pPr>
      <w:adjustRightInd/>
      <w:snapToGrid/>
      <w:spacing w:before="175" w:after="102" w:line="351" w:lineRule="atLeast"/>
      <w:jc w:val="both"/>
      <w:textAlignment w:val="baseline"/>
    </w:pPr>
    <w:rPr>
      <w:rFonts w:ascii="Times New Roman" w:hAnsi="Times New Roman" w:eastAsia="黑体" w:cs="Times New Roman"/>
      <w:color w:val="000000"/>
      <w:sz w:val="21"/>
      <w:szCs w:val="20"/>
      <w:u w:color="000000"/>
    </w:rPr>
  </w:style>
  <w:style w:type="character" w:customStyle="1" w:styleId="256">
    <w:name w:val="脚注文本 Char1"/>
    <w:basedOn w:val="63"/>
    <w:autoRedefine/>
    <w:semiHidden/>
    <w:qFormat/>
    <w:uiPriority w:val="99"/>
    <w:rPr>
      <w:rFonts w:ascii="Tahoma" w:hAnsi="Tahoma" w:eastAsia="微软雅黑" w:cstheme="minorBidi"/>
      <w:sz w:val="18"/>
      <w:szCs w:val="18"/>
    </w:rPr>
  </w:style>
  <w:style w:type="paragraph" w:customStyle="1" w:styleId="257">
    <w:name w:val="用户标题2"/>
    <w:basedOn w:val="3"/>
    <w:autoRedefine/>
    <w:qFormat/>
    <w:uiPriority w:val="0"/>
    <w:pPr>
      <w:adjustRightInd w:val="0"/>
      <w:spacing w:before="240" w:after="120" w:line="400" w:lineRule="atLeast"/>
      <w:ind w:left="150" w:leftChars="50" w:right="150"/>
      <w:jc w:val="left"/>
      <w:textAlignment w:val="baseline"/>
      <w:outlineLvl w:val="9"/>
    </w:pPr>
    <w:rPr>
      <w:rFonts w:ascii="Times New Roman" w:hAnsi="Times New Roman" w:eastAsia="宋体"/>
      <w:kern w:val="0"/>
      <w:szCs w:val="20"/>
    </w:rPr>
  </w:style>
  <w:style w:type="paragraph" w:customStyle="1" w:styleId="258">
    <w:name w:val="Char Char Char Char1"/>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259">
    <w:name w:val="！正文 Alt+0"/>
    <w:basedOn w:val="1"/>
    <w:autoRedefine/>
    <w:qFormat/>
    <w:uiPriority w:val="0"/>
    <w:pPr>
      <w:widowControl w:val="0"/>
      <w:adjustRightInd/>
      <w:snapToGrid/>
      <w:spacing w:beforeLines="50" w:after="0" w:line="360" w:lineRule="auto"/>
      <w:ind w:firstLine="200" w:firstLineChars="200"/>
      <w:jc w:val="both"/>
    </w:pPr>
    <w:rPr>
      <w:rFonts w:ascii="Times New Roman" w:hAnsi="Times New Roman" w:eastAsia="宋体" w:cs="Times New Roman"/>
      <w:kern w:val="2"/>
      <w:sz w:val="28"/>
      <w:szCs w:val="28"/>
    </w:rPr>
  </w:style>
  <w:style w:type="paragraph" w:customStyle="1" w:styleId="260">
    <w:name w:val="样式 样式 标题 + 段前: 1 行 段后: 0.5 行"/>
    <w:basedOn w:val="261"/>
    <w:autoRedefine/>
    <w:qFormat/>
    <w:uiPriority w:val="0"/>
    <w:pPr>
      <w:spacing w:beforeLines="200"/>
    </w:pPr>
    <w:rPr>
      <w:bCs w:val="0"/>
      <w:szCs w:val="20"/>
    </w:rPr>
  </w:style>
  <w:style w:type="paragraph" w:customStyle="1" w:styleId="261">
    <w:name w:val="样式 标题"/>
    <w:basedOn w:val="1"/>
    <w:autoRedefine/>
    <w:qFormat/>
    <w:uiPriority w:val="0"/>
    <w:pPr>
      <w:widowControl w:val="0"/>
      <w:autoSpaceDE w:val="0"/>
      <w:autoSpaceDN w:val="0"/>
      <w:spacing w:beforeLines="100" w:afterLines="50" w:line="360" w:lineRule="auto"/>
      <w:jc w:val="center"/>
      <w:outlineLvl w:val="0"/>
    </w:pPr>
    <w:rPr>
      <w:rFonts w:ascii="黑体" w:hAnsi="Times New Roman" w:eastAsia="黑体" w:cs="宋体"/>
      <w:bCs/>
      <w:kern w:val="2"/>
      <w:sz w:val="32"/>
      <w:szCs w:val="32"/>
    </w:rPr>
  </w:style>
  <w:style w:type="paragraph" w:customStyle="1" w:styleId="262">
    <w:name w:val="样式3"/>
    <w:basedOn w:val="3"/>
    <w:autoRedefine/>
    <w:qFormat/>
    <w:uiPriority w:val="0"/>
    <w:pPr>
      <w:keepNext w:val="0"/>
      <w:keepLines w:val="0"/>
      <w:widowControl/>
      <w:tabs>
        <w:tab w:val="left" w:pos="576"/>
      </w:tabs>
      <w:spacing w:before="200" w:after="60" w:line="460" w:lineRule="exact"/>
      <w:ind w:left="576" w:hanging="576"/>
      <w:contextualSpacing/>
      <w:jc w:val="left"/>
    </w:pPr>
    <w:rPr>
      <w:rFonts w:ascii="Times New Roman" w:hAnsi="Times New Roman"/>
      <w:b w:val="0"/>
      <w:bCs w:val="0"/>
      <w:kern w:val="0"/>
      <w:sz w:val="24"/>
      <w:szCs w:val="24"/>
    </w:rPr>
  </w:style>
  <w:style w:type="character" w:customStyle="1" w:styleId="263">
    <w:name w:val="批注文字 Char2"/>
    <w:basedOn w:val="63"/>
    <w:link w:val="20"/>
    <w:autoRedefine/>
    <w:semiHidden/>
    <w:qFormat/>
    <w:uiPriority w:val="99"/>
    <w:rPr>
      <w:rFonts w:ascii="Tahoma" w:hAnsi="Tahoma" w:eastAsia="微软雅黑" w:cstheme="minorBidi"/>
      <w:sz w:val="22"/>
      <w:szCs w:val="22"/>
    </w:rPr>
  </w:style>
  <w:style w:type="character" w:customStyle="1" w:styleId="264">
    <w:name w:val="批注主题 Char2"/>
    <w:basedOn w:val="263"/>
    <w:autoRedefine/>
    <w:semiHidden/>
    <w:qFormat/>
    <w:uiPriority w:val="99"/>
    <w:rPr>
      <w:rFonts w:ascii="Tahoma" w:hAnsi="Tahoma" w:eastAsia="微软雅黑" w:cstheme="minorBidi"/>
      <w:b/>
      <w:bCs/>
      <w:sz w:val="22"/>
      <w:szCs w:val="22"/>
    </w:rPr>
  </w:style>
  <w:style w:type="paragraph" w:customStyle="1" w:styleId="265">
    <w:name w:val="正文1"/>
    <w:autoRedefine/>
    <w:qFormat/>
    <w:uiPriority w:val="0"/>
    <w:pPr>
      <w:widowControl w:val="0"/>
      <w:adjustRightInd w:val="0"/>
      <w:spacing w:line="312" w:lineRule="atLeast"/>
      <w:jc w:val="both"/>
      <w:textAlignment w:val="baseline"/>
    </w:pPr>
    <w:rPr>
      <w:rFonts w:ascii="Times New Roman" w:hAnsi="Times New Roman" w:eastAsia="宋体" w:cs="Times New Roman"/>
      <w:sz w:val="24"/>
      <w:lang w:val="en-US" w:eastAsia="zh-CN" w:bidi="ar-SA"/>
    </w:rPr>
  </w:style>
  <w:style w:type="character" w:customStyle="1" w:styleId="266">
    <w:name w:val="HTML 预设格式 Char1"/>
    <w:basedOn w:val="63"/>
    <w:autoRedefine/>
    <w:semiHidden/>
    <w:qFormat/>
    <w:uiPriority w:val="99"/>
    <w:rPr>
      <w:rFonts w:ascii="Courier New" w:hAnsi="Courier New" w:eastAsia="微软雅黑" w:cs="Courier New"/>
    </w:rPr>
  </w:style>
  <w:style w:type="paragraph" w:customStyle="1" w:styleId="267">
    <w:name w:val="目录1"/>
    <w:basedOn w:val="1"/>
    <w:next w:val="1"/>
    <w:autoRedefine/>
    <w:qFormat/>
    <w:uiPriority w:val="0"/>
    <w:pPr>
      <w:tabs>
        <w:tab w:val="left" w:leader="dot" w:pos="8503"/>
      </w:tabs>
      <w:adjustRightInd/>
      <w:snapToGrid/>
      <w:spacing w:after="102" w:line="215" w:lineRule="atLeast"/>
      <w:ind w:firstLine="419"/>
      <w:textAlignment w:val="baseline"/>
    </w:pPr>
    <w:rPr>
      <w:rFonts w:ascii="Times New Roman" w:hAnsi="Times New Roman" w:eastAsia="宋体" w:cs="Times New Roman"/>
      <w:color w:val="000000"/>
      <w:sz w:val="21"/>
      <w:szCs w:val="20"/>
      <w:u w:color="000000"/>
    </w:rPr>
  </w:style>
  <w:style w:type="character" w:customStyle="1" w:styleId="268">
    <w:name w:val="正文文本 2 Char2"/>
    <w:basedOn w:val="63"/>
    <w:autoRedefine/>
    <w:semiHidden/>
    <w:qFormat/>
    <w:uiPriority w:val="99"/>
    <w:rPr>
      <w:rFonts w:ascii="Tahoma" w:hAnsi="Tahoma" w:eastAsia="微软雅黑" w:cstheme="minorBidi"/>
      <w:sz w:val="22"/>
      <w:szCs w:val="22"/>
    </w:rPr>
  </w:style>
  <w:style w:type="paragraph" w:customStyle="1" w:styleId="269">
    <w:name w:val="样式 加粗 行距: 单倍行距"/>
    <w:basedOn w:val="1"/>
    <w:autoRedefine/>
    <w:qFormat/>
    <w:uiPriority w:val="0"/>
    <w:pPr>
      <w:widowControl w:val="0"/>
      <w:adjustRightInd/>
      <w:snapToGrid/>
      <w:spacing w:after="0"/>
      <w:ind w:firstLine="200" w:firstLineChars="200"/>
      <w:jc w:val="both"/>
      <w:outlineLvl w:val="3"/>
    </w:pPr>
    <w:rPr>
      <w:rFonts w:ascii="Arial" w:hAnsi="Arial" w:eastAsia="宋体" w:cs="Times New Roman"/>
      <w:b/>
      <w:bCs/>
      <w:kern w:val="2"/>
      <w:sz w:val="24"/>
      <w:szCs w:val="20"/>
    </w:rPr>
  </w:style>
  <w:style w:type="character" w:customStyle="1" w:styleId="270">
    <w:name w:val="副标题 Char2"/>
    <w:basedOn w:val="63"/>
    <w:autoRedefine/>
    <w:qFormat/>
    <w:uiPriority w:val="11"/>
    <w:rPr>
      <w:rFonts w:asciiTheme="majorHAnsi" w:hAnsiTheme="majorHAnsi" w:cstheme="majorBidi"/>
      <w:b/>
      <w:bCs/>
      <w:kern w:val="28"/>
      <w:sz w:val="32"/>
      <w:szCs w:val="32"/>
    </w:rPr>
  </w:style>
  <w:style w:type="character" w:customStyle="1" w:styleId="271">
    <w:name w:val="尾注文本 Char1"/>
    <w:basedOn w:val="63"/>
    <w:autoRedefine/>
    <w:semiHidden/>
    <w:qFormat/>
    <w:uiPriority w:val="99"/>
    <w:rPr>
      <w:rFonts w:ascii="Tahoma" w:hAnsi="Tahoma" w:eastAsia="微软雅黑" w:cstheme="minorBidi"/>
      <w:sz w:val="22"/>
      <w:szCs w:val="22"/>
    </w:rPr>
  </w:style>
  <w:style w:type="paragraph" w:customStyle="1" w:styleId="272">
    <w:name w:val="_Style 21"/>
    <w:basedOn w:val="1"/>
    <w:next w:val="32"/>
    <w:autoRedefine/>
    <w:qFormat/>
    <w:uiPriority w:val="0"/>
    <w:pPr>
      <w:widowControl w:val="0"/>
      <w:adjustRightInd/>
      <w:snapToGrid/>
      <w:spacing w:after="0"/>
      <w:jc w:val="both"/>
    </w:pPr>
    <w:rPr>
      <w:rFonts w:ascii="宋体" w:hAnsi="Courier New" w:eastAsia="宋体" w:cs="华文中宋"/>
      <w:kern w:val="2"/>
      <w:sz w:val="24"/>
      <w:szCs w:val="21"/>
    </w:rPr>
  </w:style>
  <w:style w:type="paragraph" w:customStyle="1" w:styleId="273">
    <w:name w:val="z-窗体顶端1"/>
    <w:basedOn w:val="1"/>
    <w:next w:val="1"/>
    <w:link w:val="274"/>
    <w:autoRedefine/>
    <w:qFormat/>
    <w:uiPriority w:val="0"/>
    <w:pPr>
      <w:widowControl w:val="0"/>
      <w:pBdr>
        <w:bottom w:val="single" w:color="auto" w:sz="6" w:space="1"/>
      </w:pBdr>
      <w:adjustRightInd/>
      <w:snapToGrid/>
      <w:spacing w:after="0"/>
      <w:jc w:val="center"/>
    </w:pPr>
    <w:rPr>
      <w:rFonts w:ascii="Arial" w:hAnsi="Calibri" w:eastAsia="宋体" w:cs="Times New Roman"/>
      <w:vanish/>
      <w:kern w:val="2"/>
      <w:sz w:val="16"/>
    </w:rPr>
  </w:style>
  <w:style w:type="character" w:customStyle="1" w:styleId="274">
    <w:name w:val="z-窗体顶端 Char"/>
    <w:basedOn w:val="63"/>
    <w:link w:val="273"/>
    <w:autoRedefine/>
    <w:qFormat/>
    <w:uiPriority w:val="0"/>
    <w:rPr>
      <w:rFonts w:ascii="Arial" w:hAnsi="Calibri"/>
      <w:vanish/>
      <w:kern w:val="2"/>
      <w:sz w:val="16"/>
      <w:szCs w:val="22"/>
    </w:rPr>
  </w:style>
  <w:style w:type="paragraph" w:customStyle="1" w:styleId="275">
    <w:name w:val="段落编号new"/>
    <w:basedOn w:val="1"/>
    <w:autoRedefine/>
    <w:qFormat/>
    <w:uiPriority w:val="0"/>
    <w:pPr>
      <w:widowControl w:val="0"/>
      <w:tabs>
        <w:tab w:val="left" w:pos="840"/>
      </w:tabs>
      <w:adjustRightInd/>
      <w:snapToGrid/>
      <w:spacing w:before="120" w:after="120"/>
      <w:jc w:val="center"/>
      <w:outlineLvl w:val="8"/>
    </w:pPr>
    <w:rPr>
      <w:rFonts w:ascii="Times New Roman" w:hAnsi="Times New Roman" w:eastAsia="宋体" w:cs="Times New Roman"/>
      <w:b/>
      <w:kern w:val="2"/>
      <w:sz w:val="24"/>
      <w:szCs w:val="24"/>
    </w:rPr>
  </w:style>
  <w:style w:type="paragraph" w:customStyle="1" w:styleId="276">
    <w:name w:val="12"/>
    <w:basedOn w:val="1"/>
    <w:next w:val="32"/>
    <w:autoRedefine/>
    <w:qFormat/>
    <w:uiPriority w:val="0"/>
    <w:pPr>
      <w:widowControl w:val="0"/>
      <w:adjustRightInd/>
      <w:snapToGrid/>
      <w:spacing w:after="0"/>
      <w:jc w:val="both"/>
    </w:pPr>
    <w:rPr>
      <w:rFonts w:ascii="宋体" w:hAnsi="Courier New" w:eastAsia="宋体" w:cs="华文中宋"/>
      <w:kern w:val="2"/>
      <w:sz w:val="24"/>
      <w:szCs w:val="21"/>
    </w:rPr>
  </w:style>
  <w:style w:type="paragraph" w:customStyle="1" w:styleId="277">
    <w:name w:val="_Style 141"/>
    <w:basedOn w:val="1"/>
    <w:autoRedefine/>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278">
    <w:name w:val="样式4 Char Char Char"/>
    <w:basedOn w:val="1"/>
    <w:next w:val="1"/>
    <w:autoRedefine/>
    <w:qFormat/>
    <w:uiPriority w:val="0"/>
    <w:pPr>
      <w:widowControl w:val="0"/>
      <w:tabs>
        <w:tab w:val="left" w:pos="1784"/>
      </w:tabs>
      <w:adjustRightInd/>
      <w:spacing w:after="0" w:line="360" w:lineRule="auto"/>
      <w:ind w:left="1784" w:hanging="1260"/>
      <w:jc w:val="both"/>
    </w:pPr>
    <w:rPr>
      <w:rFonts w:ascii="Times New Roman" w:hAnsi="Times New Roman" w:eastAsia="宋体" w:cs="Times New Roman"/>
      <w:spacing w:val="-10"/>
      <w:kern w:val="2"/>
      <w:sz w:val="28"/>
      <w:szCs w:val="24"/>
    </w:rPr>
  </w:style>
  <w:style w:type="paragraph" w:customStyle="1" w:styleId="279">
    <w:name w:val="T0105"/>
    <w:basedOn w:val="1"/>
    <w:autoRedefine/>
    <w:qFormat/>
    <w:uiPriority w:val="0"/>
    <w:pPr>
      <w:widowControl w:val="0"/>
      <w:adjustRightInd/>
      <w:snapToGrid/>
      <w:spacing w:before="120" w:after="0" w:line="340" w:lineRule="atLeast"/>
      <w:ind w:firstLine="480"/>
      <w:jc w:val="both"/>
    </w:pPr>
    <w:rPr>
      <w:rFonts w:ascii="Times New Roman" w:hAnsi="Times New Roman" w:eastAsia="仿宋_GB2312" w:cs="Times New Roman"/>
      <w:kern w:val="2"/>
      <w:sz w:val="24"/>
      <w:szCs w:val="20"/>
    </w:rPr>
  </w:style>
  <w:style w:type="paragraph" w:customStyle="1" w:styleId="280">
    <w:name w:val="标准正文 Char Char Char Char Char"/>
    <w:basedOn w:val="1"/>
    <w:autoRedefine/>
    <w:qFormat/>
    <w:uiPriority w:val="0"/>
    <w:pPr>
      <w:widowControl w:val="0"/>
      <w:adjustRightInd/>
      <w:snapToGrid/>
      <w:spacing w:after="0" w:line="360" w:lineRule="auto"/>
      <w:ind w:left="840" w:leftChars="400" w:firstLine="480" w:firstLineChars="200"/>
      <w:jc w:val="both"/>
    </w:pPr>
    <w:rPr>
      <w:rFonts w:ascii="Times New Roman" w:hAnsi="Times New Roman" w:eastAsia="宋体" w:cs="宋体"/>
      <w:kern w:val="2"/>
      <w:sz w:val="24"/>
      <w:szCs w:val="24"/>
    </w:rPr>
  </w:style>
  <w:style w:type="paragraph" w:customStyle="1" w:styleId="281">
    <w:name w:val="文章附标题"/>
    <w:basedOn w:val="1"/>
    <w:next w:val="77"/>
    <w:autoRedefine/>
    <w:qFormat/>
    <w:uiPriority w:val="0"/>
    <w:pPr>
      <w:adjustRightInd/>
      <w:snapToGrid/>
      <w:spacing w:before="187" w:after="175" w:line="374" w:lineRule="atLeast"/>
      <w:jc w:val="center"/>
      <w:textAlignment w:val="baseline"/>
    </w:pPr>
    <w:rPr>
      <w:rFonts w:ascii="Times New Roman" w:hAnsi="Times New Roman" w:eastAsia="宋体" w:cs="Times New Roman"/>
      <w:color w:val="000000"/>
      <w:sz w:val="36"/>
      <w:szCs w:val="20"/>
      <w:u w:color="000000"/>
    </w:rPr>
  </w:style>
  <w:style w:type="paragraph" w:customStyle="1" w:styleId="282">
    <w:name w:val="+正文 Char Char7"/>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83">
    <w:name w:val="1.1.1.1"/>
    <w:basedOn w:val="1"/>
    <w:autoRedefine/>
    <w:qFormat/>
    <w:uiPriority w:val="0"/>
    <w:pPr>
      <w:widowControl w:val="0"/>
      <w:tabs>
        <w:tab w:val="left" w:pos="900"/>
        <w:tab w:val="left" w:pos="1134"/>
      </w:tabs>
      <w:spacing w:beforeLines="50" w:afterLines="50" w:line="400" w:lineRule="atLeast"/>
      <w:ind w:left="869" w:leftChars="50" w:right="200" w:rightChars="200"/>
      <w:jc w:val="both"/>
      <w:textAlignment w:val="baseline"/>
    </w:pPr>
    <w:rPr>
      <w:rFonts w:ascii="Arial" w:hAnsi="Arial" w:eastAsia="宋体" w:cs="Times New Roman"/>
      <w:sz w:val="24"/>
      <w:szCs w:val="20"/>
    </w:rPr>
  </w:style>
  <w:style w:type="paragraph" w:customStyle="1" w:styleId="284">
    <w:name w:val="正文4 Char"/>
    <w:basedOn w:val="1"/>
    <w:autoRedefine/>
    <w:qFormat/>
    <w:uiPriority w:val="0"/>
    <w:pPr>
      <w:widowControl w:val="0"/>
      <w:adjustRightInd/>
      <w:snapToGrid/>
      <w:spacing w:after="0" w:line="360" w:lineRule="auto"/>
      <w:ind w:left="400" w:leftChars="400"/>
      <w:jc w:val="both"/>
    </w:pPr>
    <w:rPr>
      <w:rFonts w:ascii="宋体" w:hAnsi="Times New Roman" w:eastAsia="宋体" w:cs="Times New Roman"/>
      <w:kern w:val="2"/>
      <w:sz w:val="24"/>
      <w:szCs w:val="24"/>
    </w:rPr>
  </w:style>
  <w:style w:type="paragraph" w:customStyle="1" w:styleId="285">
    <w:name w:val="xl24"/>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28"/>
      <w:szCs w:val="28"/>
    </w:rPr>
  </w:style>
  <w:style w:type="paragraph" w:customStyle="1" w:styleId="286">
    <w:name w:val="Text"/>
    <w:basedOn w:val="1"/>
    <w:autoRedefine/>
    <w:qFormat/>
    <w:uiPriority w:val="0"/>
    <w:pPr>
      <w:adjustRightInd/>
      <w:snapToGrid/>
      <w:spacing w:after="0" w:line="288" w:lineRule="auto"/>
      <w:ind w:left="2552"/>
    </w:pPr>
    <w:rPr>
      <w:rFonts w:ascii="Univers" w:hAnsi="Univers" w:eastAsia="宋体" w:cs="Times New Roman"/>
      <w:szCs w:val="20"/>
      <w:lang w:val="en-GB"/>
    </w:rPr>
  </w:style>
  <w:style w:type="paragraph" w:customStyle="1" w:styleId="287">
    <w:name w:val="10"/>
    <w:basedOn w:val="1"/>
    <w:next w:val="57"/>
    <w:autoRedefine/>
    <w:qFormat/>
    <w:uiPriority w:val="0"/>
    <w:pPr>
      <w:adjustRightInd/>
      <w:snapToGrid/>
      <w:spacing w:before="100" w:beforeAutospacing="1" w:after="100" w:afterAutospacing="1"/>
    </w:pPr>
    <w:rPr>
      <w:rFonts w:ascii="宋体" w:hAnsi="宋体" w:eastAsia="宋体" w:cs="Times New Roman"/>
      <w:sz w:val="24"/>
      <w:szCs w:val="24"/>
    </w:rPr>
  </w:style>
  <w:style w:type="character" w:customStyle="1" w:styleId="288">
    <w:name w:val="引用 Char2"/>
    <w:basedOn w:val="63"/>
    <w:autoRedefine/>
    <w:qFormat/>
    <w:uiPriority w:val="99"/>
    <w:rPr>
      <w:rFonts w:ascii="Tahoma" w:hAnsi="Tahoma" w:eastAsia="微软雅黑" w:cstheme="minorBidi"/>
      <w:i/>
      <w:iCs/>
      <w:color w:val="000000" w:themeColor="text1"/>
      <w:sz w:val="22"/>
      <w:szCs w:val="22"/>
      <w14:textFill>
        <w14:solidFill>
          <w14:schemeClr w14:val="tx1"/>
        </w14:solidFill>
      </w14:textFill>
    </w:rPr>
  </w:style>
  <w:style w:type="paragraph" w:customStyle="1" w:styleId="289">
    <w:name w:val="SuepSubHead"/>
    <w:basedOn w:val="1"/>
    <w:autoRedefine/>
    <w:qFormat/>
    <w:uiPriority w:val="0"/>
    <w:pPr>
      <w:tabs>
        <w:tab w:val="left" w:pos="720"/>
      </w:tabs>
      <w:adjustRightInd/>
      <w:snapToGrid/>
      <w:spacing w:after="0"/>
      <w:ind w:left="720" w:hanging="720"/>
    </w:pPr>
    <w:rPr>
      <w:rFonts w:ascii="Times New Roman" w:hAnsi="Times New Roman" w:eastAsia="宋体" w:cs="Times New Roman"/>
      <w:b/>
      <w:szCs w:val="20"/>
    </w:rPr>
  </w:style>
  <w:style w:type="paragraph" w:customStyle="1" w:styleId="290">
    <w:name w:val="_Style 234"/>
    <w:next w:val="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91">
    <w:name w:val="+正文 Char Char5 Char Char"/>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92">
    <w:name w:val="SuepHeading"/>
    <w:basedOn w:val="1"/>
    <w:autoRedefine/>
    <w:qFormat/>
    <w:uiPriority w:val="0"/>
    <w:pPr>
      <w:tabs>
        <w:tab w:val="left" w:pos="720"/>
        <w:tab w:val="left" w:pos="828"/>
        <w:tab w:val="left" w:pos="1394"/>
        <w:tab w:val="left" w:pos="2245"/>
        <w:tab w:val="left" w:pos="3094"/>
        <w:tab w:val="left" w:pos="3945"/>
        <w:tab w:val="left" w:pos="5079"/>
        <w:tab w:val="left" w:pos="6496"/>
        <w:tab w:val="left" w:pos="7630"/>
      </w:tabs>
      <w:suppressAutoHyphens/>
      <w:adjustRightInd/>
      <w:snapToGrid/>
      <w:spacing w:after="0"/>
      <w:ind w:left="720" w:hanging="720"/>
      <w:jc w:val="both"/>
    </w:pPr>
    <w:rPr>
      <w:rFonts w:ascii="Times New Roman" w:hAnsi="Times New Roman" w:eastAsia="宋体" w:cs="Times New Roman"/>
      <w:b/>
      <w:spacing w:val="-2"/>
      <w:szCs w:val="20"/>
      <w:lang w:val="en-GB"/>
    </w:rPr>
  </w:style>
  <w:style w:type="paragraph" w:customStyle="1" w:styleId="293">
    <w:name w:val="样式 样式 普通文字表格文字 + 四号 居中 行距: 固定值 12 磅 + (中文) 黑体 小四 首行缩进:  2 字符"/>
    <w:basedOn w:val="1"/>
    <w:autoRedefine/>
    <w:qFormat/>
    <w:uiPriority w:val="0"/>
    <w:pPr>
      <w:widowControl w:val="0"/>
      <w:adjustRightInd/>
      <w:snapToGrid/>
      <w:spacing w:beforeLines="150" w:after="0" w:line="300" w:lineRule="exact"/>
      <w:jc w:val="center"/>
    </w:pPr>
    <w:rPr>
      <w:rFonts w:ascii="Times New Roman" w:hAnsi="Times New Roman" w:eastAsia="黑体" w:cs="宋体"/>
      <w:sz w:val="24"/>
      <w:szCs w:val="24"/>
    </w:rPr>
  </w:style>
  <w:style w:type="paragraph" w:customStyle="1" w:styleId="294">
    <w:name w:val="+正文 Char Char1 Char Char Char"/>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295">
    <w:name w:val="TabC"/>
    <w:basedOn w:val="1"/>
    <w:autoRedefine/>
    <w:qFormat/>
    <w:uiPriority w:val="0"/>
    <w:pPr>
      <w:keepLines/>
      <w:adjustRightInd/>
      <w:snapToGrid/>
      <w:spacing w:before="120" w:after="120"/>
      <w:jc w:val="center"/>
    </w:pPr>
    <w:rPr>
      <w:rFonts w:ascii="Times New Roman" w:hAnsi="Times New Roman" w:eastAsia="宋体" w:cs="Times New Roman"/>
      <w:sz w:val="24"/>
      <w:szCs w:val="20"/>
      <w:lang w:val="fr-FR"/>
    </w:rPr>
  </w:style>
  <w:style w:type="paragraph" w:customStyle="1" w:styleId="296">
    <w:name w:val="！表格"/>
    <w:basedOn w:val="1"/>
    <w:autoRedefine/>
    <w:qFormat/>
    <w:uiPriority w:val="0"/>
    <w:pPr>
      <w:widowControl w:val="0"/>
      <w:adjustRightInd/>
      <w:snapToGrid/>
      <w:spacing w:after="0"/>
      <w:jc w:val="center"/>
    </w:pPr>
    <w:rPr>
      <w:rFonts w:ascii="Times New Roman" w:hAnsi="Times New Roman" w:eastAsia="楷体_GB2312" w:cs="Times New Roman"/>
      <w:kern w:val="2"/>
      <w:sz w:val="24"/>
      <w:szCs w:val="24"/>
    </w:rPr>
  </w:style>
  <w:style w:type="paragraph" w:customStyle="1" w:styleId="297">
    <w:name w:val="Char Char Char Char1 Char Char Char"/>
    <w:basedOn w:val="1"/>
    <w:autoRedefine/>
    <w:qFormat/>
    <w:uiPriority w:val="0"/>
    <w:pPr>
      <w:widowControl w:val="0"/>
      <w:adjustRightInd/>
      <w:snapToGrid/>
      <w:spacing w:after="0" w:line="240" w:lineRule="atLeast"/>
      <w:ind w:left="420" w:firstLine="420"/>
      <w:jc w:val="both"/>
    </w:pPr>
    <w:rPr>
      <w:rFonts w:ascii="Times New Roman" w:hAnsi="Times New Roman" w:eastAsia="宋体" w:cs="Times New Roman"/>
      <w:sz w:val="21"/>
      <w:szCs w:val="21"/>
    </w:rPr>
  </w:style>
  <w:style w:type="paragraph" w:customStyle="1" w:styleId="298">
    <w:name w:val="+列表编号"/>
    <w:basedOn w:val="1"/>
    <w:autoRedefine/>
    <w:qFormat/>
    <w:uiPriority w:val="0"/>
    <w:pPr>
      <w:widowControl w:val="0"/>
      <w:tabs>
        <w:tab w:val="center" w:pos="4200"/>
        <w:tab w:val="right" w:pos="8400"/>
      </w:tabs>
      <w:adjustRightInd/>
      <w:snapToGrid/>
      <w:spacing w:before="120" w:after="120"/>
      <w:jc w:val="center"/>
    </w:pPr>
    <w:rPr>
      <w:rFonts w:ascii="Times New Roman" w:hAnsi="Times New Roman" w:eastAsia="宋体" w:cs="Times New Roman"/>
      <w:b/>
      <w:kern w:val="2"/>
      <w:sz w:val="24"/>
      <w:szCs w:val="28"/>
    </w:rPr>
  </w:style>
  <w:style w:type="paragraph" w:customStyle="1" w:styleId="299">
    <w:name w:val="样式 样式3 + 首行缩进:  2 字符"/>
    <w:basedOn w:val="1"/>
    <w:autoRedefine/>
    <w:qFormat/>
    <w:uiPriority w:val="0"/>
    <w:pPr>
      <w:widowControl w:val="0"/>
      <w:adjustRightInd/>
      <w:snapToGrid/>
      <w:spacing w:after="0" w:line="360" w:lineRule="auto"/>
      <w:ind w:firstLine="360" w:firstLineChars="200"/>
      <w:jc w:val="both"/>
    </w:pPr>
    <w:rPr>
      <w:rFonts w:ascii="Times New Roman" w:hAnsi="Times New Roman" w:eastAsia="黑体" w:cs="宋体"/>
      <w:kern w:val="2"/>
      <w:sz w:val="28"/>
      <w:szCs w:val="28"/>
    </w:rPr>
  </w:style>
  <w:style w:type="paragraph" w:customStyle="1" w:styleId="300">
    <w:name w:val="text"/>
    <w:basedOn w:val="1"/>
    <w:autoRedefine/>
    <w:qFormat/>
    <w:uiPriority w:val="0"/>
    <w:pPr>
      <w:tabs>
        <w:tab w:val="left" w:pos="1050"/>
      </w:tabs>
      <w:overflowPunct w:val="0"/>
      <w:autoSpaceDE w:val="0"/>
      <w:autoSpaceDN w:val="0"/>
      <w:snapToGrid/>
      <w:spacing w:before="240" w:after="0"/>
      <w:ind w:left="1049"/>
      <w:jc w:val="both"/>
      <w:textAlignment w:val="baseline"/>
    </w:pPr>
    <w:rPr>
      <w:rFonts w:ascii="Times New Roman" w:hAnsi="Times New Roman" w:eastAsia="宋体" w:cs="Times New Roman"/>
      <w:sz w:val="24"/>
      <w:szCs w:val="20"/>
    </w:rPr>
  </w:style>
  <w:style w:type="paragraph" w:customStyle="1" w:styleId="301">
    <w:name w:val="样式1"/>
    <w:basedOn w:val="1"/>
    <w:next w:val="6"/>
    <w:autoRedefine/>
    <w:qFormat/>
    <w:uiPriority w:val="0"/>
    <w:pPr>
      <w:widowControl w:val="0"/>
      <w:adjustRightInd/>
      <w:snapToGrid/>
      <w:spacing w:after="0" w:line="360" w:lineRule="auto"/>
      <w:ind w:firstLine="420" w:firstLineChars="200"/>
      <w:jc w:val="both"/>
    </w:pPr>
    <w:rPr>
      <w:rFonts w:ascii="宋体" w:hAnsi="宋体" w:eastAsia="宋体" w:cs="Times New Roman"/>
      <w:kern w:val="2"/>
      <w:sz w:val="21"/>
      <w:szCs w:val="21"/>
    </w:rPr>
  </w:style>
  <w:style w:type="paragraph" w:customStyle="1" w:styleId="302">
    <w:name w:val="+A."/>
    <w:basedOn w:val="303"/>
    <w:autoRedefine/>
    <w:qFormat/>
    <w:uiPriority w:val="0"/>
    <w:pPr>
      <w:tabs>
        <w:tab w:val="left" w:pos="3827"/>
      </w:tabs>
      <w:ind w:left="3402" w:firstLine="0" w:firstLineChars="0"/>
    </w:pPr>
  </w:style>
  <w:style w:type="paragraph" w:customStyle="1" w:styleId="303">
    <w:name w:val="+正文"/>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8"/>
    </w:rPr>
  </w:style>
  <w:style w:type="paragraph" w:customStyle="1" w:styleId="304">
    <w:name w:val="样式 宋体 行距: 固定值 18 磅"/>
    <w:basedOn w:val="1"/>
    <w:autoRedefine/>
    <w:qFormat/>
    <w:uiPriority w:val="0"/>
    <w:pPr>
      <w:widowControl w:val="0"/>
      <w:adjustRightInd/>
      <w:snapToGrid/>
      <w:spacing w:beforeLines="30" w:after="0" w:line="360" w:lineRule="exact"/>
      <w:jc w:val="both"/>
    </w:pPr>
    <w:rPr>
      <w:rFonts w:ascii="宋体" w:hAnsi="宋体" w:eastAsia="宋体" w:cs="Times New Roman"/>
      <w:kern w:val="2"/>
      <w:sz w:val="21"/>
      <w:szCs w:val="20"/>
    </w:rPr>
  </w:style>
  <w:style w:type="paragraph" w:customStyle="1" w:styleId="305">
    <w:name w:val="中文正文1"/>
    <w:basedOn w:val="1"/>
    <w:autoRedefine/>
    <w:qFormat/>
    <w:uiPriority w:val="0"/>
    <w:pPr>
      <w:widowControl w:val="0"/>
      <w:tabs>
        <w:tab w:val="left" w:pos="735"/>
      </w:tabs>
      <w:snapToGrid/>
      <w:spacing w:after="0" w:line="312" w:lineRule="atLeast"/>
      <w:ind w:left="735" w:firstLine="525"/>
      <w:jc w:val="both"/>
      <w:textAlignment w:val="baseline"/>
    </w:pPr>
    <w:rPr>
      <w:rFonts w:ascii="宋体" w:hAnsi="Arial" w:eastAsia="宋体" w:cs="Times New Roman"/>
      <w:sz w:val="24"/>
      <w:szCs w:val="20"/>
    </w:rPr>
  </w:style>
  <w:style w:type="paragraph" w:customStyle="1" w:styleId="306">
    <w:name w:val="正文1.2"/>
    <w:basedOn w:val="1"/>
    <w:autoRedefine/>
    <w:qFormat/>
    <w:uiPriority w:val="0"/>
    <w:pPr>
      <w:widowControl w:val="0"/>
      <w:adjustRightInd/>
      <w:snapToGrid/>
      <w:spacing w:after="0" w:line="288" w:lineRule="auto"/>
    </w:pPr>
    <w:rPr>
      <w:rFonts w:ascii="宋体" w:hAnsi="Times New Roman" w:eastAsia="宋体" w:cs="Times New Roman"/>
      <w:sz w:val="28"/>
      <w:szCs w:val="20"/>
      <w:lang w:eastAsia="en-US"/>
    </w:rPr>
  </w:style>
  <w:style w:type="paragraph" w:customStyle="1" w:styleId="307">
    <w:name w:val="flNote"/>
    <w:basedOn w:val="1"/>
    <w:autoRedefine/>
    <w:qFormat/>
    <w:uiPriority w:val="0"/>
    <w:pPr>
      <w:widowControl w:val="0"/>
      <w:snapToGrid/>
      <w:spacing w:before="320" w:after="160" w:line="360" w:lineRule="atLeast"/>
      <w:jc w:val="center"/>
      <w:textAlignment w:val="baseline"/>
    </w:pPr>
    <w:rPr>
      <w:rFonts w:ascii="Arial" w:hAnsi="Times New Roman" w:eastAsia="黑体" w:cs="Times New Roman"/>
      <w:sz w:val="30"/>
      <w:szCs w:val="20"/>
    </w:rPr>
  </w:style>
  <w:style w:type="paragraph" w:customStyle="1" w:styleId="308">
    <w:name w:val="B"/>
    <w:basedOn w:val="1"/>
    <w:autoRedefine/>
    <w:qFormat/>
    <w:uiPriority w:val="0"/>
    <w:pPr>
      <w:tabs>
        <w:tab w:val="left" w:pos="1200"/>
      </w:tabs>
      <w:adjustRightInd/>
      <w:snapToGrid/>
      <w:spacing w:before="240" w:after="0" w:line="240" w:lineRule="atLeast"/>
      <w:jc w:val="both"/>
    </w:pPr>
    <w:rPr>
      <w:rFonts w:ascii="Times New Roman" w:hAnsi="Times New Roman" w:eastAsia="宋体" w:cs="Times New Roman"/>
      <w:kern w:val="2"/>
      <w:sz w:val="24"/>
      <w:szCs w:val="24"/>
    </w:rPr>
  </w:style>
  <w:style w:type="paragraph" w:customStyle="1" w:styleId="309">
    <w:name w:val="ST20_12"/>
    <w:basedOn w:val="1"/>
    <w:autoRedefine/>
    <w:qFormat/>
    <w:uiPriority w:val="0"/>
    <w:pPr>
      <w:widowControl w:val="0"/>
      <w:autoSpaceDE w:val="0"/>
      <w:autoSpaceDN w:val="0"/>
      <w:snapToGrid/>
      <w:spacing w:after="120"/>
      <w:ind w:left="426" w:firstLine="425"/>
      <w:jc w:val="both"/>
    </w:pPr>
    <w:rPr>
      <w:rFonts w:ascii="宋体" w:hAnsi="Tms Rmn" w:eastAsia="宋体" w:cs="Times New Roman"/>
      <w:sz w:val="24"/>
      <w:szCs w:val="20"/>
    </w:rPr>
  </w:style>
  <w:style w:type="paragraph" w:customStyle="1" w:styleId="310">
    <w:name w:val="1"/>
    <w:basedOn w:val="1"/>
    <w:next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311">
    <w:name w:val="font6"/>
    <w:basedOn w:val="1"/>
    <w:autoRedefine/>
    <w:qFormat/>
    <w:uiPriority w:val="0"/>
    <w:pPr>
      <w:adjustRightInd/>
      <w:snapToGrid/>
      <w:spacing w:before="100" w:beforeAutospacing="1" w:after="100" w:afterAutospacing="1"/>
    </w:pPr>
    <w:rPr>
      <w:rFonts w:hint="eastAsia" w:ascii="宋体" w:hAnsi="宋体" w:eastAsia="宋体" w:cs="Arial Unicode MS"/>
    </w:rPr>
  </w:style>
  <w:style w:type="paragraph" w:customStyle="1" w:styleId="312">
    <w:name w:val="样式 样式 样式 样式 标题 3 + + 段前: 1.5 行 段后: 1.5 行 + 段前: 1.5 行 段后: 1.5 行 +..."/>
    <w:basedOn w:val="313"/>
    <w:autoRedefine/>
    <w:qFormat/>
    <w:uiPriority w:val="0"/>
    <w:pPr>
      <w:spacing w:beforeLines="150" w:afterLines="80"/>
    </w:pPr>
  </w:style>
  <w:style w:type="paragraph" w:customStyle="1" w:styleId="313">
    <w:name w:val="样式 样式 样式 标题 3 + + 段前: 1.5 行 段后: 1.5 行 + 段前: 1.5 行 段后: 1.5 行"/>
    <w:basedOn w:val="314"/>
    <w:autoRedefine/>
    <w:qFormat/>
    <w:uiPriority w:val="0"/>
    <w:pPr>
      <w:spacing w:beforeLines="0"/>
    </w:pPr>
    <w:rPr>
      <w:bCs w:val="0"/>
      <w:szCs w:val="20"/>
    </w:rPr>
  </w:style>
  <w:style w:type="paragraph" w:customStyle="1" w:styleId="314">
    <w:name w:val="样式 样式 标题 3 + + 段前: 1.5 行 段后: 1.5 行"/>
    <w:basedOn w:val="1"/>
    <w:autoRedefine/>
    <w:qFormat/>
    <w:uiPriority w:val="0"/>
    <w:pPr>
      <w:keepNext/>
      <w:keepLines/>
      <w:widowControl w:val="0"/>
      <w:adjustRightInd/>
      <w:snapToGrid/>
      <w:spacing w:beforeLines="150" w:afterLines="150" w:line="360" w:lineRule="auto"/>
      <w:jc w:val="both"/>
      <w:outlineLvl w:val="2"/>
    </w:pPr>
    <w:rPr>
      <w:rFonts w:ascii="Times New Roman" w:hAnsi="Times New Roman" w:eastAsia="黑体" w:cs="宋体"/>
      <w:bCs/>
      <w:kern w:val="2"/>
      <w:sz w:val="28"/>
      <w:szCs w:val="28"/>
    </w:rPr>
  </w:style>
  <w:style w:type="paragraph" w:customStyle="1" w:styleId="315">
    <w:name w:val="标题３"/>
    <w:basedOn w:val="5"/>
    <w:autoRedefine/>
    <w:qFormat/>
    <w:uiPriority w:val="0"/>
    <w:pPr>
      <w:keepNext w:val="0"/>
      <w:keepLines w:val="0"/>
      <w:tabs>
        <w:tab w:val="left" w:pos="1054"/>
      </w:tabs>
      <w:autoSpaceDE w:val="0"/>
      <w:autoSpaceDN w:val="0"/>
      <w:adjustRightInd w:val="0"/>
      <w:snapToGrid w:val="0"/>
      <w:spacing w:beforeLines="10" w:afterLines="10" w:line="240" w:lineRule="auto"/>
      <w:outlineLvl w:val="9"/>
    </w:pPr>
    <w:rPr>
      <w:rFonts w:ascii="宋体" w:hAnsi="宋体"/>
      <w:b w:val="0"/>
      <w:bCs w:val="0"/>
      <w:szCs w:val="24"/>
    </w:rPr>
  </w:style>
  <w:style w:type="paragraph" w:customStyle="1" w:styleId="316">
    <w:name w:val="样式 首行缩进:  2 字符"/>
    <w:basedOn w:val="1"/>
    <w:autoRedefine/>
    <w:qFormat/>
    <w:uiPriority w:val="0"/>
    <w:pPr>
      <w:widowControl w:val="0"/>
      <w:adjustRightInd/>
      <w:snapToGrid/>
      <w:spacing w:after="0" w:line="500" w:lineRule="exact"/>
      <w:ind w:firstLine="480" w:firstLineChars="200"/>
      <w:jc w:val="both"/>
    </w:pPr>
    <w:rPr>
      <w:rFonts w:ascii="宋体" w:hAnsi="宋体" w:eastAsia="宋体" w:cs="宋体"/>
      <w:color w:val="000000"/>
      <w:kern w:val="2"/>
      <w:sz w:val="24"/>
      <w:szCs w:val="24"/>
    </w:rPr>
  </w:style>
  <w:style w:type="paragraph" w:customStyle="1" w:styleId="317">
    <w:name w:val="xl25"/>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Times New Roman" w:hAnsi="Times New Roman" w:eastAsia="Arial Unicode MS" w:cs="Times New Roman"/>
    </w:rPr>
  </w:style>
  <w:style w:type="paragraph" w:customStyle="1" w:styleId="318">
    <w:name w:val="1.1.1"/>
    <w:basedOn w:val="1"/>
    <w:autoRedefine/>
    <w:qFormat/>
    <w:uiPriority w:val="0"/>
    <w:pPr>
      <w:widowControl w:val="0"/>
      <w:tabs>
        <w:tab w:val="left" w:pos="0"/>
        <w:tab w:val="left" w:pos="900"/>
        <w:tab w:val="left" w:pos="1134"/>
        <w:tab w:val="left" w:pos="8505"/>
      </w:tabs>
      <w:spacing w:beforeLines="50" w:afterLines="50" w:line="360" w:lineRule="atLeast"/>
      <w:ind w:left="869" w:leftChars="50" w:right="200" w:rightChars="200"/>
      <w:jc w:val="both"/>
      <w:textAlignment w:val="baseline"/>
    </w:pPr>
    <w:rPr>
      <w:rFonts w:ascii="Times New Roman" w:hAnsi="Arial" w:eastAsia="宋体" w:cs="Times New Roman"/>
      <w:b/>
      <w:sz w:val="28"/>
      <w:szCs w:val="20"/>
    </w:rPr>
  </w:style>
  <w:style w:type="paragraph" w:customStyle="1" w:styleId="319">
    <w:name w:val="表格"/>
    <w:basedOn w:val="1"/>
    <w:autoRedefine/>
    <w:qFormat/>
    <w:uiPriority w:val="0"/>
    <w:pPr>
      <w:widowControl w:val="0"/>
      <w:snapToGrid/>
      <w:spacing w:after="0" w:line="264" w:lineRule="auto"/>
      <w:jc w:val="center"/>
      <w:textAlignment w:val="baseline"/>
    </w:pPr>
    <w:rPr>
      <w:rFonts w:ascii="宋体" w:hAnsi="宋体" w:eastAsia="宋体" w:cs="Times New Roman"/>
      <w:sz w:val="24"/>
      <w:szCs w:val="20"/>
    </w:rPr>
  </w:style>
  <w:style w:type="paragraph" w:customStyle="1" w:styleId="320">
    <w:name w:val="+注："/>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1"/>
      <w:szCs w:val="21"/>
    </w:rPr>
  </w:style>
  <w:style w:type="paragraph" w:customStyle="1" w:styleId="321">
    <w:name w:val="Char2 Char Char Char Char Char Char Char"/>
    <w:basedOn w:val="1"/>
    <w:autoRedefine/>
    <w:qFormat/>
    <w:uiPriority w:val="0"/>
    <w:pPr>
      <w:widowControl w:val="0"/>
      <w:tabs>
        <w:tab w:val="left" w:pos="360"/>
      </w:tabs>
      <w:adjustRightInd/>
      <w:snapToGrid/>
      <w:spacing w:after="0" w:line="360" w:lineRule="auto"/>
      <w:ind w:left="482" w:firstLine="200" w:firstLineChars="200"/>
      <w:jc w:val="both"/>
    </w:pPr>
    <w:rPr>
      <w:rFonts w:ascii="宋体" w:hAnsi="Times New Roman" w:eastAsia="宋体" w:cs="Times New Roman"/>
      <w:kern w:val="2"/>
      <w:sz w:val="24"/>
      <w:szCs w:val="24"/>
    </w:rPr>
  </w:style>
  <w:style w:type="paragraph" w:customStyle="1" w:styleId="322">
    <w:name w:val="1.1"/>
    <w:basedOn w:val="1"/>
    <w:autoRedefine/>
    <w:qFormat/>
    <w:uiPriority w:val="0"/>
    <w:pPr>
      <w:keepNext/>
      <w:widowControl w:val="0"/>
      <w:overflowPunct w:val="0"/>
      <w:autoSpaceDE w:val="0"/>
      <w:autoSpaceDN w:val="0"/>
      <w:snapToGrid/>
      <w:spacing w:before="240" w:after="0"/>
      <w:textAlignment w:val="baseline"/>
    </w:pPr>
    <w:rPr>
      <w:rFonts w:ascii="宋体" w:hAnsi="Times New Roman" w:eastAsia="宋体" w:cs="Times New Roman"/>
      <w:b/>
      <w:sz w:val="24"/>
      <w:szCs w:val="20"/>
    </w:rPr>
  </w:style>
  <w:style w:type="paragraph" w:customStyle="1" w:styleId="323">
    <w:name w:val="注1"/>
    <w:basedOn w:val="1"/>
    <w:autoRedefine/>
    <w:qFormat/>
    <w:uiPriority w:val="0"/>
    <w:pPr>
      <w:widowControl w:val="0"/>
      <w:adjustRightInd/>
      <w:snapToGrid/>
      <w:spacing w:after="0" w:line="360" w:lineRule="auto"/>
      <w:jc w:val="both"/>
    </w:pPr>
    <w:rPr>
      <w:rFonts w:ascii="宋体" w:hAnsi="Times New Roman" w:eastAsia="宋体" w:cs="Times New Roman"/>
      <w:bCs/>
      <w:kern w:val="2"/>
      <w:sz w:val="21"/>
      <w:szCs w:val="21"/>
    </w:rPr>
  </w:style>
  <w:style w:type="paragraph" w:customStyle="1" w:styleId="324">
    <w:name w:val="正文21"/>
    <w:basedOn w:val="1"/>
    <w:next w:val="325"/>
    <w:autoRedefine/>
    <w:qFormat/>
    <w:uiPriority w:val="0"/>
    <w:pPr>
      <w:adjustRightInd/>
      <w:snapToGrid/>
      <w:spacing w:after="0" w:line="500" w:lineRule="exact"/>
      <w:ind w:firstLine="480" w:firstLineChars="200"/>
      <w:jc w:val="both"/>
    </w:pPr>
    <w:rPr>
      <w:rFonts w:ascii="Times New Roman" w:hAnsi="Times New Roman" w:eastAsia="宋体" w:cs="Times New Roman"/>
      <w:sz w:val="24"/>
      <w:szCs w:val="24"/>
      <w:lang w:eastAsia="en-US"/>
    </w:rPr>
  </w:style>
  <w:style w:type="paragraph" w:customStyle="1" w:styleId="325">
    <w:name w:val="正文2"/>
    <w:basedOn w:val="1"/>
    <w:autoRedefine/>
    <w:qFormat/>
    <w:uiPriority w:val="0"/>
    <w:pPr>
      <w:adjustRightInd/>
      <w:snapToGrid/>
      <w:spacing w:after="0" w:line="500" w:lineRule="exact"/>
      <w:ind w:firstLine="482" w:firstLineChars="200"/>
    </w:pPr>
    <w:rPr>
      <w:rFonts w:ascii="Times New Roman" w:hAnsi="Times New Roman" w:eastAsia="宋体" w:cs="Times New Roman"/>
      <w:b/>
      <w:sz w:val="24"/>
      <w:szCs w:val="24"/>
    </w:rPr>
  </w:style>
  <w:style w:type="paragraph" w:customStyle="1" w:styleId="326">
    <w:name w:val="项目符号_“-”"/>
    <w:basedOn w:val="1"/>
    <w:autoRedefine/>
    <w:qFormat/>
    <w:uiPriority w:val="0"/>
    <w:pPr>
      <w:widowControl w:val="0"/>
      <w:tabs>
        <w:tab w:val="left" w:pos="420"/>
      </w:tabs>
      <w:adjustRightInd/>
      <w:snapToGrid/>
      <w:spacing w:before="78" w:after="0"/>
      <w:ind w:left="820" w:leftChars="400" w:hanging="420"/>
      <w:jc w:val="both"/>
    </w:pPr>
    <w:rPr>
      <w:rFonts w:ascii="Times New Roman" w:hAnsi="Times New Roman" w:eastAsia="宋体" w:cs="Times New Roman"/>
      <w:kern w:val="2"/>
      <w:sz w:val="21"/>
      <w:szCs w:val="20"/>
    </w:rPr>
  </w:style>
  <w:style w:type="paragraph" w:customStyle="1" w:styleId="327">
    <w:name w:val="Char Char Char Char Char Char"/>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328">
    <w:name w:val="列表项目编号"/>
    <w:basedOn w:val="1"/>
    <w:autoRedefine/>
    <w:qFormat/>
    <w:uiPriority w:val="0"/>
    <w:pPr>
      <w:widowControl w:val="0"/>
      <w:snapToGrid/>
      <w:spacing w:after="0" w:line="360" w:lineRule="auto"/>
      <w:jc w:val="both"/>
    </w:pPr>
    <w:rPr>
      <w:rFonts w:ascii="Times New Roman" w:hAnsi="Times New Roman" w:eastAsia="宋体" w:cs="Times New Roman"/>
      <w:sz w:val="28"/>
      <w:szCs w:val="20"/>
    </w:rPr>
  </w:style>
  <w:style w:type="paragraph" w:customStyle="1" w:styleId="329">
    <w:name w:val="xl27"/>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18"/>
      <w:szCs w:val="18"/>
    </w:rPr>
  </w:style>
  <w:style w:type="paragraph" w:customStyle="1" w:styleId="330">
    <w:name w:val="样式 样式 样式 样式 标题 3 + + 段前: 1.5 行 段后: 1.5 行 + 段前: 1.5 行 段后: 1.5 行 +...1"/>
    <w:basedOn w:val="313"/>
    <w:autoRedefine/>
    <w:qFormat/>
    <w:uiPriority w:val="0"/>
    <w:pPr>
      <w:spacing w:beforeLines="150" w:afterLines="80"/>
    </w:pPr>
  </w:style>
  <w:style w:type="paragraph" w:customStyle="1" w:styleId="331">
    <w:name w:val="样式 样式 样式3 + 首行缩进:  2 字符 + 首行缩进:  2 字符"/>
    <w:basedOn w:val="299"/>
    <w:autoRedefine/>
    <w:qFormat/>
    <w:uiPriority w:val="0"/>
    <w:pPr>
      <w:spacing w:before="360" w:after="240"/>
      <w:ind w:firstLine="0" w:firstLineChars="0"/>
      <w:outlineLvl w:val="2"/>
    </w:pPr>
    <w:rPr>
      <w:szCs w:val="20"/>
    </w:rPr>
  </w:style>
  <w:style w:type="paragraph" w:customStyle="1" w:styleId="332">
    <w:name w:val="表格文字居中"/>
    <w:basedOn w:val="1"/>
    <w:next w:val="1"/>
    <w:autoRedefine/>
    <w:qFormat/>
    <w:uiPriority w:val="0"/>
    <w:pPr>
      <w:widowControl w:val="0"/>
      <w:tabs>
        <w:tab w:val="left" w:pos="720"/>
        <w:tab w:val="left" w:pos="900"/>
      </w:tabs>
      <w:spacing w:beforeLines="20" w:afterLines="20" w:line="360" w:lineRule="auto"/>
      <w:jc w:val="center"/>
    </w:pPr>
    <w:rPr>
      <w:rFonts w:ascii="宋体" w:hAnsi="Arial" w:eastAsia="宋体" w:cs="Times New Roman"/>
      <w:sz w:val="18"/>
      <w:szCs w:val="20"/>
    </w:rPr>
  </w:style>
  <w:style w:type="paragraph" w:customStyle="1" w:styleId="333">
    <w:name w:val="11"/>
    <w:basedOn w:val="1"/>
    <w:next w:val="32"/>
    <w:autoRedefine/>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334">
    <w:name w:val="用户标题3"/>
    <w:basedOn w:val="5"/>
    <w:autoRedefine/>
    <w:qFormat/>
    <w:uiPriority w:val="0"/>
    <w:pPr>
      <w:tabs>
        <w:tab w:val="left" w:pos="284"/>
        <w:tab w:val="left" w:pos="567"/>
      </w:tabs>
      <w:adjustRightInd w:val="0"/>
      <w:spacing w:before="360" w:after="120" w:line="400" w:lineRule="atLeast"/>
      <w:ind w:left="300" w:firstLine="142"/>
      <w:jc w:val="left"/>
      <w:textAlignment w:val="baseline"/>
      <w:outlineLvl w:val="9"/>
    </w:pPr>
    <w:rPr>
      <w:kern w:val="0"/>
      <w:sz w:val="30"/>
      <w:szCs w:val="20"/>
    </w:rPr>
  </w:style>
  <w:style w:type="paragraph" w:customStyle="1" w:styleId="335">
    <w:name w:val="标书正文"/>
    <w:basedOn w:val="15"/>
    <w:autoRedefine/>
    <w:qFormat/>
    <w:uiPriority w:val="0"/>
    <w:pPr>
      <w:snapToGrid w:val="0"/>
      <w:spacing w:before="50" w:after="0" w:line="460" w:lineRule="exact"/>
      <w:ind w:firstLine="360" w:firstLineChars="150"/>
    </w:pPr>
    <w:rPr>
      <w:rFonts w:ascii="Calibri" w:hAnsi="Calibri"/>
      <w:kern w:val="0"/>
      <w:sz w:val="24"/>
      <w:szCs w:val="20"/>
      <w:lang w:eastAsia="en-US"/>
    </w:rPr>
  </w:style>
  <w:style w:type="paragraph" w:customStyle="1" w:styleId="336">
    <w:name w:val="样式 样式 样式 标题 3 + + 段前: 1.5 行 段后: 1.5 行 + 段前: 1.5 行 段后: 1.5 行1"/>
    <w:basedOn w:val="314"/>
    <w:autoRedefine/>
    <w:qFormat/>
    <w:uiPriority w:val="0"/>
    <w:pPr>
      <w:spacing w:beforeLines="0"/>
    </w:pPr>
    <w:rPr>
      <w:bCs w:val="0"/>
    </w:rPr>
  </w:style>
  <w:style w:type="paragraph" w:customStyle="1" w:styleId="337">
    <w:name w:val="样式 (西文) 仿宋_GB2312 (中文) 仿宋_GB2312 小四 黑色 行距: 固定值 18 磅"/>
    <w:basedOn w:val="1"/>
    <w:autoRedefine/>
    <w:qFormat/>
    <w:uiPriority w:val="0"/>
    <w:pPr>
      <w:widowControl w:val="0"/>
      <w:adjustRightInd/>
      <w:snapToGrid/>
      <w:spacing w:beforeLines="30" w:after="0" w:line="360" w:lineRule="exact"/>
      <w:jc w:val="both"/>
    </w:pPr>
    <w:rPr>
      <w:rFonts w:ascii="宋体" w:hAnsi="Times New Roman" w:eastAsia="宋体" w:cs="Times New Roman"/>
      <w:color w:val="000000"/>
      <w:kern w:val="2"/>
      <w:sz w:val="24"/>
      <w:szCs w:val="21"/>
    </w:rPr>
  </w:style>
  <w:style w:type="paragraph" w:customStyle="1" w:styleId="338">
    <w:name w:val="肖正"/>
    <w:basedOn w:val="1"/>
    <w:autoRedefine/>
    <w:qFormat/>
    <w:uiPriority w:val="0"/>
    <w:pPr>
      <w:widowControl w:val="0"/>
      <w:adjustRightInd/>
      <w:snapToGrid/>
      <w:spacing w:after="0"/>
      <w:ind w:firstLine="567"/>
      <w:jc w:val="both"/>
    </w:pPr>
    <w:rPr>
      <w:rFonts w:ascii="Times New Roman" w:hAnsi="Times New Roman" w:eastAsia="宋体" w:cs="Times New Roman"/>
      <w:kern w:val="2"/>
      <w:sz w:val="24"/>
      <w:szCs w:val="18"/>
    </w:rPr>
  </w:style>
  <w:style w:type="paragraph" w:customStyle="1" w:styleId="339">
    <w:name w:val="样式 样式 样式 样式 首行缩进:  0.74 厘米 行距: 固定值 29 磅 + 首行缩进:  2 字符 + (西文) Ari..."/>
    <w:basedOn w:val="1"/>
    <w:autoRedefine/>
    <w:qFormat/>
    <w:uiPriority w:val="0"/>
    <w:pPr>
      <w:widowControl w:val="0"/>
      <w:tabs>
        <w:tab w:val="left" w:pos="1320"/>
      </w:tabs>
      <w:adjustRightInd/>
      <w:snapToGrid/>
      <w:spacing w:after="0" w:line="360" w:lineRule="auto"/>
      <w:ind w:firstLine="200" w:firstLineChars="200"/>
      <w:jc w:val="both"/>
    </w:pPr>
    <w:rPr>
      <w:rFonts w:ascii="Times New Roman" w:hAnsi="Times New Roman" w:eastAsia="宋体" w:cs="Times New Roman"/>
      <w:spacing w:val="2"/>
      <w:kern w:val="2"/>
      <w:sz w:val="24"/>
      <w:szCs w:val="24"/>
    </w:rPr>
  </w:style>
  <w:style w:type="paragraph" w:customStyle="1" w:styleId="340">
    <w:name w:val="6'"/>
    <w:basedOn w:val="1"/>
    <w:autoRedefine/>
    <w:qFormat/>
    <w:uiPriority w:val="0"/>
    <w:pPr>
      <w:widowControl w:val="0"/>
      <w:autoSpaceDE w:val="0"/>
      <w:autoSpaceDN w:val="0"/>
      <w:spacing w:after="0" w:line="320" w:lineRule="exact"/>
      <w:jc w:val="center"/>
      <w:textAlignment w:val="baseline"/>
    </w:pPr>
    <w:rPr>
      <w:rFonts w:ascii="Times New Roman" w:hAnsi="Times New Roman" w:eastAsia="宋体" w:cs="Times New Roman"/>
      <w:spacing w:val="20"/>
      <w:kern w:val="28"/>
      <w:sz w:val="21"/>
      <w:szCs w:val="20"/>
    </w:rPr>
  </w:style>
  <w:style w:type="paragraph" w:customStyle="1" w:styleId="341">
    <w:name w:val="font5"/>
    <w:basedOn w:val="1"/>
    <w:autoRedefine/>
    <w:qFormat/>
    <w:uiPriority w:val="0"/>
    <w:pPr>
      <w:adjustRightInd/>
      <w:snapToGrid/>
      <w:spacing w:before="100" w:beforeAutospacing="1" w:after="100" w:afterAutospacing="1"/>
    </w:pPr>
    <w:rPr>
      <w:rFonts w:hint="eastAsia" w:ascii="宋体" w:hAnsi="宋体" w:eastAsia="宋体" w:cs="Arial Unicode MS"/>
      <w:sz w:val="18"/>
      <w:szCs w:val="18"/>
    </w:rPr>
  </w:style>
  <w:style w:type="paragraph" w:customStyle="1" w:styleId="342">
    <w:name w:val="font7"/>
    <w:basedOn w:val="1"/>
    <w:autoRedefine/>
    <w:qFormat/>
    <w:uiPriority w:val="0"/>
    <w:pPr>
      <w:adjustRightInd/>
      <w:snapToGrid/>
      <w:spacing w:before="100" w:beforeAutospacing="1" w:after="100" w:afterAutospacing="1"/>
    </w:pPr>
    <w:rPr>
      <w:rFonts w:ascii="Times New Roman" w:hAnsi="Times New Roman" w:eastAsia="Arial Unicode MS" w:cs="Times New Roman"/>
    </w:rPr>
  </w:style>
  <w:style w:type="paragraph" w:customStyle="1" w:styleId="343">
    <w:name w:val="+正文 Char Char Char Char"/>
    <w:basedOn w:val="1"/>
    <w:autoRedefine/>
    <w:qFormat/>
    <w:uiPriority w:val="0"/>
    <w:pPr>
      <w:widowControl w:val="0"/>
      <w:adjustRightInd/>
      <w:snapToGrid/>
      <w:spacing w:after="0" w:line="360" w:lineRule="auto"/>
      <w:ind w:firstLine="200" w:firstLineChars="200"/>
      <w:jc w:val="both"/>
    </w:pPr>
    <w:rPr>
      <w:rFonts w:ascii="楷体_GB2312" w:hAnsi="Times New Roman" w:eastAsia="宋体" w:cs="Times New Roman"/>
      <w:kern w:val="2"/>
      <w:sz w:val="24"/>
      <w:szCs w:val="24"/>
    </w:rPr>
  </w:style>
  <w:style w:type="paragraph" w:customStyle="1" w:styleId="344">
    <w:name w:val="Char2 Char Char"/>
    <w:basedOn w:val="1"/>
    <w:autoRedefine/>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345">
    <w:name w:val="样式 样式 样式 样式 样式 标题 3 + + 段前: 1.5 行 段后: 1.5 行 + 段前: 1.5 行 段后: 1.5 ..."/>
    <w:basedOn w:val="312"/>
    <w:autoRedefine/>
    <w:qFormat/>
    <w:uiPriority w:val="0"/>
    <w:pPr>
      <w:spacing w:beforeLines="0"/>
    </w:pPr>
  </w:style>
  <w:style w:type="paragraph" w:customStyle="1" w:styleId="346">
    <w:name w:val="Char Char Char Char Char Char1 Char"/>
    <w:basedOn w:val="1"/>
    <w:autoRedefine/>
    <w:qFormat/>
    <w:uiPriority w:val="0"/>
    <w:pPr>
      <w:widowControl w:val="0"/>
      <w:adjustRightInd/>
      <w:snapToGrid/>
      <w:spacing w:after="0"/>
      <w:jc w:val="both"/>
    </w:pPr>
    <w:rPr>
      <w:rFonts w:ascii="Times New Roman" w:hAnsi="Times New Roman" w:eastAsia="宋体" w:cs="Times New Roman"/>
      <w:kern w:val="2"/>
      <w:sz w:val="21"/>
      <w:szCs w:val="24"/>
    </w:rPr>
  </w:style>
  <w:style w:type="paragraph" w:customStyle="1" w:styleId="347">
    <w:name w:val="样式 样式 样式 样式 首行缩进:  2 字符 + 首行缩进:  2 字符 + 首行缩进:  2 字符 + 首行缩进:  2 字..."/>
    <w:basedOn w:val="1"/>
    <w:autoRedefine/>
    <w:qFormat/>
    <w:uiPriority w:val="0"/>
    <w:pPr>
      <w:widowControl w:val="0"/>
      <w:adjustRightInd/>
      <w:snapToGrid/>
      <w:spacing w:beforeLines="25" w:afterLines="25" w:line="360" w:lineRule="auto"/>
      <w:ind w:firstLine="200" w:firstLineChars="200"/>
      <w:jc w:val="both"/>
    </w:pPr>
    <w:rPr>
      <w:rFonts w:ascii="Times New Roman" w:hAnsi="Times New Roman" w:eastAsia="宋体" w:cs="宋体"/>
      <w:spacing w:val="6"/>
      <w:kern w:val="2"/>
      <w:sz w:val="28"/>
      <w:szCs w:val="20"/>
    </w:rPr>
  </w:style>
  <w:style w:type="paragraph" w:customStyle="1" w:styleId="348">
    <w:name w:val="Char Char Char Char Char Char Char Char Char Char"/>
    <w:basedOn w:val="1"/>
    <w:autoRedefine/>
    <w:qFormat/>
    <w:uiPriority w:val="0"/>
    <w:pPr>
      <w:widowControl w:val="0"/>
      <w:adjustRightInd/>
      <w:snapToGrid/>
      <w:spacing w:after="0"/>
      <w:jc w:val="both"/>
    </w:pPr>
    <w:rPr>
      <w:rFonts w:eastAsia="宋体" w:cs="Times New Roman"/>
      <w:kern w:val="2"/>
      <w:sz w:val="24"/>
      <w:szCs w:val="20"/>
    </w:rPr>
  </w:style>
  <w:style w:type="paragraph" w:customStyle="1" w:styleId="349">
    <w:name w:val="+▲"/>
    <w:basedOn w:val="303"/>
    <w:autoRedefine/>
    <w:qFormat/>
    <w:uiPriority w:val="0"/>
    <w:pPr>
      <w:tabs>
        <w:tab w:val="left" w:pos="900"/>
      </w:tabs>
      <w:ind w:left="1080" w:firstLine="0" w:firstLineChars="0"/>
    </w:pPr>
  </w:style>
  <w:style w:type="paragraph" w:customStyle="1" w:styleId="350">
    <w:name w:val="_Style 100"/>
    <w:basedOn w:val="1"/>
    <w:next w:val="57"/>
    <w:autoRedefine/>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351">
    <w:name w:val="+正文 Char Char3 Char Char Char Char"/>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4"/>
    </w:rPr>
  </w:style>
  <w:style w:type="paragraph" w:customStyle="1" w:styleId="352">
    <w:name w:val="样式 样式 样式 标题 3 + 首行缩进:  2 字符 + 首行缩进:  2 字符 + 首行缩进:  2 字符 Char Char"/>
    <w:basedOn w:val="1"/>
    <w:autoRedefine/>
    <w:qFormat/>
    <w:uiPriority w:val="0"/>
    <w:pPr>
      <w:keepNext/>
      <w:keepLines/>
      <w:widowControl w:val="0"/>
      <w:tabs>
        <w:tab w:val="left" w:pos="600"/>
      </w:tabs>
      <w:spacing w:before="160" w:after="120" w:line="520" w:lineRule="exact"/>
      <w:ind w:left="300"/>
      <w:jc w:val="both"/>
      <w:textAlignment w:val="baseline"/>
      <w:outlineLvl w:val="2"/>
    </w:pPr>
    <w:rPr>
      <w:rFonts w:ascii="Times New Roman" w:hAnsi="Times New Roman" w:eastAsia="黑体" w:cs="宋体"/>
      <w:sz w:val="24"/>
      <w:szCs w:val="24"/>
    </w:rPr>
  </w:style>
  <w:style w:type="paragraph" w:customStyle="1" w:styleId="353">
    <w:name w:val="标题1.1"/>
    <w:basedOn w:val="8"/>
    <w:autoRedefine/>
    <w:qFormat/>
    <w:uiPriority w:val="0"/>
    <w:pPr>
      <w:tabs>
        <w:tab w:val="left" w:pos="1701"/>
      </w:tabs>
      <w:spacing w:line="320" w:lineRule="auto"/>
      <w:ind w:left="360" w:hanging="360"/>
    </w:pPr>
    <w:rPr>
      <w:rFonts w:ascii="Arial" w:hAnsi="Arial" w:eastAsia="黑体"/>
      <w:bCs w:val="0"/>
      <w:szCs w:val="20"/>
    </w:rPr>
  </w:style>
  <w:style w:type="paragraph" w:customStyle="1" w:styleId="354">
    <w:name w:val="样式 标题 1 + 两端对齐 左侧:  0 厘米"/>
    <w:basedOn w:val="2"/>
    <w:autoRedefine/>
    <w:qFormat/>
    <w:uiPriority w:val="0"/>
    <w:pPr>
      <w:tabs>
        <w:tab w:val="left" w:pos="660"/>
        <w:tab w:val="left" w:pos="3575"/>
      </w:tabs>
      <w:adjustRightInd w:val="0"/>
      <w:spacing w:before="240" w:after="240" w:line="240" w:lineRule="auto"/>
      <w:jc w:val="center"/>
      <w:textAlignment w:val="baseline"/>
    </w:pPr>
    <w:rPr>
      <w:rFonts w:ascii="宋体" w:hAnsi="宋体" w:eastAsia="黑体" w:cs="宋体"/>
      <w:b w:val="0"/>
      <w:bCs w:val="0"/>
      <w:sz w:val="30"/>
      <w:szCs w:val="30"/>
    </w:rPr>
  </w:style>
  <w:style w:type="paragraph" w:customStyle="1" w:styleId="355">
    <w:name w:val="正文首缩"/>
    <w:basedOn w:val="1"/>
    <w:next w:val="6"/>
    <w:autoRedefine/>
    <w:qFormat/>
    <w:uiPriority w:val="0"/>
    <w:pPr>
      <w:widowControl w:val="0"/>
      <w:snapToGrid/>
      <w:spacing w:after="0" w:line="324" w:lineRule="auto"/>
      <w:ind w:firstLine="425"/>
      <w:jc w:val="both"/>
      <w:textAlignment w:val="baseline"/>
    </w:pPr>
    <w:rPr>
      <w:rFonts w:ascii="Times New Roman" w:hAnsi="Times New Roman" w:eastAsia="宋体" w:cs="Times New Roman"/>
      <w:sz w:val="28"/>
      <w:szCs w:val="20"/>
    </w:rPr>
  </w:style>
  <w:style w:type="paragraph" w:customStyle="1" w:styleId="356">
    <w:name w:val="TOC 标题3"/>
    <w:basedOn w:val="2"/>
    <w:next w:val="1"/>
    <w:autoRedefine/>
    <w:qFormat/>
    <w:uiPriority w:val="39"/>
    <w:pPr>
      <w:spacing w:before="340" w:after="330" w:line="576" w:lineRule="auto"/>
      <w:outlineLvl w:val="9"/>
    </w:pPr>
    <w:rPr>
      <w:rFonts w:ascii="Calibri" w:hAnsi="Calibri"/>
      <w:sz w:val="44"/>
    </w:rPr>
  </w:style>
  <w:style w:type="paragraph" w:customStyle="1" w:styleId="357">
    <w:name w:val="目录标题"/>
    <w:basedOn w:val="1"/>
    <w:next w:val="1"/>
    <w:autoRedefine/>
    <w:qFormat/>
    <w:uiPriority w:val="0"/>
    <w:pPr>
      <w:adjustRightInd/>
      <w:snapToGrid/>
      <w:spacing w:before="215" w:after="419" w:line="436" w:lineRule="atLeast"/>
      <w:ind w:firstLine="419"/>
      <w:jc w:val="center"/>
      <w:textAlignment w:val="baseline"/>
    </w:pPr>
    <w:rPr>
      <w:rFonts w:ascii="Arial" w:hAnsi="Times New Roman" w:eastAsia="黑体" w:cs="Times New Roman"/>
      <w:color w:val="000000"/>
      <w:spacing w:val="283"/>
      <w:sz w:val="42"/>
      <w:szCs w:val="20"/>
      <w:u w:color="000000"/>
    </w:rPr>
  </w:style>
  <w:style w:type="paragraph" w:customStyle="1" w:styleId="358">
    <w:name w:val="用户标题4"/>
    <w:basedOn w:val="6"/>
    <w:autoRedefine/>
    <w:qFormat/>
    <w:uiPriority w:val="0"/>
    <w:pPr>
      <w:adjustRightInd w:val="0"/>
      <w:spacing w:before="240" w:after="120" w:line="376" w:lineRule="atLeast"/>
      <w:ind w:left="450" w:leftChars="150" w:firstLine="284"/>
      <w:jc w:val="left"/>
      <w:textAlignment w:val="baseline"/>
      <w:outlineLvl w:val="9"/>
    </w:pPr>
    <w:rPr>
      <w:rFonts w:ascii="Times New Roman" w:hAnsi="Times New Roman"/>
      <w:bCs w:val="0"/>
      <w:kern w:val="0"/>
      <w:sz w:val="28"/>
      <w:szCs w:val="20"/>
    </w:rPr>
  </w:style>
  <w:style w:type="paragraph" w:customStyle="1" w:styleId="359">
    <w:name w:val="+标题3"/>
    <w:basedOn w:val="5"/>
    <w:autoRedefine/>
    <w:qFormat/>
    <w:uiPriority w:val="0"/>
    <w:pPr>
      <w:tabs>
        <w:tab w:val="left" w:pos="1260"/>
      </w:tabs>
      <w:spacing w:before="120" w:after="120"/>
      <w:ind w:left="1260" w:hanging="420"/>
    </w:pPr>
    <w:rPr>
      <w:szCs w:val="28"/>
    </w:rPr>
  </w:style>
  <w:style w:type="paragraph" w:customStyle="1" w:styleId="360">
    <w:name w:val="Char Char1 Char Char Char Char Char Char Char Char Char Char Char Char Char Char Char"/>
    <w:basedOn w:val="1"/>
    <w:autoRedefine/>
    <w:qFormat/>
    <w:uiPriority w:val="0"/>
    <w:pPr>
      <w:adjustRightInd/>
      <w:snapToGrid/>
      <w:spacing w:after="160" w:line="240" w:lineRule="exact"/>
    </w:pPr>
    <w:rPr>
      <w:rFonts w:ascii="Verdana" w:hAnsi="Verdana" w:eastAsia="宋体" w:cs="Times New Roman"/>
      <w:sz w:val="20"/>
      <w:szCs w:val="20"/>
      <w:lang w:eastAsia="en-US"/>
    </w:rPr>
  </w:style>
  <w:style w:type="paragraph" w:customStyle="1" w:styleId="361">
    <w:name w:val="文章总标题"/>
    <w:basedOn w:val="1"/>
    <w:next w:val="281"/>
    <w:autoRedefine/>
    <w:qFormat/>
    <w:uiPriority w:val="0"/>
    <w:pPr>
      <w:adjustRightInd/>
      <w:snapToGrid/>
      <w:spacing w:before="566" w:after="544" w:line="566" w:lineRule="atLeast"/>
      <w:jc w:val="center"/>
      <w:textAlignment w:val="baseline"/>
    </w:pPr>
    <w:rPr>
      <w:rFonts w:ascii="Arial" w:hAnsi="Times New Roman" w:eastAsia="黑体" w:cs="Times New Roman"/>
      <w:color w:val="000000"/>
      <w:sz w:val="54"/>
      <w:szCs w:val="20"/>
      <w:u w:color="000000"/>
    </w:rPr>
  </w:style>
  <w:style w:type="paragraph" w:customStyle="1" w:styleId="362">
    <w:name w:val="Style1"/>
    <w:basedOn w:val="1"/>
    <w:autoRedefine/>
    <w:qFormat/>
    <w:uiPriority w:val="0"/>
    <w:pPr>
      <w:overflowPunct w:val="0"/>
      <w:autoSpaceDE w:val="0"/>
      <w:autoSpaceDN w:val="0"/>
      <w:snapToGrid/>
      <w:spacing w:before="240" w:after="0"/>
      <w:ind w:left="851"/>
      <w:jc w:val="both"/>
      <w:textAlignment w:val="baseline"/>
    </w:pPr>
    <w:rPr>
      <w:rFonts w:ascii="Times New Roman" w:hAnsi="Times New Roman" w:eastAsia="宋体" w:cs="Times New Roman"/>
      <w:b/>
      <w:bCs/>
      <w:sz w:val="24"/>
      <w:szCs w:val="20"/>
    </w:rPr>
  </w:style>
  <w:style w:type="paragraph" w:customStyle="1" w:styleId="363">
    <w:name w:val="样式 标题 1 + 黑体 三号 非加粗 居中 段前: 6 磅 段后: 6 磅 行距: 固定值 20 磅"/>
    <w:basedOn w:val="2"/>
    <w:autoRedefine/>
    <w:qFormat/>
    <w:uiPriority w:val="0"/>
    <w:pPr>
      <w:spacing w:before="120" w:after="120" w:line="400" w:lineRule="exact"/>
      <w:jc w:val="center"/>
    </w:pPr>
    <w:rPr>
      <w:rFonts w:ascii="黑体" w:hAnsi="黑体" w:eastAsia="黑体" w:cs="宋体"/>
      <w:b w:val="0"/>
      <w:bCs w:val="0"/>
      <w:szCs w:val="20"/>
    </w:rPr>
  </w:style>
  <w:style w:type="paragraph" w:customStyle="1" w:styleId="364">
    <w:name w:val="ST20_2"/>
    <w:basedOn w:val="1"/>
    <w:autoRedefine/>
    <w:qFormat/>
    <w:uiPriority w:val="0"/>
    <w:pPr>
      <w:widowControl w:val="0"/>
      <w:autoSpaceDE w:val="0"/>
      <w:autoSpaceDN w:val="0"/>
      <w:snapToGrid/>
      <w:spacing w:after="0"/>
      <w:ind w:left="840" w:hanging="420"/>
    </w:pPr>
    <w:rPr>
      <w:rFonts w:ascii="宋体" w:hAnsi="Tms Rmn" w:eastAsia="宋体" w:cs="Times New Roman"/>
      <w:sz w:val="24"/>
      <w:szCs w:val="20"/>
    </w:rPr>
  </w:style>
  <w:style w:type="paragraph" w:customStyle="1" w:styleId="365">
    <w:name w:val="样式 样式 行距: 1.5 倍行距 + 首行缩进:  2 字符"/>
    <w:basedOn w:val="1"/>
    <w:autoRedefine/>
    <w:qFormat/>
    <w:uiPriority w:val="0"/>
    <w:pPr>
      <w:widowControl w:val="0"/>
      <w:adjustRightInd/>
      <w:snapToGrid/>
      <w:spacing w:after="0" w:line="500" w:lineRule="exact"/>
      <w:ind w:firstLine="480" w:firstLineChars="200"/>
      <w:jc w:val="both"/>
    </w:pPr>
    <w:rPr>
      <w:rFonts w:ascii="Times New Roman" w:hAnsi="Times New Roman" w:eastAsia="宋体" w:cs="宋体"/>
      <w:kern w:val="2"/>
      <w:sz w:val="24"/>
      <w:szCs w:val="20"/>
    </w:rPr>
  </w:style>
  <w:style w:type="paragraph" w:customStyle="1" w:styleId="366">
    <w:name w:val="用户段落(标书)"/>
    <w:basedOn w:val="1"/>
    <w:autoRedefine/>
    <w:qFormat/>
    <w:uiPriority w:val="0"/>
    <w:pPr>
      <w:widowControl w:val="0"/>
      <w:snapToGrid/>
      <w:spacing w:after="0" w:line="420" w:lineRule="exact"/>
      <w:ind w:firstLine="482"/>
      <w:textAlignment w:val="baseline"/>
    </w:pPr>
    <w:rPr>
      <w:rFonts w:ascii="Times New Roman" w:hAnsi="Times New Roman" w:eastAsia="宋体" w:cs="Times New Roman"/>
      <w:sz w:val="24"/>
      <w:szCs w:val="20"/>
    </w:rPr>
  </w:style>
  <w:style w:type="paragraph" w:customStyle="1" w:styleId="367">
    <w:name w:val="目录3"/>
    <w:basedOn w:val="1"/>
    <w:next w:val="1"/>
    <w:autoRedefine/>
    <w:qFormat/>
    <w:uiPriority w:val="0"/>
    <w:pPr>
      <w:tabs>
        <w:tab w:val="left" w:leader="dot" w:pos="8503"/>
      </w:tabs>
      <w:adjustRightInd/>
      <w:snapToGrid/>
      <w:spacing w:after="0" w:line="317" w:lineRule="atLeast"/>
      <w:ind w:left="419" w:firstLine="419"/>
      <w:jc w:val="both"/>
      <w:textAlignment w:val="baseline"/>
    </w:pPr>
    <w:rPr>
      <w:rFonts w:ascii="Times New Roman" w:hAnsi="Times New Roman" w:eastAsia="宋体" w:cs="Times New Roman"/>
      <w:color w:val="000000"/>
      <w:sz w:val="21"/>
      <w:szCs w:val="20"/>
      <w:u w:color="000000"/>
    </w:rPr>
  </w:style>
  <w:style w:type="paragraph" w:customStyle="1" w:styleId="368">
    <w:name w:val="样式 样式 样式 标题 2 + 段前: 1 行 段后: 0.5 行 + 段前: 1 行 段后: 0.5 行 + 段前: 1 行..."/>
    <w:basedOn w:val="1"/>
    <w:autoRedefine/>
    <w:qFormat/>
    <w:uiPriority w:val="0"/>
    <w:pPr>
      <w:keepNext/>
      <w:keepLines/>
      <w:widowControl w:val="0"/>
      <w:tabs>
        <w:tab w:val="left" w:pos="567"/>
      </w:tabs>
      <w:adjustRightInd/>
      <w:snapToGrid/>
      <w:spacing w:beforeLines="50" w:afterLines="30" w:line="500" w:lineRule="exact"/>
      <w:ind w:left="567" w:hanging="567"/>
      <w:jc w:val="both"/>
      <w:outlineLvl w:val="1"/>
    </w:pPr>
    <w:rPr>
      <w:rFonts w:ascii="宋体" w:hAnsi="宋体" w:eastAsia="黑体" w:cs="宋体"/>
      <w:kern w:val="2"/>
      <w:sz w:val="30"/>
      <w:szCs w:val="30"/>
    </w:rPr>
  </w:style>
  <w:style w:type="paragraph" w:customStyle="1" w:styleId="369">
    <w:name w:val="1."/>
    <w:basedOn w:val="1"/>
    <w:autoRedefine/>
    <w:qFormat/>
    <w:uiPriority w:val="0"/>
    <w:pPr>
      <w:tabs>
        <w:tab w:val="left" w:pos="1134"/>
        <w:tab w:val="left" w:pos="1200"/>
      </w:tabs>
      <w:adjustRightInd/>
      <w:snapToGrid/>
      <w:spacing w:before="240" w:after="0"/>
      <w:ind w:left="1134" w:hanging="454"/>
      <w:jc w:val="both"/>
    </w:pPr>
    <w:rPr>
      <w:rFonts w:ascii="Times New Roman" w:hAnsi="Times New Roman" w:eastAsia="宋体" w:cs="Times New Roman"/>
      <w:kern w:val="2"/>
      <w:sz w:val="24"/>
      <w:szCs w:val="20"/>
    </w:rPr>
  </w:style>
  <w:style w:type="paragraph" w:customStyle="1" w:styleId="370">
    <w:name w:val="样式 样式 样式 标题 3 + 段前: 0.5 行 段后: 0.5 行 + 段前: 0.5 行 段后: 0.25 行 + 段前:..."/>
    <w:basedOn w:val="1"/>
    <w:autoRedefine/>
    <w:qFormat/>
    <w:uiPriority w:val="0"/>
    <w:pPr>
      <w:keepNext/>
      <w:keepLines/>
      <w:widowControl w:val="0"/>
      <w:tabs>
        <w:tab w:val="left" w:pos="1260"/>
      </w:tabs>
      <w:adjustRightInd/>
      <w:snapToGrid/>
      <w:spacing w:beforeLines="60" w:afterLines="50" w:line="520" w:lineRule="exact"/>
      <w:ind w:left="889" w:hanging="709"/>
      <w:jc w:val="both"/>
      <w:outlineLvl w:val="2"/>
    </w:pPr>
    <w:rPr>
      <w:rFonts w:ascii="宋体" w:hAnsi="宋体" w:eastAsia="黑体" w:cs="宋体"/>
      <w:color w:val="000000"/>
      <w:kern w:val="2"/>
      <w:sz w:val="28"/>
      <w:szCs w:val="28"/>
    </w:rPr>
  </w:style>
  <w:style w:type="paragraph" w:customStyle="1" w:styleId="371">
    <w:name w:val="xl26"/>
    <w:basedOn w:val="1"/>
    <w:autoRedefine/>
    <w:qFormat/>
    <w:uiPriority w:val="0"/>
    <w:pPr>
      <w:pBdr>
        <w:top w:val="single" w:color="auto" w:sz="4" w:space="0"/>
        <w:left w:val="single" w:color="auto" w:sz="4" w:space="0"/>
        <w:bottom w:val="single" w:color="auto" w:sz="4" w:space="0"/>
        <w:right w:val="single" w:color="auto" w:sz="4" w:space="0"/>
      </w:pBdr>
      <w:adjustRightInd/>
      <w:snapToGrid/>
      <w:spacing w:before="100" w:beforeAutospacing="1" w:after="100" w:afterAutospacing="1"/>
      <w:jc w:val="center"/>
      <w:textAlignment w:val="center"/>
    </w:pPr>
    <w:rPr>
      <w:rFonts w:ascii="Arial Unicode MS" w:hAnsi="Arial Unicode MS" w:eastAsia="Arial Unicode MS" w:cs="Arial Unicode MS"/>
      <w:sz w:val="20"/>
      <w:szCs w:val="20"/>
    </w:rPr>
  </w:style>
  <w:style w:type="paragraph" w:customStyle="1" w:styleId="372">
    <w:name w:val="_Style 96"/>
    <w:basedOn w:val="1"/>
    <w:next w:val="57"/>
    <w:autoRedefine/>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373">
    <w:name w:val="Fließtext"/>
    <w:basedOn w:val="1"/>
    <w:autoRedefine/>
    <w:qFormat/>
    <w:uiPriority w:val="0"/>
    <w:pPr>
      <w:shd w:val="clear" w:color="auto" w:fill="FFFFFF"/>
      <w:tabs>
        <w:tab w:val="left" w:pos="567"/>
        <w:tab w:val="left" w:pos="851"/>
        <w:tab w:val="left" w:pos="1134"/>
      </w:tabs>
      <w:adjustRightInd/>
      <w:snapToGrid/>
      <w:spacing w:before="120" w:after="60" w:line="276" w:lineRule="auto"/>
      <w:ind w:left="567" w:right="284"/>
      <w:jc w:val="both"/>
    </w:pPr>
    <w:rPr>
      <w:rFonts w:ascii="Arial" w:hAnsi="Arial" w:eastAsia="宋体" w:cs="Arial"/>
      <w:color w:val="000000"/>
      <w:szCs w:val="20"/>
      <w:lang w:val="en-GB" w:eastAsia="de-DE"/>
    </w:rPr>
  </w:style>
  <w:style w:type="paragraph" w:customStyle="1" w:styleId="374">
    <w:name w:val="+列表1"/>
    <w:basedOn w:val="1"/>
    <w:autoRedefine/>
    <w:qFormat/>
    <w:uiPriority w:val="0"/>
    <w:pPr>
      <w:widowControl w:val="0"/>
      <w:adjustRightInd/>
      <w:snapToGrid/>
      <w:spacing w:after="0"/>
      <w:jc w:val="center"/>
    </w:pPr>
    <w:rPr>
      <w:rFonts w:ascii="Times New Roman" w:hAnsi="Times New Roman" w:eastAsia="宋体" w:cs="Times New Roman"/>
      <w:kern w:val="2"/>
      <w:sz w:val="21"/>
      <w:szCs w:val="24"/>
    </w:rPr>
  </w:style>
  <w:style w:type="paragraph" w:customStyle="1" w:styleId="375">
    <w:name w:val="-正文 Char"/>
    <w:basedOn w:val="1"/>
    <w:autoRedefine/>
    <w:qFormat/>
    <w:uiPriority w:val="0"/>
    <w:pPr>
      <w:overflowPunct w:val="0"/>
      <w:autoSpaceDE w:val="0"/>
      <w:autoSpaceDN w:val="0"/>
      <w:snapToGrid/>
      <w:spacing w:after="0" w:line="360" w:lineRule="auto"/>
      <w:ind w:firstLine="200" w:firstLineChars="200"/>
      <w:textAlignment w:val="baseline"/>
    </w:pPr>
    <w:rPr>
      <w:rFonts w:ascii="Arial" w:hAnsi="Arial" w:eastAsia="宋体" w:cs="Times New Roman"/>
      <w:sz w:val="24"/>
      <w:szCs w:val="24"/>
    </w:rPr>
  </w:style>
  <w:style w:type="paragraph" w:customStyle="1" w:styleId="376">
    <w:name w:val="经典样式正文"/>
    <w:basedOn w:val="53"/>
    <w:next w:val="53"/>
    <w:autoRedefine/>
    <w:qFormat/>
    <w:uiPriority w:val="0"/>
    <w:pPr>
      <w:spacing w:line="360" w:lineRule="auto"/>
    </w:pPr>
  </w:style>
  <w:style w:type="paragraph" w:customStyle="1" w:styleId="377">
    <w:name w:val="项目符号_圆点"/>
    <w:basedOn w:val="1"/>
    <w:autoRedefine/>
    <w:qFormat/>
    <w:uiPriority w:val="0"/>
    <w:pPr>
      <w:widowControl w:val="0"/>
      <w:tabs>
        <w:tab w:val="left" w:pos="900"/>
      </w:tabs>
      <w:adjustRightInd/>
      <w:snapToGrid/>
      <w:spacing w:before="78" w:after="0"/>
      <w:ind w:left="900" w:hanging="420"/>
      <w:jc w:val="both"/>
    </w:pPr>
    <w:rPr>
      <w:rFonts w:ascii="Times New Roman" w:hAnsi="Times New Roman" w:eastAsia="宋体" w:cs="Times New Roman"/>
      <w:kern w:val="2"/>
      <w:sz w:val="24"/>
      <w:szCs w:val="20"/>
    </w:rPr>
  </w:style>
  <w:style w:type="character" w:customStyle="1" w:styleId="378">
    <w:name w:val="明显引用 Char2"/>
    <w:basedOn w:val="63"/>
    <w:autoRedefine/>
    <w:qFormat/>
    <w:uiPriority w:val="99"/>
    <w:rPr>
      <w:rFonts w:ascii="Tahoma" w:hAnsi="Tahoma" w:eastAsia="微软雅黑" w:cstheme="minorBidi"/>
      <w:b/>
      <w:bCs/>
      <w:i/>
      <w:iCs/>
      <w:color w:val="4F81BD" w:themeColor="accent1"/>
      <w:sz w:val="22"/>
      <w:szCs w:val="22"/>
      <w14:textFill>
        <w14:solidFill>
          <w14:schemeClr w14:val="accent1"/>
        </w14:solidFill>
      </w14:textFill>
    </w:rPr>
  </w:style>
  <w:style w:type="paragraph" w:customStyle="1" w:styleId="379">
    <w:name w:val="样式 标题 2 + 行距: 固定值 23 磅"/>
    <w:basedOn w:val="3"/>
    <w:autoRedefine/>
    <w:qFormat/>
    <w:uiPriority w:val="0"/>
    <w:pPr>
      <w:spacing w:before="0" w:after="0" w:line="460" w:lineRule="exact"/>
    </w:pPr>
    <w:rPr>
      <w:rFonts w:ascii="宋体" w:hAnsi="宋体" w:eastAsia="宋体" w:cs="宋体"/>
      <w:sz w:val="28"/>
      <w:szCs w:val="20"/>
    </w:rPr>
  </w:style>
  <w:style w:type="paragraph" w:customStyle="1" w:styleId="380">
    <w:name w:val="样式 标题 3 + 小四 行距: 固定值 23 磅1"/>
    <w:basedOn w:val="5"/>
    <w:next w:val="381"/>
    <w:autoRedefine/>
    <w:qFormat/>
    <w:uiPriority w:val="0"/>
    <w:pPr>
      <w:spacing w:line="460" w:lineRule="exact"/>
    </w:pPr>
    <w:rPr>
      <w:rFonts w:cs="宋体"/>
      <w:szCs w:val="20"/>
    </w:rPr>
  </w:style>
  <w:style w:type="paragraph" w:customStyle="1" w:styleId="381">
    <w:name w:val="样式 标题 3 + 小四 行距: 固定值 23 磅"/>
    <w:basedOn w:val="5"/>
    <w:autoRedefine/>
    <w:qFormat/>
    <w:uiPriority w:val="0"/>
    <w:pPr>
      <w:spacing w:line="460" w:lineRule="exact"/>
      <w:ind w:left="210" w:leftChars="100" w:right="100" w:rightChars="100"/>
    </w:pPr>
    <w:rPr>
      <w:rFonts w:cs="宋体"/>
      <w:szCs w:val="20"/>
    </w:rPr>
  </w:style>
  <w:style w:type="paragraph" w:customStyle="1" w:styleId="382">
    <w:name w:val="sma."/>
    <w:basedOn w:val="1"/>
    <w:autoRedefine/>
    <w:qFormat/>
    <w:uiPriority w:val="0"/>
    <w:pPr>
      <w:tabs>
        <w:tab w:val="left" w:pos="1588"/>
      </w:tabs>
      <w:adjustRightInd/>
      <w:snapToGrid/>
      <w:spacing w:before="240" w:after="0" w:line="0" w:lineRule="atLeast"/>
      <w:ind w:left="1588" w:hanging="454"/>
      <w:jc w:val="both"/>
    </w:pPr>
    <w:rPr>
      <w:rFonts w:ascii="Times New Roman" w:hAnsi="Times New Roman" w:eastAsia="宋体" w:cs="Times New Roman"/>
      <w:kern w:val="2"/>
      <w:sz w:val="24"/>
      <w:szCs w:val="20"/>
    </w:rPr>
  </w:style>
  <w:style w:type="paragraph" w:customStyle="1" w:styleId="383">
    <w:name w:val="无间隔2"/>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4">
    <w:name w:val="+标题4"/>
    <w:basedOn w:val="6"/>
    <w:autoRedefine/>
    <w:qFormat/>
    <w:uiPriority w:val="0"/>
    <w:pPr>
      <w:tabs>
        <w:tab w:val="left" w:pos="1894"/>
      </w:tabs>
      <w:spacing w:before="120" w:after="120"/>
      <w:ind w:left="1680" w:hanging="420"/>
    </w:pPr>
    <w:rPr>
      <w:rFonts w:ascii="Times New Roman" w:hAnsi="Times New Roman"/>
      <w:sz w:val="24"/>
    </w:rPr>
  </w:style>
  <w:style w:type="paragraph" w:customStyle="1" w:styleId="385">
    <w:name w:val="默认段落字体 Para Char Char Char Char"/>
    <w:basedOn w:val="1"/>
    <w:autoRedefine/>
    <w:qFormat/>
    <w:uiPriority w:val="0"/>
    <w:pPr>
      <w:widowControl w:val="0"/>
      <w:tabs>
        <w:tab w:val="left" w:pos="425"/>
      </w:tabs>
      <w:adjustRightInd/>
      <w:snapToGrid/>
      <w:spacing w:after="0"/>
      <w:ind w:left="425" w:hanging="425"/>
      <w:jc w:val="both"/>
    </w:pPr>
    <w:rPr>
      <w:rFonts w:ascii="Times New Roman" w:hAnsi="Times New Roman" w:eastAsia="宋体" w:cs="Times New Roman"/>
      <w:kern w:val="2"/>
      <w:sz w:val="21"/>
      <w:szCs w:val="24"/>
    </w:rPr>
  </w:style>
  <w:style w:type="paragraph" w:customStyle="1" w:styleId="386">
    <w:name w:val="表格文字"/>
    <w:basedOn w:val="1"/>
    <w:autoRedefine/>
    <w:qFormat/>
    <w:uiPriority w:val="0"/>
    <w:pPr>
      <w:widowControl w:val="0"/>
      <w:snapToGrid/>
      <w:spacing w:after="0" w:line="420" w:lineRule="atLeast"/>
      <w:textAlignment w:val="baseline"/>
    </w:pPr>
    <w:rPr>
      <w:rFonts w:ascii="Times New Roman" w:hAnsi="Times New Roman" w:eastAsia="宋体" w:cs="Times New Roman"/>
      <w:sz w:val="21"/>
      <w:szCs w:val="20"/>
    </w:rPr>
  </w:style>
  <w:style w:type="paragraph" w:customStyle="1" w:styleId="387">
    <w:name w:val="_Style 95"/>
    <w:basedOn w:val="1"/>
    <w:next w:val="32"/>
    <w:autoRedefine/>
    <w:qFormat/>
    <w:uiPriority w:val="0"/>
    <w:pPr>
      <w:widowControl w:val="0"/>
      <w:adjustRightInd/>
      <w:snapToGrid/>
      <w:spacing w:after="0"/>
      <w:jc w:val="both"/>
    </w:pPr>
    <w:rPr>
      <w:rFonts w:ascii="宋体" w:hAnsi="Courier New" w:eastAsia="宋体" w:cs="Courier New"/>
      <w:kern w:val="2"/>
      <w:sz w:val="21"/>
      <w:szCs w:val="21"/>
    </w:rPr>
  </w:style>
  <w:style w:type="paragraph" w:customStyle="1" w:styleId="388">
    <w:name w:val="_Style 231"/>
    <w:next w:val="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389">
    <w:name w:val="Char Char Char Char Char Char Char"/>
    <w:basedOn w:val="1"/>
    <w:autoRedefine/>
    <w:qFormat/>
    <w:uiPriority w:val="0"/>
    <w:pPr>
      <w:widowControl w:val="0"/>
      <w:adjustRightInd/>
      <w:snapToGrid/>
      <w:spacing w:after="0" w:line="360" w:lineRule="auto"/>
      <w:ind w:left="420" w:firstLine="420"/>
      <w:jc w:val="both"/>
    </w:pPr>
    <w:rPr>
      <w:rFonts w:ascii="Times New Roman" w:hAnsi="Times New Roman" w:eastAsia="宋体" w:cs="Times New Roman"/>
      <w:sz w:val="24"/>
      <w:szCs w:val="21"/>
    </w:rPr>
  </w:style>
  <w:style w:type="paragraph" w:customStyle="1" w:styleId="390">
    <w:name w:val="z-窗体底端1"/>
    <w:basedOn w:val="1"/>
    <w:next w:val="1"/>
    <w:link w:val="391"/>
    <w:autoRedefine/>
    <w:qFormat/>
    <w:uiPriority w:val="0"/>
    <w:pPr>
      <w:widowControl w:val="0"/>
      <w:pBdr>
        <w:top w:val="single" w:color="auto" w:sz="6" w:space="1"/>
      </w:pBdr>
      <w:adjustRightInd/>
      <w:snapToGrid/>
      <w:spacing w:after="0"/>
      <w:jc w:val="center"/>
    </w:pPr>
    <w:rPr>
      <w:rFonts w:ascii="Arial" w:hAnsi="Calibri" w:eastAsia="宋体" w:cs="Times New Roman"/>
      <w:vanish/>
      <w:kern w:val="2"/>
      <w:sz w:val="16"/>
    </w:rPr>
  </w:style>
  <w:style w:type="character" w:customStyle="1" w:styleId="391">
    <w:name w:val="z-窗体底端 Char"/>
    <w:basedOn w:val="63"/>
    <w:link w:val="390"/>
    <w:autoRedefine/>
    <w:qFormat/>
    <w:uiPriority w:val="0"/>
    <w:rPr>
      <w:rFonts w:ascii="Arial" w:hAnsi="Calibri"/>
      <w:vanish/>
      <w:kern w:val="2"/>
      <w:sz w:val="16"/>
      <w:szCs w:val="22"/>
    </w:rPr>
  </w:style>
  <w:style w:type="paragraph" w:customStyle="1" w:styleId="392">
    <w:name w:val="+正文标题"/>
    <w:basedOn w:val="1"/>
    <w:autoRedefine/>
    <w:qFormat/>
    <w:uiPriority w:val="0"/>
    <w:pPr>
      <w:widowControl w:val="0"/>
      <w:adjustRightInd/>
      <w:snapToGrid/>
      <w:spacing w:beforeLines="100" w:afterLines="100" w:line="360" w:lineRule="auto"/>
      <w:jc w:val="center"/>
    </w:pPr>
    <w:rPr>
      <w:rFonts w:ascii="Times New Roman" w:hAnsi="Times New Roman" w:eastAsia="黑体" w:cs="Times New Roman"/>
      <w:b/>
      <w:kern w:val="2"/>
      <w:sz w:val="32"/>
      <w:szCs w:val="32"/>
    </w:rPr>
  </w:style>
  <w:style w:type="paragraph" w:customStyle="1" w:styleId="393">
    <w:name w:val="Char Char Char Char Char Char Char Char Char Char Char Char Char Char Char Char"/>
    <w:basedOn w:val="1"/>
    <w:autoRedefine/>
    <w:qFormat/>
    <w:uiPriority w:val="0"/>
    <w:pPr>
      <w:widowControl w:val="0"/>
      <w:tabs>
        <w:tab w:val="left" w:pos="360"/>
      </w:tabs>
      <w:adjustRightInd/>
      <w:snapToGrid/>
      <w:spacing w:after="0" w:line="360" w:lineRule="auto"/>
      <w:ind w:left="482" w:firstLine="200" w:firstLineChars="200"/>
      <w:jc w:val="both"/>
    </w:pPr>
    <w:rPr>
      <w:rFonts w:ascii="宋体" w:hAnsi="Times New Roman" w:eastAsia="宋体" w:cs="Times New Roman"/>
      <w:kern w:val="2"/>
      <w:sz w:val="24"/>
      <w:szCs w:val="24"/>
    </w:rPr>
  </w:style>
  <w:style w:type="paragraph" w:customStyle="1" w:styleId="394">
    <w:name w:val="+正文 Char Char2 Char Char Char Char"/>
    <w:basedOn w:val="1"/>
    <w:autoRedefine/>
    <w:qFormat/>
    <w:uiPriority w:val="0"/>
    <w:pPr>
      <w:widowControl w:val="0"/>
      <w:adjustRightInd/>
      <w:snapToGrid/>
      <w:spacing w:after="0" w:line="360" w:lineRule="auto"/>
      <w:ind w:firstLine="200" w:firstLineChars="200"/>
      <w:jc w:val="both"/>
    </w:pPr>
    <w:rPr>
      <w:rFonts w:ascii="Times New Roman" w:hAnsi="Times New Roman" w:eastAsia="宋体" w:cs="Times New Roman"/>
      <w:kern w:val="2"/>
      <w:sz w:val="24"/>
      <w:szCs w:val="28"/>
    </w:rPr>
  </w:style>
  <w:style w:type="paragraph" w:customStyle="1" w:styleId="395">
    <w:name w:val="Char2 Char Char Char Char Char"/>
    <w:basedOn w:val="1"/>
    <w:autoRedefine/>
    <w:qFormat/>
    <w:uiPriority w:val="0"/>
    <w:pPr>
      <w:widowControl w:val="0"/>
      <w:adjustRightInd/>
      <w:snapToGrid/>
      <w:spacing w:after="0"/>
      <w:ind w:firstLine="360" w:firstLineChars="150"/>
      <w:jc w:val="both"/>
    </w:pPr>
    <w:rPr>
      <w:rFonts w:eastAsia="宋体" w:cs="Times New Roman"/>
      <w:kern w:val="2"/>
      <w:sz w:val="24"/>
      <w:szCs w:val="20"/>
    </w:rPr>
  </w:style>
  <w:style w:type="paragraph" w:customStyle="1" w:styleId="396">
    <w:name w:val="标准正文"/>
    <w:basedOn w:val="1"/>
    <w:autoRedefine/>
    <w:qFormat/>
    <w:uiPriority w:val="0"/>
    <w:pPr>
      <w:widowControl w:val="0"/>
      <w:adjustRightInd/>
      <w:snapToGrid/>
      <w:spacing w:after="0" w:line="360" w:lineRule="auto"/>
      <w:ind w:left="840" w:leftChars="400" w:firstLine="480" w:firstLineChars="200"/>
      <w:jc w:val="both"/>
    </w:pPr>
    <w:rPr>
      <w:rFonts w:ascii="Times New Roman" w:hAnsi="Times New Roman" w:eastAsia="宋体" w:cs="宋体"/>
      <w:kern w:val="2"/>
      <w:sz w:val="24"/>
      <w:szCs w:val="20"/>
    </w:rPr>
  </w:style>
  <w:style w:type="paragraph" w:customStyle="1" w:styleId="397">
    <w:name w:val="插图"/>
    <w:basedOn w:val="50"/>
    <w:next w:val="1"/>
    <w:autoRedefine/>
    <w:qFormat/>
    <w:uiPriority w:val="0"/>
    <w:pPr>
      <w:tabs>
        <w:tab w:val="left" w:pos="1080"/>
      </w:tabs>
      <w:spacing w:after="360"/>
      <w:ind w:left="0" w:firstLine="0"/>
      <w:jc w:val="center"/>
    </w:pPr>
    <w:rPr>
      <w:rFonts w:ascii="仿宋_GB2312" w:eastAsia="仿宋_GB2312"/>
    </w:rPr>
  </w:style>
  <w:style w:type="paragraph" w:customStyle="1" w:styleId="398">
    <w:name w:val="样式 样式 样式 正文文本缩进 + 首行缩进:  2 字符 + 首行缩进:  2 字符 + 首行缩进:  2 字符"/>
    <w:basedOn w:val="1"/>
    <w:autoRedefine/>
    <w:qFormat/>
    <w:uiPriority w:val="0"/>
    <w:pPr>
      <w:widowControl w:val="0"/>
      <w:tabs>
        <w:tab w:val="left" w:pos="9016"/>
      </w:tabs>
      <w:adjustRightInd/>
      <w:snapToGrid/>
      <w:spacing w:after="0" w:line="460" w:lineRule="exact"/>
      <w:ind w:firstLine="200" w:firstLineChars="200"/>
    </w:pPr>
    <w:rPr>
      <w:rFonts w:ascii="Times New Roman" w:hAnsi="Times New Roman" w:eastAsia="宋体" w:cs="宋体"/>
      <w:sz w:val="24"/>
      <w:szCs w:val="20"/>
    </w:rPr>
  </w:style>
  <w:style w:type="paragraph" w:customStyle="1" w:styleId="399">
    <w:name w:val="经典标题"/>
    <w:basedOn w:val="2"/>
    <w:next w:val="376"/>
    <w:autoRedefine/>
    <w:qFormat/>
    <w:uiPriority w:val="0"/>
    <w:pPr>
      <w:spacing w:beforeLines="100" w:afterLines="100" w:line="240" w:lineRule="auto"/>
      <w:jc w:val="center"/>
      <w:outlineLvl w:val="9"/>
    </w:pPr>
    <w:rPr>
      <w:rFonts w:eastAsia="黑体"/>
      <w:bCs w:val="0"/>
      <w:sz w:val="36"/>
      <w:szCs w:val="20"/>
    </w:rPr>
  </w:style>
  <w:style w:type="paragraph" w:customStyle="1" w:styleId="400">
    <w:name w:val="+标题2"/>
    <w:basedOn w:val="3"/>
    <w:autoRedefine/>
    <w:qFormat/>
    <w:uiPriority w:val="0"/>
    <w:pPr>
      <w:tabs>
        <w:tab w:val="left" w:pos="840"/>
      </w:tabs>
      <w:spacing w:before="120" w:after="120" w:line="360" w:lineRule="auto"/>
      <w:ind w:left="840" w:hanging="420"/>
    </w:pPr>
    <w:rPr>
      <w:rFonts w:ascii="Times New Roman" w:hAnsi="Times New Roman" w:eastAsia="宋体"/>
      <w:sz w:val="24"/>
      <w:szCs w:val="28"/>
    </w:rPr>
  </w:style>
  <w:style w:type="paragraph" w:customStyle="1" w:styleId="401">
    <w:name w:val="font8"/>
    <w:basedOn w:val="1"/>
    <w:autoRedefine/>
    <w:qFormat/>
    <w:uiPriority w:val="0"/>
    <w:pPr>
      <w:adjustRightInd/>
      <w:snapToGrid/>
      <w:spacing w:before="100" w:beforeAutospacing="1" w:after="100" w:afterAutospacing="1"/>
    </w:pPr>
    <w:rPr>
      <w:rFonts w:hint="eastAsia" w:ascii="宋体" w:hAnsi="宋体" w:eastAsia="宋体" w:cs="Arial Unicode MS"/>
    </w:rPr>
  </w:style>
  <w:style w:type="paragraph" w:customStyle="1" w:styleId="402">
    <w:name w:val="样式 样式 正文文本缩进正文文字( 首段缩进两字） + 段前: 0.5 行 行距: 单倍行距 + 段前: 0.5 行"/>
    <w:basedOn w:val="1"/>
    <w:autoRedefine/>
    <w:qFormat/>
    <w:uiPriority w:val="0"/>
    <w:pPr>
      <w:widowControl w:val="0"/>
      <w:adjustRightInd/>
      <w:snapToGrid/>
      <w:spacing w:after="0"/>
      <w:ind w:firstLine="480" w:firstLineChars="200"/>
      <w:jc w:val="both"/>
    </w:pPr>
    <w:rPr>
      <w:rFonts w:ascii="Times New Roman" w:hAnsi="Times New Roman" w:eastAsia="宋体" w:cs="Times New Roman"/>
      <w:sz w:val="24"/>
      <w:szCs w:val="24"/>
    </w:rPr>
  </w:style>
  <w:style w:type="paragraph" w:customStyle="1" w:styleId="403">
    <w:name w:val="+标题1"/>
    <w:basedOn w:val="2"/>
    <w:autoRedefine/>
    <w:qFormat/>
    <w:uiPriority w:val="0"/>
    <w:pPr>
      <w:pageBreakBefore/>
      <w:tabs>
        <w:tab w:val="left" w:pos="420"/>
      </w:tabs>
      <w:spacing w:before="240" w:after="240"/>
      <w:ind w:left="720" w:hanging="720"/>
      <w:jc w:val="center"/>
    </w:pPr>
    <w:rPr>
      <w:rFonts w:eastAsia="黑体"/>
      <w:kern w:val="32"/>
      <w:szCs w:val="32"/>
    </w:rPr>
  </w:style>
  <w:style w:type="paragraph" w:customStyle="1" w:styleId="404">
    <w:name w:val="8"/>
    <w:basedOn w:val="1"/>
    <w:next w:val="57"/>
    <w:autoRedefine/>
    <w:qFormat/>
    <w:uiPriority w:val="0"/>
    <w:pPr>
      <w:adjustRightInd/>
      <w:snapToGrid/>
      <w:spacing w:before="100" w:beforeAutospacing="1" w:after="100" w:afterAutospacing="1"/>
    </w:pPr>
    <w:rPr>
      <w:rFonts w:ascii="宋体" w:hAnsi="宋体" w:eastAsia="宋体" w:cs="Times New Roman"/>
      <w:sz w:val="24"/>
      <w:szCs w:val="24"/>
    </w:rPr>
  </w:style>
  <w:style w:type="paragraph" w:customStyle="1" w:styleId="405">
    <w:name w:val="SuepChapter"/>
    <w:basedOn w:val="1"/>
    <w:autoRedefine/>
    <w:qFormat/>
    <w:uiPriority w:val="0"/>
    <w:pPr>
      <w:tabs>
        <w:tab w:val="left" w:pos="720"/>
        <w:tab w:val="center" w:pos="4513"/>
      </w:tabs>
      <w:suppressAutoHyphens/>
      <w:adjustRightInd/>
      <w:snapToGrid/>
      <w:spacing w:after="0"/>
      <w:ind w:left="720" w:hanging="720"/>
      <w:jc w:val="center"/>
    </w:pPr>
    <w:rPr>
      <w:rFonts w:ascii="Times New Roman" w:hAnsi="Times New Roman" w:eastAsia="宋体" w:cs="Times New Roman"/>
      <w:b/>
      <w:spacing w:val="-2"/>
      <w:szCs w:val="20"/>
      <w:lang w:val="en-GB"/>
    </w:rPr>
  </w:style>
  <w:style w:type="paragraph" w:customStyle="1" w:styleId="406">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407">
    <w:name w:val="A."/>
    <w:basedOn w:val="1"/>
    <w:autoRedefine/>
    <w:qFormat/>
    <w:uiPriority w:val="0"/>
    <w:pPr>
      <w:tabs>
        <w:tab w:val="left" w:pos="1134"/>
        <w:tab w:val="left" w:pos="1200"/>
      </w:tabs>
      <w:adjustRightInd/>
      <w:snapToGrid/>
      <w:spacing w:before="240" w:after="0" w:line="0" w:lineRule="atLeast"/>
      <w:ind w:left="1134" w:hanging="567"/>
      <w:jc w:val="both"/>
    </w:pPr>
    <w:rPr>
      <w:rFonts w:ascii="Times New Roman" w:hAnsi="Times New Roman" w:eastAsia="宋体" w:cs="Times New Roman"/>
      <w:kern w:val="2"/>
      <w:sz w:val="24"/>
      <w:szCs w:val="20"/>
    </w:rPr>
  </w:style>
  <w:style w:type="paragraph" w:customStyle="1" w:styleId="408">
    <w:name w:val="标准中文版式_正文"/>
    <w:basedOn w:val="1"/>
    <w:autoRedefine/>
    <w:qFormat/>
    <w:uiPriority w:val="0"/>
    <w:pPr>
      <w:widowControl w:val="0"/>
      <w:adjustRightInd/>
      <w:snapToGrid/>
      <w:spacing w:beforeLines="30" w:after="0"/>
      <w:jc w:val="both"/>
    </w:pPr>
    <w:rPr>
      <w:rFonts w:ascii="Times New Roman" w:hAnsi="Times New Roman" w:eastAsia="宋体" w:cs="Times New Roman"/>
      <w:kern w:val="2"/>
      <w:sz w:val="21"/>
      <w:szCs w:val="21"/>
    </w:rPr>
  </w:style>
  <w:style w:type="paragraph" w:customStyle="1" w:styleId="409">
    <w:name w:val="目录2"/>
    <w:basedOn w:val="1"/>
    <w:next w:val="1"/>
    <w:autoRedefine/>
    <w:qFormat/>
    <w:uiPriority w:val="0"/>
    <w:pPr>
      <w:tabs>
        <w:tab w:val="left" w:leader="dot" w:pos="8503"/>
      </w:tabs>
      <w:adjustRightInd/>
      <w:snapToGrid/>
      <w:spacing w:after="0" w:line="317" w:lineRule="atLeast"/>
      <w:ind w:left="419" w:firstLine="419"/>
      <w:jc w:val="both"/>
      <w:textAlignment w:val="baseline"/>
    </w:pPr>
    <w:rPr>
      <w:rFonts w:ascii="Times New Roman" w:hAnsi="Times New Roman" w:eastAsia="宋体" w:cs="Times New Roman"/>
      <w:color w:val="000000"/>
      <w:sz w:val="21"/>
      <w:szCs w:val="20"/>
      <w:u w:color="000000"/>
    </w:rPr>
  </w:style>
  <w:style w:type="paragraph" w:customStyle="1" w:styleId="410">
    <w:name w:val="Headings Font"/>
    <w:basedOn w:val="1"/>
    <w:next w:val="15"/>
    <w:autoRedefine/>
    <w:qFormat/>
    <w:uiPriority w:val="0"/>
    <w:pPr>
      <w:keepNext/>
      <w:widowControl w:val="0"/>
      <w:adjustRightInd/>
      <w:snapToGrid/>
      <w:spacing w:after="0" w:line="280" w:lineRule="atLeast"/>
    </w:pPr>
    <w:rPr>
      <w:rFonts w:ascii="Arial" w:hAnsi="Arial" w:eastAsia="宋体" w:cs="Times New Roman"/>
      <w:szCs w:val="20"/>
      <w:lang w:val="en-GB"/>
    </w:rPr>
  </w:style>
  <w:style w:type="paragraph" w:customStyle="1" w:styleId="411">
    <w:name w:val="样式 样式 标题 2 + 左侧:  0 厘米 首行缩进:  0 厘米 + 蓝色"/>
    <w:basedOn w:val="1"/>
    <w:autoRedefine/>
    <w:qFormat/>
    <w:uiPriority w:val="0"/>
    <w:pPr>
      <w:keepNext/>
      <w:keepLines/>
      <w:widowControl w:val="0"/>
      <w:tabs>
        <w:tab w:val="left" w:pos="450"/>
        <w:tab w:val="left" w:pos="567"/>
      </w:tabs>
      <w:spacing w:before="240" w:after="120" w:line="520" w:lineRule="exact"/>
      <w:textAlignment w:val="baseline"/>
      <w:outlineLvl w:val="1"/>
    </w:pPr>
    <w:rPr>
      <w:rFonts w:ascii="Times New Roman" w:hAnsi="Times New Roman" w:eastAsia="黑体" w:cs="宋体"/>
      <w:spacing w:val="4"/>
      <w:sz w:val="28"/>
      <w:szCs w:val="28"/>
    </w:rPr>
  </w:style>
  <w:style w:type="paragraph" w:customStyle="1" w:styleId="412">
    <w:name w:val="point"/>
    <w:basedOn w:val="1"/>
    <w:next w:val="1"/>
    <w:autoRedefine/>
    <w:qFormat/>
    <w:uiPriority w:val="0"/>
    <w:pPr>
      <w:widowControl w:val="0"/>
      <w:adjustRightInd/>
      <w:snapToGrid/>
      <w:spacing w:after="0" w:line="460" w:lineRule="exact"/>
      <w:jc w:val="both"/>
    </w:pPr>
    <w:rPr>
      <w:rFonts w:ascii="Times New Roman" w:hAnsi="Times New Roman" w:eastAsia="宋体" w:cs="Times New Roman"/>
      <w:kern w:val="2"/>
      <w:sz w:val="24"/>
      <w:szCs w:val="24"/>
    </w:rPr>
  </w:style>
  <w:style w:type="paragraph" w:customStyle="1" w:styleId="413">
    <w:name w:val="空半行"/>
    <w:basedOn w:val="1"/>
    <w:autoRedefine/>
    <w:qFormat/>
    <w:uiPriority w:val="0"/>
    <w:pPr>
      <w:widowControl w:val="0"/>
      <w:snapToGrid/>
      <w:spacing w:after="0" w:line="120" w:lineRule="exact"/>
      <w:jc w:val="both"/>
      <w:textAlignment w:val="baseline"/>
    </w:pPr>
    <w:rPr>
      <w:rFonts w:ascii="Times New Roman" w:hAnsi="Times New Roman" w:eastAsia="仿宋_GB2312" w:cs="Times New Roman"/>
      <w:color w:val="FFFFFF"/>
      <w:sz w:val="30"/>
      <w:szCs w:val="20"/>
    </w:rPr>
  </w:style>
  <w:style w:type="paragraph" w:customStyle="1" w:styleId="414">
    <w:name w:val="Char2"/>
    <w:basedOn w:val="1"/>
    <w:autoRedefine/>
    <w:qFormat/>
    <w:uiPriority w:val="0"/>
    <w:pPr>
      <w:widowControl w:val="0"/>
      <w:adjustRightInd/>
      <w:snapToGrid/>
      <w:spacing w:after="0"/>
      <w:ind w:left="432" w:hanging="432"/>
      <w:jc w:val="both"/>
    </w:pPr>
    <w:rPr>
      <w:rFonts w:ascii="Times New Roman" w:hAnsi="Times New Roman" w:eastAsia="宋体" w:cs="Times New Roman"/>
      <w:kern w:val="2"/>
      <w:sz w:val="24"/>
      <w:szCs w:val="24"/>
    </w:rPr>
  </w:style>
  <w:style w:type="paragraph" w:customStyle="1" w:styleId="415">
    <w:name w:val="目录4"/>
    <w:basedOn w:val="1"/>
    <w:next w:val="1"/>
    <w:autoRedefine/>
    <w:qFormat/>
    <w:uiPriority w:val="0"/>
    <w:pPr>
      <w:tabs>
        <w:tab w:val="left" w:leader="dot" w:pos="8503"/>
      </w:tabs>
      <w:adjustRightInd/>
      <w:snapToGrid/>
      <w:spacing w:after="0" w:line="317" w:lineRule="atLeast"/>
      <w:ind w:left="419" w:firstLine="629"/>
      <w:jc w:val="both"/>
      <w:textAlignment w:val="baseline"/>
    </w:pPr>
    <w:rPr>
      <w:rFonts w:ascii="Times New Roman" w:hAnsi="Times New Roman" w:eastAsia="宋体" w:cs="Times New Roman"/>
      <w:color w:val="000000"/>
      <w:sz w:val="21"/>
      <w:szCs w:val="20"/>
      <w:u w:color="000000"/>
    </w:rPr>
  </w:style>
  <w:style w:type="paragraph" w:customStyle="1" w:styleId="416">
    <w:name w:val="09正文_wh"/>
    <w:autoRedefine/>
    <w:qFormat/>
    <w:uiPriority w:val="0"/>
    <w:pPr>
      <w:spacing w:line="300" w:lineRule="auto"/>
      <w:ind w:firstLine="200" w:firstLineChars="200"/>
      <w:jc w:val="both"/>
    </w:pPr>
    <w:rPr>
      <w:rFonts w:ascii="Times New Roman" w:hAnsi="Times New Roman" w:eastAsia="宋体" w:cs="Times New Roman"/>
      <w:sz w:val="28"/>
      <w:szCs w:val="28"/>
      <w:lang w:val="en-US" w:eastAsia="zh-CN" w:bidi="ar-SA"/>
    </w:rPr>
  </w:style>
  <w:style w:type="paragraph" w:customStyle="1" w:styleId="417">
    <w:name w:val="样式2"/>
    <w:basedOn w:val="1"/>
    <w:autoRedefine/>
    <w:qFormat/>
    <w:uiPriority w:val="0"/>
    <w:pPr>
      <w:widowControl w:val="0"/>
      <w:tabs>
        <w:tab w:val="left" w:pos="600"/>
      </w:tabs>
      <w:spacing w:after="0" w:line="360" w:lineRule="auto"/>
      <w:ind w:left="420" w:hanging="420"/>
      <w:jc w:val="both"/>
    </w:pPr>
    <w:rPr>
      <w:rFonts w:ascii="Times New Roman" w:hAnsi="Times New Roman" w:eastAsia="宋体" w:cs="Times New Roman"/>
      <w:kern w:val="2"/>
      <w:sz w:val="28"/>
      <w:szCs w:val="24"/>
    </w:rPr>
  </w:style>
  <w:style w:type="paragraph" w:customStyle="1" w:styleId="418">
    <w:name w:val="TOC 标题4"/>
    <w:basedOn w:val="2"/>
    <w:next w:val="1"/>
    <w:autoRedefine/>
    <w:unhideWhenUsed/>
    <w:qFormat/>
    <w:uiPriority w:val="39"/>
    <w:pPr>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419">
    <w:name w:val="_Style 412"/>
    <w:basedOn w:val="1"/>
    <w:next w:val="1"/>
    <w:autoRedefine/>
    <w:qFormat/>
    <w:uiPriority w:val="0"/>
    <w:pPr>
      <w:pBdr>
        <w:bottom w:val="single" w:color="auto" w:sz="6" w:space="1"/>
      </w:pBdr>
      <w:jc w:val="center"/>
    </w:pPr>
    <w:rPr>
      <w:rFonts w:ascii="Arial" w:eastAsia="宋体"/>
      <w:vanish/>
      <w:sz w:val="16"/>
    </w:rPr>
  </w:style>
  <w:style w:type="paragraph" w:customStyle="1" w:styleId="420">
    <w:name w:val="_Style 413"/>
    <w:basedOn w:val="1"/>
    <w:next w:val="1"/>
    <w:autoRedefine/>
    <w:qFormat/>
    <w:uiPriority w:val="0"/>
    <w:pPr>
      <w:pBdr>
        <w:top w:val="single" w:color="auto" w:sz="6" w:space="1"/>
      </w:pBdr>
      <w:jc w:val="center"/>
    </w:pPr>
    <w:rPr>
      <w:rFonts w:ascii="Arial" w:eastAsia="宋体"/>
      <w:vanish/>
      <w:sz w:val="16"/>
    </w:rPr>
  </w:style>
  <w:style w:type="paragraph" w:styleId="421">
    <w:name w:val="List Paragraph"/>
    <w:basedOn w:val="1"/>
    <w:autoRedefine/>
    <w:unhideWhenUsed/>
    <w:qFormat/>
    <w:uiPriority w:val="99"/>
    <w:pPr>
      <w:ind w:firstLine="420" w:firstLineChars="200"/>
    </w:pPr>
  </w:style>
  <w:style w:type="paragraph" w:customStyle="1" w:styleId="422">
    <w:name w:val="实施方案正文"/>
    <w:basedOn w:val="1"/>
    <w:autoRedefine/>
    <w:qFormat/>
    <w:uiPriority w:val="99"/>
    <w:pPr>
      <w:ind w:firstLine="566" w:firstLineChars="202"/>
    </w:pPr>
    <w:rPr>
      <w:szCs w:val="28"/>
    </w:rPr>
  </w:style>
  <w:style w:type="character" w:customStyle="1" w:styleId="423">
    <w:name w:val="标题 字符"/>
    <w:link w:val="59"/>
    <w:autoRedefine/>
    <w:qFormat/>
    <w:uiPriority w:val="0"/>
    <w:rPr>
      <w:rFonts w:ascii="Cambria" w:hAnsi="Cambria"/>
      <w:b/>
      <w:bCs/>
      <w:kern w:val="2"/>
      <w:sz w:val="32"/>
      <w:szCs w:val="32"/>
    </w:rPr>
  </w:style>
  <w:style w:type="paragraph" w:customStyle="1" w:styleId="424">
    <w:name w:val="p0"/>
    <w:basedOn w:val="1"/>
    <w:autoRedefine/>
    <w:qFormat/>
    <w:uiPriority w:val="0"/>
    <w:pPr>
      <w:widowControl/>
      <w:autoSpaceDE/>
      <w:autoSpaceDN/>
      <w:adjustRightInd/>
      <w:jc w:val="both"/>
      <w:textAlignment w:val="auto"/>
    </w:pPr>
    <w:rPr>
      <w:rFonts w:ascii="Times New Roman" w:hAnsi="Times New Roman" w:eastAsia="宋体"/>
      <w:sz w:val="21"/>
      <w:szCs w:val="21"/>
    </w:rPr>
  </w:style>
  <w:style w:type="paragraph" w:customStyle="1" w:styleId="425">
    <w:name w:val="样式"/>
    <w:autoRedefine/>
    <w:qFormat/>
    <w:uiPriority w:val="0"/>
    <w:pPr>
      <w:widowControl w:val="0"/>
      <w:autoSpaceDE w:val="0"/>
      <w:autoSpaceDN w:val="0"/>
      <w:adjustRightInd w:val="0"/>
    </w:pPr>
    <w:rPr>
      <w:rFonts w:ascii="宋体" w:hAnsi="Calibri" w:eastAsia="宋体" w:cs="宋体"/>
      <w:sz w:val="24"/>
      <w:szCs w:val="24"/>
      <w:lang w:val="en-US" w:eastAsia="zh-CN" w:bidi="ar-SA"/>
    </w:rPr>
  </w:style>
  <w:style w:type="paragraph" w:customStyle="1" w:styleId="426">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Tuan</Company>
  <Pages>95</Pages>
  <Words>16382</Words>
  <Characters>17960</Characters>
  <Lines>271</Lines>
  <Paragraphs>76</Paragraphs>
  <TotalTime>16</TotalTime>
  <ScaleCrop>false</ScaleCrop>
  <LinksUpToDate>false</LinksUpToDate>
  <CharactersWithSpaces>18365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2019-10-17T06:40:00Z</dcterms:created>
  <dc:creator>Administrator.0CTUZ2DMAQRV522</dc:creator>
  <cp:lastModifiedBy>顺胜</cp:lastModifiedBy>
  <cp:lastPrinted>2024-01-22T02:20:00Z</cp:lastPrinted>
  <dcterms:modified xsi:type="dcterms:W3CDTF">2026-09-22T09:01:27Z</dcterms:modified>
  <cp:revision>287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F0C5CA13C8264D558F1508710E692267_13</vt:lpwstr>
  </property>
  <property fmtid="{D5CDD505-2E9C-101B-9397-08002B2CF9AE}" pid="4" name="KSOTemplateDocerSaveRecord">
    <vt:lpwstr>eyJoZGlkIjoiZWZlYWE1Y2RjNDE0NmI5OGZjYzJjMGU3ZWU1MTljOTIiLCJ1c2VySWQiOiIzNjIyODQzMTcifQ==</vt:lpwstr>
  </property>
</Properties>
</file>