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5E442">
      <w:pPr>
        <w:pStyle w:val="4"/>
        <w:jc w:val="center"/>
        <w:outlineLvl w:val="1"/>
      </w:pPr>
      <w:r>
        <w:rPr>
          <w:rFonts w:ascii="仿宋_GB2312" w:hAnsi="仿宋_GB2312" w:eastAsia="仿宋_GB2312" w:cs="仿宋_GB2312"/>
          <w:b/>
          <w:sz w:val="36"/>
        </w:rPr>
        <w:t>第三章 技术、服务及其他要求</w:t>
      </w:r>
    </w:p>
    <w:p w14:paraId="68DB77F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0816E27">
      <w:pPr>
        <w:pStyle w:val="4"/>
        <w:jc w:val="left"/>
        <w:outlineLvl w:val="2"/>
      </w:pPr>
      <w:r>
        <w:rPr>
          <w:rFonts w:ascii="仿宋_GB2312" w:hAnsi="仿宋_GB2312" w:eastAsia="仿宋_GB2312" w:cs="仿宋_GB2312"/>
          <w:b/>
          <w:sz w:val="28"/>
        </w:rPr>
        <w:t>3.1.采购内容</w:t>
      </w:r>
    </w:p>
    <w:p w14:paraId="75643B37">
      <w:pPr>
        <w:pStyle w:val="4"/>
        <w:jc w:val="left"/>
      </w:pPr>
      <w:r>
        <w:rPr>
          <w:rFonts w:ascii="仿宋_GB2312" w:hAnsi="仿宋_GB2312" w:eastAsia="仿宋_GB2312" w:cs="仿宋_GB2312"/>
        </w:rPr>
        <w:t>采购包1：</w:t>
      </w:r>
    </w:p>
    <w:p w14:paraId="542F4C0D">
      <w:pPr>
        <w:pStyle w:val="4"/>
        <w:jc w:val="left"/>
      </w:pPr>
      <w:r>
        <w:rPr>
          <w:rFonts w:ascii="仿宋_GB2312" w:hAnsi="仿宋_GB2312" w:eastAsia="仿宋_GB2312" w:cs="仿宋_GB2312"/>
        </w:rPr>
        <w:t>采购包预算金额（元）: 400,000.00</w:t>
      </w:r>
    </w:p>
    <w:p w14:paraId="3077EE40">
      <w:pPr>
        <w:pStyle w:val="4"/>
        <w:jc w:val="left"/>
      </w:pPr>
      <w:r>
        <w:rPr>
          <w:rFonts w:ascii="仿宋_GB2312" w:hAnsi="仿宋_GB2312" w:eastAsia="仿宋_GB2312" w:cs="仿宋_GB2312"/>
        </w:rPr>
        <w:t>采购包最高限价（元）: 400,000.00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56E6D0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C3BAB1">
            <w:pPr>
              <w:pStyle w:val="4"/>
              <w:jc w:val="center"/>
            </w:pPr>
            <w:r>
              <w:rPr>
                <w:rFonts w:ascii="仿宋_GB2312" w:hAnsi="仿宋_GB2312" w:eastAsia="仿宋_GB2312" w:cs="仿宋_GB2312"/>
              </w:rPr>
              <w:t>序号</w:t>
            </w:r>
          </w:p>
        </w:tc>
        <w:tc>
          <w:tcPr>
            <w:tcW w:w="821" w:type="dxa"/>
          </w:tcPr>
          <w:p w14:paraId="25B24328">
            <w:pPr>
              <w:pStyle w:val="4"/>
              <w:jc w:val="center"/>
            </w:pPr>
            <w:r>
              <w:rPr>
                <w:rFonts w:ascii="仿宋_GB2312" w:hAnsi="仿宋_GB2312" w:eastAsia="仿宋_GB2312" w:cs="仿宋_GB2312"/>
              </w:rPr>
              <w:t>采购品目名称</w:t>
            </w:r>
          </w:p>
        </w:tc>
        <w:tc>
          <w:tcPr>
            <w:tcW w:w="821" w:type="dxa"/>
          </w:tcPr>
          <w:p w14:paraId="1EA5CB36">
            <w:pPr>
              <w:pStyle w:val="4"/>
              <w:jc w:val="center"/>
            </w:pPr>
            <w:r>
              <w:rPr>
                <w:rFonts w:ascii="仿宋_GB2312" w:hAnsi="仿宋_GB2312" w:eastAsia="仿宋_GB2312" w:cs="仿宋_GB2312"/>
              </w:rPr>
              <w:t>标的名称</w:t>
            </w:r>
          </w:p>
        </w:tc>
        <w:tc>
          <w:tcPr>
            <w:tcW w:w="821" w:type="dxa"/>
          </w:tcPr>
          <w:p w14:paraId="3E14334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132655A">
            <w:pPr>
              <w:pStyle w:val="4"/>
              <w:jc w:val="center"/>
            </w:pPr>
            <w:r>
              <w:rPr>
                <w:rFonts w:ascii="仿宋_GB2312" w:hAnsi="仿宋_GB2312" w:eastAsia="仿宋_GB2312" w:cs="仿宋_GB2312"/>
              </w:rPr>
              <w:t>标的金额 （元）</w:t>
            </w:r>
          </w:p>
        </w:tc>
        <w:tc>
          <w:tcPr>
            <w:tcW w:w="821" w:type="dxa"/>
          </w:tcPr>
          <w:p w14:paraId="55B4961B">
            <w:pPr>
              <w:pStyle w:val="4"/>
              <w:jc w:val="center"/>
            </w:pPr>
            <w:r>
              <w:rPr>
                <w:rFonts w:ascii="仿宋_GB2312" w:hAnsi="仿宋_GB2312" w:eastAsia="仿宋_GB2312" w:cs="仿宋_GB2312"/>
              </w:rPr>
              <w:t>所属行业</w:t>
            </w:r>
          </w:p>
        </w:tc>
        <w:tc>
          <w:tcPr>
            <w:tcW w:w="821" w:type="dxa"/>
          </w:tcPr>
          <w:p w14:paraId="7494FEF4">
            <w:pPr>
              <w:pStyle w:val="4"/>
              <w:jc w:val="center"/>
            </w:pPr>
            <w:r>
              <w:rPr>
                <w:rFonts w:ascii="仿宋_GB2312" w:hAnsi="仿宋_GB2312" w:eastAsia="仿宋_GB2312" w:cs="仿宋_GB2312"/>
              </w:rPr>
              <w:t>是否涉及核心产品</w:t>
            </w:r>
          </w:p>
        </w:tc>
        <w:tc>
          <w:tcPr>
            <w:tcW w:w="821" w:type="dxa"/>
          </w:tcPr>
          <w:p w14:paraId="7772F9AF">
            <w:pPr>
              <w:pStyle w:val="4"/>
              <w:jc w:val="center"/>
            </w:pPr>
            <w:r>
              <w:rPr>
                <w:rFonts w:ascii="仿宋_GB2312" w:hAnsi="仿宋_GB2312" w:eastAsia="仿宋_GB2312" w:cs="仿宋_GB2312"/>
              </w:rPr>
              <w:t>是否涉及采购进口产品</w:t>
            </w:r>
          </w:p>
        </w:tc>
        <w:tc>
          <w:tcPr>
            <w:tcW w:w="821" w:type="dxa"/>
          </w:tcPr>
          <w:p w14:paraId="2E81204D">
            <w:pPr>
              <w:pStyle w:val="4"/>
              <w:jc w:val="center"/>
            </w:pPr>
            <w:r>
              <w:rPr>
                <w:rFonts w:ascii="仿宋_GB2312" w:hAnsi="仿宋_GB2312" w:eastAsia="仿宋_GB2312" w:cs="仿宋_GB2312"/>
              </w:rPr>
              <w:t>是否涉及强制采购节能产品</w:t>
            </w:r>
          </w:p>
        </w:tc>
        <w:tc>
          <w:tcPr>
            <w:tcW w:w="639" w:type="dxa"/>
          </w:tcPr>
          <w:p w14:paraId="5B42175D">
            <w:pPr>
              <w:pStyle w:val="4"/>
              <w:jc w:val="center"/>
            </w:pPr>
            <w:r>
              <w:rPr>
                <w:rFonts w:ascii="仿宋_GB2312" w:hAnsi="仿宋_GB2312" w:eastAsia="仿宋_GB2312" w:cs="仿宋_GB2312"/>
              </w:rPr>
              <w:t>是否涉及优先采购节能产品</w:t>
            </w:r>
          </w:p>
        </w:tc>
        <w:tc>
          <w:tcPr>
            <w:tcW w:w="639" w:type="dxa"/>
          </w:tcPr>
          <w:p w14:paraId="6F7D240E">
            <w:pPr>
              <w:pStyle w:val="4"/>
              <w:jc w:val="center"/>
            </w:pPr>
            <w:r>
              <w:rPr>
                <w:rFonts w:ascii="仿宋_GB2312" w:hAnsi="仿宋_GB2312" w:eastAsia="仿宋_GB2312" w:cs="仿宋_GB2312"/>
              </w:rPr>
              <w:t>是否涉及优先采购环境标志产品</w:t>
            </w:r>
          </w:p>
        </w:tc>
      </w:tr>
      <w:tr w14:paraId="160B5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D848F5">
            <w:pPr>
              <w:pStyle w:val="4"/>
              <w:jc w:val="left"/>
            </w:pPr>
            <w:r>
              <w:rPr>
                <w:rFonts w:ascii="仿宋_GB2312" w:hAnsi="仿宋_GB2312" w:eastAsia="仿宋_GB2312" w:cs="仿宋_GB2312"/>
              </w:rPr>
              <w:t>1</w:t>
            </w:r>
          </w:p>
        </w:tc>
        <w:tc>
          <w:tcPr>
            <w:tcW w:w="821" w:type="dxa"/>
          </w:tcPr>
          <w:p w14:paraId="23B8D75F">
            <w:pPr>
              <w:pStyle w:val="4"/>
              <w:jc w:val="left"/>
            </w:pPr>
            <w:r>
              <w:rPr>
                <w:rFonts w:ascii="仿宋_GB2312" w:hAnsi="仿宋_GB2312" w:eastAsia="仿宋_GB2312" w:cs="仿宋_GB2312"/>
              </w:rPr>
              <w:t>C03990000 其他就业服务</w:t>
            </w:r>
          </w:p>
        </w:tc>
        <w:tc>
          <w:tcPr>
            <w:tcW w:w="821" w:type="dxa"/>
          </w:tcPr>
          <w:p w14:paraId="28328A57">
            <w:pPr>
              <w:pStyle w:val="4"/>
              <w:jc w:val="left"/>
            </w:pPr>
            <w:r>
              <w:rPr>
                <w:rFonts w:ascii="仿宋_GB2312" w:hAnsi="仿宋_GB2312" w:eastAsia="仿宋_GB2312" w:cs="仿宋_GB2312"/>
              </w:rPr>
              <w:t>2026年基层公共就业服务站建设购买服务</w:t>
            </w:r>
          </w:p>
        </w:tc>
        <w:tc>
          <w:tcPr>
            <w:tcW w:w="821" w:type="dxa"/>
          </w:tcPr>
          <w:p w14:paraId="4EADC262">
            <w:pPr>
              <w:pStyle w:val="4"/>
              <w:jc w:val="right"/>
            </w:pPr>
            <w:r>
              <w:rPr>
                <w:rFonts w:ascii="仿宋_GB2312" w:hAnsi="仿宋_GB2312" w:eastAsia="仿宋_GB2312" w:cs="仿宋_GB2312"/>
              </w:rPr>
              <w:t>1.00（项）</w:t>
            </w:r>
          </w:p>
        </w:tc>
        <w:tc>
          <w:tcPr>
            <w:tcW w:w="821" w:type="dxa"/>
          </w:tcPr>
          <w:p w14:paraId="68BE12B9">
            <w:pPr>
              <w:pStyle w:val="4"/>
              <w:jc w:val="right"/>
            </w:pPr>
            <w:r>
              <w:rPr>
                <w:rFonts w:ascii="仿宋_GB2312" w:hAnsi="仿宋_GB2312" w:eastAsia="仿宋_GB2312" w:cs="仿宋_GB2312"/>
              </w:rPr>
              <w:t>300,000.00</w:t>
            </w:r>
          </w:p>
        </w:tc>
        <w:tc>
          <w:tcPr>
            <w:tcW w:w="821" w:type="dxa"/>
          </w:tcPr>
          <w:p w14:paraId="7E52AD0F">
            <w:pPr>
              <w:pStyle w:val="4"/>
              <w:jc w:val="left"/>
            </w:pPr>
            <w:r>
              <w:rPr>
                <w:rFonts w:ascii="仿宋_GB2312" w:hAnsi="仿宋_GB2312" w:eastAsia="仿宋_GB2312" w:cs="仿宋_GB2312"/>
              </w:rPr>
              <w:t>其他未列明行业</w:t>
            </w:r>
          </w:p>
        </w:tc>
        <w:tc>
          <w:tcPr>
            <w:tcW w:w="821" w:type="dxa"/>
          </w:tcPr>
          <w:p w14:paraId="0339DE8B">
            <w:pPr>
              <w:pStyle w:val="4"/>
              <w:jc w:val="left"/>
            </w:pPr>
            <w:r>
              <w:rPr>
                <w:rFonts w:ascii="仿宋_GB2312" w:hAnsi="仿宋_GB2312" w:eastAsia="仿宋_GB2312" w:cs="仿宋_GB2312"/>
              </w:rPr>
              <w:t>否</w:t>
            </w:r>
          </w:p>
        </w:tc>
        <w:tc>
          <w:tcPr>
            <w:tcW w:w="821" w:type="dxa"/>
          </w:tcPr>
          <w:p w14:paraId="20BD9C2B">
            <w:pPr>
              <w:pStyle w:val="4"/>
              <w:jc w:val="left"/>
            </w:pPr>
            <w:r>
              <w:rPr>
                <w:rFonts w:ascii="仿宋_GB2312" w:hAnsi="仿宋_GB2312" w:eastAsia="仿宋_GB2312" w:cs="仿宋_GB2312"/>
              </w:rPr>
              <w:t>否</w:t>
            </w:r>
          </w:p>
        </w:tc>
        <w:tc>
          <w:tcPr>
            <w:tcW w:w="821" w:type="dxa"/>
          </w:tcPr>
          <w:p w14:paraId="5D728074">
            <w:pPr>
              <w:pStyle w:val="4"/>
              <w:jc w:val="left"/>
            </w:pPr>
            <w:r>
              <w:rPr>
                <w:rFonts w:ascii="仿宋_GB2312" w:hAnsi="仿宋_GB2312" w:eastAsia="仿宋_GB2312" w:cs="仿宋_GB2312"/>
              </w:rPr>
              <w:t>否</w:t>
            </w:r>
          </w:p>
        </w:tc>
        <w:tc>
          <w:tcPr>
            <w:tcW w:w="639" w:type="dxa"/>
          </w:tcPr>
          <w:p w14:paraId="2B658233">
            <w:pPr>
              <w:pStyle w:val="4"/>
              <w:jc w:val="left"/>
            </w:pPr>
            <w:r>
              <w:rPr>
                <w:rFonts w:ascii="仿宋_GB2312" w:hAnsi="仿宋_GB2312" w:eastAsia="仿宋_GB2312" w:cs="仿宋_GB2312"/>
              </w:rPr>
              <w:t>否</w:t>
            </w:r>
          </w:p>
        </w:tc>
        <w:tc>
          <w:tcPr>
            <w:tcW w:w="639" w:type="dxa"/>
          </w:tcPr>
          <w:p w14:paraId="2F6EF8E4">
            <w:pPr>
              <w:pStyle w:val="4"/>
              <w:jc w:val="left"/>
            </w:pPr>
            <w:r>
              <w:rPr>
                <w:rFonts w:ascii="仿宋_GB2312" w:hAnsi="仿宋_GB2312" w:eastAsia="仿宋_GB2312" w:cs="仿宋_GB2312"/>
              </w:rPr>
              <w:t>否</w:t>
            </w:r>
          </w:p>
        </w:tc>
      </w:tr>
      <w:tr w14:paraId="3EB590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45C37E">
            <w:pPr>
              <w:pStyle w:val="4"/>
              <w:jc w:val="left"/>
            </w:pPr>
            <w:r>
              <w:rPr>
                <w:rFonts w:ascii="仿宋_GB2312" w:hAnsi="仿宋_GB2312" w:eastAsia="仿宋_GB2312" w:cs="仿宋_GB2312"/>
              </w:rPr>
              <w:t>2</w:t>
            </w:r>
          </w:p>
        </w:tc>
        <w:tc>
          <w:tcPr>
            <w:tcW w:w="821" w:type="dxa"/>
          </w:tcPr>
          <w:p w14:paraId="07EB3CE3">
            <w:pPr>
              <w:pStyle w:val="4"/>
              <w:jc w:val="left"/>
            </w:pPr>
            <w:r>
              <w:rPr>
                <w:rFonts w:ascii="仿宋_GB2312" w:hAnsi="仿宋_GB2312" w:eastAsia="仿宋_GB2312" w:cs="仿宋_GB2312"/>
              </w:rPr>
              <w:t>C03990000 其他就业服务</w:t>
            </w:r>
          </w:p>
        </w:tc>
        <w:tc>
          <w:tcPr>
            <w:tcW w:w="821" w:type="dxa"/>
          </w:tcPr>
          <w:p w14:paraId="023E40BF">
            <w:pPr>
              <w:pStyle w:val="4"/>
              <w:jc w:val="left"/>
            </w:pPr>
            <w:r>
              <w:rPr>
                <w:rFonts w:ascii="仿宋_GB2312" w:hAnsi="仿宋_GB2312" w:eastAsia="仿宋_GB2312" w:cs="仿宋_GB2312"/>
              </w:rPr>
              <w:t>2026年基层公共就业服务站建设购买服务</w:t>
            </w:r>
          </w:p>
        </w:tc>
        <w:tc>
          <w:tcPr>
            <w:tcW w:w="821" w:type="dxa"/>
          </w:tcPr>
          <w:p w14:paraId="7B8962FE">
            <w:pPr>
              <w:pStyle w:val="4"/>
              <w:jc w:val="right"/>
            </w:pPr>
            <w:r>
              <w:rPr>
                <w:rFonts w:ascii="仿宋_GB2312" w:hAnsi="仿宋_GB2312" w:eastAsia="仿宋_GB2312" w:cs="仿宋_GB2312"/>
              </w:rPr>
              <w:t>1.00（项）</w:t>
            </w:r>
          </w:p>
        </w:tc>
        <w:tc>
          <w:tcPr>
            <w:tcW w:w="821" w:type="dxa"/>
          </w:tcPr>
          <w:p w14:paraId="3B3D1870">
            <w:pPr>
              <w:pStyle w:val="4"/>
              <w:jc w:val="right"/>
            </w:pPr>
            <w:r>
              <w:rPr>
                <w:rFonts w:ascii="仿宋_GB2312" w:hAnsi="仿宋_GB2312" w:eastAsia="仿宋_GB2312" w:cs="仿宋_GB2312"/>
              </w:rPr>
              <w:t>100,000.00</w:t>
            </w:r>
          </w:p>
        </w:tc>
        <w:tc>
          <w:tcPr>
            <w:tcW w:w="821" w:type="dxa"/>
          </w:tcPr>
          <w:p w14:paraId="12A20770">
            <w:pPr>
              <w:pStyle w:val="4"/>
              <w:jc w:val="left"/>
            </w:pPr>
            <w:r>
              <w:rPr>
                <w:rFonts w:ascii="仿宋_GB2312" w:hAnsi="仿宋_GB2312" w:eastAsia="仿宋_GB2312" w:cs="仿宋_GB2312"/>
              </w:rPr>
              <w:t>其他未列明行业</w:t>
            </w:r>
          </w:p>
        </w:tc>
        <w:tc>
          <w:tcPr>
            <w:tcW w:w="821" w:type="dxa"/>
          </w:tcPr>
          <w:p w14:paraId="5636288D">
            <w:pPr>
              <w:pStyle w:val="4"/>
              <w:jc w:val="left"/>
            </w:pPr>
            <w:r>
              <w:rPr>
                <w:rFonts w:ascii="仿宋_GB2312" w:hAnsi="仿宋_GB2312" w:eastAsia="仿宋_GB2312" w:cs="仿宋_GB2312"/>
              </w:rPr>
              <w:t>否</w:t>
            </w:r>
          </w:p>
        </w:tc>
        <w:tc>
          <w:tcPr>
            <w:tcW w:w="821" w:type="dxa"/>
          </w:tcPr>
          <w:p w14:paraId="55952314">
            <w:pPr>
              <w:pStyle w:val="4"/>
              <w:jc w:val="left"/>
            </w:pPr>
            <w:r>
              <w:rPr>
                <w:rFonts w:ascii="仿宋_GB2312" w:hAnsi="仿宋_GB2312" w:eastAsia="仿宋_GB2312" w:cs="仿宋_GB2312"/>
              </w:rPr>
              <w:t>否</w:t>
            </w:r>
          </w:p>
        </w:tc>
        <w:tc>
          <w:tcPr>
            <w:tcW w:w="821" w:type="dxa"/>
          </w:tcPr>
          <w:p w14:paraId="15350EA1">
            <w:pPr>
              <w:pStyle w:val="4"/>
              <w:jc w:val="left"/>
            </w:pPr>
            <w:r>
              <w:rPr>
                <w:rFonts w:ascii="仿宋_GB2312" w:hAnsi="仿宋_GB2312" w:eastAsia="仿宋_GB2312" w:cs="仿宋_GB2312"/>
              </w:rPr>
              <w:t>否</w:t>
            </w:r>
          </w:p>
        </w:tc>
        <w:tc>
          <w:tcPr>
            <w:tcW w:w="639" w:type="dxa"/>
          </w:tcPr>
          <w:p w14:paraId="46C395F7">
            <w:pPr>
              <w:pStyle w:val="4"/>
              <w:jc w:val="left"/>
            </w:pPr>
            <w:r>
              <w:rPr>
                <w:rFonts w:ascii="仿宋_GB2312" w:hAnsi="仿宋_GB2312" w:eastAsia="仿宋_GB2312" w:cs="仿宋_GB2312"/>
              </w:rPr>
              <w:t>否</w:t>
            </w:r>
          </w:p>
        </w:tc>
        <w:tc>
          <w:tcPr>
            <w:tcW w:w="639" w:type="dxa"/>
          </w:tcPr>
          <w:p w14:paraId="52E52686">
            <w:pPr>
              <w:pStyle w:val="4"/>
              <w:jc w:val="left"/>
            </w:pPr>
            <w:r>
              <w:rPr>
                <w:rFonts w:ascii="仿宋_GB2312" w:hAnsi="仿宋_GB2312" w:eastAsia="仿宋_GB2312" w:cs="仿宋_GB2312"/>
              </w:rPr>
              <w:t>否</w:t>
            </w:r>
          </w:p>
        </w:tc>
      </w:tr>
    </w:tbl>
    <w:p w14:paraId="77C5D072">
      <w:pPr>
        <w:pStyle w:val="4"/>
        <w:jc w:val="left"/>
      </w:pPr>
      <w:r>
        <w:rPr>
          <w:rFonts w:ascii="仿宋_GB2312" w:hAnsi="仿宋_GB2312" w:eastAsia="仿宋_GB2312" w:cs="仿宋_GB2312"/>
        </w:rPr>
        <w:t>是否适用本国产品标准：否</w:t>
      </w:r>
    </w:p>
    <w:p w14:paraId="5F485578">
      <w:pPr>
        <w:pStyle w:val="4"/>
        <w:jc w:val="left"/>
        <w:outlineLvl w:val="3"/>
      </w:pPr>
      <w:r>
        <w:rPr>
          <w:rFonts w:ascii="仿宋_GB2312" w:hAnsi="仿宋_GB2312" w:eastAsia="仿宋_GB2312" w:cs="仿宋_GB2312"/>
          <w:b/>
          <w:sz w:val="24"/>
        </w:rPr>
        <w:t>报价要求</w:t>
      </w:r>
    </w:p>
    <w:p w14:paraId="62B1990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1F706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BE73657">
            <w:pPr>
              <w:pStyle w:val="4"/>
              <w:jc w:val="center"/>
            </w:pPr>
            <w:r>
              <w:rPr>
                <w:rFonts w:ascii="仿宋_GB2312" w:hAnsi="仿宋_GB2312" w:eastAsia="仿宋_GB2312" w:cs="仿宋_GB2312"/>
              </w:rPr>
              <w:t>序号</w:t>
            </w:r>
          </w:p>
        </w:tc>
        <w:tc>
          <w:tcPr>
            <w:tcW w:w="1707" w:type="dxa"/>
          </w:tcPr>
          <w:p w14:paraId="1117F0AF">
            <w:pPr>
              <w:pStyle w:val="4"/>
              <w:jc w:val="center"/>
            </w:pPr>
            <w:r>
              <w:rPr>
                <w:rFonts w:ascii="仿宋_GB2312" w:hAnsi="仿宋_GB2312" w:eastAsia="仿宋_GB2312" w:cs="仿宋_GB2312"/>
              </w:rPr>
              <w:t>报价内容</w:t>
            </w:r>
          </w:p>
        </w:tc>
        <w:tc>
          <w:tcPr>
            <w:tcW w:w="1138" w:type="dxa"/>
          </w:tcPr>
          <w:p w14:paraId="3AC9D41A">
            <w:pPr>
              <w:pStyle w:val="4"/>
              <w:jc w:val="center"/>
            </w:pPr>
            <w:r>
              <w:rPr>
                <w:rFonts w:ascii="仿宋_GB2312" w:hAnsi="仿宋_GB2312" w:eastAsia="仿宋_GB2312" w:cs="仿宋_GB2312"/>
              </w:rPr>
              <w:t>数量（计量单位）</w:t>
            </w:r>
          </w:p>
        </w:tc>
        <w:tc>
          <w:tcPr>
            <w:tcW w:w="1365" w:type="dxa"/>
          </w:tcPr>
          <w:p w14:paraId="2244D124">
            <w:pPr>
              <w:pStyle w:val="4"/>
              <w:jc w:val="center"/>
            </w:pPr>
            <w:r>
              <w:rPr>
                <w:rFonts w:ascii="仿宋_GB2312" w:hAnsi="仿宋_GB2312" w:eastAsia="仿宋_GB2312" w:cs="仿宋_GB2312"/>
              </w:rPr>
              <w:t>最高限价</w:t>
            </w:r>
          </w:p>
        </w:tc>
        <w:tc>
          <w:tcPr>
            <w:tcW w:w="1138" w:type="dxa"/>
          </w:tcPr>
          <w:p w14:paraId="33942CC7">
            <w:pPr>
              <w:pStyle w:val="4"/>
              <w:jc w:val="center"/>
            </w:pPr>
            <w:r>
              <w:rPr>
                <w:rFonts w:ascii="仿宋_GB2312" w:hAnsi="仿宋_GB2312" w:eastAsia="仿宋_GB2312" w:cs="仿宋_GB2312"/>
              </w:rPr>
              <w:t>价款形式</w:t>
            </w:r>
          </w:p>
        </w:tc>
        <w:tc>
          <w:tcPr>
            <w:tcW w:w="1934" w:type="dxa"/>
          </w:tcPr>
          <w:p w14:paraId="5E8F45C8">
            <w:pPr>
              <w:pStyle w:val="4"/>
              <w:jc w:val="center"/>
            </w:pPr>
            <w:r>
              <w:rPr>
                <w:rFonts w:ascii="仿宋_GB2312" w:hAnsi="仿宋_GB2312" w:eastAsia="仿宋_GB2312" w:cs="仿宋_GB2312"/>
              </w:rPr>
              <w:t>报价说明</w:t>
            </w:r>
          </w:p>
        </w:tc>
      </w:tr>
      <w:tr w14:paraId="1EAE8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8040D6">
            <w:pPr>
              <w:pStyle w:val="4"/>
              <w:jc w:val="center"/>
            </w:pPr>
            <w:r>
              <w:rPr>
                <w:rFonts w:ascii="仿宋_GB2312" w:hAnsi="仿宋_GB2312" w:eastAsia="仿宋_GB2312" w:cs="仿宋_GB2312"/>
              </w:rPr>
              <w:t>1</w:t>
            </w:r>
          </w:p>
        </w:tc>
        <w:tc>
          <w:tcPr>
            <w:tcW w:w="1707" w:type="dxa"/>
          </w:tcPr>
          <w:p w14:paraId="6DC22267">
            <w:pPr>
              <w:pStyle w:val="4"/>
              <w:jc w:val="center"/>
            </w:pPr>
            <w:r>
              <w:rPr>
                <w:rFonts w:ascii="仿宋_GB2312" w:hAnsi="仿宋_GB2312" w:eastAsia="仿宋_GB2312" w:cs="仿宋_GB2312"/>
              </w:rPr>
              <w:t>2026年基层公共就业服务站建设购买服务2</w:t>
            </w:r>
          </w:p>
        </w:tc>
        <w:tc>
          <w:tcPr>
            <w:tcW w:w="1138" w:type="dxa"/>
          </w:tcPr>
          <w:p w14:paraId="189DF565">
            <w:pPr>
              <w:pStyle w:val="4"/>
              <w:jc w:val="center"/>
            </w:pPr>
            <w:r>
              <w:rPr>
                <w:rFonts w:ascii="仿宋_GB2312" w:hAnsi="仿宋_GB2312" w:eastAsia="仿宋_GB2312" w:cs="仿宋_GB2312"/>
              </w:rPr>
              <w:t>1.00（项）</w:t>
            </w:r>
          </w:p>
        </w:tc>
        <w:tc>
          <w:tcPr>
            <w:tcW w:w="1365" w:type="dxa"/>
          </w:tcPr>
          <w:p w14:paraId="7ADCB7B5">
            <w:pPr>
              <w:pStyle w:val="4"/>
              <w:jc w:val="center"/>
            </w:pPr>
            <w:r>
              <w:rPr>
                <w:rFonts w:ascii="仿宋_GB2312" w:hAnsi="仿宋_GB2312" w:eastAsia="仿宋_GB2312" w:cs="仿宋_GB2312"/>
              </w:rPr>
              <w:t>300,000.00</w:t>
            </w:r>
          </w:p>
        </w:tc>
        <w:tc>
          <w:tcPr>
            <w:tcW w:w="1138" w:type="dxa"/>
          </w:tcPr>
          <w:p w14:paraId="66CE4A56">
            <w:pPr>
              <w:pStyle w:val="4"/>
              <w:jc w:val="center"/>
            </w:pPr>
            <w:r>
              <w:rPr>
                <w:rFonts w:ascii="仿宋_GB2312" w:hAnsi="仿宋_GB2312" w:eastAsia="仿宋_GB2312" w:cs="仿宋_GB2312"/>
              </w:rPr>
              <w:t>总价</w:t>
            </w:r>
          </w:p>
        </w:tc>
        <w:tc>
          <w:tcPr>
            <w:tcW w:w="1934" w:type="dxa"/>
          </w:tcPr>
          <w:p w14:paraId="74D17003">
            <w:pPr>
              <w:pStyle w:val="4"/>
              <w:jc w:val="left"/>
            </w:pPr>
            <w:r>
              <w:rPr>
                <w:rFonts w:ascii="仿宋_GB2312" w:hAnsi="仿宋_GB2312" w:eastAsia="仿宋_GB2312" w:cs="仿宋_GB2312"/>
              </w:rPr>
              <w:t>无</w:t>
            </w:r>
          </w:p>
        </w:tc>
      </w:tr>
      <w:tr w14:paraId="64676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A35E10">
            <w:pPr>
              <w:pStyle w:val="4"/>
              <w:jc w:val="center"/>
            </w:pPr>
            <w:r>
              <w:rPr>
                <w:rFonts w:ascii="仿宋_GB2312" w:hAnsi="仿宋_GB2312" w:eastAsia="仿宋_GB2312" w:cs="仿宋_GB2312"/>
              </w:rPr>
              <w:t>2</w:t>
            </w:r>
          </w:p>
        </w:tc>
        <w:tc>
          <w:tcPr>
            <w:tcW w:w="1707" w:type="dxa"/>
          </w:tcPr>
          <w:p w14:paraId="1B83C433">
            <w:pPr>
              <w:pStyle w:val="4"/>
              <w:jc w:val="center"/>
            </w:pPr>
            <w:r>
              <w:rPr>
                <w:rFonts w:ascii="仿宋_GB2312" w:hAnsi="仿宋_GB2312" w:eastAsia="仿宋_GB2312" w:cs="仿宋_GB2312"/>
              </w:rPr>
              <w:t>2026年基层公共就业服务站建设购买服务1</w:t>
            </w:r>
          </w:p>
        </w:tc>
        <w:tc>
          <w:tcPr>
            <w:tcW w:w="1138" w:type="dxa"/>
          </w:tcPr>
          <w:p w14:paraId="727A845A">
            <w:pPr>
              <w:pStyle w:val="4"/>
              <w:jc w:val="center"/>
            </w:pPr>
            <w:r>
              <w:rPr>
                <w:rFonts w:ascii="仿宋_GB2312" w:hAnsi="仿宋_GB2312" w:eastAsia="仿宋_GB2312" w:cs="仿宋_GB2312"/>
              </w:rPr>
              <w:t>1.00（项）</w:t>
            </w:r>
          </w:p>
        </w:tc>
        <w:tc>
          <w:tcPr>
            <w:tcW w:w="1365" w:type="dxa"/>
          </w:tcPr>
          <w:p w14:paraId="694552D3">
            <w:pPr>
              <w:pStyle w:val="4"/>
              <w:jc w:val="center"/>
            </w:pPr>
            <w:r>
              <w:rPr>
                <w:rFonts w:ascii="仿宋_GB2312" w:hAnsi="仿宋_GB2312" w:eastAsia="仿宋_GB2312" w:cs="仿宋_GB2312"/>
              </w:rPr>
              <w:t>100,000.00</w:t>
            </w:r>
          </w:p>
        </w:tc>
        <w:tc>
          <w:tcPr>
            <w:tcW w:w="1138" w:type="dxa"/>
          </w:tcPr>
          <w:p w14:paraId="57FCC6F7">
            <w:pPr>
              <w:pStyle w:val="4"/>
              <w:jc w:val="center"/>
            </w:pPr>
            <w:r>
              <w:rPr>
                <w:rFonts w:ascii="仿宋_GB2312" w:hAnsi="仿宋_GB2312" w:eastAsia="仿宋_GB2312" w:cs="仿宋_GB2312"/>
              </w:rPr>
              <w:t>总价</w:t>
            </w:r>
          </w:p>
        </w:tc>
        <w:tc>
          <w:tcPr>
            <w:tcW w:w="1934" w:type="dxa"/>
          </w:tcPr>
          <w:p w14:paraId="74E1969B">
            <w:pPr>
              <w:pStyle w:val="4"/>
              <w:jc w:val="left"/>
            </w:pPr>
            <w:r>
              <w:rPr>
                <w:rFonts w:ascii="仿宋_GB2312" w:hAnsi="仿宋_GB2312" w:eastAsia="仿宋_GB2312" w:cs="仿宋_GB2312"/>
              </w:rPr>
              <w:t>无</w:t>
            </w:r>
          </w:p>
        </w:tc>
      </w:tr>
    </w:tbl>
    <w:p w14:paraId="3F4D1C1E">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7DEE348F">
      <w:pPr>
        <w:pStyle w:val="4"/>
        <w:jc w:val="left"/>
        <w:outlineLvl w:val="3"/>
      </w:pPr>
      <w:r>
        <w:rPr>
          <w:rFonts w:ascii="仿宋_GB2312" w:hAnsi="仿宋_GB2312" w:eastAsia="仿宋_GB2312" w:cs="仿宋_GB2312"/>
          <w:b/>
          <w:sz w:val="24"/>
        </w:rPr>
        <w:t>本项目涉及核心产品：</w:t>
      </w:r>
    </w:p>
    <w:p w14:paraId="05072DB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9E28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D5E7FD">
            <w:pPr>
              <w:pStyle w:val="4"/>
              <w:jc w:val="center"/>
            </w:pPr>
            <w:r>
              <w:rPr>
                <w:rFonts w:ascii="仿宋_GB2312" w:hAnsi="仿宋_GB2312" w:eastAsia="仿宋_GB2312" w:cs="仿宋_GB2312"/>
              </w:rPr>
              <w:t>序号</w:t>
            </w:r>
          </w:p>
        </w:tc>
        <w:tc>
          <w:tcPr>
            <w:tcW w:w="2492" w:type="dxa"/>
          </w:tcPr>
          <w:p w14:paraId="6A0F9F82">
            <w:pPr>
              <w:pStyle w:val="4"/>
              <w:jc w:val="center"/>
            </w:pPr>
            <w:r>
              <w:rPr>
                <w:rFonts w:ascii="仿宋_GB2312" w:hAnsi="仿宋_GB2312" w:eastAsia="仿宋_GB2312" w:cs="仿宋_GB2312"/>
              </w:rPr>
              <w:t>采购品目名称</w:t>
            </w:r>
          </w:p>
        </w:tc>
        <w:tc>
          <w:tcPr>
            <w:tcW w:w="2492" w:type="dxa"/>
          </w:tcPr>
          <w:p w14:paraId="12CD203C">
            <w:pPr>
              <w:pStyle w:val="4"/>
              <w:jc w:val="center"/>
            </w:pPr>
            <w:r>
              <w:rPr>
                <w:rFonts w:ascii="仿宋_GB2312" w:hAnsi="仿宋_GB2312" w:eastAsia="仿宋_GB2312" w:cs="仿宋_GB2312"/>
              </w:rPr>
              <w:t>标的名称</w:t>
            </w:r>
          </w:p>
        </w:tc>
        <w:tc>
          <w:tcPr>
            <w:tcW w:w="2492" w:type="dxa"/>
          </w:tcPr>
          <w:p w14:paraId="7345E343">
            <w:pPr>
              <w:pStyle w:val="4"/>
              <w:jc w:val="center"/>
            </w:pPr>
            <w:r>
              <w:rPr>
                <w:rFonts w:ascii="仿宋_GB2312" w:hAnsi="仿宋_GB2312" w:eastAsia="仿宋_GB2312" w:cs="仿宋_GB2312"/>
              </w:rPr>
              <w:t>产品名称</w:t>
            </w:r>
          </w:p>
        </w:tc>
      </w:tr>
      <w:tr w14:paraId="532ED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669D21">
            <w:pPr>
              <w:pStyle w:val="4"/>
              <w:jc w:val="center"/>
            </w:pPr>
            <w:r>
              <w:rPr>
                <w:rFonts w:ascii="仿宋_GB2312" w:hAnsi="仿宋_GB2312" w:eastAsia="仿宋_GB2312" w:cs="仿宋_GB2312"/>
              </w:rPr>
              <w:t>不涉及</w:t>
            </w:r>
          </w:p>
        </w:tc>
      </w:tr>
    </w:tbl>
    <w:p w14:paraId="4A41CBF2">
      <w:pPr>
        <w:pStyle w:val="4"/>
        <w:ind w:firstLine="480"/>
        <w:jc w:val="left"/>
      </w:pPr>
      <w:r>
        <w:rPr>
          <w:rFonts w:ascii="仿宋_GB2312" w:hAnsi="仿宋_GB2312" w:eastAsia="仿宋_GB2312" w:cs="仿宋_GB2312"/>
        </w:rPr>
        <w:t>注：涉及核心产品的，具体评审规定见第五章。</w:t>
      </w:r>
    </w:p>
    <w:p w14:paraId="69051D84">
      <w:pPr>
        <w:pStyle w:val="4"/>
        <w:jc w:val="left"/>
        <w:outlineLvl w:val="3"/>
      </w:pPr>
      <w:r>
        <w:rPr>
          <w:rFonts w:ascii="仿宋_GB2312" w:hAnsi="仿宋_GB2312" w:eastAsia="仿宋_GB2312" w:cs="仿宋_GB2312"/>
          <w:b/>
          <w:sz w:val="24"/>
        </w:rPr>
        <w:t>本项目涉及采购进口产品：</w:t>
      </w:r>
    </w:p>
    <w:p w14:paraId="0E57815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F0B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26C6D3">
            <w:pPr>
              <w:pStyle w:val="4"/>
              <w:jc w:val="center"/>
            </w:pPr>
            <w:r>
              <w:rPr>
                <w:rFonts w:ascii="仿宋_GB2312" w:hAnsi="仿宋_GB2312" w:eastAsia="仿宋_GB2312" w:cs="仿宋_GB2312"/>
              </w:rPr>
              <w:t>序号</w:t>
            </w:r>
          </w:p>
        </w:tc>
        <w:tc>
          <w:tcPr>
            <w:tcW w:w="2492" w:type="dxa"/>
          </w:tcPr>
          <w:p w14:paraId="6AF79B4D">
            <w:pPr>
              <w:pStyle w:val="4"/>
              <w:jc w:val="center"/>
            </w:pPr>
            <w:r>
              <w:rPr>
                <w:rFonts w:ascii="仿宋_GB2312" w:hAnsi="仿宋_GB2312" w:eastAsia="仿宋_GB2312" w:cs="仿宋_GB2312"/>
              </w:rPr>
              <w:t>采购品目名称</w:t>
            </w:r>
          </w:p>
        </w:tc>
        <w:tc>
          <w:tcPr>
            <w:tcW w:w="2492" w:type="dxa"/>
          </w:tcPr>
          <w:p w14:paraId="69EC082D">
            <w:pPr>
              <w:pStyle w:val="4"/>
              <w:jc w:val="center"/>
            </w:pPr>
            <w:r>
              <w:rPr>
                <w:rFonts w:ascii="仿宋_GB2312" w:hAnsi="仿宋_GB2312" w:eastAsia="仿宋_GB2312" w:cs="仿宋_GB2312"/>
              </w:rPr>
              <w:t>标的名称</w:t>
            </w:r>
          </w:p>
        </w:tc>
        <w:tc>
          <w:tcPr>
            <w:tcW w:w="2492" w:type="dxa"/>
          </w:tcPr>
          <w:p w14:paraId="3D5804E8">
            <w:pPr>
              <w:pStyle w:val="4"/>
              <w:jc w:val="center"/>
            </w:pPr>
            <w:r>
              <w:rPr>
                <w:rFonts w:ascii="仿宋_GB2312" w:hAnsi="仿宋_GB2312" w:eastAsia="仿宋_GB2312" w:cs="仿宋_GB2312"/>
              </w:rPr>
              <w:t>产品名称</w:t>
            </w:r>
          </w:p>
        </w:tc>
      </w:tr>
      <w:tr w14:paraId="78BF63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FF8A3D">
            <w:pPr>
              <w:pStyle w:val="4"/>
              <w:jc w:val="center"/>
            </w:pPr>
            <w:r>
              <w:rPr>
                <w:rFonts w:ascii="仿宋_GB2312" w:hAnsi="仿宋_GB2312" w:eastAsia="仿宋_GB2312" w:cs="仿宋_GB2312"/>
              </w:rPr>
              <w:t>不涉及</w:t>
            </w:r>
          </w:p>
        </w:tc>
      </w:tr>
    </w:tbl>
    <w:p w14:paraId="14940B2E">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6FA801D">
      <w:pPr>
        <w:pStyle w:val="4"/>
        <w:jc w:val="left"/>
        <w:outlineLvl w:val="3"/>
      </w:pPr>
      <w:r>
        <w:rPr>
          <w:rFonts w:ascii="仿宋_GB2312" w:hAnsi="仿宋_GB2312" w:eastAsia="仿宋_GB2312" w:cs="仿宋_GB2312"/>
          <w:b/>
          <w:sz w:val="24"/>
        </w:rPr>
        <w:t>本项目涉及强制采购节能产品：</w:t>
      </w:r>
    </w:p>
    <w:p w14:paraId="2C17318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3E2D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7744C1">
            <w:pPr>
              <w:pStyle w:val="4"/>
              <w:jc w:val="center"/>
            </w:pPr>
            <w:r>
              <w:rPr>
                <w:rFonts w:ascii="仿宋_GB2312" w:hAnsi="仿宋_GB2312" w:eastAsia="仿宋_GB2312" w:cs="仿宋_GB2312"/>
              </w:rPr>
              <w:t>序号</w:t>
            </w:r>
          </w:p>
        </w:tc>
        <w:tc>
          <w:tcPr>
            <w:tcW w:w="2492" w:type="dxa"/>
          </w:tcPr>
          <w:p w14:paraId="6141C8E5">
            <w:pPr>
              <w:pStyle w:val="4"/>
              <w:jc w:val="center"/>
            </w:pPr>
            <w:r>
              <w:rPr>
                <w:rFonts w:ascii="仿宋_GB2312" w:hAnsi="仿宋_GB2312" w:eastAsia="仿宋_GB2312" w:cs="仿宋_GB2312"/>
              </w:rPr>
              <w:t>采购品目名称</w:t>
            </w:r>
          </w:p>
        </w:tc>
        <w:tc>
          <w:tcPr>
            <w:tcW w:w="2492" w:type="dxa"/>
          </w:tcPr>
          <w:p w14:paraId="23071665">
            <w:pPr>
              <w:pStyle w:val="4"/>
              <w:jc w:val="center"/>
            </w:pPr>
            <w:r>
              <w:rPr>
                <w:rFonts w:ascii="仿宋_GB2312" w:hAnsi="仿宋_GB2312" w:eastAsia="仿宋_GB2312" w:cs="仿宋_GB2312"/>
              </w:rPr>
              <w:t>标的名称</w:t>
            </w:r>
          </w:p>
        </w:tc>
        <w:tc>
          <w:tcPr>
            <w:tcW w:w="2492" w:type="dxa"/>
          </w:tcPr>
          <w:p w14:paraId="6F7B72FB">
            <w:pPr>
              <w:pStyle w:val="4"/>
              <w:jc w:val="center"/>
            </w:pPr>
            <w:r>
              <w:rPr>
                <w:rFonts w:ascii="仿宋_GB2312" w:hAnsi="仿宋_GB2312" w:eastAsia="仿宋_GB2312" w:cs="仿宋_GB2312"/>
              </w:rPr>
              <w:t>产品名称</w:t>
            </w:r>
          </w:p>
        </w:tc>
      </w:tr>
      <w:tr w14:paraId="49632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217242A">
            <w:pPr>
              <w:pStyle w:val="4"/>
              <w:jc w:val="center"/>
            </w:pPr>
            <w:r>
              <w:rPr>
                <w:rFonts w:ascii="仿宋_GB2312" w:hAnsi="仿宋_GB2312" w:eastAsia="仿宋_GB2312" w:cs="仿宋_GB2312"/>
              </w:rPr>
              <w:t>不涉及</w:t>
            </w:r>
          </w:p>
        </w:tc>
      </w:tr>
    </w:tbl>
    <w:p w14:paraId="49AEE8A4">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2589D8F">
      <w:pPr>
        <w:pStyle w:val="4"/>
        <w:jc w:val="left"/>
      </w:pPr>
      <w:r>
        <w:rPr>
          <w:rFonts w:ascii="仿宋_GB2312" w:hAnsi="仿宋_GB2312" w:eastAsia="仿宋_GB2312" w:cs="仿宋_GB2312"/>
          <w:b/>
        </w:rPr>
        <w:t>本项目涉及优先采购节能产品：</w:t>
      </w:r>
    </w:p>
    <w:p w14:paraId="3E2713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75A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64FB06">
            <w:pPr>
              <w:pStyle w:val="4"/>
              <w:jc w:val="center"/>
            </w:pPr>
            <w:r>
              <w:rPr>
                <w:rFonts w:ascii="仿宋_GB2312" w:hAnsi="仿宋_GB2312" w:eastAsia="仿宋_GB2312" w:cs="仿宋_GB2312"/>
              </w:rPr>
              <w:t>序号</w:t>
            </w:r>
          </w:p>
        </w:tc>
        <w:tc>
          <w:tcPr>
            <w:tcW w:w="2492" w:type="dxa"/>
          </w:tcPr>
          <w:p w14:paraId="33CEEF1D">
            <w:pPr>
              <w:pStyle w:val="4"/>
              <w:jc w:val="center"/>
            </w:pPr>
            <w:r>
              <w:rPr>
                <w:rFonts w:ascii="仿宋_GB2312" w:hAnsi="仿宋_GB2312" w:eastAsia="仿宋_GB2312" w:cs="仿宋_GB2312"/>
              </w:rPr>
              <w:t>采购品目名称</w:t>
            </w:r>
          </w:p>
        </w:tc>
        <w:tc>
          <w:tcPr>
            <w:tcW w:w="2492" w:type="dxa"/>
          </w:tcPr>
          <w:p w14:paraId="58DDB8A8">
            <w:pPr>
              <w:pStyle w:val="4"/>
              <w:jc w:val="center"/>
            </w:pPr>
            <w:r>
              <w:rPr>
                <w:rFonts w:ascii="仿宋_GB2312" w:hAnsi="仿宋_GB2312" w:eastAsia="仿宋_GB2312" w:cs="仿宋_GB2312"/>
              </w:rPr>
              <w:t>标的名称</w:t>
            </w:r>
          </w:p>
        </w:tc>
        <w:tc>
          <w:tcPr>
            <w:tcW w:w="2492" w:type="dxa"/>
          </w:tcPr>
          <w:p w14:paraId="49D66A19">
            <w:pPr>
              <w:pStyle w:val="4"/>
              <w:jc w:val="center"/>
            </w:pPr>
            <w:r>
              <w:rPr>
                <w:rFonts w:ascii="仿宋_GB2312" w:hAnsi="仿宋_GB2312" w:eastAsia="仿宋_GB2312" w:cs="仿宋_GB2312"/>
              </w:rPr>
              <w:t>产品名称</w:t>
            </w:r>
          </w:p>
        </w:tc>
      </w:tr>
      <w:tr w14:paraId="0EBF1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7BFFEB">
            <w:pPr>
              <w:pStyle w:val="4"/>
              <w:jc w:val="center"/>
            </w:pPr>
            <w:r>
              <w:rPr>
                <w:rFonts w:ascii="仿宋_GB2312" w:hAnsi="仿宋_GB2312" w:eastAsia="仿宋_GB2312" w:cs="仿宋_GB2312"/>
              </w:rPr>
              <w:t>不涉及</w:t>
            </w:r>
          </w:p>
        </w:tc>
      </w:tr>
    </w:tbl>
    <w:p w14:paraId="455DAC70">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3DABE64">
      <w:pPr>
        <w:pStyle w:val="4"/>
        <w:jc w:val="left"/>
        <w:outlineLvl w:val="3"/>
      </w:pPr>
      <w:r>
        <w:rPr>
          <w:rFonts w:ascii="仿宋_GB2312" w:hAnsi="仿宋_GB2312" w:eastAsia="仿宋_GB2312" w:cs="仿宋_GB2312"/>
          <w:b/>
          <w:sz w:val="24"/>
        </w:rPr>
        <w:t>本项目涉及优先采购环境标志产品：</w:t>
      </w:r>
    </w:p>
    <w:p w14:paraId="0AC8841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3F4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D81FFE">
            <w:pPr>
              <w:pStyle w:val="4"/>
              <w:jc w:val="center"/>
            </w:pPr>
            <w:r>
              <w:rPr>
                <w:rFonts w:ascii="仿宋_GB2312" w:hAnsi="仿宋_GB2312" w:eastAsia="仿宋_GB2312" w:cs="仿宋_GB2312"/>
              </w:rPr>
              <w:t>序号</w:t>
            </w:r>
          </w:p>
        </w:tc>
        <w:tc>
          <w:tcPr>
            <w:tcW w:w="2492" w:type="dxa"/>
          </w:tcPr>
          <w:p w14:paraId="360BA593">
            <w:pPr>
              <w:pStyle w:val="4"/>
              <w:jc w:val="center"/>
            </w:pPr>
            <w:r>
              <w:rPr>
                <w:rFonts w:ascii="仿宋_GB2312" w:hAnsi="仿宋_GB2312" w:eastAsia="仿宋_GB2312" w:cs="仿宋_GB2312"/>
              </w:rPr>
              <w:t>采购品目名称</w:t>
            </w:r>
          </w:p>
        </w:tc>
        <w:tc>
          <w:tcPr>
            <w:tcW w:w="2492" w:type="dxa"/>
          </w:tcPr>
          <w:p w14:paraId="1F469980">
            <w:pPr>
              <w:pStyle w:val="4"/>
              <w:jc w:val="center"/>
            </w:pPr>
            <w:r>
              <w:rPr>
                <w:rFonts w:ascii="仿宋_GB2312" w:hAnsi="仿宋_GB2312" w:eastAsia="仿宋_GB2312" w:cs="仿宋_GB2312"/>
              </w:rPr>
              <w:t>标的名称</w:t>
            </w:r>
          </w:p>
        </w:tc>
        <w:tc>
          <w:tcPr>
            <w:tcW w:w="2492" w:type="dxa"/>
          </w:tcPr>
          <w:p w14:paraId="3D74FFBF">
            <w:pPr>
              <w:pStyle w:val="4"/>
              <w:jc w:val="center"/>
            </w:pPr>
            <w:r>
              <w:rPr>
                <w:rFonts w:ascii="仿宋_GB2312" w:hAnsi="仿宋_GB2312" w:eastAsia="仿宋_GB2312" w:cs="仿宋_GB2312"/>
              </w:rPr>
              <w:t>产品名称</w:t>
            </w:r>
          </w:p>
        </w:tc>
      </w:tr>
      <w:tr w14:paraId="19A6EF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1CF75FC">
            <w:pPr>
              <w:pStyle w:val="4"/>
              <w:jc w:val="center"/>
            </w:pPr>
            <w:r>
              <w:rPr>
                <w:rFonts w:ascii="仿宋_GB2312" w:hAnsi="仿宋_GB2312" w:eastAsia="仿宋_GB2312" w:cs="仿宋_GB2312"/>
              </w:rPr>
              <w:t>不涉及</w:t>
            </w:r>
          </w:p>
        </w:tc>
      </w:tr>
    </w:tbl>
    <w:p w14:paraId="25F0211F">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24E1B55">
      <w:pPr>
        <w:pStyle w:val="4"/>
        <w:jc w:val="left"/>
        <w:outlineLvl w:val="2"/>
      </w:pPr>
      <w:r>
        <w:rPr>
          <w:rFonts w:ascii="仿宋_GB2312" w:hAnsi="仿宋_GB2312" w:eastAsia="仿宋_GB2312" w:cs="仿宋_GB2312"/>
          <w:b/>
          <w:sz w:val="28"/>
        </w:rPr>
        <w:t>3.2.技术要求</w:t>
      </w:r>
    </w:p>
    <w:p w14:paraId="78ADF1BC">
      <w:pPr>
        <w:pStyle w:val="4"/>
        <w:jc w:val="left"/>
      </w:pPr>
      <w:r>
        <w:rPr>
          <w:rFonts w:ascii="仿宋_GB2312" w:hAnsi="仿宋_GB2312" w:eastAsia="仿宋_GB2312" w:cs="仿宋_GB2312"/>
        </w:rPr>
        <w:t>采购包1：</w:t>
      </w:r>
    </w:p>
    <w:p w14:paraId="1FB459BC">
      <w:pPr>
        <w:pStyle w:val="4"/>
        <w:jc w:val="left"/>
      </w:pPr>
      <w:r>
        <w:rPr>
          <w:rFonts w:ascii="仿宋_GB2312" w:hAnsi="仿宋_GB2312" w:eastAsia="仿宋_GB2312" w:cs="仿宋_GB2312"/>
        </w:rPr>
        <w:t>标的名称：2026年基层公共就业服务站建设购买服务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DA0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F090E2">
            <w:pPr>
              <w:pStyle w:val="4"/>
              <w:jc w:val="center"/>
            </w:pPr>
            <w:r>
              <w:rPr>
                <w:rFonts w:ascii="仿宋_GB2312" w:hAnsi="仿宋_GB2312" w:eastAsia="仿宋_GB2312" w:cs="仿宋_GB2312"/>
              </w:rPr>
              <w:t>序号</w:t>
            </w:r>
          </w:p>
        </w:tc>
        <w:tc>
          <w:tcPr>
            <w:tcW w:w="581" w:type="dxa"/>
          </w:tcPr>
          <w:p w14:paraId="3BF8C887">
            <w:pPr>
              <w:pStyle w:val="4"/>
              <w:jc w:val="center"/>
            </w:pPr>
            <w:r>
              <w:rPr>
                <w:rFonts w:ascii="仿宋_GB2312" w:hAnsi="仿宋_GB2312" w:eastAsia="仿宋_GB2312" w:cs="仿宋_GB2312"/>
              </w:rPr>
              <w:t>符号标识</w:t>
            </w:r>
          </w:p>
        </w:tc>
        <w:tc>
          <w:tcPr>
            <w:tcW w:w="1495" w:type="dxa"/>
          </w:tcPr>
          <w:p w14:paraId="40E28578">
            <w:pPr>
              <w:pStyle w:val="4"/>
              <w:jc w:val="center"/>
            </w:pPr>
            <w:r>
              <w:rPr>
                <w:rFonts w:ascii="仿宋_GB2312" w:hAnsi="仿宋_GB2312" w:eastAsia="仿宋_GB2312" w:cs="仿宋_GB2312"/>
              </w:rPr>
              <w:t>技术要求名称</w:t>
            </w:r>
          </w:p>
        </w:tc>
        <w:tc>
          <w:tcPr>
            <w:tcW w:w="5814" w:type="dxa"/>
          </w:tcPr>
          <w:p w14:paraId="0F411EAB">
            <w:pPr>
              <w:pStyle w:val="4"/>
              <w:jc w:val="center"/>
            </w:pPr>
            <w:r>
              <w:rPr>
                <w:rFonts w:ascii="仿宋_GB2312" w:hAnsi="仿宋_GB2312" w:eastAsia="仿宋_GB2312" w:cs="仿宋_GB2312"/>
              </w:rPr>
              <w:t>技术参数与性能指标</w:t>
            </w:r>
          </w:p>
        </w:tc>
      </w:tr>
      <w:tr w14:paraId="581339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D53BC3">
            <w:pPr>
              <w:pStyle w:val="4"/>
              <w:jc w:val="center"/>
            </w:pPr>
            <w:r>
              <w:rPr>
                <w:rFonts w:ascii="仿宋_GB2312" w:hAnsi="仿宋_GB2312" w:eastAsia="仿宋_GB2312" w:cs="仿宋_GB2312"/>
              </w:rPr>
              <w:t>1</w:t>
            </w:r>
          </w:p>
        </w:tc>
        <w:tc>
          <w:tcPr>
            <w:tcW w:w="581" w:type="dxa"/>
          </w:tcPr>
          <w:p w14:paraId="109DDB08">
            <w:pPr>
              <w:pStyle w:val="4"/>
              <w:jc w:val="center"/>
            </w:pPr>
            <w:r>
              <w:rPr>
                <w:rFonts w:ascii="仿宋_GB2312" w:hAnsi="仿宋_GB2312" w:eastAsia="仿宋_GB2312" w:cs="仿宋_GB2312"/>
              </w:rPr>
              <w:t>★</w:t>
            </w:r>
          </w:p>
        </w:tc>
        <w:tc>
          <w:tcPr>
            <w:tcW w:w="1495" w:type="dxa"/>
          </w:tcPr>
          <w:p w14:paraId="68A48BBD">
            <w:pPr>
              <w:pStyle w:val="4"/>
              <w:jc w:val="left"/>
            </w:pPr>
            <w:r>
              <w:rPr>
                <w:rFonts w:ascii="仿宋_GB2312" w:hAnsi="仿宋_GB2312" w:eastAsia="仿宋_GB2312" w:cs="仿宋_GB2312"/>
              </w:rPr>
              <w:t>服务内容及要求</w:t>
            </w:r>
          </w:p>
        </w:tc>
        <w:tc>
          <w:tcPr>
            <w:tcW w:w="5814" w:type="dxa"/>
          </w:tcPr>
          <w:p w14:paraId="64C8CFB0">
            <w:pPr>
              <w:pStyle w:val="4"/>
              <w:ind w:firstLine="480"/>
              <w:jc w:val="left"/>
            </w:pPr>
            <w:r>
              <w:rPr>
                <w:rFonts w:ascii="仿宋_GB2312" w:hAnsi="仿宋_GB2312" w:eastAsia="仿宋_GB2312" w:cs="仿宋_GB2312"/>
                <w:b/>
                <w:sz w:val="24"/>
              </w:rPr>
              <w:t>服务内容：</w:t>
            </w:r>
          </w:p>
          <w:p w14:paraId="0CD25AE5">
            <w:pPr>
              <w:pStyle w:val="4"/>
              <w:ind w:firstLine="420"/>
              <w:jc w:val="left"/>
            </w:pPr>
            <w:r>
              <w:rPr>
                <w:rFonts w:ascii="仿宋_GB2312" w:hAnsi="仿宋_GB2312" w:eastAsia="仿宋_GB2312" w:cs="仿宋_GB2312"/>
                <w:sz w:val="21"/>
              </w:rPr>
              <w:t>本项目拟在峨边彝族自治县新林镇、毛坪镇、沙坪镇东风社区利用现有场地设立公共就业服务站，提升县域基层公共就业服务效能。具体目标为：</w:t>
            </w:r>
          </w:p>
          <w:p w14:paraId="073AB362">
            <w:pPr>
              <w:pStyle w:val="4"/>
              <w:jc w:val="left"/>
            </w:pPr>
            <w:r>
              <w:rPr>
                <w:rFonts w:ascii="仿宋_GB2312" w:hAnsi="仿宋_GB2312" w:eastAsia="仿宋_GB2312" w:cs="仿宋_GB2312"/>
                <w:sz w:val="21"/>
              </w:rPr>
              <w:t>（一）效能提升目标</w:t>
            </w:r>
          </w:p>
          <w:p w14:paraId="0B4A4C9E">
            <w:pPr>
              <w:pStyle w:val="4"/>
              <w:ind w:firstLine="420"/>
              <w:jc w:val="left"/>
            </w:pPr>
            <w:r>
              <w:rPr>
                <w:rFonts w:ascii="仿宋_GB2312" w:hAnsi="仿宋_GB2312" w:eastAsia="仿宋_GB2312" w:cs="仿宋_GB2312"/>
                <w:sz w:val="21"/>
              </w:rPr>
              <w:t>推动就业服务下沉基层，优化基层网点布局，将公共就业服务触角延伸至群众身边，切实打通服务群众的“最后一米”。通过服务站的高效运营，提升站点覆盖区域内居民的就业服务获得感和满意度。</w:t>
            </w:r>
          </w:p>
          <w:p w14:paraId="60E1DA38">
            <w:pPr>
              <w:pStyle w:val="4"/>
              <w:jc w:val="left"/>
            </w:pPr>
            <w:r>
              <w:rPr>
                <w:rFonts w:ascii="仿宋_GB2312" w:hAnsi="仿宋_GB2312" w:eastAsia="仿宋_GB2312" w:cs="仿宋_GB2312"/>
                <w:sz w:val="21"/>
              </w:rPr>
              <w:t>（二）体系构建目标</w:t>
            </w:r>
          </w:p>
          <w:p w14:paraId="55E76264">
            <w:pPr>
              <w:pStyle w:val="4"/>
              <w:ind w:firstLine="420"/>
              <w:jc w:val="left"/>
            </w:pPr>
            <w:r>
              <w:rPr>
                <w:rFonts w:ascii="仿宋_GB2312" w:hAnsi="仿宋_GB2312" w:eastAsia="仿宋_GB2312" w:cs="仿宋_GB2312"/>
                <w:sz w:val="21"/>
              </w:rPr>
              <w:t>依托三个站点的协同运营，构建集岗位推荐、职业指导、用工对接、政策咨询、创业辅导、资源对接等功能于一体的就业服务体系，形成覆盖面广、响应及时、服务专业的基层就业公共服务网络。</w:t>
            </w:r>
          </w:p>
          <w:p w14:paraId="456BC062">
            <w:pPr>
              <w:pStyle w:val="4"/>
              <w:jc w:val="left"/>
            </w:pPr>
            <w:r>
              <w:rPr>
                <w:rFonts w:ascii="仿宋_GB2312" w:hAnsi="仿宋_GB2312" w:eastAsia="仿宋_GB2312" w:cs="仿宋_GB2312"/>
                <w:sz w:val="21"/>
              </w:rPr>
              <w:t>（三）服务覆盖目标</w:t>
            </w:r>
          </w:p>
          <w:p w14:paraId="33D25B80">
            <w:pPr>
              <w:pStyle w:val="4"/>
              <w:ind w:firstLine="420"/>
              <w:jc w:val="left"/>
            </w:pPr>
            <w:r>
              <w:rPr>
                <w:rFonts w:ascii="仿宋_GB2312" w:hAnsi="仿宋_GB2312" w:eastAsia="仿宋_GB2312" w:cs="仿宋_GB2312"/>
                <w:sz w:val="21"/>
              </w:rPr>
              <w:t>聚焦辖区内高校毕业生、农村劳动力、退役军人、就业困难人员等重点群体，提供全周期、全方位的就业创业服务支持，助力各类群体稳定就业、高质量就业。</w:t>
            </w:r>
          </w:p>
          <w:p w14:paraId="3F17FE44">
            <w:pPr>
              <w:pStyle w:val="4"/>
              <w:ind w:firstLine="480"/>
              <w:jc w:val="left"/>
            </w:pPr>
            <w:r>
              <w:rPr>
                <w:rFonts w:ascii="仿宋_GB2312" w:hAnsi="仿宋_GB2312" w:eastAsia="仿宋_GB2312" w:cs="仿宋_GB2312"/>
                <w:b/>
                <w:sz w:val="24"/>
              </w:rPr>
              <w:t>服务要求：</w:t>
            </w:r>
          </w:p>
          <w:p w14:paraId="4F852458">
            <w:pPr>
              <w:pStyle w:val="4"/>
              <w:jc w:val="both"/>
            </w:pPr>
            <w:r>
              <w:rPr>
                <w:rFonts w:ascii="仿宋_GB2312" w:hAnsi="仿宋_GB2312" w:eastAsia="仿宋_GB2312" w:cs="仿宋_GB2312"/>
                <w:b/>
                <w:sz w:val="21"/>
              </w:rPr>
              <w:t>（一）场地配套综合服务（3站通用）</w:t>
            </w:r>
            <w:r>
              <w:rPr>
                <w:rFonts w:ascii="仿宋_GB2312" w:hAnsi="仿宋_GB2312" w:eastAsia="仿宋_GB2312" w:cs="仿宋_GB2312"/>
                <w:sz w:val="21"/>
              </w:rPr>
              <w:t>：供应商需对站内空间进行功能分区策划与装饰布置，具体包括以下内容：</w:t>
            </w:r>
          </w:p>
          <w:p w14:paraId="3516393F">
            <w:pPr>
              <w:pStyle w:val="4"/>
              <w:jc w:val="both"/>
            </w:pPr>
            <w:r>
              <w:rPr>
                <w:rFonts w:ascii="仿宋_GB2312" w:hAnsi="仿宋_GB2312" w:eastAsia="仿宋_GB2312" w:cs="仿宋_GB2312"/>
                <w:sz w:val="21"/>
              </w:rPr>
              <w:t>1、职业指导空间：配置圆桌(Φ80cm)及4把人体工学布艺转椅，通过空间设计营造适合职业指导的环境，配套设计定制服务</w:t>
            </w:r>
          </w:p>
          <w:p w14:paraId="6FC7FC60">
            <w:pPr>
              <w:pStyle w:val="4"/>
              <w:jc w:val="both"/>
            </w:pPr>
            <w:r>
              <w:rPr>
                <w:rFonts w:ascii="仿宋_GB2312" w:hAnsi="仿宋_GB2312" w:eastAsia="仿宋_GB2312" w:cs="仿宋_GB2312"/>
                <w:sz w:val="21"/>
              </w:rPr>
              <w:t>2、招聘洽谈空间：配置可移动折叠洽谈桌(1.2m)及2把折叠椅，通过灵活家具选型满足招聘洽谈场景需求，配套设计定制服务</w:t>
            </w:r>
          </w:p>
          <w:p w14:paraId="53FFC7B0">
            <w:pPr>
              <w:pStyle w:val="4"/>
              <w:jc w:val="both"/>
            </w:pPr>
            <w:r>
              <w:rPr>
                <w:rFonts w:ascii="仿宋_GB2312" w:hAnsi="仿宋_GB2312" w:eastAsia="仿宋_GB2312" w:cs="仿宋_GB2312"/>
                <w:sz w:val="21"/>
              </w:rPr>
              <w:t>3、制度公示空间：制作塑封A4卡片，通过墙面装饰便于后续张贴或发布服务指南、政策信息等内容，配套设计</w:t>
            </w:r>
          </w:p>
          <w:p w14:paraId="27C7B9F9">
            <w:pPr>
              <w:pStyle w:val="4"/>
              <w:jc w:val="both"/>
            </w:pPr>
            <w:r>
              <w:rPr>
                <w:rFonts w:ascii="仿宋_GB2312" w:hAnsi="仿宋_GB2312" w:eastAsia="仿宋_GB2312" w:cs="仿宋_GB2312"/>
                <w:sz w:val="21"/>
              </w:rPr>
              <w:t>4、基础设施配套：完成弱电布线施工、配电箱、机柜浇筑施工、排插布线安装等施工服务，保障站点基础运行</w:t>
            </w:r>
          </w:p>
          <w:p w14:paraId="25155C9C">
            <w:pPr>
              <w:pStyle w:val="4"/>
              <w:jc w:val="both"/>
            </w:pPr>
            <w:r>
              <w:rPr>
                <w:rFonts w:ascii="仿宋_GB2312" w:hAnsi="仿宋_GB2312" w:eastAsia="仿宋_GB2312" w:cs="仿宋_GB2312"/>
                <w:sz w:val="21"/>
              </w:rPr>
              <w:t>5、标识导引系统：采用不锈钢板底板制作标识标牌，通过动线策划和标识设计实现清晰引导，配套设计定制服务</w:t>
            </w:r>
          </w:p>
          <w:p w14:paraId="74E1BC31">
            <w:pPr>
              <w:pStyle w:val="4"/>
              <w:jc w:val="both"/>
            </w:pPr>
            <w:r>
              <w:rPr>
                <w:rFonts w:ascii="仿宋_GB2312" w:hAnsi="仿宋_GB2312" w:eastAsia="仿宋_GB2312" w:cs="仿宋_GB2312"/>
                <w:b/>
                <w:sz w:val="21"/>
              </w:rPr>
              <w:t>（二）业务经办及文印服务（3站通用）</w:t>
            </w:r>
            <w:r>
              <w:rPr>
                <w:rFonts w:ascii="仿宋_GB2312" w:hAnsi="仿宋_GB2312" w:eastAsia="仿宋_GB2312" w:cs="仿宋_GB2312"/>
                <w:sz w:val="21"/>
              </w:rPr>
              <w:t>：供应商需完成站内业务经办及文印区域的设施设备配置与运维保障，具体包括以下内容：</w:t>
            </w:r>
          </w:p>
          <w:p w14:paraId="4D430666">
            <w:pPr>
              <w:pStyle w:val="4"/>
              <w:jc w:val="both"/>
            </w:pPr>
            <w:r>
              <w:rPr>
                <w:rFonts w:ascii="仿宋_GB2312" w:hAnsi="仿宋_GB2312" w:eastAsia="仿宋_GB2312" w:cs="仿宋_GB2312"/>
                <w:sz w:val="21"/>
              </w:rPr>
              <w:t>1、业务经办终端运维保障：配置业务经办终端并保障其在项目周期内正常工作运转，要求在非特殊情况下不得连续五个工作日无法使用</w:t>
            </w:r>
          </w:p>
          <w:p w14:paraId="70CAC656">
            <w:pPr>
              <w:pStyle w:val="4"/>
              <w:jc w:val="both"/>
            </w:pPr>
            <w:r>
              <w:rPr>
                <w:rFonts w:ascii="仿宋_GB2312" w:hAnsi="仿宋_GB2312" w:eastAsia="仿宋_GB2312" w:cs="仿宋_GB2312"/>
                <w:sz w:val="21"/>
              </w:rPr>
              <w:t>2、文印办公综合服务：配置文印设备，支持A3幅面，支持网络打印、移动打印、USB直打，并配备人员提供设备运维服务</w:t>
            </w:r>
          </w:p>
          <w:p w14:paraId="7C14F555">
            <w:pPr>
              <w:pStyle w:val="4"/>
              <w:jc w:val="both"/>
            </w:pPr>
            <w:r>
              <w:rPr>
                <w:rFonts w:ascii="仿宋_GB2312" w:hAnsi="仿宋_GB2312" w:eastAsia="仿宋_GB2312" w:cs="仿宋_GB2312"/>
                <w:b/>
                <w:sz w:val="21"/>
              </w:rPr>
              <w:t>（三）信息发布及自助办事服务（3站通用）</w:t>
            </w:r>
            <w:r>
              <w:rPr>
                <w:rFonts w:ascii="仿宋_GB2312" w:hAnsi="仿宋_GB2312" w:eastAsia="仿宋_GB2312" w:cs="仿宋_GB2312"/>
                <w:sz w:val="21"/>
              </w:rPr>
              <w:t>：供应商需完成站内信息发布与自助办事区域的设施设备配置与运维保障，具体包括以下内容：</w:t>
            </w:r>
          </w:p>
          <w:p w14:paraId="7A8EBEAC">
            <w:pPr>
              <w:pStyle w:val="4"/>
              <w:jc w:val="both"/>
            </w:pPr>
            <w:r>
              <w:rPr>
                <w:rFonts w:ascii="仿宋_GB2312" w:hAnsi="仿宋_GB2312" w:eastAsia="仿宋_GB2312" w:cs="仿宋_GB2312"/>
                <w:sz w:val="21"/>
              </w:rPr>
              <w:t>1、自助办事终端运维保障：配置自助办事终端并保障其在项目周期内正常工作运转，要求在非特殊情况下不得连续五个工作日无法使用</w:t>
            </w:r>
          </w:p>
          <w:p w14:paraId="13CB93AA">
            <w:pPr>
              <w:pStyle w:val="4"/>
              <w:jc w:val="left"/>
            </w:pPr>
            <w:r>
              <w:rPr>
                <w:rFonts w:ascii="仿宋_GB2312" w:hAnsi="仿宋_GB2312" w:eastAsia="仿宋_GB2312" w:cs="仿宋_GB2312"/>
                <w:sz w:val="21"/>
              </w:rPr>
              <w:t>2、信息发布综合服务：配置信息发布设备，支持视频/图片/音频多媒体发布，配备人员提供信息发布协助服务及设备运维服务</w:t>
            </w:r>
          </w:p>
          <w:p w14:paraId="71EDE3A6">
            <w:pPr>
              <w:pStyle w:val="4"/>
              <w:spacing w:after="60"/>
              <w:ind w:left="75" w:right="30"/>
              <w:jc w:val="both"/>
            </w:pPr>
            <w:r>
              <w:rPr>
                <w:rFonts w:ascii="仿宋_GB2312" w:hAnsi="仿宋_GB2312" w:eastAsia="仿宋_GB2312" w:cs="仿宋_GB2312"/>
                <w:b/>
                <w:sz w:val="21"/>
              </w:rPr>
              <w:t>（四）排号及远程面试服务（3站通用）</w:t>
            </w:r>
            <w:r>
              <w:rPr>
                <w:rFonts w:ascii="仿宋_GB2312" w:hAnsi="仿宋_GB2312" w:eastAsia="仿宋_GB2312" w:cs="仿宋_GB2312"/>
                <w:sz w:val="21"/>
              </w:rPr>
              <w:t>：供应商需对站内办事排队、信息发布及远程面试功能进行系统配置与运维保障，通过技术手段实现有序的办事环境。具体包括以下内容：</w:t>
            </w:r>
          </w:p>
          <w:p w14:paraId="4DA05EAF">
            <w:pPr>
              <w:pStyle w:val="4"/>
              <w:spacing w:after="60"/>
              <w:ind w:left="75" w:right="30"/>
              <w:jc w:val="both"/>
            </w:pPr>
            <w:r>
              <w:rPr>
                <w:rFonts w:ascii="仿宋_GB2312" w:hAnsi="仿宋_GB2312" w:eastAsia="仿宋_GB2312" w:cs="仿宋_GB2312"/>
                <w:sz w:val="21"/>
              </w:rPr>
              <w:t>一、智慧排号服务</w:t>
            </w:r>
          </w:p>
          <w:p w14:paraId="4D5EEBB5">
            <w:pPr>
              <w:pStyle w:val="4"/>
              <w:spacing w:after="60"/>
              <w:ind w:left="75" w:right="30"/>
              <w:jc w:val="both"/>
            </w:pPr>
            <w:r>
              <w:rPr>
                <w:rFonts w:ascii="仿宋_GB2312" w:hAnsi="仿宋_GB2312" w:eastAsia="仿宋_GB2312" w:cs="仿宋_GB2312"/>
                <w:sz w:val="21"/>
              </w:rPr>
              <w:t>供应商需配置排队叫号系统，实现多部门分业务排队叫号，支持语音及微信叫号提醒。</w:t>
            </w:r>
          </w:p>
          <w:p w14:paraId="6C79468D">
            <w:pPr>
              <w:pStyle w:val="4"/>
              <w:spacing w:after="60"/>
              <w:ind w:left="75" w:right="30"/>
              <w:jc w:val="both"/>
            </w:pPr>
            <w:r>
              <w:rPr>
                <w:rFonts w:ascii="仿宋_GB2312" w:hAnsi="仿宋_GB2312" w:eastAsia="仿宋_GB2312" w:cs="仿宋_GB2312"/>
                <w:sz w:val="21"/>
              </w:rPr>
              <w:t>1、层级导航取号：支持3级目录导航，现场取号与预约取号</w:t>
            </w:r>
          </w:p>
          <w:p w14:paraId="5EC8DEFB">
            <w:pPr>
              <w:pStyle w:val="4"/>
              <w:spacing w:after="60"/>
              <w:ind w:left="75" w:right="30"/>
              <w:jc w:val="both"/>
            </w:pPr>
            <w:r>
              <w:rPr>
                <w:rFonts w:ascii="仿宋_GB2312" w:hAnsi="仿宋_GB2312" w:eastAsia="仿宋_GB2312" w:cs="仿宋_GB2312"/>
                <w:sz w:val="21"/>
              </w:rPr>
              <w:t>2、分区管理排叫号：支持多分区管理及业务显示</w:t>
            </w:r>
          </w:p>
          <w:p w14:paraId="4B05A2FF">
            <w:pPr>
              <w:pStyle w:val="4"/>
              <w:spacing w:after="60"/>
              <w:ind w:left="75" w:right="30"/>
              <w:jc w:val="both"/>
            </w:pPr>
            <w:r>
              <w:rPr>
                <w:rFonts w:ascii="仿宋_GB2312" w:hAnsi="仿宋_GB2312" w:eastAsia="仿宋_GB2312" w:cs="仿宋_GB2312"/>
                <w:sz w:val="21"/>
              </w:rPr>
              <w:t>3、多种取号限制：身份证刷卡取号、取号次数限制、预约排号限制、取号时间限制</w:t>
            </w:r>
          </w:p>
          <w:p w14:paraId="1442139D">
            <w:pPr>
              <w:pStyle w:val="4"/>
              <w:spacing w:after="60"/>
              <w:ind w:left="75" w:right="30"/>
              <w:jc w:val="both"/>
            </w:pPr>
            <w:r>
              <w:rPr>
                <w:rFonts w:ascii="仿宋_GB2312" w:hAnsi="仿宋_GB2312" w:eastAsia="仿宋_GB2312" w:cs="仿宋_GB2312"/>
                <w:sz w:val="21"/>
              </w:rPr>
              <w:t>4、人证核验取号（人证比对）：刷身份证同时通过排队机带的摄像头比对是否认证一致，如一致则可以取号，否则不能取号。人证核验系统具有自主知识产权（提供第三方权威机构证明）；</w:t>
            </w:r>
          </w:p>
          <w:p w14:paraId="0655A67F">
            <w:pPr>
              <w:pStyle w:val="4"/>
              <w:spacing w:after="60"/>
              <w:ind w:left="75" w:right="30"/>
              <w:jc w:val="both"/>
            </w:pPr>
            <w:r>
              <w:rPr>
                <w:rFonts w:ascii="仿宋_GB2312" w:hAnsi="仿宋_GB2312" w:eastAsia="仿宋_GB2312" w:cs="仿宋_GB2312"/>
                <w:sz w:val="21"/>
              </w:rPr>
              <w:t>5、排队小票引导：小票显示窗口号、等待人数、排队号等信息；特殊人群优先取号，窗口呼叫/重呼/呼叫转移/业务切换</w:t>
            </w:r>
          </w:p>
          <w:p w14:paraId="6E6B1088">
            <w:pPr>
              <w:pStyle w:val="4"/>
              <w:spacing w:after="60"/>
              <w:ind w:left="75" w:right="30"/>
              <w:jc w:val="both"/>
            </w:pPr>
            <w:r>
              <w:rPr>
                <w:rFonts w:ascii="仿宋_GB2312" w:hAnsi="仿宋_GB2312" w:eastAsia="仿宋_GB2312" w:cs="仿宋_GB2312"/>
                <w:sz w:val="21"/>
              </w:rPr>
              <w:t>6、叫号信息窗口屏及集中显示屏同步播报</w:t>
            </w:r>
          </w:p>
          <w:p w14:paraId="361A88B8">
            <w:pPr>
              <w:pStyle w:val="4"/>
              <w:jc w:val="both"/>
            </w:pPr>
            <w:r>
              <w:rPr>
                <w:rFonts w:ascii="仿宋_GB2312" w:hAnsi="仿宋_GB2312" w:eastAsia="仿宋_GB2312" w:cs="仿宋_GB2312"/>
                <w:sz w:val="21"/>
              </w:rPr>
              <w:t>▲7、排队叫号系统具有检测报告或功能截图或说明书；</w:t>
            </w:r>
          </w:p>
          <w:p w14:paraId="077444B1">
            <w:pPr>
              <w:pStyle w:val="4"/>
              <w:jc w:val="both"/>
            </w:pPr>
            <w:r>
              <w:rPr>
                <w:rFonts w:ascii="仿宋_GB2312" w:hAnsi="仿宋_GB2312" w:eastAsia="仿宋_GB2312" w:cs="仿宋_GB2312"/>
                <w:sz w:val="21"/>
              </w:rPr>
              <w:t>二、信息发布服务</w:t>
            </w:r>
          </w:p>
          <w:p w14:paraId="6FA64834">
            <w:pPr>
              <w:pStyle w:val="4"/>
              <w:spacing w:after="60"/>
              <w:ind w:left="75" w:right="30"/>
              <w:jc w:val="both"/>
            </w:pPr>
            <w:r>
              <w:rPr>
                <w:rFonts w:ascii="仿宋_GB2312" w:hAnsi="仿宋_GB2312" w:eastAsia="仿宋_GB2312" w:cs="仿宋_GB2312"/>
                <w:sz w:val="21"/>
              </w:rPr>
              <w:t>供应商需配置信息发布系统，实现窗口和等候区信息的同步发布。</w:t>
            </w:r>
          </w:p>
          <w:p w14:paraId="375935A4">
            <w:pPr>
              <w:pStyle w:val="4"/>
              <w:spacing w:after="60"/>
              <w:ind w:left="75" w:right="30"/>
              <w:jc w:val="both"/>
            </w:pPr>
            <w:r>
              <w:rPr>
                <w:rFonts w:ascii="仿宋_GB2312" w:hAnsi="仿宋_GB2312" w:eastAsia="仿宋_GB2312" w:cs="仿宋_GB2312"/>
                <w:sz w:val="21"/>
              </w:rPr>
              <w:t>1、窗口信息发布：展示窗口编号、办理事项、等待人数</w:t>
            </w:r>
          </w:p>
          <w:p w14:paraId="5C9BEDC8">
            <w:pPr>
              <w:pStyle w:val="4"/>
              <w:spacing w:after="60"/>
              <w:ind w:left="75" w:right="30"/>
              <w:jc w:val="both"/>
            </w:pPr>
            <w:r>
              <w:rPr>
                <w:rFonts w:ascii="仿宋_GB2312" w:hAnsi="仿宋_GB2312" w:eastAsia="仿宋_GB2312" w:cs="仿宋_GB2312"/>
                <w:sz w:val="21"/>
              </w:rPr>
              <w:t>2、等候区信息发布：展示当前办理编号和等待人数</w:t>
            </w:r>
          </w:p>
          <w:p w14:paraId="15CC26B9">
            <w:pPr>
              <w:pStyle w:val="4"/>
              <w:numPr>
                <w:ilvl w:val="0"/>
                <w:numId w:val="1"/>
              </w:numPr>
              <w:spacing w:after="60"/>
              <w:ind w:right="30"/>
              <w:jc w:val="both"/>
            </w:pPr>
            <w:r>
              <w:rPr>
                <w:rFonts w:ascii="仿宋_GB2312" w:hAnsi="仿宋_GB2312" w:eastAsia="仿宋_GB2312" w:cs="仿宋_GB2312"/>
                <w:sz w:val="21"/>
              </w:rPr>
              <w:t>远程面试搭建运维服务：供应商需在项目服务期内负责远程面试能力的搭建和运维服务，保障远程面试环节正常开展</w:t>
            </w:r>
          </w:p>
          <w:p w14:paraId="716C4EBC">
            <w:pPr>
              <w:pStyle w:val="4"/>
              <w:jc w:val="both"/>
            </w:pPr>
            <w:r>
              <w:rPr>
                <w:rFonts w:ascii="仿宋_GB2312" w:hAnsi="仿宋_GB2312" w:eastAsia="仿宋_GB2312" w:cs="仿宋_GB2312"/>
                <w:b/>
                <w:sz w:val="21"/>
              </w:rPr>
              <w:t>（五）培训及基础保障服务（仅新林镇、毛坪镇）</w:t>
            </w:r>
            <w:r>
              <w:rPr>
                <w:rFonts w:ascii="仿宋_GB2312" w:hAnsi="仿宋_GB2312" w:eastAsia="仿宋_GB2312" w:cs="仿宋_GB2312"/>
                <w:sz w:val="21"/>
              </w:rPr>
              <w:t>：供应商需完成站内培训空间及基础保障区域的设施设备配置与运维服务，营造适合培训活动的空间环境，具体包括以下内容：</w:t>
            </w:r>
          </w:p>
          <w:p w14:paraId="61C52368">
            <w:pPr>
              <w:pStyle w:val="4"/>
              <w:jc w:val="both"/>
            </w:pPr>
            <w:r>
              <w:rPr>
                <w:rFonts w:ascii="仿宋_GB2312" w:hAnsi="仿宋_GB2312" w:eastAsia="仿宋_GB2312" w:cs="仿宋_GB2312"/>
                <w:sz w:val="21"/>
              </w:rPr>
              <w:t>1、投影培训服务：配置投影设备并提供基本操作培训和配套技术支撑服务，保障就业培训中投影的正常使用</w:t>
            </w:r>
          </w:p>
          <w:p w14:paraId="099B314D">
            <w:pPr>
              <w:pStyle w:val="4"/>
              <w:jc w:val="both"/>
            </w:pPr>
            <w:r>
              <w:rPr>
                <w:rFonts w:ascii="仿宋_GB2312" w:hAnsi="仿宋_GB2312" w:eastAsia="仿宋_GB2312" w:cs="仿宋_GB2312"/>
                <w:sz w:val="21"/>
              </w:rPr>
              <w:t>2、档案收纳服务：配置相应的文件柜，满足工作人员档案存放需求</w:t>
            </w:r>
          </w:p>
          <w:p w14:paraId="1FCB5AB8">
            <w:pPr>
              <w:pStyle w:val="4"/>
              <w:jc w:val="both"/>
            </w:pPr>
            <w:r>
              <w:rPr>
                <w:rFonts w:ascii="仿宋_GB2312" w:hAnsi="仿宋_GB2312" w:eastAsia="仿宋_GB2312" w:cs="仿宋_GB2312"/>
                <w:sz w:val="21"/>
              </w:rPr>
              <w:t>3、日常环境保障服务：配置饮水设备并提供日常维护，保障场站饮水用水设备正常运转</w:t>
            </w:r>
          </w:p>
          <w:p w14:paraId="33494E71">
            <w:pPr>
              <w:pStyle w:val="4"/>
              <w:jc w:val="both"/>
            </w:pPr>
            <w:r>
              <w:rPr>
                <w:rFonts w:ascii="仿宋_GB2312" w:hAnsi="仿宋_GB2312" w:eastAsia="仿宋_GB2312" w:cs="仿宋_GB2312"/>
                <w:sz w:val="21"/>
              </w:rPr>
              <w:t>4、资料展陈服务：配置资料收纳设施，便于工作人员存档关键文档信息</w:t>
            </w:r>
          </w:p>
          <w:p w14:paraId="4DF58194">
            <w:pPr>
              <w:pStyle w:val="4"/>
              <w:spacing w:after="60"/>
              <w:ind w:right="30"/>
              <w:jc w:val="both"/>
            </w:pPr>
            <w:r>
              <w:rPr>
                <w:rFonts w:ascii="仿宋_GB2312" w:hAnsi="仿宋_GB2312" w:eastAsia="仿宋_GB2312" w:cs="仿宋_GB2312"/>
                <w:b/>
                <w:sz w:val="21"/>
              </w:rPr>
              <w:t>（六）资料展陈服务(仅沙坪镇东风社区）</w:t>
            </w:r>
            <w:r>
              <w:rPr>
                <w:rFonts w:ascii="仿宋_GB2312" w:hAnsi="仿宋_GB2312" w:eastAsia="仿宋_GB2312" w:cs="仿宋_GB2312"/>
                <w:sz w:val="21"/>
              </w:rPr>
              <w:t>:供应商需完成站内资料展陈区域的设施配置，配置资料收纳设施，便于工作人员存档关键文档信息</w:t>
            </w:r>
          </w:p>
          <w:p w14:paraId="79AB65A2">
            <w:pPr>
              <w:pStyle w:val="4"/>
              <w:jc w:val="both"/>
            </w:pPr>
            <w:r>
              <w:rPr>
                <w:rFonts w:ascii="仿宋_GB2312" w:hAnsi="仿宋_GB2312" w:eastAsia="仿宋_GB2312" w:cs="仿宋_GB2312"/>
                <w:b/>
                <w:sz w:val="21"/>
              </w:rPr>
              <w:t>（七）信息化安全综合服务（3站通用）</w:t>
            </w:r>
            <w:r>
              <w:rPr>
                <w:rFonts w:ascii="仿宋_GB2312" w:hAnsi="仿宋_GB2312" w:eastAsia="仿宋_GB2312" w:cs="仿宋_GB2312"/>
                <w:sz w:val="21"/>
              </w:rPr>
              <w:t>：供应商需完成站内信息化安全设施配置与运维保障，通过专线接入、无线覆盖、安防监控及安全防护等手段，实现站内网络环境的安全稳定。具体包括以下内容：</w:t>
            </w:r>
          </w:p>
          <w:p w14:paraId="04EC7E4C">
            <w:pPr>
              <w:pStyle w:val="4"/>
              <w:jc w:val="both"/>
            </w:pPr>
            <w:r>
              <w:rPr>
                <w:rFonts w:ascii="仿宋_GB2312" w:hAnsi="仿宋_GB2312" w:eastAsia="仿宋_GB2312" w:cs="仿宋_GB2312"/>
                <w:sz w:val="21"/>
              </w:rPr>
              <w:t>1、专线接入服务：配置MPLS VPN 200Mbps专线</w:t>
            </w:r>
          </w:p>
          <w:p w14:paraId="23858F59">
            <w:pPr>
              <w:pStyle w:val="4"/>
              <w:jc w:val="both"/>
            </w:pPr>
            <w:r>
              <w:rPr>
                <w:rFonts w:ascii="仿宋_GB2312" w:hAnsi="仿宋_GB2312" w:eastAsia="仿宋_GB2312" w:cs="仿宋_GB2312"/>
                <w:sz w:val="21"/>
              </w:rPr>
              <w:t>2、无线覆盖服务：配置Wi-Fi6全覆盖，使用六类非屏蔽双绞线(CAT6 UTP)，符合YD/T 1019-2023标准，室内明装线槽并暗埋PVC管敷设，保障施工工整美观</w:t>
            </w:r>
          </w:p>
          <w:p w14:paraId="38234182">
            <w:pPr>
              <w:pStyle w:val="4"/>
              <w:jc w:val="both"/>
            </w:pPr>
            <w:r>
              <w:rPr>
                <w:rFonts w:ascii="仿宋_GB2312" w:hAnsi="仿宋_GB2312" w:eastAsia="仿宋_GB2312" w:cs="仿宋_GB2312"/>
                <w:sz w:val="21"/>
              </w:rPr>
              <w:t>3、安防监控服务：配置视频监控设备，涉及3-5个监控位，保障存储30天，支持远程管理并配套云平台，支持倍速回放、片段下载等功能，在项目期间提供保障监控运维服务</w:t>
            </w:r>
          </w:p>
          <w:p w14:paraId="0473973B">
            <w:pPr>
              <w:pStyle w:val="4"/>
              <w:jc w:val="both"/>
            </w:pPr>
            <w:r>
              <w:rPr>
                <w:rFonts w:ascii="仿宋_GB2312" w:hAnsi="仿宋_GB2312" w:eastAsia="仿宋_GB2312" w:cs="仿宋_GB2312"/>
                <w:sz w:val="21"/>
              </w:rPr>
              <w:t>4、安全防护服务：配置安全防护设备，安全防护具备以下功能：</w:t>
            </w:r>
          </w:p>
          <w:p w14:paraId="2FE05C2C">
            <w:pPr>
              <w:pStyle w:val="4"/>
              <w:jc w:val="both"/>
            </w:pPr>
            <w:r>
              <w:rPr>
                <w:rFonts w:ascii="仿宋_GB2312" w:hAnsi="仿宋_GB2312" w:eastAsia="仿宋_GB2312" w:cs="仿宋_GB2312"/>
                <w:sz w:val="21"/>
              </w:rPr>
              <w:t>▲1、支持PQC+SM2的混合算法套件，并运用于IPSec VPN协议，实现SM2+PQC双重签名及混合加密，提供功能截图；</w:t>
            </w:r>
          </w:p>
          <w:p w14:paraId="354F098F">
            <w:pPr>
              <w:pStyle w:val="4"/>
              <w:jc w:val="both"/>
            </w:pPr>
            <w:r>
              <w:rPr>
                <w:rFonts w:ascii="仿宋_GB2312" w:hAnsi="仿宋_GB2312" w:eastAsia="仿宋_GB2312" w:cs="仿宋_GB2312"/>
                <w:sz w:val="21"/>
              </w:rPr>
              <w:t>2、满足GM/T 0023及GM/T 0028要求，具备商用密码产品认证证书</w:t>
            </w:r>
          </w:p>
          <w:p w14:paraId="303316DE">
            <w:pPr>
              <w:pStyle w:val="4"/>
              <w:jc w:val="both"/>
            </w:pPr>
            <w:r>
              <w:rPr>
                <w:rFonts w:ascii="仿宋_GB2312" w:hAnsi="仿宋_GB2312" w:eastAsia="仿宋_GB2312" w:cs="仿宋_GB2312"/>
                <w:sz w:val="21"/>
              </w:rPr>
              <w:t>▲3、支持基于网络层（IPlayer-Payload）、传输层（Transportlayer-Payload）的净荷数据加密方式，可实现对业务数据的无感知加密、解密，提供检测报告或功能截图或说明书并加盖投标人公章；</w:t>
            </w:r>
          </w:p>
          <w:p w14:paraId="7C85DD6A">
            <w:pPr>
              <w:pStyle w:val="4"/>
              <w:jc w:val="both"/>
            </w:pPr>
            <w:r>
              <w:rPr>
                <w:rFonts w:ascii="仿宋_GB2312" w:hAnsi="仿宋_GB2312" w:eastAsia="仿宋_GB2312" w:cs="仿宋_GB2312"/>
                <w:sz w:val="21"/>
              </w:rPr>
              <w:t>▲4、预充注量子密钥≥10M，且支持根据配置的时间周期进行加密工作密钥的自动更新，最高密钥更新频次不低于5分钟/次，提供检测报告或功能截图或说明书并加盖投标人公章；</w:t>
            </w:r>
          </w:p>
          <w:p w14:paraId="535E4F7A">
            <w:pPr>
              <w:pStyle w:val="4"/>
              <w:jc w:val="both"/>
            </w:pPr>
            <w:r>
              <w:rPr>
                <w:rFonts w:ascii="仿宋_GB2312" w:hAnsi="仿宋_GB2312" w:eastAsia="仿宋_GB2312" w:cs="仿宋_GB2312"/>
                <w:sz w:val="21"/>
              </w:rPr>
              <w:t>▲5、采用国产CPU架构及国产操作系统，支持IPv4和IPv6的加密隧道，最大IPSec VPN并发隧道数 ≥ 500条，且加解密时延 ≤ 1ms，提供检测报告或功能截图或说明书并加盖投标人公章。</w:t>
            </w:r>
          </w:p>
          <w:p w14:paraId="3E52621F">
            <w:pPr>
              <w:pStyle w:val="4"/>
              <w:spacing w:after="60"/>
              <w:ind w:left="75" w:right="30"/>
              <w:jc w:val="both"/>
            </w:pPr>
            <w:r>
              <w:rPr>
                <w:rFonts w:ascii="仿宋_GB2312" w:hAnsi="仿宋_GB2312" w:eastAsia="仿宋_GB2312" w:cs="仿宋_GB2312"/>
                <w:b/>
                <w:sz w:val="21"/>
              </w:rPr>
              <w:t>（八）互联网出口及网络运维服务（3站通用)：</w:t>
            </w:r>
            <w:r>
              <w:rPr>
                <w:rFonts w:ascii="仿宋_GB2312" w:hAnsi="仿宋_GB2312" w:eastAsia="仿宋_GB2312" w:cs="仿宋_GB2312"/>
                <w:sz w:val="21"/>
              </w:rPr>
              <w:t>供应商需完成三站共享的互联网出口及网络运维配置，通过统一出口和集中运维实现网络服务的连续稳定。具体包括以下内容：</w:t>
            </w:r>
          </w:p>
          <w:p w14:paraId="79AC36E5">
            <w:pPr>
              <w:pStyle w:val="4"/>
              <w:spacing w:after="60"/>
              <w:ind w:left="75" w:right="30"/>
              <w:jc w:val="both"/>
            </w:pPr>
            <w:r>
              <w:rPr>
                <w:rFonts w:ascii="仿宋_GB2312" w:hAnsi="仿宋_GB2312" w:eastAsia="仿宋_GB2312" w:cs="仿宋_GB2312"/>
                <w:sz w:val="21"/>
              </w:rPr>
              <w:t>1、互联网出口服务：配置带宽2000Mbps互联网出口，三站统一互联网接入，支持NAT转换、流量负载均衡</w:t>
            </w:r>
          </w:p>
          <w:p w14:paraId="0AEE0A0B">
            <w:pPr>
              <w:pStyle w:val="4"/>
              <w:spacing w:after="60"/>
              <w:ind w:left="75" w:right="30"/>
              <w:jc w:val="both"/>
            </w:pPr>
            <w:r>
              <w:rPr>
                <w:rFonts w:ascii="仿宋_GB2312" w:hAnsi="仿宋_GB2312" w:eastAsia="仿宋_GB2312" w:cs="仿宋_GB2312"/>
                <w:sz w:val="21"/>
              </w:rPr>
              <w:t>2、网络日常运维服务：对VPN专线、互联网出口、站内网络设备提供日常监控、配置维护、故障排查、性能优化，7×24小时远程技术支持及工作日4小时现场响应。</w:t>
            </w:r>
          </w:p>
          <w:p w14:paraId="25615D57">
            <w:pPr>
              <w:pStyle w:val="4"/>
              <w:jc w:val="both"/>
            </w:pPr>
            <w:r>
              <w:rPr>
                <w:rFonts w:ascii="仿宋_GB2312" w:hAnsi="仿宋_GB2312" w:eastAsia="仿宋_GB2312" w:cs="仿宋_GB2312"/>
                <w:b/>
                <w:sz w:val="21"/>
              </w:rPr>
              <w:t>（九）视频融合及系统运营维保服务（3站通用）</w:t>
            </w:r>
            <w:r>
              <w:rPr>
                <w:rFonts w:ascii="仿宋_GB2312" w:hAnsi="仿宋_GB2312" w:eastAsia="仿宋_GB2312" w:cs="仿宋_GB2312"/>
                <w:sz w:val="21"/>
              </w:rPr>
              <w:t>：供应商需完成三站共享的视频融合、硬件设备维保及系统运营技术支撑配置，通过集中维保和系统运营实现全部设备和系统的稳定运行。具体包括以下内容：</w:t>
            </w:r>
          </w:p>
          <w:p w14:paraId="7F7E9DA1">
            <w:pPr>
              <w:pStyle w:val="4"/>
              <w:jc w:val="both"/>
            </w:pPr>
            <w:r>
              <w:rPr>
                <w:rFonts w:ascii="仿宋_GB2312" w:hAnsi="仿宋_GB2312" w:eastAsia="仿宋_GB2312" w:cs="仿宋_GB2312"/>
                <w:sz w:val="21"/>
              </w:rPr>
              <w:t>1、视频融合服务：配置视频融合，实现就业服务站视频监控画面汇聚接入和统一调度，支持多路视2、硬件设备年度维保服务：覆盖三站全部硬件设备，提供故障响应(4小时上门)、备件更换、定期巡检(每季度不少于1次)</w:t>
            </w:r>
          </w:p>
          <w:p w14:paraId="4C7B231B">
            <w:pPr>
              <w:pStyle w:val="4"/>
              <w:jc w:val="both"/>
            </w:pPr>
            <w:r>
              <w:rPr>
                <w:rFonts w:ascii="仿宋_GB2312" w:hAnsi="仿宋_GB2312" w:eastAsia="仿宋_GB2312" w:cs="仿宋_GB2312"/>
                <w:sz w:val="21"/>
              </w:rPr>
              <w:t>3、系统运营技术支撑服务：包含就业服务信息平台、自助办事系统、智慧排号系统、安防监控系统等应用系统的日常运维、数据备份、版本升级、用户频流转发、存储管理</w:t>
            </w:r>
          </w:p>
          <w:p w14:paraId="21703833">
            <w:pPr>
              <w:pStyle w:val="4"/>
              <w:jc w:val="both"/>
            </w:pPr>
            <w:r>
              <w:rPr>
                <w:rFonts w:ascii="仿宋_GB2312" w:hAnsi="仿宋_GB2312" w:eastAsia="仿宋_GB2312" w:cs="仿宋_GB2312"/>
                <w:sz w:val="21"/>
              </w:rPr>
              <w:t>技术支持。</w:t>
            </w:r>
          </w:p>
        </w:tc>
      </w:tr>
    </w:tbl>
    <w:p w14:paraId="045EA088">
      <w:pPr>
        <w:pStyle w:val="4"/>
        <w:jc w:val="left"/>
      </w:pPr>
      <w:r>
        <w:rPr>
          <w:rFonts w:ascii="仿宋_GB2312" w:hAnsi="仿宋_GB2312" w:eastAsia="仿宋_GB2312" w:cs="仿宋_GB2312"/>
        </w:rPr>
        <w:t>标的名称：2026年基层公共就业服务站建设购买服务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EB17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7BA815">
            <w:pPr>
              <w:pStyle w:val="4"/>
              <w:jc w:val="center"/>
            </w:pPr>
            <w:r>
              <w:rPr>
                <w:rFonts w:ascii="仿宋_GB2312" w:hAnsi="仿宋_GB2312" w:eastAsia="仿宋_GB2312" w:cs="仿宋_GB2312"/>
              </w:rPr>
              <w:t>序号</w:t>
            </w:r>
          </w:p>
        </w:tc>
        <w:tc>
          <w:tcPr>
            <w:tcW w:w="581" w:type="dxa"/>
          </w:tcPr>
          <w:p w14:paraId="5534871B">
            <w:pPr>
              <w:pStyle w:val="4"/>
              <w:jc w:val="center"/>
            </w:pPr>
            <w:r>
              <w:rPr>
                <w:rFonts w:ascii="仿宋_GB2312" w:hAnsi="仿宋_GB2312" w:eastAsia="仿宋_GB2312" w:cs="仿宋_GB2312"/>
              </w:rPr>
              <w:t>符号标识</w:t>
            </w:r>
          </w:p>
        </w:tc>
        <w:tc>
          <w:tcPr>
            <w:tcW w:w="1495" w:type="dxa"/>
          </w:tcPr>
          <w:p w14:paraId="0B4D61F5">
            <w:pPr>
              <w:pStyle w:val="4"/>
              <w:jc w:val="center"/>
            </w:pPr>
            <w:r>
              <w:rPr>
                <w:rFonts w:ascii="仿宋_GB2312" w:hAnsi="仿宋_GB2312" w:eastAsia="仿宋_GB2312" w:cs="仿宋_GB2312"/>
              </w:rPr>
              <w:t>技术要求名称</w:t>
            </w:r>
          </w:p>
        </w:tc>
        <w:tc>
          <w:tcPr>
            <w:tcW w:w="5814" w:type="dxa"/>
          </w:tcPr>
          <w:p w14:paraId="116C062F">
            <w:pPr>
              <w:pStyle w:val="4"/>
              <w:jc w:val="center"/>
            </w:pPr>
            <w:r>
              <w:rPr>
                <w:rFonts w:ascii="仿宋_GB2312" w:hAnsi="仿宋_GB2312" w:eastAsia="仿宋_GB2312" w:cs="仿宋_GB2312"/>
              </w:rPr>
              <w:t>技术参数与性能指标</w:t>
            </w:r>
          </w:p>
        </w:tc>
      </w:tr>
      <w:tr w14:paraId="1AEFD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6410E7">
            <w:pPr>
              <w:pStyle w:val="4"/>
              <w:jc w:val="center"/>
            </w:pPr>
            <w:r>
              <w:rPr>
                <w:rFonts w:ascii="仿宋_GB2312" w:hAnsi="仿宋_GB2312" w:eastAsia="仿宋_GB2312" w:cs="仿宋_GB2312"/>
              </w:rPr>
              <w:t>1</w:t>
            </w:r>
          </w:p>
        </w:tc>
        <w:tc>
          <w:tcPr>
            <w:tcW w:w="581" w:type="dxa"/>
          </w:tcPr>
          <w:p w14:paraId="62F38DB2">
            <w:pPr>
              <w:pStyle w:val="4"/>
              <w:jc w:val="center"/>
            </w:pPr>
            <w:r>
              <w:rPr>
                <w:rFonts w:ascii="仿宋_GB2312" w:hAnsi="仿宋_GB2312" w:eastAsia="仿宋_GB2312" w:cs="仿宋_GB2312"/>
              </w:rPr>
              <w:t>★</w:t>
            </w:r>
          </w:p>
        </w:tc>
        <w:tc>
          <w:tcPr>
            <w:tcW w:w="1495" w:type="dxa"/>
          </w:tcPr>
          <w:p w14:paraId="1F00F92C">
            <w:pPr>
              <w:pStyle w:val="4"/>
              <w:jc w:val="left"/>
            </w:pPr>
            <w:r>
              <w:rPr>
                <w:rFonts w:ascii="仿宋_GB2312" w:hAnsi="仿宋_GB2312" w:eastAsia="仿宋_GB2312" w:cs="仿宋_GB2312"/>
              </w:rPr>
              <w:t>服务内容及要求</w:t>
            </w:r>
          </w:p>
        </w:tc>
        <w:tc>
          <w:tcPr>
            <w:tcW w:w="5814" w:type="dxa"/>
          </w:tcPr>
          <w:p w14:paraId="4288285D">
            <w:pPr>
              <w:pStyle w:val="4"/>
              <w:ind w:firstLine="480"/>
              <w:jc w:val="left"/>
            </w:pPr>
            <w:r>
              <w:rPr>
                <w:rFonts w:ascii="仿宋_GB2312" w:hAnsi="仿宋_GB2312" w:eastAsia="仿宋_GB2312" w:cs="仿宋_GB2312"/>
                <w:b/>
                <w:sz w:val="24"/>
              </w:rPr>
              <w:t>服务内容：</w:t>
            </w:r>
          </w:p>
          <w:p w14:paraId="31BC3136">
            <w:pPr>
              <w:pStyle w:val="4"/>
              <w:ind w:firstLine="420"/>
              <w:jc w:val="left"/>
            </w:pPr>
            <w:r>
              <w:rPr>
                <w:rFonts w:ascii="仿宋_GB2312" w:hAnsi="仿宋_GB2312" w:eastAsia="仿宋_GB2312" w:cs="仿宋_GB2312"/>
                <w:sz w:val="21"/>
              </w:rPr>
              <w:t>本项目拟在峨边彝族自治县新林镇、毛坪镇、沙坪镇东风社区利用现有场地设立公共就业服务站，提升县域基层公共就业服务效能。具体目标为：</w:t>
            </w:r>
          </w:p>
          <w:p w14:paraId="79D36C21">
            <w:pPr>
              <w:pStyle w:val="4"/>
              <w:jc w:val="left"/>
            </w:pPr>
            <w:r>
              <w:rPr>
                <w:rFonts w:ascii="仿宋_GB2312" w:hAnsi="仿宋_GB2312" w:eastAsia="仿宋_GB2312" w:cs="仿宋_GB2312"/>
                <w:sz w:val="21"/>
              </w:rPr>
              <w:t>（一）效能提升目标</w:t>
            </w:r>
          </w:p>
          <w:p w14:paraId="0B212317">
            <w:pPr>
              <w:pStyle w:val="4"/>
              <w:ind w:firstLine="420"/>
              <w:jc w:val="left"/>
            </w:pPr>
            <w:r>
              <w:rPr>
                <w:rFonts w:ascii="仿宋_GB2312" w:hAnsi="仿宋_GB2312" w:eastAsia="仿宋_GB2312" w:cs="仿宋_GB2312"/>
                <w:sz w:val="21"/>
              </w:rPr>
              <w:t>推动就业服务下沉基层，优化基层网点布局，将公共就业服务触角延伸至群众身边，切实打通服务群众的“最后一米”。通过服务站的高效运营，提升站点覆盖区域内居民的就业服务获得感和满意度。</w:t>
            </w:r>
          </w:p>
          <w:p w14:paraId="53A32E5C">
            <w:pPr>
              <w:pStyle w:val="4"/>
              <w:jc w:val="left"/>
            </w:pPr>
            <w:r>
              <w:rPr>
                <w:rFonts w:ascii="仿宋_GB2312" w:hAnsi="仿宋_GB2312" w:eastAsia="仿宋_GB2312" w:cs="仿宋_GB2312"/>
                <w:sz w:val="21"/>
              </w:rPr>
              <w:t>（二）体系构建目标</w:t>
            </w:r>
          </w:p>
          <w:p w14:paraId="4CF4E1B1">
            <w:pPr>
              <w:pStyle w:val="4"/>
              <w:ind w:firstLine="420"/>
              <w:jc w:val="left"/>
            </w:pPr>
            <w:r>
              <w:rPr>
                <w:rFonts w:ascii="仿宋_GB2312" w:hAnsi="仿宋_GB2312" w:eastAsia="仿宋_GB2312" w:cs="仿宋_GB2312"/>
                <w:sz w:val="21"/>
              </w:rPr>
              <w:t>依托三个站点的协同运营，构建集岗位推荐、职业指导、用工对接、政策咨询、创业辅导、资源对接等功能于一体的就业服务体系，形成覆盖面广、响应及时、服务专业的基层就业公共服务网络。</w:t>
            </w:r>
          </w:p>
          <w:p w14:paraId="111C1D28">
            <w:pPr>
              <w:pStyle w:val="4"/>
              <w:jc w:val="left"/>
            </w:pPr>
            <w:r>
              <w:rPr>
                <w:rFonts w:ascii="仿宋_GB2312" w:hAnsi="仿宋_GB2312" w:eastAsia="仿宋_GB2312" w:cs="仿宋_GB2312"/>
                <w:sz w:val="21"/>
              </w:rPr>
              <w:t>（三）服务覆盖目标</w:t>
            </w:r>
          </w:p>
          <w:p w14:paraId="0C4A47AA">
            <w:pPr>
              <w:pStyle w:val="4"/>
              <w:ind w:firstLine="420"/>
              <w:jc w:val="left"/>
            </w:pPr>
            <w:r>
              <w:rPr>
                <w:rFonts w:ascii="仿宋_GB2312" w:hAnsi="仿宋_GB2312" w:eastAsia="仿宋_GB2312" w:cs="仿宋_GB2312"/>
                <w:sz w:val="21"/>
              </w:rPr>
              <w:t>聚焦辖区内高校毕业生、农村劳动力、退役军人、就业困难人员等重点群体，提供全周期、全方位的就业创业服务支持，助力各类群体稳定就业、高质量就业。</w:t>
            </w:r>
          </w:p>
          <w:p w14:paraId="40A9C76D">
            <w:pPr>
              <w:pStyle w:val="4"/>
              <w:ind w:firstLine="480"/>
              <w:jc w:val="left"/>
            </w:pPr>
            <w:r>
              <w:rPr>
                <w:rFonts w:ascii="仿宋_GB2312" w:hAnsi="仿宋_GB2312" w:eastAsia="仿宋_GB2312" w:cs="仿宋_GB2312"/>
                <w:b/>
                <w:sz w:val="24"/>
              </w:rPr>
              <w:t>服务要求：</w:t>
            </w:r>
          </w:p>
          <w:p w14:paraId="43373DB4">
            <w:pPr>
              <w:pStyle w:val="4"/>
              <w:jc w:val="both"/>
            </w:pPr>
            <w:r>
              <w:rPr>
                <w:rFonts w:ascii="仿宋_GB2312" w:hAnsi="仿宋_GB2312" w:eastAsia="仿宋_GB2312" w:cs="仿宋_GB2312"/>
                <w:b/>
                <w:sz w:val="21"/>
              </w:rPr>
              <w:t>（一）场地配套综合服务（3站通用）</w:t>
            </w:r>
            <w:r>
              <w:rPr>
                <w:rFonts w:ascii="仿宋_GB2312" w:hAnsi="仿宋_GB2312" w:eastAsia="仿宋_GB2312" w:cs="仿宋_GB2312"/>
                <w:sz w:val="21"/>
              </w:rPr>
              <w:t>：供应商需对站内空间进行功能分区策划与装饰布置，具体包括以下内容：</w:t>
            </w:r>
          </w:p>
          <w:p w14:paraId="539A4CAD">
            <w:pPr>
              <w:pStyle w:val="4"/>
              <w:jc w:val="both"/>
            </w:pPr>
            <w:r>
              <w:rPr>
                <w:rFonts w:ascii="仿宋_GB2312" w:hAnsi="仿宋_GB2312" w:eastAsia="仿宋_GB2312" w:cs="仿宋_GB2312"/>
                <w:sz w:val="21"/>
              </w:rPr>
              <w:t>1、职业指导空间：配置圆桌(Φ80cm)及4把人体工学布艺转椅，通过空间设计营造适合职业指导的环境，配套设计定制服务</w:t>
            </w:r>
          </w:p>
          <w:p w14:paraId="3B5E4BC7">
            <w:pPr>
              <w:pStyle w:val="4"/>
              <w:jc w:val="both"/>
            </w:pPr>
            <w:r>
              <w:rPr>
                <w:rFonts w:ascii="仿宋_GB2312" w:hAnsi="仿宋_GB2312" w:eastAsia="仿宋_GB2312" w:cs="仿宋_GB2312"/>
                <w:sz w:val="21"/>
              </w:rPr>
              <w:t>2、招聘洽谈空间：配置可移动折叠洽谈桌(1.2m)及2把折叠椅，通过灵活家具选型满足招聘洽谈场景需求，配套设计定制服务</w:t>
            </w:r>
          </w:p>
          <w:p w14:paraId="41D635B0">
            <w:pPr>
              <w:pStyle w:val="4"/>
              <w:jc w:val="both"/>
            </w:pPr>
            <w:r>
              <w:rPr>
                <w:rFonts w:ascii="仿宋_GB2312" w:hAnsi="仿宋_GB2312" w:eastAsia="仿宋_GB2312" w:cs="仿宋_GB2312"/>
                <w:sz w:val="21"/>
              </w:rPr>
              <w:t>3、制度公示空间：制作塑封A4卡片，通过墙面装饰便于后续张贴或发布服务指南、政策信息等内容，配套设计</w:t>
            </w:r>
          </w:p>
          <w:p w14:paraId="39B047E8">
            <w:pPr>
              <w:pStyle w:val="4"/>
              <w:jc w:val="both"/>
            </w:pPr>
            <w:r>
              <w:rPr>
                <w:rFonts w:ascii="仿宋_GB2312" w:hAnsi="仿宋_GB2312" w:eastAsia="仿宋_GB2312" w:cs="仿宋_GB2312"/>
                <w:sz w:val="21"/>
              </w:rPr>
              <w:t>4、基础设施配套：完成弱电布线施工、配电箱、机柜浇筑施工、排插布线安装等施工服务，保障站点基础运行</w:t>
            </w:r>
          </w:p>
          <w:p w14:paraId="45992108">
            <w:pPr>
              <w:pStyle w:val="4"/>
              <w:jc w:val="both"/>
            </w:pPr>
            <w:r>
              <w:rPr>
                <w:rFonts w:ascii="仿宋_GB2312" w:hAnsi="仿宋_GB2312" w:eastAsia="仿宋_GB2312" w:cs="仿宋_GB2312"/>
                <w:sz w:val="21"/>
              </w:rPr>
              <w:t>5、标识导引系统：采用不锈钢板底板制作标识标牌，通过动线策划和标识设计实现清晰引导，配套设计定制服务</w:t>
            </w:r>
          </w:p>
          <w:p w14:paraId="01BA9013">
            <w:pPr>
              <w:pStyle w:val="4"/>
              <w:jc w:val="both"/>
            </w:pPr>
            <w:r>
              <w:rPr>
                <w:rFonts w:ascii="仿宋_GB2312" w:hAnsi="仿宋_GB2312" w:eastAsia="仿宋_GB2312" w:cs="仿宋_GB2312"/>
                <w:b/>
                <w:sz w:val="21"/>
              </w:rPr>
              <w:t>（二）业务经办及文印服务（3站通用）</w:t>
            </w:r>
            <w:r>
              <w:rPr>
                <w:rFonts w:ascii="仿宋_GB2312" w:hAnsi="仿宋_GB2312" w:eastAsia="仿宋_GB2312" w:cs="仿宋_GB2312"/>
                <w:sz w:val="21"/>
              </w:rPr>
              <w:t>：供应商需完成站内业务经办及文印区域的设施设备配置与运维保障，具体包括以下内容：</w:t>
            </w:r>
          </w:p>
          <w:p w14:paraId="5FF15170">
            <w:pPr>
              <w:pStyle w:val="4"/>
              <w:jc w:val="both"/>
            </w:pPr>
            <w:r>
              <w:rPr>
                <w:rFonts w:ascii="仿宋_GB2312" w:hAnsi="仿宋_GB2312" w:eastAsia="仿宋_GB2312" w:cs="仿宋_GB2312"/>
                <w:sz w:val="21"/>
              </w:rPr>
              <w:t>1、业务经办终端运维保障：配置业务经办终端并保障其在项目周期内正常工作运转，要求在非特殊情况下不得连续五个工作日无法使用</w:t>
            </w:r>
          </w:p>
          <w:p w14:paraId="19FFB6A6">
            <w:pPr>
              <w:pStyle w:val="4"/>
              <w:jc w:val="both"/>
            </w:pPr>
            <w:r>
              <w:rPr>
                <w:rFonts w:ascii="仿宋_GB2312" w:hAnsi="仿宋_GB2312" w:eastAsia="仿宋_GB2312" w:cs="仿宋_GB2312"/>
                <w:sz w:val="21"/>
              </w:rPr>
              <w:t>2、文印办公综合服务：配置文印设备，支持A3幅面，支持网络打印、移动打印、USB直打，并配备人员提供设备运维服务</w:t>
            </w:r>
          </w:p>
          <w:p w14:paraId="2BBCEE99">
            <w:pPr>
              <w:pStyle w:val="4"/>
              <w:jc w:val="both"/>
            </w:pPr>
            <w:r>
              <w:rPr>
                <w:rFonts w:ascii="仿宋_GB2312" w:hAnsi="仿宋_GB2312" w:eastAsia="仿宋_GB2312" w:cs="仿宋_GB2312"/>
                <w:b/>
                <w:sz w:val="21"/>
              </w:rPr>
              <w:t>（三）信息发布及自助办事服务（3站通用）</w:t>
            </w:r>
            <w:r>
              <w:rPr>
                <w:rFonts w:ascii="仿宋_GB2312" w:hAnsi="仿宋_GB2312" w:eastAsia="仿宋_GB2312" w:cs="仿宋_GB2312"/>
                <w:sz w:val="21"/>
              </w:rPr>
              <w:t>：供应商需完成站内信息发布与自助办事区域的设施设备配置与运维保障，具体包括以下内容：</w:t>
            </w:r>
          </w:p>
          <w:p w14:paraId="09925C59">
            <w:pPr>
              <w:pStyle w:val="4"/>
              <w:jc w:val="both"/>
            </w:pPr>
            <w:r>
              <w:rPr>
                <w:rFonts w:ascii="仿宋_GB2312" w:hAnsi="仿宋_GB2312" w:eastAsia="仿宋_GB2312" w:cs="仿宋_GB2312"/>
                <w:sz w:val="21"/>
              </w:rPr>
              <w:t>1、自助办事终端运维保障：配置自助办事终端并保障其在项目周期内正常工作运转，要求在非特殊情况下不得连续五个工作日无法使用</w:t>
            </w:r>
          </w:p>
          <w:p w14:paraId="341FFEFE">
            <w:pPr>
              <w:pStyle w:val="4"/>
              <w:jc w:val="left"/>
            </w:pPr>
            <w:r>
              <w:rPr>
                <w:rFonts w:ascii="仿宋_GB2312" w:hAnsi="仿宋_GB2312" w:eastAsia="仿宋_GB2312" w:cs="仿宋_GB2312"/>
                <w:sz w:val="21"/>
              </w:rPr>
              <w:t>2、信息发布综合服务：配置信息发布设备，支持视频/图片/音频多媒体发布，配备人员提供信息发布协助服务及设备运维服务</w:t>
            </w:r>
          </w:p>
          <w:p w14:paraId="2918DBAF">
            <w:pPr>
              <w:pStyle w:val="4"/>
              <w:spacing w:after="60"/>
              <w:ind w:left="75" w:right="30"/>
              <w:jc w:val="both"/>
            </w:pPr>
            <w:r>
              <w:rPr>
                <w:rFonts w:ascii="仿宋_GB2312" w:hAnsi="仿宋_GB2312" w:eastAsia="仿宋_GB2312" w:cs="仿宋_GB2312"/>
                <w:b/>
                <w:sz w:val="21"/>
              </w:rPr>
              <w:t>（四）排号及远程面试服务（3站通用）</w:t>
            </w:r>
            <w:r>
              <w:rPr>
                <w:rFonts w:ascii="仿宋_GB2312" w:hAnsi="仿宋_GB2312" w:eastAsia="仿宋_GB2312" w:cs="仿宋_GB2312"/>
                <w:sz w:val="21"/>
              </w:rPr>
              <w:t>：供应商需对站内办事排队、信息发布及远程面试功能进行系统配置与运维保障，通过技术手段实现有序的办事环境。具体包括以下内容：</w:t>
            </w:r>
          </w:p>
          <w:p w14:paraId="49A5184E">
            <w:pPr>
              <w:pStyle w:val="4"/>
              <w:spacing w:after="60"/>
              <w:ind w:left="75" w:right="30"/>
              <w:jc w:val="both"/>
            </w:pPr>
            <w:r>
              <w:rPr>
                <w:rFonts w:ascii="仿宋_GB2312" w:hAnsi="仿宋_GB2312" w:eastAsia="仿宋_GB2312" w:cs="仿宋_GB2312"/>
                <w:sz w:val="21"/>
              </w:rPr>
              <w:t>一、智慧排号服务</w:t>
            </w:r>
          </w:p>
          <w:p w14:paraId="733D2839">
            <w:pPr>
              <w:pStyle w:val="4"/>
              <w:spacing w:after="60"/>
              <w:ind w:left="75" w:right="30"/>
              <w:jc w:val="both"/>
            </w:pPr>
            <w:r>
              <w:rPr>
                <w:rFonts w:ascii="仿宋_GB2312" w:hAnsi="仿宋_GB2312" w:eastAsia="仿宋_GB2312" w:cs="仿宋_GB2312"/>
                <w:sz w:val="21"/>
              </w:rPr>
              <w:t>供应商需配置排队叫号系统，实现多部门分业务排队叫号，支持语音及微信叫号提醒。</w:t>
            </w:r>
          </w:p>
          <w:p w14:paraId="0F39F070">
            <w:pPr>
              <w:pStyle w:val="4"/>
              <w:spacing w:after="60"/>
              <w:ind w:left="75" w:right="30"/>
              <w:jc w:val="both"/>
            </w:pPr>
            <w:r>
              <w:rPr>
                <w:rFonts w:ascii="仿宋_GB2312" w:hAnsi="仿宋_GB2312" w:eastAsia="仿宋_GB2312" w:cs="仿宋_GB2312"/>
                <w:sz w:val="21"/>
              </w:rPr>
              <w:t>1、层级导航取号：支持3级目录导航，现场取号与预约取号</w:t>
            </w:r>
          </w:p>
          <w:p w14:paraId="691B1030">
            <w:pPr>
              <w:pStyle w:val="4"/>
              <w:spacing w:after="60"/>
              <w:ind w:left="75" w:right="30"/>
              <w:jc w:val="both"/>
            </w:pPr>
            <w:r>
              <w:rPr>
                <w:rFonts w:ascii="仿宋_GB2312" w:hAnsi="仿宋_GB2312" w:eastAsia="仿宋_GB2312" w:cs="仿宋_GB2312"/>
                <w:sz w:val="21"/>
              </w:rPr>
              <w:t>2、分区管理排叫号：支持多分区管理及业务显示</w:t>
            </w:r>
          </w:p>
          <w:p w14:paraId="5CE2991B">
            <w:pPr>
              <w:pStyle w:val="4"/>
              <w:spacing w:after="60"/>
              <w:ind w:left="75" w:right="30"/>
              <w:jc w:val="both"/>
            </w:pPr>
            <w:r>
              <w:rPr>
                <w:rFonts w:ascii="仿宋_GB2312" w:hAnsi="仿宋_GB2312" w:eastAsia="仿宋_GB2312" w:cs="仿宋_GB2312"/>
                <w:sz w:val="21"/>
              </w:rPr>
              <w:t>3、多种取号限制：身份证刷卡取号、取号次数限制、预约排号限制、取号时间限制</w:t>
            </w:r>
          </w:p>
          <w:p w14:paraId="3FC0EF1E">
            <w:pPr>
              <w:pStyle w:val="4"/>
              <w:spacing w:after="60"/>
              <w:ind w:left="75" w:right="30"/>
              <w:jc w:val="both"/>
            </w:pPr>
            <w:r>
              <w:rPr>
                <w:rFonts w:ascii="仿宋_GB2312" w:hAnsi="仿宋_GB2312" w:eastAsia="仿宋_GB2312" w:cs="仿宋_GB2312"/>
                <w:sz w:val="21"/>
              </w:rPr>
              <w:t>4、人证核验取号（人证比对）：刷身份证同时通过排队机带的摄像头比对是否认证一致，如一致则可以取号，否则不能取号。人证核验系统具有自主知识产权（提供第三方权威机构证明）；</w:t>
            </w:r>
          </w:p>
          <w:p w14:paraId="1ADD1FCE">
            <w:pPr>
              <w:pStyle w:val="4"/>
              <w:spacing w:after="60"/>
              <w:ind w:left="75" w:right="30"/>
              <w:jc w:val="both"/>
            </w:pPr>
            <w:r>
              <w:rPr>
                <w:rFonts w:ascii="仿宋_GB2312" w:hAnsi="仿宋_GB2312" w:eastAsia="仿宋_GB2312" w:cs="仿宋_GB2312"/>
                <w:sz w:val="21"/>
              </w:rPr>
              <w:t>5、排队小票引导：小票显示窗口号、等待人数、排队号等信息；特殊人群优先取号，窗口呼叫/重呼/呼叫转移/业务切换</w:t>
            </w:r>
          </w:p>
          <w:p w14:paraId="0FE5F3BC">
            <w:pPr>
              <w:pStyle w:val="4"/>
              <w:spacing w:after="60"/>
              <w:ind w:left="75" w:right="30"/>
              <w:jc w:val="both"/>
            </w:pPr>
            <w:r>
              <w:rPr>
                <w:rFonts w:ascii="仿宋_GB2312" w:hAnsi="仿宋_GB2312" w:eastAsia="仿宋_GB2312" w:cs="仿宋_GB2312"/>
                <w:sz w:val="21"/>
              </w:rPr>
              <w:t>6、叫号信息窗口屏及集中显示屏同步播报</w:t>
            </w:r>
          </w:p>
          <w:p w14:paraId="68E0A3C8">
            <w:pPr>
              <w:pStyle w:val="4"/>
              <w:jc w:val="both"/>
            </w:pPr>
            <w:r>
              <w:rPr>
                <w:rFonts w:ascii="仿宋_GB2312" w:hAnsi="仿宋_GB2312" w:eastAsia="仿宋_GB2312" w:cs="仿宋_GB2312"/>
                <w:sz w:val="21"/>
              </w:rPr>
              <w:t>▲7、排队叫号系统具有检测报告或功能截图或说明书；</w:t>
            </w:r>
          </w:p>
          <w:p w14:paraId="2C0087A3">
            <w:pPr>
              <w:pStyle w:val="4"/>
              <w:jc w:val="both"/>
            </w:pPr>
            <w:r>
              <w:rPr>
                <w:rFonts w:ascii="仿宋_GB2312" w:hAnsi="仿宋_GB2312" w:eastAsia="仿宋_GB2312" w:cs="仿宋_GB2312"/>
                <w:sz w:val="21"/>
              </w:rPr>
              <w:t>二、信息发布服务</w:t>
            </w:r>
          </w:p>
          <w:p w14:paraId="36F148F2">
            <w:pPr>
              <w:pStyle w:val="4"/>
              <w:spacing w:after="60"/>
              <w:ind w:left="75" w:right="30"/>
              <w:jc w:val="both"/>
            </w:pPr>
            <w:r>
              <w:rPr>
                <w:rFonts w:ascii="仿宋_GB2312" w:hAnsi="仿宋_GB2312" w:eastAsia="仿宋_GB2312" w:cs="仿宋_GB2312"/>
                <w:sz w:val="21"/>
              </w:rPr>
              <w:t>供应商需配置信息发布系统，实现窗口和等候区信息的同步发布。</w:t>
            </w:r>
          </w:p>
          <w:p w14:paraId="5143B9F8">
            <w:pPr>
              <w:pStyle w:val="4"/>
              <w:spacing w:after="60"/>
              <w:ind w:left="75" w:right="30"/>
              <w:jc w:val="both"/>
            </w:pPr>
            <w:r>
              <w:rPr>
                <w:rFonts w:ascii="仿宋_GB2312" w:hAnsi="仿宋_GB2312" w:eastAsia="仿宋_GB2312" w:cs="仿宋_GB2312"/>
                <w:sz w:val="21"/>
              </w:rPr>
              <w:t>1、窗口信息发布：展示窗口编号、办理事项、等待人数</w:t>
            </w:r>
          </w:p>
          <w:p w14:paraId="083B3DCC">
            <w:pPr>
              <w:pStyle w:val="4"/>
              <w:spacing w:after="60"/>
              <w:ind w:left="75" w:right="30"/>
              <w:jc w:val="both"/>
            </w:pPr>
            <w:r>
              <w:rPr>
                <w:rFonts w:ascii="仿宋_GB2312" w:hAnsi="仿宋_GB2312" w:eastAsia="仿宋_GB2312" w:cs="仿宋_GB2312"/>
                <w:sz w:val="21"/>
              </w:rPr>
              <w:t>2、等候区信息发布：展示当前办理编号和等待人数</w:t>
            </w:r>
          </w:p>
          <w:p w14:paraId="785CE2D1">
            <w:pPr>
              <w:pStyle w:val="4"/>
              <w:numPr>
                <w:ilvl w:val="0"/>
                <w:numId w:val="1"/>
              </w:numPr>
              <w:spacing w:after="60"/>
              <w:ind w:right="30"/>
              <w:jc w:val="both"/>
            </w:pPr>
            <w:r>
              <w:rPr>
                <w:rFonts w:ascii="仿宋_GB2312" w:hAnsi="仿宋_GB2312" w:eastAsia="仿宋_GB2312" w:cs="仿宋_GB2312"/>
                <w:sz w:val="21"/>
              </w:rPr>
              <w:t>远程面试搭建运维服务：供应商需在项目服务期内负责远程面试能力的搭建和运维服务，保障远程面试环节正常开展</w:t>
            </w:r>
          </w:p>
          <w:p w14:paraId="51AF8482">
            <w:pPr>
              <w:pStyle w:val="4"/>
              <w:jc w:val="both"/>
            </w:pPr>
            <w:r>
              <w:rPr>
                <w:rFonts w:ascii="仿宋_GB2312" w:hAnsi="仿宋_GB2312" w:eastAsia="仿宋_GB2312" w:cs="仿宋_GB2312"/>
                <w:b/>
                <w:sz w:val="21"/>
              </w:rPr>
              <w:t>（五）培训及基础保障服务（仅新林镇、毛坪镇）</w:t>
            </w:r>
            <w:r>
              <w:rPr>
                <w:rFonts w:ascii="仿宋_GB2312" w:hAnsi="仿宋_GB2312" w:eastAsia="仿宋_GB2312" w:cs="仿宋_GB2312"/>
                <w:sz w:val="21"/>
              </w:rPr>
              <w:t>：供应商需完成站内培训空间及基础保障区域的设施设备配置与运维服务，营造适合培训活动的空间环境，具体包括以下内容：</w:t>
            </w:r>
          </w:p>
          <w:p w14:paraId="314DF2AA">
            <w:pPr>
              <w:pStyle w:val="4"/>
              <w:jc w:val="both"/>
            </w:pPr>
            <w:r>
              <w:rPr>
                <w:rFonts w:ascii="仿宋_GB2312" w:hAnsi="仿宋_GB2312" w:eastAsia="仿宋_GB2312" w:cs="仿宋_GB2312"/>
                <w:sz w:val="21"/>
              </w:rPr>
              <w:t>1、投影培训服务：配置投影设备并提供基本操作培训和配套技术支撑服务，保障就业培训中投影的正常使用</w:t>
            </w:r>
          </w:p>
          <w:p w14:paraId="3E5070E3">
            <w:pPr>
              <w:pStyle w:val="4"/>
              <w:jc w:val="both"/>
            </w:pPr>
            <w:r>
              <w:rPr>
                <w:rFonts w:ascii="仿宋_GB2312" w:hAnsi="仿宋_GB2312" w:eastAsia="仿宋_GB2312" w:cs="仿宋_GB2312"/>
                <w:sz w:val="21"/>
              </w:rPr>
              <w:t>2、档案收纳服务：配置相应的文件柜，满足工作人员档案存放需求</w:t>
            </w:r>
          </w:p>
          <w:p w14:paraId="6A91DE54">
            <w:pPr>
              <w:pStyle w:val="4"/>
              <w:jc w:val="both"/>
            </w:pPr>
            <w:r>
              <w:rPr>
                <w:rFonts w:ascii="仿宋_GB2312" w:hAnsi="仿宋_GB2312" w:eastAsia="仿宋_GB2312" w:cs="仿宋_GB2312"/>
                <w:sz w:val="21"/>
              </w:rPr>
              <w:t>3、日常环境保障服务：配置饮水设备并提供日常维护，保障场站饮水用水设备正常运转</w:t>
            </w:r>
          </w:p>
          <w:p w14:paraId="5F4A5EFF">
            <w:pPr>
              <w:pStyle w:val="4"/>
              <w:jc w:val="both"/>
            </w:pPr>
            <w:r>
              <w:rPr>
                <w:rFonts w:ascii="仿宋_GB2312" w:hAnsi="仿宋_GB2312" w:eastAsia="仿宋_GB2312" w:cs="仿宋_GB2312"/>
                <w:sz w:val="21"/>
              </w:rPr>
              <w:t>4、资料展陈服务：配置资料收纳设施，便于工作人员存档关键文档信息</w:t>
            </w:r>
          </w:p>
          <w:p w14:paraId="0729F702">
            <w:pPr>
              <w:pStyle w:val="4"/>
              <w:spacing w:after="60"/>
              <w:ind w:right="30"/>
              <w:jc w:val="both"/>
            </w:pPr>
            <w:r>
              <w:rPr>
                <w:rFonts w:ascii="仿宋_GB2312" w:hAnsi="仿宋_GB2312" w:eastAsia="仿宋_GB2312" w:cs="仿宋_GB2312"/>
                <w:b/>
                <w:sz w:val="21"/>
              </w:rPr>
              <w:t>（六）资料展陈服务(仅沙坪镇东风社区）</w:t>
            </w:r>
            <w:r>
              <w:rPr>
                <w:rFonts w:ascii="仿宋_GB2312" w:hAnsi="仿宋_GB2312" w:eastAsia="仿宋_GB2312" w:cs="仿宋_GB2312"/>
                <w:sz w:val="21"/>
              </w:rPr>
              <w:t>:供应商需完成站内资料展陈区域的设施配置，配置资料收纳设施，便于工作人员存档关键文档信息</w:t>
            </w:r>
          </w:p>
          <w:p w14:paraId="3897688A">
            <w:pPr>
              <w:pStyle w:val="4"/>
              <w:jc w:val="both"/>
            </w:pPr>
            <w:r>
              <w:rPr>
                <w:rFonts w:ascii="仿宋_GB2312" w:hAnsi="仿宋_GB2312" w:eastAsia="仿宋_GB2312" w:cs="仿宋_GB2312"/>
                <w:b/>
                <w:sz w:val="21"/>
              </w:rPr>
              <w:t>（七）信息化安全综合服务（3站通用）</w:t>
            </w:r>
            <w:r>
              <w:rPr>
                <w:rFonts w:ascii="仿宋_GB2312" w:hAnsi="仿宋_GB2312" w:eastAsia="仿宋_GB2312" w:cs="仿宋_GB2312"/>
                <w:sz w:val="21"/>
              </w:rPr>
              <w:t>：供应商需完成站内信息化安全设施配置与运维保障，通过专线接入、无线覆盖、安防监控及安全防护等手段，实现站内网络环境的安全稳定。具体包括以下内容：</w:t>
            </w:r>
          </w:p>
          <w:p w14:paraId="12FFC91E">
            <w:pPr>
              <w:pStyle w:val="4"/>
              <w:jc w:val="both"/>
            </w:pPr>
            <w:r>
              <w:rPr>
                <w:rFonts w:ascii="仿宋_GB2312" w:hAnsi="仿宋_GB2312" w:eastAsia="仿宋_GB2312" w:cs="仿宋_GB2312"/>
                <w:sz w:val="21"/>
              </w:rPr>
              <w:t>1、专线接入服务：配置MPLS VPN 200Mbps专线</w:t>
            </w:r>
          </w:p>
          <w:p w14:paraId="0FBC8176">
            <w:pPr>
              <w:pStyle w:val="4"/>
              <w:jc w:val="both"/>
            </w:pPr>
            <w:r>
              <w:rPr>
                <w:rFonts w:ascii="仿宋_GB2312" w:hAnsi="仿宋_GB2312" w:eastAsia="仿宋_GB2312" w:cs="仿宋_GB2312"/>
                <w:sz w:val="21"/>
              </w:rPr>
              <w:t>2、无线覆盖服务：配置Wi-Fi6全覆盖，使用六类非屏蔽双绞线(CAT6 UTP)，符合YD/T 1019-2023标准，室内明装线槽并暗埋PVC管敷设，保障施工工整美观</w:t>
            </w:r>
          </w:p>
          <w:p w14:paraId="66CE1293">
            <w:pPr>
              <w:pStyle w:val="4"/>
              <w:jc w:val="both"/>
            </w:pPr>
            <w:r>
              <w:rPr>
                <w:rFonts w:ascii="仿宋_GB2312" w:hAnsi="仿宋_GB2312" w:eastAsia="仿宋_GB2312" w:cs="仿宋_GB2312"/>
                <w:sz w:val="21"/>
              </w:rPr>
              <w:t>3、安防监控服务：配置视频监控设备，涉及3-5个监控位，保障存储30天，支持远程管理并配套云平台，支持倍速回放、片段下载等功能，在项目期间提供保障监控运维服务</w:t>
            </w:r>
          </w:p>
          <w:p w14:paraId="604EC170">
            <w:pPr>
              <w:pStyle w:val="4"/>
              <w:jc w:val="both"/>
            </w:pPr>
            <w:r>
              <w:rPr>
                <w:rFonts w:ascii="仿宋_GB2312" w:hAnsi="仿宋_GB2312" w:eastAsia="仿宋_GB2312" w:cs="仿宋_GB2312"/>
                <w:sz w:val="21"/>
              </w:rPr>
              <w:t>4、安全防护服务：配置安全防护设备，安全防护具备以下功能：</w:t>
            </w:r>
          </w:p>
          <w:p w14:paraId="4F1B88B0">
            <w:pPr>
              <w:pStyle w:val="4"/>
              <w:jc w:val="both"/>
            </w:pPr>
            <w:r>
              <w:rPr>
                <w:rFonts w:ascii="仿宋_GB2312" w:hAnsi="仿宋_GB2312" w:eastAsia="仿宋_GB2312" w:cs="仿宋_GB2312"/>
                <w:sz w:val="21"/>
              </w:rPr>
              <w:t>▲1、支持PQC+SM2的混合算法套件，并运用于IPSec VPN协议，实现SM2+PQC双重签名及混合加密，提供功能截图；</w:t>
            </w:r>
          </w:p>
          <w:p w14:paraId="1A29C42D">
            <w:pPr>
              <w:pStyle w:val="4"/>
              <w:jc w:val="both"/>
            </w:pPr>
            <w:r>
              <w:rPr>
                <w:rFonts w:ascii="仿宋_GB2312" w:hAnsi="仿宋_GB2312" w:eastAsia="仿宋_GB2312" w:cs="仿宋_GB2312"/>
                <w:sz w:val="21"/>
              </w:rPr>
              <w:t>2、满足GM/T 0023及GM/T 0028要求，具备商用密码产品认证证书</w:t>
            </w:r>
          </w:p>
          <w:p w14:paraId="41CD2049">
            <w:pPr>
              <w:pStyle w:val="4"/>
              <w:jc w:val="both"/>
            </w:pPr>
            <w:r>
              <w:rPr>
                <w:rFonts w:ascii="仿宋_GB2312" w:hAnsi="仿宋_GB2312" w:eastAsia="仿宋_GB2312" w:cs="仿宋_GB2312"/>
                <w:sz w:val="21"/>
              </w:rPr>
              <w:t>▲3、支持基于网络层（IPlayer-Payload）、传输层（Transportlayer-Payload）的净荷数据加密方式，可实现对业务数据的无感知加密、解密，提供检测报告或功能截图或说明书并加盖投标人公章；</w:t>
            </w:r>
          </w:p>
          <w:p w14:paraId="58B12A66">
            <w:pPr>
              <w:pStyle w:val="4"/>
              <w:jc w:val="both"/>
            </w:pPr>
            <w:r>
              <w:rPr>
                <w:rFonts w:ascii="仿宋_GB2312" w:hAnsi="仿宋_GB2312" w:eastAsia="仿宋_GB2312" w:cs="仿宋_GB2312"/>
                <w:sz w:val="21"/>
              </w:rPr>
              <w:t>▲4、预充注量子密钥≥10M，且支持根据配置的时间周期进行加密工作密钥的自动更新，最高密钥更新频次不低于5分钟/次，提供检测报告或功能截图或说明书并加盖投标人公章；</w:t>
            </w:r>
          </w:p>
          <w:p w14:paraId="04C83044">
            <w:pPr>
              <w:pStyle w:val="4"/>
              <w:jc w:val="both"/>
            </w:pPr>
            <w:r>
              <w:rPr>
                <w:rFonts w:ascii="仿宋_GB2312" w:hAnsi="仿宋_GB2312" w:eastAsia="仿宋_GB2312" w:cs="仿宋_GB2312"/>
                <w:sz w:val="21"/>
              </w:rPr>
              <w:t>▲5、采用国产CPU架构及国产操作系统，支持IPv4和IPv6的加密隧道，最大IPSec VPN并发隧道数 ≥ 500条，且加解密时延 ≤ 1ms，提供检测报告或功能截图或说明书并加盖投标人公章。</w:t>
            </w:r>
          </w:p>
          <w:p w14:paraId="01C89548">
            <w:pPr>
              <w:pStyle w:val="4"/>
              <w:spacing w:after="60"/>
              <w:ind w:left="75" w:right="30"/>
              <w:jc w:val="both"/>
            </w:pPr>
            <w:r>
              <w:rPr>
                <w:rFonts w:ascii="仿宋_GB2312" w:hAnsi="仿宋_GB2312" w:eastAsia="仿宋_GB2312" w:cs="仿宋_GB2312"/>
                <w:b/>
                <w:sz w:val="21"/>
              </w:rPr>
              <w:t>（八）互联网出口及网络运维服务（3站通用)：</w:t>
            </w:r>
            <w:r>
              <w:rPr>
                <w:rFonts w:ascii="仿宋_GB2312" w:hAnsi="仿宋_GB2312" w:eastAsia="仿宋_GB2312" w:cs="仿宋_GB2312"/>
                <w:sz w:val="21"/>
              </w:rPr>
              <w:t>供应商需完成三站共享的互联网出口及网络运维配置，通过统一出口和集中运维实现网络服务的连续稳定。具体包括以下内容：</w:t>
            </w:r>
          </w:p>
          <w:p w14:paraId="09A8ACE0">
            <w:pPr>
              <w:pStyle w:val="4"/>
              <w:spacing w:after="60"/>
              <w:ind w:left="75" w:right="30"/>
              <w:jc w:val="both"/>
            </w:pPr>
            <w:r>
              <w:rPr>
                <w:rFonts w:ascii="仿宋_GB2312" w:hAnsi="仿宋_GB2312" w:eastAsia="仿宋_GB2312" w:cs="仿宋_GB2312"/>
                <w:sz w:val="21"/>
              </w:rPr>
              <w:t>1、互联网出口服务：配置带宽2000Mbps互联网出口，三站统一互联网接入，支持NAT转换、流量负载均衡</w:t>
            </w:r>
          </w:p>
          <w:p w14:paraId="006E3F20">
            <w:pPr>
              <w:pStyle w:val="4"/>
              <w:spacing w:after="60"/>
              <w:ind w:left="75" w:right="30"/>
              <w:jc w:val="both"/>
            </w:pPr>
            <w:r>
              <w:rPr>
                <w:rFonts w:ascii="仿宋_GB2312" w:hAnsi="仿宋_GB2312" w:eastAsia="仿宋_GB2312" w:cs="仿宋_GB2312"/>
                <w:sz w:val="21"/>
              </w:rPr>
              <w:t>2、网络日常运维服务：对VPN专线、互联网出口、站内网络设备提供日常监控、配置维护、故障排查、性能优化，7×24小时远程技术支持及工作日4小时现场响应。</w:t>
            </w:r>
          </w:p>
          <w:p w14:paraId="6E9EAB04">
            <w:pPr>
              <w:pStyle w:val="4"/>
              <w:jc w:val="both"/>
            </w:pPr>
            <w:r>
              <w:rPr>
                <w:rFonts w:ascii="仿宋_GB2312" w:hAnsi="仿宋_GB2312" w:eastAsia="仿宋_GB2312" w:cs="仿宋_GB2312"/>
                <w:b/>
                <w:sz w:val="21"/>
              </w:rPr>
              <w:t>（九）视频融合及系统运营维保服务（3站通用）</w:t>
            </w:r>
            <w:r>
              <w:rPr>
                <w:rFonts w:ascii="仿宋_GB2312" w:hAnsi="仿宋_GB2312" w:eastAsia="仿宋_GB2312" w:cs="仿宋_GB2312"/>
                <w:sz w:val="21"/>
              </w:rPr>
              <w:t>：供应商需完成三站共享的视频融合、硬件设备维保及系统运营技术支撑配置，通过集中维保和系统运营实现全部设备和系统的稳定运行。具体包括以下内容：</w:t>
            </w:r>
          </w:p>
          <w:p w14:paraId="3D4B86D4">
            <w:pPr>
              <w:pStyle w:val="4"/>
              <w:jc w:val="both"/>
            </w:pPr>
            <w:r>
              <w:rPr>
                <w:rFonts w:ascii="仿宋_GB2312" w:hAnsi="仿宋_GB2312" w:eastAsia="仿宋_GB2312" w:cs="仿宋_GB2312"/>
                <w:sz w:val="21"/>
              </w:rPr>
              <w:t>1、视频融合服务：配置视频融合，实现就业服务站视频监控画面汇聚接入和统一调度，支持多路视2、硬件设备年度维保服务：覆盖三站全部硬件设备，提供故障响应(4小时上门)、备件更换、定期巡检(每季度不少于1次)</w:t>
            </w:r>
          </w:p>
          <w:p w14:paraId="51B0017A">
            <w:pPr>
              <w:pStyle w:val="4"/>
              <w:jc w:val="both"/>
            </w:pPr>
            <w:r>
              <w:rPr>
                <w:rFonts w:ascii="仿宋_GB2312" w:hAnsi="仿宋_GB2312" w:eastAsia="仿宋_GB2312" w:cs="仿宋_GB2312"/>
                <w:sz w:val="21"/>
              </w:rPr>
              <w:t>3、系统运营技术支撑服务：包含就业服务信息平台、自助办事系统、智慧排号系统、安防监控系统等应用系统的日常运维、数据备份、版本升级、用户频流转发、存储管理</w:t>
            </w:r>
          </w:p>
          <w:p w14:paraId="5478318B">
            <w:pPr>
              <w:pStyle w:val="4"/>
              <w:jc w:val="both"/>
            </w:pPr>
            <w:r>
              <w:rPr>
                <w:rFonts w:ascii="仿宋_GB2312" w:hAnsi="仿宋_GB2312" w:eastAsia="仿宋_GB2312" w:cs="仿宋_GB2312"/>
                <w:sz w:val="21"/>
              </w:rPr>
              <w:t>技术支持。</w:t>
            </w:r>
          </w:p>
        </w:tc>
      </w:tr>
    </w:tbl>
    <w:p w14:paraId="023B1611">
      <w:pPr>
        <w:pStyle w:val="4"/>
        <w:jc w:val="left"/>
        <w:outlineLvl w:val="2"/>
      </w:pPr>
      <w:r>
        <w:rPr>
          <w:rFonts w:ascii="仿宋_GB2312" w:hAnsi="仿宋_GB2312" w:eastAsia="仿宋_GB2312" w:cs="仿宋_GB2312"/>
          <w:b/>
          <w:sz w:val="28"/>
        </w:rPr>
        <w:t>3.3.服务要求</w:t>
      </w:r>
    </w:p>
    <w:p w14:paraId="112CF79F">
      <w:pPr>
        <w:pStyle w:val="4"/>
        <w:jc w:val="left"/>
        <w:outlineLvl w:val="3"/>
      </w:pPr>
      <w:r>
        <w:rPr>
          <w:rFonts w:ascii="仿宋_GB2312" w:hAnsi="仿宋_GB2312" w:eastAsia="仿宋_GB2312" w:cs="仿宋_GB2312"/>
          <w:b/>
          <w:sz w:val="24"/>
        </w:rPr>
        <w:t>3.3.1服务内容要求</w:t>
      </w:r>
    </w:p>
    <w:p w14:paraId="7FE807E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B92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31FBDE">
            <w:pPr>
              <w:pStyle w:val="4"/>
              <w:jc w:val="center"/>
            </w:pPr>
            <w:r>
              <w:rPr>
                <w:rFonts w:ascii="仿宋_GB2312" w:hAnsi="仿宋_GB2312" w:eastAsia="仿宋_GB2312" w:cs="仿宋_GB2312"/>
              </w:rPr>
              <w:t xml:space="preserve"> 序号</w:t>
            </w:r>
          </w:p>
        </w:tc>
        <w:tc>
          <w:tcPr>
            <w:tcW w:w="581" w:type="dxa"/>
          </w:tcPr>
          <w:p w14:paraId="56726B56">
            <w:pPr>
              <w:pStyle w:val="4"/>
              <w:jc w:val="center"/>
            </w:pPr>
            <w:r>
              <w:rPr>
                <w:rFonts w:ascii="仿宋_GB2312" w:hAnsi="仿宋_GB2312" w:eastAsia="仿宋_GB2312" w:cs="仿宋_GB2312"/>
              </w:rPr>
              <w:t xml:space="preserve"> 符号标识</w:t>
            </w:r>
          </w:p>
        </w:tc>
        <w:tc>
          <w:tcPr>
            <w:tcW w:w="1495" w:type="dxa"/>
          </w:tcPr>
          <w:p w14:paraId="40187764">
            <w:pPr>
              <w:pStyle w:val="4"/>
              <w:jc w:val="center"/>
            </w:pPr>
            <w:r>
              <w:rPr>
                <w:rFonts w:ascii="仿宋_GB2312" w:hAnsi="仿宋_GB2312" w:eastAsia="仿宋_GB2312" w:cs="仿宋_GB2312"/>
              </w:rPr>
              <w:t xml:space="preserve"> 服务要求名称</w:t>
            </w:r>
          </w:p>
        </w:tc>
        <w:tc>
          <w:tcPr>
            <w:tcW w:w="5814" w:type="dxa"/>
          </w:tcPr>
          <w:p w14:paraId="2756FAE2">
            <w:pPr>
              <w:pStyle w:val="4"/>
              <w:jc w:val="center"/>
            </w:pPr>
            <w:r>
              <w:rPr>
                <w:rFonts w:ascii="仿宋_GB2312" w:hAnsi="仿宋_GB2312" w:eastAsia="仿宋_GB2312" w:cs="仿宋_GB2312"/>
              </w:rPr>
              <w:t xml:space="preserve"> 服务要求内容</w:t>
            </w:r>
          </w:p>
        </w:tc>
      </w:tr>
      <w:tr w14:paraId="08564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33D0809">
            <w:pPr>
              <w:pStyle w:val="4"/>
              <w:jc w:val="center"/>
            </w:pPr>
            <w:r>
              <w:rPr>
                <w:rFonts w:ascii="仿宋_GB2312" w:hAnsi="仿宋_GB2312" w:eastAsia="仿宋_GB2312" w:cs="仿宋_GB2312"/>
              </w:rPr>
              <w:t>无</w:t>
            </w:r>
          </w:p>
        </w:tc>
      </w:tr>
    </w:tbl>
    <w:p w14:paraId="280AF910">
      <w:pPr>
        <w:pStyle w:val="4"/>
        <w:jc w:val="left"/>
        <w:outlineLvl w:val="3"/>
      </w:pPr>
      <w:r>
        <w:rPr>
          <w:rFonts w:ascii="仿宋_GB2312" w:hAnsi="仿宋_GB2312" w:eastAsia="仿宋_GB2312" w:cs="仿宋_GB2312"/>
          <w:b/>
          <w:sz w:val="24"/>
        </w:rPr>
        <w:t>3.3.2.商务要求</w:t>
      </w:r>
    </w:p>
    <w:p w14:paraId="476EDD4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854F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ADF639">
            <w:pPr>
              <w:pStyle w:val="4"/>
              <w:jc w:val="left"/>
            </w:pPr>
            <w:r>
              <w:rPr>
                <w:rFonts w:ascii="仿宋_GB2312" w:hAnsi="仿宋_GB2312" w:eastAsia="仿宋_GB2312" w:cs="仿宋_GB2312"/>
              </w:rPr>
              <w:t>序号</w:t>
            </w:r>
          </w:p>
        </w:tc>
        <w:tc>
          <w:tcPr>
            <w:tcW w:w="2076" w:type="dxa"/>
          </w:tcPr>
          <w:p w14:paraId="6477BE31">
            <w:pPr>
              <w:pStyle w:val="4"/>
              <w:jc w:val="left"/>
            </w:pPr>
            <w:r>
              <w:rPr>
                <w:rFonts w:ascii="仿宋_GB2312" w:hAnsi="仿宋_GB2312" w:eastAsia="仿宋_GB2312" w:cs="仿宋_GB2312"/>
              </w:rPr>
              <w:t>符号标识</w:t>
            </w:r>
          </w:p>
        </w:tc>
        <w:tc>
          <w:tcPr>
            <w:tcW w:w="2076" w:type="dxa"/>
          </w:tcPr>
          <w:p w14:paraId="24B9BBC2">
            <w:pPr>
              <w:pStyle w:val="4"/>
              <w:jc w:val="left"/>
            </w:pPr>
            <w:r>
              <w:rPr>
                <w:rFonts w:ascii="仿宋_GB2312" w:hAnsi="仿宋_GB2312" w:eastAsia="仿宋_GB2312" w:cs="仿宋_GB2312"/>
              </w:rPr>
              <w:t>商务要求名称</w:t>
            </w:r>
          </w:p>
        </w:tc>
        <w:tc>
          <w:tcPr>
            <w:tcW w:w="2076" w:type="dxa"/>
          </w:tcPr>
          <w:p w14:paraId="3C1D9FE1">
            <w:pPr>
              <w:pStyle w:val="4"/>
              <w:jc w:val="left"/>
            </w:pPr>
            <w:r>
              <w:rPr>
                <w:rFonts w:ascii="仿宋_GB2312" w:hAnsi="仿宋_GB2312" w:eastAsia="仿宋_GB2312" w:cs="仿宋_GB2312"/>
              </w:rPr>
              <w:t>商务要求内容</w:t>
            </w:r>
          </w:p>
        </w:tc>
      </w:tr>
      <w:tr w14:paraId="2A101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3770C1">
            <w:pPr>
              <w:pStyle w:val="4"/>
              <w:jc w:val="left"/>
            </w:pPr>
            <w:r>
              <w:rPr>
                <w:rFonts w:ascii="仿宋_GB2312" w:hAnsi="仿宋_GB2312" w:eastAsia="仿宋_GB2312" w:cs="仿宋_GB2312"/>
              </w:rPr>
              <w:t>1</w:t>
            </w:r>
          </w:p>
        </w:tc>
        <w:tc>
          <w:tcPr>
            <w:tcW w:w="2076" w:type="dxa"/>
          </w:tcPr>
          <w:p w14:paraId="1EA27005">
            <w:pPr>
              <w:pStyle w:val="4"/>
              <w:jc w:val="left"/>
            </w:pPr>
            <w:r>
              <w:rPr>
                <w:rFonts w:ascii="仿宋_GB2312" w:hAnsi="仿宋_GB2312" w:eastAsia="仿宋_GB2312" w:cs="仿宋_GB2312"/>
              </w:rPr>
              <w:t>★</w:t>
            </w:r>
          </w:p>
        </w:tc>
        <w:tc>
          <w:tcPr>
            <w:tcW w:w="2076" w:type="dxa"/>
          </w:tcPr>
          <w:p w14:paraId="379597AE">
            <w:pPr>
              <w:pStyle w:val="4"/>
              <w:jc w:val="left"/>
            </w:pPr>
            <w:r>
              <w:rPr>
                <w:rFonts w:ascii="仿宋_GB2312" w:hAnsi="仿宋_GB2312" w:eastAsia="仿宋_GB2312" w:cs="仿宋_GB2312"/>
              </w:rPr>
              <w:t>服务期限</w:t>
            </w:r>
          </w:p>
        </w:tc>
        <w:tc>
          <w:tcPr>
            <w:tcW w:w="2076" w:type="dxa"/>
          </w:tcPr>
          <w:p w14:paraId="7B306A6C">
            <w:pPr>
              <w:pStyle w:val="4"/>
              <w:jc w:val="left"/>
            </w:pPr>
            <w:r>
              <w:rPr>
                <w:rFonts w:ascii="仿宋_GB2312" w:hAnsi="仿宋_GB2312" w:eastAsia="仿宋_GB2312" w:cs="仿宋_GB2312"/>
              </w:rPr>
              <w:t>60</w:t>
            </w:r>
          </w:p>
        </w:tc>
      </w:tr>
      <w:tr w14:paraId="000D1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166A83">
            <w:pPr>
              <w:pStyle w:val="4"/>
              <w:jc w:val="left"/>
            </w:pPr>
            <w:r>
              <w:rPr>
                <w:rFonts w:ascii="仿宋_GB2312" w:hAnsi="仿宋_GB2312" w:eastAsia="仿宋_GB2312" w:cs="仿宋_GB2312"/>
              </w:rPr>
              <w:t>2</w:t>
            </w:r>
          </w:p>
        </w:tc>
        <w:tc>
          <w:tcPr>
            <w:tcW w:w="2076" w:type="dxa"/>
          </w:tcPr>
          <w:p w14:paraId="6BFB6E47">
            <w:pPr>
              <w:pStyle w:val="4"/>
              <w:jc w:val="left"/>
            </w:pPr>
            <w:r>
              <w:rPr>
                <w:rFonts w:ascii="仿宋_GB2312" w:hAnsi="仿宋_GB2312" w:eastAsia="仿宋_GB2312" w:cs="仿宋_GB2312"/>
              </w:rPr>
              <w:t>★</w:t>
            </w:r>
          </w:p>
        </w:tc>
        <w:tc>
          <w:tcPr>
            <w:tcW w:w="2076" w:type="dxa"/>
          </w:tcPr>
          <w:p w14:paraId="510F8491">
            <w:pPr>
              <w:pStyle w:val="4"/>
              <w:jc w:val="left"/>
            </w:pPr>
            <w:r>
              <w:rPr>
                <w:rFonts w:ascii="仿宋_GB2312" w:hAnsi="仿宋_GB2312" w:eastAsia="仿宋_GB2312" w:cs="仿宋_GB2312"/>
              </w:rPr>
              <w:t>服务地点</w:t>
            </w:r>
          </w:p>
        </w:tc>
        <w:tc>
          <w:tcPr>
            <w:tcW w:w="2076" w:type="dxa"/>
          </w:tcPr>
          <w:p w14:paraId="5FF85572">
            <w:pPr>
              <w:pStyle w:val="4"/>
              <w:jc w:val="left"/>
            </w:pPr>
            <w:r>
              <w:rPr>
                <w:rFonts w:ascii="仿宋_GB2312" w:hAnsi="仿宋_GB2312" w:eastAsia="仿宋_GB2312" w:cs="仿宋_GB2312"/>
              </w:rPr>
              <w:t>峨边彝族自治县新林镇、毛坪镇、沙坪镇东风社区。</w:t>
            </w:r>
          </w:p>
        </w:tc>
      </w:tr>
      <w:tr w14:paraId="6F791E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83FD7F">
            <w:pPr>
              <w:pStyle w:val="4"/>
              <w:jc w:val="left"/>
            </w:pPr>
            <w:r>
              <w:rPr>
                <w:rFonts w:ascii="仿宋_GB2312" w:hAnsi="仿宋_GB2312" w:eastAsia="仿宋_GB2312" w:cs="仿宋_GB2312"/>
              </w:rPr>
              <w:t>3</w:t>
            </w:r>
          </w:p>
        </w:tc>
        <w:tc>
          <w:tcPr>
            <w:tcW w:w="2076" w:type="dxa"/>
          </w:tcPr>
          <w:p w14:paraId="2B9CC6E9">
            <w:pPr>
              <w:pStyle w:val="4"/>
              <w:jc w:val="left"/>
            </w:pPr>
            <w:r>
              <w:rPr>
                <w:rFonts w:ascii="仿宋_GB2312" w:hAnsi="仿宋_GB2312" w:eastAsia="仿宋_GB2312" w:cs="仿宋_GB2312"/>
              </w:rPr>
              <w:t>★</w:t>
            </w:r>
          </w:p>
        </w:tc>
        <w:tc>
          <w:tcPr>
            <w:tcW w:w="2076" w:type="dxa"/>
          </w:tcPr>
          <w:p w14:paraId="3A950CA0">
            <w:pPr>
              <w:pStyle w:val="4"/>
              <w:jc w:val="left"/>
            </w:pPr>
            <w:r>
              <w:rPr>
                <w:rFonts w:ascii="仿宋_GB2312" w:hAnsi="仿宋_GB2312" w:eastAsia="仿宋_GB2312" w:cs="仿宋_GB2312"/>
              </w:rPr>
              <w:t>验收、交付标准和方法</w:t>
            </w:r>
          </w:p>
        </w:tc>
        <w:tc>
          <w:tcPr>
            <w:tcW w:w="2076" w:type="dxa"/>
          </w:tcPr>
          <w:p w14:paraId="0E2BCDAB">
            <w:pPr>
              <w:pStyle w:val="4"/>
              <w:jc w:val="left"/>
            </w:pPr>
            <w:r>
              <w:rPr>
                <w:rFonts w:ascii="仿宋_GB2312" w:hAnsi="仿宋_GB2312" w:eastAsia="仿宋_GB2312" w:cs="仿宋_GB2312"/>
              </w:rPr>
              <w:t>严格按照《财政部关于进一步加强政府采购需求和履约验收管理的指导意见》（财库〔2016〕205号）、《政府采购需求管理办法》（财库〔2021〕22号）的要求进行验收。 其他未尽事项按照《财政部关于进一步加强政府采购需求和履约验收管理的指导意见》（财库〔2016〕205号）、《乐山市财政局关于沿用乐山市政府采购项目需求论证和履约验收管理实施细则的通知》（乐市财政采〔2021〕8 号）和《政府采购需求管理办法》（财库〔2021〕22号）要求执行。</w:t>
            </w:r>
          </w:p>
        </w:tc>
      </w:tr>
      <w:tr w14:paraId="43558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2626FC">
            <w:pPr>
              <w:pStyle w:val="4"/>
              <w:jc w:val="left"/>
            </w:pPr>
            <w:r>
              <w:rPr>
                <w:rFonts w:ascii="仿宋_GB2312" w:hAnsi="仿宋_GB2312" w:eastAsia="仿宋_GB2312" w:cs="仿宋_GB2312"/>
              </w:rPr>
              <w:t>4</w:t>
            </w:r>
          </w:p>
        </w:tc>
        <w:tc>
          <w:tcPr>
            <w:tcW w:w="2076" w:type="dxa"/>
          </w:tcPr>
          <w:p w14:paraId="42619B30">
            <w:pPr>
              <w:pStyle w:val="4"/>
              <w:jc w:val="left"/>
            </w:pPr>
            <w:r>
              <w:rPr>
                <w:rFonts w:ascii="仿宋_GB2312" w:hAnsi="仿宋_GB2312" w:eastAsia="仿宋_GB2312" w:cs="仿宋_GB2312"/>
              </w:rPr>
              <w:t>★</w:t>
            </w:r>
          </w:p>
        </w:tc>
        <w:tc>
          <w:tcPr>
            <w:tcW w:w="2076" w:type="dxa"/>
          </w:tcPr>
          <w:p w14:paraId="3077AA91">
            <w:pPr>
              <w:pStyle w:val="4"/>
              <w:jc w:val="left"/>
            </w:pPr>
            <w:r>
              <w:rPr>
                <w:rFonts w:ascii="仿宋_GB2312" w:hAnsi="仿宋_GB2312" w:eastAsia="仿宋_GB2312" w:cs="仿宋_GB2312"/>
              </w:rPr>
              <w:t>支付方式</w:t>
            </w:r>
          </w:p>
        </w:tc>
        <w:tc>
          <w:tcPr>
            <w:tcW w:w="2076" w:type="dxa"/>
          </w:tcPr>
          <w:p w14:paraId="014D975C">
            <w:pPr>
              <w:pStyle w:val="4"/>
              <w:jc w:val="left"/>
            </w:pPr>
            <w:r>
              <w:rPr>
                <w:rFonts w:ascii="仿宋_GB2312" w:hAnsi="仿宋_GB2312" w:eastAsia="仿宋_GB2312" w:cs="仿宋_GB2312"/>
              </w:rPr>
              <w:t>分期付款</w:t>
            </w:r>
          </w:p>
        </w:tc>
      </w:tr>
      <w:tr w14:paraId="412F1F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31EFC3">
            <w:pPr>
              <w:pStyle w:val="4"/>
              <w:jc w:val="left"/>
            </w:pPr>
            <w:r>
              <w:rPr>
                <w:rFonts w:ascii="仿宋_GB2312" w:hAnsi="仿宋_GB2312" w:eastAsia="仿宋_GB2312" w:cs="仿宋_GB2312"/>
              </w:rPr>
              <w:t>5</w:t>
            </w:r>
          </w:p>
        </w:tc>
        <w:tc>
          <w:tcPr>
            <w:tcW w:w="2076" w:type="dxa"/>
          </w:tcPr>
          <w:p w14:paraId="0A54FDFE">
            <w:pPr>
              <w:pStyle w:val="4"/>
              <w:jc w:val="left"/>
            </w:pPr>
            <w:r>
              <w:rPr>
                <w:rFonts w:ascii="仿宋_GB2312" w:hAnsi="仿宋_GB2312" w:eastAsia="仿宋_GB2312" w:cs="仿宋_GB2312"/>
              </w:rPr>
              <w:t>★</w:t>
            </w:r>
          </w:p>
        </w:tc>
        <w:tc>
          <w:tcPr>
            <w:tcW w:w="2076" w:type="dxa"/>
          </w:tcPr>
          <w:p w14:paraId="76B02235">
            <w:pPr>
              <w:pStyle w:val="4"/>
              <w:jc w:val="left"/>
            </w:pPr>
            <w:r>
              <w:rPr>
                <w:rFonts w:ascii="仿宋_GB2312" w:hAnsi="仿宋_GB2312" w:eastAsia="仿宋_GB2312" w:cs="仿宋_GB2312"/>
              </w:rPr>
              <w:t>付款进度安排</w:t>
            </w:r>
          </w:p>
        </w:tc>
        <w:tc>
          <w:tcPr>
            <w:tcW w:w="2076" w:type="dxa"/>
          </w:tcPr>
          <w:p w14:paraId="44B24C84">
            <w:pPr>
              <w:pStyle w:val="4"/>
              <w:jc w:val="left"/>
            </w:pPr>
            <w:r>
              <w:rPr>
                <w:rFonts w:ascii="仿宋_GB2312" w:hAnsi="仿宋_GB2312" w:eastAsia="仿宋_GB2312" w:cs="仿宋_GB2312"/>
              </w:rPr>
              <w:t>1付款条件：双方合同签订后，采购方收到成交供应商提交的票据凭证资料后，达到该付款条件起10个工作日内，支付合同总金额的40.00%</w:t>
            </w:r>
          </w:p>
          <w:p w14:paraId="69900A61">
            <w:pPr>
              <w:pStyle w:val="4"/>
              <w:jc w:val="left"/>
            </w:pPr>
            <w:r>
              <w:rPr>
                <w:rFonts w:ascii="仿宋_GB2312" w:hAnsi="仿宋_GB2312" w:eastAsia="仿宋_GB2312" w:cs="仿宋_GB2312"/>
              </w:rPr>
              <w:t>2付款条件：服务完成且通过验收后，采购方收到供应商提交的票据凭证资料后，达到该付款条件起10个工作日内，支付合同总金额的60.00%</w:t>
            </w:r>
          </w:p>
        </w:tc>
      </w:tr>
      <w:tr w14:paraId="1D97EF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2E5F1F">
            <w:pPr>
              <w:pStyle w:val="4"/>
              <w:jc w:val="left"/>
            </w:pPr>
            <w:r>
              <w:rPr>
                <w:rFonts w:ascii="仿宋_GB2312" w:hAnsi="仿宋_GB2312" w:eastAsia="仿宋_GB2312" w:cs="仿宋_GB2312"/>
              </w:rPr>
              <w:t>6</w:t>
            </w:r>
          </w:p>
        </w:tc>
        <w:tc>
          <w:tcPr>
            <w:tcW w:w="2076" w:type="dxa"/>
          </w:tcPr>
          <w:p w14:paraId="2373D676">
            <w:pPr>
              <w:pStyle w:val="4"/>
              <w:jc w:val="left"/>
            </w:pPr>
            <w:r>
              <w:rPr>
                <w:rFonts w:ascii="仿宋_GB2312" w:hAnsi="仿宋_GB2312" w:eastAsia="仿宋_GB2312" w:cs="仿宋_GB2312"/>
              </w:rPr>
              <w:t>★</w:t>
            </w:r>
          </w:p>
        </w:tc>
        <w:tc>
          <w:tcPr>
            <w:tcW w:w="2076" w:type="dxa"/>
          </w:tcPr>
          <w:p w14:paraId="174AF13B">
            <w:pPr>
              <w:pStyle w:val="4"/>
              <w:jc w:val="left"/>
            </w:pPr>
            <w:r>
              <w:rPr>
                <w:rFonts w:ascii="仿宋_GB2312" w:hAnsi="仿宋_GB2312" w:eastAsia="仿宋_GB2312" w:cs="仿宋_GB2312"/>
              </w:rPr>
              <w:t>违约责任与解决争议的方法</w:t>
            </w:r>
          </w:p>
        </w:tc>
        <w:tc>
          <w:tcPr>
            <w:tcW w:w="2076" w:type="dxa"/>
          </w:tcPr>
          <w:p w14:paraId="56FD3CC3">
            <w:pPr>
              <w:pStyle w:val="4"/>
              <w:jc w:val="left"/>
            </w:pPr>
            <w:r>
              <w:rPr>
                <w:rFonts w:ascii="仿宋_GB2312" w:hAnsi="仿宋_GB2312" w:eastAsia="仿宋_GB2312" w:cs="仿宋_GB2312"/>
              </w:rPr>
              <w:t>1、甲、乙双方必须遵守本合同并执行合同中的各项规定，保证本合同的正常履行。任何一方违约给对方造成的直接损失均负有赔偿责任，对方均有权视情况要求对方继续履行合同或提出解除合同。 2、如因乙方工作人员在履行职务过程中的疏忽、失职、过错等故意或者过失原因给甲方造成损失或侵害，包括但不限于甲方本身的财产损失、由此而导致的甲方对任何第三方的法律责任等，乙方对此均应承担全部的赔偿责任。 3、有下列情形之一的，当事人可以解除合同： 3.1因不可抗力致使不能实现合同目的(由于非乙方或甲 方原因，致使合同实质性条款无法实现的)； 3.2当事人一方迟延履行主要债务，经催告后在合理期限内仍未履行； 3.3当事人一方迟延履行债务或者有其他违约行为致使不能实现合同目的； 3.4法律规定的其他情形。 合同履行期间,若双方发生争议，可协商或由有关部门调解解决，协商或调解不成的，按照下列方式解决(任选一项，且只能选择一项，在选定的一项前的方框内打“√”)：☑ 向峨边县仲裁委员会申请仲裁；□ 向项目所在地人民法院起诉。 4.1仲裁裁决应为最终决定，并对双方具有约束力。 4.2除另有裁决外，仲裁费应由败诉方负担。 4.3在仲裁期间，除正在进行仲裁部分外，合同其他部分继续执行。</w:t>
            </w:r>
          </w:p>
        </w:tc>
      </w:tr>
    </w:tbl>
    <w:p w14:paraId="2960AB0D">
      <w:pPr>
        <w:pStyle w:val="4"/>
        <w:jc w:val="left"/>
        <w:outlineLvl w:val="2"/>
      </w:pPr>
      <w:r>
        <w:rPr>
          <w:rFonts w:ascii="仿宋_GB2312" w:hAnsi="仿宋_GB2312" w:eastAsia="仿宋_GB2312" w:cs="仿宋_GB2312"/>
          <w:b/>
          <w:sz w:val="28"/>
        </w:rPr>
        <w:t>3.4.其他要求</w:t>
      </w:r>
    </w:p>
    <w:p w14:paraId="39A081E8">
      <w:pPr>
        <w:pStyle w:val="4"/>
        <w:ind w:firstLine="480"/>
        <w:jc w:val="left"/>
      </w:pPr>
      <w:r>
        <w:rPr>
          <w:rFonts w:ascii="仿宋_GB2312" w:hAnsi="仿宋_GB2312" w:eastAsia="仿宋_GB2312" w:cs="仿宋_GB2312"/>
        </w:rPr>
        <w:t>采购包1：</w:t>
      </w:r>
    </w:p>
    <w:p w14:paraId="265CD887">
      <w:pPr>
        <w:pStyle w:val="4"/>
        <w:jc w:val="left"/>
      </w:pPr>
      <w:r>
        <w:rPr>
          <w:rFonts w:ascii="仿宋_GB2312" w:hAnsi="仿宋_GB2312" w:eastAsia="仿宋_GB2312" w:cs="仿宋_GB2312"/>
        </w:rPr>
        <w:t>1.知识产权:成交供应商提交的成果没有侵犯第三方知识产权，如有任何相关纠纷，供应商负全部责任。 2.保密要求：成交供应商及其工作人员应严格保密，不得擅自将本项目所涉及的任何资料和数据提供给第三方。因泄密所产生的一切后果由成交供应商承担。 3.保险：按国家相关规定执行。 4.其他未尽事宜采购人可在采购合同中约定。</w:t>
      </w:r>
    </w:p>
    <w:p w14:paraId="75933CD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AA4200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690E36"/>
    <w:rsid w:val="59690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2026-08-25T09:13:00Z</dcterms:created>
  <dc:creator>、_Solo</dc:creator>
  <cp:lastModifiedBy>、_Solo</cp:lastModifiedBy>
  <dcterms:modified xsi:type="dcterms:W3CDTF">2026-08-25T09:14:03Z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0214B09F4FA34850B07224DC33498278_11</vt:lpwstr>
  </property>
  <property fmtid="{D5CDD505-2E9C-101B-9397-08002B2CF9AE}" pid="4" name="KSOTemplateDocerSaveRecord">
    <vt:lpwstr>eyJoZGlkIjoiNjc0YmFhM2I2ZDNkMWMxZmJhMmM1NWRmMzNiNWI3OTUiLCJ1c2VySWQiOiI1MTcyMjA4MTgifQ==</vt:lpwstr>
  </property>
</Properties>
</file>