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C2734">
      <w:pPr>
        <w:spacing w:line="720" w:lineRule="auto"/>
        <w:jc w:val="center"/>
        <w:rPr>
          <w:rFonts w:hint="eastAsia" w:ascii="仿宋" w:hAnsi="仿宋" w:eastAsia="仿宋" w:cs="仿宋"/>
          <w:b/>
          <w:sz w:val="32"/>
          <w:szCs w:val="32"/>
          <w:lang w:val="en-US" w:eastAsia="zh-CN"/>
        </w:rPr>
      </w:pPr>
      <w:bookmarkStart w:id="21" w:name="_GoBack"/>
      <w:r>
        <w:rPr>
          <w:rFonts w:hint="eastAsia" w:ascii="仿宋" w:hAnsi="仿宋" w:eastAsia="仿宋" w:cs="仿宋"/>
          <w:b/>
          <w:sz w:val="32"/>
          <w:szCs w:val="32"/>
        </w:rPr>
        <w:t>国家外汇管理局2026年非现场检查分析应用软件升级改造（四期）项目</w:t>
      </w:r>
      <w:r>
        <w:rPr>
          <w:rFonts w:hint="eastAsia" w:ascii="仿宋" w:hAnsi="仿宋" w:eastAsia="仿宋" w:cs="仿宋"/>
          <w:b/>
          <w:sz w:val="32"/>
          <w:szCs w:val="32"/>
          <w:lang w:val="en-US" w:eastAsia="zh-CN"/>
        </w:rPr>
        <w:t>公开招标公告</w:t>
      </w:r>
    </w:p>
    <w:bookmarkEnd w:id="21"/>
    <w:p w14:paraId="64B117BA">
      <w:pPr>
        <w:spacing w:line="720" w:lineRule="auto"/>
        <w:jc w:val="center"/>
        <w:rPr>
          <w:rFonts w:hint="eastAsia" w:ascii="仿宋" w:hAnsi="仿宋" w:eastAsia="仿宋" w:cs="仿宋"/>
          <w:b/>
          <w:sz w:val="32"/>
          <w:szCs w:val="32"/>
          <w:lang w:val="en-US" w:eastAsia="zh-CN"/>
        </w:rPr>
      </w:pPr>
    </w:p>
    <w:p w14:paraId="6D1079DD">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sz w:val="24"/>
        </w:rPr>
      </w:pPr>
      <w:r>
        <w:rPr>
          <w:rFonts w:hint="eastAsia" w:ascii="仿宋" w:hAnsi="仿宋" w:eastAsia="仿宋" w:cs="仿宋"/>
          <w:sz w:val="24"/>
        </w:rPr>
        <w:t>项目概况</w:t>
      </w:r>
    </w:p>
    <w:p w14:paraId="3FE09D46">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sz w:val="24"/>
        </w:rPr>
      </w:pPr>
      <w:r>
        <w:rPr>
          <w:rFonts w:hint="eastAsia" w:ascii="仿宋" w:hAnsi="仿宋" w:eastAsia="仿宋" w:cs="仿宋"/>
          <w:sz w:val="24"/>
        </w:rPr>
        <w:t>国家外汇管理局2026年非现场检查分析应用软件升级改造（四期）项目的潜在投标人应在北京市丰台区西三环南路14号院首科大厦A座4层405号中技国际招标有限公司会议中心（可以在中国通用招标网下载）获取招标文件，并于2026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3</w:t>
      </w:r>
      <w:r>
        <w:rPr>
          <w:rFonts w:hint="eastAsia" w:ascii="仿宋" w:hAnsi="仿宋" w:eastAsia="仿宋" w:cs="仿宋"/>
          <w:sz w:val="24"/>
        </w:rPr>
        <w:t>日09:30时（北京时间）前递交投标文件。</w:t>
      </w:r>
    </w:p>
    <w:p w14:paraId="5CDAC79F">
      <w:pPr>
        <w:spacing w:before="200" w:after="200"/>
        <w:rPr>
          <w:rFonts w:ascii="仿宋" w:hAnsi="仿宋" w:eastAsia="仿宋" w:cs="仿宋"/>
          <w:b/>
          <w:kern w:val="0"/>
          <w:sz w:val="24"/>
        </w:rPr>
      </w:pPr>
      <w:bookmarkStart w:id="0" w:name="_Toc28359002"/>
      <w:bookmarkStart w:id="1" w:name="_Toc28359079"/>
      <w:bookmarkStart w:id="2" w:name="_Hlk24379207"/>
      <w:r>
        <w:rPr>
          <w:rFonts w:hint="eastAsia" w:ascii="仿宋" w:hAnsi="仿宋" w:eastAsia="仿宋" w:cs="仿宋"/>
          <w:b/>
          <w:kern w:val="0"/>
          <w:sz w:val="24"/>
        </w:rPr>
        <w:t>一、项目基本情况</w:t>
      </w:r>
      <w:bookmarkEnd w:id="0"/>
      <w:bookmarkEnd w:id="1"/>
    </w:p>
    <w:p w14:paraId="295F765C">
      <w:pPr>
        <w:widowControl w:val="0"/>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rPr>
        <w:t>1.招标编号：0701-2641070400</w:t>
      </w:r>
      <w:r>
        <w:rPr>
          <w:rFonts w:hint="eastAsia" w:ascii="仿宋" w:hAnsi="仿宋" w:eastAsia="仿宋" w:cs="仿宋"/>
          <w:sz w:val="24"/>
          <w:lang w:val="en-US" w:eastAsia="zh-CN"/>
        </w:rPr>
        <w:t>60</w:t>
      </w:r>
    </w:p>
    <w:p w14:paraId="6DF9A4A8">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2.项目名称：国家外汇管理局2026年非现场检查分析应用软件升级改造（四期）项目</w:t>
      </w:r>
    </w:p>
    <w:bookmarkEnd w:id="2"/>
    <w:p w14:paraId="77AA38BC">
      <w:pPr>
        <w:widowControl w:val="0"/>
        <w:spacing w:line="360" w:lineRule="auto"/>
        <w:ind w:firstLine="480" w:firstLineChars="200"/>
        <w:rPr>
          <w:rFonts w:ascii="仿宋" w:hAnsi="仿宋" w:eastAsia="仿宋" w:cs="仿宋"/>
        </w:rPr>
      </w:pPr>
      <w:r>
        <w:rPr>
          <w:rFonts w:hint="eastAsia" w:ascii="仿宋" w:hAnsi="仿宋" w:eastAsia="仿宋" w:cs="仿宋"/>
          <w:sz w:val="24"/>
        </w:rPr>
        <w:t>3.预算金额：462万元人民币</w:t>
      </w:r>
    </w:p>
    <w:p w14:paraId="2681AE8A">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4.最高限价：462万元人民币</w:t>
      </w:r>
    </w:p>
    <w:p w14:paraId="7D211BC5">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5.采购需求：</w:t>
      </w:r>
    </w:p>
    <w:p w14:paraId="0EB2178C">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（1）采购标的需实现的功能或者目标；</w:t>
      </w:r>
    </w:p>
    <w:p w14:paraId="57814F1C">
      <w:pPr>
        <w:widowControl w:val="0"/>
        <w:spacing w:line="360" w:lineRule="auto"/>
        <w:ind w:firstLine="480" w:firstLineChars="200"/>
        <w:rPr>
          <w:rFonts w:ascii="仿宋" w:hAnsi="仿宋" w:eastAsia="仿宋" w:cs="仿宋"/>
          <w:sz w:val="24"/>
        </w:rPr>
      </w:pPr>
      <w:r>
        <w:rPr>
          <w:rFonts w:hint="eastAsia" w:eastAsia="仿宋_GB2312"/>
          <w:sz w:val="24"/>
        </w:rPr>
        <w:t>以流程标准化贯通、操作低代码化、数据高质量支撑、安全全流程可控为核心，搭建“可视化工作流+组件化工具+流程自动化+数据治理+安全防护”一体化的外汇非现场检查分析四期系统，实现监管流程可复用、分析操作便捷化、基础任务自动化、数据溯源可追溯、安全管控全闭环，减少重复性手工操作，提升非现场检查工作效率与研判精准度，构建贴合外汇监管业务特性的现代化非现场检查体系</w:t>
      </w:r>
      <w:r>
        <w:rPr>
          <w:rFonts w:eastAsia="仿宋_GB2312"/>
          <w:sz w:val="24"/>
        </w:rPr>
        <w:t>。</w:t>
      </w:r>
    </w:p>
    <w:p w14:paraId="78451D7E">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（2）采购标的需执行的国家相关标准、行业标准、地方标准或者其他标准、规范；</w:t>
      </w:r>
    </w:p>
    <w:p w14:paraId="13EA5E1B">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遵守我国相关法律、法规和行政管理规章制度，遵守采购人的相关保密要求。</w:t>
      </w:r>
    </w:p>
    <w:p w14:paraId="3D8C3375">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（3）采购标的需满足的质量、安全、技术规格、物理特性等要求；</w:t>
      </w:r>
    </w:p>
    <w:p w14:paraId="0E6573C4">
      <w:pPr>
        <w:spacing w:line="360" w:lineRule="auto"/>
        <w:ind w:firstLine="480" w:firstLineChars="200"/>
        <w:rPr>
          <w:rFonts w:ascii="仿宋" w:hAnsi="仿宋" w:eastAsia="仿宋" w:cs="仿宋"/>
          <w:color w:val="000000"/>
          <w:sz w:val="24"/>
        </w:rPr>
      </w:pPr>
      <w:r>
        <w:rPr>
          <w:rFonts w:hint="eastAsia" w:eastAsia="仿宋_GB2312"/>
          <w:sz w:val="24"/>
        </w:rPr>
        <w:t>系统推广运行后，投标人继续提供3年的技术支持服务，其中前6个月提供2人（从项目组人员中选留，在外汇局现场办公）的技术支持服务；现场技术支持结束后，继续提供2.5年的非现场技术支持服务</w:t>
      </w:r>
      <w:r>
        <w:rPr>
          <w:rFonts w:eastAsia="仿宋_GB2312"/>
          <w:sz w:val="24"/>
        </w:rPr>
        <w:t>。</w:t>
      </w:r>
    </w:p>
    <w:p w14:paraId="5DEB3644">
      <w:pPr>
        <w:widowControl w:val="0"/>
        <w:numPr>
          <w:ilvl w:val="0"/>
          <w:numId w:val="1"/>
        </w:numPr>
        <w:spacing w:line="360" w:lineRule="auto"/>
        <w:ind w:firstLine="480" w:firstLineChars="200"/>
        <w:rPr>
          <w:rFonts w:ascii="仿宋" w:hAnsi="仿宋" w:eastAsia="仿宋" w:cs="仿宋"/>
          <w:sz w:val="24"/>
        </w:rPr>
      </w:pPr>
      <w:r>
        <w:rPr>
          <w:rFonts w:hint="eastAsia" w:ascii="仿宋" w:hAnsi="仿宋" w:eastAsia="仿宋" w:cs="仿宋"/>
          <w:sz w:val="24"/>
        </w:rPr>
        <w:t>采购标的的数量、采购项目交付或者实施的时间和地点；</w:t>
      </w:r>
    </w:p>
    <w:p w14:paraId="67DBEDE2">
      <w:pPr>
        <w:pStyle w:val="4"/>
        <w:rPr>
          <w:rFonts w:ascii="仿宋" w:hAnsi="仿宋" w:eastAsia="仿宋" w:cs="仿宋"/>
        </w:rPr>
      </w:pPr>
    </w:p>
    <w:tbl>
      <w:tblPr>
        <w:tblStyle w:val="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6"/>
        <w:gridCol w:w="859"/>
        <w:gridCol w:w="1556"/>
        <w:gridCol w:w="2091"/>
      </w:tblGrid>
      <w:tr w14:paraId="27B0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355" w:type="pct"/>
            <w:noWrap/>
            <w:vAlign w:val="center"/>
          </w:tcPr>
          <w:p w14:paraId="4C9C8512">
            <w:pPr>
              <w:snapToGrid w:val="0"/>
              <w:jc w:val="center"/>
              <w:rPr>
                <w:rFonts w:ascii="仿宋" w:hAnsi="仿宋" w:eastAsia="仿宋" w:cs="仿宋"/>
                <w:b/>
                <w:bCs/>
                <w:kern w:val="0"/>
                <w:sz w:val="24"/>
              </w:rPr>
            </w:pPr>
            <w:r>
              <w:rPr>
                <w:rFonts w:hint="eastAsia" w:ascii="仿宋" w:hAnsi="仿宋" w:eastAsia="仿宋" w:cs="仿宋"/>
                <w:b/>
                <w:bCs/>
                <w:kern w:val="0"/>
                <w:sz w:val="24"/>
              </w:rPr>
              <w:t>采购内容</w:t>
            </w:r>
          </w:p>
        </w:tc>
        <w:tc>
          <w:tcPr>
            <w:tcW w:w="504" w:type="pct"/>
            <w:noWrap/>
            <w:vAlign w:val="center"/>
          </w:tcPr>
          <w:p w14:paraId="7B302D44">
            <w:pPr>
              <w:snapToGrid w:val="0"/>
              <w:jc w:val="center"/>
              <w:rPr>
                <w:rFonts w:ascii="仿宋" w:hAnsi="仿宋" w:eastAsia="仿宋" w:cs="仿宋"/>
                <w:b/>
                <w:bCs/>
                <w:kern w:val="0"/>
                <w:sz w:val="24"/>
              </w:rPr>
            </w:pPr>
            <w:r>
              <w:rPr>
                <w:rFonts w:hint="eastAsia" w:ascii="仿宋" w:hAnsi="仿宋" w:eastAsia="仿宋" w:cs="仿宋"/>
                <w:b/>
                <w:bCs/>
                <w:kern w:val="0"/>
                <w:sz w:val="24"/>
              </w:rPr>
              <w:t>数量</w:t>
            </w:r>
          </w:p>
        </w:tc>
        <w:tc>
          <w:tcPr>
            <w:tcW w:w="912" w:type="pct"/>
            <w:noWrap/>
            <w:vAlign w:val="center"/>
          </w:tcPr>
          <w:p w14:paraId="70DC4A28">
            <w:pPr>
              <w:snapToGrid w:val="0"/>
              <w:jc w:val="center"/>
              <w:rPr>
                <w:rFonts w:ascii="仿宋" w:hAnsi="仿宋" w:eastAsia="仿宋" w:cs="仿宋"/>
                <w:b/>
                <w:bCs/>
                <w:kern w:val="0"/>
                <w:sz w:val="24"/>
              </w:rPr>
            </w:pPr>
            <w:r>
              <w:rPr>
                <w:rFonts w:hint="eastAsia" w:ascii="仿宋" w:hAnsi="仿宋" w:eastAsia="仿宋" w:cs="仿宋"/>
                <w:b/>
                <w:bCs/>
                <w:kern w:val="0"/>
                <w:sz w:val="24"/>
              </w:rPr>
              <w:t>实施时间</w:t>
            </w:r>
          </w:p>
        </w:tc>
        <w:tc>
          <w:tcPr>
            <w:tcW w:w="1226" w:type="pct"/>
            <w:noWrap/>
            <w:vAlign w:val="center"/>
          </w:tcPr>
          <w:p w14:paraId="68E7F97C">
            <w:pPr>
              <w:snapToGrid w:val="0"/>
              <w:jc w:val="center"/>
              <w:rPr>
                <w:rFonts w:ascii="仿宋" w:hAnsi="仿宋" w:eastAsia="仿宋" w:cs="仿宋"/>
                <w:b/>
                <w:bCs/>
                <w:kern w:val="0"/>
                <w:sz w:val="24"/>
              </w:rPr>
            </w:pPr>
            <w:r>
              <w:rPr>
                <w:rFonts w:hint="eastAsia" w:ascii="仿宋" w:hAnsi="仿宋" w:eastAsia="仿宋" w:cs="仿宋"/>
                <w:b/>
                <w:bCs/>
                <w:kern w:val="0"/>
                <w:sz w:val="24"/>
              </w:rPr>
              <w:t>实施地点</w:t>
            </w:r>
          </w:p>
        </w:tc>
      </w:tr>
      <w:tr w14:paraId="5B64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5" w:type="pct"/>
            <w:noWrap/>
            <w:vAlign w:val="center"/>
          </w:tcPr>
          <w:p w14:paraId="0374BD25">
            <w:pPr>
              <w:snapToGrid w:val="0"/>
              <w:jc w:val="center"/>
              <w:rPr>
                <w:rFonts w:ascii="仿宋" w:hAnsi="仿宋" w:eastAsia="仿宋" w:cs="仿宋"/>
                <w:sz w:val="24"/>
              </w:rPr>
            </w:pPr>
            <w:r>
              <w:rPr>
                <w:rFonts w:hint="eastAsia" w:ascii="仿宋" w:hAnsi="仿宋" w:eastAsia="仿宋" w:cs="仿宋"/>
                <w:sz w:val="24"/>
              </w:rPr>
              <w:t>2026年非现场检查分析应用软件升级改造（四期）</w:t>
            </w:r>
          </w:p>
        </w:tc>
        <w:tc>
          <w:tcPr>
            <w:tcW w:w="504" w:type="pct"/>
            <w:noWrap/>
            <w:vAlign w:val="center"/>
          </w:tcPr>
          <w:p w14:paraId="73F65934">
            <w:pPr>
              <w:snapToGrid w:val="0"/>
              <w:jc w:val="center"/>
              <w:rPr>
                <w:rFonts w:ascii="仿宋" w:hAnsi="仿宋" w:eastAsia="仿宋" w:cs="仿宋"/>
                <w:kern w:val="0"/>
                <w:sz w:val="24"/>
              </w:rPr>
            </w:pPr>
            <w:r>
              <w:rPr>
                <w:rFonts w:hint="eastAsia" w:ascii="仿宋" w:hAnsi="仿宋" w:eastAsia="仿宋" w:cs="仿宋"/>
                <w:kern w:val="0"/>
                <w:sz w:val="24"/>
              </w:rPr>
              <w:t>1项</w:t>
            </w:r>
          </w:p>
        </w:tc>
        <w:tc>
          <w:tcPr>
            <w:tcW w:w="912" w:type="pct"/>
            <w:noWrap/>
            <w:vAlign w:val="center"/>
          </w:tcPr>
          <w:p w14:paraId="07F644F9">
            <w:pPr>
              <w:snapToGrid w:val="0"/>
              <w:jc w:val="center"/>
              <w:rPr>
                <w:rFonts w:ascii="仿宋" w:hAnsi="仿宋" w:eastAsia="仿宋" w:cs="仿宋"/>
                <w:kern w:val="0"/>
                <w:sz w:val="24"/>
              </w:rPr>
            </w:pPr>
            <w:r>
              <w:rPr>
                <w:rFonts w:hint="eastAsia" w:ascii="仿宋" w:hAnsi="仿宋" w:eastAsia="仿宋" w:cs="仿宋"/>
                <w:sz w:val="24"/>
              </w:rPr>
              <w:t>14个月</w:t>
            </w:r>
          </w:p>
        </w:tc>
        <w:tc>
          <w:tcPr>
            <w:tcW w:w="1226" w:type="pct"/>
            <w:noWrap/>
            <w:vAlign w:val="center"/>
          </w:tcPr>
          <w:p w14:paraId="78DBAA24">
            <w:pPr>
              <w:snapToGrid w:val="0"/>
              <w:jc w:val="center"/>
              <w:rPr>
                <w:rFonts w:ascii="仿宋" w:hAnsi="仿宋" w:eastAsia="仿宋" w:cs="仿宋"/>
                <w:kern w:val="0"/>
                <w:sz w:val="24"/>
              </w:rPr>
            </w:pPr>
            <w:r>
              <w:rPr>
                <w:rFonts w:hint="eastAsia" w:ascii="仿宋" w:hAnsi="仿宋" w:eastAsia="仿宋" w:cs="仿宋"/>
                <w:kern w:val="0"/>
                <w:sz w:val="24"/>
              </w:rPr>
              <w:t>北京</w:t>
            </w:r>
          </w:p>
        </w:tc>
      </w:tr>
    </w:tbl>
    <w:p w14:paraId="1D9C3361">
      <w:pPr>
        <w:widowControl w:val="0"/>
        <w:spacing w:line="360" w:lineRule="auto"/>
        <w:ind w:firstLine="480" w:firstLineChars="200"/>
        <w:rPr>
          <w:rFonts w:ascii="仿宋" w:hAnsi="仿宋" w:eastAsia="仿宋" w:cs="仿宋"/>
        </w:rPr>
      </w:pPr>
      <w:r>
        <w:rPr>
          <w:rFonts w:hint="eastAsia" w:ascii="仿宋" w:hAnsi="仿宋" w:eastAsia="仿宋" w:cs="仿宋"/>
          <w:sz w:val="24"/>
        </w:rPr>
        <w:t>（5）采购标的需满足的服务标准、期限、效率等要求；</w:t>
      </w:r>
    </w:p>
    <w:p w14:paraId="02AA5A71">
      <w:pPr>
        <w:widowControl w:val="0"/>
        <w:spacing w:line="360" w:lineRule="auto"/>
        <w:ind w:firstLine="480" w:firstLineChars="200"/>
        <w:rPr>
          <w:rFonts w:eastAsia="仿宋_GB2312"/>
          <w:bCs/>
          <w:sz w:val="24"/>
        </w:rPr>
      </w:pPr>
      <w:r>
        <w:rPr>
          <w:rFonts w:hint="eastAsia" w:eastAsia="仿宋_GB2312"/>
          <w:sz w:val="24"/>
        </w:rPr>
        <w:t>应用至少满足50个并发用户，2000个在线用户的性能要求。对业务功能界面单一操作的系统响应时间小于5秒,简单数据查询秒级响应，复杂数据查询分钟级响应；在关键路径上实现冗余，关键点上支持热备或集群，并支持运行中的数据同步和故障发生时的系统自动接管。平均年故障时间小于1天，平均故障现场修复时间小于30分钟</w:t>
      </w:r>
      <w:r>
        <w:rPr>
          <w:rFonts w:hint="eastAsia" w:eastAsia="仿宋_GB2312"/>
          <w:bCs/>
          <w:sz w:val="24"/>
        </w:rPr>
        <w:t>。</w:t>
      </w:r>
    </w:p>
    <w:p w14:paraId="26820604">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（6）采购标的的验收标准；</w:t>
      </w:r>
    </w:p>
    <w:p w14:paraId="2D2FB21E">
      <w:pPr>
        <w:spacing w:line="360" w:lineRule="auto"/>
        <w:ind w:firstLine="480" w:firstLineChars="200"/>
        <w:rPr>
          <w:rFonts w:ascii="仿宋" w:hAnsi="仿宋" w:eastAsia="仿宋" w:cs="仿宋"/>
          <w:sz w:val="24"/>
        </w:rPr>
      </w:pPr>
      <w:r>
        <w:rPr>
          <w:rFonts w:hint="eastAsia" w:eastAsia="仿宋_GB2312"/>
          <w:sz w:val="24"/>
        </w:rPr>
        <w:t>投标人应在规定时间内完成全部工作，将全部交付成果和资料提交给外汇局，项目实施过程中形成的开发成果资料、最终交付项的所有权归外汇局所有。每阶段工作完成后，均须提交相应阶段的项目文档</w:t>
      </w:r>
      <w:r>
        <w:rPr>
          <w:rFonts w:eastAsia="仿宋_GB2312"/>
          <w:sz w:val="24"/>
        </w:rPr>
        <w:t>。</w:t>
      </w:r>
    </w:p>
    <w:p w14:paraId="3F6787B3">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（7）采购标的的其他技术、服务等要求。</w:t>
      </w:r>
    </w:p>
    <w:p w14:paraId="63B41BCA">
      <w:pPr>
        <w:widowControl w:val="0"/>
        <w:spacing w:line="360" w:lineRule="auto"/>
        <w:ind w:firstLine="480" w:firstLineChars="200"/>
        <w:rPr>
          <w:rFonts w:ascii="仿宋" w:hAnsi="仿宋" w:eastAsia="仿宋" w:cs="仿宋"/>
          <w:sz w:val="24"/>
        </w:rPr>
      </w:pPr>
      <w:r>
        <w:rPr>
          <w:rFonts w:hint="eastAsia" w:eastAsia="仿宋_GB2312"/>
          <w:sz w:val="24"/>
        </w:rPr>
        <w:t>投标人中标后须与外汇局签订保密协议，保证外汇局的系统和数据仅在外汇局内使用，不得外泄。投标人必须与驻场工程师签订保密协议，驻场工程师发生泄密问题，外汇局有权追究投标人的责任等</w:t>
      </w:r>
      <w:r>
        <w:rPr>
          <w:rFonts w:hint="eastAsia" w:ascii="仿宋" w:hAnsi="仿宋" w:eastAsia="仿宋" w:cs="仿宋"/>
          <w:sz w:val="24"/>
        </w:rPr>
        <w:t>。</w:t>
      </w:r>
    </w:p>
    <w:p w14:paraId="67D51896">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6.合同履行期限：</w:t>
      </w:r>
      <w:r>
        <w:rPr>
          <w:rFonts w:hint="eastAsia" w:eastAsia="仿宋_GB2312"/>
          <w:sz w:val="24"/>
          <w:highlight w:val="none"/>
        </w:rPr>
        <w:t>合同生效之日起至合同约定的</w:t>
      </w:r>
      <w:r>
        <w:rPr>
          <w:rFonts w:hint="eastAsia" w:eastAsia="仿宋_GB2312"/>
          <w:sz w:val="24"/>
        </w:rPr>
        <w:t>质量保证</w:t>
      </w:r>
      <w:r>
        <w:rPr>
          <w:rFonts w:hint="eastAsia" w:eastAsia="仿宋_GB2312"/>
          <w:sz w:val="24"/>
          <w:highlight w:val="none"/>
        </w:rPr>
        <w:t>期满</w:t>
      </w:r>
      <w:r>
        <w:rPr>
          <w:rFonts w:hint="eastAsia" w:ascii="仿宋" w:hAnsi="仿宋" w:eastAsia="仿宋" w:cs="仿宋"/>
          <w:sz w:val="24"/>
        </w:rPr>
        <w:t>。</w:t>
      </w:r>
    </w:p>
    <w:p w14:paraId="6629CB8C">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7．本项目不允许分包，投标人不得以其他公司资质投标或中标后转包。如发现执行项目的公司并非中标公司，则采购人有权终止合作，并向中标人追索由此造成的一切损失。</w:t>
      </w:r>
    </w:p>
    <w:p w14:paraId="5EBC549F">
      <w:pPr>
        <w:widowControl w:val="0"/>
        <w:spacing w:line="360" w:lineRule="auto"/>
        <w:ind w:firstLine="480" w:firstLineChars="200"/>
        <w:rPr>
          <w:rFonts w:ascii="仿宋" w:hAnsi="仿宋" w:eastAsia="仿宋" w:cs="仿宋"/>
          <w:bCs/>
          <w:kern w:val="0"/>
          <w:sz w:val="24"/>
        </w:rPr>
      </w:pPr>
      <w:r>
        <w:rPr>
          <w:rFonts w:hint="eastAsia" w:ascii="仿宋" w:hAnsi="仿宋" w:eastAsia="仿宋" w:cs="仿宋"/>
          <w:sz w:val="24"/>
        </w:rPr>
        <w:t>8.本项目不接受联合体投标</w:t>
      </w:r>
      <w:bookmarkStart w:id="3" w:name="_Toc28359080"/>
      <w:bookmarkStart w:id="4" w:name="_Toc28359003"/>
      <w:r>
        <w:rPr>
          <w:rFonts w:hint="eastAsia" w:ascii="仿宋" w:hAnsi="仿宋" w:eastAsia="仿宋" w:cs="仿宋"/>
          <w:sz w:val="24"/>
        </w:rPr>
        <w:t>。</w:t>
      </w:r>
    </w:p>
    <w:p w14:paraId="555191FF">
      <w:pPr>
        <w:spacing w:before="200" w:after="200"/>
        <w:rPr>
          <w:rFonts w:ascii="仿宋" w:hAnsi="仿宋" w:eastAsia="仿宋" w:cs="仿宋"/>
          <w:b/>
          <w:kern w:val="0"/>
          <w:sz w:val="24"/>
        </w:rPr>
      </w:pPr>
      <w:bookmarkStart w:id="5" w:name="_Toc6782"/>
      <w:bookmarkStart w:id="6" w:name="_Toc2374"/>
      <w:r>
        <w:rPr>
          <w:rFonts w:hint="eastAsia" w:ascii="仿宋" w:hAnsi="仿宋" w:eastAsia="仿宋" w:cs="仿宋"/>
          <w:b/>
          <w:kern w:val="0"/>
          <w:sz w:val="24"/>
        </w:rPr>
        <w:t>二、申请人的资格要求</w:t>
      </w:r>
      <w:bookmarkEnd w:id="3"/>
      <w:bookmarkEnd w:id="4"/>
      <w:bookmarkEnd w:id="5"/>
      <w:bookmarkEnd w:id="6"/>
    </w:p>
    <w:p w14:paraId="17BF38AC">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1、满足《中华人民共和国政府采购法》第二十二条规定。</w:t>
      </w:r>
    </w:p>
    <w:p w14:paraId="0ADD6BBA">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2、落实政府采购政策需满足的资格要求：无。</w:t>
      </w:r>
    </w:p>
    <w:p w14:paraId="00B4E4E3">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3、本项目的特定资格要求：</w:t>
      </w:r>
    </w:p>
    <w:p w14:paraId="78C57AA6">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信用信息截止时点为开标当日；</w:t>
      </w:r>
    </w:p>
    <w:p w14:paraId="67999FCD">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（2）投标人应购买本项目招标文件。</w:t>
      </w:r>
    </w:p>
    <w:p w14:paraId="4FE71603">
      <w:pPr>
        <w:spacing w:before="200" w:after="200"/>
        <w:rPr>
          <w:rFonts w:ascii="仿宋" w:hAnsi="仿宋" w:eastAsia="仿宋" w:cs="仿宋"/>
          <w:b/>
          <w:kern w:val="0"/>
          <w:sz w:val="24"/>
        </w:rPr>
      </w:pPr>
      <w:bookmarkStart w:id="7" w:name="_Toc28359081"/>
      <w:bookmarkStart w:id="8" w:name="_Toc28359004"/>
      <w:r>
        <w:rPr>
          <w:rFonts w:hint="eastAsia" w:ascii="仿宋" w:hAnsi="仿宋" w:eastAsia="仿宋" w:cs="仿宋"/>
          <w:b/>
          <w:kern w:val="0"/>
          <w:sz w:val="24"/>
        </w:rPr>
        <w:t>三、获取招标文件</w:t>
      </w:r>
      <w:bookmarkEnd w:id="7"/>
      <w:bookmarkEnd w:id="8"/>
    </w:p>
    <w:p w14:paraId="065A85F8">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1.时间：即日起至2026年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19</w:t>
      </w:r>
      <w:r>
        <w:rPr>
          <w:rFonts w:hint="eastAsia" w:ascii="仿宋" w:hAnsi="仿宋" w:eastAsia="仿宋" w:cs="仿宋"/>
          <w:sz w:val="24"/>
        </w:rPr>
        <w:t>日，每天上午9:00至11:30，下午13:00至16:00（北京时间，法定节假日除外）</w:t>
      </w:r>
    </w:p>
    <w:p w14:paraId="173182A2">
      <w:pPr>
        <w:widowControl w:val="0"/>
        <w:spacing w:line="360" w:lineRule="auto"/>
        <w:ind w:firstLine="480" w:firstLineChars="200"/>
        <w:rPr>
          <w:rFonts w:ascii="仿宋" w:hAnsi="仿宋" w:eastAsia="仿宋" w:cs="仿宋"/>
          <w:b/>
          <w:bCs/>
          <w:sz w:val="24"/>
        </w:rPr>
      </w:pPr>
      <w:r>
        <w:rPr>
          <w:rFonts w:hint="eastAsia" w:ascii="仿宋" w:hAnsi="仿宋" w:eastAsia="仿宋" w:cs="仿宋"/>
          <w:sz w:val="24"/>
        </w:rPr>
        <w:t>2.地点：北京市丰台区西三环南路14号院首科大厦A座4层405号中技国际招标有限公司会议中心（如无法到达现场也可以在中国通用招标网下载）</w:t>
      </w:r>
    </w:p>
    <w:p w14:paraId="226B781E">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3.方式：</w:t>
      </w:r>
    </w:p>
    <w:p w14:paraId="41B040E1">
      <w:pPr>
        <w:widowControl w:val="0"/>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（1）本项目招标文件采用纸质方式发售</w:t>
      </w:r>
      <w:r>
        <w:rPr>
          <w:rFonts w:hint="eastAsia" w:ascii="仿宋" w:hAnsi="仿宋" w:eastAsia="仿宋" w:cs="仿宋"/>
          <w:sz w:val="24"/>
        </w:rPr>
        <w:t>（如无法到达现场也可以在中国通用招标网下载）</w:t>
      </w:r>
      <w:r>
        <w:rPr>
          <w:rFonts w:hint="eastAsia" w:ascii="仿宋" w:hAnsi="仿宋" w:eastAsia="仿宋" w:cs="仿宋"/>
          <w:kern w:val="0"/>
          <w:sz w:val="24"/>
        </w:rPr>
        <w:t>。</w:t>
      </w:r>
    </w:p>
    <w:p w14:paraId="1764F7C4">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（2）有意向的投标人应先在中国通用招标网http://www.china-tender.com.cn免费注册，注册完成后请按照网上操作流程进行购买。中国通用招标网技术支持电话：4006808126。</w:t>
      </w:r>
    </w:p>
    <w:p w14:paraId="28439B9C">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（3）购买标书流程：投标人先在通用招标网招标文件获取一栏中对应的项目（标）下填写招标文件购买申请，填写招标文件购买申请后，具体购买方式包括：</w:t>
      </w:r>
    </w:p>
    <w:p w14:paraId="7803F3B5">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 选择网上支付方式购买招标文件的投标人在标书款支付成功后（请选择标书款电子发票），即可至</w:t>
      </w:r>
      <w:r>
        <w:rPr>
          <w:rFonts w:hint="eastAsia" w:ascii="仿宋" w:hAnsi="仿宋" w:eastAsia="仿宋" w:cs="仿宋"/>
          <w:sz w:val="24"/>
        </w:rPr>
        <w:t>北京市丰台区西三环南路14号院首科大厦A座4层405号中技国际招标有限公司会议中心</w:t>
      </w:r>
      <w:r>
        <w:rPr>
          <w:rFonts w:hint="eastAsia" w:ascii="仿宋" w:hAnsi="仿宋" w:eastAsia="仿宋" w:cs="仿宋"/>
          <w:kern w:val="0"/>
          <w:sz w:val="24"/>
        </w:rPr>
        <w:t>领取招标文件，也可直接在本网站下载电子版招标文件；</w:t>
      </w:r>
    </w:p>
    <w:p w14:paraId="3DF13598">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2) 选择以电汇方式购买招标文件的投标人，按照系统提供的账号进行汇款，在汇款成功后（请选择标书款电子发票），即可往</w:t>
      </w:r>
      <w:r>
        <w:rPr>
          <w:rFonts w:hint="eastAsia" w:ascii="仿宋" w:hAnsi="仿宋" w:eastAsia="仿宋" w:cs="仿宋"/>
          <w:sz w:val="24"/>
        </w:rPr>
        <w:t>北京市丰台区西三环南路14号院首科大厦A座4层405号中技国际招标有限公司会议中心，</w:t>
      </w:r>
      <w:r>
        <w:rPr>
          <w:rFonts w:hint="eastAsia" w:ascii="仿宋" w:hAnsi="仿宋" w:eastAsia="仿宋" w:cs="仿宋"/>
          <w:kern w:val="0"/>
          <w:sz w:val="24"/>
        </w:rPr>
        <w:t>也可直接在本网站下载电子版招标文件。</w:t>
      </w:r>
    </w:p>
    <w:p w14:paraId="70EBC79B">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特别提示：</w:t>
      </w:r>
    </w:p>
    <w:p w14:paraId="5C8B564D">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每次购买标书申请系统生成的账号不同，请按照系统生成的账号进行付款，不要重复支付；</w:t>
      </w:r>
    </w:p>
    <w:p w14:paraId="079A38EE">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汇款金额必须与系统提示金额相同，否则将会被退回。</w:t>
      </w:r>
    </w:p>
    <w:p w14:paraId="2864B9CD">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（4）通用技术大厦标书室地址：</w:t>
      </w:r>
      <w:r>
        <w:rPr>
          <w:rFonts w:hint="eastAsia" w:ascii="仿宋" w:hAnsi="仿宋" w:eastAsia="仿宋" w:cs="仿宋"/>
          <w:sz w:val="24"/>
        </w:rPr>
        <w:t>北京市丰台区西三环南路14号院首科大厦A座4层405号中技国际招标有限公司会议中心</w:t>
      </w:r>
      <w:r>
        <w:rPr>
          <w:rFonts w:hint="eastAsia" w:ascii="仿宋" w:hAnsi="仿宋" w:eastAsia="仿宋" w:cs="仿宋"/>
          <w:kern w:val="0"/>
          <w:sz w:val="24"/>
        </w:rPr>
        <w:t>。</w:t>
      </w:r>
    </w:p>
    <w:p w14:paraId="6C223AD6">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（5）标书室工作时间：上午9:00－11:00时、下午14:00－16:00 时。</w:t>
      </w:r>
    </w:p>
    <w:p w14:paraId="1D81D754">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4.售价：人民币500元，售后不退。</w:t>
      </w:r>
    </w:p>
    <w:p w14:paraId="09FBA767">
      <w:pPr>
        <w:spacing w:before="200" w:after="200"/>
        <w:rPr>
          <w:rFonts w:ascii="仿宋" w:hAnsi="仿宋" w:eastAsia="仿宋" w:cs="仿宋"/>
          <w:b/>
          <w:kern w:val="0"/>
          <w:sz w:val="24"/>
        </w:rPr>
      </w:pPr>
      <w:bookmarkStart w:id="9" w:name="_Toc28359005"/>
      <w:bookmarkStart w:id="10" w:name="_Toc28359082"/>
      <w:r>
        <w:rPr>
          <w:rFonts w:hint="eastAsia" w:ascii="仿宋" w:hAnsi="仿宋" w:eastAsia="仿宋" w:cs="仿宋"/>
          <w:b/>
          <w:kern w:val="0"/>
          <w:sz w:val="24"/>
        </w:rPr>
        <w:t>四、</w:t>
      </w:r>
      <w:bookmarkEnd w:id="9"/>
      <w:bookmarkEnd w:id="10"/>
      <w:r>
        <w:rPr>
          <w:rFonts w:hint="eastAsia" w:ascii="仿宋" w:hAnsi="仿宋" w:eastAsia="仿宋" w:cs="仿宋"/>
          <w:b/>
          <w:kern w:val="0"/>
          <w:sz w:val="24"/>
        </w:rPr>
        <w:t>提交投标文件截止时间、开标时间和地点</w:t>
      </w:r>
    </w:p>
    <w:p w14:paraId="308AE730">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1.时间：2026年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3</w:t>
      </w:r>
      <w:r>
        <w:rPr>
          <w:rFonts w:hint="eastAsia" w:ascii="仿宋" w:hAnsi="仿宋" w:eastAsia="仿宋" w:cs="仿宋"/>
          <w:sz w:val="24"/>
        </w:rPr>
        <w:t>日09：30时（北京时间）</w:t>
      </w:r>
    </w:p>
    <w:p w14:paraId="6620B87B">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2.地点：北京市丰台区西三环南路14号院首科大厦A座4层405号中技国际招标有限公司会议中心。</w:t>
      </w:r>
    </w:p>
    <w:p w14:paraId="153D3C42">
      <w:pPr>
        <w:spacing w:before="200" w:after="200"/>
        <w:rPr>
          <w:rFonts w:ascii="仿宋" w:hAnsi="仿宋" w:eastAsia="仿宋" w:cs="仿宋"/>
          <w:b/>
          <w:kern w:val="0"/>
          <w:sz w:val="24"/>
        </w:rPr>
      </w:pPr>
      <w:bookmarkStart w:id="11" w:name="_Toc28359007"/>
      <w:bookmarkStart w:id="12" w:name="_Toc28359084"/>
      <w:r>
        <w:rPr>
          <w:rFonts w:hint="eastAsia" w:ascii="仿宋" w:hAnsi="仿宋" w:eastAsia="仿宋" w:cs="仿宋"/>
          <w:b/>
          <w:kern w:val="0"/>
          <w:sz w:val="24"/>
        </w:rPr>
        <w:t>五、公告期限</w:t>
      </w:r>
      <w:bookmarkEnd w:id="11"/>
      <w:bookmarkEnd w:id="12"/>
    </w:p>
    <w:p w14:paraId="5134DFB6">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自本公告发布之日起5个工作日。</w:t>
      </w:r>
    </w:p>
    <w:p w14:paraId="0759A32D">
      <w:pPr>
        <w:spacing w:before="200" w:after="200"/>
        <w:rPr>
          <w:rFonts w:ascii="仿宋" w:hAnsi="仿宋" w:eastAsia="仿宋" w:cs="仿宋"/>
          <w:b/>
          <w:kern w:val="0"/>
          <w:sz w:val="24"/>
        </w:rPr>
      </w:pPr>
      <w:bookmarkStart w:id="13" w:name="_Toc35393795"/>
      <w:bookmarkStart w:id="14" w:name="_Toc35393626"/>
      <w:r>
        <w:rPr>
          <w:rFonts w:hint="eastAsia" w:ascii="仿宋" w:hAnsi="仿宋" w:eastAsia="仿宋" w:cs="仿宋"/>
          <w:b/>
          <w:kern w:val="0"/>
          <w:sz w:val="24"/>
        </w:rPr>
        <w:t>六、其他补充事宜</w:t>
      </w:r>
      <w:bookmarkEnd w:id="13"/>
      <w:bookmarkEnd w:id="14"/>
    </w:p>
    <w:p w14:paraId="12460A1A">
      <w:pPr>
        <w:widowControl w:val="0"/>
        <w:spacing w:line="360" w:lineRule="auto"/>
        <w:ind w:firstLine="480" w:firstLineChars="200"/>
        <w:rPr>
          <w:rFonts w:ascii="仿宋" w:hAnsi="仿宋" w:eastAsia="仿宋" w:cs="仿宋"/>
          <w:sz w:val="24"/>
        </w:rPr>
      </w:pPr>
      <w:bookmarkStart w:id="15" w:name="_Toc28359008"/>
      <w:bookmarkStart w:id="16" w:name="_Toc28359085"/>
      <w:r>
        <w:rPr>
          <w:rFonts w:hint="eastAsia" w:ascii="仿宋" w:hAnsi="仿宋" w:eastAsia="仿宋" w:cs="仿宋"/>
          <w:sz w:val="24"/>
        </w:rPr>
        <w:t>（1）鼓励节能政策：在技术、服务等指标同等条件下，优先采购属于国家公布的节能品目清单中产品。</w:t>
      </w:r>
    </w:p>
    <w:p w14:paraId="0DDE5BE0">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（2）鼓励环保政策：在性能、技术、服务等指标同等条件下，优先采购国家公布的环保产品品目清单中的产品。</w:t>
      </w:r>
    </w:p>
    <w:p w14:paraId="6D1EA60D">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（3）扶持中小企业政策：货物和服务项目评审时小型和微型企业产品享受10%的价格折扣，用扣除后的价格参加评审。</w:t>
      </w:r>
    </w:p>
    <w:p w14:paraId="148A8AFF">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（4）投标产品不得为进口产品。</w:t>
      </w:r>
    </w:p>
    <w:p w14:paraId="6211FCA1">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（5）本项目鼓励节能产品、环保产品和中小企业投标（监狱企业、残疾人福利性单位视同小型、微型企业）的具体办法详见第三章评标办法。与第三章评标办法内容不一致的，以第三章评标办法规定为准。</w:t>
      </w:r>
    </w:p>
    <w:p w14:paraId="7837EACC">
      <w:pPr>
        <w:spacing w:before="200" w:after="200"/>
        <w:rPr>
          <w:rFonts w:ascii="仿宋" w:hAnsi="仿宋" w:eastAsia="仿宋" w:cs="仿宋"/>
          <w:b/>
          <w:kern w:val="0"/>
          <w:sz w:val="24"/>
        </w:rPr>
      </w:pPr>
      <w:r>
        <w:rPr>
          <w:rFonts w:hint="eastAsia" w:ascii="仿宋" w:hAnsi="仿宋" w:eastAsia="仿宋" w:cs="仿宋"/>
          <w:b/>
          <w:kern w:val="0"/>
          <w:sz w:val="24"/>
        </w:rPr>
        <w:t>七、对本次招标提出询问，请按以下方式联系</w:t>
      </w:r>
      <w:bookmarkEnd w:id="15"/>
      <w:bookmarkEnd w:id="16"/>
    </w:p>
    <w:p w14:paraId="5A7072AC">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1.采购人信息</w:t>
      </w:r>
    </w:p>
    <w:p w14:paraId="246622B7">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名    称：国家外汇管理局</w:t>
      </w:r>
    </w:p>
    <w:p w14:paraId="318382F7">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地    址：北京市海淀区阜成路18号华融大厦</w:t>
      </w:r>
    </w:p>
    <w:p w14:paraId="3E097B26">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联系方式：010-68402842</w:t>
      </w:r>
    </w:p>
    <w:p w14:paraId="69C694CD">
      <w:pPr>
        <w:widowControl w:val="0"/>
        <w:spacing w:line="360" w:lineRule="auto"/>
        <w:ind w:firstLine="480" w:firstLineChars="200"/>
        <w:rPr>
          <w:rFonts w:ascii="仿宋" w:hAnsi="仿宋" w:eastAsia="仿宋" w:cs="仿宋"/>
          <w:sz w:val="24"/>
        </w:rPr>
      </w:pPr>
      <w:bookmarkStart w:id="17" w:name="_Toc28359009"/>
      <w:bookmarkStart w:id="18" w:name="_Toc28359086"/>
      <w:r>
        <w:rPr>
          <w:rFonts w:hint="eastAsia" w:ascii="仿宋" w:hAnsi="仿宋" w:eastAsia="仿宋" w:cs="仿宋"/>
          <w:sz w:val="24"/>
        </w:rPr>
        <w:t>2.采购代理机构信息</w:t>
      </w:r>
      <w:bookmarkEnd w:id="17"/>
      <w:bookmarkEnd w:id="18"/>
    </w:p>
    <w:p w14:paraId="7E06CC05">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名    称：中技国际招标有限公司</w:t>
      </w:r>
    </w:p>
    <w:p w14:paraId="1B9CF42A">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地　　址：北京市丰台区通用时代中心</w:t>
      </w:r>
    </w:p>
    <w:p w14:paraId="660DD2FF">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联系方式：010-81168489</w:t>
      </w:r>
    </w:p>
    <w:p w14:paraId="1C731700">
      <w:pPr>
        <w:widowControl w:val="0"/>
        <w:spacing w:line="360" w:lineRule="auto"/>
        <w:ind w:firstLine="480" w:firstLineChars="200"/>
        <w:rPr>
          <w:rFonts w:ascii="仿宋" w:hAnsi="仿宋" w:eastAsia="仿宋" w:cs="仿宋"/>
          <w:sz w:val="24"/>
        </w:rPr>
      </w:pPr>
      <w:bookmarkStart w:id="19" w:name="_Toc28359010"/>
      <w:bookmarkStart w:id="20" w:name="_Toc28359087"/>
      <w:r>
        <w:rPr>
          <w:rFonts w:hint="eastAsia" w:ascii="仿宋" w:hAnsi="仿宋" w:eastAsia="仿宋" w:cs="仿宋"/>
          <w:sz w:val="24"/>
        </w:rPr>
        <w:t>3.项目联系方式</w:t>
      </w:r>
      <w:bookmarkEnd w:id="19"/>
      <w:bookmarkEnd w:id="20"/>
    </w:p>
    <w:p w14:paraId="73C6E47E">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项目联系人：张杰浩、赵博文</w:t>
      </w:r>
    </w:p>
    <w:p w14:paraId="26F0CB61">
      <w:pPr>
        <w:widowControl w:val="0"/>
        <w:spacing w:line="360" w:lineRule="auto"/>
        <w:ind w:firstLine="480" w:firstLineChars="200"/>
        <w:rPr>
          <w:rFonts w:ascii="仿宋" w:hAnsi="仿宋" w:eastAsia="仿宋" w:cs="仿宋"/>
          <w:sz w:val="24"/>
        </w:rPr>
      </w:pPr>
      <w:r>
        <w:rPr>
          <w:rFonts w:hint="eastAsia" w:ascii="仿宋" w:hAnsi="仿宋" w:eastAsia="仿宋" w:cs="仿宋"/>
          <w:sz w:val="24"/>
        </w:rPr>
        <w:t>电　　  话：010-81168489、010-81168702</w:t>
      </w:r>
    </w:p>
    <w:p w14:paraId="1C2BC849">
      <w:pPr>
        <w:widowControl w:val="0"/>
        <w:spacing w:line="360" w:lineRule="auto"/>
        <w:ind w:firstLine="480" w:firstLineChars="200"/>
        <w:rPr>
          <w:rFonts w:ascii="仿宋" w:hAnsi="仿宋" w:eastAsia="仿宋" w:cs="仿宋"/>
          <w:sz w:val="24"/>
        </w:rPr>
      </w:pPr>
    </w:p>
    <w:p w14:paraId="376AD83B">
      <w:pPr>
        <w:rPr>
          <w:rFonts w:ascii="仿宋" w:hAnsi="仿宋" w:eastAsia="仿宋" w:cs="仿宋"/>
        </w:rPr>
      </w:pPr>
    </w:p>
    <w:p w14:paraId="3C7B6141">
      <w:pPr>
        <w:jc w:val="right"/>
        <w:rPr>
          <w:rFonts w:ascii="仿宋" w:hAnsi="仿宋" w:eastAsia="仿宋" w:cs="仿宋"/>
          <w:sz w:val="24"/>
        </w:rPr>
      </w:pPr>
      <w:r>
        <w:rPr>
          <w:rFonts w:hint="eastAsia" w:ascii="仿宋" w:hAnsi="仿宋" w:eastAsia="仿宋" w:cs="仿宋"/>
          <w:sz w:val="24"/>
        </w:rPr>
        <w:t xml:space="preserve"> 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12</w:t>
      </w:r>
      <w:r>
        <w:rPr>
          <w:rFonts w:hint="eastAsia" w:ascii="仿宋" w:hAnsi="仿宋" w:eastAsia="仿宋" w:cs="仿宋"/>
          <w:sz w:val="24"/>
        </w:rPr>
        <w:t>日</w:t>
      </w:r>
    </w:p>
    <w:p w14:paraId="7BF2A6AE">
      <w:pPr>
        <w:spacing w:line="720" w:lineRule="auto"/>
        <w:jc w:val="center"/>
        <w:rPr>
          <w:rFonts w:hint="default" w:ascii="仿宋" w:hAnsi="仿宋" w:eastAsia="仿宋" w:cs="仿宋"/>
          <w:b/>
          <w:sz w:val="32"/>
          <w:szCs w:val="32"/>
          <w:lang w:val="en-US" w:eastAsia="zh-CN"/>
        </w:rPr>
      </w:pPr>
    </w:p>
    <w:p w14:paraId="017CBA5C">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1539AA"/>
    <w:multiLevelType w:val="singleLevel"/>
    <w:tmpl w:val="CE1539AA"/>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D35DDB"/>
    <w:rsid w:val="74D35D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2026-10-12T07:17:00Z</dcterms:created>
  <dc:creator>吴家豪</dc:creator>
  <cp:lastModifiedBy>吴家豪</cp:lastModifiedBy>
  <dcterms:modified xsi:type="dcterms:W3CDTF">2026-10-12T07:18:11Z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9F5141DF2B234336B43EBECE89AC9104_11</vt:lpwstr>
  </property>
  <property fmtid="{D5CDD505-2E9C-101B-9397-08002B2CF9AE}" pid="4" name="KSOTemplateDocerSaveRecord">
    <vt:lpwstr>eyJoZGlkIjoiZGZlOTljNDE3Y2FmYThhMjgxY2Y3ODVlZmZjODA3NzkiLCJ1c2VySWQiOiI1MjIyMjE0NTMifQ==</vt:lpwstr>
  </property>
</Properties>
</file>