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37212">
      <w:pPr>
        <w:jc w:val="both"/>
        <w:rPr>
          <w:rFonts w:hint="eastAsia" w:ascii="宋体" w:hAnsi="宋体" w:eastAsia="宋体" w:cs="宋体"/>
          <w:b/>
          <w:bCs/>
          <w:color w:val="auto"/>
          <w:sz w:val="48"/>
          <w:szCs w:val="48"/>
          <w:highlight w:val="none"/>
          <w:lang w:eastAsia="zh-CN"/>
        </w:rPr>
      </w:pPr>
    </w:p>
    <w:p w14:paraId="78F1CA7E">
      <w:pPr>
        <w:jc w:val="center"/>
        <w:rPr>
          <w:rFonts w:hint="eastAsia" w:ascii="宋体" w:hAnsi="宋体" w:eastAsia="宋体" w:cs="宋体"/>
          <w:b/>
          <w:bCs/>
          <w:color w:val="auto"/>
          <w:sz w:val="18"/>
          <w:szCs w:val="21"/>
          <w:highlight w:val="none"/>
          <w:lang w:eastAsia="zh-CN"/>
        </w:rPr>
      </w:pPr>
      <w:r>
        <w:rPr>
          <w:rFonts w:hint="eastAsia" w:ascii="宋体" w:hAnsi="宋体" w:cs="宋体"/>
          <w:b/>
          <w:bCs/>
          <w:color w:val="auto"/>
          <w:sz w:val="52"/>
          <w:szCs w:val="52"/>
          <w:highlight w:val="none"/>
          <w:lang w:eastAsia="zh-CN"/>
        </w:rPr>
        <w:t>云南开放大学呈贡校区学生公寓B苑室内维修项目</w:t>
      </w:r>
    </w:p>
    <w:p w14:paraId="45949CFE">
      <w:pPr>
        <w:rPr>
          <w:rFonts w:hint="eastAsia" w:ascii="宋体" w:hAnsi="宋体" w:eastAsia="宋体" w:cs="宋体"/>
          <w:b/>
          <w:bCs/>
          <w:color w:val="auto"/>
          <w:highlight w:val="none"/>
        </w:rPr>
      </w:pPr>
    </w:p>
    <w:p w14:paraId="2ED94042">
      <w:pPr>
        <w:rPr>
          <w:rFonts w:hint="eastAsia" w:ascii="宋体" w:hAnsi="宋体" w:eastAsia="宋体" w:cs="宋体"/>
          <w:b/>
          <w:bCs/>
          <w:color w:val="auto"/>
          <w:highlight w:val="none"/>
        </w:rPr>
      </w:pPr>
    </w:p>
    <w:p w14:paraId="567D74D6">
      <w:pPr>
        <w:rPr>
          <w:rFonts w:hint="eastAsia" w:ascii="宋体" w:hAnsi="宋体" w:eastAsia="宋体" w:cs="宋体"/>
          <w:b/>
          <w:bCs/>
          <w:color w:val="auto"/>
          <w:highlight w:val="none"/>
        </w:rPr>
      </w:pPr>
    </w:p>
    <w:p w14:paraId="75484FBC">
      <w:pPr>
        <w:rPr>
          <w:rFonts w:hint="eastAsia" w:ascii="宋体" w:hAnsi="宋体" w:eastAsia="宋体" w:cs="宋体"/>
          <w:b/>
          <w:bCs/>
          <w:color w:val="auto"/>
          <w:highlight w:val="none"/>
        </w:rPr>
      </w:pPr>
    </w:p>
    <w:p w14:paraId="7619F23A">
      <w:pPr>
        <w:rPr>
          <w:rFonts w:hint="eastAsia" w:ascii="宋体" w:hAnsi="宋体" w:eastAsia="宋体" w:cs="宋体"/>
          <w:b/>
          <w:bCs/>
          <w:color w:val="auto"/>
          <w:highlight w:val="none"/>
        </w:rPr>
      </w:pPr>
    </w:p>
    <w:p w14:paraId="543DFB39">
      <w:pPr>
        <w:rPr>
          <w:rFonts w:hint="eastAsia" w:ascii="宋体" w:hAnsi="宋体" w:eastAsia="宋体" w:cs="宋体"/>
          <w:b/>
          <w:bCs/>
          <w:color w:val="auto"/>
          <w:highlight w:val="none"/>
        </w:rPr>
      </w:pPr>
    </w:p>
    <w:p w14:paraId="2A1F86B8">
      <w:pPr>
        <w:pStyle w:val="12"/>
        <w:spacing w:line="360" w:lineRule="auto"/>
        <w:jc w:val="center"/>
        <w:rPr>
          <w:rFonts w:hint="eastAsia" w:ascii="宋体" w:hAnsi="宋体" w:eastAsia="宋体" w:cs="宋体"/>
          <w:b/>
          <w:bCs/>
          <w:color w:val="auto"/>
          <w:sz w:val="72"/>
          <w:szCs w:val="18"/>
          <w:highlight w:val="none"/>
        </w:rPr>
      </w:pPr>
      <w:r>
        <w:rPr>
          <w:rFonts w:hint="eastAsia" w:ascii="宋体" w:hAnsi="宋体" w:eastAsia="宋体" w:cs="宋体"/>
          <w:b/>
          <w:bCs/>
          <w:color w:val="auto"/>
          <w:sz w:val="72"/>
          <w:szCs w:val="18"/>
          <w:highlight w:val="none"/>
        </w:rPr>
        <w:t>竞争性磋商文件</w:t>
      </w:r>
    </w:p>
    <w:p w14:paraId="6BE5A977">
      <w:pPr>
        <w:pStyle w:val="12"/>
        <w:spacing w:line="360" w:lineRule="auto"/>
        <w:rPr>
          <w:rFonts w:hint="eastAsia" w:ascii="宋体" w:hAnsi="宋体" w:eastAsia="宋体" w:cs="宋体"/>
          <w:b/>
          <w:bCs/>
          <w:color w:val="auto"/>
          <w:w w:val="95"/>
          <w:sz w:val="30"/>
          <w:szCs w:val="30"/>
          <w:highlight w:val="none"/>
        </w:rPr>
      </w:pPr>
    </w:p>
    <w:p w14:paraId="668BA030">
      <w:pPr>
        <w:rPr>
          <w:rFonts w:hint="eastAsia"/>
          <w:highlight w:val="none"/>
        </w:rPr>
      </w:pPr>
    </w:p>
    <w:p w14:paraId="73417A24">
      <w:pPr>
        <w:pStyle w:val="12"/>
        <w:spacing w:line="360" w:lineRule="auto"/>
        <w:jc w:val="center"/>
        <w:rPr>
          <w:rFonts w:hint="eastAsia" w:ascii="宋体" w:hAnsi="宋体" w:eastAsia="宋体" w:cs="宋体"/>
          <w:b/>
          <w:bCs/>
          <w:color w:val="auto"/>
          <w:w w:val="95"/>
          <w:sz w:val="30"/>
          <w:szCs w:val="30"/>
          <w:highlight w:val="none"/>
          <w:lang w:eastAsia="zh-CN"/>
        </w:rPr>
      </w:pPr>
      <w:r>
        <w:rPr>
          <w:rFonts w:hint="eastAsia" w:ascii="宋体" w:hAnsi="宋体" w:eastAsia="宋体" w:cs="宋体"/>
          <w:b/>
          <w:bCs/>
          <w:color w:val="auto"/>
          <w:w w:val="95"/>
          <w:sz w:val="30"/>
          <w:szCs w:val="30"/>
          <w:highlight w:val="none"/>
        </w:rPr>
        <w:t>项目编号：</w:t>
      </w:r>
      <w:r>
        <w:rPr>
          <w:rFonts w:hint="eastAsia" w:hAnsi="宋体" w:cs="宋体"/>
          <w:b/>
          <w:bCs/>
          <w:color w:val="auto"/>
          <w:w w:val="95"/>
          <w:sz w:val="30"/>
          <w:szCs w:val="30"/>
          <w:highlight w:val="none"/>
          <w:lang w:eastAsia="zh-CN"/>
        </w:rPr>
        <w:t>YNZC2026-C2-04126-QHZX-0043</w:t>
      </w:r>
    </w:p>
    <w:p w14:paraId="599DBB68">
      <w:pPr>
        <w:pStyle w:val="12"/>
        <w:spacing w:line="360" w:lineRule="auto"/>
        <w:rPr>
          <w:rFonts w:hint="eastAsia" w:ascii="宋体" w:hAnsi="宋体" w:eastAsia="宋体" w:cs="宋体"/>
          <w:color w:val="auto"/>
          <w:highlight w:val="none"/>
        </w:rPr>
      </w:pPr>
    </w:p>
    <w:p w14:paraId="6DD4C8F2">
      <w:pPr>
        <w:rPr>
          <w:rFonts w:hint="eastAsia" w:ascii="宋体" w:hAnsi="宋体" w:eastAsia="宋体" w:cs="宋体"/>
          <w:color w:val="auto"/>
          <w:highlight w:val="none"/>
        </w:rPr>
      </w:pPr>
    </w:p>
    <w:p w14:paraId="0B1DC0D0">
      <w:pPr>
        <w:rPr>
          <w:rFonts w:hint="eastAsia" w:ascii="宋体" w:hAnsi="宋体" w:eastAsia="宋体" w:cs="宋体"/>
          <w:color w:val="auto"/>
          <w:highlight w:val="none"/>
        </w:rPr>
      </w:pPr>
    </w:p>
    <w:p w14:paraId="3A7A8AF8">
      <w:pPr>
        <w:rPr>
          <w:rFonts w:hint="eastAsia" w:ascii="宋体" w:hAnsi="宋体" w:eastAsia="宋体" w:cs="宋体"/>
          <w:color w:val="auto"/>
          <w:highlight w:val="none"/>
        </w:rPr>
      </w:pPr>
    </w:p>
    <w:p w14:paraId="2951F24F">
      <w:pPr>
        <w:rPr>
          <w:rFonts w:hint="eastAsia" w:ascii="宋体" w:hAnsi="宋体" w:eastAsia="宋体" w:cs="宋体"/>
          <w:color w:val="auto"/>
          <w:highlight w:val="none"/>
        </w:rPr>
      </w:pPr>
    </w:p>
    <w:p w14:paraId="63F7CC10">
      <w:pPr>
        <w:rPr>
          <w:rFonts w:hint="eastAsia" w:ascii="宋体" w:hAnsi="宋体" w:eastAsia="宋体" w:cs="宋体"/>
          <w:color w:val="auto"/>
          <w:highlight w:val="none"/>
        </w:rPr>
      </w:pPr>
    </w:p>
    <w:p w14:paraId="14104470">
      <w:pPr>
        <w:rPr>
          <w:rFonts w:hint="eastAsia" w:ascii="宋体" w:hAnsi="宋体" w:eastAsia="宋体" w:cs="宋体"/>
          <w:color w:val="auto"/>
          <w:sz w:val="30"/>
          <w:szCs w:val="30"/>
          <w:highlight w:val="none"/>
        </w:rPr>
      </w:pPr>
    </w:p>
    <w:p w14:paraId="493B641D">
      <w:pPr>
        <w:pStyle w:val="12"/>
        <w:spacing w:line="360" w:lineRule="auto"/>
        <w:jc w:val="center"/>
        <w:rPr>
          <w:rFonts w:hint="eastAsia" w:ascii="宋体" w:hAnsi="宋体" w:eastAsia="宋体" w:cs="宋体"/>
          <w:b/>
          <w:bCs/>
          <w:color w:val="auto"/>
          <w:w w:val="95"/>
          <w:sz w:val="32"/>
          <w:highlight w:val="none"/>
        </w:rPr>
      </w:pPr>
      <w:r>
        <w:rPr>
          <w:rFonts w:hint="eastAsia" w:ascii="宋体" w:hAnsi="宋体" w:eastAsia="宋体" w:cs="宋体"/>
          <w:b/>
          <w:bCs/>
          <w:color w:val="auto"/>
          <w:w w:val="95"/>
          <w:sz w:val="32"/>
          <w:highlight w:val="none"/>
        </w:rPr>
        <w:t>采购人：云南开放大学（云南国防工业职业技术学院）</w:t>
      </w:r>
    </w:p>
    <w:p w14:paraId="4532E3B7">
      <w:pPr>
        <w:pStyle w:val="12"/>
        <w:spacing w:line="360" w:lineRule="auto"/>
        <w:jc w:val="center"/>
        <w:rPr>
          <w:rFonts w:hint="eastAsia" w:ascii="宋体" w:hAnsi="宋体" w:eastAsia="宋体" w:cs="宋体"/>
          <w:b/>
          <w:bCs/>
          <w:color w:val="auto"/>
          <w:w w:val="95"/>
          <w:sz w:val="32"/>
          <w:highlight w:val="none"/>
        </w:rPr>
      </w:pPr>
      <w:r>
        <w:rPr>
          <w:rFonts w:hint="eastAsia" w:ascii="宋体" w:hAnsi="宋体" w:eastAsia="宋体" w:cs="宋体"/>
          <w:b/>
          <w:bCs/>
          <w:color w:val="auto"/>
          <w:w w:val="95"/>
          <w:sz w:val="32"/>
          <w:highlight w:val="none"/>
        </w:rPr>
        <w:t>采购代理机构：</w:t>
      </w:r>
      <w:r>
        <w:rPr>
          <w:rFonts w:hint="eastAsia" w:ascii="宋体" w:hAnsi="宋体" w:eastAsia="宋体" w:cs="宋体"/>
          <w:b/>
          <w:bCs/>
          <w:color w:val="auto"/>
          <w:spacing w:val="20"/>
          <w:w w:val="95"/>
          <w:sz w:val="32"/>
          <w:highlight w:val="none"/>
        </w:rPr>
        <w:t>云南谦和工程咨询有限公司</w:t>
      </w:r>
    </w:p>
    <w:p w14:paraId="738249CB">
      <w:pPr>
        <w:pStyle w:val="12"/>
        <w:spacing w:line="3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w w:val="95"/>
          <w:sz w:val="32"/>
          <w:highlight w:val="none"/>
        </w:rPr>
        <w:t>日        期：202</w:t>
      </w:r>
      <w:r>
        <w:rPr>
          <w:rFonts w:hint="eastAsia" w:hAnsi="宋体" w:cs="宋体"/>
          <w:b/>
          <w:bCs/>
          <w:color w:val="auto"/>
          <w:w w:val="95"/>
          <w:sz w:val="32"/>
          <w:highlight w:val="none"/>
          <w:lang w:val="en-US" w:eastAsia="zh-CN"/>
        </w:rPr>
        <w:t>6</w:t>
      </w:r>
      <w:r>
        <w:rPr>
          <w:rFonts w:hint="eastAsia" w:ascii="宋体" w:hAnsi="宋体" w:eastAsia="宋体" w:cs="宋体"/>
          <w:b/>
          <w:bCs/>
          <w:color w:val="auto"/>
          <w:w w:val="95"/>
          <w:sz w:val="32"/>
          <w:highlight w:val="none"/>
        </w:rPr>
        <w:t>年</w:t>
      </w:r>
      <w:r>
        <w:rPr>
          <w:rFonts w:hint="eastAsia" w:hAnsi="宋体" w:cs="宋体"/>
          <w:b/>
          <w:bCs/>
          <w:color w:val="auto"/>
          <w:w w:val="95"/>
          <w:sz w:val="32"/>
          <w:highlight w:val="none"/>
          <w:lang w:val="en-US" w:eastAsia="zh-CN"/>
        </w:rPr>
        <w:t>7</w:t>
      </w:r>
      <w:r>
        <w:rPr>
          <w:rFonts w:hint="eastAsia" w:ascii="宋体" w:hAnsi="宋体" w:eastAsia="宋体" w:cs="宋体"/>
          <w:b/>
          <w:bCs/>
          <w:color w:val="auto"/>
          <w:w w:val="95"/>
          <w:sz w:val="32"/>
          <w:highlight w:val="none"/>
        </w:rPr>
        <w:t>月</w:t>
      </w:r>
    </w:p>
    <w:p w14:paraId="0D234814">
      <w:pPr>
        <w:pStyle w:val="8"/>
        <w:spacing w:line="360" w:lineRule="auto"/>
        <w:ind w:firstLine="0" w:firstLineChars="0"/>
        <w:jc w:val="center"/>
        <w:rPr>
          <w:rFonts w:hint="eastAsia" w:ascii="宋体" w:hAnsi="宋体" w:eastAsia="宋体" w:cs="宋体"/>
          <w:b/>
          <w:color w:val="auto"/>
          <w:kern w:val="44"/>
          <w:sz w:val="36"/>
          <w:szCs w:val="20"/>
          <w:highlight w:val="none"/>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p>
    <w:p w14:paraId="5DD0A9BE">
      <w:pPr>
        <w:pStyle w:val="8"/>
        <w:spacing w:line="360" w:lineRule="auto"/>
        <w:ind w:firstLine="0" w:firstLineChars="0"/>
        <w:jc w:val="center"/>
        <w:rPr>
          <w:rFonts w:ascii="Times New Roman"/>
          <w:b/>
          <w:color w:val="auto"/>
          <w:sz w:val="44"/>
          <w:szCs w:val="20"/>
          <w:highlight w:val="none"/>
        </w:rPr>
      </w:pPr>
      <w:r>
        <w:rPr>
          <w:rFonts w:ascii="Times New Roman" w:eastAsia="黑体"/>
          <w:b/>
          <w:color w:val="auto"/>
          <w:kern w:val="44"/>
          <w:sz w:val="36"/>
          <w:szCs w:val="20"/>
          <w:highlight w:val="none"/>
        </w:rPr>
        <w:t>目</w:t>
      </w:r>
      <w:r>
        <w:rPr>
          <w:rFonts w:hint="eastAsia" w:ascii="Times New Roman" w:eastAsia="黑体"/>
          <w:b/>
          <w:color w:val="auto"/>
          <w:kern w:val="44"/>
          <w:sz w:val="36"/>
          <w:szCs w:val="20"/>
          <w:highlight w:val="none"/>
        </w:rPr>
        <w:t xml:space="preserve">  </w:t>
      </w:r>
      <w:r>
        <w:rPr>
          <w:rFonts w:ascii="Times New Roman" w:eastAsia="黑体"/>
          <w:b/>
          <w:color w:val="auto"/>
          <w:kern w:val="44"/>
          <w:sz w:val="36"/>
          <w:szCs w:val="20"/>
          <w:highlight w:val="none"/>
        </w:rPr>
        <w:t xml:space="preserve">   录</w:t>
      </w:r>
    </w:p>
    <w:p w14:paraId="4CF599C3">
      <w:pPr>
        <w:pStyle w:val="16"/>
        <w:tabs>
          <w:tab w:val="right" w:leader="dot" w:pos="8306"/>
          <w:tab w:val="clear" w:pos="8931"/>
        </w:tabs>
      </w:pPr>
      <w:r>
        <w:rPr>
          <w:rFonts w:ascii="黑体" w:hAnsi="黑体" w:eastAsia="黑体"/>
          <w:b w:val="0"/>
          <w:color w:val="auto"/>
          <w:sz w:val="21"/>
          <w:szCs w:val="21"/>
          <w:highlight w:val="none"/>
        </w:rPr>
        <w:fldChar w:fldCharType="begin"/>
      </w:r>
      <w:r>
        <w:rPr>
          <w:rFonts w:ascii="黑体" w:hAnsi="黑体" w:eastAsia="黑体"/>
          <w:b w:val="0"/>
          <w:color w:val="auto"/>
          <w:sz w:val="21"/>
          <w:szCs w:val="21"/>
          <w:highlight w:val="none"/>
        </w:rPr>
        <w:instrText xml:space="preserve"> TOC \o "1-3" \h \z \u </w:instrText>
      </w:r>
      <w:r>
        <w:rPr>
          <w:rFonts w:ascii="黑体" w:hAnsi="黑体" w:eastAsia="黑体"/>
          <w:b w:val="0"/>
          <w:color w:val="auto"/>
          <w:sz w:val="21"/>
          <w:szCs w:val="21"/>
          <w:highlight w:val="none"/>
        </w:rPr>
        <w:fldChar w:fldCharType="separate"/>
      </w:r>
      <w:r>
        <w:rPr>
          <w:rFonts w:ascii="黑体" w:hAnsi="黑体" w:eastAsia="黑体"/>
          <w:color w:val="auto"/>
          <w:szCs w:val="21"/>
          <w:highlight w:val="none"/>
        </w:rPr>
        <w:fldChar w:fldCharType="begin"/>
      </w:r>
      <w:r>
        <w:rPr>
          <w:rFonts w:ascii="黑体" w:hAnsi="黑体" w:eastAsia="黑体"/>
          <w:szCs w:val="21"/>
          <w:highlight w:val="none"/>
        </w:rPr>
        <w:instrText xml:space="preserve"> HYPERLINK \l _Toc13189 </w:instrText>
      </w:r>
      <w:r>
        <w:rPr>
          <w:rFonts w:ascii="黑体" w:hAnsi="黑体" w:eastAsia="黑体"/>
          <w:szCs w:val="21"/>
          <w:highlight w:val="none"/>
        </w:rPr>
        <w:fldChar w:fldCharType="separate"/>
      </w:r>
      <w:r>
        <w:rPr>
          <w:rFonts w:hint="eastAsia" w:eastAsia="黑体"/>
          <w:kern w:val="44"/>
          <w:szCs w:val="20"/>
          <w:highlight w:val="none"/>
        </w:rPr>
        <w:t>第一章</w:t>
      </w:r>
      <w:r>
        <w:rPr>
          <w:rFonts w:eastAsia="黑体"/>
          <w:kern w:val="44"/>
          <w:szCs w:val="20"/>
          <w:highlight w:val="none"/>
        </w:rPr>
        <w:t xml:space="preserve">  </w:t>
      </w:r>
      <w:r>
        <w:rPr>
          <w:rFonts w:hint="eastAsia" w:eastAsia="黑体"/>
          <w:kern w:val="44"/>
          <w:szCs w:val="20"/>
          <w:highlight w:val="none"/>
        </w:rPr>
        <w:t>竞争性磋商公告</w:t>
      </w:r>
      <w:r>
        <w:tab/>
      </w:r>
      <w:r>
        <w:fldChar w:fldCharType="begin"/>
      </w:r>
      <w:r>
        <w:instrText xml:space="preserve"> PAGEREF _Toc13189 \h </w:instrText>
      </w:r>
      <w:r>
        <w:fldChar w:fldCharType="separate"/>
      </w:r>
      <w:r>
        <w:t>1</w:t>
      </w:r>
      <w:r>
        <w:fldChar w:fldCharType="end"/>
      </w:r>
      <w:r>
        <w:rPr>
          <w:rFonts w:ascii="黑体" w:hAnsi="黑体" w:eastAsia="黑体"/>
          <w:color w:val="auto"/>
          <w:szCs w:val="21"/>
          <w:highlight w:val="none"/>
        </w:rPr>
        <w:fldChar w:fldCharType="end"/>
      </w:r>
    </w:p>
    <w:p w14:paraId="6380C9D0">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_Toc22153 </w:instrText>
      </w:r>
      <w:r>
        <w:rPr>
          <w:rFonts w:ascii="黑体" w:hAnsi="黑体" w:eastAsia="黑体"/>
          <w:bCs/>
          <w:szCs w:val="21"/>
          <w:highlight w:val="none"/>
          <w:lang w:val="zh-CN"/>
        </w:rPr>
        <w:fldChar w:fldCharType="separate"/>
      </w:r>
      <w:r>
        <w:rPr>
          <w:rFonts w:hint="eastAsia" w:ascii="宋体" w:hAnsi="宋体" w:cs="宋体"/>
          <w:szCs w:val="21"/>
          <w:highlight w:val="none"/>
        </w:rPr>
        <w:t>一、项目基本情况</w:t>
      </w:r>
      <w:r>
        <w:tab/>
      </w:r>
      <w:r>
        <w:fldChar w:fldCharType="begin"/>
      </w:r>
      <w:r>
        <w:instrText xml:space="preserve"> PAGEREF _Toc22153 \h </w:instrText>
      </w:r>
      <w:r>
        <w:fldChar w:fldCharType="separate"/>
      </w:r>
      <w:r>
        <w:t>1</w:t>
      </w:r>
      <w:r>
        <w:fldChar w:fldCharType="end"/>
      </w:r>
      <w:r>
        <w:rPr>
          <w:rFonts w:ascii="黑体" w:hAnsi="黑体" w:eastAsia="黑体"/>
          <w:bCs/>
          <w:color w:val="auto"/>
          <w:szCs w:val="21"/>
          <w:highlight w:val="none"/>
          <w:lang w:val="zh-CN"/>
        </w:rPr>
        <w:fldChar w:fldCharType="end"/>
      </w:r>
    </w:p>
    <w:p w14:paraId="5D44B39C">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_Toc12207 </w:instrText>
      </w:r>
      <w:r>
        <w:rPr>
          <w:rFonts w:ascii="黑体" w:hAnsi="黑体" w:eastAsia="黑体"/>
          <w:bCs/>
          <w:szCs w:val="21"/>
          <w:highlight w:val="none"/>
          <w:lang w:val="zh-CN"/>
        </w:rPr>
        <w:fldChar w:fldCharType="separate"/>
      </w:r>
      <w:r>
        <w:rPr>
          <w:rFonts w:hint="eastAsia" w:ascii="宋体" w:hAnsi="宋体" w:cs="宋体"/>
          <w:szCs w:val="21"/>
          <w:highlight w:val="none"/>
        </w:rPr>
        <w:t>二、供应商的资格要求</w:t>
      </w:r>
      <w:r>
        <w:tab/>
      </w:r>
      <w:r>
        <w:fldChar w:fldCharType="begin"/>
      </w:r>
      <w:r>
        <w:instrText xml:space="preserve"> PAGEREF _Toc12207 \h </w:instrText>
      </w:r>
      <w:r>
        <w:fldChar w:fldCharType="separate"/>
      </w:r>
      <w:r>
        <w:t>1</w:t>
      </w:r>
      <w:r>
        <w:fldChar w:fldCharType="end"/>
      </w:r>
      <w:r>
        <w:rPr>
          <w:rFonts w:ascii="黑体" w:hAnsi="黑体" w:eastAsia="黑体"/>
          <w:bCs/>
          <w:color w:val="auto"/>
          <w:szCs w:val="21"/>
          <w:highlight w:val="none"/>
          <w:lang w:val="zh-CN"/>
        </w:rPr>
        <w:fldChar w:fldCharType="end"/>
      </w:r>
    </w:p>
    <w:p w14:paraId="44E6BBC4">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_Toc27031 </w:instrText>
      </w:r>
      <w:r>
        <w:rPr>
          <w:rFonts w:ascii="黑体" w:hAnsi="黑体" w:eastAsia="黑体"/>
          <w:bCs/>
          <w:szCs w:val="21"/>
          <w:highlight w:val="none"/>
          <w:lang w:val="zh-CN"/>
        </w:rPr>
        <w:fldChar w:fldCharType="separate"/>
      </w:r>
      <w:r>
        <w:rPr>
          <w:rFonts w:hint="eastAsia" w:ascii="宋体" w:hAnsi="宋体" w:cs="宋体"/>
          <w:szCs w:val="21"/>
          <w:highlight w:val="none"/>
        </w:rPr>
        <w:t>三、获取采购文件</w:t>
      </w:r>
      <w:r>
        <w:tab/>
      </w:r>
      <w:r>
        <w:fldChar w:fldCharType="begin"/>
      </w:r>
      <w:r>
        <w:instrText xml:space="preserve"> PAGEREF _Toc27031 \h </w:instrText>
      </w:r>
      <w:r>
        <w:fldChar w:fldCharType="separate"/>
      </w:r>
      <w:r>
        <w:t>2</w:t>
      </w:r>
      <w:r>
        <w:fldChar w:fldCharType="end"/>
      </w:r>
      <w:r>
        <w:rPr>
          <w:rFonts w:ascii="黑体" w:hAnsi="黑体" w:eastAsia="黑体"/>
          <w:bCs/>
          <w:color w:val="auto"/>
          <w:szCs w:val="21"/>
          <w:highlight w:val="none"/>
          <w:lang w:val="zh-CN"/>
        </w:rPr>
        <w:fldChar w:fldCharType="end"/>
      </w:r>
    </w:p>
    <w:p w14:paraId="68F41075">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_Toc2053 </w:instrText>
      </w:r>
      <w:r>
        <w:rPr>
          <w:rFonts w:ascii="黑体" w:hAnsi="黑体" w:eastAsia="黑体"/>
          <w:bCs/>
          <w:szCs w:val="21"/>
          <w:highlight w:val="none"/>
          <w:lang w:val="zh-CN"/>
        </w:rPr>
        <w:fldChar w:fldCharType="separate"/>
      </w:r>
      <w:r>
        <w:rPr>
          <w:rFonts w:hint="eastAsia" w:ascii="宋体" w:hAnsi="宋体" w:cs="宋体"/>
          <w:szCs w:val="21"/>
          <w:highlight w:val="none"/>
        </w:rPr>
        <w:t>四、响应文件提交</w:t>
      </w:r>
      <w:r>
        <w:tab/>
      </w:r>
      <w:r>
        <w:fldChar w:fldCharType="begin"/>
      </w:r>
      <w:r>
        <w:instrText xml:space="preserve"> PAGEREF _Toc2053 \h </w:instrText>
      </w:r>
      <w:r>
        <w:fldChar w:fldCharType="separate"/>
      </w:r>
      <w:r>
        <w:t>3</w:t>
      </w:r>
      <w:r>
        <w:fldChar w:fldCharType="end"/>
      </w:r>
      <w:r>
        <w:rPr>
          <w:rFonts w:ascii="黑体" w:hAnsi="黑体" w:eastAsia="黑体"/>
          <w:bCs/>
          <w:color w:val="auto"/>
          <w:szCs w:val="21"/>
          <w:highlight w:val="none"/>
          <w:lang w:val="zh-CN"/>
        </w:rPr>
        <w:fldChar w:fldCharType="end"/>
      </w:r>
    </w:p>
    <w:p w14:paraId="6AF16EBD">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_Toc13245 </w:instrText>
      </w:r>
      <w:r>
        <w:rPr>
          <w:rFonts w:ascii="黑体" w:hAnsi="黑体" w:eastAsia="黑体"/>
          <w:bCs/>
          <w:szCs w:val="21"/>
          <w:highlight w:val="none"/>
          <w:lang w:val="zh-CN"/>
        </w:rPr>
        <w:fldChar w:fldCharType="separate"/>
      </w:r>
      <w:r>
        <w:rPr>
          <w:rFonts w:hint="eastAsia" w:ascii="宋体" w:hAnsi="宋体" w:eastAsia="宋体" w:cs="宋体"/>
          <w:szCs w:val="21"/>
          <w:highlight w:val="none"/>
        </w:rPr>
        <w:t>五、开启</w:t>
      </w:r>
      <w:r>
        <w:tab/>
      </w:r>
      <w:r>
        <w:fldChar w:fldCharType="begin"/>
      </w:r>
      <w:r>
        <w:instrText xml:space="preserve"> PAGEREF _Toc13245 \h </w:instrText>
      </w:r>
      <w:r>
        <w:fldChar w:fldCharType="separate"/>
      </w:r>
      <w:r>
        <w:t>4</w:t>
      </w:r>
      <w:r>
        <w:fldChar w:fldCharType="end"/>
      </w:r>
      <w:r>
        <w:rPr>
          <w:rFonts w:ascii="黑体" w:hAnsi="黑体" w:eastAsia="黑体"/>
          <w:bCs/>
          <w:color w:val="auto"/>
          <w:szCs w:val="21"/>
          <w:highlight w:val="none"/>
          <w:lang w:val="zh-CN"/>
        </w:rPr>
        <w:fldChar w:fldCharType="end"/>
      </w:r>
    </w:p>
    <w:p w14:paraId="591BF94F">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_Toc6459 </w:instrText>
      </w:r>
      <w:r>
        <w:rPr>
          <w:rFonts w:ascii="黑体" w:hAnsi="黑体" w:eastAsia="黑体"/>
          <w:bCs/>
          <w:szCs w:val="21"/>
          <w:highlight w:val="none"/>
          <w:lang w:val="zh-CN"/>
        </w:rPr>
        <w:fldChar w:fldCharType="separate"/>
      </w:r>
      <w:r>
        <w:rPr>
          <w:rFonts w:hint="eastAsia" w:ascii="宋体" w:hAnsi="宋体" w:cs="宋体"/>
          <w:szCs w:val="21"/>
          <w:highlight w:val="none"/>
        </w:rPr>
        <w:t>六、公告期限</w:t>
      </w:r>
      <w:r>
        <w:tab/>
      </w:r>
      <w:r>
        <w:fldChar w:fldCharType="begin"/>
      </w:r>
      <w:r>
        <w:instrText xml:space="preserve"> PAGEREF _Toc6459 \h </w:instrText>
      </w:r>
      <w:r>
        <w:fldChar w:fldCharType="separate"/>
      </w:r>
      <w:r>
        <w:t>4</w:t>
      </w:r>
      <w:r>
        <w:fldChar w:fldCharType="end"/>
      </w:r>
      <w:r>
        <w:rPr>
          <w:rFonts w:ascii="黑体" w:hAnsi="黑体" w:eastAsia="黑体"/>
          <w:bCs/>
          <w:color w:val="auto"/>
          <w:szCs w:val="21"/>
          <w:highlight w:val="none"/>
          <w:lang w:val="zh-CN"/>
        </w:rPr>
        <w:fldChar w:fldCharType="end"/>
      </w:r>
    </w:p>
    <w:p w14:paraId="4ACDFB98">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_Toc30145 </w:instrText>
      </w:r>
      <w:r>
        <w:rPr>
          <w:rFonts w:ascii="黑体" w:hAnsi="黑体" w:eastAsia="黑体"/>
          <w:bCs/>
          <w:szCs w:val="21"/>
          <w:highlight w:val="none"/>
          <w:lang w:val="zh-CN"/>
        </w:rPr>
        <w:fldChar w:fldCharType="separate"/>
      </w:r>
      <w:r>
        <w:rPr>
          <w:rFonts w:hint="eastAsia" w:ascii="宋体" w:hAnsi="宋体" w:cs="宋体"/>
          <w:szCs w:val="21"/>
          <w:highlight w:val="none"/>
        </w:rPr>
        <w:t>七、其他补充事宜</w:t>
      </w:r>
      <w:r>
        <w:tab/>
      </w:r>
      <w:r>
        <w:fldChar w:fldCharType="begin"/>
      </w:r>
      <w:r>
        <w:instrText xml:space="preserve"> PAGEREF _Toc30145 \h </w:instrText>
      </w:r>
      <w:r>
        <w:fldChar w:fldCharType="separate"/>
      </w:r>
      <w:r>
        <w:t>4</w:t>
      </w:r>
      <w:r>
        <w:fldChar w:fldCharType="end"/>
      </w:r>
      <w:r>
        <w:rPr>
          <w:rFonts w:ascii="黑体" w:hAnsi="黑体" w:eastAsia="黑体"/>
          <w:bCs/>
          <w:color w:val="auto"/>
          <w:szCs w:val="21"/>
          <w:highlight w:val="none"/>
          <w:lang w:val="zh-CN"/>
        </w:rPr>
        <w:fldChar w:fldCharType="end"/>
      </w:r>
    </w:p>
    <w:p w14:paraId="1FD11FAC">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_Toc9308 </w:instrText>
      </w:r>
      <w:r>
        <w:rPr>
          <w:rFonts w:ascii="黑体" w:hAnsi="黑体" w:eastAsia="黑体"/>
          <w:bCs/>
          <w:szCs w:val="21"/>
          <w:highlight w:val="none"/>
          <w:lang w:val="zh-CN"/>
        </w:rPr>
        <w:fldChar w:fldCharType="separate"/>
      </w:r>
      <w:r>
        <w:rPr>
          <w:rFonts w:hint="eastAsia" w:ascii="宋体" w:hAnsi="宋体" w:cs="宋体"/>
          <w:szCs w:val="21"/>
          <w:highlight w:val="none"/>
        </w:rPr>
        <w:t>八、凡对本次采购提出询问，请按以下方式联系。</w:t>
      </w:r>
      <w:r>
        <w:tab/>
      </w:r>
      <w:r>
        <w:fldChar w:fldCharType="begin"/>
      </w:r>
      <w:r>
        <w:instrText xml:space="preserve"> PAGEREF _Toc9308 \h </w:instrText>
      </w:r>
      <w:r>
        <w:fldChar w:fldCharType="separate"/>
      </w:r>
      <w:r>
        <w:t>4</w:t>
      </w:r>
      <w:r>
        <w:fldChar w:fldCharType="end"/>
      </w:r>
      <w:r>
        <w:rPr>
          <w:rFonts w:ascii="黑体" w:hAnsi="黑体" w:eastAsia="黑体"/>
          <w:bCs/>
          <w:color w:val="auto"/>
          <w:szCs w:val="21"/>
          <w:highlight w:val="none"/>
          <w:lang w:val="zh-CN"/>
        </w:rPr>
        <w:fldChar w:fldCharType="end"/>
      </w:r>
    </w:p>
    <w:p w14:paraId="264F966D">
      <w:pPr>
        <w:pStyle w:val="16"/>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_Toc19061 </w:instrText>
      </w:r>
      <w:r>
        <w:rPr>
          <w:rFonts w:ascii="黑体" w:hAnsi="黑体" w:eastAsia="黑体"/>
          <w:bCs/>
          <w:szCs w:val="21"/>
          <w:highlight w:val="none"/>
          <w:lang w:val="zh-CN"/>
        </w:rPr>
        <w:fldChar w:fldCharType="separate"/>
      </w:r>
      <w:r>
        <w:rPr>
          <w:rFonts w:hint="eastAsia" w:ascii="Times New Roman" w:eastAsia="黑体"/>
          <w:bCs w:val="0"/>
          <w:kern w:val="44"/>
          <w:highlight w:val="none"/>
        </w:rPr>
        <w:t>第二章</w:t>
      </w:r>
      <w:r>
        <w:rPr>
          <w:rFonts w:ascii="Times New Roman" w:eastAsia="黑体"/>
          <w:bCs w:val="0"/>
          <w:kern w:val="44"/>
          <w:highlight w:val="none"/>
        </w:rPr>
        <w:t xml:space="preserve">  </w:t>
      </w:r>
      <w:r>
        <w:rPr>
          <w:rFonts w:hint="eastAsia" w:ascii="Times New Roman" w:eastAsia="黑体"/>
          <w:bCs w:val="0"/>
          <w:kern w:val="44"/>
          <w:highlight w:val="none"/>
        </w:rPr>
        <w:t>供应商须知</w:t>
      </w:r>
      <w:r>
        <w:tab/>
      </w:r>
      <w:r>
        <w:fldChar w:fldCharType="begin"/>
      </w:r>
      <w:r>
        <w:instrText xml:space="preserve"> PAGEREF _Toc19061 \h </w:instrText>
      </w:r>
      <w:r>
        <w:fldChar w:fldCharType="separate"/>
      </w:r>
      <w:r>
        <w:t>7</w:t>
      </w:r>
      <w:r>
        <w:fldChar w:fldCharType="end"/>
      </w:r>
      <w:r>
        <w:rPr>
          <w:rFonts w:ascii="黑体" w:hAnsi="黑体" w:eastAsia="黑体"/>
          <w:bCs/>
          <w:color w:val="auto"/>
          <w:szCs w:val="21"/>
          <w:highlight w:val="none"/>
          <w:lang w:val="zh-CN"/>
        </w:rPr>
        <w:fldChar w:fldCharType="end"/>
      </w:r>
    </w:p>
    <w:p w14:paraId="34C92410">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_Toc1821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供应商须知前附表</w:t>
      </w:r>
      <w:r>
        <w:tab/>
      </w:r>
      <w:r>
        <w:fldChar w:fldCharType="begin"/>
      </w:r>
      <w:r>
        <w:instrText xml:space="preserve"> PAGEREF _Toc1821 \h </w:instrText>
      </w:r>
      <w:r>
        <w:fldChar w:fldCharType="separate"/>
      </w:r>
      <w:r>
        <w:t>7</w:t>
      </w:r>
      <w:r>
        <w:fldChar w:fldCharType="end"/>
      </w:r>
      <w:r>
        <w:rPr>
          <w:rFonts w:ascii="黑体" w:hAnsi="黑体" w:eastAsia="黑体"/>
          <w:bCs/>
          <w:color w:val="auto"/>
          <w:szCs w:val="21"/>
          <w:highlight w:val="none"/>
          <w:lang w:val="zh-CN"/>
        </w:rPr>
        <w:fldChar w:fldCharType="end"/>
      </w:r>
    </w:p>
    <w:p w14:paraId="35CC994A">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_Toc13882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一、总</w:t>
      </w:r>
      <w:r>
        <w:rPr>
          <w:rFonts w:ascii="黑体" w:hAnsi="黑体" w:eastAsia="黑体"/>
          <w:bCs w:val="0"/>
          <w:szCs w:val="30"/>
          <w:highlight w:val="none"/>
        </w:rPr>
        <w:t xml:space="preserve">  </w:t>
      </w:r>
      <w:r>
        <w:rPr>
          <w:rFonts w:hint="eastAsia" w:ascii="黑体" w:hAnsi="黑体" w:eastAsia="黑体"/>
          <w:bCs w:val="0"/>
          <w:szCs w:val="30"/>
          <w:highlight w:val="none"/>
        </w:rPr>
        <w:t>则</w:t>
      </w:r>
      <w:r>
        <w:tab/>
      </w:r>
      <w:r>
        <w:fldChar w:fldCharType="begin"/>
      </w:r>
      <w:r>
        <w:instrText xml:space="preserve"> PAGEREF _Toc13882 \h </w:instrText>
      </w:r>
      <w:r>
        <w:fldChar w:fldCharType="separate"/>
      </w:r>
      <w:r>
        <w:t>11</w:t>
      </w:r>
      <w:r>
        <w:fldChar w:fldCharType="end"/>
      </w:r>
      <w:r>
        <w:rPr>
          <w:rFonts w:ascii="黑体" w:hAnsi="黑体" w:eastAsia="黑体"/>
          <w:bCs/>
          <w:color w:val="auto"/>
          <w:szCs w:val="21"/>
          <w:highlight w:val="none"/>
          <w:lang w:val="zh-CN"/>
        </w:rPr>
        <w:fldChar w:fldCharType="end"/>
      </w:r>
    </w:p>
    <w:p w14:paraId="7F7B49B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_Toc7699 </w:instrText>
      </w:r>
      <w:r>
        <w:rPr>
          <w:rFonts w:ascii="黑体" w:hAnsi="黑体" w:eastAsia="黑体"/>
          <w:bCs/>
          <w:szCs w:val="21"/>
          <w:highlight w:val="none"/>
          <w:lang w:val="zh-CN"/>
        </w:rPr>
        <w:fldChar w:fldCharType="separate"/>
      </w:r>
      <w:r>
        <w:rPr>
          <w:rFonts w:hint="eastAsia" w:hAnsi="宋体"/>
          <w:kern w:val="2"/>
          <w:szCs w:val="24"/>
          <w:highlight w:val="none"/>
        </w:rPr>
        <w:t>1、项目概况</w:t>
      </w:r>
      <w:r>
        <w:tab/>
      </w:r>
      <w:r>
        <w:fldChar w:fldCharType="begin"/>
      </w:r>
      <w:r>
        <w:instrText xml:space="preserve"> PAGEREF _Toc7699 \h </w:instrText>
      </w:r>
      <w:r>
        <w:fldChar w:fldCharType="separate"/>
      </w:r>
      <w:r>
        <w:t>11</w:t>
      </w:r>
      <w:r>
        <w:fldChar w:fldCharType="end"/>
      </w:r>
      <w:r>
        <w:rPr>
          <w:rFonts w:ascii="黑体" w:hAnsi="黑体" w:eastAsia="黑体"/>
          <w:bCs/>
          <w:color w:val="auto"/>
          <w:szCs w:val="21"/>
          <w:highlight w:val="none"/>
          <w:lang w:val="zh-CN"/>
        </w:rPr>
        <w:fldChar w:fldCharType="end"/>
      </w:r>
    </w:p>
    <w:p w14:paraId="348B383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_Toc30232 </w:instrText>
      </w:r>
      <w:r>
        <w:rPr>
          <w:rFonts w:ascii="黑体" w:hAnsi="黑体" w:eastAsia="黑体"/>
          <w:bCs/>
          <w:szCs w:val="21"/>
          <w:highlight w:val="none"/>
          <w:lang w:val="zh-CN"/>
        </w:rPr>
        <w:fldChar w:fldCharType="separate"/>
      </w:r>
      <w:r>
        <w:rPr>
          <w:rFonts w:hint="eastAsia" w:hAnsi="宋体"/>
          <w:kern w:val="2"/>
          <w:szCs w:val="24"/>
          <w:highlight w:val="none"/>
        </w:rPr>
        <w:t>2、资金来源及落实情况</w:t>
      </w:r>
      <w:r>
        <w:tab/>
      </w:r>
      <w:r>
        <w:fldChar w:fldCharType="begin"/>
      </w:r>
      <w:r>
        <w:instrText xml:space="preserve"> PAGEREF _Toc30232 \h </w:instrText>
      </w:r>
      <w:r>
        <w:fldChar w:fldCharType="separate"/>
      </w:r>
      <w:r>
        <w:t>11</w:t>
      </w:r>
      <w:r>
        <w:fldChar w:fldCharType="end"/>
      </w:r>
      <w:r>
        <w:rPr>
          <w:rFonts w:ascii="黑体" w:hAnsi="黑体" w:eastAsia="黑体"/>
          <w:bCs/>
          <w:color w:val="auto"/>
          <w:szCs w:val="21"/>
          <w:highlight w:val="none"/>
          <w:lang w:val="zh-CN"/>
        </w:rPr>
        <w:fldChar w:fldCharType="end"/>
      </w:r>
    </w:p>
    <w:p w14:paraId="31D7B4A7">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_Toc31035 </w:instrText>
      </w:r>
      <w:r>
        <w:rPr>
          <w:rFonts w:ascii="黑体" w:hAnsi="黑体" w:eastAsia="黑体"/>
          <w:bCs/>
          <w:szCs w:val="21"/>
          <w:highlight w:val="none"/>
          <w:lang w:val="zh-CN"/>
        </w:rPr>
        <w:fldChar w:fldCharType="separate"/>
      </w:r>
      <w:r>
        <w:rPr>
          <w:rFonts w:hint="eastAsia" w:hAnsi="宋体"/>
          <w:kern w:val="2"/>
          <w:szCs w:val="24"/>
          <w:highlight w:val="none"/>
        </w:rPr>
        <w:t>3、项目范围</w:t>
      </w:r>
      <w:r>
        <w:tab/>
      </w:r>
      <w:r>
        <w:fldChar w:fldCharType="begin"/>
      </w:r>
      <w:r>
        <w:instrText xml:space="preserve"> PAGEREF _Toc31035 \h </w:instrText>
      </w:r>
      <w:r>
        <w:fldChar w:fldCharType="separate"/>
      </w:r>
      <w:r>
        <w:t>11</w:t>
      </w:r>
      <w:r>
        <w:fldChar w:fldCharType="end"/>
      </w:r>
      <w:r>
        <w:rPr>
          <w:rFonts w:ascii="黑体" w:hAnsi="黑体" w:eastAsia="黑体"/>
          <w:bCs/>
          <w:color w:val="auto"/>
          <w:szCs w:val="21"/>
          <w:highlight w:val="none"/>
          <w:lang w:val="zh-CN"/>
        </w:rPr>
        <w:fldChar w:fldCharType="end"/>
      </w:r>
    </w:p>
    <w:p w14:paraId="5D75E60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_Toc17067 </w:instrText>
      </w:r>
      <w:r>
        <w:rPr>
          <w:rFonts w:ascii="黑体" w:hAnsi="黑体" w:eastAsia="黑体"/>
          <w:bCs/>
          <w:szCs w:val="21"/>
          <w:highlight w:val="none"/>
          <w:lang w:val="zh-CN"/>
        </w:rPr>
        <w:fldChar w:fldCharType="separate"/>
      </w:r>
      <w:r>
        <w:rPr>
          <w:rFonts w:hint="eastAsia" w:hAnsi="宋体"/>
          <w:kern w:val="2"/>
          <w:szCs w:val="24"/>
          <w:highlight w:val="none"/>
        </w:rPr>
        <w:t>4、合格的供应商</w:t>
      </w:r>
      <w:r>
        <w:tab/>
      </w:r>
      <w:r>
        <w:fldChar w:fldCharType="begin"/>
      </w:r>
      <w:r>
        <w:instrText xml:space="preserve"> PAGEREF _Toc17067 \h </w:instrText>
      </w:r>
      <w:r>
        <w:fldChar w:fldCharType="separate"/>
      </w:r>
      <w:r>
        <w:t>11</w:t>
      </w:r>
      <w:r>
        <w:fldChar w:fldCharType="end"/>
      </w:r>
      <w:r>
        <w:rPr>
          <w:rFonts w:ascii="黑体" w:hAnsi="黑体" w:eastAsia="黑体"/>
          <w:bCs/>
          <w:color w:val="auto"/>
          <w:szCs w:val="21"/>
          <w:highlight w:val="none"/>
          <w:lang w:val="zh-CN"/>
        </w:rPr>
        <w:fldChar w:fldCharType="end"/>
      </w:r>
    </w:p>
    <w:p w14:paraId="61C05A5C">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_Toc20610 </w:instrText>
      </w:r>
      <w:r>
        <w:rPr>
          <w:rFonts w:ascii="黑体" w:hAnsi="黑体" w:eastAsia="黑体"/>
          <w:bCs/>
          <w:szCs w:val="21"/>
          <w:highlight w:val="none"/>
          <w:lang w:val="zh-CN"/>
        </w:rPr>
        <w:fldChar w:fldCharType="separate"/>
      </w:r>
      <w:r>
        <w:rPr>
          <w:rFonts w:hint="eastAsia" w:hAnsi="宋体"/>
          <w:kern w:val="2"/>
          <w:szCs w:val="24"/>
          <w:highlight w:val="none"/>
        </w:rPr>
        <w:t>5、磋商费用</w:t>
      </w:r>
      <w:r>
        <w:tab/>
      </w:r>
      <w:r>
        <w:fldChar w:fldCharType="begin"/>
      </w:r>
      <w:r>
        <w:instrText xml:space="preserve"> PAGEREF _Toc20610 \h </w:instrText>
      </w:r>
      <w:r>
        <w:fldChar w:fldCharType="separate"/>
      </w:r>
      <w:r>
        <w:t>11</w:t>
      </w:r>
      <w:r>
        <w:fldChar w:fldCharType="end"/>
      </w:r>
      <w:r>
        <w:rPr>
          <w:rFonts w:ascii="黑体" w:hAnsi="黑体" w:eastAsia="黑体"/>
          <w:bCs/>
          <w:color w:val="auto"/>
          <w:szCs w:val="21"/>
          <w:highlight w:val="none"/>
          <w:lang w:val="zh-CN"/>
        </w:rPr>
        <w:fldChar w:fldCharType="end"/>
      </w:r>
    </w:p>
    <w:p w14:paraId="4A9BBF14">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_Toc125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二、磋商文件</w:t>
      </w:r>
      <w:r>
        <w:tab/>
      </w:r>
      <w:r>
        <w:fldChar w:fldCharType="begin"/>
      </w:r>
      <w:r>
        <w:instrText xml:space="preserve"> PAGEREF _Toc125 \h </w:instrText>
      </w:r>
      <w:r>
        <w:fldChar w:fldCharType="separate"/>
      </w:r>
      <w:r>
        <w:t>11</w:t>
      </w:r>
      <w:r>
        <w:fldChar w:fldCharType="end"/>
      </w:r>
      <w:r>
        <w:rPr>
          <w:rFonts w:ascii="黑体" w:hAnsi="黑体" w:eastAsia="黑体"/>
          <w:bCs/>
          <w:color w:val="auto"/>
          <w:szCs w:val="21"/>
          <w:highlight w:val="none"/>
          <w:lang w:val="zh-CN"/>
        </w:rPr>
        <w:fldChar w:fldCharType="end"/>
      </w:r>
    </w:p>
    <w:p w14:paraId="26A098D2">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_Toc23610 </w:instrText>
      </w:r>
      <w:r>
        <w:rPr>
          <w:rFonts w:ascii="黑体" w:hAnsi="黑体" w:eastAsia="黑体"/>
          <w:bCs/>
          <w:szCs w:val="21"/>
          <w:highlight w:val="none"/>
          <w:lang w:val="zh-CN"/>
        </w:rPr>
        <w:fldChar w:fldCharType="separate"/>
      </w:r>
      <w:r>
        <w:rPr>
          <w:rFonts w:hint="eastAsia" w:hAnsi="宋体"/>
          <w:kern w:val="2"/>
          <w:szCs w:val="24"/>
          <w:highlight w:val="none"/>
        </w:rPr>
        <w:t>6、磋商文件的组成</w:t>
      </w:r>
      <w:r>
        <w:tab/>
      </w:r>
      <w:r>
        <w:fldChar w:fldCharType="begin"/>
      </w:r>
      <w:r>
        <w:instrText xml:space="preserve"> PAGEREF _Toc23610 \h </w:instrText>
      </w:r>
      <w:r>
        <w:fldChar w:fldCharType="separate"/>
      </w:r>
      <w:r>
        <w:t>11</w:t>
      </w:r>
      <w:r>
        <w:fldChar w:fldCharType="end"/>
      </w:r>
      <w:r>
        <w:rPr>
          <w:rFonts w:ascii="黑体" w:hAnsi="黑体" w:eastAsia="黑体"/>
          <w:bCs/>
          <w:color w:val="auto"/>
          <w:szCs w:val="21"/>
          <w:highlight w:val="none"/>
          <w:lang w:val="zh-CN"/>
        </w:rPr>
        <w:fldChar w:fldCharType="end"/>
      </w:r>
    </w:p>
    <w:p w14:paraId="15E7C002">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_Toc23911 </w:instrText>
      </w:r>
      <w:r>
        <w:rPr>
          <w:rFonts w:ascii="黑体" w:hAnsi="黑体" w:eastAsia="黑体"/>
          <w:bCs/>
          <w:szCs w:val="21"/>
          <w:highlight w:val="none"/>
          <w:lang w:val="zh-CN"/>
        </w:rPr>
        <w:fldChar w:fldCharType="separate"/>
      </w:r>
      <w:r>
        <w:rPr>
          <w:rFonts w:hint="eastAsia" w:hAnsi="宋体"/>
          <w:kern w:val="2"/>
          <w:szCs w:val="24"/>
          <w:highlight w:val="none"/>
        </w:rPr>
        <w:t>7、磋商文件的澄清、修改</w:t>
      </w:r>
      <w:r>
        <w:tab/>
      </w:r>
      <w:r>
        <w:fldChar w:fldCharType="begin"/>
      </w:r>
      <w:r>
        <w:instrText xml:space="preserve"> PAGEREF _Toc23911 \h </w:instrText>
      </w:r>
      <w:r>
        <w:fldChar w:fldCharType="separate"/>
      </w:r>
      <w:r>
        <w:t>12</w:t>
      </w:r>
      <w:r>
        <w:fldChar w:fldCharType="end"/>
      </w:r>
      <w:r>
        <w:rPr>
          <w:rFonts w:ascii="黑体" w:hAnsi="黑体" w:eastAsia="黑体"/>
          <w:bCs/>
          <w:color w:val="auto"/>
          <w:szCs w:val="21"/>
          <w:highlight w:val="none"/>
          <w:lang w:val="zh-CN"/>
        </w:rPr>
        <w:fldChar w:fldCharType="end"/>
      </w:r>
    </w:p>
    <w:p w14:paraId="2B267DE0">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_Toc22119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三、响应文件</w:t>
      </w:r>
      <w:r>
        <w:tab/>
      </w:r>
      <w:r>
        <w:fldChar w:fldCharType="begin"/>
      </w:r>
      <w:r>
        <w:instrText xml:space="preserve"> PAGEREF _Toc22119 \h </w:instrText>
      </w:r>
      <w:r>
        <w:fldChar w:fldCharType="separate"/>
      </w:r>
      <w:r>
        <w:t>13</w:t>
      </w:r>
      <w:r>
        <w:fldChar w:fldCharType="end"/>
      </w:r>
      <w:r>
        <w:rPr>
          <w:rFonts w:ascii="黑体" w:hAnsi="黑体" w:eastAsia="黑体"/>
          <w:bCs/>
          <w:color w:val="auto"/>
          <w:szCs w:val="21"/>
          <w:highlight w:val="none"/>
          <w:lang w:val="zh-CN"/>
        </w:rPr>
        <w:fldChar w:fldCharType="end"/>
      </w:r>
    </w:p>
    <w:p w14:paraId="639B40FA">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_Toc2238 </w:instrText>
      </w:r>
      <w:r>
        <w:rPr>
          <w:rFonts w:ascii="黑体" w:hAnsi="黑体" w:eastAsia="黑体"/>
          <w:bCs/>
          <w:szCs w:val="21"/>
          <w:highlight w:val="none"/>
          <w:lang w:val="zh-CN"/>
        </w:rPr>
        <w:fldChar w:fldCharType="separate"/>
      </w:r>
      <w:r>
        <w:rPr>
          <w:rFonts w:hint="eastAsia" w:hAnsi="宋体"/>
          <w:kern w:val="2"/>
          <w:szCs w:val="24"/>
          <w:highlight w:val="none"/>
        </w:rPr>
        <w:t>8、响应文件编写注意事项</w:t>
      </w:r>
      <w:r>
        <w:tab/>
      </w:r>
      <w:r>
        <w:fldChar w:fldCharType="begin"/>
      </w:r>
      <w:r>
        <w:instrText xml:space="preserve"> PAGEREF _Toc2238 \h </w:instrText>
      </w:r>
      <w:r>
        <w:fldChar w:fldCharType="separate"/>
      </w:r>
      <w:r>
        <w:t>13</w:t>
      </w:r>
      <w:r>
        <w:fldChar w:fldCharType="end"/>
      </w:r>
      <w:r>
        <w:rPr>
          <w:rFonts w:ascii="黑体" w:hAnsi="黑体" w:eastAsia="黑体"/>
          <w:bCs/>
          <w:color w:val="auto"/>
          <w:szCs w:val="21"/>
          <w:highlight w:val="none"/>
          <w:lang w:val="zh-CN"/>
        </w:rPr>
        <w:fldChar w:fldCharType="end"/>
      </w:r>
    </w:p>
    <w:p w14:paraId="233CC5EE">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_Toc8418 </w:instrText>
      </w:r>
      <w:r>
        <w:rPr>
          <w:rFonts w:ascii="黑体" w:hAnsi="黑体" w:eastAsia="黑体"/>
          <w:bCs/>
          <w:szCs w:val="21"/>
          <w:highlight w:val="none"/>
          <w:lang w:val="zh-CN"/>
        </w:rPr>
        <w:fldChar w:fldCharType="separate"/>
      </w:r>
      <w:r>
        <w:rPr>
          <w:rFonts w:hint="eastAsia" w:hAnsi="宋体"/>
          <w:kern w:val="2"/>
          <w:szCs w:val="24"/>
          <w:highlight w:val="none"/>
        </w:rPr>
        <w:t>9、响应文件构成</w:t>
      </w:r>
      <w:r>
        <w:tab/>
      </w:r>
      <w:r>
        <w:fldChar w:fldCharType="begin"/>
      </w:r>
      <w:r>
        <w:instrText xml:space="preserve"> PAGEREF _Toc8418 \h </w:instrText>
      </w:r>
      <w:r>
        <w:fldChar w:fldCharType="separate"/>
      </w:r>
      <w:r>
        <w:t>13</w:t>
      </w:r>
      <w:r>
        <w:fldChar w:fldCharType="end"/>
      </w:r>
      <w:r>
        <w:rPr>
          <w:rFonts w:ascii="黑体" w:hAnsi="黑体" w:eastAsia="黑体"/>
          <w:bCs/>
          <w:color w:val="auto"/>
          <w:szCs w:val="21"/>
          <w:highlight w:val="none"/>
          <w:lang w:val="zh-CN"/>
        </w:rPr>
        <w:fldChar w:fldCharType="end"/>
      </w:r>
    </w:p>
    <w:p w14:paraId="39BB0736">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_Toc30062 </w:instrText>
      </w:r>
      <w:r>
        <w:rPr>
          <w:rFonts w:ascii="黑体" w:hAnsi="黑体" w:eastAsia="黑体"/>
          <w:bCs/>
          <w:szCs w:val="21"/>
          <w:highlight w:val="none"/>
          <w:lang w:val="zh-CN"/>
        </w:rPr>
        <w:fldChar w:fldCharType="separate"/>
      </w:r>
      <w:r>
        <w:rPr>
          <w:rFonts w:hint="eastAsia" w:hAnsi="宋体"/>
          <w:kern w:val="2"/>
          <w:szCs w:val="24"/>
          <w:highlight w:val="none"/>
        </w:rPr>
        <w:t>10、报价和报价货币</w:t>
      </w:r>
      <w:r>
        <w:tab/>
      </w:r>
      <w:r>
        <w:fldChar w:fldCharType="begin"/>
      </w:r>
      <w:r>
        <w:instrText xml:space="preserve"> PAGEREF _Toc30062 \h </w:instrText>
      </w:r>
      <w:r>
        <w:fldChar w:fldCharType="separate"/>
      </w:r>
      <w:r>
        <w:t>13</w:t>
      </w:r>
      <w:r>
        <w:fldChar w:fldCharType="end"/>
      </w:r>
      <w:r>
        <w:rPr>
          <w:rFonts w:ascii="黑体" w:hAnsi="黑体" w:eastAsia="黑体"/>
          <w:bCs/>
          <w:color w:val="auto"/>
          <w:szCs w:val="21"/>
          <w:highlight w:val="none"/>
          <w:lang w:val="zh-CN"/>
        </w:rPr>
        <w:fldChar w:fldCharType="end"/>
      </w:r>
    </w:p>
    <w:p w14:paraId="51B36FCF">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_Toc24977 </w:instrText>
      </w:r>
      <w:r>
        <w:rPr>
          <w:rFonts w:ascii="黑体" w:hAnsi="黑体" w:eastAsia="黑体"/>
          <w:bCs/>
          <w:szCs w:val="21"/>
          <w:highlight w:val="none"/>
          <w:lang w:val="zh-CN"/>
        </w:rPr>
        <w:fldChar w:fldCharType="separate"/>
      </w:r>
      <w:r>
        <w:rPr>
          <w:rFonts w:hint="eastAsia" w:hAnsi="宋体"/>
          <w:kern w:val="2"/>
          <w:szCs w:val="24"/>
          <w:highlight w:val="none"/>
        </w:rPr>
        <w:t>11、磋商有效期</w:t>
      </w:r>
      <w:r>
        <w:tab/>
      </w:r>
      <w:r>
        <w:fldChar w:fldCharType="begin"/>
      </w:r>
      <w:r>
        <w:instrText xml:space="preserve"> PAGEREF _Toc24977 \h </w:instrText>
      </w:r>
      <w:r>
        <w:fldChar w:fldCharType="separate"/>
      </w:r>
      <w:r>
        <w:t>15</w:t>
      </w:r>
      <w:r>
        <w:fldChar w:fldCharType="end"/>
      </w:r>
      <w:r>
        <w:rPr>
          <w:rFonts w:ascii="黑体" w:hAnsi="黑体" w:eastAsia="黑体"/>
          <w:bCs/>
          <w:color w:val="auto"/>
          <w:szCs w:val="21"/>
          <w:highlight w:val="none"/>
          <w:lang w:val="zh-CN"/>
        </w:rPr>
        <w:fldChar w:fldCharType="end"/>
      </w:r>
    </w:p>
    <w:p w14:paraId="62A65EC9">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_Toc24004 </w:instrText>
      </w:r>
      <w:r>
        <w:rPr>
          <w:rFonts w:ascii="黑体" w:hAnsi="黑体" w:eastAsia="黑体"/>
          <w:bCs/>
          <w:szCs w:val="21"/>
          <w:highlight w:val="none"/>
          <w:lang w:val="zh-CN"/>
        </w:rPr>
        <w:fldChar w:fldCharType="separate"/>
      </w:r>
      <w:r>
        <w:rPr>
          <w:rFonts w:hint="eastAsia" w:hAnsi="宋体"/>
          <w:kern w:val="2"/>
          <w:szCs w:val="24"/>
          <w:highlight w:val="none"/>
        </w:rPr>
        <w:t>12、响应文件的编制</w:t>
      </w:r>
      <w:r>
        <w:tab/>
      </w:r>
      <w:r>
        <w:fldChar w:fldCharType="begin"/>
      </w:r>
      <w:r>
        <w:instrText xml:space="preserve"> PAGEREF _Toc24004 \h </w:instrText>
      </w:r>
      <w:r>
        <w:fldChar w:fldCharType="separate"/>
      </w:r>
      <w:r>
        <w:t>15</w:t>
      </w:r>
      <w:r>
        <w:fldChar w:fldCharType="end"/>
      </w:r>
      <w:r>
        <w:rPr>
          <w:rFonts w:ascii="黑体" w:hAnsi="黑体" w:eastAsia="黑体"/>
          <w:bCs/>
          <w:color w:val="auto"/>
          <w:szCs w:val="21"/>
          <w:highlight w:val="none"/>
          <w:lang w:val="zh-CN"/>
        </w:rPr>
        <w:fldChar w:fldCharType="end"/>
      </w:r>
    </w:p>
    <w:p w14:paraId="2097E982">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_Toc28040 </w:instrText>
      </w:r>
      <w:r>
        <w:rPr>
          <w:rFonts w:ascii="黑体" w:hAnsi="黑体" w:eastAsia="黑体"/>
          <w:bCs/>
          <w:szCs w:val="21"/>
          <w:highlight w:val="none"/>
          <w:lang w:val="zh-CN"/>
        </w:rPr>
        <w:fldChar w:fldCharType="separate"/>
      </w:r>
      <w:r>
        <w:rPr>
          <w:rFonts w:hint="eastAsia" w:hAnsi="宋体"/>
          <w:kern w:val="2"/>
          <w:szCs w:val="24"/>
          <w:highlight w:val="none"/>
        </w:rPr>
        <w:t>13、磋商保证金</w:t>
      </w:r>
      <w:r>
        <w:tab/>
      </w:r>
      <w:r>
        <w:fldChar w:fldCharType="begin"/>
      </w:r>
      <w:r>
        <w:instrText xml:space="preserve"> PAGEREF _Toc28040 \h </w:instrText>
      </w:r>
      <w:r>
        <w:fldChar w:fldCharType="separate"/>
      </w:r>
      <w:r>
        <w:t>16</w:t>
      </w:r>
      <w:r>
        <w:fldChar w:fldCharType="end"/>
      </w:r>
      <w:r>
        <w:rPr>
          <w:rFonts w:ascii="黑体" w:hAnsi="黑体" w:eastAsia="黑体"/>
          <w:bCs/>
          <w:color w:val="auto"/>
          <w:szCs w:val="21"/>
          <w:highlight w:val="none"/>
          <w:lang w:val="zh-CN"/>
        </w:rPr>
        <w:fldChar w:fldCharType="end"/>
      </w:r>
    </w:p>
    <w:p w14:paraId="3A3E5BAE">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_Toc7830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四、响应文件的提交</w:t>
      </w:r>
      <w:r>
        <w:tab/>
      </w:r>
      <w:r>
        <w:fldChar w:fldCharType="begin"/>
      </w:r>
      <w:r>
        <w:instrText xml:space="preserve"> PAGEREF _Toc7830 \h </w:instrText>
      </w:r>
      <w:r>
        <w:fldChar w:fldCharType="separate"/>
      </w:r>
      <w:r>
        <w:t>16</w:t>
      </w:r>
      <w:r>
        <w:fldChar w:fldCharType="end"/>
      </w:r>
      <w:r>
        <w:rPr>
          <w:rFonts w:ascii="黑体" w:hAnsi="黑体" w:eastAsia="黑体"/>
          <w:bCs/>
          <w:color w:val="auto"/>
          <w:szCs w:val="21"/>
          <w:highlight w:val="none"/>
          <w:lang w:val="zh-CN"/>
        </w:rPr>
        <w:fldChar w:fldCharType="end"/>
      </w:r>
    </w:p>
    <w:p w14:paraId="579D7214">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_Toc25102 </w:instrText>
      </w:r>
      <w:r>
        <w:rPr>
          <w:rFonts w:ascii="黑体" w:hAnsi="黑体" w:eastAsia="黑体"/>
          <w:bCs/>
          <w:szCs w:val="21"/>
          <w:highlight w:val="none"/>
          <w:lang w:val="zh-CN"/>
        </w:rPr>
        <w:fldChar w:fldCharType="separate"/>
      </w:r>
      <w:r>
        <w:rPr>
          <w:rFonts w:hint="eastAsia" w:hAnsi="宋体"/>
          <w:kern w:val="2"/>
          <w:szCs w:val="24"/>
          <w:highlight w:val="none"/>
        </w:rPr>
        <w:t>14、响应文件的密封与标记</w:t>
      </w:r>
      <w:r>
        <w:tab/>
      </w:r>
      <w:r>
        <w:fldChar w:fldCharType="begin"/>
      </w:r>
      <w:r>
        <w:instrText xml:space="preserve"> PAGEREF _Toc25102 \h </w:instrText>
      </w:r>
      <w:r>
        <w:fldChar w:fldCharType="separate"/>
      </w:r>
      <w:r>
        <w:t>16</w:t>
      </w:r>
      <w:r>
        <w:fldChar w:fldCharType="end"/>
      </w:r>
      <w:r>
        <w:rPr>
          <w:rFonts w:ascii="黑体" w:hAnsi="黑体" w:eastAsia="黑体"/>
          <w:bCs/>
          <w:color w:val="auto"/>
          <w:szCs w:val="21"/>
          <w:highlight w:val="none"/>
          <w:lang w:val="zh-CN"/>
        </w:rPr>
        <w:fldChar w:fldCharType="end"/>
      </w:r>
    </w:p>
    <w:p w14:paraId="007B7E10">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_Toc27826 </w:instrText>
      </w:r>
      <w:r>
        <w:rPr>
          <w:rFonts w:ascii="黑体" w:hAnsi="黑体" w:eastAsia="黑体"/>
          <w:bCs/>
          <w:szCs w:val="21"/>
          <w:highlight w:val="none"/>
          <w:lang w:val="zh-CN"/>
        </w:rPr>
        <w:fldChar w:fldCharType="separate"/>
      </w:r>
      <w:r>
        <w:rPr>
          <w:rFonts w:hint="eastAsia" w:hAnsi="宋体"/>
          <w:kern w:val="2"/>
          <w:szCs w:val="24"/>
          <w:highlight w:val="none"/>
        </w:rPr>
        <w:t>15、递交响应文件的截止时间和地点</w:t>
      </w:r>
      <w:r>
        <w:tab/>
      </w:r>
      <w:r>
        <w:fldChar w:fldCharType="begin"/>
      </w:r>
      <w:r>
        <w:instrText xml:space="preserve"> PAGEREF _Toc27826 \h </w:instrText>
      </w:r>
      <w:r>
        <w:fldChar w:fldCharType="separate"/>
      </w:r>
      <w:r>
        <w:t>16</w:t>
      </w:r>
      <w:r>
        <w:fldChar w:fldCharType="end"/>
      </w:r>
      <w:r>
        <w:rPr>
          <w:rFonts w:ascii="黑体" w:hAnsi="黑体" w:eastAsia="黑体"/>
          <w:bCs/>
          <w:color w:val="auto"/>
          <w:szCs w:val="21"/>
          <w:highlight w:val="none"/>
          <w:lang w:val="zh-CN"/>
        </w:rPr>
        <w:fldChar w:fldCharType="end"/>
      </w:r>
    </w:p>
    <w:p w14:paraId="7F7D67C7">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_Toc723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五、磋商</w:t>
      </w:r>
      <w:r>
        <w:tab/>
      </w:r>
      <w:r>
        <w:fldChar w:fldCharType="begin"/>
      </w:r>
      <w:r>
        <w:instrText xml:space="preserve"> PAGEREF _Toc723 \h </w:instrText>
      </w:r>
      <w:r>
        <w:fldChar w:fldCharType="separate"/>
      </w:r>
      <w:r>
        <w:t>17</w:t>
      </w:r>
      <w:r>
        <w:fldChar w:fldCharType="end"/>
      </w:r>
      <w:r>
        <w:rPr>
          <w:rFonts w:ascii="黑体" w:hAnsi="黑体" w:eastAsia="黑体"/>
          <w:bCs/>
          <w:color w:val="auto"/>
          <w:szCs w:val="21"/>
          <w:highlight w:val="none"/>
          <w:lang w:val="zh-CN"/>
        </w:rPr>
        <w:fldChar w:fldCharType="end"/>
      </w:r>
    </w:p>
    <w:p w14:paraId="092BF7EA">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_Toc16055 </w:instrText>
      </w:r>
      <w:r>
        <w:rPr>
          <w:rFonts w:ascii="黑体" w:hAnsi="黑体" w:eastAsia="黑体"/>
          <w:bCs/>
          <w:szCs w:val="21"/>
          <w:highlight w:val="none"/>
          <w:lang w:val="zh-CN"/>
        </w:rPr>
        <w:fldChar w:fldCharType="separate"/>
      </w:r>
      <w:r>
        <w:rPr>
          <w:rFonts w:hint="eastAsia" w:hAnsi="宋体"/>
          <w:kern w:val="2"/>
          <w:szCs w:val="24"/>
          <w:highlight w:val="none"/>
        </w:rPr>
        <w:t>16、磋商</w:t>
      </w:r>
      <w:r>
        <w:tab/>
      </w:r>
      <w:r>
        <w:fldChar w:fldCharType="begin"/>
      </w:r>
      <w:r>
        <w:instrText xml:space="preserve"> PAGEREF _Toc16055 \h </w:instrText>
      </w:r>
      <w:r>
        <w:fldChar w:fldCharType="separate"/>
      </w:r>
      <w:r>
        <w:t>17</w:t>
      </w:r>
      <w:r>
        <w:fldChar w:fldCharType="end"/>
      </w:r>
      <w:r>
        <w:rPr>
          <w:rFonts w:ascii="黑体" w:hAnsi="黑体" w:eastAsia="黑体"/>
          <w:bCs/>
          <w:color w:val="auto"/>
          <w:szCs w:val="21"/>
          <w:highlight w:val="none"/>
          <w:lang w:val="zh-CN"/>
        </w:rPr>
        <w:fldChar w:fldCharType="end"/>
      </w:r>
    </w:p>
    <w:p w14:paraId="5D5690E4">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_Toc28387 </w:instrText>
      </w:r>
      <w:r>
        <w:rPr>
          <w:rFonts w:ascii="黑体" w:hAnsi="黑体" w:eastAsia="黑体"/>
          <w:bCs/>
          <w:szCs w:val="21"/>
          <w:highlight w:val="none"/>
          <w:lang w:val="zh-CN"/>
        </w:rPr>
        <w:fldChar w:fldCharType="separate"/>
      </w:r>
      <w:r>
        <w:rPr>
          <w:rFonts w:hint="eastAsia" w:hAnsi="宋体"/>
          <w:kern w:val="2"/>
          <w:szCs w:val="24"/>
          <w:highlight w:val="none"/>
        </w:rPr>
        <w:t>17、磋商过程的保密</w:t>
      </w:r>
      <w:r>
        <w:tab/>
      </w:r>
      <w:r>
        <w:fldChar w:fldCharType="begin"/>
      </w:r>
      <w:r>
        <w:instrText xml:space="preserve"> PAGEREF _Toc28387 \h </w:instrText>
      </w:r>
      <w:r>
        <w:fldChar w:fldCharType="separate"/>
      </w:r>
      <w:r>
        <w:t>18</w:t>
      </w:r>
      <w:r>
        <w:fldChar w:fldCharType="end"/>
      </w:r>
      <w:r>
        <w:rPr>
          <w:rFonts w:ascii="黑体" w:hAnsi="黑体" w:eastAsia="黑体"/>
          <w:bCs/>
          <w:color w:val="auto"/>
          <w:szCs w:val="21"/>
          <w:highlight w:val="none"/>
          <w:lang w:val="zh-CN"/>
        </w:rPr>
        <w:fldChar w:fldCharType="end"/>
      </w:r>
    </w:p>
    <w:p w14:paraId="43A51334">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_Toc22215 </w:instrText>
      </w:r>
      <w:r>
        <w:rPr>
          <w:rFonts w:ascii="黑体" w:hAnsi="黑体" w:eastAsia="黑体"/>
          <w:bCs/>
          <w:szCs w:val="21"/>
          <w:highlight w:val="none"/>
          <w:lang w:val="zh-CN"/>
        </w:rPr>
        <w:fldChar w:fldCharType="separate"/>
      </w:r>
      <w:r>
        <w:rPr>
          <w:rFonts w:hint="eastAsia" w:hAnsi="宋体"/>
          <w:kern w:val="2"/>
          <w:szCs w:val="24"/>
          <w:highlight w:val="none"/>
        </w:rPr>
        <w:t>18、关于重新开展采购活动</w:t>
      </w:r>
      <w:r>
        <w:tab/>
      </w:r>
      <w:r>
        <w:fldChar w:fldCharType="begin"/>
      </w:r>
      <w:r>
        <w:instrText xml:space="preserve"> PAGEREF _Toc22215 \h </w:instrText>
      </w:r>
      <w:r>
        <w:fldChar w:fldCharType="separate"/>
      </w:r>
      <w:r>
        <w:t>19</w:t>
      </w:r>
      <w:r>
        <w:fldChar w:fldCharType="end"/>
      </w:r>
      <w:r>
        <w:rPr>
          <w:rFonts w:ascii="黑体" w:hAnsi="黑体" w:eastAsia="黑体"/>
          <w:bCs/>
          <w:color w:val="auto"/>
          <w:szCs w:val="21"/>
          <w:highlight w:val="none"/>
          <w:lang w:val="zh-CN"/>
        </w:rPr>
        <w:fldChar w:fldCharType="end"/>
      </w:r>
    </w:p>
    <w:p w14:paraId="0A26A7E2">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_Toc2579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六、成交结果</w:t>
      </w:r>
      <w:r>
        <w:tab/>
      </w:r>
      <w:r>
        <w:fldChar w:fldCharType="begin"/>
      </w:r>
      <w:r>
        <w:instrText xml:space="preserve"> PAGEREF _Toc2579 \h </w:instrText>
      </w:r>
      <w:r>
        <w:fldChar w:fldCharType="separate"/>
      </w:r>
      <w:r>
        <w:t>19</w:t>
      </w:r>
      <w:r>
        <w:fldChar w:fldCharType="end"/>
      </w:r>
      <w:r>
        <w:rPr>
          <w:rFonts w:ascii="黑体" w:hAnsi="黑体" w:eastAsia="黑体"/>
          <w:bCs/>
          <w:color w:val="auto"/>
          <w:szCs w:val="21"/>
          <w:highlight w:val="none"/>
          <w:lang w:val="zh-CN"/>
        </w:rPr>
        <w:fldChar w:fldCharType="end"/>
      </w:r>
    </w:p>
    <w:p w14:paraId="18ACA3F9">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_Toc29362 </w:instrText>
      </w:r>
      <w:r>
        <w:rPr>
          <w:rFonts w:ascii="黑体" w:hAnsi="黑体" w:eastAsia="黑体"/>
          <w:bCs/>
          <w:szCs w:val="21"/>
          <w:highlight w:val="none"/>
          <w:lang w:val="zh-CN"/>
        </w:rPr>
        <w:fldChar w:fldCharType="separate"/>
      </w:r>
      <w:r>
        <w:rPr>
          <w:rFonts w:hint="eastAsia" w:hAnsi="宋体"/>
          <w:kern w:val="2"/>
          <w:szCs w:val="24"/>
          <w:highlight w:val="none"/>
        </w:rPr>
        <w:t>19、成交供应商的确定</w:t>
      </w:r>
      <w:r>
        <w:tab/>
      </w:r>
      <w:r>
        <w:fldChar w:fldCharType="begin"/>
      </w:r>
      <w:r>
        <w:instrText xml:space="preserve"> PAGEREF _Toc29362 \h </w:instrText>
      </w:r>
      <w:r>
        <w:fldChar w:fldCharType="separate"/>
      </w:r>
      <w:r>
        <w:t>19</w:t>
      </w:r>
      <w:r>
        <w:fldChar w:fldCharType="end"/>
      </w:r>
      <w:r>
        <w:rPr>
          <w:rFonts w:ascii="黑体" w:hAnsi="黑体" w:eastAsia="黑体"/>
          <w:bCs/>
          <w:color w:val="auto"/>
          <w:szCs w:val="21"/>
          <w:highlight w:val="none"/>
          <w:lang w:val="zh-CN"/>
        </w:rPr>
        <w:fldChar w:fldCharType="end"/>
      </w:r>
    </w:p>
    <w:p w14:paraId="312D84FF">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_Toc9984 </w:instrText>
      </w:r>
      <w:r>
        <w:rPr>
          <w:rFonts w:ascii="黑体" w:hAnsi="黑体" w:eastAsia="黑体"/>
          <w:bCs/>
          <w:szCs w:val="21"/>
          <w:highlight w:val="none"/>
          <w:lang w:val="zh-CN"/>
        </w:rPr>
        <w:fldChar w:fldCharType="separate"/>
      </w:r>
      <w:r>
        <w:rPr>
          <w:rFonts w:hint="eastAsia" w:hAnsi="宋体"/>
          <w:kern w:val="2"/>
          <w:szCs w:val="24"/>
          <w:highlight w:val="none"/>
        </w:rPr>
        <w:t>20、成交通知书</w:t>
      </w:r>
      <w:r>
        <w:tab/>
      </w:r>
      <w:r>
        <w:fldChar w:fldCharType="begin"/>
      </w:r>
      <w:r>
        <w:instrText xml:space="preserve"> PAGEREF _Toc9984 \h </w:instrText>
      </w:r>
      <w:r>
        <w:fldChar w:fldCharType="separate"/>
      </w:r>
      <w:r>
        <w:t>19</w:t>
      </w:r>
      <w:r>
        <w:fldChar w:fldCharType="end"/>
      </w:r>
      <w:r>
        <w:rPr>
          <w:rFonts w:ascii="黑体" w:hAnsi="黑体" w:eastAsia="黑体"/>
          <w:bCs/>
          <w:color w:val="auto"/>
          <w:szCs w:val="21"/>
          <w:highlight w:val="none"/>
          <w:lang w:val="zh-CN"/>
        </w:rPr>
        <w:fldChar w:fldCharType="end"/>
      </w:r>
    </w:p>
    <w:p w14:paraId="516654F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_Toc7815 </w:instrText>
      </w:r>
      <w:r>
        <w:rPr>
          <w:rFonts w:ascii="黑体" w:hAnsi="黑体" w:eastAsia="黑体"/>
          <w:bCs/>
          <w:szCs w:val="21"/>
          <w:highlight w:val="none"/>
          <w:lang w:val="zh-CN"/>
        </w:rPr>
        <w:fldChar w:fldCharType="separate"/>
      </w:r>
      <w:r>
        <w:rPr>
          <w:rFonts w:hint="eastAsia" w:hAnsi="宋体"/>
          <w:kern w:val="2"/>
          <w:szCs w:val="24"/>
          <w:highlight w:val="none"/>
        </w:rPr>
        <w:t>21、签订合同</w:t>
      </w:r>
      <w:r>
        <w:tab/>
      </w:r>
      <w:r>
        <w:fldChar w:fldCharType="begin"/>
      </w:r>
      <w:r>
        <w:instrText xml:space="preserve"> PAGEREF _Toc7815 \h </w:instrText>
      </w:r>
      <w:r>
        <w:fldChar w:fldCharType="separate"/>
      </w:r>
      <w:r>
        <w:t>19</w:t>
      </w:r>
      <w:r>
        <w:fldChar w:fldCharType="end"/>
      </w:r>
      <w:r>
        <w:rPr>
          <w:rFonts w:ascii="黑体" w:hAnsi="黑体" w:eastAsia="黑体"/>
          <w:bCs/>
          <w:color w:val="auto"/>
          <w:szCs w:val="21"/>
          <w:highlight w:val="none"/>
          <w:lang w:val="zh-CN"/>
        </w:rPr>
        <w:fldChar w:fldCharType="end"/>
      </w:r>
    </w:p>
    <w:p w14:paraId="312B3EE4">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_Toc7636 </w:instrText>
      </w:r>
      <w:r>
        <w:rPr>
          <w:rFonts w:ascii="黑体" w:hAnsi="黑体" w:eastAsia="黑体"/>
          <w:bCs/>
          <w:szCs w:val="21"/>
          <w:highlight w:val="none"/>
          <w:lang w:val="zh-CN"/>
        </w:rPr>
        <w:fldChar w:fldCharType="separate"/>
      </w:r>
      <w:r>
        <w:rPr>
          <w:rFonts w:hint="eastAsia" w:hAnsi="宋体"/>
          <w:kern w:val="2"/>
          <w:szCs w:val="24"/>
          <w:highlight w:val="none"/>
        </w:rPr>
        <w:t>22、履约保证金</w:t>
      </w:r>
      <w:r>
        <w:tab/>
      </w:r>
      <w:r>
        <w:fldChar w:fldCharType="begin"/>
      </w:r>
      <w:r>
        <w:instrText xml:space="preserve"> PAGEREF _Toc7636 \h </w:instrText>
      </w:r>
      <w:r>
        <w:fldChar w:fldCharType="separate"/>
      </w:r>
      <w:r>
        <w:t>20</w:t>
      </w:r>
      <w:r>
        <w:fldChar w:fldCharType="end"/>
      </w:r>
      <w:r>
        <w:rPr>
          <w:rFonts w:ascii="黑体" w:hAnsi="黑体" w:eastAsia="黑体"/>
          <w:bCs/>
          <w:color w:val="auto"/>
          <w:szCs w:val="21"/>
          <w:highlight w:val="none"/>
          <w:lang w:val="zh-CN"/>
        </w:rPr>
        <w:fldChar w:fldCharType="end"/>
      </w:r>
    </w:p>
    <w:p w14:paraId="4C03544F">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_Toc17586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七、其他事项</w:t>
      </w:r>
      <w:r>
        <w:tab/>
      </w:r>
      <w:r>
        <w:fldChar w:fldCharType="begin"/>
      </w:r>
      <w:r>
        <w:instrText xml:space="preserve"> PAGEREF _Toc17586 \h </w:instrText>
      </w:r>
      <w:r>
        <w:fldChar w:fldCharType="separate"/>
      </w:r>
      <w:r>
        <w:t>20</w:t>
      </w:r>
      <w:r>
        <w:fldChar w:fldCharType="end"/>
      </w:r>
      <w:r>
        <w:rPr>
          <w:rFonts w:ascii="黑体" w:hAnsi="黑体" w:eastAsia="黑体"/>
          <w:bCs/>
          <w:color w:val="auto"/>
          <w:szCs w:val="21"/>
          <w:highlight w:val="none"/>
          <w:lang w:val="zh-CN"/>
        </w:rPr>
        <w:fldChar w:fldCharType="end"/>
      </w:r>
    </w:p>
    <w:p w14:paraId="2C2EFA13">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_Toc7794 </w:instrText>
      </w:r>
      <w:r>
        <w:rPr>
          <w:rFonts w:ascii="黑体" w:hAnsi="黑体" w:eastAsia="黑体"/>
          <w:bCs/>
          <w:szCs w:val="21"/>
          <w:highlight w:val="none"/>
          <w:lang w:val="zh-CN"/>
        </w:rPr>
        <w:fldChar w:fldCharType="separate"/>
      </w:r>
      <w:r>
        <w:rPr>
          <w:rFonts w:hint="eastAsia" w:hAnsi="宋体"/>
          <w:kern w:val="2"/>
          <w:szCs w:val="24"/>
          <w:highlight w:val="none"/>
        </w:rPr>
        <w:t>23、质疑和投诉</w:t>
      </w:r>
      <w:r>
        <w:tab/>
      </w:r>
      <w:r>
        <w:fldChar w:fldCharType="begin"/>
      </w:r>
      <w:r>
        <w:instrText xml:space="preserve"> PAGEREF _Toc7794 \h </w:instrText>
      </w:r>
      <w:r>
        <w:fldChar w:fldCharType="separate"/>
      </w:r>
      <w:r>
        <w:t>20</w:t>
      </w:r>
      <w:r>
        <w:fldChar w:fldCharType="end"/>
      </w:r>
      <w:r>
        <w:rPr>
          <w:rFonts w:ascii="黑体" w:hAnsi="黑体" w:eastAsia="黑体"/>
          <w:bCs/>
          <w:color w:val="auto"/>
          <w:szCs w:val="21"/>
          <w:highlight w:val="none"/>
          <w:lang w:val="zh-CN"/>
        </w:rPr>
        <w:fldChar w:fldCharType="end"/>
      </w:r>
    </w:p>
    <w:p w14:paraId="5D59613A">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_Toc12309 </w:instrText>
      </w:r>
      <w:r>
        <w:rPr>
          <w:rFonts w:ascii="黑体" w:hAnsi="黑体" w:eastAsia="黑体"/>
          <w:bCs/>
          <w:szCs w:val="21"/>
          <w:highlight w:val="none"/>
          <w:lang w:val="zh-CN"/>
        </w:rPr>
        <w:fldChar w:fldCharType="separate"/>
      </w:r>
      <w:r>
        <w:rPr>
          <w:rFonts w:hint="eastAsia" w:hAnsi="宋体"/>
          <w:kern w:val="2"/>
          <w:szCs w:val="24"/>
          <w:highlight w:val="none"/>
        </w:rPr>
        <w:t>24、采购代理服务费</w:t>
      </w:r>
      <w:r>
        <w:tab/>
      </w:r>
      <w:r>
        <w:fldChar w:fldCharType="begin"/>
      </w:r>
      <w:r>
        <w:instrText xml:space="preserve"> PAGEREF _Toc12309 \h </w:instrText>
      </w:r>
      <w:r>
        <w:fldChar w:fldCharType="separate"/>
      </w:r>
      <w:r>
        <w:t>21</w:t>
      </w:r>
      <w:r>
        <w:fldChar w:fldCharType="end"/>
      </w:r>
      <w:r>
        <w:rPr>
          <w:rFonts w:ascii="黑体" w:hAnsi="黑体" w:eastAsia="黑体"/>
          <w:bCs/>
          <w:color w:val="auto"/>
          <w:szCs w:val="21"/>
          <w:highlight w:val="none"/>
          <w:lang w:val="zh-CN"/>
        </w:rPr>
        <w:fldChar w:fldCharType="end"/>
      </w:r>
    </w:p>
    <w:p w14:paraId="3FB28574">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_Toc16564 </w:instrText>
      </w:r>
      <w:r>
        <w:rPr>
          <w:rFonts w:ascii="黑体" w:hAnsi="黑体" w:eastAsia="黑体"/>
          <w:bCs/>
          <w:szCs w:val="21"/>
          <w:highlight w:val="none"/>
          <w:lang w:val="zh-CN"/>
        </w:rPr>
        <w:fldChar w:fldCharType="separate"/>
      </w:r>
      <w:r>
        <w:rPr>
          <w:rFonts w:hint="eastAsia" w:hAnsi="宋体"/>
          <w:kern w:val="2"/>
          <w:szCs w:val="24"/>
          <w:highlight w:val="none"/>
        </w:rPr>
        <w:t>25、磋商文件编制依据</w:t>
      </w:r>
      <w:r>
        <w:tab/>
      </w:r>
      <w:r>
        <w:fldChar w:fldCharType="begin"/>
      </w:r>
      <w:r>
        <w:instrText xml:space="preserve"> PAGEREF _Toc16564 \h </w:instrText>
      </w:r>
      <w:r>
        <w:fldChar w:fldCharType="separate"/>
      </w:r>
      <w:r>
        <w:t>21</w:t>
      </w:r>
      <w:r>
        <w:fldChar w:fldCharType="end"/>
      </w:r>
      <w:r>
        <w:rPr>
          <w:rFonts w:ascii="黑体" w:hAnsi="黑体" w:eastAsia="黑体"/>
          <w:bCs/>
          <w:color w:val="auto"/>
          <w:szCs w:val="21"/>
          <w:highlight w:val="none"/>
          <w:lang w:val="zh-CN"/>
        </w:rPr>
        <w:fldChar w:fldCharType="end"/>
      </w:r>
    </w:p>
    <w:p w14:paraId="79E479E2">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_Toc6066 </w:instrText>
      </w:r>
      <w:r>
        <w:rPr>
          <w:rFonts w:ascii="黑体" w:hAnsi="黑体" w:eastAsia="黑体"/>
          <w:bCs/>
          <w:szCs w:val="21"/>
          <w:highlight w:val="none"/>
          <w:lang w:val="zh-CN"/>
        </w:rPr>
        <w:fldChar w:fldCharType="separate"/>
      </w:r>
      <w:r>
        <w:rPr>
          <w:rFonts w:hint="eastAsia" w:hAnsi="宋体"/>
          <w:kern w:val="2"/>
          <w:szCs w:val="24"/>
          <w:highlight w:val="none"/>
        </w:rPr>
        <w:t>26、需要补充的其他内容</w:t>
      </w:r>
      <w:r>
        <w:tab/>
      </w:r>
      <w:r>
        <w:fldChar w:fldCharType="begin"/>
      </w:r>
      <w:r>
        <w:instrText xml:space="preserve"> PAGEREF _Toc6066 \h </w:instrText>
      </w:r>
      <w:r>
        <w:fldChar w:fldCharType="separate"/>
      </w:r>
      <w:r>
        <w:t>21</w:t>
      </w:r>
      <w:r>
        <w:fldChar w:fldCharType="end"/>
      </w:r>
      <w:r>
        <w:rPr>
          <w:rFonts w:ascii="黑体" w:hAnsi="黑体" w:eastAsia="黑体"/>
          <w:bCs/>
          <w:color w:val="auto"/>
          <w:szCs w:val="21"/>
          <w:highlight w:val="none"/>
          <w:lang w:val="zh-CN"/>
        </w:rPr>
        <w:fldChar w:fldCharType="end"/>
      </w:r>
    </w:p>
    <w:p w14:paraId="738FA030">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_Toc11227 </w:instrText>
      </w:r>
      <w:r>
        <w:rPr>
          <w:rFonts w:ascii="黑体" w:hAnsi="黑体" w:eastAsia="黑体"/>
          <w:bCs/>
          <w:szCs w:val="21"/>
          <w:highlight w:val="none"/>
          <w:lang w:val="zh-CN"/>
        </w:rPr>
        <w:fldChar w:fldCharType="separate"/>
      </w:r>
      <w:r>
        <w:rPr>
          <w:rFonts w:hint="eastAsia" w:hAnsi="宋体"/>
          <w:bCs w:val="0"/>
          <w:kern w:val="2"/>
          <w:szCs w:val="21"/>
          <w:highlight w:val="none"/>
        </w:rPr>
        <w:t>具体内容详见：</w:t>
      </w:r>
      <w:r>
        <w:rPr>
          <w:rFonts w:hint="eastAsia" w:hAnsi="宋体"/>
          <w:kern w:val="2"/>
          <w:szCs w:val="21"/>
          <w:highlight w:val="none"/>
        </w:rPr>
        <w:t>“供应商须知前附表”</w:t>
      </w:r>
      <w:r>
        <w:tab/>
      </w:r>
      <w:r>
        <w:fldChar w:fldCharType="begin"/>
      </w:r>
      <w:r>
        <w:instrText xml:space="preserve"> PAGEREF _Toc11227 \h </w:instrText>
      </w:r>
      <w:r>
        <w:fldChar w:fldCharType="separate"/>
      </w:r>
      <w:r>
        <w:t>21</w:t>
      </w:r>
      <w:r>
        <w:fldChar w:fldCharType="end"/>
      </w:r>
      <w:r>
        <w:rPr>
          <w:rFonts w:ascii="黑体" w:hAnsi="黑体" w:eastAsia="黑体"/>
          <w:bCs/>
          <w:color w:val="auto"/>
          <w:szCs w:val="21"/>
          <w:highlight w:val="none"/>
          <w:lang w:val="zh-CN"/>
        </w:rPr>
        <w:fldChar w:fldCharType="end"/>
      </w:r>
    </w:p>
    <w:p w14:paraId="2B5D3E3B">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_Toc18660 </w:instrText>
      </w:r>
      <w:r>
        <w:rPr>
          <w:rFonts w:ascii="黑体" w:hAnsi="黑体" w:eastAsia="黑体"/>
          <w:bCs/>
          <w:szCs w:val="21"/>
          <w:highlight w:val="none"/>
          <w:lang w:val="zh-CN"/>
        </w:rPr>
        <w:fldChar w:fldCharType="separate"/>
      </w:r>
      <w:r>
        <w:rPr>
          <w:rFonts w:hint="eastAsia" w:hAnsi="宋体"/>
          <w:kern w:val="2"/>
          <w:szCs w:val="24"/>
          <w:highlight w:val="none"/>
        </w:rPr>
        <w:t>27、名词及术语</w:t>
      </w:r>
      <w:r>
        <w:tab/>
      </w:r>
      <w:r>
        <w:fldChar w:fldCharType="begin"/>
      </w:r>
      <w:r>
        <w:instrText xml:space="preserve"> PAGEREF _Toc18660 \h </w:instrText>
      </w:r>
      <w:r>
        <w:fldChar w:fldCharType="separate"/>
      </w:r>
      <w:r>
        <w:t>21</w:t>
      </w:r>
      <w:r>
        <w:fldChar w:fldCharType="end"/>
      </w:r>
      <w:r>
        <w:rPr>
          <w:rFonts w:ascii="黑体" w:hAnsi="黑体" w:eastAsia="黑体"/>
          <w:bCs/>
          <w:color w:val="auto"/>
          <w:szCs w:val="21"/>
          <w:highlight w:val="none"/>
          <w:lang w:val="zh-CN"/>
        </w:rPr>
        <w:fldChar w:fldCharType="end"/>
      </w:r>
    </w:p>
    <w:p w14:paraId="7A3CF45A">
      <w:pPr>
        <w:pStyle w:val="16"/>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_Toc13937 </w:instrText>
      </w:r>
      <w:r>
        <w:rPr>
          <w:rFonts w:ascii="黑体" w:hAnsi="黑体" w:eastAsia="黑体"/>
          <w:bCs/>
          <w:szCs w:val="21"/>
          <w:highlight w:val="none"/>
          <w:lang w:val="zh-CN"/>
        </w:rPr>
        <w:fldChar w:fldCharType="separate"/>
      </w:r>
      <w:r>
        <w:rPr>
          <w:rFonts w:hint="eastAsia" w:ascii="Times New Roman" w:hAnsi="Times New Roman" w:eastAsia="黑体"/>
          <w:kern w:val="44"/>
          <w:szCs w:val="20"/>
          <w:highlight w:val="none"/>
        </w:rPr>
        <w:t>第三章 磋商程序和方法</w:t>
      </w:r>
      <w:r>
        <w:tab/>
      </w:r>
      <w:r>
        <w:fldChar w:fldCharType="begin"/>
      </w:r>
      <w:r>
        <w:instrText xml:space="preserve"> PAGEREF _Toc13937 \h </w:instrText>
      </w:r>
      <w:r>
        <w:fldChar w:fldCharType="separate"/>
      </w:r>
      <w:r>
        <w:t>22</w:t>
      </w:r>
      <w:r>
        <w:fldChar w:fldCharType="end"/>
      </w:r>
      <w:r>
        <w:rPr>
          <w:rFonts w:ascii="黑体" w:hAnsi="黑体" w:eastAsia="黑体"/>
          <w:bCs/>
          <w:color w:val="auto"/>
          <w:szCs w:val="21"/>
          <w:highlight w:val="none"/>
          <w:lang w:val="zh-CN"/>
        </w:rPr>
        <w:fldChar w:fldCharType="end"/>
      </w:r>
    </w:p>
    <w:p w14:paraId="2A8F55CF">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_Toc27712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磋商方法前附表</w:t>
      </w:r>
      <w:r>
        <w:tab/>
      </w:r>
      <w:r>
        <w:fldChar w:fldCharType="begin"/>
      </w:r>
      <w:r>
        <w:instrText xml:space="preserve"> PAGEREF _Toc27712 \h </w:instrText>
      </w:r>
      <w:r>
        <w:fldChar w:fldCharType="separate"/>
      </w:r>
      <w:r>
        <w:t>22</w:t>
      </w:r>
      <w:r>
        <w:fldChar w:fldCharType="end"/>
      </w:r>
      <w:r>
        <w:rPr>
          <w:rFonts w:ascii="黑体" w:hAnsi="黑体" w:eastAsia="黑体"/>
          <w:bCs/>
          <w:color w:val="auto"/>
          <w:szCs w:val="21"/>
          <w:highlight w:val="none"/>
          <w:lang w:val="zh-CN"/>
        </w:rPr>
        <w:fldChar w:fldCharType="end"/>
      </w:r>
    </w:p>
    <w:p w14:paraId="582D36DD">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_Toc10783 </w:instrText>
      </w:r>
      <w:r>
        <w:rPr>
          <w:rFonts w:ascii="黑体" w:hAnsi="黑体" w:eastAsia="黑体"/>
          <w:bCs/>
          <w:szCs w:val="21"/>
          <w:highlight w:val="none"/>
          <w:lang w:val="zh-CN"/>
        </w:rPr>
        <w:fldChar w:fldCharType="separate"/>
      </w:r>
      <w:r>
        <w:rPr>
          <w:rFonts w:hint="eastAsia" w:hAnsi="宋体"/>
          <w:bCs w:val="0"/>
          <w:highlight w:val="none"/>
        </w:rPr>
        <w:t>一、</w:t>
      </w:r>
      <w:r>
        <w:rPr>
          <w:rFonts w:hint="eastAsia" w:ascii="黑体" w:hAnsi="黑体" w:eastAsia="黑体"/>
          <w:bCs w:val="0"/>
          <w:szCs w:val="30"/>
          <w:highlight w:val="none"/>
        </w:rPr>
        <w:t>磋商方法</w:t>
      </w:r>
      <w:r>
        <w:tab/>
      </w:r>
      <w:r>
        <w:fldChar w:fldCharType="begin"/>
      </w:r>
      <w:r>
        <w:instrText xml:space="preserve"> PAGEREF _Toc10783 \h </w:instrText>
      </w:r>
      <w:r>
        <w:fldChar w:fldCharType="separate"/>
      </w:r>
      <w:r>
        <w:t>29</w:t>
      </w:r>
      <w:r>
        <w:fldChar w:fldCharType="end"/>
      </w:r>
      <w:r>
        <w:rPr>
          <w:rFonts w:ascii="黑体" w:hAnsi="黑体" w:eastAsia="黑体"/>
          <w:bCs/>
          <w:color w:val="auto"/>
          <w:szCs w:val="21"/>
          <w:highlight w:val="none"/>
          <w:lang w:val="zh-CN"/>
        </w:rPr>
        <w:fldChar w:fldCharType="end"/>
      </w:r>
    </w:p>
    <w:p w14:paraId="3DD57AEF">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_Toc654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二、评审标准</w:t>
      </w:r>
      <w:r>
        <w:tab/>
      </w:r>
      <w:r>
        <w:fldChar w:fldCharType="begin"/>
      </w:r>
      <w:r>
        <w:instrText xml:space="preserve"> PAGEREF _Toc654 \h </w:instrText>
      </w:r>
      <w:r>
        <w:fldChar w:fldCharType="separate"/>
      </w:r>
      <w:r>
        <w:t>29</w:t>
      </w:r>
      <w:r>
        <w:fldChar w:fldCharType="end"/>
      </w:r>
      <w:r>
        <w:rPr>
          <w:rFonts w:ascii="黑体" w:hAnsi="黑体" w:eastAsia="黑体"/>
          <w:bCs/>
          <w:color w:val="auto"/>
          <w:szCs w:val="21"/>
          <w:highlight w:val="none"/>
          <w:lang w:val="zh-CN"/>
        </w:rPr>
        <w:fldChar w:fldCharType="end"/>
      </w:r>
    </w:p>
    <w:p w14:paraId="4DB57F5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_Toc29510 </w:instrText>
      </w:r>
      <w:r>
        <w:rPr>
          <w:rFonts w:ascii="黑体" w:hAnsi="黑体" w:eastAsia="黑体"/>
          <w:bCs/>
          <w:szCs w:val="21"/>
          <w:highlight w:val="none"/>
          <w:lang w:val="zh-CN"/>
        </w:rPr>
        <w:fldChar w:fldCharType="separate"/>
      </w:r>
      <w:r>
        <w:rPr>
          <w:rFonts w:hint="eastAsia"/>
          <w:kern w:val="0"/>
          <w:highlight w:val="none"/>
        </w:rPr>
        <w:t>1</w:t>
      </w:r>
      <w:r>
        <w:rPr>
          <w:kern w:val="0"/>
          <w:highlight w:val="none"/>
        </w:rPr>
        <w:t>.</w:t>
      </w:r>
      <w:r>
        <w:rPr>
          <w:rFonts w:hint="eastAsia"/>
          <w:kern w:val="0"/>
          <w:highlight w:val="none"/>
        </w:rPr>
        <w:t>初步评审标准</w:t>
      </w:r>
      <w:r>
        <w:tab/>
      </w:r>
      <w:r>
        <w:fldChar w:fldCharType="begin"/>
      </w:r>
      <w:r>
        <w:instrText xml:space="preserve"> PAGEREF _Toc29510 \h </w:instrText>
      </w:r>
      <w:r>
        <w:fldChar w:fldCharType="separate"/>
      </w:r>
      <w:r>
        <w:t>29</w:t>
      </w:r>
      <w:r>
        <w:fldChar w:fldCharType="end"/>
      </w:r>
      <w:r>
        <w:rPr>
          <w:rFonts w:ascii="黑体" w:hAnsi="黑体" w:eastAsia="黑体"/>
          <w:bCs/>
          <w:color w:val="auto"/>
          <w:szCs w:val="21"/>
          <w:highlight w:val="none"/>
          <w:lang w:val="zh-CN"/>
        </w:rPr>
        <w:fldChar w:fldCharType="end"/>
      </w:r>
    </w:p>
    <w:p w14:paraId="2740E70B">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_Toc609 </w:instrText>
      </w:r>
      <w:r>
        <w:rPr>
          <w:rFonts w:ascii="黑体" w:hAnsi="黑体" w:eastAsia="黑体"/>
          <w:bCs/>
          <w:szCs w:val="21"/>
          <w:highlight w:val="none"/>
          <w:lang w:val="zh-CN"/>
        </w:rPr>
        <w:fldChar w:fldCharType="separate"/>
      </w:r>
      <w:r>
        <w:rPr>
          <w:kern w:val="0"/>
          <w:highlight w:val="none"/>
        </w:rPr>
        <w:t>2.分值构成与评分标准</w:t>
      </w:r>
      <w:r>
        <w:tab/>
      </w:r>
      <w:r>
        <w:fldChar w:fldCharType="begin"/>
      </w:r>
      <w:r>
        <w:instrText xml:space="preserve"> PAGEREF _Toc609 \h </w:instrText>
      </w:r>
      <w:r>
        <w:fldChar w:fldCharType="separate"/>
      </w:r>
      <w:r>
        <w:t>29</w:t>
      </w:r>
      <w:r>
        <w:fldChar w:fldCharType="end"/>
      </w:r>
      <w:r>
        <w:rPr>
          <w:rFonts w:ascii="黑体" w:hAnsi="黑体" w:eastAsia="黑体"/>
          <w:bCs/>
          <w:color w:val="auto"/>
          <w:szCs w:val="21"/>
          <w:highlight w:val="none"/>
          <w:lang w:val="zh-CN"/>
        </w:rPr>
        <w:fldChar w:fldCharType="end"/>
      </w:r>
    </w:p>
    <w:p w14:paraId="5EDD304F">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_Toc1284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三、磋商</w:t>
      </w:r>
      <w:r>
        <w:rPr>
          <w:rFonts w:ascii="黑体" w:hAnsi="黑体" w:eastAsia="黑体"/>
          <w:bCs w:val="0"/>
          <w:szCs w:val="30"/>
          <w:highlight w:val="none"/>
        </w:rPr>
        <w:t>程序</w:t>
      </w:r>
      <w:r>
        <w:tab/>
      </w:r>
      <w:r>
        <w:fldChar w:fldCharType="begin"/>
      </w:r>
      <w:r>
        <w:instrText xml:space="preserve"> PAGEREF _Toc1284 \h </w:instrText>
      </w:r>
      <w:r>
        <w:fldChar w:fldCharType="separate"/>
      </w:r>
      <w:r>
        <w:t>29</w:t>
      </w:r>
      <w:r>
        <w:fldChar w:fldCharType="end"/>
      </w:r>
      <w:r>
        <w:rPr>
          <w:rFonts w:ascii="黑体" w:hAnsi="黑体" w:eastAsia="黑体"/>
          <w:bCs/>
          <w:color w:val="auto"/>
          <w:szCs w:val="21"/>
          <w:highlight w:val="none"/>
          <w:lang w:val="zh-CN"/>
        </w:rPr>
        <w:fldChar w:fldCharType="end"/>
      </w:r>
    </w:p>
    <w:p w14:paraId="1E2B025C">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_Toc5496 </w:instrText>
      </w:r>
      <w:r>
        <w:rPr>
          <w:rFonts w:ascii="黑体" w:hAnsi="黑体" w:eastAsia="黑体"/>
          <w:bCs/>
          <w:szCs w:val="21"/>
          <w:highlight w:val="none"/>
          <w:lang w:val="zh-CN"/>
        </w:rPr>
        <w:fldChar w:fldCharType="separate"/>
      </w:r>
      <w:r>
        <w:rPr>
          <w:kern w:val="0"/>
          <w:highlight w:val="none"/>
        </w:rPr>
        <w:t>1.</w:t>
      </w:r>
      <w:r>
        <w:rPr>
          <w:rFonts w:hint="eastAsia"/>
          <w:kern w:val="0"/>
          <w:highlight w:val="none"/>
        </w:rPr>
        <w:t>初步</w:t>
      </w:r>
      <w:r>
        <w:rPr>
          <w:kern w:val="0"/>
          <w:highlight w:val="none"/>
        </w:rPr>
        <w:t>评审</w:t>
      </w:r>
      <w:r>
        <w:tab/>
      </w:r>
      <w:r>
        <w:fldChar w:fldCharType="begin"/>
      </w:r>
      <w:r>
        <w:instrText xml:space="preserve"> PAGEREF _Toc5496 \h </w:instrText>
      </w:r>
      <w:r>
        <w:fldChar w:fldCharType="separate"/>
      </w:r>
      <w:r>
        <w:t>29</w:t>
      </w:r>
      <w:r>
        <w:fldChar w:fldCharType="end"/>
      </w:r>
      <w:r>
        <w:rPr>
          <w:rFonts w:ascii="黑体" w:hAnsi="黑体" w:eastAsia="黑体"/>
          <w:bCs/>
          <w:color w:val="auto"/>
          <w:szCs w:val="21"/>
          <w:highlight w:val="none"/>
          <w:lang w:val="zh-CN"/>
        </w:rPr>
        <w:fldChar w:fldCharType="end"/>
      </w:r>
    </w:p>
    <w:p w14:paraId="75252EFC">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_Toc7539 </w:instrText>
      </w:r>
      <w:r>
        <w:rPr>
          <w:rFonts w:ascii="黑体" w:hAnsi="黑体" w:eastAsia="黑体"/>
          <w:bCs/>
          <w:szCs w:val="21"/>
          <w:highlight w:val="none"/>
          <w:lang w:val="zh-CN"/>
        </w:rPr>
        <w:fldChar w:fldCharType="separate"/>
      </w:r>
      <w:r>
        <w:rPr>
          <w:rFonts w:hint="eastAsia"/>
          <w:kern w:val="0"/>
          <w:highlight w:val="none"/>
        </w:rPr>
        <w:t>2</w:t>
      </w:r>
      <w:r>
        <w:rPr>
          <w:kern w:val="0"/>
          <w:highlight w:val="none"/>
        </w:rPr>
        <w:t>.</w:t>
      </w:r>
      <w:r>
        <w:rPr>
          <w:rFonts w:hint="eastAsia"/>
          <w:kern w:val="0"/>
          <w:highlight w:val="none"/>
        </w:rPr>
        <w:t>磋商及最后报价</w:t>
      </w:r>
      <w:r>
        <w:tab/>
      </w:r>
      <w:r>
        <w:fldChar w:fldCharType="begin"/>
      </w:r>
      <w:r>
        <w:instrText xml:space="preserve"> PAGEREF _Toc7539 \h </w:instrText>
      </w:r>
      <w:r>
        <w:fldChar w:fldCharType="separate"/>
      </w:r>
      <w:r>
        <w:t>30</w:t>
      </w:r>
      <w:r>
        <w:fldChar w:fldCharType="end"/>
      </w:r>
      <w:r>
        <w:rPr>
          <w:rFonts w:ascii="黑体" w:hAnsi="黑体" w:eastAsia="黑体"/>
          <w:bCs/>
          <w:color w:val="auto"/>
          <w:szCs w:val="21"/>
          <w:highlight w:val="none"/>
          <w:lang w:val="zh-CN"/>
        </w:rPr>
        <w:fldChar w:fldCharType="end"/>
      </w:r>
    </w:p>
    <w:p w14:paraId="5CB2929D">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_Toc4654 </w:instrText>
      </w:r>
      <w:r>
        <w:rPr>
          <w:rFonts w:ascii="黑体" w:hAnsi="黑体" w:eastAsia="黑体"/>
          <w:bCs/>
          <w:szCs w:val="21"/>
          <w:highlight w:val="none"/>
          <w:lang w:val="zh-CN"/>
        </w:rPr>
        <w:fldChar w:fldCharType="separate"/>
      </w:r>
      <w:r>
        <w:rPr>
          <w:rFonts w:hint="eastAsia"/>
          <w:kern w:val="0"/>
          <w:highlight w:val="none"/>
        </w:rPr>
        <w:t>3</w:t>
      </w:r>
      <w:r>
        <w:rPr>
          <w:kern w:val="0"/>
          <w:highlight w:val="none"/>
        </w:rPr>
        <w:t>.</w:t>
      </w:r>
      <w:r>
        <w:rPr>
          <w:rFonts w:hint="eastAsia"/>
          <w:kern w:val="0"/>
          <w:highlight w:val="none"/>
        </w:rPr>
        <w:t>评分</w:t>
      </w:r>
      <w:r>
        <w:tab/>
      </w:r>
      <w:r>
        <w:fldChar w:fldCharType="begin"/>
      </w:r>
      <w:r>
        <w:instrText xml:space="preserve"> PAGEREF _Toc4654 \h </w:instrText>
      </w:r>
      <w:r>
        <w:fldChar w:fldCharType="separate"/>
      </w:r>
      <w:r>
        <w:t>31</w:t>
      </w:r>
      <w:r>
        <w:fldChar w:fldCharType="end"/>
      </w:r>
      <w:r>
        <w:rPr>
          <w:rFonts w:ascii="黑体" w:hAnsi="黑体" w:eastAsia="黑体"/>
          <w:bCs/>
          <w:color w:val="auto"/>
          <w:szCs w:val="21"/>
          <w:highlight w:val="none"/>
          <w:lang w:val="zh-CN"/>
        </w:rPr>
        <w:fldChar w:fldCharType="end"/>
      </w:r>
    </w:p>
    <w:p w14:paraId="4DA1242B">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_Toc9192 </w:instrText>
      </w:r>
      <w:r>
        <w:rPr>
          <w:rFonts w:ascii="黑体" w:hAnsi="黑体" w:eastAsia="黑体"/>
          <w:bCs/>
          <w:szCs w:val="21"/>
          <w:highlight w:val="none"/>
          <w:lang w:val="zh-CN"/>
        </w:rPr>
        <w:fldChar w:fldCharType="separate"/>
      </w:r>
      <w:r>
        <w:rPr>
          <w:kern w:val="0"/>
          <w:highlight w:val="none"/>
        </w:rPr>
        <w:t>4.</w:t>
      </w:r>
      <w:r>
        <w:rPr>
          <w:rFonts w:hint="eastAsia"/>
          <w:kern w:val="0"/>
          <w:highlight w:val="none"/>
        </w:rPr>
        <w:t>磋商</w:t>
      </w:r>
      <w:r>
        <w:rPr>
          <w:kern w:val="0"/>
          <w:highlight w:val="none"/>
        </w:rPr>
        <w:t>结果</w:t>
      </w:r>
      <w:r>
        <w:tab/>
      </w:r>
      <w:r>
        <w:fldChar w:fldCharType="begin"/>
      </w:r>
      <w:r>
        <w:instrText xml:space="preserve"> PAGEREF _Toc9192 \h </w:instrText>
      </w:r>
      <w:r>
        <w:fldChar w:fldCharType="separate"/>
      </w:r>
      <w:r>
        <w:t>31</w:t>
      </w:r>
      <w:r>
        <w:fldChar w:fldCharType="end"/>
      </w:r>
      <w:r>
        <w:rPr>
          <w:rFonts w:ascii="黑体" w:hAnsi="黑体" w:eastAsia="黑体"/>
          <w:bCs/>
          <w:color w:val="auto"/>
          <w:szCs w:val="21"/>
          <w:highlight w:val="none"/>
          <w:lang w:val="zh-CN"/>
        </w:rPr>
        <w:fldChar w:fldCharType="end"/>
      </w:r>
    </w:p>
    <w:p w14:paraId="40650A0A">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_Toc7468 </w:instrText>
      </w:r>
      <w:r>
        <w:rPr>
          <w:rFonts w:ascii="黑体" w:hAnsi="黑体" w:eastAsia="黑体"/>
          <w:bCs/>
          <w:szCs w:val="21"/>
          <w:highlight w:val="none"/>
          <w:lang w:val="zh-CN"/>
        </w:rPr>
        <w:fldChar w:fldCharType="separate"/>
      </w:r>
      <w:r>
        <w:rPr>
          <w:rFonts w:hint="eastAsia" w:ascii="黑体" w:hAnsi="黑体" w:eastAsia="黑体"/>
          <w:kern w:val="0"/>
          <w:szCs w:val="30"/>
          <w:highlight w:val="none"/>
        </w:rPr>
        <w:t>四、其它</w:t>
      </w:r>
      <w:r>
        <w:tab/>
      </w:r>
      <w:r>
        <w:fldChar w:fldCharType="begin"/>
      </w:r>
      <w:r>
        <w:instrText xml:space="preserve"> PAGEREF _Toc7468 \h </w:instrText>
      </w:r>
      <w:r>
        <w:fldChar w:fldCharType="separate"/>
      </w:r>
      <w:r>
        <w:t>31</w:t>
      </w:r>
      <w:r>
        <w:fldChar w:fldCharType="end"/>
      </w:r>
      <w:r>
        <w:rPr>
          <w:rFonts w:ascii="黑体" w:hAnsi="黑体" w:eastAsia="黑体"/>
          <w:bCs/>
          <w:color w:val="auto"/>
          <w:szCs w:val="21"/>
          <w:highlight w:val="none"/>
          <w:lang w:val="zh-CN"/>
        </w:rPr>
        <w:fldChar w:fldCharType="end"/>
      </w:r>
    </w:p>
    <w:p w14:paraId="512A2407">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_Toc27513 </w:instrText>
      </w:r>
      <w:r>
        <w:rPr>
          <w:rFonts w:ascii="黑体" w:hAnsi="黑体" w:eastAsia="黑体"/>
          <w:bCs/>
          <w:szCs w:val="21"/>
          <w:highlight w:val="none"/>
          <w:lang w:val="zh-CN"/>
        </w:rPr>
        <w:fldChar w:fldCharType="separate"/>
      </w:r>
      <w:r>
        <w:rPr>
          <w:rFonts w:hint="eastAsia" w:cs="宋体"/>
          <w:kern w:val="0"/>
          <w:highlight w:val="none"/>
        </w:rPr>
        <w:t>1.关于中小企业</w:t>
      </w:r>
      <w:r>
        <w:tab/>
      </w:r>
      <w:r>
        <w:fldChar w:fldCharType="begin"/>
      </w:r>
      <w:r>
        <w:instrText xml:space="preserve"> PAGEREF _Toc27513 \h </w:instrText>
      </w:r>
      <w:r>
        <w:fldChar w:fldCharType="separate"/>
      </w:r>
      <w:r>
        <w:t>31</w:t>
      </w:r>
      <w:r>
        <w:fldChar w:fldCharType="end"/>
      </w:r>
      <w:r>
        <w:rPr>
          <w:rFonts w:ascii="黑体" w:hAnsi="黑体" w:eastAsia="黑体"/>
          <w:bCs/>
          <w:color w:val="auto"/>
          <w:szCs w:val="21"/>
          <w:highlight w:val="none"/>
          <w:lang w:val="zh-CN"/>
        </w:rPr>
        <w:fldChar w:fldCharType="end"/>
      </w:r>
    </w:p>
    <w:p w14:paraId="4F15D42F">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_Toc16887 </w:instrText>
      </w:r>
      <w:r>
        <w:rPr>
          <w:rFonts w:ascii="黑体" w:hAnsi="黑体" w:eastAsia="黑体"/>
          <w:bCs/>
          <w:szCs w:val="21"/>
          <w:highlight w:val="none"/>
          <w:lang w:val="zh-CN"/>
        </w:rPr>
        <w:fldChar w:fldCharType="separate"/>
      </w:r>
      <w:r>
        <w:rPr>
          <w:rFonts w:hint="eastAsia" w:ascii="宋体" w:hAnsi="宋体" w:cs="宋体"/>
          <w:bCs/>
          <w:kern w:val="0"/>
          <w:highlight w:val="none"/>
        </w:rPr>
        <w:t>2．关于监狱企业：</w:t>
      </w:r>
      <w:r>
        <w:tab/>
      </w:r>
      <w:r>
        <w:fldChar w:fldCharType="begin"/>
      </w:r>
      <w:r>
        <w:instrText xml:space="preserve"> PAGEREF _Toc16887 \h </w:instrText>
      </w:r>
      <w:r>
        <w:fldChar w:fldCharType="separate"/>
      </w:r>
      <w:r>
        <w:t>32</w:t>
      </w:r>
      <w:r>
        <w:fldChar w:fldCharType="end"/>
      </w:r>
      <w:r>
        <w:rPr>
          <w:rFonts w:ascii="黑体" w:hAnsi="黑体" w:eastAsia="黑体"/>
          <w:bCs/>
          <w:color w:val="auto"/>
          <w:szCs w:val="21"/>
          <w:highlight w:val="none"/>
          <w:lang w:val="zh-CN"/>
        </w:rPr>
        <w:fldChar w:fldCharType="end"/>
      </w:r>
    </w:p>
    <w:p w14:paraId="4BCD087D">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_Toc27447 </w:instrText>
      </w:r>
      <w:r>
        <w:rPr>
          <w:rFonts w:ascii="黑体" w:hAnsi="黑体" w:eastAsia="黑体"/>
          <w:bCs/>
          <w:szCs w:val="21"/>
          <w:highlight w:val="none"/>
          <w:lang w:val="zh-CN"/>
        </w:rPr>
        <w:fldChar w:fldCharType="separate"/>
      </w:r>
      <w:r>
        <w:rPr>
          <w:rFonts w:hint="eastAsia" w:ascii="宋体" w:hAnsi="宋体" w:cs="宋体"/>
          <w:bCs/>
          <w:kern w:val="0"/>
          <w:highlight w:val="none"/>
        </w:rPr>
        <w:t>3．关于残疾人福利性单位：</w:t>
      </w:r>
      <w:r>
        <w:tab/>
      </w:r>
      <w:r>
        <w:fldChar w:fldCharType="begin"/>
      </w:r>
      <w:r>
        <w:instrText xml:space="preserve"> PAGEREF _Toc27447 \h </w:instrText>
      </w:r>
      <w:r>
        <w:fldChar w:fldCharType="separate"/>
      </w:r>
      <w:r>
        <w:t>33</w:t>
      </w:r>
      <w:r>
        <w:fldChar w:fldCharType="end"/>
      </w:r>
      <w:r>
        <w:rPr>
          <w:rFonts w:ascii="黑体" w:hAnsi="黑体" w:eastAsia="黑体"/>
          <w:bCs/>
          <w:color w:val="auto"/>
          <w:szCs w:val="21"/>
          <w:highlight w:val="none"/>
          <w:lang w:val="zh-CN"/>
        </w:rPr>
        <w:fldChar w:fldCharType="end"/>
      </w:r>
    </w:p>
    <w:p w14:paraId="65CC0AAE">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_Toc22139 </w:instrText>
      </w:r>
      <w:r>
        <w:rPr>
          <w:rFonts w:ascii="黑体" w:hAnsi="黑体" w:eastAsia="黑体"/>
          <w:bCs/>
          <w:szCs w:val="21"/>
          <w:highlight w:val="none"/>
          <w:lang w:val="zh-CN"/>
        </w:rPr>
        <w:fldChar w:fldCharType="separate"/>
      </w:r>
      <w:r>
        <w:rPr>
          <w:rFonts w:hint="eastAsia" w:ascii="宋体" w:hAnsi="宋体" w:cs="宋体"/>
          <w:bCs/>
          <w:kern w:val="0"/>
          <w:highlight w:val="none"/>
          <w:lang w:val="en-US" w:eastAsia="zh-CN"/>
        </w:rPr>
        <w:t>4.</w:t>
      </w:r>
      <w:r>
        <w:rPr>
          <w:rFonts w:hint="eastAsia" w:ascii="宋体" w:hAnsi="宋体" w:cs="宋体"/>
          <w:bCs/>
          <w:kern w:val="0"/>
          <w:highlight w:val="none"/>
        </w:rPr>
        <w:t>关于节能产品及环境标志产品</w:t>
      </w:r>
      <w:r>
        <w:tab/>
      </w:r>
      <w:r>
        <w:fldChar w:fldCharType="begin"/>
      </w:r>
      <w:r>
        <w:instrText xml:space="preserve"> PAGEREF _Toc22139 \h </w:instrText>
      </w:r>
      <w:r>
        <w:fldChar w:fldCharType="separate"/>
      </w:r>
      <w:r>
        <w:t>33</w:t>
      </w:r>
      <w:r>
        <w:fldChar w:fldCharType="end"/>
      </w:r>
      <w:r>
        <w:rPr>
          <w:rFonts w:ascii="黑体" w:hAnsi="黑体" w:eastAsia="黑体"/>
          <w:bCs/>
          <w:color w:val="auto"/>
          <w:szCs w:val="21"/>
          <w:highlight w:val="none"/>
          <w:lang w:val="zh-CN"/>
        </w:rPr>
        <w:fldChar w:fldCharType="end"/>
      </w:r>
    </w:p>
    <w:p w14:paraId="4BAA98A0">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_Toc22549 </w:instrText>
      </w:r>
      <w:r>
        <w:rPr>
          <w:rFonts w:ascii="黑体" w:hAnsi="黑体" w:eastAsia="黑体"/>
          <w:bCs/>
          <w:szCs w:val="21"/>
          <w:highlight w:val="none"/>
          <w:lang w:val="zh-CN"/>
        </w:rPr>
        <w:fldChar w:fldCharType="separate"/>
      </w:r>
      <w:r>
        <w:rPr>
          <w:rFonts w:hint="eastAsia" w:ascii="宋体" w:hAnsi="宋体" w:cs="宋体"/>
          <w:bCs/>
          <w:kern w:val="0"/>
          <w:highlight w:val="none"/>
          <w:lang w:val="en-US" w:eastAsia="zh-CN"/>
        </w:rPr>
        <w:t>5</w:t>
      </w:r>
      <w:r>
        <w:rPr>
          <w:rFonts w:hint="eastAsia" w:ascii="宋体" w:hAnsi="宋体" w:cs="宋体"/>
          <w:bCs/>
          <w:kern w:val="0"/>
          <w:highlight w:val="none"/>
        </w:rPr>
        <w:t>．其他：</w:t>
      </w:r>
      <w:r>
        <w:tab/>
      </w:r>
      <w:r>
        <w:fldChar w:fldCharType="begin"/>
      </w:r>
      <w:r>
        <w:instrText xml:space="preserve"> PAGEREF _Toc22549 \h </w:instrText>
      </w:r>
      <w:r>
        <w:fldChar w:fldCharType="separate"/>
      </w:r>
      <w:r>
        <w:t>33</w:t>
      </w:r>
      <w:r>
        <w:fldChar w:fldCharType="end"/>
      </w:r>
      <w:r>
        <w:rPr>
          <w:rFonts w:ascii="黑体" w:hAnsi="黑体" w:eastAsia="黑体"/>
          <w:bCs/>
          <w:color w:val="auto"/>
          <w:szCs w:val="21"/>
          <w:highlight w:val="none"/>
          <w:lang w:val="zh-CN"/>
        </w:rPr>
        <w:fldChar w:fldCharType="end"/>
      </w:r>
    </w:p>
    <w:p w14:paraId="46CBFBCF">
      <w:pPr>
        <w:pStyle w:val="16"/>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_Toc24517 </w:instrText>
      </w:r>
      <w:r>
        <w:rPr>
          <w:rFonts w:ascii="黑体" w:hAnsi="黑体" w:eastAsia="黑体"/>
          <w:bCs/>
          <w:szCs w:val="21"/>
          <w:highlight w:val="none"/>
          <w:lang w:val="zh-CN"/>
        </w:rPr>
        <w:fldChar w:fldCharType="separate"/>
      </w:r>
      <w:r>
        <w:rPr>
          <w:rFonts w:hint="eastAsia" w:ascii="Times New Roman" w:eastAsia="黑体"/>
          <w:bCs w:val="0"/>
          <w:kern w:val="44"/>
          <w:highlight w:val="none"/>
        </w:rPr>
        <w:t>第四章</w:t>
      </w:r>
      <w:r>
        <w:rPr>
          <w:rFonts w:ascii="Times New Roman" w:eastAsia="黑体"/>
          <w:bCs w:val="0"/>
          <w:kern w:val="44"/>
          <w:highlight w:val="none"/>
        </w:rPr>
        <w:t xml:space="preserve">  </w:t>
      </w:r>
      <w:r>
        <w:rPr>
          <w:rFonts w:hint="eastAsia" w:ascii="Times New Roman" w:eastAsia="黑体"/>
          <w:bCs w:val="0"/>
          <w:kern w:val="44"/>
          <w:highlight w:val="none"/>
        </w:rPr>
        <w:t>合同书样式及主要条款</w:t>
      </w:r>
      <w:r>
        <w:tab/>
      </w:r>
      <w:r>
        <w:fldChar w:fldCharType="begin"/>
      </w:r>
      <w:r>
        <w:instrText xml:space="preserve"> PAGEREF _Toc24517 \h </w:instrText>
      </w:r>
      <w:r>
        <w:fldChar w:fldCharType="separate"/>
      </w:r>
      <w:r>
        <w:t>35</w:t>
      </w:r>
      <w:r>
        <w:fldChar w:fldCharType="end"/>
      </w:r>
      <w:r>
        <w:rPr>
          <w:rFonts w:ascii="黑体" w:hAnsi="黑体" w:eastAsia="黑体"/>
          <w:bCs/>
          <w:color w:val="auto"/>
          <w:szCs w:val="21"/>
          <w:highlight w:val="none"/>
          <w:lang w:val="zh-CN"/>
        </w:rPr>
        <w:fldChar w:fldCharType="end"/>
      </w:r>
    </w:p>
    <w:p w14:paraId="75F99A3E">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_Toc24363 </w:instrText>
      </w:r>
      <w:r>
        <w:rPr>
          <w:rFonts w:ascii="黑体" w:hAnsi="黑体" w:eastAsia="黑体"/>
          <w:bCs/>
          <w:szCs w:val="21"/>
          <w:highlight w:val="none"/>
          <w:lang w:val="zh-CN"/>
        </w:rPr>
        <w:fldChar w:fldCharType="separate"/>
      </w:r>
      <w:r>
        <w:rPr>
          <w:rFonts w:eastAsia="黑体"/>
          <w:kern w:val="0"/>
          <w:szCs w:val="32"/>
          <w:highlight w:val="none"/>
        </w:rPr>
        <w:t>合同条款前附表</w:t>
      </w:r>
      <w:r>
        <w:tab/>
      </w:r>
      <w:r>
        <w:fldChar w:fldCharType="begin"/>
      </w:r>
      <w:r>
        <w:instrText xml:space="preserve"> PAGEREF _Toc24363 \h </w:instrText>
      </w:r>
      <w:r>
        <w:fldChar w:fldCharType="separate"/>
      </w:r>
      <w:r>
        <w:t>35</w:t>
      </w:r>
      <w:r>
        <w:fldChar w:fldCharType="end"/>
      </w:r>
      <w:r>
        <w:rPr>
          <w:rFonts w:ascii="黑体" w:hAnsi="黑体" w:eastAsia="黑体"/>
          <w:bCs/>
          <w:color w:val="auto"/>
          <w:szCs w:val="21"/>
          <w:highlight w:val="none"/>
          <w:lang w:val="zh-CN"/>
        </w:rPr>
        <w:fldChar w:fldCharType="end"/>
      </w:r>
    </w:p>
    <w:p w14:paraId="7DB7D000">
      <w:pPr>
        <w:pStyle w:val="16"/>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_Toc10696 </w:instrText>
      </w:r>
      <w:r>
        <w:rPr>
          <w:rFonts w:ascii="黑体" w:hAnsi="黑体" w:eastAsia="黑体"/>
          <w:bCs/>
          <w:szCs w:val="21"/>
          <w:highlight w:val="none"/>
          <w:lang w:val="zh-CN"/>
        </w:rPr>
        <w:fldChar w:fldCharType="separate"/>
      </w:r>
      <w:r>
        <w:rPr>
          <w:rFonts w:hint="eastAsia" w:ascii="宋体" w:hAnsi="宋体" w:eastAsia="宋体" w:cs="宋体"/>
          <w:bCs/>
          <w:kern w:val="44"/>
          <w:szCs w:val="28"/>
          <w:lang w:val="en-US" w:eastAsia="zh-CN" w:bidi="ar-SA"/>
        </w:rPr>
        <w:t xml:space="preserve">第五章 </w:t>
      </w:r>
      <w:r>
        <w:rPr>
          <w:rFonts w:hint="eastAsia" w:ascii="宋体" w:hAnsi="宋体" w:eastAsia="宋体" w:cs="宋体"/>
          <w:bCs w:val="0"/>
          <w:kern w:val="44"/>
          <w:szCs w:val="28"/>
          <w:highlight w:val="none"/>
        </w:rPr>
        <w:t>项目需求</w:t>
      </w:r>
      <w:r>
        <w:tab/>
      </w:r>
      <w:r>
        <w:fldChar w:fldCharType="begin"/>
      </w:r>
      <w:r>
        <w:instrText xml:space="preserve"> PAGEREF _Toc10696 \h </w:instrText>
      </w:r>
      <w:r>
        <w:fldChar w:fldCharType="separate"/>
      </w:r>
      <w:r>
        <w:t>47</w:t>
      </w:r>
      <w:r>
        <w:fldChar w:fldCharType="end"/>
      </w:r>
      <w:r>
        <w:rPr>
          <w:rFonts w:ascii="黑体" w:hAnsi="黑体" w:eastAsia="黑体"/>
          <w:bCs/>
          <w:color w:val="auto"/>
          <w:szCs w:val="21"/>
          <w:highlight w:val="none"/>
          <w:lang w:val="zh-CN"/>
        </w:rPr>
        <w:fldChar w:fldCharType="end"/>
      </w:r>
    </w:p>
    <w:p w14:paraId="17902228">
      <w:pPr>
        <w:pStyle w:val="16"/>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_Toc2801 </w:instrText>
      </w:r>
      <w:r>
        <w:rPr>
          <w:rFonts w:ascii="黑体" w:hAnsi="黑体" w:eastAsia="黑体"/>
          <w:bCs/>
          <w:szCs w:val="21"/>
          <w:highlight w:val="none"/>
          <w:lang w:val="zh-CN"/>
        </w:rPr>
        <w:fldChar w:fldCharType="separate"/>
      </w:r>
      <w:r>
        <w:rPr>
          <w:rFonts w:hint="eastAsia" w:eastAsia="黑体"/>
          <w:kern w:val="44"/>
          <w:szCs w:val="20"/>
          <w:highlight w:val="none"/>
        </w:rPr>
        <w:t>第六章</w:t>
      </w:r>
      <w:r>
        <w:rPr>
          <w:rFonts w:eastAsia="黑体"/>
          <w:kern w:val="44"/>
          <w:szCs w:val="20"/>
          <w:highlight w:val="none"/>
        </w:rPr>
        <w:t xml:space="preserve">  </w:t>
      </w:r>
      <w:r>
        <w:rPr>
          <w:rFonts w:hint="eastAsia" w:eastAsia="黑体"/>
          <w:kern w:val="44"/>
          <w:szCs w:val="20"/>
          <w:highlight w:val="none"/>
        </w:rPr>
        <w:t>响应文件格式</w:t>
      </w:r>
      <w:r>
        <w:tab/>
      </w:r>
      <w:r>
        <w:fldChar w:fldCharType="begin"/>
      </w:r>
      <w:r>
        <w:instrText xml:space="preserve"> PAGEREF _Toc2801 \h </w:instrText>
      </w:r>
      <w:r>
        <w:fldChar w:fldCharType="separate"/>
      </w:r>
      <w:r>
        <w:t>51</w:t>
      </w:r>
      <w:r>
        <w:fldChar w:fldCharType="end"/>
      </w:r>
      <w:r>
        <w:rPr>
          <w:rFonts w:ascii="黑体" w:hAnsi="黑体" w:eastAsia="黑体"/>
          <w:bCs/>
          <w:color w:val="auto"/>
          <w:szCs w:val="21"/>
          <w:highlight w:val="none"/>
          <w:lang w:val="zh-CN"/>
        </w:rPr>
        <w:fldChar w:fldCharType="end"/>
      </w:r>
    </w:p>
    <w:p w14:paraId="3FA68016">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_Toc4648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响应文件封面</w:t>
      </w:r>
      <w:r>
        <w:tab/>
      </w:r>
      <w:r>
        <w:fldChar w:fldCharType="begin"/>
      </w:r>
      <w:r>
        <w:instrText xml:space="preserve"> PAGEREF _Toc4648 \h </w:instrText>
      </w:r>
      <w:r>
        <w:fldChar w:fldCharType="separate"/>
      </w:r>
      <w:r>
        <w:t>51</w:t>
      </w:r>
      <w:r>
        <w:fldChar w:fldCharType="end"/>
      </w:r>
      <w:r>
        <w:rPr>
          <w:rFonts w:ascii="黑体" w:hAnsi="黑体" w:eastAsia="黑体"/>
          <w:bCs/>
          <w:color w:val="auto"/>
          <w:szCs w:val="21"/>
          <w:highlight w:val="none"/>
          <w:lang w:val="zh-CN"/>
        </w:rPr>
        <w:fldChar w:fldCharType="end"/>
      </w:r>
    </w:p>
    <w:p w14:paraId="07BD4E3D">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_Toc29536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★报价一览表</w:t>
      </w:r>
      <w:r>
        <w:tab/>
      </w:r>
      <w:r>
        <w:fldChar w:fldCharType="begin"/>
      </w:r>
      <w:r>
        <w:instrText xml:space="preserve"> PAGEREF _Toc29536 \h </w:instrText>
      </w:r>
      <w:r>
        <w:fldChar w:fldCharType="separate"/>
      </w:r>
      <w:r>
        <w:t>52</w:t>
      </w:r>
      <w:r>
        <w:fldChar w:fldCharType="end"/>
      </w:r>
      <w:r>
        <w:rPr>
          <w:rFonts w:ascii="黑体" w:hAnsi="黑体" w:eastAsia="黑体"/>
          <w:bCs/>
          <w:color w:val="auto"/>
          <w:szCs w:val="21"/>
          <w:highlight w:val="none"/>
          <w:lang w:val="zh-CN"/>
        </w:rPr>
        <w:fldChar w:fldCharType="end"/>
      </w:r>
    </w:p>
    <w:p w14:paraId="25B70EB8">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_Toc18001 </w:instrText>
      </w:r>
      <w:r>
        <w:rPr>
          <w:rFonts w:ascii="黑体" w:hAnsi="黑体" w:eastAsia="黑体"/>
          <w:bCs/>
          <w:szCs w:val="21"/>
          <w:highlight w:val="none"/>
          <w:lang w:val="zh-CN"/>
        </w:rPr>
        <w:fldChar w:fldCharType="separate"/>
      </w:r>
      <w:r>
        <w:rPr>
          <w:rFonts w:hint="eastAsia" w:ascii="宋体" w:hAnsi="宋体"/>
          <w:highlight w:val="none"/>
        </w:rPr>
        <w:t>一</w:t>
      </w:r>
      <w:r>
        <w:rPr>
          <w:rFonts w:ascii="黑体" w:hAnsi="黑体" w:eastAsia="黑体"/>
          <w:bCs w:val="0"/>
          <w:szCs w:val="30"/>
          <w:highlight w:val="none"/>
        </w:rPr>
        <w:t>、</w:t>
      </w:r>
      <w:r>
        <w:rPr>
          <w:rFonts w:hint="eastAsia" w:ascii="黑体" w:hAnsi="黑体" w:eastAsia="黑体"/>
          <w:bCs w:val="0"/>
          <w:szCs w:val="30"/>
          <w:highlight w:val="none"/>
        </w:rPr>
        <w:t>资格证明文件</w:t>
      </w:r>
      <w:r>
        <w:tab/>
      </w:r>
      <w:r>
        <w:fldChar w:fldCharType="begin"/>
      </w:r>
      <w:r>
        <w:instrText xml:space="preserve"> PAGEREF _Toc18001 \h </w:instrText>
      </w:r>
      <w:r>
        <w:fldChar w:fldCharType="separate"/>
      </w:r>
      <w:r>
        <w:t>53</w:t>
      </w:r>
      <w:r>
        <w:fldChar w:fldCharType="end"/>
      </w:r>
      <w:r>
        <w:rPr>
          <w:rFonts w:ascii="黑体" w:hAnsi="黑体" w:eastAsia="黑体"/>
          <w:bCs/>
          <w:color w:val="auto"/>
          <w:szCs w:val="21"/>
          <w:highlight w:val="none"/>
          <w:lang w:val="zh-CN"/>
        </w:rPr>
        <w:fldChar w:fldCharType="end"/>
      </w:r>
    </w:p>
    <w:p w14:paraId="334084B2">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_Toc6178 </w:instrText>
      </w:r>
      <w:r>
        <w:rPr>
          <w:rFonts w:ascii="黑体" w:hAnsi="黑体" w:eastAsia="黑体"/>
          <w:bCs/>
          <w:szCs w:val="21"/>
          <w:highlight w:val="none"/>
          <w:lang w:val="zh-CN"/>
        </w:rPr>
        <w:fldChar w:fldCharType="separate"/>
      </w:r>
      <w:r>
        <w:rPr>
          <w:rFonts w:eastAsia="黑体"/>
          <w:szCs w:val="30"/>
          <w:highlight w:val="none"/>
        </w:rPr>
        <w:t>营业执照等材料</w:t>
      </w:r>
      <w:r>
        <w:tab/>
      </w:r>
      <w:r>
        <w:fldChar w:fldCharType="begin"/>
      </w:r>
      <w:r>
        <w:instrText xml:space="preserve"> PAGEREF _Toc6178 \h </w:instrText>
      </w:r>
      <w:r>
        <w:fldChar w:fldCharType="separate"/>
      </w:r>
      <w:r>
        <w:t>53</w:t>
      </w:r>
      <w:r>
        <w:fldChar w:fldCharType="end"/>
      </w:r>
      <w:r>
        <w:rPr>
          <w:rFonts w:ascii="黑体" w:hAnsi="黑体" w:eastAsia="黑体"/>
          <w:bCs/>
          <w:color w:val="auto"/>
          <w:szCs w:val="21"/>
          <w:highlight w:val="none"/>
          <w:lang w:val="zh-CN"/>
        </w:rPr>
        <w:fldChar w:fldCharType="end"/>
      </w:r>
    </w:p>
    <w:p w14:paraId="3EAAF6BB">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_Toc30576 </w:instrText>
      </w:r>
      <w:r>
        <w:rPr>
          <w:rFonts w:ascii="黑体" w:hAnsi="黑体" w:eastAsia="黑体"/>
          <w:bCs/>
          <w:szCs w:val="21"/>
          <w:highlight w:val="none"/>
          <w:lang w:val="zh-CN"/>
        </w:rPr>
        <w:fldChar w:fldCharType="separate"/>
      </w:r>
      <w:r>
        <w:rPr>
          <w:rFonts w:hint="eastAsia" w:eastAsia="黑体"/>
          <w:szCs w:val="30"/>
          <w:highlight w:val="none"/>
        </w:rPr>
        <w:t>供应商具有履行合同所必需的设备和专业技术能力书面声明</w:t>
      </w:r>
      <w:r>
        <w:tab/>
      </w:r>
      <w:r>
        <w:fldChar w:fldCharType="begin"/>
      </w:r>
      <w:r>
        <w:instrText xml:space="preserve"> PAGEREF _Toc30576 \h </w:instrText>
      </w:r>
      <w:r>
        <w:fldChar w:fldCharType="separate"/>
      </w:r>
      <w:r>
        <w:t>55</w:t>
      </w:r>
      <w:r>
        <w:fldChar w:fldCharType="end"/>
      </w:r>
      <w:r>
        <w:rPr>
          <w:rFonts w:ascii="黑体" w:hAnsi="黑体" w:eastAsia="黑体"/>
          <w:bCs/>
          <w:color w:val="auto"/>
          <w:szCs w:val="21"/>
          <w:highlight w:val="none"/>
          <w:lang w:val="zh-CN"/>
        </w:rPr>
        <w:fldChar w:fldCharType="end"/>
      </w:r>
    </w:p>
    <w:p w14:paraId="064F325E">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_Toc32053 </w:instrText>
      </w:r>
      <w:r>
        <w:rPr>
          <w:rFonts w:ascii="黑体" w:hAnsi="黑体" w:eastAsia="黑体"/>
          <w:bCs/>
          <w:szCs w:val="21"/>
          <w:highlight w:val="none"/>
          <w:lang w:val="zh-CN"/>
        </w:rPr>
        <w:fldChar w:fldCharType="separate"/>
      </w:r>
      <w:r>
        <w:rPr>
          <w:rFonts w:hint="eastAsia" w:eastAsia="黑体"/>
          <w:szCs w:val="30"/>
          <w:highlight w:val="none"/>
        </w:rPr>
        <w:t>参加政府采购活动前3年内在经营活动中没有重大违法记录书面声明</w:t>
      </w:r>
      <w:r>
        <w:tab/>
      </w:r>
      <w:r>
        <w:fldChar w:fldCharType="begin"/>
      </w:r>
      <w:r>
        <w:instrText xml:space="preserve"> PAGEREF _Toc32053 \h </w:instrText>
      </w:r>
      <w:r>
        <w:fldChar w:fldCharType="separate"/>
      </w:r>
      <w:r>
        <w:t>56</w:t>
      </w:r>
      <w:r>
        <w:fldChar w:fldCharType="end"/>
      </w:r>
      <w:r>
        <w:rPr>
          <w:rFonts w:ascii="黑体" w:hAnsi="黑体" w:eastAsia="黑体"/>
          <w:bCs/>
          <w:color w:val="auto"/>
          <w:szCs w:val="21"/>
          <w:highlight w:val="none"/>
          <w:lang w:val="zh-CN"/>
        </w:rPr>
        <w:fldChar w:fldCharType="end"/>
      </w:r>
    </w:p>
    <w:p w14:paraId="54AB6933">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_Toc23301 </w:instrText>
      </w:r>
      <w:r>
        <w:rPr>
          <w:rFonts w:ascii="黑体" w:hAnsi="黑体" w:eastAsia="黑体"/>
          <w:bCs/>
          <w:szCs w:val="21"/>
          <w:highlight w:val="none"/>
          <w:lang w:val="zh-CN"/>
        </w:rPr>
        <w:fldChar w:fldCharType="separate"/>
      </w:r>
      <w:r>
        <w:rPr>
          <w:rFonts w:hint="eastAsia" w:eastAsia="黑体"/>
          <w:szCs w:val="30"/>
          <w:highlight w:val="none"/>
        </w:rPr>
        <w:t>中小企业声明函（工程）</w:t>
      </w:r>
      <w:r>
        <w:tab/>
      </w:r>
      <w:r>
        <w:fldChar w:fldCharType="begin"/>
      </w:r>
      <w:r>
        <w:instrText xml:space="preserve"> PAGEREF _Toc23301 \h </w:instrText>
      </w:r>
      <w:r>
        <w:fldChar w:fldCharType="separate"/>
      </w:r>
      <w:r>
        <w:t>57</w:t>
      </w:r>
      <w:r>
        <w:fldChar w:fldCharType="end"/>
      </w:r>
      <w:r>
        <w:rPr>
          <w:rFonts w:ascii="黑体" w:hAnsi="黑体" w:eastAsia="黑体"/>
          <w:bCs/>
          <w:color w:val="auto"/>
          <w:szCs w:val="21"/>
          <w:highlight w:val="none"/>
          <w:lang w:val="zh-CN"/>
        </w:rPr>
        <w:fldChar w:fldCharType="end"/>
      </w:r>
    </w:p>
    <w:p w14:paraId="06CF8EF8">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_Toc9644 </w:instrText>
      </w:r>
      <w:r>
        <w:rPr>
          <w:rFonts w:ascii="黑体" w:hAnsi="黑体" w:eastAsia="黑体"/>
          <w:bCs/>
          <w:szCs w:val="21"/>
          <w:highlight w:val="none"/>
          <w:lang w:val="zh-CN"/>
        </w:rPr>
        <w:fldChar w:fldCharType="separate"/>
      </w:r>
      <w:r>
        <w:rPr>
          <w:rFonts w:hint="eastAsia" w:eastAsia="黑体"/>
          <w:szCs w:val="30"/>
          <w:highlight w:val="none"/>
        </w:rPr>
        <w:t>监</w:t>
      </w:r>
      <w:r>
        <w:rPr>
          <w:rFonts w:eastAsia="黑体"/>
          <w:szCs w:val="30"/>
          <w:highlight w:val="none"/>
        </w:rPr>
        <w:t>狱企业声明函</w:t>
      </w:r>
      <w:r>
        <w:tab/>
      </w:r>
      <w:r>
        <w:fldChar w:fldCharType="begin"/>
      </w:r>
      <w:r>
        <w:instrText xml:space="preserve"> PAGEREF _Toc9644 \h </w:instrText>
      </w:r>
      <w:r>
        <w:fldChar w:fldCharType="separate"/>
      </w:r>
      <w:r>
        <w:t>58</w:t>
      </w:r>
      <w:r>
        <w:fldChar w:fldCharType="end"/>
      </w:r>
      <w:r>
        <w:rPr>
          <w:rFonts w:ascii="黑体" w:hAnsi="黑体" w:eastAsia="黑体"/>
          <w:bCs/>
          <w:color w:val="auto"/>
          <w:szCs w:val="21"/>
          <w:highlight w:val="none"/>
          <w:lang w:val="zh-CN"/>
        </w:rPr>
        <w:fldChar w:fldCharType="end"/>
      </w:r>
    </w:p>
    <w:p w14:paraId="126F8E7D">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_Toc17696 </w:instrText>
      </w:r>
      <w:r>
        <w:rPr>
          <w:rFonts w:ascii="黑体" w:hAnsi="黑体" w:eastAsia="黑体"/>
          <w:bCs/>
          <w:szCs w:val="21"/>
          <w:highlight w:val="none"/>
          <w:lang w:val="zh-CN"/>
        </w:rPr>
        <w:fldChar w:fldCharType="separate"/>
      </w:r>
      <w:r>
        <w:rPr>
          <w:rFonts w:hint="eastAsia" w:eastAsia="黑体"/>
          <w:szCs w:val="30"/>
          <w:highlight w:val="none"/>
        </w:rPr>
        <w:t>残疾人福利性单位声明函</w:t>
      </w:r>
      <w:r>
        <w:tab/>
      </w:r>
      <w:r>
        <w:fldChar w:fldCharType="begin"/>
      </w:r>
      <w:r>
        <w:instrText xml:space="preserve"> PAGEREF _Toc17696 \h </w:instrText>
      </w:r>
      <w:r>
        <w:fldChar w:fldCharType="separate"/>
      </w:r>
      <w:r>
        <w:t>59</w:t>
      </w:r>
      <w:r>
        <w:fldChar w:fldCharType="end"/>
      </w:r>
      <w:r>
        <w:rPr>
          <w:rFonts w:ascii="黑体" w:hAnsi="黑体" w:eastAsia="黑体"/>
          <w:bCs/>
          <w:color w:val="auto"/>
          <w:szCs w:val="21"/>
          <w:highlight w:val="none"/>
          <w:lang w:val="zh-CN"/>
        </w:rPr>
        <w:fldChar w:fldCharType="end"/>
      </w:r>
    </w:p>
    <w:p w14:paraId="03B78E0A">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_Toc9589 </w:instrText>
      </w:r>
      <w:r>
        <w:rPr>
          <w:rFonts w:ascii="黑体" w:hAnsi="黑体" w:eastAsia="黑体"/>
          <w:bCs/>
          <w:szCs w:val="21"/>
          <w:highlight w:val="none"/>
          <w:lang w:val="zh-CN"/>
        </w:rPr>
        <w:fldChar w:fldCharType="separate"/>
      </w:r>
      <w:r>
        <w:rPr>
          <w:rFonts w:eastAsia="黑体"/>
          <w:szCs w:val="30"/>
          <w:highlight w:val="none"/>
        </w:rPr>
        <w:t>其它资料</w:t>
      </w:r>
      <w:r>
        <w:tab/>
      </w:r>
      <w:r>
        <w:fldChar w:fldCharType="begin"/>
      </w:r>
      <w:r>
        <w:instrText xml:space="preserve"> PAGEREF _Toc9589 \h </w:instrText>
      </w:r>
      <w:r>
        <w:fldChar w:fldCharType="separate"/>
      </w:r>
      <w:r>
        <w:t>60</w:t>
      </w:r>
      <w:r>
        <w:fldChar w:fldCharType="end"/>
      </w:r>
      <w:r>
        <w:rPr>
          <w:rFonts w:ascii="黑体" w:hAnsi="黑体" w:eastAsia="黑体"/>
          <w:bCs/>
          <w:color w:val="auto"/>
          <w:szCs w:val="21"/>
          <w:highlight w:val="none"/>
          <w:lang w:val="zh-CN"/>
        </w:rPr>
        <w:fldChar w:fldCharType="end"/>
      </w:r>
    </w:p>
    <w:p w14:paraId="6B019E26">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_Toc20886 </w:instrText>
      </w:r>
      <w:r>
        <w:rPr>
          <w:rFonts w:ascii="黑体" w:hAnsi="黑体" w:eastAsia="黑体"/>
          <w:bCs/>
          <w:szCs w:val="21"/>
          <w:highlight w:val="none"/>
          <w:lang w:val="zh-CN"/>
        </w:rPr>
        <w:fldChar w:fldCharType="separate"/>
      </w:r>
      <w:r>
        <w:rPr>
          <w:rFonts w:hint="eastAsia" w:ascii="黑体" w:hAnsi="黑体" w:eastAsia="黑体"/>
          <w:bCs w:val="0"/>
          <w:szCs w:val="30"/>
          <w:highlight w:val="none"/>
        </w:rPr>
        <w:t>二、商务文件</w:t>
      </w:r>
      <w:r>
        <w:tab/>
      </w:r>
      <w:r>
        <w:fldChar w:fldCharType="begin"/>
      </w:r>
      <w:r>
        <w:instrText xml:space="preserve"> PAGEREF _Toc20886 \h </w:instrText>
      </w:r>
      <w:r>
        <w:fldChar w:fldCharType="separate"/>
      </w:r>
      <w:r>
        <w:t>61</w:t>
      </w:r>
      <w:r>
        <w:fldChar w:fldCharType="end"/>
      </w:r>
      <w:r>
        <w:rPr>
          <w:rFonts w:ascii="黑体" w:hAnsi="黑体" w:eastAsia="黑体"/>
          <w:bCs/>
          <w:color w:val="auto"/>
          <w:szCs w:val="21"/>
          <w:highlight w:val="none"/>
          <w:lang w:val="zh-CN"/>
        </w:rPr>
        <w:fldChar w:fldCharType="end"/>
      </w:r>
    </w:p>
    <w:p w14:paraId="6160B44A">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_Toc2633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w:t>
      </w:r>
      <w:r>
        <w:rPr>
          <w:rFonts w:hint="eastAsia"/>
          <w:szCs w:val="28"/>
          <w:highlight w:val="none"/>
        </w:rPr>
        <w:t>法定代表人身份证明书</w:t>
      </w:r>
      <w:r>
        <w:tab/>
      </w:r>
      <w:r>
        <w:fldChar w:fldCharType="begin"/>
      </w:r>
      <w:r>
        <w:instrText xml:space="preserve"> PAGEREF _Toc2633 \h </w:instrText>
      </w:r>
      <w:r>
        <w:fldChar w:fldCharType="separate"/>
      </w:r>
      <w:r>
        <w:t>61</w:t>
      </w:r>
      <w:r>
        <w:fldChar w:fldCharType="end"/>
      </w:r>
      <w:r>
        <w:rPr>
          <w:rFonts w:ascii="黑体" w:hAnsi="黑体" w:eastAsia="黑体"/>
          <w:bCs/>
          <w:color w:val="auto"/>
          <w:szCs w:val="21"/>
          <w:highlight w:val="none"/>
          <w:lang w:val="zh-CN"/>
        </w:rPr>
        <w:fldChar w:fldCharType="end"/>
      </w:r>
    </w:p>
    <w:p w14:paraId="4E25AEA3">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_Toc31648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w:t>
      </w:r>
      <w:r>
        <w:rPr>
          <w:rFonts w:hint="eastAsia"/>
          <w:szCs w:val="28"/>
          <w:highlight w:val="none"/>
        </w:rPr>
        <w:t>法定代表人授权委托书</w:t>
      </w:r>
      <w:r>
        <w:tab/>
      </w:r>
      <w:r>
        <w:fldChar w:fldCharType="begin"/>
      </w:r>
      <w:r>
        <w:instrText xml:space="preserve"> PAGEREF _Toc31648 \h </w:instrText>
      </w:r>
      <w:r>
        <w:fldChar w:fldCharType="separate"/>
      </w:r>
      <w:r>
        <w:t>62</w:t>
      </w:r>
      <w:r>
        <w:fldChar w:fldCharType="end"/>
      </w:r>
      <w:r>
        <w:rPr>
          <w:rFonts w:ascii="黑体" w:hAnsi="黑体" w:eastAsia="黑体"/>
          <w:bCs/>
          <w:color w:val="auto"/>
          <w:szCs w:val="21"/>
          <w:highlight w:val="none"/>
          <w:lang w:val="zh-CN"/>
        </w:rPr>
        <w:fldChar w:fldCharType="end"/>
      </w:r>
    </w:p>
    <w:p w14:paraId="77806606">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_Toc7479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★磋商申请函</w:t>
      </w:r>
      <w:r>
        <w:tab/>
      </w:r>
      <w:r>
        <w:fldChar w:fldCharType="begin"/>
      </w:r>
      <w:r>
        <w:instrText xml:space="preserve"> PAGEREF _Toc7479 \h </w:instrText>
      </w:r>
      <w:r>
        <w:fldChar w:fldCharType="separate"/>
      </w:r>
      <w:r>
        <w:t>63</w:t>
      </w:r>
      <w:r>
        <w:fldChar w:fldCharType="end"/>
      </w:r>
      <w:r>
        <w:rPr>
          <w:rFonts w:ascii="黑体" w:hAnsi="黑体" w:eastAsia="黑体"/>
          <w:bCs/>
          <w:color w:val="auto"/>
          <w:szCs w:val="21"/>
          <w:highlight w:val="none"/>
          <w:lang w:val="zh-CN"/>
        </w:rPr>
        <w:fldChar w:fldCharType="end"/>
      </w:r>
    </w:p>
    <w:p w14:paraId="01E6FC67">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_Toc18790 </w:instrText>
      </w:r>
      <w:r>
        <w:rPr>
          <w:rFonts w:ascii="黑体" w:hAnsi="黑体" w:eastAsia="黑体"/>
          <w:bCs/>
          <w:szCs w:val="21"/>
          <w:highlight w:val="none"/>
          <w:lang w:val="zh-CN"/>
        </w:rPr>
        <w:fldChar w:fldCharType="separate"/>
      </w:r>
      <w:r>
        <w:rPr>
          <w:rFonts w:hint="eastAsia" w:ascii="宋体" w:hAnsi="宋体" w:cs="宋体"/>
          <w:bCs/>
          <w:szCs w:val="32"/>
          <w:highlight w:val="none"/>
        </w:rPr>
        <w:t>★</w:t>
      </w:r>
      <w:r>
        <w:rPr>
          <w:rFonts w:hint="eastAsia" w:ascii="宋体" w:hAnsi="宋体" w:cs="宋体"/>
          <w:bCs/>
          <w:szCs w:val="32"/>
          <w:highlight w:val="none"/>
          <w:lang w:val="en-US" w:eastAsia="zh-CN"/>
        </w:rPr>
        <w:t>工程质量</w:t>
      </w:r>
      <w:r>
        <w:rPr>
          <w:rFonts w:hint="eastAsia" w:ascii="宋体" w:hAnsi="宋体" w:eastAsia="宋体" w:cs="宋体"/>
          <w:bCs/>
          <w:kern w:val="2"/>
          <w:szCs w:val="32"/>
          <w:highlight w:val="none"/>
          <w:lang w:val="en-US" w:eastAsia="zh-CN" w:bidi="ar-SA"/>
        </w:rPr>
        <w:t>承诺函</w:t>
      </w:r>
      <w:r>
        <w:tab/>
      </w:r>
      <w:r>
        <w:fldChar w:fldCharType="begin"/>
      </w:r>
      <w:r>
        <w:instrText xml:space="preserve"> PAGEREF _Toc18790 \h </w:instrText>
      </w:r>
      <w:r>
        <w:fldChar w:fldCharType="separate"/>
      </w:r>
      <w:r>
        <w:t>65</w:t>
      </w:r>
      <w:r>
        <w:fldChar w:fldCharType="end"/>
      </w:r>
      <w:r>
        <w:rPr>
          <w:rFonts w:ascii="黑体" w:hAnsi="黑体" w:eastAsia="黑体"/>
          <w:bCs/>
          <w:color w:val="auto"/>
          <w:szCs w:val="21"/>
          <w:highlight w:val="none"/>
          <w:lang w:val="zh-CN"/>
        </w:rPr>
        <w:fldChar w:fldCharType="end"/>
      </w:r>
    </w:p>
    <w:p w14:paraId="09AEC17D">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_Toc562 </w:instrText>
      </w:r>
      <w:r>
        <w:rPr>
          <w:rFonts w:ascii="黑体" w:hAnsi="黑体" w:eastAsia="黑体"/>
          <w:bCs/>
          <w:szCs w:val="21"/>
          <w:highlight w:val="none"/>
          <w:lang w:val="zh-CN"/>
        </w:rPr>
        <w:fldChar w:fldCharType="separate"/>
      </w:r>
      <w:r>
        <w:rPr>
          <w:rFonts w:hint="eastAsia" w:ascii="宋体" w:hAnsi="宋体" w:cs="宋体"/>
          <w:szCs w:val="30"/>
          <w:highlight w:val="none"/>
        </w:rPr>
        <w:t>报价明细</w:t>
      </w:r>
      <w:r>
        <w:rPr>
          <w:rFonts w:hint="eastAsia" w:ascii="宋体" w:hAnsi="宋体" w:cs="宋体"/>
          <w:szCs w:val="30"/>
          <w:highlight w:val="none"/>
          <w:lang w:val="en-US" w:eastAsia="zh-CN"/>
        </w:rPr>
        <w:t>汇总</w:t>
      </w:r>
      <w:r>
        <w:rPr>
          <w:rFonts w:hint="eastAsia" w:ascii="宋体" w:hAnsi="宋体" w:cs="宋体"/>
          <w:szCs w:val="30"/>
          <w:highlight w:val="none"/>
        </w:rPr>
        <w:t>表</w:t>
      </w:r>
      <w:r>
        <w:tab/>
      </w:r>
      <w:r>
        <w:fldChar w:fldCharType="begin"/>
      </w:r>
      <w:r>
        <w:instrText xml:space="preserve"> PAGEREF _Toc562 \h </w:instrText>
      </w:r>
      <w:r>
        <w:fldChar w:fldCharType="separate"/>
      </w:r>
      <w:r>
        <w:t>66</w:t>
      </w:r>
      <w:r>
        <w:fldChar w:fldCharType="end"/>
      </w:r>
      <w:r>
        <w:rPr>
          <w:rFonts w:ascii="黑体" w:hAnsi="黑体" w:eastAsia="黑体"/>
          <w:bCs/>
          <w:color w:val="auto"/>
          <w:szCs w:val="21"/>
          <w:highlight w:val="none"/>
          <w:lang w:val="zh-CN"/>
        </w:rPr>
        <w:fldChar w:fldCharType="end"/>
      </w:r>
    </w:p>
    <w:p w14:paraId="1852B9CA">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_Toc6658 </w:instrText>
      </w:r>
      <w:r>
        <w:rPr>
          <w:rFonts w:ascii="黑体" w:hAnsi="黑体" w:eastAsia="黑体"/>
          <w:bCs/>
          <w:szCs w:val="21"/>
          <w:highlight w:val="none"/>
          <w:lang w:val="zh-CN"/>
        </w:rPr>
        <w:fldChar w:fldCharType="separate"/>
      </w:r>
      <w:r>
        <w:rPr>
          <w:rFonts w:hint="eastAsia"/>
          <w:highlight w:val="none"/>
        </w:rPr>
        <w:t>已标价工程量清单</w:t>
      </w:r>
      <w:r>
        <w:tab/>
      </w:r>
      <w:r>
        <w:fldChar w:fldCharType="begin"/>
      </w:r>
      <w:r>
        <w:instrText xml:space="preserve"> PAGEREF _Toc6658 \h </w:instrText>
      </w:r>
      <w:r>
        <w:fldChar w:fldCharType="separate"/>
      </w:r>
      <w:r>
        <w:t>67</w:t>
      </w:r>
      <w:r>
        <w:fldChar w:fldCharType="end"/>
      </w:r>
      <w:r>
        <w:rPr>
          <w:rFonts w:ascii="黑体" w:hAnsi="黑体" w:eastAsia="黑体"/>
          <w:bCs/>
          <w:color w:val="auto"/>
          <w:szCs w:val="21"/>
          <w:highlight w:val="none"/>
          <w:lang w:val="zh-CN"/>
        </w:rPr>
        <w:fldChar w:fldCharType="end"/>
      </w:r>
    </w:p>
    <w:p w14:paraId="54BC14E8">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_Toc806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w:t>
      </w:r>
      <w:r>
        <w:rPr>
          <w:rFonts w:ascii="黑体" w:hAnsi="黑体" w:eastAsia="黑体"/>
          <w:bCs/>
          <w:szCs w:val="30"/>
          <w:highlight w:val="none"/>
        </w:rPr>
        <w:t>商务条款偏离表</w:t>
      </w:r>
      <w:r>
        <w:tab/>
      </w:r>
      <w:r>
        <w:fldChar w:fldCharType="begin"/>
      </w:r>
      <w:r>
        <w:instrText xml:space="preserve"> PAGEREF _Toc806 \h </w:instrText>
      </w:r>
      <w:r>
        <w:fldChar w:fldCharType="separate"/>
      </w:r>
      <w:r>
        <w:t>69</w:t>
      </w:r>
      <w:r>
        <w:fldChar w:fldCharType="end"/>
      </w:r>
      <w:r>
        <w:rPr>
          <w:rFonts w:ascii="黑体" w:hAnsi="黑体" w:eastAsia="黑体"/>
          <w:bCs/>
          <w:color w:val="auto"/>
          <w:szCs w:val="21"/>
          <w:highlight w:val="none"/>
          <w:lang w:val="zh-CN"/>
        </w:rPr>
        <w:fldChar w:fldCharType="end"/>
      </w:r>
    </w:p>
    <w:p w14:paraId="74D650E2">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_Toc4207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工期承诺和保证措施</w:t>
      </w:r>
      <w:r>
        <w:tab/>
      </w:r>
      <w:r>
        <w:fldChar w:fldCharType="begin"/>
      </w:r>
      <w:r>
        <w:instrText xml:space="preserve"> PAGEREF _Toc4207 \h </w:instrText>
      </w:r>
      <w:r>
        <w:fldChar w:fldCharType="separate"/>
      </w:r>
      <w:r>
        <w:t>70</w:t>
      </w:r>
      <w:r>
        <w:fldChar w:fldCharType="end"/>
      </w:r>
      <w:r>
        <w:rPr>
          <w:rFonts w:ascii="黑体" w:hAnsi="黑体" w:eastAsia="黑体"/>
          <w:bCs/>
          <w:color w:val="auto"/>
          <w:szCs w:val="21"/>
          <w:highlight w:val="none"/>
          <w:lang w:val="zh-CN"/>
        </w:rPr>
        <w:fldChar w:fldCharType="end"/>
      </w:r>
    </w:p>
    <w:p w14:paraId="1978E61D">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_Toc16167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项目管理人员配置</w:t>
      </w:r>
      <w:r>
        <w:rPr>
          <w:rFonts w:hint="eastAsia" w:ascii="黑体" w:hAnsi="黑体" w:eastAsia="黑体"/>
          <w:bCs/>
          <w:szCs w:val="30"/>
          <w:highlight w:val="none"/>
          <w:lang w:val="en-US" w:eastAsia="zh-CN"/>
        </w:rPr>
        <w:t>及分工</w:t>
      </w:r>
      <w:r>
        <w:tab/>
      </w:r>
      <w:r>
        <w:fldChar w:fldCharType="begin"/>
      </w:r>
      <w:r>
        <w:instrText xml:space="preserve"> PAGEREF _Toc16167 \h </w:instrText>
      </w:r>
      <w:r>
        <w:fldChar w:fldCharType="separate"/>
      </w:r>
      <w:r>
        <w:t>71</w:t>
      </w:r>
      <w:r>
        <w:fldChar w:fldCharType="end"/>
      </w:r>
      <w:r>
        <w:rPr>
          <w:rFonts w:ascii="黑体" w:hAnsi="黑体" w:eastAsia="黑体"/>
          <w:bCs/>
          <w:color w:val="auto"/>
          <w:szCs w:val="21"/>
          <w:highlight w:val="none"/>
          <w:lang w:val="zh-CN"/>
        </w:rPr>
        <w:fldChar w:fldCharType="end"/>
      </w:r>
    </w:p>
    <w:p w14:paraId="1872CAF8">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_Toc23861 </w:instrText>
      </w:r>
      <w:r>
        <w:rPr>
          <w:rFonts w:ascii="黑体" w:hAnsi="黑体" w:eastAsia="黑体"/>
          <w:bCs/>
          <w:szCs w:val="21"/>
          <w:highlight w:val="none"/>
          <w:lang w:val="zh-CN"/>
        </w:rPr>
        <w:fldChar w:fldCharType="separate"/>
      </w:r>
      <w:r>
        <w:rPr>
          <w:rFonts w:hint="eastAsia" w:hAnsi="宋体" w:cs="Arial"/>
          <w:szCs w:val="40"/>
          <w:highlight w:val="none"/>
        </w:rPr>
        <w:t>★</w:t>
      </w:r>
      <w:r>
        <w:rPr>
          <w:rFonts w:hint="eastAsia" w:ascii="Times New Roman" w:hAnsi="Courier New" w:eastAsia="黑体"/>
          <w:szCs w:val="30"/>
          <w:highlight w:val="none"/>
        </w:rPr>
        <w:t>政府</w:t>
      </w:r>
      <w:r>
        <w:rPr>
          <w:rFonts w:hint="eastAsia" w:ascii="Times New Roman" w:eastAsia="黑体"/>
          <w:szCs w:val="30"/>
          <w:highlight w:val="none"/>
        </w:rPr>
        <w:t>强制采购</w:t>
      </w:r>
      <w:r>
        <w:rPr>
          <w:rFonts w:ascii="Times New Roman" w:eastAsia="黑体"/>
          <w:szCs w:val="30"/>
          <w:highlight w:val="none"/>
        </w:rPr>
        <w:t>节</w:t>
      </w:r>
      <w:r>
        <w:rPr>
          <w:rFonts w:hint="eastAsia" w:ascii="Times New Roman" w:eastAsia="黑体"/>
          <w:szCs w:val="30"/>
          <w:highlight w:val="none"/>
          <w:lang w:val="en-US" w:eastAsia="zh-CN"/>
        </w:rPr>
        <w:t>能</w:t>
      </w:r>
      <w:r>
        <w:rPr>
          <w:rFonts w:hint="eastAsia" w:ascii="Times New Roman" w:eastAsia="黑体"/>
          <w:szCs w:val="30"/>
          <w:highlight w:val="none"/>
        </w:rPr>
        <w:t>产品</w:t>
      </w:r>
      <w:r>
        <w:tab/>
      </w:r>
      <w:r>
        <w:fldChar w:fldCharType="begin"/>
      </w:r>
      <w:r>
        <w:instrText xml:space="preserve"> PAGEREF _Toc23861 \h </w:instrText>
      </w:r>
      <w:r>
        <w:fldChar w:fldCharType="separate"/>
      </w:r>
      <w:r>
        <w:t>72</w:t>
      </w:r>
      <w:r>
        <w:fldChar w:fldCharType="end"/>
      </w:r>
      <w:r>
        <w:rPr>
          <w:rFonts w:ascii="黑体" w:hAnsi="黑体" w:eastAsia="黑体"/>
          <w:bCs/>
          <w:color w:val="auto"/>
          <w:szCs w:val="21"/>
          <w:highlight w:val="none"/>
          <w:lang w:val="zh-CN"/>
        </w:rPr>
        <w:fldChar w:fldCharType="end"/>
      </w:r>
    </w:p>
    <w:p w14:paraId="2711FC2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_Toc14997 </w:instrText>
      </w:r>
      <w:r>
        <w:rPr>
          <w:rFonts w:ascii="黑体" w:hAnsi="黑体" w:eastAsia="黑体"/>
          <w:bCs/>
          <w:szCs w:val="21"/>
          <w:highlight w:val="none"/>
          <w:lang w:val="zh-CN"/>
        </w:rPr>
        <w:fldChar w:fldCharType="separate"/>
      </w:r>
      <w:r>
        <w:rPr>
          <w:rFonts w:hint="eastAsia" w:hAnsi="宋体" w:cs="宋体"/>
          <w:szCs w:val="30"/>
          <w:highlight w:val="none"/>
          <w:lang w:val="en-US" w:eastAsia="zh-CN"/>
        </w:rPr>
        <w:t>优先采购的</w:t>
      </w:r>
      <w:r>
        <w:rPr>
          <w:rFonts w:hint="eastAsia" w:hAnsi="宋体" w:cs="宋体"/>
          <w:szCs w:val="30"/>
          <w:highlight w:val="none"/>
        </w:rPr>
        <w:t>节能</w:t>
      </w:r>
      <w:r>
        <w:rPr>
          <w:rFonts w:hint="eastAsia" w:hAnsi="宋体" w:cs="宋体"/>
          <w:szCs w:val="30"/>
          <w:highlight w:val="none"/>
          <w:lang w:val="en-US" w:eastAsia="zh-CN"/>
        </w:rPr>
        <w:t>产品</w:t>
      </w:r>
      <w:r>
        <w:rPr>
          <w:rFonts w:hint="eastAsia" w:hAnsi="宋体" w:cs="宋体"/>
          <w:szCs w:val="30"/>
          <w:highlight w:val="none"/>
        </w:rPr>
        <w:t>或环境标志产品</w:t>
      </w:r>
      <w:r>
        <w:tab/>
      </w:r>
      <w:r>
        <w:fldChar w:fldCharType="begin"/>
      </w:r>
      <w:r>
        <w:instrText xml:space="preserve"> PAGEREF _Toc14997 \h </w:instrText>
      </w:r>
      <w:r>
        <w:fldChar w:fldCharType="separate"/>
      </w:r>
      <w:r>
        <w:t>73</w:t>
      </w:r>
      <w:r>
        <w:fldChar w:fldCharType="end"/>
      </w:r>
      <w:r>
        <w:rPr>
          <w:rFonts w:ascii="黑体" w:hAnsi="黑体" w:eastAsia="黑体"/>
          <w:bCs/>
          <w:color w:val="auto"/>
          <w:szCs w:val="21"/>
          <w:highlight w:val="none"/>
          <w:lang w:val="zh-CN"/>
        </w:rPr>
        <w:fldChar w:fldCharType="end"/>
      </w:r>
    </w:p>
    <w:p w14:paraId="6F1188FB">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_Toc6476 </w:instrText>
      </w:r>
      <w:r>
        <w:rPr>
          <w:rFonts w:ascii="黑体" w:hAnsi="黑体" w:eastAsia="黑体"/>
          <w:bCs/>
          <w:szCs w:val="21"/>
          <w:highlight w:val="none"/>
          <w:lang w:val="zh-CN"/>
        </w:rPr>
        <w:fldChar w:fldCharType="separate"/>
      </w:r>
      <w:r>
        <w:rPr>
          <w:rFonts w:hint="eastAsia" w:ascii="宋体" w:hAnsi="宋体"/>
          <w:highlight w:val="none"/>
        </w:rPr>
        <w:t>（如有则附）</w:t>
      </w:r>
      <w:r>
        <w:tab/>
      </w:r>
      <w:r>
        <w:fldChar w:fldCharType="begin"/>
      </w:r>
      <w:r>
        <w:instrText xml:space="preserve"> PAGEREF _Toc6476 \h </w:instrText>
      </w:r>
      <w:r>
        <w:fldChar w:fldCharType="separate"/>
      </w:r>
      <w:r>
        <w:t>73</w:t>
      </w:r>
      <w:r>
        <w:fldChar w:fldCharType="end"/>
      </w:r>
      <w:r>
        <w:rPr>
          <w:rFonts w:ascii="黑体" w:hAnsi="黑体" w:eastAsia="黑体"/>
          <w:bCs/>
          <w:color w:val="auto"/>
          <w:szCs w:val="21"/>
          <w:highlight w:val="none"/>
          <w:lang w:val="zh-CN"/>
        </w:rPr>
        <w:fldChar w:fldCharType="end"/>
      </w:r>
    </w:p>
    <w:p w14:paraId="173ECDE9">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_Toc83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业绩</w:t>
      </w:r>
      <w:r>
        <w:tab/>
      </w:r>
      <w:r>
        <w:fldChar w:fldCharType="begin"/>
      </w:r>
      <w:r>
        <w:instrText xml:space="preserve"> PAGEREF _Toc83 \h </w:instrText>
      </w:r>
      <w:r>
        <w:fldChar w:fldCharType="separate"/>
      </w:r>
      <w:r>
        <w:t>75</w:t>
      </w:r>
      <w:r>
        <w:fldChar w:fldCharType="end"/>
      </w:r>
      <w:r>
        <w:rPr>
          <w:rFonts w:ascii="黑体" w:hAnsi="黑体" w:eastAsia="黑体"/>
          <w:bCs/>
          <w:color w:val="auto"/>
          <w:szCs w:val="21"/>
          <w:highlight w:val="none"/>
          <w:lang w:val="zh-CN"/>
        </w:rPr>
        <w:fldChar w:fldCharType="end"/>
      </w:r>
    </w:p>
    <w:p w14:paraId="7635A1BF">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_Toc19110 </w:instrText>
      </w:r>
      <w:r>
        <w:rPr>
          <w:rFonts w:ascii="黑体" w:hAnsi="黑体" w:eastAsia="黑体"/>
          <w:bCs/>
          <w:szCs w:val="21"/>
          <w:highlight w:val="none"/>
          <w:lang w:val="zh-CN"/>
        </w:rPr>
        <w:fldChar w:fldCharType="separate"/>
      </w:r>
      <w:r>
        <w:rPr>
          <w:rFonts w:hint="eastAsia" w:eastAsia="黑体"/>
          <w:szCs w:val="30"/>
          <w:highlight w:val="none"/>
        </w:rPr>
        <w:t>其它商务资料</w:t>
      </w:r>
      <w:r>
        <w:tab/>
      </w:r>
      <w:r>
        <w:fldChar w:fldCharType="begin"/>
      </w:r>
      <w:r>
        <w:instrText xml:space="preserve"> PAGEREF _Toc19110 \h </w:instrText>
      </w:r>
      <w:r>
        <w:fldChar w:fldCharType="separate"/>
      </w:r>
      <w:r>
        <w:t>76</w:t>
      </w:r>
      <w:r>
        <w:fldChar w:fldCharType="end"/>
      </w:r>
      <w:r>
        <w:rPr>
          <w:rFonts w:ascii="黑体" w:hAnsi="黑体" w:eastAsia="黑体"/>
          <w:bCs/>
          <w:color w:val="auto"/>
          <w:szCs w:val="21"/>
          <w:highlight w:val="none"/>
          <w:lang w:val="zh-CN"/>
        </w:rPr>
        <w:fldChar w:fldCharType="end"/>
      </w:r>
    </w:p>
    <w:p w14:paraId="66823B9F">
      <w:pPr>
        <w:pStyle w:val="17"/>
        <w:tabs>
          <w:tab w:val="right" w:leader="dot" w:pos="8306"/>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_Toc4774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三、技术文件</w:t>
      </w:r>
      <w:r>
        <w:tab/>
      </w:r>
      <w:r>
        <w:fldChar w:fldCharType="begin"/>
      </w:r>
      <w:r>
        <w:instrText xml:space="preserve"> PAGEREF _Toc4774 \h </w:instrText>
      </w:r>
      <w:r>
        <w:fldChar w:fldCharType="separate"/>
      </w:r>
      <w:r>
        <w:t>77</w:t>
      </w:r>
      <w:r>
        <w:fldChar w:fldCharType="end"/>
      </w:r>
      <w:r>
        <w:rPr>
          <w:rFonts w:ascii="黑体" w:hAnsi="黑体" w:eastAsia="黑体"/>
          <w:bCs/>
          <w:color w:val="auto"/>
          <w:szCs w:val="21"/>
          <w:highlight w:val="none"/>
          <w:lang w:val="zh-CN"/>
        </w:rPr>
        <w:fldChar w:fldCharType="end"/>
      </w:r>
    </w:p>
    <w:p w14:paraId="51FD9887">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_Toc5676 </w:instrText>
      </w:r>
      <w:r>
        <w:rPr>
          <w:rFonts w:ascii="黑体" w:hAnsi="黑体" w:eastAsia="黑体"/>
          <w:bCs/>
          <w:szCs w:val="21"/>
          <w:highlight w:val="none"/>
          <w:lang w:val="zh-CN"/>
        </w:rPr>
        <w:fldChar w:fldCharType="separate"/>
      </w:r>
      <w:r>
        <w:rPr>
          <w:rFonts w:hint="eastAsia" w:eastAsia="黑体"/>
          <w:szCs w:val="28"/>
          <w:highlight w:val="none"/>
        </w:rPr>
        <w:t>施工技术方案</w:t>
      </w:r>
      <w:r>
        <w:tab/>
      </w:r>
      <w:r>
        <w:fldChar w:fldCharType="begin"/>
      </w:r>
      <w:r>
        <w:instrText xml:space="preserve"> PAGEREF _Toc5676 \h </w:instrText>
      </w:r>
      <w:r>
        <w:fldChar w:fldCharType="separate"/>
      </w:r>
      <w:r>
        <w:t>78</w:t>
      </w:r>
      <w:r>
        <w:fldChar w:fldCharType="end"/>
      </w:r>
      <w:r>
        <w:rPr>
          <w:rFonts w:ascii="黑体" w:hAnsi="黑体" w:eastAsia="黑体"/>
          <w:bCs/>
          <w:color w:val="auto"/>
          <w:szCs w:val="21"/>
          <w:highlight w:val="none"/>
          <w:lang w:val="zh-CN"/>
        </w:rPr>
        <w:fldChar w:fldCharType="end"/>
      </w:r>
    </w:p>
    <w:p w14:paraId="380374FE">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_Toc18366 </w:instrText>
      </w:r>
      <w:r>
        <w:rPr>
          <w:rFonts w:ascii="黑体" w:hAnsi="黑体" w:eastAsia="黑体"/>
          <w:bCs/>
          <w:szCs w:val="21"/>
          <w:highlight w:val="none"/>
          <w:lang w:val="zh-CN"/>
        </w:rPr>
        <w:fldChar w:fldCharType="separate"/>
      </w:r>
      <w:r>
        <w:rPr>
          <w:rFonts w:hint="eastAsia" w:ascii="黑体" w:hAnsi="黑体" w:eastAsia="黑体"/>
          <w:bCs/>
          <w:szCs w:val="30"/>
          <w:highlight w:val="none"/>
        </w:rPr>
        <w:t>质量承诺及保证措施</w:t>
      </w:r>
      <w:r>
        <w:tab/>
      </w:r>
      <w:r>
        <w:fldChar w:fldCharType="begin"/>
      </w:r>
      <w:r>
        <w:instrText xml:space="preserve"> PAGEREF _Toc18366 \h </w:instrText>
      </w:r>
      <w:r>
        <w:fldChar w:fldCharType="separate"/>
      </w:r>
      <w:r>
        <w:t>78</w:t>
      </w:r>
      <w:r>
        <w:fldChar w:fldCharType="end"/>
      </w:r>
      <w:r>
        <w:rPr>
          <w:rFonts w:ascii="黑体" w:hAnsi="黑体" w:eastAsia="黑体"/>
          <w:bCs/>
          <w:color w:val="auto"/>
          <w:szCs w:val="21"/>
          <w:highlight w:val="none"/>
          <w:lang w:val="zh-CN"/>
        </w:rPr>
        <w:fldChar w:fldCharType="end"/>
      </w:r>
    </w:p>
    <w:p w14:paraId="45324F51">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_Toc21130 </w:instrText>
      </w:r>
      <w:r>
        <w:rPr>
          <w:rFonts w:ascii="黑体" w:hAnsi="黑体" w:eastAsia="黑体"/>
          <w:bCs/>
          <w:szCs w:val="21"/>
          <w:highlight w:val="none"/>
          <w:lang w:val="zh-CN"/>
        </w:rPr>
        <w:fldChar w:fldCharType="separate"/>
      </w:r>
      <w:r>
        <w:rPr>
          <w:rFonts w:hint="eastAsia" w:ascii="宋体" w:hAnsi="宋体" w:cs="宋体"/>
          <w:bCs/>
          <w:szCs w:val="28"/>
          <w:highlight w:val="none"/>
        </w:rPr>
        <w:t>劳动力安排</w:t>
      </w:r>
      <w:r>
        <w:tab/>
      </w:r>
      <w:r>
        <w:fldChar w:fldCharType="begin"/>
      </w:r>
      <w:r>
        <w:instrText xml:space="preserve"> PAGEREF _Toc21130 \h </w:instrText>
      </w:r>
      <w:r>
        <w:fldChar w:fldCharType="separate"/>
      </w:r>
      <w:r>
        <w:t>80</w:t>
      </w:r>
      <w:r>
        <w:fldChar w:fldCharType="end"/>
      </w:r>
      <w:r>
        <w:rPr>
          <w:rFonts w:ascii="黑体" w:hAnsi="黑体" w:eastAsia="黑体"/>
          <w:bCs/>
          <w:color w:val="auto"/>
          <w:szCs w:val="21"/>
          <w:highlight w:val="none"/>
          <w:lang w:val="zh-CN"/>
        </w:rPr>
        <w:fldChar w:fldCharType="end"/>
      </w:r>
    </w:p>
    <w:p w14:paraId="48C9D8A4">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_Toc6093 </w:instrText>
      </w:r>
      <w:r>
        <w:rPr>
          <w:rFonts w:ascii="黑体" w:hAnsi="黑体" w:eastAsia="黑体"/>
          <w:bCs/>
          <w:szCs w:val="21"/>
          <w:highlight w:val="none"/>
          <w:lang w:val="zh-CN"/>
        </w:rPr>
        <w:fldChar w:fldCharType="separate"/>
      </w:r>
      <w:r>
        <w:rPr>
          <w:rFonts w:hint="eastAsia" w:ascii="宋体" w:hAnsi="宋体" w:cs="宋体"/>
          <w:bCs/>
          <w:szCs w:val="28"/>
          <w:highlight w:val="none"/>
        </w:rPr>
        <w:t>施工机械投入</w:t>
      </w:r>
      <w:r>
        <w:tab/>
      </w:r>
      <w:r>
        <w:fldChar w:fldCharType="begin"/>
      </w:r>
      <w:r>
        <w:instrText xml:space="preserve"> PAGEREF _Toc6093 \h </w:instrText>
      </w:r>
      <w:r>
        <w:fldChar w:fldCharType="separate"/>
      </w:r>
      <w:r>
        <w:t>81</w:t>
      </w:r>
      <w:r>
        <w:fldChar w:fldCharType="end"/>
      </w:r>
      <w:r>
        <w:rPr>
          <w:rFonts w:ascii="黑体" w:hAnsi="黑体" w:eastAsia="黑体"/>
          <w:bCs/>
          <w:color w:val="auto"/>
          <w:szCs w:val="21"/>
          <w:highlight w:val="none"/>
          <w:lang w:val="zh-CN"/>
        </w:rPr>
        <w:fldChar w:fldCharType="end"/>
      </w:r>
    </w:p>
    <w:p w14:paraId="44584C20">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_Toc2689 </w:instrText>
      </w:r>
      <w:r>
        <w:rPr>
          <w:rFonts w:ascii="黑体" w:hAnsi="黑体" w:eastAsia="黑体"/>
          <w:bCs/>
          <w:szCs w:val="21"/>
          <w:highlight w:val="none"/>
          <w:lang w:val="zh-CN"/>
        </w:rPr>
        <w:fldChar w:fldCharType="separate"/>
      </w:r>
      <w:r>
        <w:rPr>
          <w:rFonts w:eastAsia="黑体"/>
          <w:szCs w:val="30"/>
          <w:highlight w:val="none"/>
        </w:rPr>
        <w:t>其它</w:t>
      </w:r>
      <w:r>
        <w:rPr>
          <w:rFonts w:hint="eastAsia" w:eastAsia="黑体"/>
          <w:szCs w:val="30"/>
          <w:highlight w:val="none"/>
        </w:rPr>
        <w:t>技术</w:t>
      </w:r>
      <w:r>
        <w:rPr>
          <w:rFonts w:eastAsia="黑体"/>
          <w:szCs w:val="30"/>
          <w:highlight w:val="none"/>
        </w:rPr>
        <w:t>资料</w:t>
      </w:r>
      <w:r>
        <w:tab/>
      </w:r>
      <w:r>
        <w:fldChar w:fldCharType="begin"/>
      </w:r>
      <w:r>
        <w:instrText xml:space="preserve"> PAGEREF _Toc2689 \h </w:instrText>
      </w:r>
      <w:r>
        <w:fldChar w:fldCharType="separate"/>
      </w:r>
      <w:r>
        <w:t>83</w:t>
      </w:r>
      <w:r>
        <w:fldChar w:fldCharType="end"/>
      </w:r>
      <w:r>
        <w:rPr>
          <w:rFonts w:ascii="黑体" w:hAnsi="黑体" w:eastAsia="黑体"/>
          <w:bCs/>
          <w:color w:val="auto"/>
          <w:szCs w:val="21"/>
          <w:highlight w:val="none"/>
          <w:lang w:val="zh-CN"/>
        </w:rPr>
        <w:fldChar w:fldCharType="end"/>
      </w:r>
    </w:p>
    <w:p w14:paraId="7EBC2486">
      <w:pPr>
        <w:pStyle w:val="11"/>
        <w:tabs>
          <w:tab w:val="right" w:leader="dot" w:pos="8306"/>
          <w:tab w:val="clear" w:pos="1400"/>
          <w:tab w:val="clear" w:pos="8931"/>
        </w:tabs>
      </w:pPr>
      <w:r>
        <w:rPr>
          <w:rFonts w:ascii="黑体" w:hAnsi="黑体" w:eastAsia="黑体"/>
          <w:bCs/>
          <w:color w:val="auto"/>
          <w:szCs w:val="21"/>
          <w:highlight w:val="none"/>
          <w:lang w:val="zh-CN"/>
        </w:rPr>
        <w:fldChar w:fldCharType="begin"/>
      </w:r>
      <w:r>
        <w:rPr>
          <w:rFonts w:ascii="黑体" w:hAnsi="黑体" w:eastAsia="黑体"/>
          <w:bCs/>
          <w:szCs w:val="21"/>
          <w:highlight w:val="none"/>
          <w:lang w:val="zh-CN"/>
        </w:rPr>
        <w:instrText xml:space="preserve"> HYPERLINK \l _Toc20636 </w:instrText>
      </w:r>
      <w:r>
        <w:rPr>
          <w:rFonts w:ascii="黑体" w:hAnsi="黑体" w:eastAsia="黑体"/>
          <w:bCs/>
          <w:szCs w:val="21"/>
          <w:highlight w:val="none"/>
          <w:lang w:val="zh-CN"/>
        </w:rPr>
        <w:fldChar w:fldCharType="separate"/>
      </w:r>
      <w:r>
        <w:rPr>
          <w:rFonts w:hint="eastAsia" w:ascii="Times New Roman"/>
          <w:highlight w:val="none"/>
        </w:rPr>
        <w:t>磋商</w:t>
      </w:r>
      <w:r>
        <w:rPr>
          <w:rFonts w:hint="eastAsia" w:hAnsi="宋体"/>
          <w:highlight w:val="none"/>
        </w:rPr>
        <w:t>文件要求及供应商认为有必要提供的其它技术资料</w:t>
      </w:r>
      <w:r>
        <w:rPr>
          <w:rFonts w:hint="eastAsia" w:ascii="Times New Roman"/>
          <w:highlight w:val="none"/>
        </w:rPr>
        <w:t>。</w:t>
      </w:r>
      <w:r>
        <w:tab/>
      </w:r>
      <w:r>
        <w:fldChar w:fldCharType="begin"/>
      </w:r>
      <w:r>
        <w:instrText xml:space="preserve"> PAGEREF _Toc20636 \h </w:instrText>
      </w:r>
      <w:r>
        <w:fldChar w:fldCharType="separate"/>
      </w:r>
      <w:r>
        <w:t>83</w:t>
      </w:r>
      <w:r>
        <w:fldChar w:fldCharType="end"/>
      </w:r>
      <w:r>
        <w:rPr>
          <w:rFonts w:ascii="黑体" w:hAnsi="黑体" w:eastAsia="黑体"/>
          <w:bCs/>
          <w:color w:val="auto"/>
          <w:szCs w:val="21"/>
          <w:highlight w:val="none"/>
          <w:lang w:val="zh-CN"/>
        </w:rPr>
        <w:fldChar w:fldCharType="end"/>
      </w:r>
    </w:p>
    <w:p w14:paraId="7D5E69DA">
      <w:pPr>
        <w:tabs>
          <w:tab w:val="right" w:leader="dot" w:pos="9070"/>
          <w:tab w:val="right" w:leader="dot" w:pos="9498"/>
        </w:tabs>
        <w:spacing w:line="360" w:lineRule="auto"/>
        <w:ind w:right="80" w:rightChars="38"/>
        <w:jc w:val="center"/>
        <w:outlineLvl w:val="0"/>
        <w:rPr>
          <w:rFonts w:ascii="黑体" w:hAnsi="黑体" w:eastAsia="黑体"/>
          <w:bCs/>
          <w:color w:val="auto"/>
          <w:szCs w:val="21"/>
          <w:highlight w:val="none"/>
          <w:lang w:val="zh-CN"/>
        </w:rPr>
        <w:sectPr>
          <w:headerReference r:id="rId6" w:type="first"/>
          <w:footerReference r:id="rId8" w:type="first"/>
          <w:headerReference r:id="rId5" w:type="default"/>
          <w:footerReference r:id="rId7" w:type="default"/>
          <w:pgSz w:w="11906" w:h="16838"/>
          <w:pgMar w:top="1440" w:right="1800" w:bottom="1440" w:left="1800" w:header="851" w:footer="1134" w:gutter="0"/>
          <w:cols w:space="720" w:num="1"/>
          <w:titlePg/>
          <w:docGrid w:type="lines" w:linePitch="312" w:charSpace="0"/>
        </w:sectPr>
      </w:pPr>
      <w:r>
        <w:rPr>
          <w:rFonts w:ascii="黑体" w:hAnsi="黑体" w:eastAsia="黑体"/>
          <w:bCs/>
          <w:color w:val="auto"/>
          <w:szCs w:val="21"/>
          <w:highlight w:val="none"/>
          <w:lang w:val="zh-CN"/>
        </w:rPr>
        <w:fldChar w:fldCharType="end"/>
      </w:r>
      <w:bookmarkStart w:id="0" w:name="_Toc5425"/>
      <w:bookmarkStart w:id="1" w:name="_Toc6285"/>
      <w:bookmarkStart w:id="2" w:name="_Toc25687"/>
      <w:bookmarkStart w:id="3" w:name="_Toc7717"/>
      <w:bookmarkStart w:id="4" w:name="_Toc32519"/>
      <w:bookmarkStart w:id="5" w:name="_Toc13352"/>
      <w:bookmarkStart w:id="6" w:name="_Toc25006"/>
      <w:bookmarkStart w:id="7" w:name="_Toc7557"/>
      <w:bookmarkStart w:id="8" w:name="OLE_LINK1"/>
    </w:p>
    <w:p w14:paraId="4D136D3B">
      <w:pPr>
        <w:tabs>
          <w:tab w:val="right" w:leader="dot" w:pos="9070"/>
          <w:tab w:val="right" w:leader="dot" w:pos="9498"/>
        </w:tabs>
        <w:spacing w:line="360" w:lineRule="auto"/>
        <w:ind w:right="80" w:rightChars="38"/>
        <w:jc w:val="center"/>
        <w:outlineLvl w:val="0"/>
        <w:rPr>
          <w:color w:val="auto"/>
          <w:highlight w:val="none"/>
        </w:rPr>
      </w:pPr>
      <w:bookmarkStart w:id="9" w:name="_Toc19723"/>
      <w:bookmarkStart w:id="10" w:name="_Toc13189"/>
      <w:bookmarkStart w:id="11" w:name="_Toc8121"/>
      <w:r>
        <w:rPr>
          <w:rFonts w:hint="eastAsia" w:eastAsia="黑体"/>
          <w:b/>
          <w:color w:val="auto"/>
          <w:kern w:val="44"/>
          <w:sz w:val="36"/>
          <w:szCs w:val="20"/>
          <w:highlight w:val="none"/>
        </w:rPr>
        <w:t>第一章</w:t>
      </w:r>
      <w:r>
        <w:rPr>
          <w:rFonts w:eastAsia="黑体"/>
          <w:b/>
          <w:color w:val="auto"/>
          <w:kern w:val="44"/>
          <w:sz w:val="36"/>
          <w:szCs w:val="20"/>
          <w:highlight w:val="none"/>
        </w:rPr>
        <w:t xml:space="preserve">  </w:t>
      </w:r>
      <w:r>
        <w:rPr>
          <w:rFonts w:hint="eastAsia" w:eastAsia="黑体"/>
          <w:b/>
          <w:color w:val="auto"/>
          <w:kern w:val="44"/>
          <w:sz w:val="36"/>
          <w:szCs w:val="20"/>
          <w:highlight w:val="none"/>
        </w:rPr>
        <w:t>竞争性磋商公告</w:t>
      </w:r>
      <w:bookmarkEnd w:id="0"/>
      <w:bookmarkEnd w:id="1"/>
      <w:bookmarkEnd w:id="2"/>
      <w:bookmarkEnd w:id="3"/>
      <w:bookmarkEnd w:id="4"/>
      <w:bookmarkEnd w:id="5"/>
      <w:bookmarkEnd w:id="6"/>
      <w:bookmarkEnd w:id="7"/>
      <w:bookmarkEnd w:id="9"/>
      <w:bookmarkEnd w:id="10"/>
      <w:bookmarkEnd w:id="11"/>
    </w:p>
    <w:p w14:paraId="7C8A25B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项目概况</w:t>
      </w:r>
    </w:p>
    <w:p w14:paraId="04E06F3F">
      <w:pPr>
        <w:pBdr>
          <w:top w:val="single" w:color="auto" w:sz="4" w:space="1"/>
          <w:left w:val="single" w:color="auto" w:sz="4" w:space="4"/>
          <w:bottom w:val="single" w:color="auto" w:sz="4" w:space="1"/>
          <w:right w:val="single" w:color="auto" w:sz="4" w:space="4"/>
        </w:pBdr>
        <w:spacing w:line="360" w:lineRule="auto"/>
        <w:ind w:firstLine="422" w:firstLineChars="200"/>
        <w:jc w:val="left"/>
        <w:rPr>
          <w:rFonts w:ascii="宋体" w:hAnsi="宋体" w:cs="宋体"/>
          <w:color w:val="auto"/>
          <w:szCs w:val="21"/>
          <w:highlight w:val="none"/>
        </w:rPr>
      </w:pPr>
      <w:r>
        <w:rPr>
          <w:rFonts w:hint="eastAsia" w:ascii="宋体" w:hAnsi="宋体" w:cs="宋体"/>
          <w:b/>
          <w:bCs/>
          <w:color w:val="auto"/>
          <w:szCs w:val="21"/>
          <w:highlight w:val="none"/>
          <w:u w:val="single"/>
          <w:lang w:eastAsia="zh-CN"/>
        </w:rPr>
        <w:t>云南开放大学呈贡校区学生公寓B苑室内维修项目</w:t>
      </w:r>
      <w:r>
        <w:rPr>
          <w:rFonts w:hint="eastAsia" w:ascii="宋体" w:hAnsi="宋体" w:cs="宋体"/>
          <w:color w:val="auto"/>
          <w:szCs w:val="21"/>
          <w:highlight w:val="none"/>
        </w:rPr>
        <w:t>的潜在供应商应在</w:t>
      </w:r>
      <w:r>
        <w:rPr>
          <w:rFonts w:hint="eastAsia" w:ascii="宋体" w:hAnsi="宋体" w:cs="宋体"/>
          <w:b/>
          <w:bCs/>
          <w:color w:val="auto"/>
          <w:szCs w:val="21"/>
          <w:highlight w:val="none"/>
          <w:u w:val="single"/>
        </w:rPr>
        <w:t>“政采云”平台（http：//www.zcygov.cn）（操作路径：登录“政采云”平台-项目采购-获取采购文件 -找到本项目-点击“申请获取采购文件”）</w:t>
      </w:r>
      <w:r>
        <w:rPr>
          <w:rFonts w:hint="eastAsia" w:ascii="宋体" w:hAnsi="宋体" w:cs="宋体"/>
          <w:color w:val="auto"/>
          <w:szCs w:val="21"/>
          <w:highlight w:val="none"/>
        </w:rPr>
        <w:t>获取竞争性磋商文件，并于</w:t>
      </w:r>
      <w:r>
        <w:rPr>
          <w:rFonts w:hint="eastAsia" w:ascii="宋体" w:hAnsi="宋体" w:cs="宋体"/>
          <w:color w:val="auto"/>
          <w:szCs w:val="21"/>
          <w:highlight w:val="none"/>
          <w:u w:val="single"/>
          <w:lang w:eastAsia="zh-CN"/>
        </w:rPr>
        <w:t>2026年7月30日9时30分</w:t>
      </w:r>
      <w:r>
        <w:rPr>
          <w:rFonts w:hint="eastAsia" w:ascii="宋体" w:hAnsi="宋体" w:cs="宋体"/>
          <w:bCs/>
          <w:color w:val="auto"/>
          <w:szCs w:val="21"/>
          <w:highlight w:val="none"/>
        </w:rPr>
        <w:t>（北京时间）前提交响应文件</w:t>
      </w:r>
      <w:r>
        <w:rPr>
          <w:rFonts w:hint="eastAsia" w:ascii="宋体" w:hAnsi="宋体" w:cs="宋体"/>
          <w:color w:val="auto"/>
          <w:szCs w:val="21"/>
          <w:highlight w:val="none"/>
        </w:rPr>
        <w:t>。</w:t>
      </w:r>
    </w:p>
    <w:p w14:paraId="49ABC42F">
      <w:pPr>
        <w:pStyle w:val="4"/>
        <w:jc w:val="left"/>
        <w:rPr>
          <w:rFonts w:ascii="宋体" w:hAnsi="宋体" w:cs="宋体"/>
          <w:b w:val="0"/>
          <w:color w:val="auto"/>
          <w:sz w:val="21"/>
          <w:szCs w:val="21"/>
          <w:highlight w:val="none"/>
        </w:rPr>
      </w:pPr>
      <w:bookmarkStart w:id="12" w:name="_Toc1875"/>
      <w:bookmarkStart w:id="13" w:name="_Toc31846"/>
      <w:bookmarkStart w:id="14" w:name="_Toc6492"/>
      <w:bookmarkStart w:id="15" w:name="_Toc10681"/>
      <w:bookmarkStart w:id="16" w:name="_Toc3979"/>
      <w:bookmarkStart w:id="17" w:name="_Toc28359089"/>
      <w:bookmarkStart w:id="18" w:name="_Toc28359012"/>
      <w:bookmarkStart w:id="19" w:name="_Toc22153"/>
      <w:bookmarkStart w:id="20" w:name="_Toc30113"/>
      <w:bookmarkStart w:id="21" w:name="_Toc12499"/>
      <w:bookmarkStart w:id="22" w:name="_Toc16304"/>
      <w:bookmarkStart w:id="23" w:name="_Toc35393798"/>
      <w:bookmarkStart w:id="24" w:name="_Toc35393629"/>
      <w:bookmarkStart w:id="25" w:name="_Toc21514"/>
      <w:bookmarkStart w:id="26" w:name="_Toc10303"/>
      <w:bookmarkStart w:id="27" w:name="_Toc19013"/>
      <w:bookmarkStart w:id="28" w:name="_Toc3976"/>
      <w:bookmarkStart w:id="29" w:name="_Toc35393799"/>
      <w:bookmarkStart w:id="30" w:name="_Toc28359090"/>
      <w:bookmarkStart w:id="31" w:name="_Toc30283"/>
      <w:bookmarkStart w:id="32" w:name="_Toc2514"/>
      <w:bookmarkStart w:id="33" w:name="_Toc28359013"/>
      <w:bookmarkStart w:id="34" w:name="_Toc25563"/>
      <w:bookmarkStart w:id="35" w:name="_Toc35393630"/>
      <w:bookmarkStart w:id="36" w:name="_Toc15927"/>
      <w:bookmarkStart w:id="37" w:name="_Toc23408"/>
      <w:bookmarkStart w:id="38" w:name="_Toc18248"/>
      <w:r>
        <w:rPr>
          <w:rFonts w:hint="eastAsia" w:ascii="宋体" w:hAnsi="宋体" w:cs="宋体"/>
          <w:b w:val="0"/>
          <w:color w:val="auto"/>
          <w:sz w:val="21"/>
          <w:szCs w:val="21"/>
          <w:highlight w:val="none"/>
        </w:rPr>
        <w:t>一、项目基本情况</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28A6E0">
      <w:pPr>
        <w:spacing w:line="360" w:lineRule="auto"/>
        <w:ind w:firstLine="420" w:firstLineChars="200"/>
        <w:jc w:val="left"/>
        <w:rPr>
          <w:rFonts w:hint="eastAsia"/>
          <w:color w:val="auto"/>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YNZC2026-C2-04126-QHZX-0043</w:t>
      </w:r>
    </w:p>
    <w:p w14:paraId="640F025B">
      <w:pPr>
        <w:spacing w:line="360" w:lineRule="auto"/>
        <w:ind w:left="239" w:leftChars="114" w:firstLine="210" w:firstLineChars="1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s="宋体"/>
          <w:color w:val="auto"/>
          <w:szCs w:val="21"/>
          <w:highlight w:val="none"/>
          <w:lang w:eastAsia="zh-CN"/>
        </w:rPr>
        <w:t>云南开放大学呈贡校区学生公寓B苑室内维修项目</w:t>
      </w:r>
    </w:p>
    <w:p w14:paraId="4058CD7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采购方式：竞争性磋商</w:t>
      </w:r>
    </w:p>
    <w:p w14:paraId="4ADCEDE6">
      <w:pPr>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预算金额：373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9633</w:t>
      </w:r>
      <w:r>
        <w:rPr>
          <w:rFonts w:hint="eastAsia" w:ascii="宋体" w:hAnsi="宋体" w:cs="宋体"/>
          <w:color w:val="auto"/>
          <w:szCs w:val="21"/>
          <w:highlight w:val="none"/>
          <w:lang w:val="en-US" w:eastAsia="zh-CN"/>
        </w:rPr>
        <w:t>万</w:t>
      </w:r>
      <w:r>
        <w:rPr>
          <w:rFonts w:hint="eastAsia" w:ascii="宋体" w:hAnsi="宋体" w:cs="宋体"/>
          <w:color w:val="auto"/>
          <w:szCs w:val="21"/>
          <w:highlight w:val="none"/>
        </w:rPr>
        <w:t>元</w:t>
      </w:r>
    </w:p>
    <w:p w14:paraId="0020AEDA">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最高限价：373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9633</w:t>
      </w:r>
      <w:r>
        <w:rPr>
          <w:rFonts w:hint="eastAsia" w:ascii="宋体" w:hAnsi="宋体" w:cs="宋体"/>
          <w:color w:val="auto"/>
          <w:szCs w:val="21"/>
          <w:highlight w:val="none"/>
          <w:lang w:val="en-US" w:eastAsia="zh-CN"/>
        </w:rPr>
        <w:t>万</w:t>
      </w:r>
      <w:r>
        <w:rPr>
          <w:rFonts w:hint="eastAsia" w:ascii="宋体" w:hAnsi="宋体" w:cs="宋体"/>
          <w:color w:val="auto"/>
          <w:szCs w:val="21"/>
          <w:highlight w:val="none"/>
        </w:rPr>
        <w:t>元，最后报价超过最高限价的，其响应文件将被拒绝。</w:t>
      </w:r>
    </w:p>
    <w:p w14:paraId="32BF57C0">
      <w:pPr>
        <w:tabs>
          <w:tab w:val="left" w:pos="7560"/>
          <w:tab w:val="left" w:pos="8460"/>
        </w:tabs>
        <w:spacing w:line="360" w:lineRule="auto"/>
        <w:ind w:firstLine="420" w:firstLineChars="200"/>
        <w:jc w:val="left"/>
        <w:rPr>
          <w:rFonts w:hint="eastAsia"/>
          <w:color w:val="auto"/>
          <w:szCs w:val="21"/>
          <w:highlight w:val="none"/>
        </w:rPr>
      </w:pPr>
      <w:r>
        <w:rPr>
          <w:rFonts w:hint="eastAsia" w:ascii="宋体" w:hAnsi="宋体" w:cs="宋体"/>
          <w:color w:val="auto"/>
          <w:szCs w:val="21"/>
          <w:highlight w:val="none"/>
        </w:rPr>
        <w:t>采购需求</w:t>
      </w:r>
      <w:r>
        <w:rPr>
          <w:rFonts w:hint="eastAsia"/>
          <w:color w:val="auto"/>
          <w:szCs w:val="21"/>
          <w:highlight w:val="none"/>
        </w:rPr>
        <w:t>（</w:t>
      </w:r>
      <w:r>
        <w:rPr>
          <w:color w:val="auto"/>
          <w:szCs w:val="21"/>
          <w:highlight w:val="none"/>
        </w:rPr>
        <w:t>施工范围</w:t>
      </w:r>
      <w:r>
        <w:rPr>
          <w:rFonts w:hint="eastAsia"/>
          <w:color w:val="auto"/>
          <w:szCs w:val="21"/>
          <w:highlight w:val="none"/>
        </w:rPr>
        <w:t>）：</w:t>
      </w:r>
    </w:p>
    <w:tbl>
      <w:tblPr>
        <w:tblStyle w:val="21"/>
        <w:tblW w:w="8699"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709"/>
        <w:gridCol w:w="1619"/>
        <w:gridCol w:w="457"/>
        <w:gridCol w:w="651"/>
        <w:gridCol w:w="4632"/>
      </w:tblGrid>
      <w:tr w14:paraId="1AB4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31" w:type="dxa"/>
            <w:noWrap w:val="0"/>
            <w:vAlign w:val="center"/>
          </w:tcPr>
          <w:p w14:paraId="23EE7DFA">
            <w:pPr>
              <w:pStyle w:val="2"/>
              <w:jc w:val="center"/>
              <w:rPr>
                <w:rFonts w:ascii="宋体" w:hAnsi="宋体" w:cs="宋体"/>
                <w:b/>
                <w:bCs/>
                <w:color w:val="auto"/>
                <w:spacing w:val="-20"/>
                <w:sz w:val="21"/>
                <w:szCs w:val="21"/>
                <w:highlight w:val="none"/>
              </w:rPr>
            </w:pPr>
            <w:r>
              <w:rPr>
                <w:rFonts w:hint="eastAsia" w:ascii="宋体" w:hAnsi="宋体" w:cs="宋体"/>
                <w:b/>
                <w:bCs/>
                <w:color w:val="auto"/>
                <w:spacing w:val="-20"/>
                <w:sz w:val="21"/>
                <w:szCs w:val="21"/>
                <w:highlight w:val="none"/>
              </w:rPr>
              <w:t>序号</w:t>
            </w:r>
          </w:p>
        </w:tc>
        <w:tc>
          <w:tcPr>
            <w:tcW w:w="709" w:type="dxa"/>
            <w:noWrap w:val="0"/>
            <w:vAlign w:val="center"/>
          </w:tcPr>
          <w:p w14:paraId="5DBB8F4F">
            <w:pPr>
              <w:pStyle w:val="2"/>
              <w:jc w:val="center"/>
              <w:rPr>
                <w:rFonts w:ascii="宋体" w:hAnsi="宋体" w:cs="宋体"/>
                <w:b/>
                <w:bCs/>
                <w:color w:val="auto"/>
                <w:spacing w:val="-20"/>
                <w:sz w:val="21"/>
                <w:szCs w:val="21"/>
                <w:highlight w:val="none"/>
              </w:rPr>
            </w:pPr>
            <w:r>
              <w:rPr>
                <w:rFonts w:hint="eastAsia" w:ascii="宋体" w:hAnsi="宋体" w:cs="宋体"/>
                <w:b/>
                <w:bCs/>
                <w:color w:val="auto"/>
                <w:spacing w:val="-20"/>
                <w:sz w:val="21"/>
                <w:szCs w:val="21"/>
                <w:highlight w:val="none"/>
              </w:rPr>
              <w:t>标段代码</w:t>
            </w:r>
          </w:p>
        </w:tc>
        <w:tc>
          <w:tcPr>
            <w:tcW w:w="1619" w:type="dxa"/>
            <w:noWrap w:val="0"/>
            <w:vAlign w:val="center"/>
          </w:tcPr>
          <w:p w14:paraId="0912C89E">
            <w:pPr>
              <w:pStyle w:val="2"/>
              <w:jc w:val="center"/>
              <w:rPr>
                <w:rFonts w:ascii="宋体" w:hAnsi="宋体" w:cs="宋体"/>
                <w:b/>
                <w:bCs/>
                <w:color w:val="auto"/>
                <w:spacing w:val="-20"/>
                <w:sz w:val="21"/>
                <w:szCs w:val="21"/>
                <w:highlight w:val="none"/>
              </w:rPr>
            </w:pPr>
            <w:r>
              <w:rPr>
                <w:rFonts w:hint="eastAsia" w:ascii="宋体" w:hAnsi="宋体" w:cs="宋体"/>
                <w:b/>
                <w:bCs/>
                <w:color w:val="auto"/>
                <w:spacing w:val="-20"/>
                <w:sz w:val="21"/>
                <w:szCs w:val="21"/>
                <w:highlight w:val="none"/>
              </w:rPr>
              <w:t>项目名称</w:t>
            </w:r>
          </w:p>
        </w:tc>
        <w:tc>
          <w:tcPr>
            <w:tcW w:w="457" w:type="dxa"/>
            <w:noWrap w:val="0"/>
            <w:vAlign w:val="center"/>
          </w:tcPr>
          <w:p w14:paraId="5C16A67E">
            <w:pPr>
              <w:pStyle w:val="2"/>
              <w:jc w:val="center"/>
              <w:rPr>
                <w:rFonts w:ascii="宋体" w:hAnsi="宋体" w:cs="宋体"/>
                <w:b/>
                <w:bCs/>
                <w:color w:val="auto"/>
                <w:spacing w:val="-20"/>
                <w:sz w:val="21"/>
                <w:szCs w:val="21"/>
                <w:highlight w:val="none"/>
              </w:rPr>
            </w:pPr>
            <w:r>
              <w:rPr>
                <w:rFonts w:hint="eastAsia" w:ascii="宋体" w:hAnsi="宋体" w:cs="宋体"/>
                <w:b/>
                <w:bCs/>
                <w:color w:val="auto"/>
                <w:spacing w:val="-20"/>
                <w:sz w:val="21"/>
                <w:szCs w:val="21"/>
                <w:highlight w:val="none"/>
              </w:rPr>
              <w:t>数量</w:t>
            </w:r>
          </w:p>
        </w:tc>
        <w:tc>
          <w:tcPr>
            <w:tcW w:w="651" w:type="dxa"/>
            <w:noWrap w:val="0"/>
            <w:vAlign w:val="center"/>
          </w:tcPr>
          <w:p w14:paraId="3F0DB08F">
            <w:pPr>
              <w:pStyle w:val="2"/>
              <w:jc w:val="center"/>
              <w:rPr>
                <w:rFonts w:ascii="宋体" w:hAnsi="宋体" w:cs="宋体"/>
                <w:b/>
                <w:bCs/>
                <w:color w:val="auto"/>
                <w:spacing w:val="-20"/>
                <w:sz w:val="21"/>
                <w:szCs w:val="21"/>
                <w:highlight w:val="none"/>
              </w:rPr>
            </w:pPr>
            <w:r>
              <w:rPr>
                <w:rFonts w:hint="eastAsia" w:ascii="宋体" w:hAnsi="宋体" w:cs="宋体"/>
                <w:b/>
                <w:bCs/>
                <w:color w:val="auto"/>
                <w:spacing w:val="-20"/>
                <w:sz w:val="21"/>
                <w:szCs w:val="21"/>
                <w:highlight w:val="none"/>
              </w:rPr>
              <w:t>计量单位</w:t>
            </w:r>
          </w:p>
        </w:tc>
        <w:tc>
          <w:tcPr>
            <w:tcW w:w="4632" w:type="dxa"/>
            <w:noWrap w:val="0"/>
            <w:vAlign w:val="center"/>
          </w:tcPr>
          <w:p w14:paraId="7E134D34">
            <w:pPr>
              <w:pStyle w:val="2"/>
              <w:jc w:val="center"/>
              <w:rPr>
                <w:rFonts w:hint="default" w:ascii="宋体" w:hAnsi="宋体" w:eastAsia="宋体" w:cs="宋体"/>
                <w:b/>
                <w:bCs/>
                <w:color w:val="auto"/>
                <w:spacing w:val="-20"/>
                <w:sz w:val="21"/>
                <w:szCs w:val="21"/>
                <w:highlight w:val="none"/>
                <w:lang w:val="en-US" w:eastAsia="zh-CN"/>
              </w:rPr>
            </w:pPr>
            <w:r>
              <w:rPr>
                <w:rFonts w:hint="eastAsia" w:ascii="宋体" w:hAnsi="宋体" w:cs="宋体"/>
                <w:b/>
                <w:bCs/>
                <w:color w:val="auto"/>
                <w:spacing w:val="-20"/>
                <w:sz w:val="21"/>
                <w:szCs w:val="21"/>
                <w:highlight w:val="none"/>
                <w:lang w:val="en-US" w:eastAsia="zh-CN"/>
              </w:rPr>
              <w:t>简要施工范围</w:t>
            </w:r>
          </w:p>
        </w:tc>
      </w:tr>
      <w:tr w14:paraId="0627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631" w:type="dxa"/>
            <w:noWrap w:val="0"/>
            <w:vAlign w:val="center"/>
          </w:tcPr>
          <w:p w14:paraId="72DAF4F9">
            <w:pPr>
              <w:pStyle w:val="2"/>
              <w:jc w:val="center"/>
              <w:rPr>
                <w:rFonts w:ascii="宋体" w:hAnsi="宋体"/>
                <w:color w:val="auto"/>
                <w:sz w:val="21"/>
                <w:szCs w:val="21"/>
                <w:highlight w:val="none"/>
              </w:rPr>
            </w:pPr>
            <w:r>
              <w:rPr>
                <w:rFonts w:hint="eastAsia" w:ascii="宋体" w:hAnsi="宋体"/>
                <w:color w:val="auto"/>
                <w:sz w:val="21"/>
                <w:szCs w:val="21"/>
                <w:highlight w:val="none"/>
              </w:rPr>
              <w:t>1</w:t>
            </w:r>
          </w:p>
        </w:tc>
        <w:tc>
          <w:tcPr>
            <w:tcW w:w="709" w:type="dxa"/>
            <w:noWrap w:val="0"/>
            <w:vAlign w:val="center"/>
          </w:tcPr>
          <w:p w14:paraId="16B16337">
            <w:pPr>
              <w:pStyle w:val="2"/>
              <w:jc w:val="center"/>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p>
        </w:tc>
        <w:tc>
          <w:tcPr>
            <w:tcW w:w="1619" w:type="dxa"/>
            <w:noWrap w:val="0"/>
            <w:vAlign w:val="center"/>
          </w:tcPr>
          <w:p w14:paraId="2B8C4D20">
            <w:pPr>
              <w:pStyle w:val="2"/>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云南开放大学呈贡校区学生公寓B苑室内维修项目</w:t>
            </w:r>
          </w:p>
        </w:tc>
        <w:tc>
          <w:tcPr>
            <w:tcW w:w="457" w:type="dxa"/>
            <w:noWrap w:val="0"/>
            <w:vAlign w:val="center"/>
          </w:tcPr>
          <w:p w14:paraId="5889EE2F">
            <w:pPr>
              <w:pStyle w:val="2"/>
              <w:jc w:val="center"/>
              <w:rPr>
                <w:rFonts w:ascii="宋体" w:hAnsi="宋体"/>
                <w:color w:val="auto"/>
                <w:sz w:val="21"/>
                <w:szCs w:val="21"/>
                <w:highlight w:val="none"/>
              </w:rPr>
            </w:pPr>
            <w:r>
              <w:rPr>
                <w:rFonts w:hint="eastAsia" w:ascii="宋体" w:hAnsi="宋体"/>
                <w:color w:val="auto"/>
                <w:sz w:val="21"/>
                <w:szCs w:val="21"/>
                <w:highlight w:val="none"/>
              </w:rPr>
              <w:t>1</w:t>
            </w:r>
          </w:p>
        </w:tc>
        <w:tc>
          <w:tcPr>
            <w:tcW w:w="651" w:type="dxa"/>
            <w:noWrap w:val="0"/>
            <w:vAlign w:val="center"/>
          </w:tcPr>
          <w:p w14:paraId="78D894B5">
            <w:pPr>
              <w:pStyle w:val="2"/>
              <w:jc w:val="center"/>
              <w:rPr>
                <w:rFonts w:ascii="宋体" w:hAnsi="宋体"/>
                <w:color w:val="auto"/>
                <w:sz w:val="21"/>
                <w:szCs w:val="21"/>
                <w:highlight w:val="none"/>
              </w:rPr>
            </w:pPr>
            <w:r>
              <w:rPr>
                <w:rFonts w:hint="eastAsia" w:ascii="宋体" w:hAnsi="宋体"/>
                <w:color w:val="auto"/>
                <w:sz w:val="21"/>
                <w:szCs w:val="21"/>
                <w:highlight w:val="none"/>
              </w:rPr>
              <w:t>项</w:t>
            </w:r>
          </w:p>
        </w:tc>
        <w:tc>
          <w:tcPr>
            <w:tcW w:w="4632" w:type="dxa"/>
            <w:noWrap w:val="0"/>
            <w:vAlign w:val="center"/>
          </w:tcPr>
          <w:p w14:paraId="169E5000">
            <w:pPr>
              <w:pStyle w:val="2"/>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本次改造范围与主要内容围绕呈贡校区学生公寓B苑“公共区域+内部空间”展开，具体包括：</w:t>
            </w:r>
          </w:p>
          <w:p w14:paraId="57F274A5">
            <w:pPr>
              <w:pStyle w:val="2"/>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室内公共区域：对走廊、楼梯间等公共区域的墙面、顶面破损位置修复后重新粉刷翻新，提升公共空间整洁度与安全性；</w:t>
            </w:r>
          </w:p>
          <w:p w14:paraId="6879E781">
            <w:pPr>
              <w:pStyle w:val="2"/>
              <w:jc w:val="left"/>
              <w:rPr>
                <w:rFonts w:hint="eastAsia" w:ascii="宋体" w:hAnsi="宋体"/>
                <w:color w:val="auto"/>
                <w:sz w:val="21"/>
                <w:szCs w:val="21"/>
                <w:highlight w:val="none"/>
              </w:rPr>
            </w:pPr>
            <w:r>
              <w:rPr>
                <w:rFonts w:hint="eastAsia" w:ascii="宋体" w:hAnsi="宋体"/>
                <w:color w:val="auto"/>
                <w:sz w:val="21"/>
                <w:szCs w:val="21"/>
                <w:highlight w:val="none"/>
                <w:lang w:eastAsia="zh-CN"/>
              </w:rPr>
              <w:t>宿舍内部空间：针对每间宿舍的墙面、门进行修缮，解决因长期使用导致的墙面剥落、开裂，门生锈、变形等问题；对部分宿舍存在渗漏的卫生间及阳台进行防水修缮，改善居住环境。</w:t>
            </w:r>
          </w:p>
        </w:tc>
      </w:tr>
    </w:tbl>
    <w:p w14:paraId="761B9442">
      <w:pPr>
        <w:spacing w:line="360" w:lineRule="auto"/>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注：</w:t>
      </w:r>
    </w:p>
    <w:p w14:paraId="079DC89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1)合同履行地点：</w:t>
      </w:r>
      <w:r>
        <w:rPr>
          <w:rFonts w:hint="eastAsia" w:ascii="宋体" w:hAnsi="宋体" w:cs="宋体"/>
          <w:color w:val="auto"/>
          <w:szCs w:val="21"/>
          <w:highlight w:val="none"/>
          <w:lang w:eastAsia="zh-CN"/>
        </w:rPr>
        <w:t>云南开放大学呈贡校区</w:t>
      </w:r>
      <w:r>
        <w:rPr>
          <w:rFonts w:hint="eastAsia" w:ascii="宋体" w:hAnsi="宋体" w:cs="宋体"/>
          <w:color w:val="auto"/>
          <w:szCs w:val="21"/>
          <w:highlight w:val="none"/>
        </w:rPr>
        <w:t>。</w:t>
      </w:r>
    </w:p>
    <w:p w14:paraId="36CEC32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2)合同履行期限（工期）：</w:t>
      </w:r>
      <w:r>
        <w:rPr>
          <w:rFonts w:hint="eastAsia" w:ascii="宋体" w:hAnsi="宋体" w:cs="宋体"/>
          <w:color w:val="auto"/>
          <w:szCs w:val="21"/>
          <w:highlight w:val="none"/>
          <w:lang w:val="en-US" w:eastAsia="zh-CN"/>
        </w:rPr>
        <w:t>本项目分两个阶段进行施工，工期共计60个日历天，其中第一阶段施工为2026年暑假期间，施工工期为30个日历天，第二阶段施工为2027年暑假期间，施工工期为30个日历天。工期计算以甲方下达开工指令为准。</w:t>
      </w:r>
    </w:p>
    <w:p w14:paraId="3A9460D2">
      <w:pPr>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3）质量标准：</w:t>
      </w:r>
      <w:r>
        <w:rPr>
          <w:rFonts w:hint="eastAsia" w:ascii="宋体" w:hAnsi="宋体" w:cs="宋体"/>
          <w:color w:val="auto"/>
          <w:szCs w:val="21"/>
          <w:highlight w:val="none"/>
          <w:lang w:eastAsia="zh-CN"/>
        </w:rPr>
        <w:t>《建筑装饰装修工程质量验收标准》、《住宅装饰装修工程施工规范》、《民用建筑工程室内环境污染控制标准》、《建筑内部装修设计防火规范》、《建筑节能工程施工质量验收规范》</w:t>
      </w:r>
    </w:p>
    <w:p w14:paraId="72636BF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本项目</w:t>
      </w:r>
      <w:r>
        <w:rPr>
          <w:rFonts w:hint="eastAsia" w:ascii="宋体" w:hAnsi="宋体" w:cs="宋体"/>
          <w:b/>
          <w:bCs/>
          <w:color w:val="auto"/>
          <w:szCs w:val="21"/>
          <w:highlight w:val="none"/>
          <w:lang w:val="en-US" w:eastAsia="zh-CN"/>
        </w:rPr>
        <w:t>不</w:t>
      </w:r>
      <w:r>
        <w:rPr>
          <w:rFonts w:hint="eastAsia" w:ascii="宋体" w:hAnsi="宋体" w:cs="宋体"/>
          <w:color w:val="auto"/>
          <w:szCs w:val="21"/>
          <w:highlight w:val="none"/>
        </w:rPr>
        <w:t>接受联合体投标。</w:t>
      </w:r>
    </w:p>
    <w:p w14:paraId="3A1D0B42">
      <w:pPr>
        <w:pStyle w:val="4"/>
        <w:jc w:val="left"/>
        <w:rPr>
          <w:rFonts w:ascii="宋体" w:hAnsi="宋体" w:cs="宋体"/>
          <w:b w:val="0"/>
          <w:color w:val="auto"/>
          <w:sz w:val="21"/>
          <w:szCs w:val="21"/>
          <w:highlight w:val="none"/>
        </w:rPr>
      </w:pPr>
      <w:bookmarkStart w:id="39" w:name="_Toc29417"/>
      <w:bookmarkStart w:id="40" w:name="_Toc22736"/>
      <w:bookmarkStart w:id="41" w:name="_Toc12207"/>
      <w:r>
        <w:rPr>
          <w:rFonts w:hint="eastAsia" w:ascii="宋体" w:hAnsi="宋体" w:cs="宋体"/>
          <w:b w:val="0"/>
          <w:color w:val="auto"/>
          <w:sz w:val="21"/>
          <w:szCs w:val="21"/>
          <w:highlight w:val="none"/>
        </w:rPr>
        <w:t>二、供应商的资格要求</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31C3B6">
      <w:pPr>
        <w:spacing w:line="360" w:lineRule="auto"/>
        <w:ind w:firstLine="420" w:firstLineChars="200"/>
        <w:jc w:val="left"/>
        <w:rPr>
          <w:rFonts w:ascii="宋体" w:hAnsi="宋体" w:cs="宋体"/>
          <w:color w:val="auto"/>
          <w:szCs w:val="21"/>
          <w:highlight w:val="none"/>
        </w:rPr>
      </w:pPr>
      <w:bookmarkStart w:id="42" w:name="_Toc28359091"/>
      <w:bookmarkStart w:id="43" w:name="_Toc28359014"/>
      <w:r>
        <w:rPr>
          <w:rFonts w:ascii="宋体" w:hAnsi="宋体" w:cs="宋体"/>
          <w:color w:val="auto"/>
          <w:szCs w:val="21"/>
          <w:highlight w:val="none"/>
        </w:rPr>
        <w:t>1.满足《中华人民共和国政府采购法》第二十二条规定；</w:t>
      </w:r>
    </w:p>
    <w:p w14:paraId="3BF6166A">
      <w:pPr>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2</w:t>
      </w:r>
      <w:r>
        <w:rPr>
          <w:rFonts w:ascii="宋体" w:hAnsi="宋体" w:cs="宋体"/>
          <w:color w:val="auto"/>
          <w:szCs w:val="21"/>
          <w:highlight w:val="none"/>
        </w:rPr>
        <w:t>.落实政府采购政策需满足的资格要求：</w:t>
      </w:r>
      <w:r>
        <w:rPr>
          <w:rFonts w:hint="eastAsia" w:ascii="宋体" w:hAnsi="宋体" w:cs="宋体"/>
          <w:color w:val="auto"/>
          <w:szCs w:val="21"/>
          <w:highlight w:val="none"/>
        </w:rPr>
        <w:t>本项目为专门面向中小企业采购的项目,供应商应为中小企业，或监狱企业，或残疾人福利性单位；根据“《关于印发《政府采购促进中小企业发展管理办法》的通知》（财库〔2020〕46号）及《工业和信息化部、国家统计局、国家发展和改革委员会、财政部关于印发中小企业划型标准规定的通知》（工信部联企业[2011]300号）”规定的划分标准，本项目对应的中小企业划分标准所属行业为：建筑业。《工业和信息化部、国家统计局、国家发展和改革委员会、财政部关于印发中小企业划型标准规定的通知》（工信部联企业[2011]300号）”规定的建筑业划型标准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B949349">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3.本项目的特定资格要求：</w:t>
      </w:r>
    </w:p>
    <w:p w14:paraId="7829FAA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3.1供应商须具备建设行政主管部门核发的有效的建筑装饰装修工程专业承包贰级（含贰级）及以上资质或建筑工程施工总承包叁级（含叁级）及以上资质，且具备有效的安全生产许可证。</w:t>
      </w:r>
    </w:p>
    <w:p w14:paraId="6037C5AB">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3.2供应商拟派往本项目的项目负责人须具有建设行政主管部门颁发的贰级及以上注册建造师证书（建筑工程），具有有效的安全生产考核合格证（B证），且必须注册在供应商本单位；</w:t>
      </w:r>
    </w:p>
    <w:p w14:paraId="3452045E">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3.3未担任其他任何在建工程的项目负责人（提供承诺函，格式内容自拟）。</w:t>
      </w:r>
    </w:p>
    <w:p w14:paraId="4C802C1C">
      <w:pPr>
        <w:pStyle w:val="4"/>
        <w:jc w:val="left"/>
        <w:rPr>
          <w:rFonts w:ascii="宋体" w:hAnsi="宋体" w:cs="宋体"/>
          <w:b w:val="0"/>
          <w:color w:val="auto"/>
          <w:sz w:val="21"/>
          <w:szCs w:val="21"/>
          <w:highlight w:val="none"/>
        </w:rPr>
      </w:pPr>
      <w:bookmarkStart w:id="44" w:name="_Toc35393631"/>
      <w:bookmarkStart w:id="45" w:name="_Toc27031"/>
      <w:bookmarkStart w:id="46" w:name="_Toc541"/>
      <w:bookmarkStart w:id="47" w:name="_Toc23787"/>
      <w:bookmarkStart w:id="48" w:name="_Toc25493"/>
      <w:bookmarkStart w:id="49" w:name="_Toc5209"/>
      <w:bookmarkStart w:id="50" w:name="_Toc19477"/>
      <w:bookmarkStart w:id="51" w:name="_Toc9402"/>
      <w:bookmarkStart w:id="52" w:name="_Toc35393800"/>
      <w:bookmarkStart w:id="53" w:name="_Toc6458"/>
      <w:bookmarkStart w:id="54" w:name="_Toc27070"/>
      <w:bookmarkStart w:id="55" w:name="_Toc5947"/>
      <w:bookmarkStart w:id="56" w:name="_Toc17189"/>
      <w:r>
        <w:rPr>
          <w:rFonts w:hint="eastAsia" w:ascii="宋体" w:hAnsi="宋体" w:cs="宋体"/>
          <w:b w:val="0"/>
          <w:color w:val="auto"/>
          <w:sz w:val="21"/>
          <w:szCs w:val="21"/>
          <w:highlight w:val="none"/>
        </w:rPr>
        <w:t>三、获取采购文件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8F94793">
      <w:pPr>
        <w:spacing w:line="360" w:lineRule="auto"/>
        <w:ind w:firstLine="420" w:firstLineChars="200"/>
        <w:rPr>
          <w:rFonts w:ascii="宋体" w:hAnsi="宋体" w:cs="宋体"/>
          <w:color w:val="auto"/>
          <w:szCs w:val="21"/>
          <w:highlight w:val="none"/>
          <w:shd w:val="clear" w:color="auto" w:fill="FFFFFF"/>
        </w:rPr>
      </w:pPr>
      <w:bookmarkStart w:id="57" w:name="_Toc35393632"/>
      <w:bookmarkStart w:id="58" w:name="_Toc28359092"/>
      <w:bookmarkStart w:id="59" w:name="_Toc28359015"/>
      <w:bookmarkStart w:id="60" w:name="_Toc35393801"/>
      <w:r>
        <w:rPr>
          <w:rFonts w:hint="eastAsia" w:ascii="宋体" w:hAnsi="宋体" w:cs="宋体"/>
          <w:color w:val="auto"/>
          <w:szCs w:val="21"/>
          <w:highlight w:val="none"/>
          <w:shd w:val="clear" w:color="auto" w:fill="FFFFFF"/>
        </w:rPr>
        <w:t>时间：</w:t>
      </w:r>
      <w:r>
        <w:rPr>
          <w:rFonts w:hint="eastAsia" w:ascii="宋体" w:hAnsi="宋体" w:cs="宋体"/>
          <w:color w:val="auto"/>
          <w:szCs w:val="21"/>
          <w:highlight w:val="none"/>
          <w:shd w:val="clear" w:color="auto" w:fill="FFFFFF"/>
          <w:lang w:eastAsia="zh-CN"/>
        </w:rPr>
        <w:t>2026年7月15日至2026年7月22日</w:t>
      </w:r>
      <w:r>
        <w:rPr>
          <w:rFonts w:hint="eastAsia" w:ascii="宋体" w:hAnsi="宋体" w:cs="宋体"/>
          <w:color w:val="auto"/>
          <w:szCs w:val="21"/>
          <w:highlight w:val="none"/>
          <w:shd w:val="clear" w:color="auto" w:fill="FFFFFF"/>
        </w:rPr>
        <w:t>，每天上午06:00至12:00，下午12:00至23:59（北京时间，法定节假日除外）</w:t>
      </w:r>
    </w:p>
    <w:p w14:paraId="1BD8D817">
      <w:pPr>
        <w:spacing w:line="360" w:lineRule="auto"/>
        <w:ind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地点：“政采云”平台（http：//www.zcygov.cn）（操作路径：登录“政采云”平台-项目采购-获取采购文件 -找到本项目-点击“申请获取采购文件”）。</w:t>
      </w:r>
    </w:p>
    <w:p w14:paraId="3CC3169F">
      <w:pPr>
        <w:spacing w:line="360" w:lineRule="auto"/>
        <w:ind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方式：网上下载。</w:t>
      </w:r>
    </w:p>
    <w:p w14:paraId="3D77723E">
      <w:pPr>
        <w:spacing w:line="360" w:lineRule="auto"/>
        <w:ind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①凡有意参加供应商，须在政采云平台办理数字证书（CA），CA申领链接：https://middle.zcygov.cn/ca/apply/list?_app_=zcy.sys，并在政采云绑定数字证书（CA）后在网上获取采购文件及其它采购资料，数字证书（CA）详见其办理流程。注：云南本地供应商如之前已在云南CA在线数字证书办理网进行过注册并办理过企业数字证书（CA），直接绑定即可，无需重复办理（2022年1月1日前办理的云南CA需到云南CA办理处进行升级）。外省供应商在政采云平台办理的其他CA可直接使用，无需重复办理。</w:t>
      </w:r>
    </w:p>
    <w:p w14:paraId="123A3E9A">
      <w:pPr>
        <w:spacing w:line="360" w:lineRule="auto"/>
        <w:ind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②按上述要求获取文件的供应商视为合法获取了本项目采购文件，具备本项目的磋商资格。</w:t>
      </w:r>
    </w:p>
    <w:p w14:paraId="3025F936">
      <w:pPr>
        <w:spacing w:line="360" w:lineRule="auto"/>
        <w:ind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采购文件售价0元。</w:t>
      </w:r>
    </w:p>
    <w:p w14:paraId="6B51EFD3">
      <w:pPr>
        <w:spacing w:line="360" w:lineRule="auto"/>
        <w:ind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联系电话：0871-63333561     E-mail：2130383470@qq.com</w:t>
      </w:r>
    </w:p>
    <w:p w14:paraId="05BE82A2">
      <w:pPr>
        <w:pStyle w:val="4"/>
        <w:jc w:val="left"/>
        <w:rPr>
          <w:rFonts w:ascii="宋体" w:hAnsi="宋体" w:cs="宋体"/>
          <w:b w:val="0"/>
          <w:color w:val="auto"/>
          <w:sz w:val="21"/>
          <w:szCs w:val="21"/>
          <w:highlight w:val="none"/>
        </w:rPr>
      </w:pPr>
      <w:bookmarkStart w:id="61" w:name="_Toc16366"/>
      <w:bookmarkStart w:id="62" w:name="_Toc17553"/>
      <w:bookmarkStart w:id="63" w:name="_Toc2728"/>
      <w:bookmarkStart w:id="64" w:name="_Toc26693"/>
      <w:bookmarkStart w:id="65" w:name="_Toc16426"/>
      <w:bookmarkStart w:id="66" w:name="_Toc9080"/>
      <w:bookmarkStart w:id="67" w:name="_Toc11173"/>
      <w:bookmarkStart w:id="68" w:name="_Toc8197"/>
      <w:bookmarkStart w:id="69" w:name="_Toc2053"/>
      <w:bookmarkStart w:id="70" w:name="_Toc2973"/>
      <w:bookmarkStart w:id="71" w:name="_Toc2148"/>
      <w:r>
        <w:rPr>
          <w:rFonts w:hint="eastAsia" w:ascii="宋体" w:hAnsi="宋体" w:cs="宋体"/>
          <w:b w:val="0"/>
          <w:color w:val="auto"/>
          <w:sz w:val="21"/>
          <w:szCs w:val="21"/>
          <w:highlight w:val="none"/>
        </w:rPr>
        <w:t>四、响应文件提交</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1795519">
      <w:pPr>
        <w:spacing w:line="360" w:lineRule="auto"/>
        <w:ind w:firstLine="420" w:firstLineChars="200"/>
        <w:jc w:val="left"/>
        <w:rPr>
          <w:rFonts w:ascii="宋体" w:hAnsi="宋体" w:cs="宋体"/>
          <w:bCs/>
          <w:color w:val="auto"/>
          <w:szCs w:val="21"/>
          <w:highlight w:val="none"/>
        </w:rPr>
      </w:pPr>
      <w:r>
        <w:rPr>
          <w:rFonts w:hint="eastAsia" w:ascii="宋体" w:hAnsi="宋体" w:cs="宋体"/>
          <w:color w:val="auto"/>
          <w:szCs w:val="21"/>
          <w:highlight w:val="none"/>
        </w:rPr>
        <w:t>截止时间：</w:t>
      </w:r>
      <w:r>
        <w:rPr>
          <w:rFonts w:hint="eastAsia" w:ascii="宋体" w:hAnsi="宋体" w:cs="宋体"/>
          <w:color w:val="auto"/>
          <w:szCs w:val="21"/>
          <w:highlight w:val="none"/>
          <w:u w:val="single"/>
          <w:lang w:eastAsia="zh-CN"/>
        </w:rPr>
        <w:t>2026年7月30</w:t>
      </w:r>
      <w:bookmarkStart w:id="1321" w:name="_GoBack"/>
      <w:bookmarkEnd w:id="1321"/>
      <w:r>
        <w:rPr>
          <w:rFonts w:hint="eastAsia" w:ascii="宋体" w:hAnsi="宋体" w:cs="宋体"/>
          <w:color w:val="auto"/>
          <w:szCs w:val="21"/>
          <w:highlight w:val="none"/>
          <w:u w:val="single"/>
          <w:lang w:eastAsia="zh-CN"/>
        </w:rPr>
        <w:t>日9时30分</w:t>
      </w:r>
      <w:r>
        <w:rPr>
          <w:rFonts w:hint="eastAsia" w:ascii="宋体" w:hAnsi="宋体" w:cs="宋体"/>
          <w:bCs/>
          <w:color w:val="auto"/>
          <w:szCs w:val="21"/>
          <w:highlight w:val="none"/>
        </w:rPr>
        <w:t>（北京时间）</w:t>
      </w:r>
    </w:p>
    <w:p w14:paraId="380FF754">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地    点：（1）响应文件提交方式：本项目为全流程电子化项目，通过“政采云”平台（http：//www.zcygov.cn）实行在线电子响应，供应商应先安装“政采云电子交易客户端”（请自行前往“政采云”平台进行下载），并按照本项目采购文件和“政采云”平台的要求编制、加密后在投标截止时间前通过网络上传至“政采云”平台，供应商在“政采云”平台提交电子版响应文件时，请填写参加远程采购活动经办人联系方式。</w:t>
      </w:r>
    </w:p>
    <w:p w14:paraId="13234E6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（2）未进行网上注册并办理数字证书（CA 认证）的供应商将无法参与本项目政府采购活动，潜在供应商应要尽早完成电子交易平台上的 CA 数字证书办理，并在首次响应文件提交截止时间前提交响应文件。</w:t>
      </w:r>
    </w:p>
    <w:p w14:paraId="4DD9F71C">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（3）为确保网上操作合法、有效和安全，请供应商确保在电子响应过程中能够对相关数据电文进行加密和使用电子签章，妥善保管 CA 数字证书并使用有效的 CA 数字证书参与整个采购活动。</w:t>
      </w:r>
    </w:p>
    <w:p w14:paraId="4050E3A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政采云”平台将予以拒收。</w:t>
      </w:r>
    </w:p>
    <w:p w14:paraId="46475D4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CA 证书在线解密：首次响应文件开启时，须要供应商登录“政采云”平台电子开标大厅按规定时间对加密的响应文件进行解密，否则后果自负。</w:t>
      </w:r>
    </w:p>
    <w:p w14:paraId="46FFE64B">
      <w:pPr>
        <w:spacing w:line="360" w:lineRule="auto"/>
        <w:ind w:firstLine="420" w:firstLineChars="200"/>
        <w:jc w:val="left"/>
        <w:rPr>
          <w:rFonts w:ascii="宋体" w:hAnsi="宋体" w:cs="宋体"/>
          <w:bCs/>
          <w:color w:val="auto"/>
          <w:szCs w:val="21"/>
          <w:highlight w:val="none"/>
          <w:u w:val="single"/>
        </w:rPr>
      </w:pPr>
      <w:r>
        <w:rPr>
          <w:rFonts w:hint="eastAsia" w:ascii="宋体" w:hAnsi="宋体" w:cs="宋体"/>
          <w:color w:val="auto"/>
          <w:szCs w:val="21"/>
          <w:highlight w:val="none"/>
        </w:rPr>
        <w:t>供应商需要在具备有摄像头及语音功能且互联网网络状况良好的电脑登录“政采云”平台远程开标大厅参与本次磋商，否则后果自负。</w:t>
      </w:r>
    </w:p>
    <w:p w14:paraId="737324AE">
      <w:pPr>
        <w:pStyle w:val="4"/>
        <w:jc w:val="left"/>
        <w:rPr>
          <w:rFonts w:hint="eastAsia" w:ascii="宋体" w:hAnsi="宋体" w:eastAsia="宋体" w:cs="宋体"/>
          <w:b w:val="0"/>
          <w:color w:val="auto"/>
          <w:sz w:val="21"/>
          <w:szCs w:val="21"/>
          <w:highlight w:val="none"/>
        </w:rPr>
      </w:pPr>
      <w:bookmarkStart w:id="72" w:name="_Toc13539"/>
      <w:bookmarkStart w:id="73" w:name="_Toc29441"/>
      <w:bookmarkStart w:id="74" w:name="_Toc28359016"/>
      <w:bookmarkStart w:id="75" w:name="_Toc1065"/>
      <w:bookmarkStart w:id="76" w:name="_Toc26589"/>
      <w:bookmarkStart w:id="77" w:name="_Toc35393802"/>
      <w:bookmarkStart w:id="78" w:name="_Toc15797"/>
      <w:bookmarkStart w:id="79" w:name="_Toc28176"/>
      <w:bookmarkStart w:id="80" w:name="_Toc13245"/>
      <w:bookmarkStart w:id="81" w:name="_Toc10245"/>
      <w:bookmarkStart w:id="82" w:name="_Toc35393633"/>
      <w:bookmarkStart w:id="83" w:name="_Toc25437"/>
      <w:bookmarkStart w:id="84" w:name="_Toc28359093"/>
      <w:bookmarkStart w:id="85" w:name="_Toc585"/>
      <w:bookmarkStart w:id="86" w:name="_Toc15940"/>
      <w:bookmarkStart w:id="87" w:name="_Toc26417"/>
      <w:bookmarkStart w:id="88" w:name="_Toc25667"/>
      <w:bookmarkStart w:id="89" w:name="_Toc13757"/>
      <w:r>
        <w:rPr>
          <w:rFonts w:hint="eastAsia" w:ascii="宋体" w:hAnsi="宋体" w:eastAsia="宋体" w:cs="宋体"/>
          <w:b w:val="0"/>
          <w:color w:val="auto"/>
          <w:sz w:val="21"/>
          <w:szCs w:val="21"/>
          <w:highlight w:val="none"/>
        </w:rPr>
        <w:t>五、开启</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4CA2708">
      <w:pPr>
        <w:spacing w:line="360" w:lineRule="auto"/>
        <w:ind w:firstLine="420" w:firstLineChars="200"/>
        <w:jc w:val="left"/>
        <w:rPr>
          <w:rFonts w:hint="eastAsia" w:ascii="宋体" w:hAnsi="宋体" w:eastAsia="宋体" w:cs="宋体"/>
          <w:bCs/>
          <w:color w:val="auto"/>
          <w:szCs w:val="21"/>
          <w:highlight w:val="none"/>
          <w:u w:val="single"/>
        </w:rPr>
      </w:pPr>
      <w:r>
        <w:rPr>
          <w:rFonts w:hint="eastAsia" w:ascii="宋体" w:hAnsi="宋体" w:eastAsia="宋体" w:cs="宋体"/>
          <w:color w:val="auto"/>
          <w:szCs w:val="21"/>
          <w:highlight w:val="none"/>
        </w:rPr>
        <w:t>时    间：</w:t>
      </w:r>
      <w:r>
        <w:rPr>
          <w:rFonts w:hint="eastAsia" w:ascii="宋体" w:hAnsi="宋体" w:cs="宋体"/>
          <w:color w:val="auto"/>
          <w:szCs w:val="21"/>
          <w:highlight w:val="none"/>
          <w:u w:val="single"/>
          <w:lang w:eastAsia="zh-CN"/>
        </w:rPr>
        <w:t>2026年7月30日9时30分</w:t>
      </w:r>
      <w:r>
        <w:rPr>
          <w:rFonts w:hint="eastAsia" w:ascii="宋体" w:hAnsi="宋体" w:eastAsia="宋体" w:cs="宋体"/>
          <w:bCs/>
          <w:color w:val="auto"/>
          <w:szCs w:val="21"/>
          <w:highlight w:val="none"/>
        </w:rPr>
        <w:t>（北京时间）</w:t>
      </w:r>
    </w:p>
    <w:p w14:paraId="3E661A22">
      <w:pPr>
        <w:spacing w:line="360" w:lineRule="auto"/>
        <w:ind w:firstLine="420" w:firstLineChars="200"/>
        <w:jc w:val="left"/>
        <w:rPr>
          <w:rFonts w:ascii="宋体" w:hAnsi="宋体" w:cs="宋体"/>
          <w:bCs/>
          <w:color w:val="auto"/>
          <w:szCs w:val="21"/>
          <w:highlight w:val="none"/>
          <w:u w:val="single"/>
        </w:rPr>
      </w:pPr>
      <w:r>
        <w:rPr>
          <w:rFonts w:hint="eastAsia" w:ascii="宋体" w:hAnsi="宋体" w:eastAsia="宋体" w:cs="宋体"/>
          <w:color w:val="auto"/>
          <w:szCs w:val="21"/>
          <w:highlight w:val="none"/>
        </w:rPr>
        <w:t>地    点：政府采购云平台开标大厅。“政采云”平台（http：//www.zcygov.cn）。</w:t>
      </w:r>
    </w:p>
    <w:p w14:paraId="12813F83">
      <w:pPr>
        <w:pStyle w:val="4"/>
        <w:jc w:val="left"/>
        <w:rPr>
          <w:rFonts w:ascii="宋体" w:hAnsi="宋体" w:cs="宋体"/>
          <w:b w:val="0"/>
          <w:color w:val="auto"/>
          <w:sz w:val="21"/>
          <w:szCs w:val="21"/>
          <w:highlight w:val="none"/>
        </w:rPr>
      </w:pPr>
      <w:bookmarkStart w:id="90" w:name="_Toc18435"/>
      <w:bookmarkStart w:id="91" w:name="_Toc22715"/>
      <w:bookmarkStart w:id="92" w:name="_Toc24371"/>
      <w:bookmarkStart w:id="93" w:name="_Toc31389"/>
      <w:bookmarkStart w:id="94" w:name="_Toc35393803"/>
      <w:bookmarkStart w:id="95" w:name="_Toc23626"/>
      <w:bookmarkStart w:id="96" w:name="_Toc28359094"/>
      <w:bookmarkStart w:id="97" w:name="_Toc6459"/>
      <w:bookmarkStart w:id="98" w:name="_Toc24834"/>
      <w:bookmarkStart w:id="99" w:name="_Toc35393634"/>
      <w:bookmarkStart w:id="100" w:name="_Toc23986"/>
      <w:bookmarkStart w:id="101" w:name="_Toc32146"/>
      <w:bookmarkStart w:id="102" w:name="_Toc19930"/>
      <w:bookmarkStart w:id="103" w:name="_Toc2206"/>
      <w:bookmarkStart w:id="104" w:name="_Toc28359017"/>
      <w:r>
        <w:rPr>
          <w:rFonts w:hint="eastAsia" w:ascii="宋体" w:hAnsi="宋体" w:cs="宋体"/>
          <w:b w:val="0"/>
          <w:color w:val="auto"/>
          <w:sz w:val="21"/>
          <w:szCs w:val="21"/>
          <w:highlight w:val="none"/>
        </w:rPr>
        <w:t>六、公告期限</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BEC4F91">
      <w:pPr>
        <w:spacing w:line="360" w:lineRule="auto"/>
        <w:ind w:firstLine="420" w:firstLineChars="200"/>
        <w:jc w:val="left"/>
        <w:rPr>
          <w:color w:val="auto"/>
          <w:szCs w:val="21"/>
          <w:highlight w:val="none"/>
        </w:rPr>
      </w:pPr>
      <w:r>
        <w:rPr>
          <w:rFonts w:hint="eastAsia" w:ascii="宋体" w:hAnsi="宋体" w:cs="宋体"/>
          <w:color w:val="auto"/>
          <w:kern w:val="0"/>
          <w:szCs w:val="21"/>
          <w:highlight w:val="none"/>
        </w:rPr>
        <w:t>自本公告发布之日起3个工作日。</w:t>
      </w:r>
    </w:p>
    <w:p w14:paraId="27CE27F5">
      <w:pPr>
        <w:pStyle w:val="4"/>
        <w:jc w:val="left"/>
        <w:rPr>
          <w:rFonts w:ascii="宋体" w:hAnsi="宋体" w:cs="宋体"/>
          <w:b w:val="0"/>
          <w:color w:val="auto"/>
          <w:sz w:val="21"/>
          <w:szCs w:val="21"/>
          <w:highlight w:val="none"/>
        </w:rPr>
      </w:pPr>
      <w:bookmarkStart w:id="105" w:name="_Toc11131"/>
      <w:bookmarkStart w:id="106" w:name="_Toc31510"/>
      <w:bookmarkStart w:id="107" w:name="_Toc29444"/>
      <w:bookmarkStart w:id="108" w:name="_Toc35393804"/>
      <w:bookmarkStart w:id="109" w:name="_Toc11847"/>
      <w:bookmarkStart w:id="110" w:name="_Toc18257"/>
      <w:bookmarkStart w:id="111" w:name="_Toc18313"/>
      <w:bookmarkStart w:id="112" w:name="_Toc4975"/>
      <w:bookmarkStart w:id="113" w:name="_Toc30145"/>
      <w:bookmarkStart w:id="114" w:name="_Toc31345"/>
      <w:bookmarkStart w:id="115" w:name="_Toc11259"/>
      <w:bookmarkStart w:id="116" w:name="_Toc11190"/>
      <w:bookmarkStart w:id="117" w:name="_Toc35393635"/>
      <w:r>
        <w:rPr>
          <w:rFonts w:hint="eastAsia" w:ascii="宋体" w:hAnsi="宋体" w:cs="宋体"/>
          <w:b w:val="0"/>
          <w:color w:val="auto"/>
          <w:sz w:val="21"/>
          <w:szCs w:val="21"/>
          <w:highlight w:val="none"/>
        </w:rPr>
        <w:t>七、其他补充事宜</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CEC9CE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供应商在磋商前请务必认真阅读本磋商文件的全部内容，磋商文件和磋商活动如有变更，本次招标公告在“政采云”平台（http：//www.zcygov.cn）、云南省政府采购网（http://www.yngp.com/）上以发布公告的形式通知。请在磋商前经常访问，以获取最新信息，若有变更，请磋商供应商自行登录“政采云”收取修改内容，无须回复确认已收到该修改。</w:t>
      </w:r>
    </w:p>
    <w:p w14:paraId="302D35F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2.招标代理服务费收款信息如下：</w:t>
      </w:r>
    </w:p>
    <w:p w14:paraId="35A1183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账户：云南谦和工程咨询有限公司</w:t>
      </w:r>
    </w:p>
    <w:p w14:paraId="749F51A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账号：8719 1054 7310 201</w:t>
      </w:r>
    </w:p>
    <w:p w14:paraId="12E9DE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开户行：招商银行昆明分行营业部</w:t>
      </w:r>
    </w:p>
    <w:p w14:paraId="72B3850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3.保证金收款信息如下：</w:t>
      </w:r>
    </w:p>
    <w:p w14:paraId="106564C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账户：云南谦和工程咨询有限公司</w:t>
      </w:r>
    </w:p>
    <w:p w14:paraId="136257B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账号：8719 1054 7310 903</w:t>
      </w:r>
    </w:p>
    <w:p w14:paraId="51854BAD">
      <w:pPr>
        <w:pStyle w:val="2"/>
        <w:spacing w:line="360" w:lineRule="auto"/>
        <w:ind w:firstLine="420" w:firstLineChars="200"/>
        <w:rPr>
          <w:rFonts w:hint="eastAsia" w:ascii="宋体" w:hAnsi="宋体"/>
          <w:color w:val="auto"/>
          <w:kern w:val="2"/>
          <w:sz w:val="21"/>
          <w:szCs w:val="21"/>
          <w:highlight w:val="none"/>
        </w:rPr>
      </w:pPr>
      <w:r>
        <w:rPr>
          <w:rFonts w:hint="eastAsia" w:ascii="宋体" w:hAnsi="宋体"/>
          <w:color w:val="auto"/>
          <w:kern w:val="2"/>
          <w:sz w:val="21"/>
          <w:szCs w:val="21"/>
          <w:highlight w:val="none"/>
        </w:rPr>
        <w:t>开户行：招商银行昆明分行铂金大道支行</w:t>
      </w:r>
    </w:p>
    <w:p w14:paraId="0FCDE743">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rPr>
      </w:pPr>
      <w:r>
        <w:rPr>
          <w:rFonts w:hint="eastAsia" w:ascii="Times New Roman" w:hAnsi="Times New Roman" w:eastAsia="宋体" w:cs="Times New Roman"/>
          <w:kern w:val="2"/>
          <w:sz w:val="21"/>
          <w:szCs w:val="24"/>
          <w:lang w:val="en-US" w:eastAsia="zh-CN" w:bidi="ar-SA"/>
        </w:rPr>
        <w:t>4.</w:t>
      </w:r>
      <w:r>
        <w:rPr>
          <w:rFonts w:hint="eastAsia"/>
        </w:rPr>
        <w:t>本次采购公告在云南省政府采购网上发布。请各位供应商在递交投标（响应）文件前随时查看，以获取最新的消息。</w:t>
      </w:r>
    </w:p>
    <w:p w14:paraId="0F197AB9">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pPr>
      <w:r>
        <w:rPr>
          <w:rFonts w:hint="eastAsia"/>
          <w:lang w:val="en-US" w:eastAsia="zh-CN"/>
        </w:rPr>
        <w:t>5</w:t>
      </w:r>
      <w:r>
        <w:rPr>
          <w:rFonts w:hint="eastAsia"/>
        </w:rPr>
        <w:t>.本次项目采用全流程电子化采购方式，各供应商认真学习云南省政府采购电子交易平台（政采云）发布的相关操作手册。操作手册查询链接：https://helpcenter.zcygov.cn/document/#/document/dashboard?siteCode=yunnan。如有疑问联系95763。（1）供应商注册。供应商须在云南省政府采购电子交易平台注册后，方可参与项目。操作路径：云南省政府采购电子交易平台-业务支持-用户注册-供应商模块。（2）CA数字证书办理。供应商须办理有效CA数字证书。申领链接：https://middle.zcygov.cn/ca/apply/choose。（3）CA数字证书绑定。供应商进行CA绑定。操作路径：云南省政府采购电子交易平台-我的工作台-系统管理-ca管理-ca绑定。（4）采购文件获取。供应商须在采购公告规定的文件获取期限内，使用账号密码或ca数字证书登录平台，获取采购文件。操作路径：云南省政府采购电子交易平台-我的工作台-项目采购--获取采购文件。请务必在规定期限内获取采购文件，逾期将无法获取。（5）投标（响应）文件编制与递交。供应商须下载投标（响应）客户端，通过客户端编制投标（响应）文件，并线上递交。投标客户端下载路径：https://market.zcygov.cn/application-market/#/download/list（6）开评标。供应商须在项目指定的开标时间前，提前登录政府采购电子交易平台，并在规定时间内完成解密，如供应商因自身原因，无法在规定时间内解密的，自行承担后果（如：设备故障、浏览器故障、驱动故障、网络故障、加密CA与解密CA不一致等）。操作路径：云南省政府采购电子交易平台-我的工作台-项目采购-开标评标-进入开标大厅。</w:t>
      </w:r>
    </w:p>
    <w:p w14:paraId="434CD515">
      <w:pPr>
        <w:pStyle w:val="4"/>
        <w:jc w:val="left"/>
        <w:rPr>
          <w:rFonts w:ascii="宋体" w:hAnsi="宋体" w:cs="宋体"/>
          <w:b w:val="0"/>
          <w:color w:val="auto"/>
          <w:sz w:val="21"/>
          <w:szCs w:val="21"/>
          <w:highlight w:val="none"/>
        </w:rPr>
      </w:pPr>
      <w:bookmarkStart w:id="118" w:name="_Toc3408"/>
      <w:bookmarkStart w:id="119" w:name="_Toc28359018"/>
      <w:bookmarkStart w:id="120" w:name="_Toc19191"/>
      <w:bookmarkStart w:id="121" w:name="_Toc22487"/>
      <w:bookmarkStart w:id="122" w:name="_Toc2220"/>
      <w:bookmarkStart w:id="123" w:name="_Toc9165"/>
      <w:bookmarkStart w:id="124" w:name="_Toc35393636"/>
      <w:bookmarkStart w:id="125" w:name="_Toc5640"/>
      <w:bookmarkStart w:id="126" w:name="_Toc9308"/>
      <w:bookmarkStart w:id="127" w:name="_Toc23692"/>
      <w:bookmarkStart w:id="128" w:name="_Toc4621"/>
      <w:bookmarkStart w:id="129" w:name="_Toc35393805"/>
      <w:bookmarkStart w:id="130" w:name="_Toc28359095"/>
      <w:bookmarkStart w:id="131" w:name="_Toc20502"/>
      <w:bookmarkStart w:id="132" w:name="_Toc23781"/>
      <w:r>
        <w:rPr>
          <w:rFonts w:hint="eastAsia" w:ascii="宋体" w:hAnsi="宋体" w:cs="宋体"/>
          <w:b w:val="0"/>
          <w:color w:val="auto"/>
          <w:sz w:val="21"/>
          <w:szCs w:val="21"/>
          <w:highlight w:val="none"/>
        </w:rPr>
        <w:t>八、凡对本次采购提出询问，请按以下方式联系。</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31BCCD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1.采购人信息</w:t>
      </w:r>
    </w:p>
    <w:p w14:paraId="7FBAE3E2">
      <w:pPr>
        <w:spacing w:line="360" w:lineRule="auto"/>
        <w:ind w:firstLine="420" w:firstLineChars="200"/>
        <w:jc w:val="left"/>
        <w:rPr>
          <w:rFonts w:hint="eastAsia" w:ascii="宋体" w:hAnsi="宋体" w:cs="宋体"/>
          <w:color w:val="auto"/>
          <w:szCs w:val="21"/>
          <w:highlight w:val="none"/>
          <w:u w:val="none"/>
        </w:rPr>
      </w:pPr>
      <w:r>
        <w:rPr>
          <w:rFonts w:hint="eastAsia" w:ascii="宋体" w:hAnsi="宋体" w:cs="宋体"/>
          <w:color w:val="auto"/>
          <w:szCs w:val="21"/>
          <w:highlight w:val="none"/>
        </w:rPr>
        <w:t>名 称</w:t>
      </w:r>
      <w:r>
        <w:rPr>
          <w:rFonts w:hint="eastAsia" w:ascii="宋体" w:hAnsi="宋体" w:cs="宋体"/>
          <w:color w:val="auto"/>
          <w:szCs w:val="21"/>
          <w:highlight w:val="none"/>
          <w:u w:val="none"/>
        </w:rPr>
        <w:t>：云南开放大学（云南国防工业职业技术学院）</w:t>
      </w:r>
    </w:p>
    <w:p w14:paraId="62BC9023">
      <w:pPr>
        <w:spacing w:line="360" w:lineRule="auto"/>
        <w:ind w:firstLine="420" w:firstLineChars="200"/>
        <w:jc w:val="left"/>
        <w:rPr>
          <w:rFonts w:hint="eastAsia" w:ascii="宋体" w:hAnsi="宋体" w:cs="宋体"/>
          <w:color w:val="auto"/>
          <w:szCs w:val="21"/>
          <w:highlight w:val="none"/>
          <w:u w:val="none"/>
        </w:rPr>
      </w:pPr>
      <w:r>
        <w:rPr>
          <w:rFonts w:hint="eastAsia" w:ascii="宋体" w:hAnsi="宋体" w:cs="宋体"/>
          <w:color w:val="auto"/>
          <w:szCs w:val="21"/>
          <w:highlight w:val="none"/>
          <w:u w:val="none"/>
        </w:rPr>
        <w:t>地址：云南省昆明市呈贡区启秀</w:t>
      </w:r>
      <w:r>
        <w:rPr>
          <w:rFonts w:hint="eastAsia" w:ascii="宋体" w:hAnsi="宋体" w:cs="宋体"/>
          <w:color w:val="auto"/>
          <w:szCs w:val="21"/>
          <w:highlight w:val="none"/>
          <w:u w:val="none"/>
          <w:lang w:val="en-US" w:eastAsia="zh-CN"/>
        </w:rPr>
        <w:t>街</w:t>
      </w:r>
      <w:r>
        <w:rPr>
          <w:rFonts w:hint="eastAsia" w:ascii="宋体" w:hAnsi="宋体" w:cs="宋体"/>
          <w:color w:val="auto"/>
          <w:szCs w:val="21"/>
          <w:highlight w:val="none"/>
          <w:u w:val="none"/>
        </w:rPr>
        <w:t>318号</w:t>
      </w:r>
    </w:p>
    <w:p w14:paraId="43E09CC4">
      <w:pPr>
        <w:spacing w:line="360" w:lineRule="auto"/>
        <w:ind w:firstLine="420" w:firstLineChars="200"/>
        <w:jc w:val="left"/>
        <w:rPr>
          <w:rFonts w:hint="eastAsia" w:ascii="宋体" w:hAnsi="宋体" w:cs="宋体"/>
          <w:color w:val="auto"/>
          <w:szCs w:val="21"/>
          <w:highlight w:val="none"/>
          <w:u w:val="none"/>
        </w:rPr>
      </w:pPr>
      <w:r>
        <w:rPr>
          <w:rFonts w:hint="eastAsia" w:ascii="宋体" w:hAnsi="宋体" w:cs="宋体"/>
          <w:color w:val="auto"/>
          <w:szCs w:val="21"/>
          <w:highlight w:val="none"/>
          <w:u w:val="none"/>
        </w:rPr>
        <w:t>联系方式：</w:t>
      </w:r>
      <w:bookmarkStart w:id="133" w:name="_Toc28359009"/>
      <w:bookmarkStart w:id="134" w:name="_Toc28359086"/>
      <w:r>
        <w:rPr>
          <w:rFonts w:hint="eastAsia" w:ascii="宋体" w:hAnsi="宋体" w:cs="宋体"/>
          <w:color w:val="auto"/>
          <w:szCs w:val="21"/>
          <w:highlight w:val="none"/>
          <w:u w:val="none"/>
          <w:lang w:val="en-US" w:eastAsia="zh-CN"/>
        </w:rPr>
        <w:t>任</w:t>
      </w:r>
      <w:r>
        <w:rPr>
          <w:rFonts w:hint="eastAsia" w:ascii="宋体" w:hAnsi="宋体" w:cs="宋体"/>
          <w:color w:val="auto"/>
          <w:szCs w:val="21"/>
          <w:highlight w:val="none"/>
          <w:u w:val="none"/>
        </w:rPr>
        <w:t>老师 0871-65196605</w:t>
      </w:r>
    </w:p>
    <w:p w14:paraId="0124F244">
      <w:pPr>
        <w:spacing w:line="360" w:lineRule="auto"/>
        <w:ind w:firstLine="420" w:firstLineChars="200"/>
        <w:jc w:val="left"/>
        <w:rPr>
          <w:rFonts w:hint="eastAsia" w:ascii="宋体" w:hAnsi="宋体" w:cs="宋体"/>
          <w:color w:val="auto"/>
          <w:szCs w:val="21"/>
          <w:highlight w:val="none"/>
          <w:u w:val="none"/>
        </w:rPr>
      </w:pPr>
      <w:r>
        <w:rPr>
          <w:rFonts w:hint="eastAsia" w:ascii="宋体" w:hAnsi="宋体" w:cs="宋体"/>
          <w:color w:val="auto"/>
          <w:szCs w:val="21"/>
          <w:highlight w:val="none"/>
          <w:u w:val="none"/>
        </w:rPr>
        <w:t>2.采购代理机构信息</w:t>
      </w:r>
      <w:bookmarkEnd w:id="133"/>
      <w:bookmarkEnd w:id="134"/>
    </w:p>
    <w:p w14:paraId="37172E40">
      <w:pPr>
        <w:spacing w:line="360" w:lineRule="auto"/>
        <w:ind w:firstLine="420" w:firstLineChars="200"/>
        <w:rPr>
          <w:rFonts w:hint="eastAsia" w:ascii="宋体" w:hAnsi="宋体" w:cs="宋体"/>
          <w:color w:val="auto"/>
          <w:szCs w:val="21"/>
          <w:highlight w:val="none"/>
          <w:u w:val="none"/>
        </w:rPr>
      </w:pPr>
      <w:r>
        <w:rPr>
          <w:rFonts w:hint="eastAsia" w:ascii="宋体" w:hAnsi="宋体" w:cs="宋体"/>
          <w:color w:val="auto"/>
          <w:szCs w:val="21"/>
          <w:highlight w:val="none"/>
          <w:u w:val="none"/>
        </w:rPr>
        <w:t>名 称：云南谦和工程咨询有限公司</w:t>
      </w:r>
    </w:p>
    <w:p w14:paraId="5B5C55B4">
      <w:pPr>
        <w:spacing w:line="360" w:lineRule="auto"/>
        <w:ind w:firstLine="420" w:firstLineChars="200"/>
        <w:rPr>
          <w:rFonts w:hint="eastAsia" w:ascii="宋体" w:hAnsi="宋体" w:cs="宋体"/>
          <w:color w:val="auto"/>
          <w:szCs w:val="21"/>
          <w:highlight w:val="none"/>
          <w:u w:val="none"/>
        </w:rPr>
      </w:pPr>
      <w:r>
        <w:rPr>
          <w:rFonts w:hint="eastAsia" w:ascii="宋体" w:hAnsi="宋体" w:cs="宋体"/>
          <w:color w:val="auto"/>
          <w:szCs w:val="21"/>
          <w:highlight w:val="none"/>
          <w:u w:val="none"/>
        </w:rPr>
        <w:t>地　址：昆明市盘龙区世博生态城低碳中心B座1单元11层</w:t>
      </w:r>
    </w:p>
    <w:p w14:paraId="775BC773">
      <w:pPr>
        <w:spacing w:line="360" w:lineRule="auto"/>
        <w:ind w:firstLine="420" w:firstLineChars="200"/>
        <w:rPr>
          <w:rFonts w:hint="eastAsia" w:ascii="宋体" w:hAnsi="宋体" w:cs="宋体"/>
          <w:color w:val="auto"/>
          <w:szCs w:val="21"/>
          <w:highlight w:val="none"/>
          <w:u w:val="none"/>
        </w:rPr>
      </w:pPr>
      <w:r>
        <w:rPr>
          <w:rFonts w:hint="eastAsia" w:ascii="宋体" w:hAnsi="宋体" w:cs="宋体"/>
          <w:color w:val="auto"/>
          <w:szCs w:val="21"/>
          <w:highlight w:val="none"/>
          <w:u w:val="none"/>
        </w:rPr>
        <w:t>联系方式：</w:t>
      </w:r>
      <w:bookmarkStart w:id="135" w:name="_Toc28359010"/>
      <w:bookmarkStart w:id="136" w:name="_Toc28359087"/>
      <w:r>
        <w:rPr>
          <w:rFonts w:hint="eastAsia" w:ascii="宋体" w:hAnsi="宋体" w:cs="宋体"/>
          <w:color w:val="auto"/>
          <w:szCs w:val="21"/>
          <w:highlight w:val="none"/>
          <w:u w:val="none"/>
        </w:rPr>
        <w:t>0871-63333561</w:t>
      </w:r>
    </w:p>
    <w:p w14:paraId="060A9BB3">
      <w:pPr>
        <w:spacing w:line="360" w:lineRule="auto"/>
        <w:ind w:firstLine="420" w:firstLineChars="200"/>
        <w:rPr>
          <w:rFonts w:hint="eastAsia" w:ascii="宋体" w:hAnsi="宋体" w:cs="宋体"/>
          <w:color w:val="auto"/>
          <w:szCs w:val="21"/>
          <w:highlight w:val="none"/>
          <w:u w:val="none"/>
        </w:rPr>
      </w:pPr>
      <w:r>
        <w:rPr>
          <w:rFonts w:hint="eastAsia" w:ascii="宋体" w:hAnsi="宋体" w:cs="宋体"/>
          <w:color w:val="auto"/>
          <w:szCs w:val="21"/>
          <w:highlight w:val="none"/>
          <w:u w:val="none"/>
        </w:rPr>
        <w:t>3.项目</w:t>
      </w:r>
      <w:r>
        <w:rPr>
          <w:rFonts w:ascii="宋体" w:hAnsi="宋体" w:cs="宋体"/>
          <w:color w:val="auto"/>
          <w:szCs w:val="21"/>
          <w:highlight w:val="none"/>
          <w:u w:val="none"/>
        </w:rPr>
        <w:t>联系方式</w:t>
      </w:r>
      <w:bookmarkEnd w:id="135"/>
      <w:bookmarkEnd w:id="136"/>
    </w:p>
    <w:p w14:paraId="7257DB88">
      <w:pPr>
        <w:pStyle w:val="12"/>
        <w:spacing w:line="360" w:lineRule="auto"/>
        <w:ind w:firstLine="420" w:firstLineChars="200"/>
        <w:rPr>
          <w:rFonts w:hint="eastAsia" w:hAnsi="宋体" w:cs="宋体"/>
          <w:color w:val="auto"/>
          <w:highlight w:val="none"/>
          <w:u w:val="none"/>
        </w:rPr>
      </w:pPr>
      <w:r>
        <w:rPr>
          <w:rFonts w:hint="eastAsia" w:hAnsi="宋体" w:cs="宋体"/>
          <w:color w:val="auto"/>
          <w:highlight w:val="none"/>
          <w:u w:val="none"/>
        </w:rPr>
        <w:t>项目联系人：刘莉、饶鹏兰、王丽君</w:t>
      </w:r>
    </w:p>
    <w:p w14:paraId="6206A9C4">
      <w:pPr>
        <w:pStyle w:val="12"/>
        <w:spacing w:line="360" w:lineRule="auto"/>
        <w:ind w:firstLine="420" w:firstLineChars="200"/>
        <w:rPr>
          <w:rFonts w:hint="eastAsia" w:hAnsi="宋体" w:cs="宋体"/>
          <w:color w:val="auto"/>
          <w:highlight w:val="none"/>
          <w:u w:val="none"/>
        </w:rPr>
      </w:pPr>
      <w:r>
        <w:rPr>
          <w:rFonts w:hint="eastAsia" w:hAnsi="宋体" w:cs="宋体"/>
          <w:color w:val="auto"/>
          <w:highlight w:val="none"/>
          <w:u w:val="none"/>
        </w:rPr>
        <w:t>电　话：0871-63333561</w:t>
      </w:r>
    </w:p>
    <w:p w14:paraId="32817C51">
      <w:pPr>
        <w:pStyle w:val="12"/>
        <w:spacing w:line="360" w:lineRule="auto"/>
        <w:ind w:firstLine="420" w:firstLineChars="200"/>
        <w:rPr>
          <w:rFonts w:hint="eastAsia" w:hAnsi="宋体" w:cs="宋体"/>
          <w:color w:val="auto"/>
          <w:highlight w:val="none"/>
          <w:u w:val="none"/>
        </w:rPr>
      </w:pPr>
      <w:r>
        <w:rPr>
          <w:rFonts w:hint="eastAsia" w:hAnsi="宋体" w:cs="宋体"/>
          <w:color w:val="auto"/>
          <w:highlight w:val="none"/>
          <w:u w:val="none"/>
        </w:rPr>
        <w:br w:type="page"/>
      </w:r>
    </w:p>
    <w:p w14:paraId="2F51B9F9">
      <w:pPr>
        <w:rPr>
          <w:rFonts w:hint="eastAsia"/>
        </w:rPr>
      </w:pPr>
    </w:p>
    <w:bookmarkEnd w:id="8"/>
    <w:p w14:paraId="1B7DDD6D">
      <w:pPr>
        <w:adjustRightInd w:val="0"/>
        <w:snapToGrid w:val="0"/>
        <w:spacing w:line="480" w:lineRule="auto"/>
        <w:jc w:val="center"/>
        <w:rPr>
          <w:rFonts w:ascii="宋体" w:hAnsi="宋体"/>
          <w:color w:val="auto"/>
          <w:sz w:val="36"/>
          <w:szCs w:val="36"/>
          <w:highlight w:val="none"/>
        </w:rPr>
      </w:pPr>
      <w:bookmarkStart w:id="137" w:name="_Toc470096302"/>
      <w:r>
        <w:rPr>
          <w:rFonts w:hint="eastAsia" w:ascii="宋体" w:hAnsi="宋体"/>
          <w:color w:val="auto"/>
          <w:sz w:val="36"/>
          <w:szCs w:val="36"/>
          <w:highlight w:val="none"/>
        </w:rPr>
        <w:t>温馨提示</w:t>
      </w:r>
    </w:p>
    <w:p w14:paraId="71162B24">
      <w:pPr>
        <w:adjustRightInd w:val="0"/>
        <w:snapToGrid w:val="0"/>
        <w:spacing w:line="480" w:lineRule="auto"/>
        <w:ind w:firstLine="424" w:firstLineChars="177"/>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本项目为全流程电子化的政府采购项目，供应商应提前熟悉“政采云”相关投标程序，提前在自有场地配置可音视频通话（带摄像头及话筒的计算机）的稳定网络环境，并按“政采云”开标大厅中的提示完成磋商活动。</w:t>
      </w:r>
    </w:p>
    <w:p w14:paraId="253B358F">
      <w:pPr>
        <w:adjustRightInd w:val="0"/>
        <w:snapToGrid w:val="0"/>
        <w:spacing w:line="480" w:lineRule="auto"/>
        <w:ind w:firstLine="424" w:firstLineChars="177"/>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、请各供应商认真阅读本项目提供的关于“政采云”及“云南CA”的相关办理及操作流程，以免影响投标。</w:t>
      </w:r>
    </w:p>
    <w:p w14:paraId="16804B76">
      <w:pPr>
        <w:adjustRightInd w:val="0"/>
        <w:snapToGrid w:val="0"/>
        <w:spacing w:line="480" w:lineRule="auto"/>
        <w:ind w:firstLine="424" w:firstLineChars="177"/>
        <w:rPr>
          <w:rFonts w:ascii="宋体" w:hAnsi="宋体"/>
          <w:color w:val="auto"/>
          <w:sz w:val="24"/>
          <w:highlight w:val="none"/>
        </w:rPr>
      </w:pPr>
      <w:r>
        <w:rPr>
          <w:rFonts w:hint="eastAsia" w:ascii="宋体" w:hAnsi="宋体"/>
          <w:color w:val="auto"/>
          <w:sz w:val="24"/>
          <w:highlight w:val="none"/>
        </w:rPr>
        <w:t>3、投标期间，如有技术问题可致电“政采云”及“云南CA”进行咨询。</w:t>
      </w:r>
    </w:p>
    <w:p w14:paraId="3863814E">
      <w:pPr>
        <w:adjustRightInd w:val="0"/>
        <w:snapToGrid w:val="0"/>
        <w:spacing w:line="480" w:lineRule="auto"/>
        <w:ind w:firstLine="424" w:firstLineChars="177"/>
        <w:rPr>
          <w:rFonts w:ascii="宋体" w:hAnsi="宋体"/>
          <w:color w:val="auto"/>
          <w:sz w:val="24"/>
          <w:highlight w:val="none"/>
        </w:rPr>
      </w:pPr>
      <w:r>
        <w:rPr>
          <w:rFonts w:hint="eastAsia" w:ascii="宋体" w:hAnsi="宋体"/>
          <w:color w:val="auto"/>
          <w:sz w:val="24"/>
          <w:highlight w:val="none"/>
        </w:rPr>
        <w:t>政采云技术支持电话：95763（客服热线）；</w:t>
      </w:r>
    </w:p>
    <w:p w14:paraId="7FC48554">
      <w:pPr>
        <w:adjustRightInd w:val="0"/>
        <w:snapToGrid w:val="0"/>
        <w:spacing w:line="480" w:lineRule="auto"/>
        <w:ind w:firstLine="424" w:firstLineChars="177"/>
        <w:rPr>
          <w:rFonts w:ascii="宋体" w:hAnsi="宋体"/>
          <w:color w:val="auto"/>
          <w:sz w:val="24"/>
          <w:highlight w:val="none"/>
        </w:rPr>
      </w:pPr>
      <w:r>
        <w:rPr>
          <w:rFonts w:hint="eastAsia" w:ascii="宋体" w:hAnsi="宋体"/>
          <w:color w:val="auto"/>
          <w:sz w:val="24"/>
          <w:highlight w:val="none"/>
        </w:rPr>
        <w:t>云南CA技术支持电话：4006727666；</w:t>
      </w:r>
    </w:p>
    <w:p w14:paraId="04C1802E">
      <w:pPr>
        <w:ind w:firstLine="480" w:firstLineChars="200"/>
        <w:rPr>
          <w:rFonts w:eastAsia="黑体"/>
          <w:color w:val="auto"/>
          <w:kern w:val="44"/>
          <w:highlight w:val="none"/>
        </w:rPr>
      </w:pPr>
      <w:r>
        <w:rPr>
          <w:rFonts w:hint="eastAsia" w:ascii="宋体" w:hAnsi="宋体"/>
          <w:color w:val="auto"/>
          <w:sz w:val="24"/>
          <w:highlight w:val="none"/>
        </w:rPr>
        <w:t>云南CA紧急联系电话：15288315056。</w:t>
      </w:r>
    </w:p>
    <w:p w14:paraId="38A34351">
      <w:pPr>
        <w:rPr>
          <w:rFonts w:eastAsia="黑体"/>
          <w:color w:val="auto"/>
          <w:kern w:val="44"/>
          <w:highlight w:val="none"/>
        </w:rPr>
      </w:pPr>
      <w:r>
        <w:rPr>
          <w:rFonts w:hint="eastAsia" w:eastAsia="黑体"/>
          <w:color w:val="auto"/>
          <w:kern w:val="44"/>
          <w:highlight w:val="none"/>
        </w:rPr>
        <w:br w:type="page"/>
      </w:r>
    </w:p>
    <w:p w14:paraId="07AA2B34">
      <w:pPr>
        <w:pStyle w:val="3"/>
        <w:keepLines/>
        <w:autoSpaceDE/>
        <w:autoSpaceDN/>
        <w:spacing w:before="120" w:line="360" w:lineRule="auto"/>
        <w:jc w:val="center"/>
        <w:textAlignment w:val="baseline"/>
        <w:rPr>
          <w:rFonts w:ascii="宋体" w:hAnsi="宋体" w:eastAsia="宋体"/>
          <w:color w:val="auto"/>
          <w:szCs w:val="36"/>
          <w:highlight w:val="none"/>
        </w:rPr>
      </w:pPr>
      <w:bookmarkStart w:id="138" w:name="_Toc17718"/>
      <w:bookmarkStart w:id="139" w:name="_Toc9751"/>
      <w:bookmarkStart w:id="140" w:name="_Toc28336"/>
      <w:bookmarkStart w:id="141" w:name="_Toc31841"/>
      <w:bookmarkStart w:id="142" w:name="_Toc29156"/>
      <w:bookmarkStart w:id="143" w:name="_Toc19061"/>
      <w:bookmarkStart w:id="144" w:name="_Toc11331"/>
      <w:bookmarkStart w:id="145" w:name="_Toc17507"/>
      <w:bookmarkStart w:id="146" w:name="_Toc21474"/>
      <w:bookmarkStart w:id="147" w:name="_Toc32713"/>
      <w:r>
        <w:rPr>
          <w:rFonts w:hint="eastAsia" w:ascii="Times New Roman" w:eastAsia="黑体"/>
          <w:bCs w:val="0"/>
          <w:color w:val="auto"/>
          <w:kern w:val="44"/>
          <w:highlight w:val="none"/>
        </w:rPr>
        <w:t>第二章</w:t>
      </w:r>
      <w:r>
        <w:rPr>
          <w:rFonts w:ascii="Times New Roman" w:eastAsia="黑体"/>
          <w:bCs w:val="0"/>
          <w:color w:val="auto"/>
          <w:kern w:val="44"/>
          <w:highlight w:val="none"/>
        </w:rPr>
        <w:t xml:space="preserve">  </w:t>
      </w:r>
      <w:r>
        <w:rPr>
          <w:rFonts w:hint="eastAsia" w:ascii="Times New Roman" w:eastAsia="黑体"/>
          <w:bCs w:val="0"/>
          <w:color w:val="auto"/>
          <w:kern w:val="44"/>
          <w:highlight w:val="none"/>
        </w:rPr>
        <w:t>供应商须知</w:t>
      </w:r>
      <w:bookmarkEnd w:id="137"/>
      <w:bookmarkEnd w:id="138"/>
      <w:bookmarkEnd w:id="139"/>
      <w:bookmarkEnd w:id="140"/>
      <w:bookmarkEnd w:id="141"/>
      <w:bookmarkEnd w:id="142"/>
      <w:bookmarkEnd w:id="143"/>
      <w:bookmarkEnd w:id="144"/>
      <w:bookmarkEnd w:id="145"/>
      <w:bookmarkEnd w:id="146"/>
      <w:bookmarkEnd w:id="147"/>
    </w:p>
    <w:p w14:paraId="7E165DE0">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148" w:name="_Toc20218"/>
      <w:bookmarkStart w:id="149" w:name="_Toc470096303"/>
      <w:bookmarkStart w:id="150" w:name="_Toc28602"/>
      <w:bookmarkStart w:id="151" w:name="_Toc1821"/>
      <w:bookmarkStart w:id="152" w:name="_Toc11967"/>
      <w:bookmarkStart w:id="153" w:name="_Toc86124039"/>
      <w:bookmarkStart w:id="154" w:name="_Toc7189"/>
      <w:bookmarkStart w:id="155" w:name="_Toc13969"/>
      <w:bookmarkStart w:id="156" w:name="_Toc26927"/>
      <w:bookmarkStart w:id="157" w:name="_Toc21364"/>
      <w:bookmarkStart w:id="158" w:name="_Toc28663"/>
      <w:bookmarkStart w:id="159" w:name="_Toc5177"/>
      <w:r>
        <w:rPr>
          <w:rFonts w:hint="eastAsia" w:ascii="黑体" w:hAnsi="黑体" w:eastAsia="黑体"/>
          <w:bCs w:val="0"/>
          <w:color w:val="auto"/>
          <w:sz w:val="28"/>
          <w:szCs w:val="30"/>
          <w:highlight w:val="none"/>
        </w:rPr>
        <w:t>供应商须知前附表</w:t>
      </w:r>
      <w:bookmarkEnd w:id="148"/>
      <w:bookmarkEnd w:id="149"/>
      <w:bookmarkEnd w:id="150"/>
      <w:bookmarkEnd w:id="151"/>
      <w:bookmarkEnd w:id="152"/>
      <w:bookmarkEnd w:id="153"/>
      <w:bookmarkEnd w:id="154"/>
      <w:bookmarkEnd w:id="155"/>
      <w:bookmarkEnd w:id="156"/>
      <w:bookmarkEnd w:id="157"/>
      <w:bookmarkEnd w:id="158"/>
      <w:bookmarkEnd w:id="159"/>
    </w:p>
    <w:tbl>
      <w:tblPr>
        <w:tblStyle w:val="21"/>
        <w:tblW w:w="92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1"/>
        <w:gridCol w:w="1973"/>
        <w:gridCol w:w="222"/>
        <w:gridCol w:w="6218"/>
      </w:tblGrid>
      <w:tr w14:paraId="56D64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851" w:type="dxa"/>
            <w:noWrap w:val="0"/>
            <w:vAlign w:val="center"/>
          </w:tcPr>
          <w:p w14:paraId="536CC9E5">
            <w:pPr>
              <w:pStyle w:val="12"/>
              <w:jc w:val="center"/>
              <w:rPr>
                <w:rFonts w:hAnsi="宋体"/>
                <w:b/>
                <w:color w:val="auto"/>
                <w:kern w:val="0"/>
                <w:highlight w:val="none"/>
              </w:rPr>
            </w:pPr>
            <w:r>
              <w:rPr>
                <w:rFonts w:hint="eastAsia" w:hAnsi="宋体"/>
                <w:b/>
                <w:color w:val="auto"/>
                <w:kern w:val="0"/>
                <w:highlight w:val="none"/>
              </w:rPr>
              <w:t>条款号</w:t>
            </w:r>
          </w:p>
        </w:tc>
        <w:tc>
          <w:tcPr>
            <w:tcW w:w="2195" w:type="dxa"/>
            <w:gridSpan w:val="2"/>
            <w:noWrap w:val="0"/>
            <w:vAlign w:val="center"/>
          </w:tcPr>
          <w:p w14:paraId="0DFFC7AF">
            <w:pPr>
              <w:pStyle w:val="12"/>
              <w:jc w:val="center"/>
              <w:rPr>
                <w:rFonts w:hAnsi="宋体"/>
                <w:b/>
                <w:color w:val="auto"/>
                <w:kern w:val="0"/>
                <w:highlight w:val="none"/>
              </w:rPr>
            </w:pPr>
            <w:r>
              <w:rPr>
                <w:rFonts w:hint="eastAsia" w:hAnsi="宋体"/>
                <w:b/>
                <w:color w:val="auto"/>
                <w:kern w:val="0"/>
                <w:highlight w:val="none"/>
              </w:rPr>
              <w:t>条</w:t>
            </w:r>
            <w:r>
              <w:rPr>
                <w:rFonts w:hAnsi="宋体"/>
                <w:b/>
                <w:color w:val="auto"/>
                <w:kern w:val="0"/>
                <w:highlight w:val="none"/>
              </w:rPr>
              <w:t xml:space="preserve"> </w:t>
            </w:r>
            <w:r>
              <w:rPr>
                <w:rFonts w:hint="eastAsia" w:hAnsi="宋体"/>
                <w:b/>
                <w:color w:val="auto"/>
                <w:kern w:val="0"/>
                <w:highlight w:val="none"/>
              </w:rPr>
              <w:t>款</w:t>
            </w:r>
            <w:r>
              <w:rPr>
                <w:rFonts w:hAnsi="宋体"/>
                <w:b/>
                <w:color w:val="auto"/>
                <w:kern w:val="0"/>
                <w:highlight w:val="none"/>
              </w:rPr>
              <w:t xml:space="preserve"> </w:t>
            </w:r>
            <w:r>
              <w:rPr>
                <w:rFonts w:hint="eastAsia" w:hAnsi="宋体"/>
                <w:b/>
                <w:color w:val="auto"/>
                <w:kern w:val="0"/>
                <w:highlight w:val="none"/>
              </w:rPr>
              <w:t>名</w:t>
            </w:r>
            <w:r>
              <w:rPr>
                <w:rFonts w:hAnsi="宋体"/>
                <w:b/>
                <w:color w:val="auto"/>
                <w:kern w:val="0"/>
                <w:highlight w:val="none"/>
              </w:rPr>
              <w:t xml:space="preserve"> </w:t>
            </w:r>
            <w:r>
              <w:rPr>
                <w:rFonts w:hint="eastAsia" w:hAnsi="宋体"/>
                <w:b/>
                <w:color w:val="auto"/>
                <w:kern w:val="0"/>
                <w:highlight w:val="none"/>
              </w:rPr>
              <w:t>称</w:t>
            </w:r>
          </w:p>
        </w:tc>
        <w:tc>
          <w:tcPr>
            <w:tcW w:w="6218" w:type="dxa"/>
            <w:noWrap w:val="0"/>
            <w:vAlign w:val="center"/>
          </w:tcPr>
          <w:p w14:paraId="657FEB5E">
            <w:pPr>
              <w:pStyle w:val="12"/>
              <w:jc w:val="center"/>
              <w:rPr>
                <w:rFonts w:hAnsi="宋体"/>
                <w:b/>
                <w:color w:val="auto"/>
                <w:kern w:val="0"/>
                <w:highlight w:val="none"/>
              </w:rPr>
            </w:pPr>
            <w:r>
              <w:rPr>
                <w:rFonts w:hint="eastAsia" w:hAnsi="宋体"/>
                <w:b/>
                <w:color w:val="auto"/>
                <w:kern w:val="0"/>
                <w:highlight w:val="none"/>
              </w:rPr>
              <w:t>编</w:t>
            </w:r>
            <w:r>
              <w:rPr>
                <w:rFonts w:hAnsi="宋体"/>
                <w:b/>
                <w:color w:val="auto"/>
                <w:kern w:val="0"/>
                <w:highlight w:val="none"/>
              </w:rPr>
              <w:t xml:space="preserve"> </w:t>
            </w:r>
            <w:r>
              <w:rPr>
                <w:rFonts w:hint="eastAsia" w:hAnsi="宋体"/>
                <w:b/>
                <w:color w:val="auto"/>
                <w:kern w:val="0"/>
                <w:highlight w:val="none"/>
              </w:rPr>
              <w:t>列</w:t>
            </w:r>
            <w:r>
              <w:rPr>
                <w:rFonts w:hAnsi="宋体"/>
                <w:b/>
                <w:color w:val="auto"/>
                <w:kern w:val="0"/>
                <w:highlight w:val="none"/>
              </w:rPr>
              <w:t xml:space="preserve"> </w:t>
            </w:r>
            <w:r>
              <w:rPr>
                <w:rFonts w:hint="eastAsia" w:hAnsi="宋体"/>
                <w:b/>
                <w:color w:val="auto"/>
                <w:kern w:val="0"/>
                <w:highlight w:val="none"/>
              </w:rPr>
              <w:t>内</w:t>
            </w:r>
            <w:r>
              <w:rPr>
                <w:rFonts w:hAnsi="宋体"/>
                <w:b/>
                <w:color w:val="auto"/>
                <w:kern w:val="0"/>
                <w:highlight w:val="none"/>
              </w:rPr>
              <w:t xml:space="preserve"> </w:t>
            </w:r>
            <w:r>
              <w:rPr>
                <w:rFonts w:hint="eastAsia" w:hAnsi="宋体"/>
                <w:b/>
                <w:color w:val="auto"/>
                <w:kern w:val="0"/>
                <w:highlight w:val="none"/>
              </w:rPr>
              <w:t>容</w:t>
            </w:r>
          </w:p>
        </w:tc>
      </w:tr>
      <w:tr w14:paraId="2D591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vMerge w:val="restart"/>
            <w:noWrap w:val="0"/>
            <w:vAlign w:val="center"/>
          </w:tcPr>
          <w:p w14:paraId="5981CD77">
            <w:pPr>
              <w:pStyle w:val="12"/>
              <w:jc w:val="center"/>
              <w:rPr>
                <w:rFonts w:hAnsi="宋体"/>
                <w:color w:val="auto"/>
                <w:kern w:val="0"/>
                <w:highlight w:val="none"/>
              </w:rPr>
            </w:pPr>
            <w:r>
              <w:rPr>
                <w:rFonts w:hAnsi="宋体"/>
                <w:color w:val="auto"/>
                <w:kern w:val="0"/>
                <w:highlight w:val="none"/>
              </w:rPr>
              <w:t>1.2</w:t>
            </w:r>
          </w:p>
        </w:tc>
        <w:tc>
          <w:tcPr>
            <w:tcW w:w="2195" w:type="dxa"/>
            <w:gridSpan w:val="2"/>
            <w:noWrap w:val="0"/>
            <w:vAlign w:val="center"/>
          </w:tcPr>
          <w:p w14:paraId="68F21357">
            <w:pPr>
              <w:pStyle w:val="12"/>
              <w:rPr>
                <w:rFonts w:hAnsi="宋体"/>
                <w:color w:val="auto"/>
                <w:kern w:val="0"/>
                <w:highlight w:val="none"/>
                <w:u w:val="single"/>
              </w:rPr>
            </w:pPr>
            <w:r>
              <w:rPr>
                <w:rFonts w:hint="eastAsia" w:hAnsi="宋体"/>
                <w:bCs/>
                <w:color w:val="auto"/>
                <w:kern w:val="0"/>
                <w:highlight w:val="none"/>
              </w:rPr>
              <w:t>采购人</w:t>
            </w:r>
          </w:p>
        </w:tc>
        <w:tc>
          <w:tcPr>
            <w:tcW w:w="6218" w:type="dxa"/>
            <w:noWrap w:val="0"/>
            <w:vAlign w:val="center"/>
          </w:tcPr>
          <w:p w14:paraId="7C7277E4">
            <w:pPr>
              <w:pStyle w:val="12"/>
              <w:rPr>
                <w:rFonts w:hint="eastAsia" w:hAnsi="宋体"/>
                <w:color w:val="auto"/>
                <w:kern w:val="0"/>
                <w:highlight w:val="none"/>
              </w:rPr>
            </w:pPr>
            <w:r>
              <w:rPr>
                <w:rFonts w:hint="eastAsia" w:hAnsi="宋体"/>
                <w:color w:val="auto"/>
                <w:kern w:val="0"/>
                <w:highlight w:val="none"/>
              </w:rPr>
              <w:t>云南开放大学（云南国防工业职业技术学院）</w:t>
            </w:r>
          </w:p>
        </w:tc>
      </w:tr>
      <w:tr w14:paraId="65927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vMerge w:val="continue"/>
            <w:noWrap w:val="0"/>
            <w:vAlign w:val="center"/>
          </w:tcPr>
          <w:p w14:paraId="0087CF2C">
            <w:pPr>
              <w:rPr>
                <w:rFonts w:ascii="宋体" w:hAnsi="宋体"/>
                <w:color w:val="auto"/>
                <w:szCs w:val="21"/>
                <w:highlight w:val="none"/>
              </w:rPr>
            </w:pPr>
          </w:p>
        </w:tc>
        <w:tc>
          <w:tcPr>
            <w:tcW w:w="2195" w:type="dxa"/>
            <w:gridSpan w:val="2"/>
            <w:noWrap w:val="0"/>
            <w:vAlign w:val="center"/>
          </w:tcPr>
          <w:p w14:paraId="78D62B4A">
            <w:pPr>
              <w:pStyle w:val="12"/>
              <w:rPr>
                <w:rFonts w:hAnsi="宋体"/>
                <w:bCs/>
                <w:color w:val="auto"/>
                <w:kern w:val="0"/>
                <w:highlight w:val="none"/>
              </w:rPr>
            </w:pPr>
            <w:r>
              <w:rPr>
                <w:rFonts w:hint="eastAsia" w:hAnsi="宋体"/>
                <w:bCs/>
                <w:color w:val="auto"/>
                <w:kern w:val="0"/>
                <w:highlight w:val="none"/>
              </w:rPr>
              <w:t>采购代理机构</w:t>
            </w:r>
          </w:p>
        </w:tc>
        <w:tc>
          <w:tcPr>
            <w:tcW w:w="6218" w:type="dxa"/>
            <w:noWrap w:val="0"/>
            <w:vAlign w:val="center"/>
          </w:tcPr>
          <w:p w14:paraId="5FF0F8A8">
            <w:pPr>
              <w:pStyle w:val="12"/>
              <w:rPr>
                <w:rFonts w:hAnsi="宋体"/>
                <w:color w:val="auto"/>
                <w:kern w:val="0"/>
                <w:highlight w:val="none"/>
              </w:rPr>
            </w:pPr>
            <w:r>
              <w:rPr>
                <w:rFonts w:hint="eastAsia" w:hAnsi="宋体"/>
                <w:color w:val="auto"/>
                <w:kern w:val="0"/>
                <w:highlight w:val="none"/>
              </w:rPr>
              <w:t>云南谦和工程咨询有限公司</w:t>
            </w:r>
          </w:p>
        </w:tc>
      </w:tr>
      <w:tr w14:paraId="2B951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vMerge w:val="continue"/>
            <w:noWrap w:val="0"/>
            <w:vAlign w:val="center"/>
          </w:tcPr>
          <w:p w14:paraId="7829403A">
            <w:pPr>
              <w:rPr>
                <w:rFonts w:ascii="宋体" w:hAnsi="宋体"/>
                <w:color w:val="auto"/>
                <w:szCs w:val="21"/>
                <w:highlight w:val="none"/>
              </w:rPr>
            </w:pPr>
          </w:p>
        </w:tc>
        <w:tc>
          <w:tcPr>
            <w:tcW w:w="2195" w:type="dxa"/>
            <w:gridSpan w:val="2"/>
            <w:noWrap w:val="0"/>
            <w:vAlign w:val="center"/>
          </w:tcPr>
          <w:p w14:paraId="07BCABCF">
            <w:pPr>
              <w:pStyle w:val="12"/>
              <w:rPr>
                <w:rFonts w:hAnsi="宋体"/>
                <w:color w:val="auto"/>
                <w:kern w:val="0"/>
                <w:highlight w:val="none"/>
              </w:rPr>
            </w:pPr>
            <w:r>
              <w:rPr>
                <w:rFonts w:hint="eastAsia" w:hAnsi="宋体"/>
                <w:color w:val="auto"/>
                <w:kern w:val="0"/>
                <w:highlight w:val="none"/>
              </w:rPr>
              <w:t>项目名称</w:t>
            </w:r>
          </w:p>
        </w:tc>
        <w:tc>
          <w:tcPr>
            <w:tcW w:w="6218" w:type="dxa"/>
            <w:noWrap w:val="0"/>
            <w:vAlign w:val="center"/>
          </w:tcPr>
          <w:p w14:paraId="3BB67990">
            <w:pPr>
              <w:pStyle w:val="12"/>
              <w:rPr>
                <w:rFonts w:hint="eastAsia" w:hAnsi="宋体" w:eastAsia="宋体"/>
                <w:color w:val="auto"/>
                <w:kern w:val="0"/>
                <w:highlight w:val="none"/>
                <w:lang w:eastAsia="zh-CN"/>
              </w:rPr>
            </w:pPr>
            <w:r>
              <w:rPr>
                <w:rFonts w:hint="eastAsia" w:hAnsi="宋体"/>
                <w:color w:val="auto"/>
                <w:kern w:val="0"/>
                <w:highlight w:val="none"/>
                <w:lang w:eastAsia="zh-CN"/>
              </w:rPr>
              <w:t>云南开放大学呈贡校区学生公寓B苑室内维修项目</w:t>
            </w:r>
          </w:p>
        </w:tc>
      </w:tr>
      <w:tr w14:paraId="2DE27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vMerge w:val="continue"/>
            <w:noWrap w:val="0"/>
            <w:vAlign w:val="center"/>
          </w:tcPr>
          <w:p w14:paraId="0FE1AA9A">
            <w:pPr>
              <w:rPr>
                <w:rFonts w:ascii="宋体" w:hAnsi="宋体"/>
                <w:color w:val="auto"/>
                <w:szCs w:val="21"/>
                <w:highlight w:val="none"/>
              </w:rPr>
            </w:pPr>
          </w:p>
        </w:tc>
        <w:tc>
          <w:tcPr>
            <w:tcW w:w="2195" w:type="dxa"/>
            <w:gridSpan w:val="2"/>
            <w:noWrap w:val="0"/>
            <w:vAlign w:val="center"/>
          </w:tcPr>
          <w:p w14:paraId="5131A42F">
            <w:pPr>
              <w:pStyle w:val="12"/>
              <w:rPr>
                <w:rFonts w:hAnsi="宋体"/>
                <w:color w:val="auto"/>
                <w:kern w:val="0"/>
                <w:highlight w:val="none"/>
              </w:rPr>
            </w:pPr>
            <w:r>
              <w:rPr>
                <w:rFonts w:hint="eastAsia" w:hAnsi="宋体"/>
                <w:color w:val="auto"/>
                <w:kern w:val="0"/>
                <w:highlight w:val="none"/>
              </w:rPr>
              <w:t>项目编号</w:t>
            </w:r>
          </w:p>
        </w:tc>
        <w:tc>
          <w:tcPr>
            <w:tcW w:w="6218" w:type="dxa"/>
            <w:noWrap w:val="0"/>
            <w:vAlign w:val="center"/>
          </w:tcPr>
          <w:p w14:paraId="6295128D">
            <w:pPr>
              <w:pStyle w:val="12"/>
              <w:rPr>
                <w:rFonts w:hint="eastAsia" w:hAnsi="宋体" w:eastAsia="宋体"/>
                <w:color w:val="auto"/>
                <w:kern w:val="0"/>
                <w:highlight w:val="none"/>
                <w:lang w:eastAsia="zh-CN"/>
              </w:rPr>
            </w:pPr>
            <w:r>
              <w:rPr>
                <w:rFonts w:hint="eastAsia" w:hAnsi="宋体"/>
                <w:color w:val="auto"/>
                <w:kern w:val="0"/>
                <w:highlight w:val="none"/>
                <w:lang w:eastAsia="zh-CN"/>
              </w:rPr>
              <w:t>YNZC2026-C2-04126-QHZX-0043</w:t>
            </w:r>
          </w:p>
        </w:tc>
      </w:tr>
      <w:tr w14:paraId="17CDC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0B61E1DF">
            <w:pPr>
              <w:jc w:val="center"/>
              <w:rPr>
                <w:rFonts w:hint="eastAsia" w:ascii="宋体" w:hAnsi="Courier New"/>
                <w:color w:val="auto"/>
                <w:szCs w:val="21"/>
                <w:highlight w:val="none"/>
              </w:rPr>
            </w:pPr>
            <w:r>
              <w:rPr>
                <w:rFonts w:hint="eastAsia" w:ascii="宋体" w:hAnsi="Courier New"/>
                <w:color w:val="auto"/>
                <w:szCs w:val="21"/>
                <w:highlight w:val="none"/>
              </w:rPr>
              <w:t>2.1</w:t>
            </w:r>
          </w:p>
        </w:tc>
        <w:tc>
          <w:tcPr>
            <w:tcW w:w="2195" w:type="dxa"/>
            <w:gridSpan w:val="2"/>
            <w:noWrap w:val="0"/>
            <w:vAlign w:val="center"/>
          </w:tcPr>
          <w:p w14:paraId="10DC5774">
            <w:pPr>
              <w:pStyle w:val="12"/>
              <w:rPr>
                <w:rFonts w:ascii="Times New Roman"/>
                <w:color w:val="auto"/>
                <w:highlight w:val="none"/>
              </w:rPr>
            </w:pPr>
            <w:r>
              <w:rPr>
                <w:rFonts w:hint="eastAsia"/>
                <w:color w:val="auto"/>
                <w:highlight w:val="none"/>
              </w:rPr>
              <w:t>资金来源</w:t>
            </w:r>
          </w:p>
        </w:tc>
        <w:tc>
          <w:tcPr>
            <w:tcW w:w="6218" w:type="dxa"/>
            <w:noWrap w:val="0"/>
            <w:vAlign w:val="center"/>
          </w:tcPr>
          <w:p w14:paraId="180E0927">
            <w:pPr>
              <w:rPr>
                <w:color w:val="auto"/>
                <w:szCs w:val="21"/>
                <w:highlight w:val="none"/>
              </w:rPr>
            </w:pPr>
            <w:r>
              <w:rPr>
                <w:rFonts w:hint="eastAsia"/>
                <w:color w:val="auto"/>
                <w:szCs w:val="21"/>
                <w:highlight w:val="none"/>
              </w:rPr>
              <w:t>财政资金</w:t>
            </w:r>
          </w:p>
        </w:tc>
      </w:tr>
      <w:tr w14:paraId="670EB4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05224ADF">
            <w:pPr>
              <w:jc w:val="center"/>
              <w:rPr>
                <w:rFonts w:hint="eastAsia" w:ascii="宋体" w:hAnsi="Courier New"/>
                <w:color w:val="auto"/>
                <w:szCs w:val="21"/>
                <w:highlight w:val="none"/>
              </w:rPr>
            </w:pPr>
            <w:r>
              <w:rPr>
                <w:rFonts w:hint="eastAsia" w:ascii="宋体" w:hAnsi="Courier New"/>
                <w:color w:val="auto"/>
                <w:szCs w:val="21"/>
                <w:highlight w:val="none"/>
              </w:rPr>
              <w:t>2.2</w:t>
            </w:r>
          </w:p>
        </w:tc>
        <w:tc>
          <w:tcPr>
            <w:tcW w:w="2195" w:type="dxa"/>
            <w:gridSpan w:val="2"/>
            <w:noWrap w:val="0"/>
            <w:vAlign w:val="center"/>
          </w:tcPr>
          <w:p w14:paraId="22ACE928">
            <w:pPr>
              <w:pStyle w:val="12"/>
              <w:rPr>
                <w:color w:val="auto"/>
                <w:highlight w:val="none"/>
              </w:rPr>
            </w:pPr>
            <w:r>
              <w:rPr>
                <w:rFonts w:hint="eastAsia"/>
                <w:color w:val="auto"/>
                <w:highlight w:val="none"/>
              </w:rPr>
              <w:t>资金落实情况</w:t>
            </w:r>
          </w:p>
        </w:tc>
        <w:tc>
          <w:tcPr>
            <w:tcW w:w="6218" w:type="dxa"/>
            <w:noWrap w:val="0"/>
            <w:vAlign w:val="center"/>
          </w:tcPr>
          <w:p w14:paraId="4A16E46B">
            <w:pPr>
              <w:rPr>
                <w:color w:val="auto"/>
                <w:szCs w:val="21"/>
                <w:highlight w:val="none"/>
              </w:rPr>
            </w:pPr>
            <w:r>
              <w:rPr>
                <w:rFonts w:hint="eastAsia"/>
                <w:color w:val="auto"/>
                <w:szCs w:val="21"/>
                <w:highlight w:val="none"/>
              </w:rPr>
              <w:t>已落实</w:t>
            </w:r>
          </w:p>
        </w:tc>
      </w:tr>
      <w:tr w14:paraId="39F22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851" w:type="dxa"/>
            <w:noWrap w:val="0"/>
            <w:vAlign w:val="center"/>
          </w:tcPr>
          <w:p w14:paraId="3C38D16D">
            <w:pPr>
              <w:pStyle w:val="12"/>
              <w:jc w:val="center"/>
              <w:rPr>
                <w:rFonts w:hAnsi="宋体"/>
                <w:color w:val="auto"/>
                <w:kern w:val="0"/>
                <w:highlight w:val="none"/>
              </w:rPr>
            </w:pPr>
            <w:r>
              <w:rPr>
                <w:rFonts w:hAnsi="宋体"/>
                <w:color w:val="auto"/>
                <w:kern w:val="0"/>
                <w:highlight w:val="none"/>
              </w:rPr>
              <w:t>3.1</w:t>
            </w:r>
          </w:p>
        </w:tc>
        <w:tc>
          <w:tcPr>
            <w:tcW w:w="2195" w:type="dxa"/>
            <w:gridSpan w:val="2"/>
            <w:noWrap w:val="0"/>
            <w:vAlign w:val="center"/>
          </w:tcPr>
          <w:p w14:paraId="4ABA146A">
            <w:pPr>
              <w:pStyle w:val="12"/>
              <w:rPr>
                <w:rFonts w:hAnsi="宋体"/>
                <w:color w:val="auto"/>
                <w:kern w:val="0"/>
                <w:highlight w:val="none"/>
              </w:rPr>
            </w:pPr>
            <w:r>
              <w:rPr>
                <w:rFonts w:hint="eastAsia" w:hAnsi="宋体"/>
                <w:color w:val="auto"/>
                <w:highlight w:val="none"/>
              </w:rPr>
              <w:t>项目范围</w:t>
            </w:r>
          </w:p>
        </w:tc>
        <w:tc>
          <w:tcPr>
            <w:tcW w:w="6218" w:type="dxa"/>
            <w:noWrap w:val="0"/>
            <w:vAlign w:val="center"/>
          </w:tcPr>
          <w:p w14:paraId="1624AA13">
            <w:pPr>
              <w:pStyle w:val="12"/>
              <w:rPr>
                <w:rFonts w:hAnsi="宋体"/>
                <w:color w:val="auto"/>
                <w:kern w:val="0"/>
                <w:highlight w:val="none"/>
              </w:rPr>
            </w:pPr>
            <w:r>
              <w:rPr>
                <w:rFonts w:hint="eastAsia" w:hAnsi="宋体"/>
                <w:color w:val="auto"/>
                <w:highlight w:val="none"/>
              </w:rPr>
              <w:t>具体</w:t>
            </w:r>
            <w:r>
              <w:rPr>
                <w:rFonts w:hAnsi="宋体"/>
                <w:color w:val="auto"/>
                <w:highlight w:val="none"/>
              </w:rPr>
              <w:t>详见</w:t>
            </w:r>
            <w:r>
              <w:rPr>
                <w:rFonts w:hint="eastAsia" w:hAnsi="宋体"/>
                <w:color w:val="auto"/>
                <w:highlight w:val="none"/>
              </w:rPr>
              <w:t>磋商文件第五章“项目需求”</w:t>
            </w:r>
          </w:p>
        </w:tc>
      </w:tr>
      <w:tr w14:paraId="61813B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322D6FC4">
            <w:pPr>
              <w:pStyle w:val="12"/>
              <w:jc w:val="center"/>
              <w:rPr>
                <w:rFonts w:hAnsi="宋体"/>
                <w:color w:val="auto"/>
                <w:kern w:val="0"/>
                <w:highlight w:val="none"/>
              </w:rPr>
            </w:pPr>
            <w:r>
              <w:rPr>
                <w:rFonts w:hAnsi="宋体"/>
                <w:color w:val="auto"/>
                <w:kern w:val="0"/>
                <w:highlight w:val="none"/>
              </w:rPr>
              <w:t>3.2</w:t>
            </w:r>
          </w:p>
        </w:tc>
        <w:tc>
          <w:tcPr>
            <w:tcW w:w="2195" w:type="dxa"/>
            <w:gridSpan w:val="2"/>
            <w:noWrap w:val="0"/>
            <w:vAlign w:val="center"/>
          </w:tcPr>
          <w:p w14:paraId="0659B1AC">
            <w:pPr>
              <w:pStyle w:val="12"/>
              <w:rPr>
                <w:rFonts w:hint="eastAsia" w:hAnsi="宋体"/>
                <w:color w:val="auto"/>
                <w:kern w:val="0"/>
                <w:highlight w:val="none"/>
              </w:rPr>
            </w:pPr>
            <w:r>
              <w:rPr>
                <w:rFonts w:hint="eastAsia"/>
                <w:bCs/>
                <w:color w:val="auto"/>
                <w:highlight w:val="none"/>
              </w:rPr>
              <w:t>合同履行期限（工期）</w:t>
            </w:r>
          </w:p>
        </w:tc>
        <w:tc>
          <w:tcPr>
            <w:tcW w:w="6218" w:type="dxa"/>
            <w:noWrap w:val="0"/>
            <w:vAlign w:val="center"/>
          </w:tcPr>
          <w:p w14:paraId="1B81AB1D">
            <w:pPr>
              <w:pStyle w:val="12"/>
              <w:rPr>
                <w:rFonts w:hAnsi="宋体"/>
                <w:color w:val="auto"/>
                <w:kern w:val="0"/>
                <w:highlight w:val="none"/>
              </w:rPr>
            </w:pPr>
            <w:r>
              <w:rPr>
                <w:rFonts w:hint="eastAsia"/>
                <w:color w:val="auto"/>
                <w:highlight w:val="none"/>
              </w:rPr>
              <w:t>具体详</w:t>
            </w:r>
            <w:r>
              <w:rPr>
                <w:rFonts w:hint="eastAsia" w:hAnsi="宋体"/>
                <w:color w:val="auto"/>
                <w:highlight w:val="none"/>
              </w:rPr>
              <w:t>见第一章 竞争性磋商公告“一、项目基本情况”。</w:t>
            </w:r>
          </w:p>
        </w:tc>
      </w:tr>
      <w:tr w14:paraId="33F14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4C550C56">
            <w:pPr>
              <w:pStyle w:val="12"/>
              <w:jc w:val="center"/>
              <w:rPr>
                <w:rFonts w:hAnsi="宋体"/>
                <w:color w:val="auto"/>
                <w:kern w:val="0"/>
                <w:highlight w:val="none"/>
              </w:rPr>
            </w:pPr>
            <w:r>
              <w:rPr>
                <w:rFonts w:hint="eastAsia" w:hAnsi="宋体"/>
                <w:color w:val="auto"/>
                <w:kern w:val="0"/>
                <w:highlight w:val="none"/>
              </w:rPr>
              <w:t>3</w:t>
            </w:r>
            <w:r>
              <w:rPr>
                <w:rFonts w:hAnsi="宋体"/>
                <w:color w:val="auto"/>
                <w:kern w:val="0"/>
                <w:highlight w:val="none"/>
              </w:rPr>
              <w:t>.3</w:t>
            </w:r>
          </w:p>
        </w:tc>
        <w:tc>
          <w:tcPr>
            <w:tcW w:w="2195" w:type="dxa"/>
            <w:gridSpan w:val="2"/>
            <w:noWrap w:val="0"/>
            <w:vAlign w:val="center"/>
          </w:tcPr>
          <w:p w14:paraId="5B9EF584">
            <w:pPr>
              <w:pStyle w:val="12"/>
              <w:rPr>
                <w:bCs/>
                <w:color w:val="auto"/>
                <w:highlight w:val="none"/>
              </w:rPr>
            </w:pPr>
            <w:r>
              <w:rPr>
                <w:rFonts w:hint="eastAsia"/>
                <w:bCs/>
                <w:color w:val="auto"/>
                <w:highlight w:val="none"/>
              </w:rPr>
              <w:t>合同履行地点</w:t>
            </w:r>
          </w:p>
        </w:tc>
        <w:tc>
          <w:tcPr>
            <w:tcW w:w="6218" w:type="dxa"/>
            <w:noWrap w:val="0"/>
            <w:vAlign w:val="center"/>
          </w:tcPr>
          <w:p w14:paraId="788EF63E">
            <w:pPr>
              <w:pStyle w:val="12"/>
              <w:rPr>
                <w:color w:val="auto"/>
                <w:highlight w:val="none"/>
              </w:rPr>
            </w:pPr>
            <w:r>
              <w:rPr>
                <w:rFonts w:hint="eastAsia"/>
                <w:color w:val="auto"/>
                <w:highlight w:val="none"/>
              </w:rPr>
              <w:t>具体详</w:t>
            </w:r>
            <w:r>
              <w:rPr>
                <w:rFonts w:hint="eastAsia" w:hAnsi="宋体"/>
                <w:color w:val="auto"/>
                <w:highlight w:val="none"/>
              </w:rPr>
              <w:t>见第一章 竞争性磋商公告“一、项目基本情况”。</w:t>
            </w:r>
          </w:p>
        </w:tc>
      </w:tr>
      <w:tr w14:paraId="6AD6B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79B83DEF">
            <w:pPr>
              <w:pStyle w:val="12"/>
              <w:jc w:val="center"/>
              <w:rPr>
                <w:rFonts w:hAnsi="宋体"/>
                <w:color w:val="auto"/>
                <w:kern w:val="0"/>
                <w:highlight w:val="none"/>
              </w:rPr>
            </w:pPr>
            <w:r>
              <w:rPr>
                <w:rFonts w:hAnsi="宋体"/>
                <w:color w:val="auto"/>
                <w:kern w:val="0"/>
                <w:highlight w:val="none"/>
              </w:rPr>
              <w:t>4</w:t>
            </w:r>
            <w:r>
              <w:rPr>
                <w:rFonts w:hint="eastAsia" w:hAnsi="宋体"/>
                <w:color w:val="auto"/>
                <w:kern w:val="0"/>
                <w:highlight w:val="none"/>
              </w:rPr>
              <w:t>.1</w:t>
            </w:r>
          </w:p>
        </w:tc>
        <w:tc>
          <w:tcPr>
            <w:tcW w:w="2195" w:type="dxa"/>
            <w:gridSpan w:val="2"/>
            <w:noWrap w:val="0"/>
            <w:vAlign w:val="center"/>
          </w:tcPr>
          <w:p w14:paraId="6F1B0174">
            <w:pPr>
              <w:pStyle w:val="12"/>
              <w:rPr>
                <w:rFonts w:hAnsi="宋体"/>
                <w:color w:val="auto"/>
                <w:kern w:val="0"/>
                <w:highlight w:val="none"/>
              </w:rPr>
            </w:pPr>
            <w:r>
              <w:rPr>
                <w:rFonts w:hint="eastAsia" w:hAnsi="宋体"/>
                <w:color w:val="auto"/>
                <w:kern w:val="0"/>
                <w:highlight w:val="none"/>
              </w:rPr>
              <w:t>供应商资格要求</w:t>
            </w:r>
          </w:p>
        </w:tc>
        <w:tc>
          <w:tcPr>
            <w:tcW w:w="6218" w:type="dxa"/>
            <w:noWrap w:val="0"/>
            <w:vAlign w:val="center"/>
          </w:tcPr>
          <w:p w14:paraId="3C4B5A96">
            <w:pPr>
              <w:rPr>
                <w:rFonts w:ascii="宋体" w:hAnsi="宋体"/>
                <w:color w:val="auto"/>
                <w:szCs w:val="21"/>
                <w:highlight w:val="none"/>
              </w:rPr>
            </w:pPr>
            <w:r>
              <w:rPr>
                <w:rFonts w:hint="eastAsia"/>
                <w:color w:val="auto"/>
                <w:highlight w:val="none"/>
              </w:rPr>
              <w:t>具体</w:t>
            </w:r>
            <w:r>
              <w:rPr>
                <w:rFonts w:hint="eastAsia"/>
                <w:color w:val="auto"/>
                <w:szCs w:val="21"/>
                <w:highlight w:val="none"/>
              </w:rPr>
              <w:t>详</w:t>
            </w:r>
            <w:r>
              <w:rPr>
                <w:rFonts w:hint="eastAsia" w:ascii="宋体" w:hAnsi="宋体"/>
                <w:color w:val="auto"/>
                <w:szCs w:val="21"/>
                <w:highlight w:val="none"/>
              </w:rPr>
              <w:t xml:space="preserve">见第一章 </w:t>
            </w:r>
            <w:r>
              <w:rPr>
                <w:rFonts w:hint="eastAsia" w:hAnsi="宋体"/>
                <w:color w:val="auto"/>
                <w:highlight w:val="none"/>
              </w:rPr>
              <w:t>竞争性磋商公告</w:t>
            </w:r>
            <w:r>
              <w:rPr>
                <w:rFonts w:hint="eastAsia" w:ascii="宋体" w:hAnsi="宋体"/>
                <w:color w:val="auto"/>
                <w:szCs w:val="21"/>
                <w:highlight w:val="none"/>
              </w:rPr>
              <w:t>“二、供应商的资格要求”。</w:t>
            </w:r>
          </w:p>
        </w:tc>
      </w:tr>
      <w:tr w14:paraId="65B39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53629447">
            <w:pPr>
              <w:pStyle w:val="12"/>
              <w:jc w:val="center"/>
              <w:rPr>
                <w:rFonts w:hAnsi="宋体"/>
                <w:color w:val="auto"/>
                <w:kern w:val="0"/>
                <w:highlight w:val="none"/>
              </w:rPr>
            </w:pPr>
            <w:r>
              <w:rPr>
                <w:rFonts w:hint="eastAsia" w:hAnsi="宋体"/>
                <w:color w:val="auto"/>
                <w:kern w:val="0"/>
                <w:highlight w:val="none"/>
              </w:rPr>
              <w:t>4.5</w:t>
            </w:r>
          </w:p>
        </w:tc>
        <w:tc>
          <w:tcPr>
            <w:tcW w:w="2195" w:type="dxa"/>
            <w:gridSpan w:val="2"/>
            <w:noWrap w:val="0"/>
            <w:vAlign w:val="center"/>
          </w:tcPr>
          <w:p w14:paraId="64D6429D">
            <w:pPr>
              <w:pStyle w:val="12"/>
              <w:rPr>
                <w:rFonts w:hAnsi="宋体"/>
                <w:color w:val="auto"/>
                <w:kern w:val="0"/>
                <w:highlight w:val="none"/>
              </w:rPr>
            </w:pPr>
            <w:r>
              <w:rPr>
                <w:rFonts w:hint="eastAsia" w:hAnsi="宋体"/>
                <w:color w:val="auto"/>
                <w:kern w:val="0"/>
                <w:highlight w:val="none"/>
              </w:rPr>
              <w:t>是否接受联合体</w:t>
            </w:r>
          </w:p>
        </w:tc>
        <w:tc>
          <w:tcPr>
            <w:tcW w:w="6218" w:type="dxa"/>
            <w:noWrap w:val="0"/>
            <w:vAlign w:val="center"/>
          </w:tcPr>
          <w:p w14:paraId="31C38A40">
            <w:pPr>
              <w:rPr>
                <w:rFonts w:ascii="宋体" w:hAnsi="宋体"/>
                <w:color w:val="auto"/>
                <w:szCs w:val="21"/>
                <w:highlight w:val="none"/>
              </w:rPr>
            </w:pPr>
            <w:r>
              <w:rPr>
                <w:rFonts w:hint="eastAsia" w:ascii="宋体" w:hAnsi="宋体"/>
                <w:color w:val="auto"/>
                <w:szCs w:val="21"/>
                <w:highlight w:val="none"/>
              </w:rPr>
              <w:t>不接受</w:t>
            </w:r>
          </w:p>
        </w:tc>
      </w:tr>
      <w:tr w14:paraId="77EFF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5" w:hRule="atLeast"/>
          <w:jc w:val="center"/>
        </w:trPr>
        <w:tc>
          <w:tcPr>
            <w:tcW w:w="851" w:type="dxa"/>
            <w:noWrap w:val="0"/>
            <w:vAlign w:val="center"/>
          </w:tcPr>
          <w:p w14:paraId="3DB28B7F">
            <w:pPr>
              <w:pStyle w:val="12"/>
              <w:jc w:val="center"/>
              <w:rPr>
                <w:rFonts w:hAnsi="宋体"/>
                <w:color w:val="auto"/>
                <w:kern w:val="0"/>
                <w:highlight w:val="none"/>
              </w:rPr>
            </w:pPr>
            <w:r>
              <w:rPr>
                <w:rFonts w:hAnsi="宋体"/>
                <w:color w:val="auto"/>
                <w:kern w:val="0"/>
                <w:highlight w:val="none"/>
              </w:rPr>
              <w:t>7.</w:t>
            </w:r>
            <w:r>
              <w:rPr>
                <w:rFonts w:hint="eastAsia" w:hAnsi="宋体"/>
                <w:color w:val="auto"/>
                <w:kern w:val="0"/>
                <w:highlight w:val="none"/>
              </w:rPr>
              <w:t>8</w:t>
            </w:r>
          </w:p>
        </w:tc>
        <w:tc>
          <w:tcPr>
            <w:tcW w:w="2195" w:type="dxa"/>
            <w:gridSpan w:val="2"/>
            <w:noWrap w:val="0"/>
            <w:vAlign w:val="center"/>
          </w:tcPr>
          <w:p w14:paraId="19A5CD15">
            <w:pPr>
              <w:autoSpaceDE w:val="0"/>
              <w:autoSpaceDN w:val="0"/>
              <w:snapToGrid w:val="0"/>
              <w:textAlignment w:val="bottom"/>
              <w:rPr>
                <w:rFonts w:ascii="宋体" w:hAnsi="宋体"/>
                <w:color w:val="auto"/>
                <w:kern w:val="0"/>
                <w:szCs w:val="21"/>
                <w:highlight w:val="none"/>
              </w:rPr>
            </w:pPr>
            <w:r>
              <w:rPr>
                <w:rFonts w:hint="eastAsia" w:ascii="宋体" w:hAnsi="宋体"/>
                <w:color w:val="auto"/>
                <w:szCs w:val="21"/>
                <w:highlight w:val="none"/>
              </w:rPr>
              <w:t>本项目磋商小组根据与供应商磋商情况可能变动的内容</w:t>
            </w:r>
          </w:p>
        </w:tc>
        <w:tc>
          <w:tcPr>
            <w:tcW w:w="6218" w:type="dxa"/>
            <w:noWrap w:val="0"/>
            <w:vAlign w:val="center"/>
          </w:tcPr>
          <w:p w14:paraId="42826F88">
            <w:pPr>
              <w:autoSpaceDE w:val="0"/>
              <w:autoSpaceDN w:val="0"/>
              <w:snapToGrid w:val="0"/>
              <w:textAlignment w:val="bottom"/>
              <w:rPr>
                <w:rFonts w:ascii="宋体" w:hAnsi="宋体"/>
                <w:color w:val="auto"/>
                <w:szCs w:val="21"/>
                <w:highlight w:val="none"/>
              </w:rPr>
            </w:pPr>
            <w:r>
              <w:rPr>
                <w:rFonts w:hint="eastAsia" w:ascii="宋体" w:hAnsi="宋体"/>
                <w:color w:val="auto"/>
                <w:szCs w:val="21"/>
                <w:highlight w:val="none"/>
              </w:rPr>
              <w:t>在磋商过程中，磋商小组可以根据磋商文件和磋商情况实质性变动采购需求中的技术、服务要求以及合同草案条款，但不得变动磋商文件中的其他内容（资格条件、评审标准）。实质性变动的内容，须经采购人代表确认。</w:t>
            </w:r>
          </w:p>
        </w:tc>
      </w:tr>
      <w:tr w14:paraId="67D62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0F4CC39F">
            <w:pPr>
              <w:pStyle w:val="12"/>
              <w:jc w:val="center"/>
              <w:rPr>
                <w:rFonts w:hAnsi="宋体"/>
                <w:color w:val="auto"/>
                <w:kern w:val="0"/>
                <w:highlight w:val="none"/>
              </w:rPr>
            </w:pPr>
            <w:r>
              <w:rPr>
                <w:rFonts w:hint="eastAsia" w:ascii="Times New Roman"/>
                <w:color w:val="auto"/>
                <w:highlight w:val="none"/>
              </w:rPr>
              <w:t>★</w:t>
            </w:r>
            <w:r>
              <w:rPr>
                <w:rFonts w:hAnsi="宋体"/>
                <w:color w:val="auto"/>
                <w:kern w:val="0"/>
                <w:highlight w:val="none"/>
              </w:rPr>
              <w:t>10.1</w:t>
            </w:r>
          </w:p>
        </w:tc>
        <w:tc>
          <w:tcPr>
            <w:tcW w:w="2195" w:type="dxa"/>
            <w:gridSpan w:val="2"/>
            <w:noWrap w:val="0"/>
            <w:vAlign w:val="center"/>
          </w:tcPr>
          <w:p w14:paraId="22F99615">
            <w:pPr>
              <w:autoSpaceDE w:val="0"/>
              <w:autoSpaceDN w:val="0"/>
              <w:snapToGrid w:val="0"/>
              <w:textAlignment w:val="bottom"/>
              <w:rPr>
                <w:rFonts w:ascii="宋体" w:hAnsi="宋体"/>
                <w:color w:val="auto"/>
                <w:kern w:val="0"/>
                <w:szCs w:val="21"/>
                <w:highlight w:val="none"/>
              </w:rPr>
            </w:pPr>
            <w:r>
              <w:rPr>
                <w:rFonts w:hint="eastAsia" w:ascii="宋体" w:hAnsi="宋体"/>
                <w:color w:val="auto"/>
                <w:kern w:val="0"/>
                <w:szCs w:val="21"/>
                <w:highlight w:val="none"/>
              </w:rPr>
              <w:t>采购预算</w:t>
            </w:r>
          </w:p>
        </w:tc>
        <w:tc>
          <w:tcPr>
            <w:tcW w:w="6218" w:type="dxa"/>
            <w:noWrap w:val="0"/>
            <w:vAlign w:val="center"/>
          </w:tcPr>
          <w:p w14:paraId="10BAC13A">
            <w:pPr>
              <w:autoSpaceDE w:val="0"/>
              <w:autoSpaceDN w:val="0"/>
              <w:snapToGrid w:val="0"/>
              <w:textAlignment w:val="bottom"/>
              <w:rPr>
                <w:rFonts w:ascii="宋体" w:hAnsi="宋体"/>
                <w:bCs/>
                <w:color w:val="auto"/>
                <w:szCs w:val="21"/>
                <w:highlight w:val="none"/>
              </w:rPr>
            </w:pPr>
            <w:r>
              <w:rPr>
                <w:rFonts w:hint="eastAsia"/>
                <w:bCs/>
                <w:color w:val="auto"/>
                <w:szCs w:val="21"/>
                <w:highlight w:val="none"/>
              </w:rPr>
              <w:t xml:space="preserve">具体详见第一章 </w:t>
            </w:r>
            <w:r>
              <w:rPr>
                <w:rFonts w:hint="eastAsia" w:hAnsi="宋体"/>
                <w:color w:val="auto"/>
                <w:highlight w:val="none"/>
              </w:rPr>
              <w:t>竞争性磋商公告“一、项目基本情况”</w:t>
            </w:r>
            <w:r>
              <w:rPr>
                <w:rFonts w:hint="eastAsia" w:ascii="宋体" w:hAnsi="宋体"/>
                <w:color w:val="auto"/>
                <w:szCs w:val="21"/>
                <w:highlight w:val="none"/>
              </w:rPr>
              <w:t>。</w:t>
            </w:r>
          </w:p>
        </w:tc>
      </w:tr>
      <w:tr w14:paraId="3F4B0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0E16264D">
            <w:pPr>
              <w:pStyle w:val="12"/>
              <w:jc w:val="center"/>
              <w:rPr>
                <w:rFonts w:hAnsi="宋体"/>
                <w:color w:val="auto"/>
                <w:kern w:val="0"/>
                <w:highlight w:val="none"/>
              </w:rPr>
            </w:pPr>
            <w:r>
              <w:rPr>
                <w:rFonts w:hAnsi="宋体"/>
                <w:color w:val="auto"/>
                <w:kern w:val="0"/>
                <w:highlight w:val="none"/>
              </w:rPr>
              <w:t>11.1</w:t>
            </w:r>
          </w:p>
        </w:tc>
        <w:tc>
          <w:tcPr>
            <w:tcW w:w="2195" w:type="dxa"/>
            <w:gridSpan w:val="2"/>
            <w:noWrap w:val="0"/>
            <w:vAlign w:val="center"/>
          </w:tcPr>
          <w:p w14:paraId="07783E52">
            <w:pPr>
              <w:pStyle w:val="12"/>
              <w:rPr>
                <w:rFonts w:hAnsi="宋体"/>
                <w:color w:val="auto"/>
                <w:kern w:val="0"/>
                <w:highlight w:val="none"/>
              </w:rPr>
            </w:pPr>
            <w:r>
              <w:rPr>
                <w:rFonts w:hint="eastAsia" w:hAnsi="宋体"/>
                <w:color w:val="auto"/>
                <w:kern w:val="0"/>
                <w:highlight w:val="none"/>
              </w:rPr>
              <w:t>磋商有效期</w:t>
            </w:r>
          </w:p>
        </w:tc>
        <w:tc>
          <w:tcPr>
            <w:tcW w:w="6218" w:type="dxa"/>
            <w:noWrap w:val="0"/>
            <w:vAlign w:val="center"/>
          </w:tcPr>
          <w:p w14:paraId="0E4D51BA">
            <w:pPr>
              <w:pStyle w:val="12"/>
              <w:rPr>
                <w:rFonts w:hAnsi="宋体"/>
                <w:color w:val="auto"/>
                <w:kern w:val="0"/>
                <w:highlight w:val="none"/>
              </w:rPr>
            </w:pPr>
            <w:r>
              <w:rPr>
                <w:rFonts w:hint="eastAsia" w:hAnsi="宋体"/>
                <w:color w:val="auto"/>
                <w:kern w:val="0"/>
                <w:highlight w:val="none"/>
              </w:rPr>
              <w:t>递交响应文件的截止日期后</w:t>
            </w:r>
            <w:r>
              <w:rPr>
                <w:rFonts w:hint="eastAsia" w:hAnsi="宋体"/>
                <w:color w:val="auto"/>
                <w:kern w:val="0"/>
                <w:highlight w:val="none"/>
                <w:u w:val="single"/>
              </w:rPr>
              <w:t>90</w:t>
            </w:r>
            <w:r>
              <w:rPr>
                <w:rFonts w:hint="eastAsia" w:hAnsi="宋体"/>
                <w:color w:val="auto"/>
                <w:kern w:val="0"/>
                <w:highlight w:val="none"/>
              </w:rPr>
              <w:t>天</w:t>
            </w:r>
          </w:p>
        </w:tc>
      </w:tr>
      <w:tr w14:paraId="5372A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05C7E608">
            <w:pPr>
              <w:pStyle w:val="12"/>
              <w:jc w:val="center"/>
              <w:rPr>
                <w:rFonts w:hAnsi="宋体"/>
                <w:color w:val="auto"/>
                <w:kern w:val="0"/>
                <w:highlight w:val="none"/>
              </w:rPr>
            </w:pPr>
            <w:r>
              <w:rPr>
                <w:rFonts w:hint="eastAsia" w:hAnsi="宋体"/>
                <w:color w:val="auto"/>
                <w:kern w:val="0"/>
                <w:highlight w:val="none"/>
              </w:rPr>
              <w:t>12.1</w:t>
            </w:r>
          </w:p>
        </w:tc>
        <w:tc>
          <w:tcPr>
            <w:tcW w:w="2195" w:type="dxa"/>
            <w:gridSpan w:val="2"/>
            <w:noWrap w:val="0"/>
            <w:vAlign w:val="center"/>
          </w:tcPr>
          <w:p w14:paraId="49FB7BDE">
            <w:pPr>
              <w:snapToGrid w:val="0"/>
              <w:rPr>
                <w:rFonts w:ascii="宋体" w:hAnsi="宋体"/>
                <w:color w:val="auto"/>
                <w:kern w:val="0"/>
                <w:szCs w:val="21"/>
                <w:highlight w:val="none"/>
              </w:rPr>
            </w:pPr>
            <w:r>
              <w:rPr>
                <w:rFonts w:hint="eastAsia" w:ascii="宋体" w:hAnsi="宋体"/>
                <w:color w:val="auto"/>
                <w:kern w:val="0"/>
                <w:szCs w:val="21"/>
                <w:highlight w:val="none"/>
              </w:rPr>
              <w:t>响应文件编制</w:t>
            </w:r>
          </w:p>
        </w:tc>
        <w:tc>
          <w:tcPr>
            <w:tcW w:w="6218" w:type="dxa"/>
            <w:noWrap w:val="0"/>
            <w:vAlign w:val="center"/>
          </w:tcPr>
          <w:p w14:paraId="05935A75">
            <w:pPr>
              <w:snapToGrid w:val="0"/>
              <w:rPr>
                <w:rFonts w:ascii="宋体" w:hAnsi="宋体"/>
                <w:color w:val="auto"/>
                <w:kern w:val="0"/>
                <w:szCs w:val="21"/>
                <w:highlight w:val="none"/>
              </w:rPr>
            </w:pPr>
            <w:r>
              <w:rPr>
                <w:rFonts w:hint="eastAsia" w:ascii="宋体" w:hAnsi="宋体"/>
                <w:color w:val="auto"/>
                <w:kern w:val="0"/>
                <w:szCs w:val="21"/>
                <w:highlight w:val="none"/>
              </w:rPr>
              <w:t>（1）电子投标（响应）文件应使用“政采云”平台（http：//www.zcygov.cn）中下载的政采云电子投标客户端制作，并进行电子签章及加密后上传至政采云平台。</w:t>
            </w:r>
          </w:p>
          <w:p w14:paraId="19653BEC">
            <w:pPr>
              <w:snapToGrid w:val="0"/>
              <w:rPr>
                <w:rFonts w:ascii="宋体" w:hAnsi="宋体"/>
                <w:color w:val="auto"/>
                <w:kern w:val="0"/>
                <w:szCs w:val="21"/>
                <w:highlight w:val="none"/>
              </w:rPr>
            </w:pPr>
            <w:r>
              <w:rPr>
                <w:rFonts w:hint="eastAsia" w:ascii="宋体" w:hAnsi="宋体"/>
                <w:color w:val="auto"/>
                <w:kern w:val="0"/>
                <w:szCs w:val="21"/>
                <w:highlight w:val="none"/>
              </w:rPr>
              <w:t>（2）如投标人提交的电子标书不符合（1）要求或开标时无法读取导入或解密，其投标（响应）文件将不予受理。</w:t>
            </w:r>
          </w:p>
        </w:tc>
      </w:tr>
      <w:tr w14:paraId="01F68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591ED999">
            <w:pPr>
              <w:pStyle w:val="12"/>
              <w:jc w:val="center"/>
              <w:rPr>
                <w:rFonts w:hint="eastAsia" w:hAnsi="宋体"/>
                <w:color w:val="auto"/>
                <w:kern w:val="0"/>
                <w:highlight w:val="none"/>
              </w:rPr>
            </w:pPr>
            <w:r>
              <w:rPr>
                <w:rFonts w:hint="eastAsia" w:hAnsi="宋体"/>
                <w:color w:val="auto"/>
                <w:kern w:val="0"/>
                <w:highlight w:val="none"/>
              </w:rPr>
              <w:t>12.8</w:t>
            </w:r>
          </w:p>
        </w:tc>
        <w:tc>
          <w:tcPr>
            <w:tcW w:w="2195" w:type="dxa"/>
            <w:gridSpan w:val="2"/>
            <w:noWrap w:val="0"/>
            <w:vAlign w:val="center"/>
          </w:tcPr>
          <w:p w14:paraId="28A5BEE0">
            <w:pPr>
              <w:pStyle w:val="12"/>
              <w:rPr>
                <w:rFonts w:hAnsi="宋体"/>
                <w:color w:val="auto"/>
                <w:kern w:val="0"/>
                <w:highlight w:val="none"/>
              </w:rPr>
            </w:pPr>
            <w:r>
              <w:rPr>
                <w:rFonts w:hint="eastAsia" w:hAnsi="宋体"/>
                <w:color w:val="auto"/>
                <w:kern w:val="0"/>
                <w:highlight w:val="none"/>
              </w:rPr>
              <w:t>响应文件份数和签署</w:t>
            </w:r>
          </w:p>
        </w:tc>
        <w:tc>
          <w:tcPr>
            <w:tcW w:w="6218" w:type="dxa"/>
            <w:noWrap w:val="0"/>
            <w:vAlign w:val="center"/>
          </w:tcPr>
          <w:p w14:paraId="79EFD3CB">
            <w:pPr>
              <w:numPr>
                <w:ilvl w:val="0"/>
                <w:numId w:val="1"/>
              </w:numPr>
              <w:rPr>
                <w:rFonts w:ascii="宋体" w:hAnsi="宋体"/>
                <w:color w:val="auto"/>
                <w:kern w:val="0"/>
                <w:szCs w:val="21"/>
                <w:highlight w:val="none"/>
              </w:rPr>
            </w:pPr>
            <w:r>
              <w:rPr>
                <w:rFonts w:hint="eastAsia" w:ascii="宋体" w:hAnsi="宋体"/>
                <w:color w:val="auto"/>
                <w:kern w:val="0"/>
                <w:szCs w:val="21"/>
                <w:highlight w:val="none"/>
              </w:rPr>
              <w:t>本项目为全流程电子化项目，通过“政采云”平台（http：//www.zcygov.cn）实行在线电子响应，供应商应先安装“政采云电子交易客户端”（请自行前往“政采云”平台进行下载），并按照本项目采购文件和“政采云”平台的要求编制、加密后在投标截止时间前通过网络上传至“政采云”平台，供应商在“政采云”平台提交电子版响应文件时，请填写参加远程采购活动经办人联系方式。</w:t>
            </w:r>
          </w:p>
          <w:p w14:paraId="3FAD5B2C">
            <w:pPr>
              <w:numPr>
                <w:ilvl w:val="0"/>
                <w:numId w:val="1"/>
              </w:numPr>
              <w:rPr>
                <w:rFonts w:ascii="宋体" w:hAnsi="宋体"/>
                <w:color w:val="auto"/>
                <w:kern w:val="0"/>
                <w:szCs w:val="21"/>
                <w:highlight w:val="none"/>
              </w:rPr>
            </w:pPr>
            <w:r>
              <w:rPr>
                <w:rFonts w:hint="eastAsia" w:ascii="宋体" w:hAnsi="宋体"/>
                <w:color w:val="auto"/>
                <w:kern w:val="0"/>
                <w:szCs w:val="21"/>
                <w:highlight w:val="none"/>
              </w:rPr>
              <w:t>磋商</w:t>
            </w:r>
            <w:r>
              <w:rPr>
                <w:rFonts w:ascii="宋体" w:hAnsi="宋体"/>
                <w:color w:val="auto"/>
                <w:kern w:val="0"/>
                <w:szCs w:val="21"/>
                <w:highlight w:val="none"/>
              </w:rPr>
              <w:t>供应商对网上递交的</w:t>
            </w:r>
            <w:r>
              <w:rPr>
                <w:rFonts w:hint="eastAsia" w:ascii="宋体" w:hAnsi="宋体"/>
                <w:color w:val="auto"/>
                <w:kern w:val="0"/>
                <w:szCs w:val="21"/>
                <w:highlight w:val="none"/>
              </w:rPr>
              <w:t>响应</w:t>
            </w:r>
            <w:r>
              <w:rPr>
                <w:rFonts w:ascii="宋体" w:hAnsi="宋体"/>
                <w:color w:val="auto"/>
                <w:kern w:val="0"/>
                <w:szCs w:val="21"/>
                <w:highlight w:val="none"/>
              </w:rPr>
              <w:t>文件必须加密，如果</w:t>
            </w:r>
            <w:r>
              <w:rPr>
                <w:rFonts w:hint="eastAsia" w:ascii="宋体" w:hAnsi="宋体"/>
                <w:color w:val="auto"/>
                <w:kern w:val="0"/>
                <w:szCs w:val="21"/>
                <w:highlight w:val="none"/>
              </w:rPr>
              <w:t>磋商</w:t>
            </w:r>
            <w:r>
              <w:rPr>
                <w:rFonts w:ascii="宋体" w:hAnsi="宋体"/>
                <w:color w:val="auto"/>
                <w:kern w:val="0"/>
                <w:szCs w:val="21"/>
                <w:highlight w:val="none"/>
              </w:rPr>
              <w:t>供应商使用某个数字证书（CA）对</w:t>
            </w:r>
            <w:r>
              <w:rPr>
                <w:rFonts w:hint="eastAsia" w:ascii="宋体" w:hAnsi="宋体"/>
                <w:color w:val="auto"/>
                <w:kern w:val="0"/>
                <w:szCs w:val="21"/>
                <w:highlight w:val="none"/>
              </w:rPr>
              <w:t>响应</w:t>
            </w:r>
            <w:r>
              <w:rPr>
                <w:rFonts w:ascii="宋体" w:hAnsi="宋体"/>
                <w:color w:val="auto"/>
                <w:kern w:val="0"/>
                <w:szCs w:val="21"/>
                <w:highlight w:val="none"/>
              </w:rPr>
              <w:t>文件进行了数字证书（CA）加密，需要在开标过程中使用该数字证书（CA）进行解密，才能读取或导入</w:t>
            </w:r>
            <w:r>
              <w:rPr>
                <w:rFonts w:hint="eastAsia" w:ascii="宋体" w:hAnsi="宋体"/>
                <w:color w:val="auto"/>
                <w:kern w:val="0"/>
                <w:szCs w:val="21"/>
                <w:highlight w:val="none"/>
              </w:rPr>
              <w:t>响应</w:t>
            </w:r>
            <w:r>
              <w:rPr>
                <w:rFonts w:ascii="宋体" w:hAnsi="宋体"/>
                <w:color w:val="auto"/>
                <w:kern w:val="0"/>
                <w:szCs w:val="21"/>
                <w:highlight w:val="none"/>
              </w:rPr>
              <w:t>文件，因</w:t>
            </w:r>
            <w:r>
              <w:rPr>
                <w:rFonts w:hint="eastAsia" w:ascii="宋体" w:hAnsi="宋体"/>
                <w:color w:val="auto"/>
                <w:kern w:val="0"/>
                <w:szCs w:val="21"/>
                <w:highlight w:val="none"/>
              </w:rPr>
              <w:t>磋商</w:t>
            </w:r>
            <w:r>
              <w:rPr>
                <w:rFonts w:ascii="宋体" w:hAnsi="宋体"/>
                <w:color w:val="auto"/>
                <w:kern w:val="0"/>
                <w:szCs w:val="21"/>
                <w:highlight w:val="none"/>
              </w:rPr>
              <w:t>供应商原因造成</w:t>
            </w:r>
            <w:r>
              <w:rPr>
                <w:rFonts w:hint="eastAsia" w:ascii="宋体" w:hAnsi="宋体"/>
                <w:color w:val="auto"/>
                <w:kern w:val="0"/>
                <w:szCs w:val="21"/>
                <w:highlight w:val="none"/>
              </w:rPr>
              <w:t>响应</w:t>
            </w:r>
            <w:r>
              <w:rPr>
                <w:rFonts w:ascii="宋体" w:hAnsi="宋体"/>
                <w:color w:val="auto"/>
                <w:kern w:val="0"/>
                <w:szCs w:val="21"/>
                <w:highlight w:val="none"/>
              </w:rPr>
              <w:t>文件未解密的，视为撤回其</w:t>
            </w:r>
            <w:r>
              <w:rPr>
                <w:rFonts w:hint="eastAsia" w:ascii="宋体" w:hAnsi="宋体"/>
                <w:color w:val="auto"/>
                <w:kern w:val="0"/>
                <w:szCs w:val="21"/>
                <w:highlight w:val="none"/>
              </w:rPr>
              <w:t>响应</w:t>
            </w:r>
            <w:r>
              <w:rPr>
                <w:rFonts w:ascii="宋体" w:hAnsi="宋体"/>
                <w:color w:val="auto"/>
                <w:kern w:val="0"/>
                <w:szCs w:val="21"/>
                <w:highlight w:val="none"/>
              </w:rPr>
              <w:t>文件。</w:t>
            </w:r>
          </w:p>
        </w:tc>
      </w:tr>
      <w:tr w14:paraId="427BE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0DA21A2D">
            <w:pPr>
              <w:pStyle w:val="12"/>
              <w:jc w:val="center"/>
              <w:rPr>
                <w:rFonts w:hAnsi="宋体"/>
                <w:color w:val="auto"/>
                <w:kern w:val="0"/>
                <w:highlight w:val="none"/>
              </w:rPr>
            </w:pPr>
            <w:r>
              <w:rPr>
                <w:rFonts w:hAnsi="宋体"/>
                <w:color w:val="auto"/>
                <w:kern w:val="0"/>
                <w:highlight w:val="none"/>
              </w:rPr>
              <w:t>13.</w:t>
            </w:r>
            <w:r>
              <w:rPr>
                <w:rFonts w:hint="eastAsia" w:hAnsi="宋体"/>
                <w:color w:val="auto"/>
                <w:kern w:val="0"/>
                <w:highlight w:val="none"/>
              </w:rPr>
              <w:t>1</w:t>
            </w:r>
          </w:p>
          <w:p w14:paraId="148957EB">
            <w:pPr>
              <w:jc w:val="center"/>
              <w:rPr>
                <w:color w:val="auto"/>
                <w:highlight w:val="none"/>
              </w:rPr>
            </w:pPr>
            <w:r>
              <w:rPr>
                <w:rFonts w:hint="eastAsia"/>
                <w:color w:val="auto"/>
                <w:highlight w:val="none"/>
              </w:rPr>
              <w:t>(</w:t>
            </w:r>
            <w:r>
              <w:rPr>
                <w:color w:val="auto"/>
                <w:highlight w:val="none"/>
              </w:rPr>
              <w:t>2</w:t>
            </w:r>
            <w:r>
              <w:rPr>
                <w:rFonts w:hint="eastAsia"/>
                <w:color w:val="auto"/>
                <w:highlight w:val="none"/>
              </w:rPr>
              <w:t>)</w:t>
            </w:r>
          </w:p>
        </w:tc>
        <w:tc>
          <w:tcPr>
            <w:tcW w:w="2195" w:type="dxa"/>
            <w:gridSpan w:val="2"/>
            <w:noWrap w:val="0"/>
            <w:vAlign w:val="center"/>
          </w:tcPr>
          <w:p w14:paraId="048F4C5F">
            <w:pPr>
              <w:pStyle w:val="12"/>
              <w:rPr>
                <w:rFonts w:hAnsi="宋体"/>
                <w:color w:val="auto"/>
                <w:kern w:val="0"/>
                <w:highlight w:val="none"/>
              </w:rPr>
            </w:pPr>
            <w:r>
              <w:rPr>
                <w:rFonts w:hint="eastAsia" w:hAnsi="宋体"/>
                <w:color w:val="auto"/>
                <w:kern w:val="0"/>
                <w:highlight w:val="none"/>
              </w:rPr>
              <w:t>磋商保证金</w:t>
            </w:r>
          </w:p>
        </w:tc>
        <w:tc>
          <w:tcPr>
            <w:tcW w:w="6218" w:type="dxa"/>
            <w:noWrap w:val="0"/>
            <w:vAlign w:val="center"/>
          </w:tcPr>
          <w:p w14:paraId="5C2A2830">
            <w:pPr>
              <w:pStyle w:val="12"/>
              <w:rPr>
                <w:rFonts w:ascii="Times New Roman"/>
                <w:b/>
                <w:color w:val="auto"/>
                <w:highlight w:val="none"/>
              </w:rPr>
            </w:pPr>
            <w:r>
              <w:rPr>
                <w:rFonts w:ascii="Times New Roman"/>
                <w:b/>
                <w:color w:val="auto"/>
                <w:highlight w:val="none"/>
              </w:rPr>
              <w:t>磋商保证金金额</w:t>
            </w:r>
            <w:r>
              <w:rPr>
                <w:rFonts w:hint="eastAsia" w:ascii="Times New Roman"/>
                <w:b/>
                <w:color w:val="auto"/>
                <w:highlight w:val="none"/>
              </w:rPr>
              <w:t>：</w:t>
            </w:r>
            <w:r>
              <w:rPr>
                <w:rFonts w:hint="eastAsia" w:ascii="Times New Roman"/>
                <w:b/>
                <w:color w:val="auto"/>
                <w:highlight w:val="none"/>
                <w:lang w:val="en-US" w:eastAsia="zh-CN"/>
              </w:rPr>
              <w:t>30000</w:t>
            </w:r>
            <w:r>
              <w:rPr>
                <w:rFonts w:hint="eastAsia" w:ascii="Times New Roman"/>
                <w:b/>
                <w:color w:val="auto"/>
                <w:highlight w:val="none"/>
              </w:rPr>
              <w:t>.00元</w:t>
            </w:r>
            <w:r>
              <w:rPr>
                <w:rFonts w:hint="eastAsia" w:ascii="Times New Roman"/>
                <w:color w:val="auto"/>
                <w:highlight w:val="none"/>
              </w:rPr>
              <w:t>。</w:t>
            </w:r>
          </w:p>
          <w:p w14:paraId="346F9ED7">
            <w:pPr>
              <w:pStyle w:val="12"/>
              <w:rPr>
                <w:rFonts w:hint="eastAsia" w:ascii="Times New Roman"/>
                <w:color w:val="auto"/>
                <w:spacing w:val="-8"/>
                <w:highlight w:val="none"/>
              </w:rPr>
            </w:pPr>
            <w:r>
              <w:rPr>
                <w:rFonts w:hint="eastAsia" w:hAnsi="宋体" w:cs="宋体"/>
                <w:b/>
                <w:color w:val="auto"/>
                <w:spacing w:val="-8"/>
                <w:highlight w:val="none"/>
              </w:rPr>
              <w:t>提交方式：支票、汇票、本票或者金融机构、担保机构出具的保函、保证保险、银行转账等非现金形式</w:t>
            </w:r>
            <w:r>
              <w:rPr>
                <w:rFonts w:hint="eastAsia" w:hAnsi="宋体" w:cs="宋体"/>
                <w:color w:val="auto"/>
                <w:spacing w:val="-8"/>
                <w:highlight w:val="none"/>
              </w:rPr>
              <w:t>。</w:t>
            </w:r>
          </w:p>
          <w:p w14:paraId="53404F12">
            <w:pPr>
              <w:pStyle w:val="12"/>
              <w:rPr>
                <w:rFonts w:ascii="Times New Roman"/>
                <w:color w:val="auto"/>
                <w:highlight w:val="none"/>
              </w:rPr>
            </w:pPr>
            <w:r>
              <w:rPr>
                <w:rFonts w:hint="eastAsia" w:ascii="Times New Roman"/>
                <w:color w:val="auto"/>
                <w:spacing w:val="-8"/>
                <w:highlight w:val="none"/>
              </w:rPr>
              <w:t>磋商保证金应当从其基本账户转出</w:t>
            </w:r>
            <w:r>
              <w:rPr>
                <w:rFonts w:ascii="Times New Roman"/>
                <w:color w:val="auto"/>
                <w:highlight w:val="none"/>
              </w:rPr>
              <w:t>。</w:t>
            </w:r>
          </w:p>
          <w:p w14:paraId="0E603982">
            <w:pPr>
              <w:pStyle w:val="12"/>
              <w:rPr>
                <w:rFonts w:ascii="Times New Roman"/>
                <w:color w:val="auto"/>
                <w:highlight w:val="none"/>
              </w:rPr>
            </w:pPr>
            <w:r>
              <w:rPr>
                <w:rFonts w:hint="eastAsia" w:hAnsi="宋体"/>
                <w:b/>
                <w:color w:val="auto"/>
                <w:highlight w:val="none"/>
              </w:rPr>
              <w:t>提交时间：</w:t>
            </w:r>
            <w:r>
              <w:rPr>
                <w:rFonts w:hint="eastAsia" w:hAnsi="宋体"/>
                <w:color w:val="auto"/>
                <w:highlight w:val="none"/>
              </w:rPr>
              <w:t>以磋商保证金实际到账时间为准，到账截止时间为响应文件递交截止时间，未按时到账的保证金视为未提交。</w:t>
            </w:r>
          </w:p>
          <w:p w14:paraId="399A65CF">
            <w:pPr>
              <w:rPr>
                <w:b/>
                <w:color w:val="auto"/>
                <w:highlight w:val="none"/>
              </w:rPr>
            </w:pPr>
            <w:r>
              <w:rPr>
                <w:rFonts w:hint="eastAsia"/>
                <w:b/>
                <w:color w:val="auto"/>
                <w:highlight w:val="none"/>
              </w:rPr>
              <w:t>账户信息：</w:t>
            </w:r>
          </w:p>
          <w:p w14:paraId="0BE73BF6">
            <w:pPr>
              <w:snapToGrid w:val="0"/>
              <w:rPr>
                <w:rFonts w:hint="eastAsia"/>
                <w:b/>
                <w:bCs/>
                <w:color w:val="auto"/>
                <w:highlight w:val="none"/>
              </w:rPr>
            </w:pPr>
            <w:r>
              <w:rPr>
                <w:rFonts w:hint="eastAsia"/>
                <w:b/>
                <w:bCs/>
                <w:color w:val="auto"/>
                <w:highlight w:val="none"/>
              </w:rPr>
              <w:t>账户：</w:t>
            </w:r>
            <w:r>
              <w:rPr>
                <w:rFonts w:hint="eastAsia"/>
                <w:color w:val="auto"/>
                <w:highlight w:val="none"/>
              </w:rPr>
              <w:t>云南谦和工程咨询有限公司</w:t>
            </w:r>
          </w:p>
          <w:p w14:paraId="5759590D">
            <w:pPr>
              <w:snapToGrid w:val="0"/>
              <w:rPr>
                <w:rFonts w:hint="eastAsia"/>
                <w:color w:val="auto"/>
                <w:highlight w:val="none"/>
              </w:rPr>
            </w:pPr>
            <w:r>
              <w:rPr>
                <w:rFonts w:hint="eastAsia"/>
                <w:b/>
                <w:bCs/>
                <w:color w:val="auto"/>
                <w:highlight w:val="none"/>
              </w:rPr>
              <w:t>账号：</w:t>
            </w:r>
            <w:r>
              <w:rPr>
                <w:rFonts w:hint="eastAsia"/>
                <w:color w:val="auto"/>
                <w:highlight w:val="none"/>
              </w:rPr>
              <w:t>8719 1054 7310 903</w:t>
            </w:r>
          </w:p>
          <w:p w14:paraId="4BB64320">
            <w:pPr>
              <w:snapToGrid w:val="0"/>
              <w:rPr>
                <w:rFonts w:hint="eastAsia"/>
                <w:b/>
                <w:bCs/>
                <w:color w:val="auto"/>
                <w:highlight w:val="none"/>
              </w:rPr>
            </w:pPr>
            <w:r>
              <w:rPr>
                <w:rFonts w:hint="eastAsia"/>
                <w:b/>
                <w:bCs/>
                <w:color w:val="auto"/>
                <w:highlight w:val="none"/>
              </w:rPr>
              <w:t>开户行：</w:t>
            </w:r>
            <w:r>
              <w:rPr>
                <w:rFonts w:hint="eastAsia"/>
                <w:color w:val="auto"/>
                <w:highlight w:val="none"/>
              </w:rPr>
              <w:t>招商银行昆明分行铂金大道支行</w:t>
            </w:r>
          </w:p>
          <w:p w14:paraId="629F0ABC">
            <w:pPr>
              <w:snapToGrid w:val="0"/>
              <w:rPr>
                <w:b/>
                <w:bCs/>
                <w:color w:val="auto"/>
                <w:highlight w:val="none"/>
              </w:rPr>
            </w:pPr>
            <w:r>
              <w:rPr>
                <w:rFonts w:hint="eastAsia"/>
                <w:b/>
                <w:bCs/>
                <w:color w:val="auto"/>
                <w:highlight w:val="none"/>
              </w:rPr>
              <w:t>注：保证金打款时注明用途及项目</w:t>
            </w:r>
            <w:r>
              <w:rPr>
                <w:rFonts w:hint="eastAsia"/>
                <w:b/>
                <w:bCs/>
                <w:color w:val="auto"/>
                <w:highlight w:val="none"/>
                <w:lang w:val="en-US" w:eastAsia="zh-CN"/>
              </w:rPr>
              <w:t>名称</w:t>
            </w:r>
            <w:r>
              <w:rPr>
                <w:rFonts w:hint="eastAsia"/>
                <w:b/>
                <w:bCs/>
                <w:color w:val="auto"/>
                <w:highlight w:val="none"/>
              </w:rPr>
              <w:t>。</w:t>
            </w:r>
          </w:p>
          <w:p w14:paraId="1A3ACA6C">
            <w:pPr>
              <w:snapToGrid w:val="0"/>
              <w:rPr>
                <w:rFonts w:hAnsi="宋体"/>
                <w:b/>
                <w:color w:val="auto"/>
                <w:szCs w:val="21"/>
                <w:highlight w:val="none"/>
                <w:lang w:bidi="en-US"/>
              </w:rPr>
            </w:pPr>
            <w:r>
              <w:rPr>
                <w:rFonts w:hint="eastAsia" w:hAnsi="宋体"/>
                <w:b/>
                <w:color w:val="auto"/>
                <w:szCs w:val="21"/>
                <w:highlight w:val="none"/>
                <w:lang w:bidi="en-US"/>
              </w:rPr>
              <w:t>保证金退还：</w:t>
            </w:r>
          </w:p>
          <w:p w14:paraId="43E678A0">
            <w:pPr>
              <w:pStyle w:val="12"/>
              <w:ind w:firstLine="422" w:firstLineChars="200"/>
              <w:rPr>
                <w:color w:val="auto"/>
                <w:highlight w:val="none"/>
              </w:rPr>
            </w:pPr>
            <w:r>
              <w:rPr>
                <w:rFonts w:hint="eastAsia" w:hAnsi="宋体"/>
                <w:b/>
                <w:color w:val="auto"/>
                <w:highlight w:val="none"/>
                <w:lang w:bidi="en-US"/>
              </w:rPr>
              <w:t>保证金退还时，不退现金。</w:t>
            </w:r>
            <w:r>
              <w:rPr>
                <w:rFonts w:hint="eastAsia" w:hAnsi="宋体"/>
                <w:color w:val="auto"/>
                <w:highlight w:val="none"/>
                <w:lang w:bidi="en-US"/>
              </w:rPr>
              <w:t>采购代理机构以网上银行的方式将磋商保证金退还至供应商公司账户，请供应商准确提供公司账户信息。</w:t>
            </w:r>
          </w:p>
          <w:p w14:paraId="2648C314">
            <w:pPr>
              <w:pStyle w:val="12"/>
              <w:ind w:firstLine="420" w:firstLineChars="200"/>
              <w:rPr>
                <w:color w:val="auto"/>
                <w:highlight w:val="none"/>
              </w:rPr>
            </w:pPr>
            <w:r>
              <w:rPr>
                <w:rFonts w:hint="eastAsia"/>
                <w:color w:val="auto"/>
                <w:highlight w:val="none"/>
              </w:rPr>
              <w:t>磋商保证金利息计算方式从磋商保证金到账之日起计息，止息日为退还磋商保证金当日，利率为退还磋商保证金当日银行的活期利率。</w:t>
            </w:r>
          </w:p>
          <w:p w14:paraId="58D3DA70">
            <w:pPr>
              <w:rPr>
                <w:color w:val="auto"/>
                <w:highlight w:val="none"/>
              </w:rPr>
            </w:pPr>
            <w:r>
              <w:rPr>
                <w:rFonts w:hint="eastAsia"/>
                <w:color w:val="auto"/>
                <w:highlight w:val="none"/>
              </w:rPr>
              <w:t>磋商保证金有效期与磋商有效期一致。</w:t>
            </w:r>
          </w:p>
        </w:tc>
      </w:tr>
      <w:tr w14:paraId="2FADBC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5464C278">
            <w:pPr>
              <w:pStyle w:val="18"/>
              <w:jc w:val="center"/>
              <w:rPr>
                <w:rFonts w:hAnsi="宋体"/>
                <w:color w:val="auto"/>
                <w:kern w:val="2"/>
                <w:sz w:val="21"/>
                <w:szCs w:val="21"/>
                <w:highlight w:val="none"/>
              </w:rPr>
            </w:pPr>
            <w:r>
              <w:rPr>
                <w:rFonts w:hAnsi="宋体"/>
                <w:color w:val="auto"/>
                <w:kern w:val="2"/>
                <w:sz w:val="21"/>
                <w:szCs w:val="21"/>
                <w:highlight w:val="none"/>
              </w:rPr>
              <w:t>15.1</w:t>
            </w:r>
          </w:p>
        </w:tc>
        <w:tc>
          <w:tcPr>
            <w:tcW w:w="2195" w:type="dxa"/>
            <w:gridSpan w:val="2"/>
            <w:noWrap w:val="0"/>
            <w:vAlign w:val="center"/>
          </w:tcPr>
          <w:p w14:paraId="0054C9C6">
            <w:pPr>
              <w:pStyle w:val="12"/>
              <w:rPr>
                <w:rFonts w:hAnsi="宋体"/>
                <w:color w:val="auto"/>
                <w:kern w:val="0"/>
                <w:highlight w:val="none"/>
              </w:rPr>
            </w:pPr>
            <w:r>
              <w:rPr>
                <w:rFonts w:hint="eastAsia" w:hAnsi="宋体"/>
                <w:color w:val="auto"/>
                <w:kern w:val="0"/>
                <w:highlight w:val="none"/>
              </w:rPr>
              <w:t>响应文件的</w:t>
            </w:r>
            <w:r>
              <w:rPr>
                <w:rFonts w:hint="eastAsia" w:hAnsi="宋体"/>
                <w:color w:val="auto"/>
                <w:highlight w:val="none"/>
              </w:rPr>
              <w:t>递交/上传</w:t>
            </w:r>
            <w:r>
              <w:rPr>
                <w:rFonts w:hint="eastAsia" w:hAnsi="宋体"/>
                <w:color w:val="auto"/>
                <w:kern w:val="0"/>
                <w:highlight w:val="none"/>
              </w:rPr>
              <w:t>截止时间</w:t>
            </w:r>
          </w:p>
        </w:tc>
        <w:tc>
          <w:tcPr>
            <w:tcW w:w="6218" w:type="dxa"/>
            <w:noWrap w:val="0"/>
            <w:vAlign w:val="center"/>
          </w:tcPr>
          <w:p w14:paraId="07399492">
            <w:pPr>
              <w:pStyle w:val="12"/>
              <w:rPr>
                <w:rFonts w:hAnsi="宋体"/>
                <w:color w:val="auto"/>
                <w:kern w:val="0"/>
                <w:highlight w:val="none"/>
              </w:rPr>
            </w:pPr>
            <w:r>
              <w:rPr>
                <w:rFonts w:hint="eastAsia"/>
                <w:color w:val="auto"/>
                <w:highlight w:val="none"/>
              </w:rPr>
              <w:t>详</w:t>
            </w:r>
            <w:r>
              <w:rPr>
                <w:rFonts w:hint="eastAsia" w:hAnsi="宋体"/>
                <w:color w:val="auto"/>
                <w:highlight w:val="none"/>
              </w:rPr>
              <w:t>见第一章“竞争性磋商公告”。</w:t>
            </w:r>
          </w:p>
        </w:tc>
      </w:tr>
      <w:tr w14:paraId="58341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51" w:type="dxa"/>
            <w:noWrap w:val="0"/>
            <w:vAlign w:val="center"/>
          </w:tcPr>
          <w:p w14:paraId="1075F257">
            <w:pPr>
              <w:pStyle w:val="18"/>
              <w:jc w:val="center"/>
              <w:rPr>
                <w:rFonts w:hAnsi="宋体"/>
                <w:color w:val="auto"/>
                <w:kern w:val="2"/>
                <w:sz w:val="21"/>
                <w:szCs w:val="21"/>
                <w:highlight w:val="none"/>
              </w:rPr>
            </w:pPr>
            <w:r>
              <w:rPr>
                <w:rFonts w:hAnsi="宋体"/>
                <w:color w:val="auto"/>
                <w:kern w:val="2"/>
                <w:sz w:val="21"/>
                <w:szCs w:val="21"/>
                <w:highlight w:val="none"/>
              </w:rPr>
              <w:t>15.2</w:t>
            </w:r>
          </w:p>
        </w:tc>
        <w:tc>
          <w:tcPr>
            <w:tcW w:w="2195" w:type="dxa"/>
            <w:gridSpan w:val="2"/>
            <w:noWrap w:val="0"/>
            <w:vAlign w:val="center"/>
          </w:tcPr>
          <w:p w14:paraId="2B89F3D7">
            <w:pPr>
              <w:pStyle w:val="12"/>
              <w:rPr>
                <w:rFonts w:hAnsi="宋体"/>
                <w:color w:val="auto"/>
                <w:kern w:val="0"/>
                <w:highlight w:val="none"/>
              </w:rPr>
            </w:pPr>
            <w:r>
              <w:rPr>
                <w:rFonts w:hint="eastAsia" w:hAnsi="宋体"/>
                <w:color w:val="auto"/>
                <w:highlight w:val="none"/>
              </w:rPr>
              <w:t>响应文件递交/上传</w:t>
            </w:r>
          </w:p>
        </w:tc>
        <w:tc>
          <w:tcPr>
            <w:tcW w:w="6218" w:type="dxa"/>
            <w:noWrap w:val="0"/>
            <w:vAlign w:val="center"/>
          </w:tcPr>
          <w:p w14:paraId="11C2426D">
            <w:pPr>
              <w:pStyle w:val="12"/>
              <w:ind w:left="29" w:hanging="29" w:hangingChars="14"/>
              <w:jc w:val="both"/>
              <w:rPr>
                <w:rFonts w:hAnsi="宋体"/>
                <w:color w:val="auto"/>
                <w:kern w:val="0"/>
                <w:highlight w:val="none"/>
              </w:rPr>
            </w:pPr>
            <w:r>
              <w:rPr>
                <w:rFonts w:hint="eastAsia"/>
                <w:color w:val="auto"/>
                <w:highlight w:val="none"/>
              </w:rPr>
              <w:t>详</w:t>
            </w:r>
            <w:r>
              <w:rPr>
                <w:rFonts w:hint="eastAsia" w:hAnsi="宋体"/>
                <w:color w:val="auto"/>
                <w:highlight w:val="none"/>
              </w:rPr>
              <w:t>见第一章“竞争性磋商公告”。</w:t>
            </w:r>
          </w:p>
        </w:tc>
      </w:tr>
      <w:tr w14:paraId="753F2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11" w:hRule="atLeast"/>
          <w:jc w:val="center"/>
        </w:trPr>
        <w:tc>
          <w:tcPr>
            <w:tcW w:w="851" w:type="dxa"/>
            <w:noWrap w:val="0"/>
            <w:vAlign w:val="center"/>
          </w:tcPr>
          <w:p w14:paraId="6278DE66">
            <w:pPr>
              <w:pStyle w:val="18"/>
              <w:jc w:val="center"/>
              <w:rPr>
                <w:rFonts w:hAnsi="宋体"/>
                <w:color w:val="auto"/>
                <w:kern w:val="2"/>
                <w:sz w:val="21"/>
                <w:szCs w:val="21"/>
                <w:highlight w:val="none"/>
              </w:rPr>
            </w:pPr>
            <w:r>
              <w:rPr>
                <w:rFonts w:hint="eastAsia" w:hAnsi="宋体"/>
                <w:color w:val="auto"/>
                <w:kern w:val="2"/>
                <w:sz w:val="21"/>
                <w:szCs w:val="21"/>
                <w:highlight w:val="none"/>
              </w:rPr>
              <w:t>15.3</w:t>
            </w:r>
          </w:p>
        </w:tc>
        <w:tc>
          <w:tcPr>
            <w:tcW w:w="2195" w:type="dxa"/>
            <w:gridSpan w:val="2"/>
            <w:noWrap w:val="0"/>
            <w:vAlign w:val="center"/>
          </w:tcPr>
          <w:p w14:paraId="1B054AB4">
            <w:pPr>
              <w:pStyle w:val="12"/>
              <w:rPr>
                <w:rFonts w:hAnsi="宋体"/>
                <w:color w:val="auto"/>
                <w:highlight w:val="none"/>
              </w:rPr>
            </w:pPr>
            <w:r>
              <w:rPr>
                <w:rFonts w:hint="eastAsia" w:hAnsi="宋体"/>
                <w:color w:val="auto"/>
                <w:highlight w:val="none"/>
              </w:rPr>
              <w:t>磋商文件递交方式</w:t>
            </w:r>
          </w:p>
          <w:p w14:paraId="44E1AF00">
            <w:pPr>
              <w:pStyle w:val="12"/>
              <w:rPr>
                <w:rFonts w:hAnsi="宋体"/>
                <w:color w:val="auto"/>
                <w:highlight w:val="none"/>
              </w:rPr>
            </w:pPr>
          </w:p>
        </w:tc>
        <w:tc>
          <w:tcPr>
            <w:tcW w:w="6218" w:type="dxa"/>
            <w:noWrap w:val="0"/>
            <w:vAlign w:val="center"/>
          </w:tcPr>
          <w:p w14:paraId="79C8D9AD">
            <w:pPr>
              <w:pStyle w:val="12"/>
              <w:ind w:left="29" w:hanging="29" w:hangingChars="14"/>
              <w:jc w:val="both"/>
              <w:rPr>
                <w:rFonts w:hint="eastAsia" w:hAnsi="宋体" w:eastAsia="宋体"/>
                <w:color w:val="auto"/>
                <w:highlight w:val="none"/>
                <w:lang w:eastAsia="zh-CN"/>
              </w:rPr>
            </w:pPr>
            <w:r>
              <w:rPr>
                <w:rFonts w:hint="eastAsia" w:hAnsi="宋体"/>
                <w:color w:val="auto"/>
                <w:highlight w:val="none"/>
              </w:rPr>
              <w:t>1、首次响应文件提交截止时间（北京时间）：详见政府采购云平台本项目公告。“政采云”平台（http：//www.zcygov.cn）</w:t>
            </w:r>
            <w:r>
              <w:rPr>
                <w:rFonts w:hint="eastAsia" w:hAnsi="宋体"/>
                <w:color w:val="auto"/>
                <w:highlight w:val="none"/>
                <w:lang w:eastAsia="zh-CN"/>
              </w:rPr>
              <w:t>。</w:t>
            </w:r>
          </w:p>
          <w:p w14:paraId="39988791">
            <w:pPr>
              <w:pStyle w:val="12"/>
              <w:ind w:left="29" w:hanging="29" w:hangingChars="14"/>
              <w:jc w:val="both"/>
              <w:rPr>
                <w:rFonts w:hAnsi="宋体"/>
                <w:color w:val="auto"/>
                <w:highlight w:val="none"/>
              </w:rPr>
            </w:pPr>
            <w:r>
              <w:rPr>
                <w:rFonts w:hint="eastAsia" w:hAnsi="宋体"/>
                <w:color w:val="auto"/>
                <w:highlight w:val="none"/>
              </w:rPr>
              <w:t>2、首次响应文件提交地点：</w:t>
            </w:r>
          </w:p>
          <w:p w14:paraId="236124AE">
            <w:pPr>
              <w:pStyle w:val="12"/>
              <w:ind w:left="29" w:hanging="29" w:hangingChars="14"/>
              <w:jc w:val="both"/>
              <w:rPr>
                <w:rFonts w:hAnsi="宋体"/>
                <w:color w:val="auto"/>
                <w:highlight w:val="none"/>
              </w:rPr>
            </w:pPr>
            <w:r>
              <w:rPr>
                <w:rFonts w:hint="eastAsia" w:hAnsi="宋体"/>
                <w:color w:val="auto"/>
                <w:highlight w:val="none"/>
              </w:rPr>
              <w:t>（1）响应文件提交方式：本项目为全流程电子化项目，通过“政采云”平台（http：//www.zcygov.cn）实行在线电子响应，供应商应先安装“政采云电子交易客户端”（请自行前往“政采云”平台进行下载），并按照本项目采购文件和“政采云”平台的要求编制、加密后在投标截止时间前通过网络上传至“政采云”平台，供应商在“政采云”平台提交电子版响应文件时，请填写参加远程采购活动经办人联系方式。</w:t>
            </w:r>
          </w:p>
          <w:p w14:paraId="5AB6E58D">
            <w:pPr>
              <w:pStyle w:val="12"/>
              <w:ind w:left="29" w:hanging="29" w:hangingChars="14"/>
              <w:jc w:val="both"/>
              <w:rPr>
                <w:rFonts w:hAnsi="宋体"/>
                <w:color w:val="auto"/>
                <w:highlight w:val="none"/>
              </w:rPr>
            </w:pPr>
            <w:r>
              <w:rPr>
                <w:rFonts w:hint="eastAsia" w:hAnsi="宋体"/>
                <w:color w:val="auto"/>
                <w:highlight w:val="none"/>
              </w:rPr>
              <w:t>（2）未进行网上注册并办理数字证书（CA 认证）的供应商将无法参与本项目政府采购活动，潜在供应商应要尽早完成电子交易平台上的 CA 数字证书办理，并在首次响应文件提交截止时间前提交响应文件。</w:t>
            </w:r>
          </w:p>
          <w:p w14:paraId="444AF16D">
            <w:pPr>
              <w:pStyle w:val="12"/>
              <w:ind w:left="29" w:hanging="29" w:hangingChars="14"/>
              <w:jc w:val="both"/>
              <w:rPr>
                <w:rFonts w:hint="eastAsia" w:hAnsi="宋体"/>
                <w:color w:val="auto"/>
                <w:highlight w:val="none"/>
              </w:rPr>
            </w:pPr>
            <w:r>
              <w:rPr>
                <w:rFonts w:hint="eastAsia" w:hAnsi="宋体"/>
                <w:color w:val="auto"/>
                <w:highlight w:val="none"/>
              </w:rPr>
              <w:t>（3）为确保网上操作合法、有效和安全，请供应商确保在电子响应过程中能够对相关数据电文进行加密和使用电子签章，妥善保管 CA 数字证书并使用有效的 CA 数字证书参与整个采购活动。</w:t>
            </w:r>
          </w:p>
          <w:p w14:paraId="2CA4FB02">
            <w:pPr>
              <w:pStyle w:val="12"/>
              <w:ind w:left="29" w:hanging="29" w:hangingChars="14"/>
              <w:jc w:val="both"/>
              <w:rPr>
                <w:rFonts w:hAnsi="宋体"/>
                <w:color w:val="auto"/>
                <w:highlight w:val="none"/>
              </w:rPr>
            </w:pPr>
            <w:r>
              <w:rPr>
                <w:rFonts w:hint="eastAsia" w:hAnsi="宋体"/>
                <w:color w:val="auto"/>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政采云”平台将予以拒收。</w:t>
            </w:r>
          </w:p>
          <w:p w14:paraId="08950322">
            <w:pPr>
              <w:pStyle w:val="12"/>
              <w:ind w:left="29" w:hanging="29" w:hangingChars="14"/>
              <w:jc w:val="both"/>
              <w:rPr>
                <w:rFonts w:hAnsi="宋体"/>
                <w:color w:val="auto"/>
                <w:highlight w:val="none"/>
              </w:rPr>
            </w:pPr>
            <w:r>
              <w:rPr>
                <w:rFonts w:hint="eastAsia" w:hAnsi="宋体"/>
                <w:color w:val="auto"/>
                <w:highlight w:val="none"/>
              </w:rPr>
              <w:t>3、CA 证书在线解密：首次响应文件开启时，须要供应商登录“政采云”平台电子开标大厅按规定时间对加密的响应文件进行解密，否则后果自负。</w:t>
            </w:r>
          </w:p>
          <w:p w14:paraId="16387460">
            <w:pPr>
              <w:pStyle w:val="12"/>
              <w:ind w:left="29" w:hanging="29" w:hangingChars="14"/>
              <w:jc w:val="both"/>
              <w:rPr>
                <w:rFonts w:hAnsi="宋体"/>
                <w:color w:val="auto"/>
                <w:highlight w:val="none"/>
              </w:rPr>
            </w:pPr>
            <w:r>
              <w:rPr>
                <w:rFonts w:hint="eastAsia" w:hAnsi="宋体"/>
                <w:color w:val="auto"/>
                <w:highlight w:val="none"/>
              </w:rPr>
              <w:t>4、供应商需要在具备有摄像头及语音功能且互联网网络状况良好的电脑登录“政采云”平台远程开标大厅参与本次磋商，否则后果自负。</w:t>
            </w:r>
          </w:p>
        </w:tc>
      </w:tr>
      <w:tr w14:paraId="4BEF9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4" w:hRule="atLeast"/>
          <w:jc w:val="center"/>
        </w:trPr>
        <w:tc>
          <w:tcPr>
            <w:tcW w:w="851" w:type="dxa"/>
            <w:noWrap w:val="0"/>
            <w:vAlign w:val="center"/>
          </w:tcPr>
          <w:p w14:paraId="7D4D0031">
            <w:pPr>
              <w:pStyle w:val="12"/>
              <w:jc w:val="center"/>
              <w:rPr>
                <w:rFonts w:hAnsi="宋体"/>
                <w:color w:val="auto"/>
                <w:kern w:val="0"/>
                <w:highlight w:val="none"/>
              </w:rPr>
            </w:pPr>
            <w:r>
              <w:rPr>
                <w:rFonts w:hAnsi="宋体"/>
                <w:color w:val="auto"/>
                <w:kern w:val="0"/>
                <w:highlight w:val="none"/>
              </w:rPr>
              <w:t>16.1</w:t>
            </w:r>
          </w:p>
        </w:tc>
        <w:tc>
          <w:tcPr>
            <w:tcW w:w="2195" w:type="dxa"/>
            <w:gridSpan w:val="2"/>
            <w:noWrap w:val="0"/>
            <w:vAlign w:val="center"/>
          </w:tcPr>
          <w:p w14:paraId="7632BC82">
            <w:pPr>
              <w:pStyle w:val="12"/>
              <w:rPr>
                <w:rFonts w:hAnsi="宋体"/>
                <w:color w:val="auto"/>
                <w:kern w:val="0"/>
                <w:highlight w:val="none"/>
              </w:rPr>
            </w:pPr>
            <w:r>
              <w:rPr>
                <w:rFonts w:hint="eastAsia" w:hAnsi="宋体"/>
                <w:color w:val="auto"/>
                <w:kern w:val="0"/>
                <w:highlight w:val="none"/>
              </w:rPr>
              <w:t>磋商时间和地点</w:t>
            </w:r>
          </w:p>
        </w:tc>
        <w:tc>
          <w:tcPr>
            <w:tcW w:w="6218" w:type="dxa"/>
            <w:noWrap w:val="0"/>
            <w:vAlign w:val="center"/>
          </w:tcPr>
          <w:p w14:paraId="36DDBB11">
            <w:pPr>
              <w:pStyle w:val="12"/>
              <w:jc w:val="both"/>
              <w:rPr>
                <w:rFonts w:hAnsi="宋体"/>
                <w:color w:val="auto"/>
                <w:kern w:val="0"/>
                <w:highlight w:val="none"/>
              </w:rPr>
            </w:pPr>
            <w:r>
              <w:rPr>
                <w:rFonts w:hint="eastAsia" w:hAnsi="宋体"/>
                <w:color w:val="auto"/>
                <w:kern w:val="0"/>
                <w:highlight w:val="none"/>
              </w:rPr>
              <w:t>磋商时间：同递交响应文件的截止时间</w:t>
            </w:r>
          </w:p>
          <w:p w14:paraId="2E603F38">
            <w:pPr>
              <w:pStyle w:val="12"/>
              <w:rPr>
                <w:rFonts w:hAnsi="宋体"/>
                <w:color w:val="auto"/>
                <w:kern w:val="0"/>
                <w:highlight w:val="none"/>
              </w:rPr>
            </w:pPr>
            <w:r>
              <w:rPr>
                <w:rFonts w:hint="eastAsia" w:hAnsi="宋体"/>
                <w:color w:val="auto"/>
                <w:kern w:val="0"/>
                <w:highlight w:val="none"/>
              </w:rPr>
              <w:t>磋商地点：同递交响应文件地点</w:t>
            </w:r>
          </w:p>
        </w:tc>
      </w:tr>
      <w:tr w14:paraId="72DAE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jc w:val="center"/>
        </w:trPr>
        <w:tc>
          <w:tcPr>
            <w:tcW w:w="851" w:type="dxa"/>
            <w:noWrap w:val="0"/>
            <w:vAlign w:val="center"/>
          </w:tcPr>
          <w:p w14:paraId="45A44C20">
            <w:pPr>
              <w:pStyle w:val="12"/>
              <w:jc w:val="center"/>
              <w:rPr>
                <w:rFonts w:hAnsi="宋体"/>
                <w:color w:val="auto"/>
                <w:kern w:val="0"/>
                <w:highlight w:val="none"/>
              </w:rPr>
            </w:pPr>
            <w:r>
              <w:rPr>
                <w:rFonts w:hAnsi="宋体"/>
                <w:color w:val="auto"/>
                <w:kern w:val="0"/>
                <w:highlight w:val="none"/>
              </w:rPr>
              <w:t>16.4</w:t>
            </w:r>
          </w:p>
        </w:tc>
        <w:tc>
          <w:tcPr>
            <w:tcW w:w="2195" w:type="dxa"/>
            <w:gridSpan w:val="2"/>
            <w:noWrap w:val="0"/>
            <w:vAlign w:val="center"/>
          </w:tcPr>
          <w:p w14:paraId="2884BF28">
            <w:pPr>
              <w:pStyle w:val="12"/>
              <w:rPr>
                <w:rFonts w:hAnsi="宋体"/>
                <w:color w:val="auto"/>
                <w:kern w:val="0"/>
                <w:highlight w:val="none"/>
              </w:rPr>
            </w:pPr>
            <w:r>
              <w:rPr>
                <w:rFonts w:hint="eastAsia" w:hAnsi="宋体"/>
                <w:color w:val="auto"/>
                <w:kern w:val="0"/>
                <w:highlight w:val="none"/>
              </w:rPr>
              <w:t>磋商程序和方法</w:t>
            </w:r>
          </w:p>
        </w:tc>
        <w:tc>
          <w:tcPr>
            <w:tcW w:w="6218" w:type="dxa"/>
            <w:noWrap w:val="0"/>
            <w:vAlign w:val="center"/>
          </w:tcPr>
          <w:p w14:paraId="626D73C3">
            <w:pPr>
              <w:pStyle w:val="12"/>
              <w:rPr>
                <w:rFonts w:hAnsi="宋体"/>
                <w:color w:val="auto"/>
                <w:kern w:val="0"/>
                <w:highlight w:val="none"/>
              </w:rPr>
            </w:pPr>
            <w:r>
              <w:rPr>
                <w:rFonts w:hint="eastAsia" w:hAnsi="宋体"/>
                <w:color w:val="auto"/>
                <w:kern w:val="0"/>
                <w:highlight w:val="none"/>
              </w:rPr>
              <w:t>详见“第三章 磋商程序和方法”</w:t>
            </w:r>
          </w:p>
        </w:tc>
      </w:tr>
      <w:tr w14:paraId="55AE8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0" w:hRule="atLeast"/>
          <w:jc w:val="center"/>
        </w:trPr>
        <w:tc>
          <w:tcPr>
            <w:tcW w:w="851" w:type="dxa"/>
            <w:noWrap w:val="0"/>
            <w:vAlign w:val="center"/>
          </w:tcPr>
          <w:p w14:paraId="61E2B38B">
            <w:pPr>
              <w:pStyle w:val="12"/>
              <w:jc w:val="center"/>
              <w:rPr>
                <w:rFonts w:hAnsi="宋体"/>
                <w:color w:val="auto"/>
                <w:kern w:val="0"/>
                <w:highlight w:val="none"/>
              </w:rPr>
            </w:pPr>
            <w:r>
              <w:rPr>
                <w:rFonts w:hint="eastAsia" w:hAnsi="宋体"/>
                <w:color w:val="auto"/>
                <w:kern w:val="0"/>
                <w:highlight w:val="none"/>
              </w:rPr>
              <w:t>16.8</w:t>
            </w:r>
          </w:p>
        </w:tc>
        <w:tc>
          <w:tcPr>
            <w:tcW w:w="2195" w:type="dxa"/>
            <w:gridSpan w:val="2"/>
            <w:noWrap w:val="0"/>
            <w:vAlign w:val="center"/>
          </w:tcPr>
          <w:p w14:paraId="252DF511">
            <w:pPr>
              <w:pStyle w:val="12"/>
              <w:rPr>
                <w:rFonts w:hAnsi="宋体"/>
                <w:color w:val="auto"/>
                <w:kern w:val="0"/>
                <w:highlight w:val="none"/>
              </w:rPr>
            </w:pPr>
            <w:r>
              <w:rPr>
                <w:rFonts w:hint="eastAsia" w:hAnsi="宋体"/>
                <w:color w:val="auto"/>
                <w:kern w:val="0"/>
                <w:highlight w:val="none"/>
              </w:rPr>
              <w:t>响应文件解密</w:t>
            </w:r>
          </w:p>
        </w:tc>
        <w:tc>
          <w:tcPr>
            <w:tcW w:w="6218" w:type="dxa"/>
            <w:noWrap w:val="0"/>
            <w:vAlign w:val="center"/>
          </w:tcPr>
          <w:p w14:paraId="398706BA">
            <w:pPr>
              <w:pStyle w:val="12"/>
              <w:rPr>
                <w:rFonts w:hAnsi="宋体"/>
                <w:color w:val="auto"/>
                <w:kern w:val="0"/>
                <w:highlight w:val="none"/>
              </w:rPr>
            </w:pPr>
            <w:r>
              <w:rPr>
                <w:rFonts w:hint="eastAsia" w:hAnsi="宋体"/>
                <w:color w:val="auto"/>
                <w:kern w:val="0"/>
                <w:highlight w:val="none"/>
              </w:rPr>
              <w:t>采购代理机构将依托电子交易平台发起开始解密指令，供应商的法定代表人或其委托代理人须携带加密时所用的CA锁按平台提示和采购文件的规定登录到“政采云”平台电子开标大厅签到并在发起解密指令之时起</w:t>
            </w:r>
            <w:r>
              <w:rPr>
                <w:rFonts w:hint="eastAsia" w:hAnsi="宋体"/>
                <w:b/>
                <w:bCs/>
                <w:color w:val="auto"/>
                <w:kern w:val="0"/>
                <w:highlight w:val="none"/>
              </w:rPr>
              <w:t>30分钟内</w:t>
            </w:r>
            <w:r>
              <w:rPr>
                <w:rFonts w:hint="eastAsia" w:hAnsi="宋体"/>
                <w:color w:val="auto"/>
                <w:kern w:val="0"/>
                <w:highlight w:val="none"/>
              </w:rPr>
              <w:t>完成对电子响应文件在线解密。响应文件未按时解密的，视为响应文件无效。</w:t>
            </w:r>
          </w:p>
        </w:tc>
      </w:tr>
      <w:tr w14:paraId="43F68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13" w:hRule="atLeast"/>
          <w:jc w:val="center"/>
        </w:trPr>
        <w:tc>
          <w:tcPr>
            <w:tcW w:w="851" w:type="dxa"/>
            <w:noWrap w:val="0"/>
            <w:vAlign w:val="center"/>
          </w:tcPr>
          <w:p w14:paraId="728B30E4">
            <w:pPr>
              <w:pStyle w:val="12"/>
              <w:jc w:val="center"/>
              <w:rPr>
                <w:rFonts w:hAnsi="宋体"/>
                <w:color w:val="auto"/>
                <w:kern w:val="0"/>
                <w:highlight w:val="none"/>
              </w:rPr>
            </w:pPr>
            <w:r>
              <w:rPr>
                <w:rFonts w:hint="eastAsia" w:hAnsi="宋体"/>
                <w:color w:val="auto"/>
                <w:kern w:val="0"/>
                <w:highlight w:val="none"/>
              </w:rPr>
              <w:t>16.</w:t>
            </w:r>
            <w:r>
              <w:rPr>
                <w:rFonts w:hint="eastAsia" w:hAnsi="宋体"/>
                <w:color w:val="auto"/>
                <w:kern w:val="0"/>
                <w:highlight w:val="none"/>
                <w:lang w:val="en-US" w:eastAsia="zh-CN"/>
              </w:rPr>
              <w:t>8</w:t>
            </w:r>
          </w:p>
        </w:tc>
        <w:tc>
          <w:tcPr>
            <w:tcW w:w="2195" w:type="dxa"/>
            <w:gridSpan w:val="2"/>
            <w:noWrap w:val="0"/>
            <w:vAlign w:val="center"/>
          </w:tcPr>
          <w:p w14:paraId="4C14C4AF">
            <w:pPr>
              <w:pStyle w:val="12"/>
              <w:rPr>
                <w:rFonts w:hAnsi="宋体"/>
                <w:color w:val="auto"/>
                <w:kern w:val="0"/>
                <w:highlight w:val="none"/>
              </w:rPr>
            </w:pPr>
            <w:r>
              <w:rPr>
                <w:rFonts w:hint="eastAsia" w:hAnsi="宋体"/>
                <w:color w:val="auto"/>
                <w:kern w:val="0"/>
                <w:highlight w:val="none"/>
              </w:rPr>
              <w:t>磋商的顺序</w:t>
            </w:r>
          </w:p>
        </w:tc>
        <w:tc>
          <w:tcPr>
            <w:tcW w:w="6218" w:type="dxa"/>
            <w:noWrap w:val="0"/>
            <w:vAlign w:val="center"/>
          </w:tcPr>
          <w:p w14:paraId="136D6175">
            <w:pPr>
              <w:pStyle w:val="12"/>
              <w:rPr>
                <w:rFonts w:hAnsi="宋体"/>
                <w:color w:val="auto"/>
                <w:kern w:val="0"/>
                <w:highlight w:val="none"/>
              </w:rPr>
            </w:pPr>
            <w:r>
              <w:rPr>
                <w:rFonts w:hint="eastAsia" w:hAnsi="宋体"/>
                <w:color w:val="auto"/>
                <w:kern w:val="0"/>
                <w:highlight w:val="none"/>
              </w:rPr>
              <w:t>磋商的顺序：按“政采云”系统的编号顺序。</w:t>
            </w:r>
          </w:p>
          <w:p w14:paraId="49482D1E">
            <w:pPr>
              <w:pStyle w:val="12"/>
              <w:rPr>
                <w:rFonts w:hAnsi="宋体"/>
                <w:color w:val="auto"/>
                <w:kern w:val="0"/>
                <w:highlight w:val="none"/>
              </w:rPr>
            </w:pPr>
            <w:r>
              <w:rPr>
                <w:rFonts w:hint="eastAsia" w:hAnsi="宋体"/>
                <w:color w:val="auto"/>
                <w:kern w:val="0"/>
                <w:highlight w:val="none"/>
              </w:rPr>
              <w:t>符合磋商资格的供应商必须在接到磋商通知后规定时间内参加磋商，未在规定时间内参加磋商的视同放弃参加磋商权利，其响应文件按无效响应处理。</w:t>
            </w:r>
          </w:p>
        </w:tc>
      </w:tr>
      <w:tr w14:paraId="485AA3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851" w:type="dxa"/>
            <w:noWrap w:val="0"/>
            <w:vAlign w:val="center"/>
          </w:tcPr>
          <w:p w14:paraId="5118F91C">
            <w:pPr>
              <w:pStyle w:val="12"/>
              <w:jc w:val="center"/>
              <w:rPr>
                <w:rFonts w:hAnsi="宋体"/>
                <w:color w:val="auto"/>
                <w:kern w:val="0"/>
                <w:highlight w:val="none"/>
              </w:rPr>
            </w:pPr>
            <w:r>
              <w:rPr>
                <w:rFonts w:hint="eastAsia" w:hAnsi="宋体"/>
                <w:color w:val="auto"/>
                <w:kern w:val="0"/>
                <w:highlight w:val="none"/>
              </w:rPr>
              <w:t>21.3</w:t>
            </w:r>
          </w:p>
        </w:tc>
        <w:tc>
          <w:tcPr>
            <w:tcW w:w="2195" w:type="dxa"/>
            <w:gridSpan w:val="2"/>
            <w:noWrap w:val="0"/>
            <w:vAlign w:val="center"/>
          </w:tcPr>
          <w:p w14:paraId="52DBC6EC">
            <w:pPr>
              <w:spacing w:line="360" w:lineRule="auto"/>
              <w:rPr>
                <w:rFonts w:hint="eastAsia" w:ascii="宋体" w:hAnsi="宋体"/>
                <w:color w:val="auto"/>
                <w:kern w:val="0"/>
                <w:szCs w:val="21"/>
                <w:highlight w:val="none"/>
              </w:rPr>
            </w:pPr>
            <w:r>
              <w:rPr>
                <w:rFonts w:hint="eastAsia" w:ascii="宋体" w:hAnsi="宋体"/>
                <w:color w:val="auto"/>
                <w:kern w:val="0"/>
                <w:szCs w:val="21"/>
                <w:highlight w:val="none"/>
              </w:rPr>
              <w:t>是否允许分包</w:t>
            </w:r>
          </w:p>
        </w:tc>
        <w:tc>
          <w:tcPr>
            <w:tcW w:w="6218" w:type="dxa"/>
            <w:noWrap w:val="0"/>
            <w:vAlign w:val="center"/>
          </w:tcPr>
          <w:p w14:paraId="6D94DE9A">
            <w:pPr>
              <w:spacing w:line="360" w:lineRule="auto"/>
              <w:rPr>
                <w:rFonts w:hint="eastAsia" w:ascii="宋体" w:hAnsi="宋体"/>
                <w:color w:val="auto"/>
                <w:kern w:val="0"/>
                <w:szCs w:val="21"/>
                <w:highlight w:val="none"/>
              </w:rPr>
            </w:pPr>
            <w:r>
              <w:rPr>
                <w:rFonts w:hint="eastAsia" w:ascii="宋体" w:hAnsi="宋体"/>
                <w:color w:val="auto"/>
                <w:kern w:val="0"/>
                <w:szCs w:val="21"/>
                <w:highlight w:val="none"/>
              </w:rPr>
              <w:t xml:space="preserve"> </w:t>
            </w:r>
            <w:r>
              <w:rPr>
                <w:rFonts w:hint="eastAsia" w:ascii="宋体" w:hAnsi="宋体"/>
                <w:color w:val="auto"/>
                <w:kern w:val="0"/>
                <w:szCs w:val="21"/>
                <w:highlight w:val="none"/>
              </w:rPr>
              <w:sym w:font="Wingdings 2" w:char="0052"/>
            </w:r>
            <w:r>
              <w:rPr>
                <w:rFonts w:hint="eastAsia" w:ascii="宋体" w:hAnsi="宋体"/>
                <w:color w:val="auto"/>
                <w:kern w:val="0"/>
                <w:szCs w:val="21"/>
                <w:highlight w:val="none"/>
              </w:rPr>
              <w:t xml:space="preserve">否 </w:t>
            </w:r>
          </w:p>
          <w:p w14:paraId="4D9CBB0C">
            <w:pPr>
              <w:spacing w:line="360" w:lineRule="auto"/>
              <w:rPr>
                <w:rFonts w:hint="eastAsia" w:ascii="宋体" w:hAnsi="宋体"/>
                <w:color w:val="auto"/>
                <w:kern w:val="0"/>
                <w:szCs w:val="21"/>
                <w:highlight w:val="none"/>
              </w:rPr>
            </w:pPr>
            <w:r>
              <w:rPr>
                <w:rFonts w:hint="eastAsia" w:ascii="宋体" w:hAnsi="宋体"/>
                <w:color w:val="auto"/>
                <w:kern w:val="0"/>
                <w:szCs w:val="21"/>
                <w:highlight w:val="none"/>
              </w:rPr>
              <w:t xml:space="preserve"> </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 xml:space="preserve">是 允许分包的内容：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p>
        </w:tc>
      </w:tr>
      <w:tr w14:paraId="5A3D0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46" w:hRule="atLeast"/>
          <w:jc w:val="center"/>
        </w:trPr>
        <w:tc>
          <w:tcPr>
            <w:tcW w:w="851" w:type="dxa"/>
            <w:noWrap w:val="0"/>
            <w:vAlign w:val="center"/>
          </w:tcPr>
          <w:p w14:paraId="3D703B67">
            <w:pPr>
              <w:pStyle w:val="12"/>
              <w:jc w:val="center"/>
              <w:rPr>
                <w:rFonts w:hAnsi="宋体"/>
                <w:color w:val="auto"/>
                <w:kern w:val="0"/>
                <w:highlight w:val="none"/>
              </w:rPr>
            </w:pPr>
            <w:r>
              <w:rPr>
                <w:rFonts w:hint="eastAsia" w:hAnsi="宋体"/>
                <w:color w:val="auto"/>
                <w:kern w:val="0"/>
                <w:highlight w:val="none"/>
              </w:rPr>
              <w:t>22</w:t>
            </w:r>
          </w:p>
        </w:tc>
        <w:tc>
          <w:tcPr>
            <w:tcW w:w="2195" w:type="dxa"/>
            <w:gridSpan w:val="2"/>
            <w:noWrap w:val="0"/>
            <w:vAlign w:val="center"/>
          </w:tcPr>
          <w:p w14:paraId="0E754A5C">
            <w:pPr>
              <w:pStyle w:val="12"/>
              <w:rPr>
                <w:rFonts w:hAnsi="宋体"/>
                <w:color w:val="auto"/>
                <w:kern w:val="0"/>
                <w:highlight w:val="none"/>
              </w:rPr>
            </w:pPr>
            <w:r>
              <w:rPr>
                <w:rFonts w:hint="eastAsia" w:hAnsi="宋体"/>
                <w:color w:val="auto"/>
                <w:highlight w:val="none"/>
              </w:rPr>
              <w:t>履约保证金</w:t>
            </w:r>
          </w:p>
        </w:tc>
        <w:tc>
          <w:tcPr>
            <w:tcW w:w="6218" w:type="dxa"/>
            <w:noWrap w:val="0"/>
            <w:vAlign w:val="center"/>
          </w:tcPr>
          <w:p w14:paraId="7B90072F">
            <w:pPr>
              <w:rPr>
                <w:rFonts w:hint="eastAsia"/>
                <w:color w:val="auto"/>
                <w:highlight w:val="none"/>
                <w:lang w:eastAsia="zh-CN"/>
              </w:rPr>
            </w:pPr>
            <w:r>
              <w:rPr>
                <w:rFonts w:hint="eastAsia"/>
                <w:color w:val="auto"/>
                <w:highlight w:val="none"/>
                <w:lang w:val="en-US" w:eastAsia="zh-CN"/>
              </w:rPr>
              <w:t>成交人</w:t>
            </w:r>
            <w:r>
              <w:rPr>
                <w:rFonts w:hint="eastAsia"/>
                <w:color w:val="auto"/>
                <w:highlight w:val="none"/>
                <w:lang w:eastAsia="zh-CN"/>
              </w:rPr>
              <w:t>在成交通知书收到之日起</w:t>
            </w:r>
            <w:r>
              <w:rPr>
                <w:rFonts w:hint="eastAsia"/>
                <w:color w:val="auto"/>
                <w:highlight w:val="none"/>
                <w:lang w:val="en-US" w:eastAsia="zh-CN"/>
              </w:rPr>
              <w:t>5</w:t>
            </w:r>
            <w:r>
              <w:rPr>
                <w:rFonts w:hint="eastAsia"/>
                <w:color w:val="auto"/>
                <w:highlight w:val="none"/>
                <w:lang w:eastAsia="zh-CN"/>
              </w:rPr>
              <w:t>个</w:t>
            </w:r>
            <w:r>
              <w:rPr>
                <w:rFonts w:hint="eastAsia"/>
                <w:color w:val="auto"/>
                <w:highlight w:val="none"/>
                <w:lang w:val="en-US" w:eastAsia="zh-CN"/>
              </w:rPr>
              <w:t>工作</w:t>
            </w:r>
            <w:r>
              <w:rPr>
                <w:rFonts w:hint="eastAsia"/>
                <w:color w:val="auto"/>
                <w:highlight w:val="none"/>
                <w:lang w:eastAsia="zh-CN"/>
              </w:rPr>
              <w:t>日内需向</w:t>
            </w:r>
            <w:r>
              <w:rPr>
                <w:rFonts w:hint="eastAsia"/>
                <w:color w:val="auto"/>
                <w:highlight w:val="none"/>
                <w:lang w:val="en-US" w:eastAsia="zh-CN"/>
              </w:rPr>
              <w:t>采购人</w:t>
            </w:r>
            <w:r>
              <w:rPr>
                <w:rFonts w:hint="eastAsia"/>
                <w:color w:val="auto"/>
                <w:highlight w:val="none"/>
                <w:lang w:eastAsia="zh-CN"/>
              </w:rPr>
              <w:t>缴纳成交总金额3%的履约保证金。项目竣工后，3%的履约保证金转为工程质量保证金。</w:t>
            </w:r>
          </w:p>
          <w:p w14:paraId="3C972DF8">
            <w:pPr>
              <w:rPr>
                <w:rFonts w:hint="eastAsia"/>
                <w:color w:val="auto"/>
                <w:highlight w:val="none"/>
              </w:rPr>
            </w:pPr>
            <w:r>
              <w:rPr>
                <w:rFonts w:hint="eastAsia"/>
                <w:color w:val="auto"/>
                <w:highlight w:val="none"/>
                <w:lang w:eastAsia="zh-CN"/>
              </w:rPr>
              <w:t>履约保证金形式：</w:t>
            </w:r>
            <w:r>
              <w:rPr>
                <w:rFonts w:hint="eastAsia"/>
                <w:color w:val="auto"/>
                <w:highlight w:val="none"/>
                <w:lang w:val="en-US" w:eastAsia="zh-CN"/>
              </w:rPr>
              <w:t>成交</w:t>
            </w:r>
            <w:r>
              <w:rPr>
                <w:rFonts w:hint="eastAsia"/>
                <w:color w:val="auto"/>
                <w:highlight w:val="none"/>
                <w:lang w:eastAsia="zh-CN"/>
              </w:rPr>
              <w:t>人应当以银行转账、支票、汇票、本票或者金融机构、担保机构出具的保函等非现金形式提交。</w:t>
            </w:r>
          </w:p>
        </w:tc>
      </w:tr>
      <w:tr w14:paraId="138DD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851" w:type="dxa"/>
            <w:noWrap w:val="0"/>
            <w:vAlign w:val="center"/>
          </w:tcPr>
          <w:p w14:paraId="13706DD3">
            <w:pPr>
              <w:pStyle w:val="12"/>
              <w:jc w:val="center"/>
              <w:rPr>
                <w:rFonts w:hAnsi="宋体"/>
                <w:color w:val="auto"/>
                <w:kern w:val="0"/>
                <w:highlight w:val="none"/>
              </w:rPr>
            </w:pPr>
            <w:r>
              <w:rPr>
                <w:rFonts w:hint="eastAsia" w:hAnsi="宋体"/>
                <w:color w:val="auto"/>
                <w:kern w:val="0"/>
                <w:highlight w:val="none"/>
              </w:rPr>
              <w:t>24</w:t>
            </w:r>
          </w:p>
        </w:tc>
        <w:tc>
          <w:tcPr>
            <w:tcW w:w="2195" w:type="dxa"/>
            <w:gridSpan w:val="2"/>
            <w:noWrap w:val="0"/>
            <w:vAlign w:val="center"/>
          </w:tcPr>
          <w:p w14:paraId="1454110C">
            <w:pPr>
              <w:pStyle w:val="12"/>
              <w:rPr>
                <w:rFonts w:hint="eastAsia" w:hAnsi="宋体"/>
                <w:color w:val="auto"/>
                <w:kern w:val="0"/>
                <w:highlight w:val="none"/>
              </w:rPr>
            </w:pPr>
            <w:r>
              <w:rPr>
                <w:rFonts w:hint="eastAsia" w:hAnsi="宋体"/>
                <w:color w:val="auto"/>
                <w:kern w:val="0"/>
                <w:highlight w:val="none"/>
              </w:rPr>
              <w:t>采购代理服务费</w:t>
            </w:r>
          </w:p>
        </w:tc>
        <w:tc>
          <w:tcPr>
            <w:tcW w:w="6218" w:type="dxa"/>
            <w:noWrap w:val="0"/>
            <w:vAlign w:val="center"/>
          </w:tcPr>
          <w:p w14:paraId="6F2B01AB">
            <w:pPr>
              <w:adjustRightInd w:val="0"/>
              <w:snapToGrid w:val="0"/>
              <w:spacing w:line="240" w:lineRule="auto"/>
              <w:rPr>
                <w:rFonts w:hint="eastAsia" w:ascii="宋体" w:hAnsi="宋体" w:cs="宋体"/>
                <w:color w:val="auto"/>
                <w:szCs w:val="21"/>
                <w:highlight w:val="none"/>
              </w:rPr>
            </w:pPr>
            <w:r>
              <w:rPr>
                <w:rFonts w:hint="eastAsia" w:ascii="宋体" w:hAnsi="宋体" w:cs="宋体"/>
                <w:b/>
                <w:bCs/>
                <w:color w:val="auto"/>
                <w:szCs w:val="21"/>
                <w:highlight w:val="none"/>
              </w:rPr>
              <w:t>按照采购人与采购代理机构约定的收费标准下浮20%向中标人收取，此费用包含在中标人报价中（计算基准为中标金额），且在采购文件中明示供应商报价包含招标代理服务费。</w:t>
            </w:r>
            <w:r>
              <w:rPr>
                <w:rFonts w:hint="eastAsia" w:ascii="宋体" w:hAnsi="宋体" w:cs="宋体"/>
                <w:color w:val="auto"/>
                <w:highlight w:val="none"/>
              </w:rPr>
              <w:drawing>
                <wp:anchor distT="0" distB="0" distL="114300" distR="114300" simplePos="0" relativeHeight="251659264" behindDoc="0" locked="0" layoutInCell="1" allowOverlap="1">
                  <wp:simplePos x="0" y="0"/>
                  <wp:positionH relativeFrom="column">
                    <wp:posOffset>1804670</wp:posOffset>
                  </wp:positionH>
                  <wp:positionV relativeFrom="paragraph">
                    <wp:posOffset>49530</wp:posOffset>
                  </wp:positionV>
                  <wp:extent cx="1680845" cy="1539875"/>
                  <wp:effectExtent l="0" t="0" r="14605" b="3175"/>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1680845" cy="1539875"/>
                          </a:xfrm>
                          <a:prstGeom prst="rect">
                            <a:avLst/>
                          </a:prstGeom>
                          <a:noFill/>
                          <a:ln>
                            <a:noFill/>
                          </a:ln>
                        </pic:spPr>
                      </pic:pic>
                    </a:graphicData>
                  </a:graphic>
                </wp:anchor>
              </w:drawing>
            </w:r>
          </w:p>
        </w:tc>
      </w:tr>
      <w:tr w14:paraId="6FB26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851" w:type="dxa"/>
            <w:noWrap w:val="0"/>
            <w:vAlign w:val="center"/>
          </w:tcPr>
          <w:p w14:paraId="0E89CE92">
            <w:pPr>
              <w:pStyle w:val="12"/>
              <w:jc w:val="center"/>
              <w:rPr>
                <w:rFonts w:hint="eastAsia" w:hAnsi="宋体"/>
                <w:color w:val="auto"/>
                <w:kern w:val="0"/>
                <w:highlight w:val="none"/>
              </w:rPr>
            </w:pPr>
            <w:r>
              <w:rPr>
                <w:rFonts w:hint="eastAsia" w:hAnsi="宋体" w:cs="宋体"/>
                <w:color w:val="auto"/>
                <w:kern w:val="0"/>
                <w:highlight w:val="none"/>
              </w:rPr>
              <w:t>26</w:t>
            </w:r>
          </w:p>
        </w:tc>
        <w:tc>
          <w:tcPr>
            <w:tcW w:w="8413" w:type="dxa"/>
            <w:gridSpan w:val="3"/>
            <w:noWrap w:val="0"/>
            <w:vAlign w:val="center"/>
          </w:tcPr>
          <w:p w14:paraId="309F79D3">
            <w:pPr>
              <w:pStyle w:val="12"/>
              <w:jc w:val="both"/>
              <w:rPr>
                <w:rFonts w:hint="eastAsia" w:hAnsi="宋体" w:cs="宋体"/>
                <w:color w:val="auto"/>
                <w:highlight w:val="none"/>
              </w:rPr>
            </w:pPr>
            <w:r>
              <w:rPr>
                <w:rFonts w:hint="eastAsia" w:hAnsi="宋体" w:cs="宋体"/>
                <w:color w:val="auto"/>
                <w:kern w:val="0"/>
                <w:highlight w:val="none"/>
              </w:rPr>
              <w:t>需要补充的其他内容（如下）：</w:t>
            </w:r>
          </w:p>
        </w:tc>
      </w:tr>
      <w:tr w14:paraId="198A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851" w:type="dxa"/>
            <w:noWrap w:val="0"/>
            <w:vAlign w:val="center"/>
          </w:tcPr>
          <w:p w14:paraId="41014D0E">
            <w:pPr>
              <w:rPr>
                <w:rFonts w:hint="eastAsia" w:hAnsi="宋体" w:cs="宋体"/>
                <w:color w:val="auto"/>
                <w:kern w:val="0"/>
                <w:highlight w:val="none"/>
              </w:rPr>
            </w:pPr>
            <w:r>
              <w:rPr>
                <w:rFonts w:hint="eastAsia" w:ascii="宋体" w:hAnsi="宋体" w:cs="宋体"/>
                <w:color w:val="auto"/>
                <w:highlight w:val="none"/>
              </w:rPr>
              <w:t>26.1</w:t>
            </w:r>
          </w:p>
        </w:tc>
        <w:tc>
          <w:tcPr>
            <w:tcW w:w="1973" w:type="dxa"/>
            <w:noWrap w:val="0"/>
            <w:vAlign w:val="center"/>
          </w:tcPr>
          <w:p w14:paraId="655361F4">
            <w:pPr>
              <w:rPr>
                <w:rFonts w:hint="eastAsia" w:hAnsi="宋体" w:cs="宋体"/>
                <w:color w:val="auto"/>
                <w:kern w:val="0"/>
                <w:highlight w:val="none"/>
              </w:rPr>
            </w:pPr>
            <w:r>
              <w:rPr>
                <w:rFonts w:hint="eastAsia"/>
                <w:color w:val="auto"/>
                <w:highlight w:val="none"/>
              </w:rPr>
              <w:t>踏勘现场</w:t>
            </w:r>
          </w:p>
        </w:tc>
        <w:tc>
          <w:tcPr>
            <w:tcW w:w="6440" w:type="dxa"/>
            <w:gridSpan w:val="2"/>
            <w:noWrap w:val="0"/>
            <w:vAlign w:val="center"/>
          </w:tcPr>
          <w:p w14:paraId="7FB6156F">
            <w:pPr>
              <w:rPr>
                <w:rFonts w:hint="default" w:eastAsia="宋体"/>
                <w:color w:val="auto"/>
                <w:highlight w:val="none"/>
                <w:lang w:val="en-US" w:eastAsia="zh-CN"/>
              </w:rPr>
            </w:pPr>
            <w:r>
              <w:rPr>
                <w:rFonts w:hint="eastAsia"/>
                <w:color w:val="auto"/>
                <w:highlight w:val="none"/>
                <w:lang w:val="en-US" w:eastAsia="zh-CN"/>
              </w:rPr>
              <w:t>本项目不组织现场踏勘。</w:t>
            </w:r>
          </w:p>
        </w:tc>
      </w:tr>
      <w:tr w14:paraId="6FCCB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851" w:type="dxa"/>
            <w:noWrap w:val="0"/>
            <w:vAlign w:val="center"/>
          </w:tcPr>
          <w:p w14:paraId="1ABF8C23">
            <w:pPr>
              <w:pStyle w:val="12"/>
              <w:jc w:val="center"/>
              <w:rPr>
                <w:rFonts w:hAnsi="宋体"/>
                <w:color w:val="auto"/>
                <w:kern w:val="0"/>
                <w:highlight w:val="none"/>
              </w:rPr>
            </w:pPr>
            <w:r>
              <w:rPr>
                <w:rFonts w:hint="eastAsia" w:hAnsi="宋体"/>
                <w:color w:val="auto"/>
                <w:kern w:val="0"/>
                <w:highlight w:val="none"/>
              </w:rPr>
              <w:t>26.2</w:t>
            </w:r>
          </w:p>
        </w:tc>
        <w:tc>
          <w:tcPr>
            <w:tcW w:w="8413" w:type="dxa"/>
            <w:gridSpan w:val="3"/>
            <w:noWrap w:val="0"/>
            <w:vAlign w:val="center"/>
          </w:tcPr>
          <w:p w14:paraId="7DFAD115">
            <w:pPr>
              <w:rPr>
                <w:b/>
                <w:bCs/>
                <w:color w:val="auto"/>
                <w:highlight w:val="none"/>
              </w:rPr>
            </w:pPr>
            <w:r>
              <w:rPr>
                <w:rFonts w:hint="eastAsia"/>
                <w:b/>
                <w:bCs/>
                <w:color w:val="auto"/>
                <w:highlight w:val="none"/>
              </w:rPr>
              <w:t>1、</w:t>
            </w:r>
            <w:r>
              <w:rPr>
                <w:b/>
                <w:bCs/>
                <w:color w:val="auto"/>
                <w:highlight w:val="none"/>
              </w:rPr>
              <w:t>一旦中标，</w:t>
            </w:r>
            <w:r>
              <w:rPr>
                <w:rFonts w:hint="eastAsia"/>
                <w:b/>
                <w:bCs/>
                <w:color w:val="auto"/>
                <w:highlight w:val="none"/>
              </w:rPr>
              <w:t>供应商</w:t>
            </w:r>
            <w:r>
              <w:rPr>
                <w:b/>
                <w:bCs/>
                <w:color w:val="auto"/>
                <w:highlight w:val="none"/>
              </w:rPr>
              <w:t>必须严格按国家及地方相关规定规范企业用工行为，制订保</w:t>
            </w:r>
            <w:r>
              <w:rPr>
                <w:rFonts w:hint="eastAsia"/>
                <w:b/>
                <w:bCs/>
                <w:color w:val="auto"/>
                <w:highlight w:val="none"/>
                <w:lang w:eastAsia="zh-CN"/>
              </w:rPr>
              <w:t>证农</w:t>
            </w:r>
            <w:r>
              <w:rPr>
                <w:b/>
                <w:bCs/>
                <w:color w:val="auto"/>
                <w:highlight w:val="none"/>
              </w:rPr>
              <w:t>民工工资支付的方案及措施，确保按时足额支付农民工工资。工程进行中如果发生拖欠农民工工资情况，一经查实</w:t>
            </w:r>
            <w:r>
              <w:rPr>
                <w:rFonts w:hint="eastAsia"/>
                <w:b/>
                <w:bCs/>
                <w:color w:val="auto"/>
                <w:highlight w:val="none"/>
              </w:rPr>
              <w:t>采购人</w:t>
            </w:r>
            <w:r>
              <w:rPr>
                <w:b/>
                <w:bCs/>
                <w:color w:val="auto"/>
                <w:highlight w:val="none"/>
              </w:rPr>
              <w:t>将延缓或不予支付工程款，并将积极配合有关行政主管部门所进行的责罚，由此导致工期延误等一切后果由承包人承担。</w:t>
            </w:r>
          </w:p>
          <w:p w14:paraId="3ACADE20">
            <w:pPr>
              <w:rPr>
                <w:color w:val="auto"/>
                <w:highlight w:val="none"/>
              </w:rPr>
            </w:pPr>
            <w:r>
              <w:rPr>
                <w:rFonts w:hint="eastAsia"/>
                <w:b/>
                <w:bCs/>
                <w:color w:val="auto"/>
                <w:highlight w:val="none"/>
              </w:rPr>
              <w:t>2、</w:t>
            </w:r>
            <w:r>
              <w:rPr>
                <w:b/>
                <w:bCs/>
                <w:color w:val="auto"/>
                <w:highlight w:val="none"/>
              </w:rPr>
              <w:t>商务</w:t>
            </w:r>
            <w:r>
              <w:rPr>
                <w:rFonts w:hint="eastAsia"/>
                <w:b/>
                <w:bCs/>
                <w:color w:val="auto"/>
                <w:highlight w:val="none"/>
              </w:rPr>
              <w:t>标</w:t>
            </w:r>
            <w:r>
              <w:rPr>
                <w:b/>
                <w:bCs/>
                <w:color w:val="auto"/>
                <w:highlight w:val="none"/>
              </w:rPr>
              <w:t>报价文件</w:t>
            </w:r>
            <w:r>
              <w:rPr>
                <w:rFonts w:hint="eastAsia"/>
                <w:b/>
                <w:bCs/>
                <w:color w:val="auto"/>
                <w:highlight w:val="none"/>
              </w:rPr>
              <w:t>（已标价工程量清单）</w:t>
            </w:r>
            <w:r>
              <w:rPr>
                <w:b/>
                <w:bCs/>
                <w:color w:val="auto"/>
                <w:highlight w:val="none"/>
              </w:rPr>
              <w:t>中投标</w:t>
            </w:r>
            <w:r>
              <w:rPr>
                <w:rFonts w:hint="eastAsia"/>
                <w:b/>
                <w:bCs/>
                <w:color w:val="auto"/>
                <w:highlight w:val="none"/>
              </w:rPr>
              <w:t>（成交）</w:t>
            </w:r>
            <w:r>
              <w:rPr>
                <w:b/>
                <w:bCs/>
                <w:color w:val="auto"/>
                <w:highlight w:val="none"/>
              </w:rPr>
              <w:t>总价（扉）要求“编制人：（造价人员签字盖专用章）”处，须由注册造价工程师签字并盖造价工程师章（若造价工程师非本单位人员的，须附委托协议并附于</w:t>
            </w:r>
            <w:r>
              <w:rPr>
                <w:rFonts w:hint="eastAsia"/>
                <w:b/>
                <w:bCs/>
                <w:color w:val="auto"/>
                <w:highlight w:val="none"/>
              </w:rPr>
              <w:t>响应</w:t>
            </w:r>
            <w:r>
              <w:rPr>
                <w:b/>
                <w:bCs/>
                <w:color w:val="auto"/>
                <w:highlight w:val="none"/>
              </w:rPr>
              <w:t>文件商务</w:t>
            </w:r>
            <w:r>
              <w:rPr>
                <w:rFonts w:hint="eastAsia"/>
                <w:b/>
                <w:bCs/>
                <w:color w:val="auto"/>
                <w:highlight w:val="none"/>
              </w:rPr>
              <w:t>标</w:t>
            </w:r>
            <w:r>
              <w:rPr>
                <w:b/>
                <w:bCs/>
                <w:color w:val="auto"/>
                <w:highlight w:val="none"/>
              </w:rPr>
              <w:t>部分中），否则其</w:t>
            </w:r>
            <w:r>
              <w:rPr>
                <w:rFonts w:hint="eastAsia"/>
                <w:b/>
                <w:bCs/>
                <w:color w:val="auto"/>
                <w:highlight w:val="none"/>
              </w:rPr>
              <w:t>响应</w:t>
            </w:r>
            <w:r>
              <w:rPr>
                <w:b/>
                <w:bCs/>
                <w:color w:val="auto"/>
                <w:highlight w:val="none"/>
              </w:rPr>
              <w:t>文件</w:t>
            </w:r>
            <w:r>
              <w:rPr>
                <w:rFonts w:hint="eastAsia"/>
                <w:b/>
                <w:bCs/>
                <w:color w:val="auto"/>
                <w:highlight w:val="none"/>
              </w:rPr>
              <w:t>按无效处理</w:t>
            </w:r>
            <w:r>
              <w:rPr>
                <w:b/>
                <w:bCs/>
                <w:color w:val="auto"/>
                <w:highlight w:val="none"/>
              </w:rPr>
              <w:t>。</w:t>
            </w:r>
          </w:p>
        </w:tc>
      </w:tr>
    </w:tbl>
    <w:p w14:paraId="6688894D">
      <w:pPr>
        <w:spacing w:line="360" w:lineRule="auto"/>
        <w:rPr>
          <w:rFonts w:ascii="宋体" w:hAnsi="宋体"/>
          <w:color w:val="auto"/>
          <w:highlight w:val="none"/>
        </w:rPr>
      </w:pPr>
      <w:bookmarkStart w:id="160" w:name="_Toc86124040"/>
      <w:r>
        <w:rPr>
          <w:rFonts w:ascii="宋体" w:hAnsi="宋体"/>
          <w:color w:val="auto"/>
          <w:highlight w:val="none"/>
        </w:rPr>
        <w:br w:type="page"/>
      </w:r>
    </w:p>
    <w:p w14:paraId="41B948A5">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161" w:name="_Toc24008"/>
      <w:bookmarkStart w:id="162" w:name="_Toc30842"/>
      <w:bookmarkStart w:id="163" w:name="_Toc21113"/>
      <w:bookmarkStart w:id="164" w:name="_Toc25318"/>
      <w:bookmarkStart w:id="165" w:name="_Toc27761"/>
      <w:bookmarkStart w:id="166" w:name="_Toc3079"/>
      <w:bookmarkStart w:id="167" w:name="_Toc3675"/>
      <w:bookmarkStart w:id="168" w:name="_Toc28917"/>
      <w:bookmarkStart w:id="169" w:name="_Toc470096304"/>
      <w:bookmarkStart w:id="170" w:name="_Toc13882"/>
      <w:bookmarkStart w:id="171" w:name="_Toc3324"/>
      <w:r>
        <w:rPr>
          <w:rFonts w:hint="eastAsia" w:ascii="黑体" w:hAnsi="黑体" w:eastAsia="黑体"/>
          <w:bCs w:val="0"/>
          <w:color w:val="auto"/>
          <w:sz w:val="28"/>
          <w:szCs w:val="30"/>
          <w:highlight w:val="none"/>
        </w:rPr>
        <w:t>一、总</w:t>
      </w:r>
      <w:r>
        <w:rPr>
          <w:rFonts w:ascii="黑体" w:hAnsi="黑体" w:eastAsia="黑体"/>
          <w:bCs w:val="0"/>
          <w:color w:val="auto"/>
          <w:sz w:val="28"/>
          <w:szCs w:val="30"/>
          <w:highlight w:val="none"/>
        </w:rPr>
        <w:t xml:space="preserve">  </w:t>
      </w:r>
      <w:r>
        <w:rPr>
          <w:rFonts w:hint="eastAsia" w:ascii="黑体" w:hAnsi="黑体" w:eastAsia="黑体"/>
          <w:bCs w:val="0"/>
          <w:color w:val="auto"/>
          <w:sz w:val="28"/>
          <w:szCs w:val="30"/>
          <w:highlight w:val="none"/>
        </w:rPr>
        <w:t>则</w:t>
      </w:r>
      <w:bookmarkEnd w:id="160"/>
      <w:bookmarkEnd w:id="161"/>
      <w:bookmarkEnd w:id="162"/>
      <w:bookmarkEnd w:id="163"/>
      <w:bookmarkEnd w:id="164"/>
      <w:bookmarkEnd w:id="165"/>
      <w:bookmarkEnd w:id="166"/>
      <w:bookmarkEnd w:id="167"/>
      <w:bookmarkEnd w:id="168"/>
      <w:bookmarkEnd w:id="169"/>
      <w:bookmarkEnd w:id="170"/>
      <w:bookmarkEnd w:id="171"/>
    </w:p>
    <w:p w14:paraId="35326402">
      <w:pPr>
        <w:pStyle w:val="5"/>
        <w:tabs>
          <w:tab w:val="left" w:pos="0"/>
        </w:tabs>
        <w:spacing w:before="0" w:after="0"/>
        <w:ind w:firstLine="0" w:firstLineChars="0"/>
        <w:jc w:val="both"/>
        <w:rPr>
          <w:rFonts w:hAnsi="宋体"/>
          <w:color w:val="auto"/>
          <w:kern w:val="2"/>
          <w:sz w:val="24"/>
          <w:szCs w:val="24"/>
          <w:highlight w:val="none"/>
        </w:rPr>
      </w:pPr>
      <w:bookmarkStart w:id="172" w:name="_Toc470096305"/>
      <w:bookmarkStart w:id="173" w:name="_Toc14844"/>
      <w:bookmarkStart w:id="174" w:name="_Toc19036"/>
      <w:bookmarkStart w:id="175" w:name="_Toc12790"/>
      <w:bookmarkStart w:id="176" w:name="_Toc432194826"/>
      <w:bookmarkStart w:id="177" w:name="_Toc432106475"/>
      <w:bookmarkStart w:id="178" w:name="_Toc7699"/>
      <w:bookmarkStart w:id="179" w:name="_Toc383175474"/>
      <w:bookmarkStart w:id="180" w:name="_Toc16944"/>
      <w:bookmarkStart w:id="181" w:name="_Toc18520"/>
      <w:bookmarkStart w:id="182" w:name="_Toc438396728"/>
      <w:bookmarkStart w:id="183" w:name="_Toc24048"/>
      <w:bookmarkStart w:id="184" w:name="_Toc29426"/>
      <w:bookmarkStart w:id="185" w:name="_Toc383175052"/>
      <w:bookmarkStart w:id="186" w:name="_Toc383175276"/>
      <w:bookmarkStart w:id="187" w:name="_Toc329810186"/>
      <w:bookmarkStart w:id="188" w:name="_Toc2200"/>
      <w:bookmarkStart w:id="189" w:name="_Toc16012"/>
      <w:r>
        <w:rPr>
          <w:rFonts w:hint="eastAsia" w:hAnsi="宋体"/>
          <w:color w:val="auto"/>
          <w:kern w:val="2"/>
          <w:sz w:val="24"/>
          <w:szCs w:val="24"/>
          <w:highlight w:val="none"/>
        </w:rPr>
        <w:t>1、项目概况</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9EE733E">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1.1</w:t>
      </w:r>
      <w:r>
        <w:rPr>
          <w:rFonts w:hint="eastAsia" w:ascii="宋体" w:hAnsi="宋体"/>
          <w:color w:val="auto"/>
          <w:szCs w:val="21"/>
          <w:highlight w:val="none"/>
        </w:rPr>
        <w:t>根据</w:t>
      </w:r>
      <w:r>
        <w:rPr>
          <w:rFonts w:ascii="宋体" w:hAnsi="宋体"/>
          <w:color w:val="auto"/>
          <w:szCs w:val="21"/>
          <w:highlight w:val="none"/>
        </w:rPr>
        <w:t>《中华人民共和国政府采购法》等有关法律、法规和规章的规定，本项目已获批准，现对本项目进行竞争性磋商采购</w:t>
      </w:r>
      <w:r>
        <w:rPr>
          <w:rFonts w:hint="eastAsia" w:ascii="宋体" w:hAnsi="宋体"/>
          <w:color w:val="auto"/>
          <w:szCs w:val="21"/>
          <w:highlight w:val="none"/>
        </w:rPr>
        <w:t>。</w:t>
      </w:r>
    </w:p>
    <w:p w14:paraId="417F7798">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1.2 </w:t>
      </w:r>
      <w:r>
        <w:rPr>
          <w:rFonts w:hint="eastAsia" w:ascii="宋体" w:hAnsi="宋体"/>
          <w:color w:val="auto"/>
          <w:szCs w:val="21"/>
          <w:highlight w:val="none"/>
        </w:rPr>
        <w:t>本项目采购人、采购代理机构、项目名称及项目编号：见</w:t>
      </w:r>
      <w:r>
        <w:rPr>
          <w:rFonts w:ascii="宋体" w:hAnsi="宋体"/>
          <w:color w:val="auto"/>
          <w:szCs w:val="21"/>
          <w:highlight w:val="none"/>
        </w:rPr>
        <w:t>“</w:t>
      </w:r>
      <w:r>
        <w:rPr>
          <w:rFonts w:hint="eastAsia" w:ascii="宋体" w:hAnsi="宋体"/>
          <w:b/>
          <w:bCs/>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w:t>
      </w:r>
    </w:p>
    <w:p w14:paraId="0566613D">
      <w:pPr>
        <w:pStyle w:val="5"/>
        <w:tabs>
          <w:tab w:val="left" w:pos="0"/>
        </w:tabs>
        <w:spacing w:before="0" w:after="0"/>
        <w:ind w:firstLine="0" w:firstLineChars="0"/>
        <w:jc w:val="both"/>
        <w:rPr>
          <w:rFonts w:hAnsi="宋体"/>
          <w:color w:val="auto"/>
          <w:kern w:val="2"/>
          <w:sz w:val="24"/>
          <w:szCs w:val="24"/>
          <w:highlight w:val="none"/>
        </w:rPr>
      </w:pPr>
      <w:bookmarkStart w:id="190" w:name="_Toc29113"/>
      <w:bookmarkStart w:id="191" w:name="_Toc5960"/>
      <w:bookmarkStart w:id="192" w:name="_Toc68"/>
      <w:bookmarkStart w:id="193" w:name="_Toc29222"/>
      <w:bookmarkStart w:id="194" w:name="_Toc23444"/>
      <w:bookmarkStart w:id="195" w:name="_Toc14143"/>
      <w:bookmarkStart w:id="196" w:name="_Toc21656"/>
      <w:bookmarkStart w:id="197" w:name="_Toc23418"/>
      <w:bookmarkStart w:id="198" w:name="_Toc26410"/>
      <w:bookmarkStart w:id="199" w:name="_Toc30232"/>
      <w:r>
        <w:rPr>
          <w:rFonts w:hint="eastAsia" w:hAnsi="宋体"/>
          <w:color w:val="auto"/>
          <w:kern w:val="2"/>
          <w:sz w:val="24"/>
          <w:szCs w:val="24"/>
          <w:highlight w:val="none"/>
        </w:rPr>
        <w:t>2、资金来源及落实情况</w:t>
      </w:r>
      <w:bookmarkEnd w:id="190"/>
      <w:bookmarkEnd w:id="191"/>
      <w:bookmarkEnd w:id="192"/>
      <w:bookmarkEnd w:id="193"/>
      <w:bookmarkEnd w:id="194"/>
      <w:bookmarkEnd w:id="195"/>
      <w:bookmarkEnd w:id="196"/>
      <w:bookmarkEnd w:id="197"/>
      <w:bookmarkEnd w:id="198"/>
      <w:bookmarkEnd w:id="199"/>
    </w:p>
    <w:p w14:paraId="44F7C05F">
      <w:pPr>
        <w:spacing w:line="360" w:lineRule="auto"/>
        <w:ind w:firstLine="420" w:firstLineChars="200"/>
        <w:jc w:val="left"/>
        <w:rPr>
          <w:color w:val="auto"/>
          <w:szCs w:val="21"/>
          <w:highlight w:val="none"/>
        </w:rPr>
      </w:pPr>
      <w:r>
        <w:rPr>
          <w:rFonts w:hint="eastAsia"/>
          <w:color w:val="auto"/>
          <w:szCs w:val="21"/>
          <w:highlight w:val="none"/>
        </w:rPr>
        <w:t>2.1 本项目的资金来源：</w:t>
      </w:r>
      <w:r>
        <w:rPr>
          <w:rFonts w:hint="eastAsia" w:ascii="宋体"/>
          <w:color w:val="auto"/>
          <w:szCs w:val="20"/>
          <w:highlight w:val="none"/>
        </w:rPr>
        <w:t>见</w:t>
      </w:r>
      <w:r>
        <w:rPr>
          <w:rFonts w:hint="eastAsia"/>
          <w:color w:val="auto"/>
          <w:highlight w:val="none"/>
        </w:rPr>
        <w:t>“</w:t>
      </w:r>
      <w:r>
        <w:rPr>
          <w:rFonts w:hint="eastAsia" w:ascii="宋体" w:hAnsi="宋体"/>
          <w:b/>
          <w:bCs/>
          <w:color w:val="auto"/>
          <w:szCs w:val="21"/>
          <w:highlight w:val="none"/>
        </w:rPr>
        <w:t>供应商</w:t>
      </w:r>
      <w:r>
        <w:rPr>
          <w:rFonts w:hint="eastAsia" w:ascii="宋体"/>
          <w:b/>
          <w:color w:val="auto"/>
          <w:szCs w:val="20"/>
          <w:highlight w:val="none"/>
        </w:rPr>
        <w:t>须知前附表</w:t>
      </w:r>
      <w:r>
        <w:rPr>
          <w:rFonts w:hint="eastAsia"/>
          <w:color w:val="auto"/>
          <w:highlight w:val="none"/>
        </w:rPr>
        <w:t>”</w:t>
      </w:r>
      <w:r>
        <w:rPr>
          <w:rFonts w:hint="eastAsia"/>
          <w:color w:val="auto"/>
          <w:szCs w:val="21"/>
          <w:highlight w:val="none"/>
        </w:rPr>
        <w:t>。</w:t>
      </w:r>
    </w:p>
    <w:p w14:paraId="2F24E5D1">
      <w:pPr>
        <w:spacing w:line="360" w:lineRule="auto"/>
        <w:ind w:firstLine="420" w:firstLineChars="200"/>
        <w:jc w:val="left"/>
        <w:rPr>
          <w:rFonts w:ascii="宋体" w:hAnsi="宋体"/>
          <w:color w:val="auto"/>
          <w:szCs w:val="21"/>
          <w:highlight w:val="none"/>
        </w:rPr>
      </w:pPr>
      <w:r>
        <w:rPr>
          <w:rFonts w:hint="eastAsia"/>
          <w:color w:val="auto"/>
          <w:szCs w:val="21"/>
          <w:highlight w:val="none"/>
        </w:rPr>
        <w:t>2.2 本项目的资金落实情况：</w:t>
      </w:r>
      <w:r>
        <w:rPr>
          <w:rFonts w:hint="eastAsia" w:ascii="宋体"/>
          <w:color w:val="auto"/>
          <w:szCs w:val="20"/>
          <w:highlight w:val="none"/>
        </w:rPr>
        <w:t>见</w:t>
      </w:r>
      <w:r>
        <w:rPr>
          <w:rFonts w:hint="eastAsia"/>
          <w:color w:val="auto"/>
          <w:highlight w:val="none"/>
        </w:rPr>
        <w:t>“</w:t>
      </w:r>
      <w:r>
        <w:rPr>
          <w:rFonts w:hint="eastAsia" w:ascii="宋体" w:hAnsi="宋体"/>
          <w:b/>
          <w:bCs/>
          <w:color w:val="auto"/>
          <w:szCs w:val="21"/>
          <w:highlight w:val="none"/>
        </w:rPr>
        <w:t>供应商</w:t>
      </w:r>
      <w:r>
        <w:rPr>
          <w:rFonts w:hint="eastAsia" w:ascii="宋体"/>
          <w:b/>
          <w:color w:val="auto"/>
          <w:szCs w:val="20"/>
          <w:highlight w:val="none"/>
        </w:rPr>
        <w:t>须知前附表</w:t>
      </w:r>
      <w:r>
        <w:rPr>
          <w:rFonts w:hint="eastAsia"/>
          <w:color w:val="auto"/>
          <w:highlight w:val="none"/>
        </w:rPr>
        <w:t>”</w:t>
      </w:r>
      <w:r>
        <w:rPr>
          <w:rFonts w:hint="eastAsia"/>
          <w:color w:val="auto"/>
          <w:szCs w:val="21"/>
          <w:highlight w:val="none"/>
        </w:rPr>
        <w:t>。</w:t>
      </w:r>
    </w:p>
    <w:p w14:paraId="61365545">
      <w:pPr>
        <w:pStyle w:val="5"/>
        <w:tabs>
          <w:tab w:val="left" w:pos="0"/>
        </w:tabs>
        <w:spacing w:before="0" w:after="0"/>
        <w:ind w:firstLine="0" w:firstLineChars="0"/>
        <w:jc w:val="both"/>
        <w:rPr>
          <w:rFonts w:hAnsi="宋体"/>
          <w:color w:val="auto"/>
          <w:kern w:val="2"/>
          <w:sz w:val="24"/>
          <w:szCs w:val="24"/>
          <w:highlight w:val="none"/>
        </w:rPr>
      </w:pPr>
      <w:bookmarkStart w:id="200" w:name="_Toc470096307"/>
      <w:bookmarkStart w:id="201" w:name="_Toc4429"/>
      <w:bookmarkStart w:id="202" w:name="_Toc432194828"/>
      <w:bookmarkStart w:id="203" w:name="_Toc8058"/>
      <w:bookmarkStart w:id="204" w:name="_Toc9981"/>
      <w:bookmarkStart w:id="205" w:name="_Toc438396730"/>
      <w:bookmarkStart w:id="206" w:name="_Toc432106477"/>
      <w:bookmarkStart w:id="207" w:name="_Toc13791"/>
      <w:bookmarkStart w:id="208" w:name="_Toc14696"/>
      <w:bookmarkStart w:id="209" w:name="_Toc2590"/>
      <w:bookmarkStart w:id="210" w:name="_Toc26422"/>
      <w:bookmarkStart w:id="211" w:name="_Toc842"/>
      <w:bookmarkStart w:id="212" w:name="_Toc12759"/>
      <w:bookmarkStart w:id="213" w:name="_Toc31035"/>
      <w:r>
        <w:rPr>
          <w:rFonts w:hint="eastAsia" w:hAnsi="宋体"/>
          <w:color w:val="auto"/>
          <w:kern w:val="2"/>
          <w:sz w:val="24"/>
          <w:szCs w:val="24"/>
          <w:highlight w:val="none"/>
        </w:rPr>
        <w:t>3、项目范围</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07BE3A4">
      <w:pPr>
        <w:spacing w:line="360" w:lineRule="auto"/>
        <w:ind w:firstLine="420" w:firstLineChars="200"/>
        <w:jc w:val="left"/>
        <w:rPr>
          <w:rFonts w:ascii="宋体" w:hAnsi="宋体"/>
          <w:color w:val="auto"/>
          <w:szCs w:val="21"/>
          <w:highlight w:val="none"/>
        </w:rPr>
      </w:pPr>
      <w:bookmarkStart w:id="214" w:name="_Toc383175279"/>
      <w:bookmarkStart w:id="215" w:name="_Toc432106478"/>
      <w:bookmarkStart w:id="216" w:name="_Toc470096308"/>
      <w:bookmarkStart w:id="217" w:name="_Toc329810189"/>
      <w:bookmarkStart w:id="218" w:name="_Toc383175477"/>
      <w:bookmarkStart w:id="219" w:name="_Toc383175055"/>
      <w:bookmarkStart w:id="220" w:name="_Toc432194829"/>
      <w:bookmarkStart w:id="221" w:name="_Toc438396731"/>
      <w:r>
        <w:rPr>
          <w:rFonts w:ascii="宋体" w:hAnsi="宋体"/>
          <w:color w:val="auto"/>
          <w:szCs w:val="21"/>
          <w:highlight w:val="none"/>
        </w:rPr>
        <w:t>3.1</w:t>
      </w:r>
      <w:r>
        <w:rPr>
          <w:rFonts w:hint="eastAsia" w:ascii="宋体" w:hAnsi="宋体"/>
          <w:color w:val="auto"/>
          <w:szCs w:val="21"/>
          <w:highlight w:val="none"/>
        </w:rPr>
        <w:t xml:space="preserve"> </w:t>
      </w:r>
      <w:r>
        <w:rPr>
          <w:rFonts w:hint="eastAsia" w:hAnsi="宋体"/>
          <w:color w:val="auto"/>
          <w:szCs w:val="21"/>
          <w:highlight w:val="none"/>
        </w:rPr>
        <w:t>项目范围</w:t>
      </w:r>
      <w:r>
        <w:rPr>
          <w:rFonts w:hint="eastAsia" w:ascii="宋体" w:hAnsi="宋体"/>
          <w:color w:val="auto"/>
          <w:szCs w:val="21"/>
          <w:highlight w:val="none"/>
        </w:rPr>
        <w:t>：见</w:t>
      </w:r>
      <w:r>
        <w:rPr>
          <w:rFonts w:ascii="宋体" w:hAnsi="宋体"/>
          <w:color w:val="auto"/>
          <w:szCs w:val="21"/>
          <w:highlight w:val="none"/>
        </w:rPr>
        <w:t>“</w:t>
      </w:r>
      <w:r>
        <w:rPr>
          <w:rFonts w:hint="eastAsia" w:ascii="宋体" w:hAnsi="宋体"/>
          <w:b/>
          <w:bCs/>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w:t>
      </w:r>
    </w:p>
    <w:p w14:paraId="2A679E05">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3.2</w:t>
      </w:r>
      <w:r>
        <w:rPr>
          <w:rFonts w:hint="eastAsia" w:ascii="宋体" w:hAnsi="宋体"/>
          <w:color w:val="auto"/>
          <w:szCs w:val="21"/>
          <w:highlight w:val="none"/>
        </w:rPr>
        <w:t>合同履行期限（工期）：见</w:t>
      </w:r>
      <w:r>
        <w:rPr>
          <w:rFonts w:ascii="宋体" w:hAnsi="宋体"/>
          <w:color w:val="auto"/>
          <w:szCs w:val="21"/>
          <w:highlight w:val="none"/>
        </w:rPr>
        <w:t>“</w:t>
      </w:r>
      <w:r>
        <w:rPr>
          <w:rFonts w:hint="eastAsia" w:ascii="宋体" w:hAnsi="宋体"/>
          <w:b/>
          <w:bCs/>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w:t>
      </w:r>
    </w:p>
    <w:p w14:paraId="2572D1A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 xml:space="preserve">.3 </w:t>
      </w:r>
      <w:r>
        <w:rPr>
          <w:rFonts w:hint="eastAsia" w:ascii="宋体" w:hAnsi="宋体"/>
          <w:color w:val="auto"/>
          <w:szCs w:val="21"/>
          <w:highlight w:val="none"/>
        </w:rPr>
        <w:t>合同履行地点：见</w:t>
      </w:r>
      <w:r>
        <w:rPr>
          <w:rFonts w:ascii="宋体" w:hAnsi="宋体"/>
          <w:color w:val="auto"/>
          <w:szCs w:val="21"/>
          <w:highlight w:val="none"/>
        </w:rPr>
        <w:t>“</w:t>
      </w:r>
      <w:r>
        <w:rPr>
          <w:rFonts w:hint="eastAsia" w:ascii="宋体" w:hAnsi="宋体"/>
          <w:b/>
          <w:bCs/>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w:t>
      </w:r>
    </w:p>
    <w:p w14:paraId="49C650A6">
      <w:pPr>
        <w:pStyle w:val="5"/>
        <w:tabs>
          <w:tab w:val="left" w:pos="0"/>
        </w:tabs>
        <w:spacing w:before="0" w:after="0"/>
        <w:ind w:firstLine="0" w:firstLineChars="0"/>
        <w:jc w:val="both"/>
        <w:rPr>
          <w:rFonts w:hAnsi="宋体"/>
          <w:color w:val="auto"/>
          <w:kern w:val="2"/>
          <w:sz w:val="24"/>
          <w:szCs w:val="24"/>
          <w:highlight w:val="none"/>
        </w:rPr>
      </w:pPr>
      <w:bookmarkStart w:id="222" w:name="_Toc17067"/>
      <w:bookmarkStart w:id="223" w:name="_Toc31243"/>
      <w:bookmarkStart w:id="224" w:name="_Toc21840"/>
      <w:bookmarkStart w:id="225" w:name="_Toc8986"/>
      <w:bookmarkStart w:id="226" w:name="_Toc1340"/>
      <w:bookmarkStart w:id="227" w:name="_Toc16740"/>
      <w:bookmarkStart w:id="228" w:name="_Toc4649"/>
      <w:bookmarkStart w:id="229" w:name="_Toc20244"/>
      <w:bookmarkStart w:id="230" w:name="_Toc26467"/>
      <w:bookmarkStart w:id="231" w:name="_Toc27226"/>
      <w:r>
        <w:rPr>
          <w:rFonts w:hint="eastAsia" w:hAnsi="宋体"/>
          <w:color w:val="auto"/>
          <w:kern w:val="2"/>
          <w:sz w:val="24"/>
          <w:szCs w:val="24"/>
          <w:highlight w:val="none"/>
        </w:rPr>
        <w:t>4、合格的供应商</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11CC241">
      <w:pPr>
        <w:spacing w:line="360" w:lineRule="auto"/>
        <w:ind w:firstLine="424" w:firstLineChars="202"/>
        <w:jc w:val="left"/>
        <w:rPr>
          <w:color w:val="auto"/>
          <w:szCs w:val="21"/>
          <w:highlight w:val="none"/>
        </w:rPr>
      </w:pPr>
      <w:r>
        <w:rPr>
          <w:rFonts w:hint="eastAsia" w:ascii="宋体" w:hAnsi="宋体"/>
          <w:color w:val="auto"/>
          <w:szCs w:val="21"/>
          <w:highlight w:val="none"/>
        </w:rPr>
        <w:t>4.1</w:t>
      </w:r>
      <w:r>
        <w:rPr>
          <w:rFonts w:hint="eastAsia"/>
          <w:color w:val="auto"/>
          <w:szCs w:val="21"/>
          <w:highlight w:val="none"/>
        </w:rPr>
        <w:t>供应商应符合磋商文件</w:t>
      </w:r>
      <w:r>
        <w:rPr>
          <w:rFonts w:hint="eastAsia"/>
          <w:b/>
          <w:bCs/>
          <w:color w:val="auto"/>
          <w:szCs w:val="21"/>
          <w:highlight w:val="none"/>
        </w:rPr>
        <w:t>“供应商须知前附表”</w:t>
      </w:r>
      <w:bookmarkStart w:id="232" w:name="_Hlt200176664"/>
      <w:bookmarkEnd w:id="232"/>
      <w:bookmarkStart w:id="233" w:name="_Toc329810190"/>
      <w:bookmarkStart w:id="234" w:name="_Toc383175280"/>
      <w:bookmarkStart w:id="235" w:name="_Toc383175478"/>
      <w:bookmarkStart w:id="236" w:name="_Toc383175056"/>
      <w:r>
        <w:rPr>
          <w:rFonts w:hint="eastAsia"/>
          <w:color w:val="auto"/>
          <w:szCs w:val="21"/>
          <w:highlight w:val="none"/>
        </w:rPr>
        <w:t>中规定的条件。</w:t>
      </w:r>
    </w:p>
    <w:p w14:paraId="268BF26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2</w:t>
      </w:r>
      <w:r>
        <w:rPr>
          <w:rFonts w:hint="eastAsia"/>
          <w:color w:val="auto"/>
          <w:szCs w:val="21"/>
          <w:highlight w:val="none"/>
        </w:rPr>
        <w:t>单位负责人为同一人或者存在直接控股、管理关系的不同供应商，不得参加同一合同项下的政府采购活动</w:t>
      </w:r>
      <w:r>
        <w:rPr>
          <w:rFonts w:hint="eastAsia" w:ascii="宋体" w:hAnsi="宋体"/>
          <w:color w:val="auto"/>
          <w:szCs w:val="21"/>
          <w:highlight w:val="none"/>
        </w:rPr>
        <w:t>。</w:t>
      </w:r>
    </w:p>
    <w:p w14:paraId="38BCAA3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w:t>
      </w:r>
      <w:r>
        <w:rPr>
          <w:rFonts w:hint="eastAsia" w:ascii="宋体" w:hAnsi="宋体"/>
          <w:color w:val="auto"/>
          <w:szCs w:val="21"/>
          <w:highlight w:val="none"/>
        </w:rPr>
        <w:t>与采购人存在利害关系可能影响采购公正性的法人、其他组织或者个人，不得参加磋商。</w:t>
      </w:r>
    </w:p>
    <w:p w14:paraId="2CCCFBA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4.4</w:t>
      </w:r>
      <w:r>
        <w:rPr>
          <w:rFonts w:hint="eastAsia"/>
          <w:color w:val="auto"/>
          <w:szCs w:val="21"/>
          <w:highlight w:val="none"/>
        </w:rPr>
        <w:t>根据《中华人民共和国政府采购法实施条例》第十八条的规定，除单一来源采购项目外，为采购项目提供整体设计、规范编制或者项目管理、监理、检测等服务的供应商，不得再参加该采购项目的其他采购活动。</w:t>
      </w:r>
      <w:r>
        <w:rPr>
          <w:rFonts w:hint="eastAsia"/>
          <w:color w:val="auto"/>
          <w:szCs w:val="21"/>
          <w:highlight w:val="none"/>
        </w:rPr>
        <w:tab/>
      </w:r>
    </w:p>
    <w:p w14:paraId="65860B82">
      <w:pPr>
        <w:spacing w:line="360" w:lineRule="auto"/>
        <w:ind w:firstLine="420" w:firstLineChars="200"/>
        <w:jc w:val="left"/>
        <w:rPr>
          <w:rFonts w:ascii="宋体"/>
          <w:color w:val="auto"/>
          <w:szCs w:val="21"/>
          <w:highlight w:val="none"/>
        </w:rPr>
      </w:pPr>
      <w:r>
        <w:rPr>
          <w:rFonts w:hint="eastAsia" w:ascii="宋体"/>
          <w:color w:val="auto"/>
          <w:szCs w:val="21"/>
          <w:highlight w:val="none"/>
        </w:rPr>
        <w:t>4.</w:t>
      </w:r>
      <w:r>
        <w:rPr>
          <w:rFonts w:ascii="宋体"/>
          <w:color w:val="auto"/>
          <w:szCs w:val="21"/>
          <w:highlight w:val="none"/>
        </w:rPr>
        <w:t>5</w:t>
      </w:r>
      <w:r>
        <w:rPr>
          <w:rFonts w:hint="eastAsia" w:ascii="宋体"/>
          <w:color w:val="auto"/>
          <w:szCs w:val="21"/>
          <w:highlight w:val="none"/>
        </w:rPr>
        <w:t xml:space="preserve"> </w:t>
      </w:r>
      <w:r>
        <w:rPr>
          <w:rFonts w:hint="eastAsia"/>
          <w:color w:val="auto"/>
          <w:szCs w:val="21"/>
          <w:highlight w:val="none"/>
        </w:rPr>
        <w:t>联合体投标：详见“</w:t>
      </w:r>
      <w:r>
        <w:rPr>
          <w:rFonts w:hint="eastAsia"/>
          <w:b/>
          <w:bCs/>
          <w:color w:val="auto"/>
          <w:szCs w:val="21"/>
          <w:highlight w:val="none"/>
        </w:rPr>
        <w:t>供应商须知前附表</w:t>
      </w:r>
      <w:r>
        <w:rPr>
          <w:rFonts w:hint="eastAsia"/>
          <w:color w:val="auto"/>
          <w:szCs w:val="21"/>
          <w:highlight w:val="none"/>
        </w:rPr>
        <w:t>”规定。</w:t>
      </w:r>
    </w:p>
    <w:p w14:paraId="5C023F54">
      <w:pPr>
        <w:spacing w:line="360" w:lineRule="auto"/>
        <w:ind w:firstLine="420" w:firstLineChars="200"/>
        <w:rPr>
          <w:color w:val="auto"/>
          <w:szCs w:val="21"/>
          <w:highlight w:val="none"/>
        </w:rPr>
      </w:pPr>
      <w:r>
        <w:rPr>
          <w:rFonts w:hint="eastAsia" w:ascii="宋体"/>
          <w:color w:val="auto"/>
          <w:szCs w:val="21"/>
          <w:highlight w:val="none"/>
        </w:rPr>
        <w:t>4.</w:t>
      </w:r>
      <w:r>
        <w:rPr>
          <w:rFonts w:ascii="宋体"/>
          <w:color w:val="auto"/>
          <w:szCs w:val="21"/>
          <w:highlight w:val="none"/>
        </w:rPr>
        <w:t>6</w:t>
      </w:r>
      <w:r>
        <w:rPr>
          <w:rFonts w:hint="eastAsia" w:ascii="宋体"/>
          <w:color w:val="auto"/>
          <w:szCs w:val="21"/>
          <w:highlight w:val="none"/>
        </w:rPr>
        <w:t xml:space="preserve"> 符合上述条件的供应商应承担磋商及履约中应承担的全部责任与义务。</w:t>
      </w:r>
    </w:p>
    <w:p w14:paraId="37455DBB">
      <w:pPr>
        <w:pStyle w:val="5"/>
        <w:tabs>
          <w:tab w:val="left" w:pos="0"/>
        </w:tabs>
        <w:spacing w:before="0" w:after="0"/>
        <w:ind w:firstLine="0" w:firstLineChars="0"/>
        <w:jc w:val="both"/>
        <w:rPr>
          <w:rFonts w:hAnsi="宋体"/>
          <w:color w:val="auto"/>
          <w:kern w:val="2"/>
          <w:sz w:val="24"/>
          <w:szCs w:val="24"/>
          <w:highlight w:val="none"/>
        </w:rPr>
      </w:pPr>
      <w:bookmarkStart w:id="237" w:name="_Toc25581"/>
      <w:bookmarkStart w:id="238" w:name="_Toc12834"/>
      <w:bookmarkStart w:id="239" w:name="_Toc26119"/>
      <w:bookmarkStart w:id="240" w:name="_Toc470096309"/>
      <w:bookmarkStart w:id="241" w:name="_Toc432106479"/>
      <w:bookmarkStart w:id="242" w:name="_Toc24563"/>
      <w:bookmarkStart w:id="243" w:name="_Toc7140"/>
      <w:bookmarkStart w:id="244" w:name="_Toc432194830"/>
      <w:bookmarkStart w:id="245" w:name="_Toc8257"/>
      <w:bookmarkStart w:id="246" w:name="_Toc438396732"/>
      <w:bookmarkStart w:id="247" w:name="_Toc8162"/>
      <w:bookmarkStart w:id="248" w:name="_Toc20610"/>
      <w:bookmarkStart w:id="249" w:name="_Toc18273"/>
      <w:bookmarkStart w:id="250" w:name="_Toc3194"/>
      <w:r>
        <w:rPr>
          <w:rFonts w:hint="eastAsia" w:hAnsi="宋体"/>
          <w:color w:val="auto"/>
          <w:kern w:val="2"/>
          <w:sz w:val="24"/>
          <w:szCs w:val="24"/>
          <w:highlight w:val="none"/>
        </w:rPr>
        <w:t>5、磋商费用</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807770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无论是否成交，供应商自行承担所有与参加磋商有关的全部费用。</w:t>
      </w:r>
    </w:p>
    <w:p w14:paraId="438E85B5">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251" w:name="_Toc470096310"/>
      <w:bookmarkStart w:id="252" w:name="_Toc5508"/>
      <w:bookmarkStart w:id="253" w:name="_Toc23171"/>
      <w:bookmarkStart w:id="254" w:name="_Toc2670"/>
      <w:bookmarkStart w:id="255" w:name="_Toc28296"/>
      <w:bookmarkStart w:id="256" w:name="_Toc86124047"/>
      <w:bookmarkStart w:id="257" w:name="_Toc24873"/>
      <w:bookmarkStart w:id="258" w:name="_Toc125"/>
      <w:bookmarkStart w:id="259" w:name="_Toc31320"/>
      <w:bookmarkStart w:id="260" w:name="_Toc13279"/>
      <w:bookmarkStart w:id="261" w:name="_Toc684"/>
      <w:bookmarkStart w:id="262" w:name="_Toc20920"/>
      <w:r>
        <w:rPr>
          <w:rFonts w:hint="eastAsia" w:ascii="黑体" w:hAnsi="黑体" w:eastAsia="黑体"/>
          <w:bCs w:val="0"/>
          <w:color w:val="auto"/>
          <w:sz w:val="28"/>
          <w:szCs w:val="30"/>
          <w:highlight w:val="none"/>
        </w:rPr>
        <w:t>二、磋商文件</w:t>
      </w:r>
      <w:bookmarkEnd w:id="251"/>
      <w:bookmarkEnd w:id="252"/>
      <w:bookmarkEnd w:id="253"/>
      <w:bookmarkEnd w:id="254"/>
      <w:bookmarkEnd w:id="255"/>
      <w:bookmarkEnd w:id="256"/>
      <w:bookmarkEnd w:id="257"/>
      <w:bookmarkEnd w:id="258"/>
      <w:bookmarkEnd w:id="259"/>
      <w:bookmarkEnd w:id="260"/>
      <w:bookmarkEnd w:id="261"/>
      <w:bookmarkEnd w:id="262"/>
    </w:p>
    <w:p w14:paraId="68B1635C">
      <w:pPr>
        <w:pStyle w:val="5"/>
        <w:tabs>
          <w:tab w:val="left" w:pos="0"/>
        </w:tabs>
        <w:spacing w:before="0" w:after="0"/>
        <w:ind w:firstLine="0" w:firstLineChars="0"/>
        <w:jc w:val="both"/>
        <w:rPr>
          <w:rFonts w:hAnsi="宋体"/>
          <w:color w:val="auto"/>
          <w:kern w:val="2"/>
          <w:sz w:val="24"/>
          <w:szCs w:val="24"/>
          <w:highlight w:val="none"/>
        </w:rPr>
      </w:pPr>
      <w:bookmarkStart w:id="263" w:name="_Toc6953"/>
      <w:bookmarkStart w:id="264" w:name="_Toc470096311"/>
      <w:bookmarkStart w:id="265" w:name="_Toc20889"/>
      <w:bookmarkStart w:id="266" w:name="_Toc432106481"/>
      <w:bookmarkStart w:id="267" w:name="_Toc438396734"/>
      <w:bookmarkStart w:id="268" w:name="_Toc23610"/>
      <w:bookmarkStart w:id="269" w:name="_Toc23144"/>
      <w:bookmarkStart w:id="270" w:name="_Toc31981"/>
      <w:bookmarkStart w:id="271" w:name="_Toc27060"/>
      <w:bookmarkStart w:id="272" w:name="_Toc383175058"/>
      <w:bookmarkStart w:id="273" w:name="_Toc329810192"/>
      <w:bookmarkStart w:id="274" w:name="_Toc2105"/>
      <w:bookmarkStart w:id="275" w:name="_Toc30370"/>
      <w:bookmarkStart w:id="276" w:name="_Toc28324"/>
      <w:bookmarkStart w:id="277" w:name="_Toc383175480"/>
      <w:bookmarkStart w:id="278" w:name="_Toc432194832"/>
      <w:bookmarkStart w:id="279" w:name="_Toc30226"/>
      <w:bookmarkStart w:id="280" w:name="_Toc383175282"/>
      <w:r>
        <w:rPr>
          <w:rFonts w:hint="eastAsia" w:hAnsi="宋体"/>
          <w:color w:val="auto"/>
          <w:kern w:val="2"/>
          <w:sz w:val="24"/>
          <w:szCs w:val="24"/>
          <w:highlight w:val="none"/>
        </w:rPr>
        <w:t>6、磋商文件的组成</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B9CF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6.1本项目磋商文件由目录所列内容组成，磋商文件共六章，各章的内容如下：</w:t>
      </w:r>
    </w:p>
    <w:p w14:paraId="22709594">
      <w:pPr>
        <w:spacing w:line="360" w:lineRule="auto"/>
        <w:ind w:left="502"/>
        <w:jc w:val="left"/>
        <w:rPr>
          <w:rFonts w:ascii="宋体" w:hAnsi="宋体"/>
          <w:color w:val="auto"/>
          <w:szCs w:val="21"/>
          <w:highlight w:val="none"/>
        </w:rPr>
      </w:pPr>
      <w:r>
        <w:rPr>
          <w:rFonts w:hint="eastAsia" w:ascii="宋体" w:hAnsi="宋体"/>
          <w:color w:val="auto"/>
          <w:szCs w:val="21"/>
          <w:highlight w:val="none"/>
        </w:rPr>
        <w:t>第一章</w:t>
      </w:r>
      <w:r>
        <w:rPr>
          <w:rFonts w:ascii="宋体" w:hAnsi="宋体"/>
          <w:color w:val="auto"/>
          <w:szCs w:val="21"/>
          <w:highlight w:val="none"/>
        </w:rPr>
        <w:t xml:space="preserve">  </w:t>
      </w:r>
      <w:r>
        <w:rPr>
          <w:rFonts w:hint="eastAsia" w:ascii="宋体" w:hAnsi="宋体"/>
          <w:color w:val="auto"/>
          <w:szCs w:val="21"/>
          <w:highlight w:val="none"/>
        </w:rPr>
        <w:t>竞争性磋商公告</w:t>
      </w:r>
    </w:p>
    <w:p w14:paraId="479E4077">
      <w:pPr>
        <w:spacing w:line="360" w:lineRule="auto"/>
        <w:ind w:left="502"/>
        <w:jc w:val="left"/>
        <w:rPr>
          <w:rFonts w:ascii="宋体" w:hAnsi="宋体"/>
          <w:color w:val="auto"/>
          <w:szCs w:val="21"/>
          <w:highlight w:val="none"/>
        </w:rPr>
      </w:pPr>
      <w:r>
        <w:rPr>
          <w:rFonts w:hint="eastAsia" w:ascii="宋体" w:hAnsi="宋体"/>
          <w:color w:val="auto"/>
          <w:szCs w:val="21"/>
          <w:highlight w:val="none"/>
        </w:rPr>
        <w:t>第二章</w:t>
      </w:r>
      <w:r>
        <w:rPr>
          <w:rFonts w:ascii="宋体" w:hAnsi="宋体"/>
          <w:color w:val="auto"/>
          <w:szCs w:val="21"/>
          <w:highlight w:val="none"/>
        </w:rPr>
        <w:t xml:space="preserve">  </w:t>
      </w:r>
      <w:r>
        <w:rPr>
          <w:rFonts w:hint="eastAsia" w:ascii="宋体" w:hAnsi="宋体"/>
          <w:color w:val="auto"/>
          <w:szCs w:val="21"/>
          <w:highlight w:val="none"/>
        </w:rPr>
        <w:t>供应商须知</w:t>
      </w:r>
    </w:p>
    <w:p w14:paraId="47960494">
      <w:pPr>
        <w:spacing w:line="360" w:lineRule="auto"/>
        <w:ind w:left="502"/>
        <w:jc w:val="left"/>
        <w:rPr>
          <w:rFonts w:ascii="宋体" w:hAnsi="宋体"/>
          <w:color w:val="auto"/>
          <w:szCs w:val="21"/>
          <w:highlight w:val="none"/>
        </w:rPr>
      </w:pPr>
      <w:r>
        <w:rPr>
          <w:rFonts w:hint="eastAsia" w:ascii="宋体" w:hAnsi="宋体"/>
          <w:color w:val="auto"/>
          <w:szCs w:val="21"/>
          <w:highlight w:val="none"/>
        </w:rPr>
        <w:t>第三章</w:t>
      </w:r>
      <w:r>
        <w:rPr>
          <w:rFonts w:ascii="宋体" w:hAnsi="宋体"/>
          <w:color w:val="auto"/>
          <w:szCs w:val="21"/>
          <w:highlight w:val="none"/>
        </w:rPr>
        <w:t xml:space="preserve">  </w:t>
      </w:r>
      <w:r>
        <w:rPr>
          <w:rFonts w:hint="eastAsia" w:ascii="宋体" w:hAnsi="宋体"/>
          <w:color w:val="auto"/>
          <w:szCs w:val="21"/>
          <w:highlight w:val="none"/>
        </w:rPr>
        <w:t>磋商程序和方法</w:t>
      </w:r>
    </w:p>
    <w:p w14:paraId="27BB4580">
      <w:pPr>
        <w:spacing w:line="360" w:lineRule="auto"/>
        <w:ind w:left="502"/>
        <w:jc w:val="left"/>
        <w:rPr>
          <w:rFonts w:ascii="宋体" w:hAnsi="宋体"/>
          <w:color w:val="auto"/>
          <w:szCs w:val="21"/>
          <w:highlight w:val="none"/>
        </w:rPr>
      </w:pPr>
      <w:r>
        <w:rPr>
          <w:rFonts w:hint="eastAsia" w:ascii="宋体" w:hAnsi="宋体"/>
          <w:color w:val="auto"/>
          <w:szCs w:val="21"/>
          <w:highlight w:val="none"/>
        </w:rPr>
        <w:t>第四章</w:t>
      </w:r>
      <w:r>
        <w:rPr>
          <w:rFonts w:ascii="宋体" w:hAnsi="宋体"/>
          <w:color w:val="auto"/>
          <w:szCs w:val="21"/>
          <w:highlight w:val="none"/>
        </w:rPr>
        <w:t xml:space="preserve">  </w:t>
      </w:r>
      <w:r>
        <w:rPr>
          <w:rFonts w:hint="eastAsia" w:ascii="宋体" w:hAnsi="宋体"/>
          <w:color w:val="auto"/>
          <w:szCs w:val="21"/>
          <w:highlight w:val="none"/>
        </w:rPr>
        <w:t>合同书样式及主要条款</w:t>
      </w:r>
    </w:p>
    <w:p w14:paraId="6495C499">
      <w:pPr>
        <w:spacing w:line="360" w:lineRule="auto"/>
        <w:ind w:left="502"/>
        <w:jc w:val="left"/>
        <w:rPr>
          <w:rFonts w:hint="eastAsia" w:ascii="宋体" w:hAnsi="宋体"/>
          <w:color w:val="auto"/>
          <w:szCs w:val="21"/>
          <w:highlight w:val="none"/>
        </w:rPr>
      </w:pPr>
      <w:r>
        <w:rPr>
          <w:rFonts w:hint="eastAsia" w:ascii="宋体" w:hAnsi="宋体"/>
          <w:color w:val="auto"/>
          <w:szCs w:val="21"/>
          <w:highlight w:val="none"/>
        </w:rPr>
        <w:t>第五章</w:t>
      </w:r>
      <w:r>
        <w:rPr>
          <w:rFonts w:ascii="宋体" w:hAnsi="宋体"/>
          <w:color w:val="auto"/>
          <w:szCs w:val="21"/>
          <w:highlight w:val="none"/>
        </w:rPr>
        <w:t xml:space="preserve">  </w:t>
      </w:r>
      <w:r>
        <w:rPr>
          <w:rFonts w:hint="eastAsia" w:ascii="宋体" w:hAnsi="宋体"/>
          <w:color w:val="auto"/>
          <w:szCs w:val="21"/>
          <w:highlight w:val="none"/>
        </w:rPr>
        <w:t>项目需求</w:t>
      </w:r>
    </w:p>
    <w:p w14:paraId="03EB834B">
      <w:pPr>
        <w:spacing w:line="360" w:lineRule="auto"/>
        <w:ind w:left="502"/>
        <w:jc w:val="left"/>
        <w:rPr>
          <w:rFonts w:ascii="宋体" w:hAnsi="宋体"/>
          <w:color w:val="auto"/>
          <w:szCs w:val="21"/>
          <w:highlight w:val="none"/>
        </w:rPr>
      </w:pPr>
      <w:r>
        <w:rPr>
          <w:rFonts w:hint="eastAsia" w:ascii="宋体" w:hAnsi="宋体"/>
          <w:color w:val="auto"/>
          <w:szCs w:val="21"/>
          <w:highlight w:val="none"/>
        </w:rPr>
        <w:t>第六章</w:t>
      </w:r>
      <w:r>
        <w:rPr>
          <w:rFonts w:ascii="宋体" w:hAnsi="宋体"/>
          <w:color w:val="auto"/>
          <w:szCs w:val="21"/>
          <w:highlight w:val="none"/>
        </w:rPr>
        <w:t xml:space="preserve">  </w:t>
      </w:r>
      <w:r>
        <w:rPr>
          <w:rFonts w:hint="eastAsia" w:ascii="宋体" w:hAnsi="宋体"/>
          <w:color w:val="auto"/>
          <w:szCs w:val="21"/>
          <w:highlight w:val="none"/>
        </w:rPr>
        <w:t>响应文件格式</w:t>
      </w:r>
    </w:p>
    <w:p w14:paraId="7A0ACE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6.2根据本章第7.1款、7.3款、7.5款对磋商文件所作的澄清、修改，构成磋商文件的组成部分。</w:t>
      </w:r>
    </w:p>
    <w:p w14:paraId="586F7A2C">
      <w:pPr>
        <w:pStyle w:val="5"/>
        <w:tabs>
          <w:tab w:val="left" w:pos="0"/>
        </w:tabs>
        <w:spacing w:before="0" w:after="0"/>
        <w:ind w:firstLine="0" w:firstLineChars="0"/>
        <w:jc w:val="both"/>
        <w:rPr>
          <w:rFonts w:hAnsi="宋体"/>
          <w:color w:val="auto"/>
          <w:kern w:val="2"/>
          <w:sz w:val="24"/>
          <w:szCs w:val="24"/>
          <w:highlight w:val="none"/>
        </w:rPr>
      </w:pPr>
      <w:bookmarkStart w:id="281" w:name="_Toc86124049"/>
      <w:bookmarkStart w:id="282" w:name="_Toc383175059"/>
      <w:bookmarkStart w:id="283" w:name="_Toc24449"/>
      <w:bookmarkStart w:id="284" w:name="_Toc432194833"/>
      <w:bookmarkStart w:id="285" w:name="_Toc470096312"/>
      <w:bookmarkStart w:id="286" w:name="_Toc17941"/>
      <w:bookmarkStart w:id="287" w:name="_Toc13722"/>
      <w:bookmarkStart w:id="288" w:name="_Toc383175481"/>
      <w:bookmarkStart w:id="289" w:name="_Toc26161"/>
      <w:bookmarkStart w:id="290" w:name="_Toc383175283"/>
      <w:bookmarkStart w:id="291" w:name="_Toc27565"/>
      <w:bookmarkStart w:id="292" w:name="_Toc6263"/>
      <w:bookmarkStart w:id="293" w:name="_Toc25326"/>
      <w:bookmarkStart w:id="294" w:name="_Toc25906"/>
      <w:bookmarkStart w:id="295" w:name="_Toc438396735"/>
      <w:bookmarkStart w:id="296" w:name="_Toc432106482"/>
      <w:bookmarkStart w:id="297" w:name="_Toc23911"/>
      <w:bookmarkStart w:id="298" w:name="_Toc329810193"/>
      <w:bookmarkStart w:id="299" w:name="_Toc18023"/>
      <w:r>
        <w:rPr>
          <w:rFonts w:hint="eastAsia" w:hAnsi="宋体"/>
          <w:color w:val="auto"/>
          <w:kern w:val="2"/>
          <w:sz w:val="24"/>
          <w:szCs w:val="24"/>
          <w:highlight w:val="none"/>
        </w:rPr>
        <w:t>7、磋商文件的澄清</w:t>
      </w:r>
      <w:bookmarkEnd w:id="281"/>
      <w:r>
        <w:rPr>
          <w:rFonts w:hint="eastAsia" w:hAnsi="宋体"/>
          <w:color w:val="auto"/>
          <w:kern w:val="2"/>
          <w:sz w:val="24"/>
          <w:szCs w:val="24"/>
          <w:highlight w:val="none"/>
        </w:rPr>
        <w:t>、修改</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76007B8">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7.1 参加供应商应认真审核磋商文件，如发现缺页或附件不全，应及时向采购代理机构提出，以便补齐。如有疑问的，供应商可以在</w:t>
      </w:r>
      <w:r>
        <w:rPr>
          <w:rFonts w:hint="eastAsia" w:ascii="宋体" w:hAnsi="宋体"/>
          <w:color w:val="auto"/>
          <w:szCs w:val="21"/>
          <w:highlight w:val="none"/>
        </w:rPr>
        <w:t>磋商</w:t>
      </w:r>
      <w:r>
        <w:rPr>
          <w:rFonts w:ascii="宋体" w:hAnsi="宋体"/>
          <w:color w:val="auto"/>
          <w:szCs w:val="21"/>
          <w:highlight w:val="none"/>
        </w:rPr>
        <w:t>截止时间前以澄清函形式（加盖单位公章）要求采购代理机构澄清，截止时间后送达的澄清要求概不接受</w:t>
      </w:r>
      <w:r>
        <w:rPr>
          <w:rFonts w:hint="eastAsia" w:ascii="宋体" w:hAnsi="宋体"/>
          <w:color w:val="auto"/>
          <w:szCs w:val="21"/>
          <w:highlight w:val="none"/>
        </w:rPr>
        <w:t>。所有获取了采购文件的潜在供应商凭企业数字证书（CA）登录“政采云”平台，通过在线方式进行不署名提问。</w:t>
      </w:r>
    </w:p>
    <w:p w14:paraId="0E968A06">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7.2 </w:t>
      </w:r>
      <w:r>
        <w:rPr>
          <w:rFonts w:hint="eastAsia" w:ascii="宋体" w:hAnsi="宋体"/>
          <w:color w:val="auto"/>
          <w:szCs w:val="21"/>
          <w:highlight w:val="none"/>
        </w:rPr>
        <w:t>采购代理机构将以书面形式答复所有购买磋商文件的供应商（答复中不包含问题的来源）要求澄清的问题，其他澄清方式无效。</w:t>
      </w:r>
    </w:p>
    <w:p w14:paraId="223E0C7C">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7.3</w:t>
      </w:r>
      <w:r>
        <w:rPr>
          <w:rFonts w:hint="eastAsia" w:ascii="宋体" w:hAnsi="宋体"/>
          <w:color w:val="auto"/>
          <w:szCs w:val="21"/>
          <w:highlight w:val="none"/>
        </w:rPr>
        <w:t>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之日5日前，主要以“</w:t>
      </w:r>
      <w:r>
        <w:rPr>
          <w:rFonts w:ascii="宋体" w:hAnsi="宋体"/>
          <w:color w:val="auto"/>
          <w:szCs w:val="21"/>
          <w:highlight w:val="none"/>
        </w:rPr>
        <w:t>政采云</w:t>
      </w:r>
      <w:r>
        <w:rPr>
          <w:rFonts w:hint="eastAsia" w:ascii="宋体" w:hAnsi="宋体"/>
          <w:color w:val="auto"/>
          <w:szCs w:val="21"/>
          <w:highlight w:val="none"/>
        </w:rPr>
        <w:t>”</w:t>
      </w:r>
      <w:r>
        <w:rPr>
          <w:rFonts w:ascii="宋体" w:hAnsi="宋体"/>
          <w:color w:val="auto"/>
          <w:szCs w:val="21"/>
          <w:highlight w:val="none"/>
        </w:rPr>
        <w:t>平台（http：//www.zcygov.cn）</w:t>
      </w:r>
      <w:r>
        <w:rPr>
          <w:rFonts w:hint="eastAsia" w:ascii="宋体" w:hAnsi="宋体"/>
          <w:color w:val="auto"/>
          <w:szCs w:val="21"/>
          <w:highlight w:val="none"/>
        </w:rPr>
        <w:t>、云南省政府采购网（http://www.yngp.com/）上以发布公告的形式通知。敬请所有获得磋商文件的供应商密切关注，作为磋商文件的完整组成部分。不足5日的，应当顺延提交首次响应文件截止之日。</w:t>
      </w:r>
    </w:p>
    <w:p w14:paraId="3CAD0D6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7.4磋商文件的澄清或修改同时还将在“政采云”平台（http：//www.zcygov.cn）、云南省政府采购网（http://www.yngp.com/）上以发布公告的形式通知供应商。供应商自行登录收取修改内容，无须回复确认已收到该修改。</w:t>
      </w:r>
    </w:p>
    <w:p w14:paraId="1001B0C2">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5采购代理机构和采购单位可以视采购具体情况，延长响应文件递交截止时间和开标时间，但至少在磋商文件要求递交响应文件的截止时间 5 日前，将变更时间通知所有购买磋商文件的供应商，并在财政部门指定的政府采购信息发布媒体上发布变更公告。</w:t>
      </w:r>
    </w:p>
    <w:p w14:paraId="7BD3D9E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7.6供应商应在递交响应文件截止时间前及时登录“政采云”平台中查看有关该服务磋商文件的答疑、补遗内容。否则，后果自负。</w:t>
      </w:r>
    </w:p>
    <w:p w14:paraId="023FCC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7.7磋商文件澄清、磋商文件修改文件内容均以网上电子文件为准，当磋商文件、磋商文件澄清、磋商文件修改文件内容后前相互矛盾时，以最后发出的为准。</w:t>
      </w:r>
    </w:p>
    <w:p w14:paraId="486893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7.8本项目磋商小组根据与供应商磋商情况可能实质性变动的内容见</w:t>
      </w:r>
      <w:r>
        <w:rPr>
          <w:rFonts w:hint="eastAsia" w:ascii="宋体" w:hAnsi="宋体"/>
          <w:b/>
          <w:bCs/>
          <w:color w:val="auto"/>
          <w:szCs w:val="21"/>
          <w:highlight w:val="none"/>
        </w:rPr>
        <w:t>“供应商须知前附表”</w:t>
      </w:r>
      <w:r>
        <w:rPr>
          <w:rFonts w:hint="eastAsia" w:ascii="宋体" w:hAnsi="宋体"/>
          <w:color w:val="auto"/>
          <w:szCs w:val="21"/>
          <w:highlight w:val="none"/>
        </w:rPr>
        <w:t>。</w:t>
      </w:r>
    </w:p>
    <w:p w14:paraId="1CC890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供应商要求对磋商文件进行澄清的，应以书面形式送达采购代理机构。采购代理机构对收到的澄清要求通过书面形式答疑。若涉及到文件实质性内容的须以补遗书方式按程序报有关主管部门备案后，提交“政采云”平台（http：//www.zcygov.cn）上以发布公告的形式，统一通过网络向潜在供应商发布，且供应商不须回函确认，所有获取了磋商文件的潜在供应商登录“政采云”平台（http：//www.zcygov.cn）凭企业身份认证数字证书（CA）查看内容。澄清内容还将在云南省政府采购网（http://www.yngp.com/）同时发布。</w:t>
      </w:r>
    </w:p>
    <w:p w14:paraId="395EA7DA">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300" w:name="_Toc22119"/>
      <w:bookmarkStart w:id="301" w:name="_Toc2479"/>
      <w:bookmarkStart w:id="302" w:name="_Toc9387"/>
      <w:bookmarkStart w:id="303" w:name="_Toc86124051"/>
      <w:bookmarkStart w:id="304" w:name="_Toc21609"/>
      <w:bookmarkStart w:id="305" w:name="_Toc2218"/>
      <w:bookmarkStart w:id="306" w:name="_Toc20434"/>
      <w:bookmarkStart w:id="307" w:name="_Toc470096313"/>
      <w:bookmarkStart w:id="308" w:name="_Toc7630"/>
      <w:bookmarkStart w:id="309" w:name="_Toc32159"/>
      <w:bookmarkStart w:id="310" w:name="_Toc18867"/>
      <w:bookmarkStart w:id="311" w:name="_Toc697"/>
      <w:r>
        <w:rPr>
          <w:rFonts w:hint="eastAsia" w:ascii="黑体" w:hAnsi="黑体" w:eastAsia="黑体"/>
          <w:bCs w:val="0"/>
          <w:color w:val="auto"/>
          <w:sz w:val="28"/>
          <w:szCs w:val="30"/>
          <w:highlight w:val="none"/>
        </w:rPr>
        <w:t>三、响应文件</w:t>
      </w:r>
      <w:bookmarkEnd w:id="300"/>
      <w:bookmarkEnd w:id="301"/>
      <w:bookmarkEnd w:id="302"/>
      <w:bookmarkEnd w:id="303"/>
      <w:bookmarkEnd w:id="304"/>
      <w:bookmarkEnd w:id="305"/>
      <w:bookmarkEnd w:id="306"/>
      <w:bookmarkEnd w:id="307"/>
      <w:bookmarkEnd w:id="308"/>
      <w:bookmarkEnd w:id="309"/>
      <w:bookmarkEnd w:id="310"/>
      <w:bookmarkEnd w:id="311"/>
    </w:p>
    <w:p w14:paraId="7CD43559">
      <w:pPr>
        <w:pStyle w:val="5"/>
        <w:tabs>
          <w:tab w:val="left" w:pos="0"/>
        </w:tabs>
        <w:spacing w:before="0" w:after="0"/>
        <w:ind w:firstLine="0" w:firstLineChars="0"/>
        <w:jc w:val="both"/>
        <w:rPr>
          <w:rFonts w:hAnsi="宋体"/>
          <w:color w:val="auto"/>
          <w:kern w:val="2"/>
          <w:sz w:val="24"/>
          <w:szCs w:val="24"/>
          <w:highlight w:val="none"/>
        </w:rPr>
      </w:pPr>
      <w:bookmarkStart w:id="312" w:name="_Toc8720"/>
      <w:bookmarkStart w:id="313" w:name="_Toc438396737"/>
      <w:bookmarkStart w:id="314" w:name="_Toc2238"/>
      <w:bookmarkStart w:id="315" w:name="_Toc17051"/>
      <w:bookmarkStart w:id="316" w:name="_Toc383175285"/>
      <w:bookmarkStart w:id="317" w:name="_Toc432106484"/>
      <w:bookmarkStart w:id="318" w:name="_Toc5766"/>
      <w:bookmarkStart w:id="319" w:name="_Toc383175061"/>
      <w:bookmarkStart w:id="320" w:name="_Toc86124052"/>
      <w:bookmarkStart w:id="321" w:name="_Toc329810195"/>
      <w:bookmarkStart w:id="322" w:name="_Toc22384"/>
      <w:bookmarkStart w:id="323" w:name="_Toc26874"/>
      <w:bookmarkStart w:id="324" w:name="_Toc470096314"/>
      <w:bookmarkStart w:id="325" w:name="_Toc432194835"/>
      <w:bookmarkStart w:id="326" w:name="_Toc807"/>
      <w:bookmarkStart w:id="327" w:name="_Toc21721"/>
      <w:bookmarkStart w:id="328" w:name="_Toc23235"/>
      <w:bookmarkStart w:id="329" w:name="_Toc23731"/>
      <w:bookmarkStart w:id="330" w:name="_Toc383175483"/>
      <w:r>
        <w:rPr>
          <w:rFonts w:hint="eastAsia" w:hAnsi="宋体"/>
          <w:color w:val="auto"/>
          <w:kern w:val="2"/>
          <w:sz w:val="24"/>
          <w:szCs w:val="24"/>
          <w:highlight w:val="none"/>
        </w:rPr>
        <w:t>8、响应文件编写注意事项</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250A699C">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8.1 </w:t>
      </w:r>
      <w:r>
        <w:rPr>
          <w:rFonts w:hint="eastAsia" w:ascii="宋体" w:hAnsi="宋体"/>
          <w:color w:val="auto"/>
          <w:szCs w:val="21"/>
          <w:highlight w:val="none"/>
        </w:rPr>
        <w:t>供应商应仔细阅读磋商文件，在完全了解采购的内容、</w:t>
      </w:r>
      <w:r>
        <w:rPr>
          <w:color w:val="auto"/>
          <w:szCs w:val="21"/>
          <w:highlight w:val="none"/>
        </w:rPr>
        <w:t>项目需求和</w:t>
      </w:r>
      <w:r>
        <w:rPr>
          <w:rFonts w:hint="eastAsia"/>
          <w:color w:val="auto"/>
          <w:szCs w:val="21"/>
          <w:highlight w:val="none"/>
        </w:rPr>
        <w:t>技术及</w:t>
      </w:r>
      <w:r>
        <w:rPr>
          <w:color w:val="auto"/>
          <w:szCs w:val="21"/>
          <w:highlight w:val="none"/>
        </w:rPr>
        <w:t>商务条件后</w:t>
      </w:r>
      <w:r>
        <w:rPr>
          <w:rFonts w:hint="eastAsia" w:ascii="宋体" w:hAnsi="宋体"/>
          <w:color w:val="auto"/>
          <w:szCs w:val="21"/>
          <w:highlight w:val="none"/>
        </w:rPr>
        <w:t>，编写响应文件。</w:t>
      </w:r>
    </w:p>
    <w:p w14:paraId="499D2112">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8.2 </w:t>
      </w:r>
      <w:r>
        <w:rPr>
          <w:rFonts w:hint="eastAsia" w:ascii="宋体" w:hAnsi="宋体"/>
          <w:color w:val="auto"/>
          <w:szCs w:val="21"/>
          <w:highlight w:val="none"/>
        </w:rPr>
        <w:t>对磋商文件提出的实质性要求和条件作出响应是指供应商必须对磋商文件中规定的成交实质性要求和条件作出满足或者优于原要求和条件的承诺，并提供相应的证明材料。</w:t>
      </w:r>
    </w:p>
    <w:p w14:paraId="0BF33031">
      <w:pPr>
        <w:pStyle w:val="5"/>
        <w:tabs>
          <w:tab w:val="left" w:pos="0"/>
        </w:tabs>
        <w:spacing w:before="0" w:after="0"/>
        <w:ind w:firstLine="0" w:firstLineChars="0"/>
        <w:jc w:val="both"/>
        <w:rPr>
          <w:rFonts w:hAnsi="宋体"/>
          <w:color w:val="auto"/>
          <w:kern w:val="2"/>
          <w:sz w:val="24"/>
          <w:szCs w:val="24"/>
          <w:highlight w:val="none"/>
        </w:rPr>
      </w:pPr>
      <w:bookmarkStart w:id="331" w:name="_Toc86124054"/>
      <w:bookmarkStart w:id="332" w:name="_Toc329810196"/>
      <w:bookmarkStart w:id="333" w:name="_Toc383175484"/>
      <w:bookmarkStart w:id="334" w:name="_Toc22367"/>
      <w:bookmarkStart w:id="335" w:name="_Toc24244"/>
      <w:bookmarkStart w:id="336" w:name="_Toc30619"/>
      <w:bookmarkStart w:id="337" w:name="_Toc4176"/>
      <w:bookmarkStart w:id="338" w:name="_Toc7115"/>
      <w:bookmarkStart w:id="339" w:name="_Toc470096315"/>
      <w:bookmarkStart w:id="340" w:name="_Toc23021"/>
      <w:bookmarkStart w:id="341" w:name="_Toc383175062"/>
      <w:bookmarkStart w:id="342" w:name="_Toc28328"/>
      <w:bookmarkStart w:id="343" w:name="_Toc720"/>
      <w:bookmarkStart w:id="344" w:name="_Toc432194836"/>
      <w:bookmarkStart w:id="345" w:name="_Toc432106485"/>
      <w:bookmarkStart w:id="346" w:name="_Toc383175286"/>
      <w:bookmarkStart w:id="347" w:name="_Toc8418"/>
      <w:bookmarkStart w:id="348" w:name="_Toc438396738"/>
      <w:bookmarkStart w:id="349" w:name="_Toc24404"/>
      <w:r>
        <w:rPr>
          <w:rFonts w:hint="eastAsia" w:hAnsi="宋体"/>
          <w:color w:val="auto"/>
          <w:kern w:val="2"/>
          <w:sz w:val="24"/>
          <w:szCs w:val="24"/>
          <w:highlight w:val="none"/>
        </w:rPr>
        <w:t>9、响应文件构成</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AFC87A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供应商编写的响应文件应按第六章“响应文件格式”要求填写。有关文件的提交如未特别注明需提供原件的，可提供复印件。</w:t>
      </w:r>
    </w:p>
    <w:p w14:paraId="339E5685">
      <w:pPr>
        <w:pStyle w:val="5"/>
        <w:tabs>
          <w:tab w:val="left" w:pos="0"/>
        </w:tabs>
        <w:spacing w:before="0" w:after="0"/>
        <w:ind w:firstLine="0" w:firstLineChars="0"/>
        <w:jc w:val="both"/>
        <w:rPr>
          <w:rFonts w:hAnsi="宋体"/>
          <w:color w:val="auto"/>
          <w:kern w:val="2"/>
          <w:sz w:val="24"/>
          <w:szCs w:val="24"/>
          <w:highlight w:val="none"/>
        </w:rPr>
      </w:pPr>
      <w:bookmarkStart w:id="350" w:name="_Toc86124056"/>
      <w:bookmarkStart w:id="351" w:name="_Toc23644"/>
      <w:bookmarkStart w:id="352" w:name="_Toc383175485"/>
      <w:bookmarkStart w:id="353" w:name="_Toc26986"/>
      <w:bookmarkStart w:id="354" w:name="_Toc470096316"/>
      <w:bookmarkStart w:id="355" w:name="_Toc438396739"/>
      <w:bookmarkStart w:id="356" w:name="_Toc383175287"/>
      <w:bookmarkStart w:id="357" w:name="_Toc31329"/>
      <w:bookmarkStart w:id="358" w:name="_Toc28"/>
      <w:bookmarkStart w:id="359" w:name="_Toc30062"/>
      <w:bookmarkStart w:id="360" w:name="_Toc329810197"/>
      <w:bookmarkStart w:id="361" w:name="_Toc432106486"/>
      <w:bookmarkStart w:id="362" w:name="_Toc383175063"/>
      <w:bookmarkStart w:id="363" w:name="_Toc23820"/>
      <w:bookmarkStart w:id="364" w:name="_Toc18338"/>
      <w:bookmarkStart w:id="365" w:name="_Toc3142"/>
      <w:bookmarkStart w:id="366" w:name="_Toc12484"/>
      <w:bookmarkStart w:id="367" w:name="_Toc4117"/>
      <w:bookmarkStart w:id="368" w:name="_Toc432194837"/>
      <w:r>
        <w:rPr>
          <w:rFonts w:hint="eastAsia" w:hAnsi="宋体"/>
          <w:color w:val="auto"/>
          <w:kern w:val="2"/>
          <w:sz w:val="24"/>
          <w:szCs w:val="24"/>
          <w:highlight w:val="none"/>
        </w:rPr>
        <w:t>10、报价</w:t>
      </w:r>
      <w:bookmarkEnd w:id="350"/>
      <w:r>
        <w:rPr>
          <w:rFonts w:hint="eastAsia" w:hAnsi="宋体"/>
          <w:color w:val="auto"/>
          <w:kern w:val="2"/>
          <w:sz w:val="24"/>
          <w:szCs w:val="24"/>
          <w:highlight w:val="none"/>
        </w:rPr>
        <w:t>和报价货币</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CD490D3">
      <w:pPr>
        <w:spacing w:line="360" w:lineRule="auto"/>
        <w:ind w:firstLine="424" w:firstLineChars="202"/>
        <w:jc w:val="left"/>
        <w:rPr>
          <w:color w:val="auto"/>
          <w:szCs w:val="21"/>
          <w:highlight w:val="none"/>
        </w:rPr>
      </w:pPr>
      <w:r>
        <w:rPr>
          <w:rFonts w:ascii="宋体" w:hAnsi="宋体"/>
          <w:color w:val="auto"/>
          <w:szCs w:val="21"/>
          <w:highlight w:val="none"/>
        </w:rPr>
        <w:t>10.1</w:t>
      </w:r>
      <w:r>
        <w:rPr>
          <w:rFonts w:hint="eastAsia"/>
          <w:color w:val="auto"/>
          <w:szCs w:val="21"/>
          <w:highlight w:val="none"/>
        </w:rPr>
        <w:t>本项目采购预算详见</w:t>
      </w:r>
      <w:r>
        <w:rPr>
          <w:color w:val="auto"/>
          <w:szCs w:val="21"/>
          <w:highlight w:val="none"/>
        </w:rPr>
        <w:t>“</w:t>
      </w:r>
      <w:r>
        <w:rPr>
          <w:b/>
          <w:color w:val="auto"/>
          <w:szCs w:val="21"/>
          <w:highlight w:val="none"/>
        </w:rPr>
        <w:t>供应商须知前附表</w:t>
      </w:r>
      <w:r>
        <w:rPr>
          <w:color w:val="auto"/>
          <w:szCs w:val="21"/>
          <w:highlight w:val="none"/>
        </w:rPr>
        <w:t>”</w:t>
      </w:r>
      <w:r>
        <w:rPr>
          <w:rFonts w:hint="eastAsia"/>
          <w:color w:val="auto"/>
          <w:szCs w:val="21"/>
          <w:highlight w:val="none"/>
        </w:rPr>
        <w:t>，最后报价超过采购预算的供应商将按未实质性响应磋商文件处理。</w:t>
      </w:r>
    </w:p>
    <w:p w14:paraId="2A3BE46A">
      <w:pPr>
        <w:spacing w:line="360" w:lineRule="auto"/>
        <w:ind w:firstLine="424" w:firstLineChars="202"/>
        <w:jc w:val="left"/>
        <w:rPr>
          <w:rFonts w:hint="eastAsia"/>
          <w:color w:val="auto"/>
          <w:szCs w:val="21"/>
          <w:highlight w:val="none"/>
        </w:rPr>
      </w:pPr>
      <w:r>
        <w:rPr>
          <w:rFonts w:hint="eastAsia"/>
          <w:color w:val="auto"/>
          <w:szCs w:val="21"/>
          <w:highlight w:val="none"/>
        </w:rPr>
        <w:t>10.2供应商应依据磋商文件的要求及有关资料，按国家或行业现行技术经济标准、定额及规范，自行测算出满足采购要求的报价。</w:t>
      </w:r>
      <w:r>
        <w:rPr>
          <w:color w:val="auto"/>
          <w:szCs w:val="21"/>
          <w:highlight w:val="none"/>
        </w:rPr>
        <w:t>供应商的磋商报价，应是完成磋商文件</w:t>
      </w:r>
      <w:r>
        <w:rPr>
          <w:rFonts w:hint="eastAsia"/>
          <w:color w:val="auto"/>
          <w:szCs w:val="21"/>
          <w:highlight w:val="none"/>
        </w:rPr>
        <w:t>施工</w:t>
      </w:r>
      <w:r>
        <w:rPr>
          <w:color w:val="auto"/>
          <w:szCs w:val="21"/>
          <w:highlight w:val="none"/>
        </w:rPr>
        <w:t>范围、合同条款、施工图、工程量清单及工期等各项内容的全部，包含但不仅限于本合同项下的</w:t>
      </w:r>
      <w:r>
        <w:rPr>
          <w:rFonts w:hint="eastAsia"/>
          <w:color w:val="auto"/>
          <w:szCs w:val="21"/>
          <w:highlight w:val="none"/>
        </w:rPr>
        <w:t>施工</w:t>
      </w:r>
      <w:r>
        <w:rPr>
          <w:color w:val="auto"/>
          <w:szCs w:val="21"/>
          <w:highlight w:val="none"/>
        </w:rPr>
        <w:t>范围内所有分部分项工程的人工、材料、机械、设备、施工（安装）、企业管理费、措施项目费、进出场费、建设场地准备、临时设施费、保险费、其它项目费、政策性文件规费、利润、税金等所有明示及暗示风险的一切费用，并能保证供应商完成履行合同所需的一切工作。不论这些价格是否包括在</w:t>
      </w:r>
      <w:r>
        <w:rPr>
          <w:rFonts w:hint="eastAsia"/>
          <w:color w:val="auto"/>
          <w:szCs w:val="21"/>
          <w:highlight w:val="none"/>
        </w:rPr>
        <w:t>磋商</w:t>
      </w:r>
      <w:r>
        <w:rPr>
          <w:color w:val="auto"/>
          <w:szCs w:val="21"/>
          <w:highlight w:val="none"/>
        </w:rPr>
        <w:t>报价中，采购人视供应商在计算报价时已包括在内。即应是完成本竞争性磋商文件</w:t>
      </w:r>
      <w:r>
        <w:rPr>
          <w:rFonts w:hint="eastAsia"/>
          <w:color w:val="auto"/>
          <w:szCs w:val="21"/>
          <w:highlight w:val="none"/>
        </w:rPr>
        <w:t>施工</w:t>
      </w:r>
      <w:r>
        <w:rPr>
          <w:color w:val="auto"/>
          <w:szCs w:val="21"/>
          <w:highlight w:val="none"/>
        </w:rPr>
        <w:t>范围及合同条款上所列项目范围及工期的全部，不得以任何理由予以重复。在合同实施期间不因市场变化因素而变动，供应商在计算报价时应考虑物价上涨、政策性调整及一般设计变更等诸多因素及由此引起的费用变动</w:t>
      </w:r>
      <w:r>
        <w:rPr>
          <w:rFonts w:hint="eastAsia"/>
          <w:color w:val="auto"/>
          <w:szCs w:val="21"/>
          <w:highlight w:val="none"/>
        </w:rPr>
        <w:t>。</w:t>
      </w:r>
    </w:p>
    <w:p w14:paraId="35762DA1">
      <w:pPr>
        <w:spacing w:line="360" w:lineRule="auto"/>
        <w:ind w:firstLine="424" w:firstLineChars="202"/>
        <w:jc w:val="left"/>
        <w:rPr>
          <w:rFonts w:hint="eastAsia"/>
          <w:color w:val="auto"/>
          <w:szCs w:val="21"/>
          <w:highlight w:val="none"/>
        </w:rPr>
      </w:pPr>
      <w:r>
        <w:rPr>
          <w:rFonts w:hint="eastAsia"/>
          <w:color w:val="auto"/>
          <w:szCs w:val="21"/>
          <w:highlight w:val="none"/>
        </w:rPr>
        <w:t>供应商应充分了解施工场地的位置、周边环境、道路、装卸、保管、施工、安装限制、机械设备进场及材料运输的特殊性、装卸限制及影响磋商报价的其他要素，任何因忽视或误解工地情况而导致的索赔或工期延长申请将不被批准。</w:t>
      </w:r>
    </w:p>
    <w:p w14:paraId="1911FDA7">
      <w:pPr>
        <w:spacing w:line="360" w:lineRule="auto"/>
        <w:ind w:firstLine="424" w:firstLineChars="202"/>
        <w:jc w:val="left"/>
        <w:rPr>
          <w:rFonts w:hint="eastAsia"/>
          <w:color w:val="auto"/>
          <w:szCs w:val="21"/>
          <w:highlight w:val="none"/>
        </w:rPr>
      </w:pPr>
      <w:r>
        <w:rPr>
          <w:rFonts w:hint="eastAsia"/>
          <w:color w:val="auto"/>
          <w:szCs w:val="21"/>
          <w:highlight w:val="none"/>
        </w:rPr>
        <w:t>结算方式：承包人在合同完成后报送已完成项目结算审计资料，结算审计以承包人第一轮报价所报的响应文件中的“已标价工程量清单”进行审计，在审计后的结算价基础上乘以（1-本合同约定优惠率），即得到该工程审计结算价（应支付实际工程款）。</w:t>
      </w:r>
    </w:p>
    <w:p w14:paraId="6624BA6B">
      <w:pPr>
        <w:spacing w:line="360" w:lineRule="auto"/>
        <w:ind w:firstLine="424" w:firstLineChars="202"/>
        <w:jc w:val="left"/>
        <w:rPr>
          <w:color w:val="auto"/>
          <w:szCs w:val="21"/>
          <w:highlight w:val="none"/>
        </w:rPr>
      </w:pPr>
      <w:r>
        <w:rPr>
          <w:rFonts w:hint="eastAsia"/>
          <w:color w:val="auto"/>
          <w:szCs w:val="21"/>
          <w:highlight w:val="none"/>
        </w:rPr>
        <w:t>合同约定优惠率=（第一轮报价-第二轮报价）/第一轮报价。</w:t>
      </w:r>
    </w:p>
    <w:p w14:paraId="0D542C90">
      <w:pPr>
        <w:spacing w:line="360" w:lineRule="auto"/>
        <w:ind w:firstLine="420" w:firstLineChars="200"/>
        <w:jc w:val="left"/>
        <w:rPr>
          <w:rFonts w:ascii="宋体" w:hAnsi="宋体"/>
          <w:color w:val="auto"/>
          <w:highlight w:val="none"/>
        </w:rPr>
      </w:pPr>
      <w:r>
        <w:rPr>
          <w:rFonts w:ascii="宋体" w:hAnsi="宋体"/>
          <w:color w:val="auto"/>
          <w:szCs w:val="21"/>
          <w:highlight w:val="none"/>
        </w:rPr>
        <w:t>10.3</w:t>
      </w:r>
      <w:r>
        <w:rPr>
          <w:rFonts w:hint="eastAsia" w:ascii="宋体" w:hAnsi="宋体"/>
          <w:color w:val="auto"/>
          <w:highlight w:val="none"/>
        </w:rPr>
        <w:t>磋商报价及合同所有款项的支付均以人民币计算。</w:t>
      </w:r>
    </w:p>
    <w:p w14:paraId="0E234F61">
      <w:pPr>
        <w:spacing w:line="360" w:lineRule="auto"/>
        <w:ind w:firstLine="424" w:firstLineChars="202"/>
        <w:jc w:val="left"/>
        <w:rPr>
          <w:rFonts w:ascii="宋体" w:hAnsi="宋体"/>
          <w:b/>
          <w:color w:val="auto"/>
          <w:szCs w:val="21"/>
          <w:highlight w:val="none"/>
        </w:rPr>
      </w:pPr>
      <w:r>
        <w:rPr>
          <w:rFonts w:ascii="宋体" w:hAnsi="宋体"/>
          <w:color w:val="auto"/>
          <w:szCs w:val="21"/>
          <w:highlight w:val="none"/>
        </w:rPr>
        <w:t>10.4</w:t>
      </w:r>
      <w:r>
        <w:rPr>
          <w:rFonts w:ascii="宋体" w:hAnsi="宋体"/>
          <w:b/>
          <w:color w:val="auto"/>
          <w:szCs w:val="21"/>
          <w:highlight w:val="none"/>
        </w:rPr>
        <w:t>通过</w:t>
      </w:r>
      <w:r>
        <w:rPr>
          <w:rFonts w:hint="eastAsia" w:ascii="宋体" w:hAnsi="宋体"/>
          <w:b/>
          <w:color w:val="auto"/>
          <w:szCs w:val="21"/>
          <w:highlight w:val="none"/>
        </w:rPr>
        <w:t>实质性要求审查</w:t>
      </w:r>
      <w:r>
        <w:rPr>
          <w:rFonts w:ascii="宋体" w:hAnsi="宋体"/>
          <w:b/>
          <w:color w:val="auto"/>
          <w:szCs w:val="21"/>
          <w:highlight w:val="none"/>
        </w:rPr>
        <w:t>的供应商</w:t>
      </w:r>
      <w:r>
        <w:rPr>
          <w:rFonts w:hint="eastAsia" w:ascii="宋体" w:hAnsi="宋体"/>
          <w:b/>
          <w:color w:val="auto"/>
          <w:szCs w:val="21"/>
          <w:highlight w:val="none"/>
        </w:rPr>
        <w:t>才能进入磋商程序并</w:t>
      </w:r>
      <w:r>
        <w:rPr>
          <w:rFonts w:ascii="宋体" w:hAnsi="宋体"/>
          <w:b/>
          <w:color w:val="auto"/>
          <w:szCs w:val="21"/>
          <w:highlight w:val="none"/>
        </w:rPr>
        <w:t>进行第二轮报价，第二轮报价为</w:t>
      </w:r>
      <w:r>
        <w:rPr>
          <w:rFonts w:hint="eastAsia" w:ascii="宋体" w:hAnsi="宋体"/>
          <w:b/>
          <w:color w:val="auto"/>
          <w:szCs w:val="21"/>
          <w:highlight w:val="none"/>
        </w:rPr>
        <w:t>最后报价</w:t>
      </w:r>
      <w:r>
        <w:rPr>
          <w:rFonts w:ascii="宋体" w:hAnsi="宋体"/>
          <w:b/>
          <w:color w:val="auto"/>
          <w:szCs w:val="21"/>
          <w:highlight w:val="none"/>
        </w:rPr>
        <w:t>。</w:t>
      </w:r>
    </w:p>
    <w:p w14:paraId="2C418711">
      <w:pPr>
        <w:spacing w:line="360" w:lineRule="auto"/>
        <w:ind w:firstLine="426" w:firstLineChars="202"/>
        <w:jc w:val="left"/>
        <w:rPr>
          <w:rFonts w:ascii="宋体" w:hAnsi="宋体"/>
          <w:b/>
          <w:color w:val="auto"/>
          <w:szCs w:val="21"/>
          <w:highlight w:val="none"/>
        </w:rPr>
      </w:pPr>
      <w:r>
        <w:rPr>
          <w:rFonts w:hint="eastAsia" w:ascii="宋体" w:hAnsi="宋体"/>
          <w:b/>
          <w:color w:val="auto"/>
          <w:szCs w:val="21"/>
          <w:highlight w:val="none"/>
        </w:rPr>
        <w:t>注：第二轮报价（即最后报价）的方式由供应商以网上递交的形式填报，请各潜在供应商保持电话畅通以及随时关注“政采云”信息，如果在评审当天起至联系供应商</w:t>
      </w:r>
      <w:r>
        <w:rPr>
          <w:rFonts w:hint="eastAsia" w:ascii="宋体" w:hAnsi="宋体"/>
          <w:b/>
          <w:color w:val="auto"/>
          <w:szCs w:val="21"/>
          <w:highlight w:val="none"/>
          <w:lang w:eastAsia="zh-CN"/>
        </w:rPr>
        <w:t>时长</w:t>
      </w:r>
      <w:r>
        <w:rPr>
          <w:rFonts w:hint="eastAsia" w:ascii="宋体" w:hAnsi="宋体"/>
          <w:b/>
          <w:color w:val="auto"/>
          <w:szCs w:val="21"/>
          <w:highlight w:val="none"/>
        </w:rPr>
        <w:t>超过20分钟供应商无应答的，由此造成的后果由供应商自行承担。</w:t>
      </w:r>
    </w:p>
    <w:p w14:paraId="691433CD">
      <w:pPr>
        <w:spacing w:line="360" w:lineRule="auto"/>
        <w:ind w:firstLine="426" w:firstLineChars="202"/>
        <w:jc w:val="left"/>
        <w:rPr>
          <w:rFonts w:ascii="宋体" w:hAnsi="宋体"/>
          <w:b/>
          <w:color w:val="auto"/>
          <w:szCs w:val="21"/>
          <w:highlight w:val="none"/>
        </w:rPr>
      </w:pPr>
      <w:r>
        <w:rPr>
          <w:rFonts w:hint="eastAsia" w:ascii="宋体" w:hAnsi="宋体"/>
          <w:b/>
          <w:color w:val="auto"/>
          <w:szCs w:val="21"/>
          <w:highlight w:val="none"/>
        </w:rPr>
        <w:t>10.</w:t>
      </w:r>
      <w:r>
        <w:rPr>
          <w:rFonts w:ascii="宋体" w:hAnsi="宋体"/>
          <w:b/>
          <w:color w:val="auto"/>
          <w:szCs w:val="21"/>
          <w:highlight w:val="none"/>
        </w:rPr>
        <w:t>5</w:t>
      </w:r>
      <w:r>
        <w:rPr>
          <w:rFonts w:hint="eastAsia" w:ascii="宋体" w:hAnsi="宋体"/>
          <w:b/>
          <w:color w:val="auto"/>
          <w:szCs w:val="21"/>
          <w:highlight w:val="none"/>
        </w:rPr>
        <w:t>若已递交的最后报价文件若出现</w:t>
      </w:r>
      <w:r>
        <w:rPr>
          <w:rFonts w:ascii="宋体" w:hAnsi="宋体"/>
          <w:b/>
          <w:color w:val="auto"/>
          <w:szCs w:val="21"/>
          <w:highlight w:val="none"/>
        </w:rPr>
        <w:t>含义不明确、同类问题表述不一致或者</w:t>
      </w:r>
      <w:r>
        <w:rPr>
          <w:rFonts w:hint="eastAsia" w:ascii="宋体" w:hAnsi="宋体"/>
          <w:b/>
          <w:color w:val="auto"/>
          <w:szCs w:val="21"/>
          <w:highlight w:val="none"/>
        </w:rPr>
        <w:t>签署不完整、</w:t>
      </w:r>
      <w:r>
        <w:rPr>
          <w:rFonts w:ascii="宋体" w:hAnsi="宋体"/>
          <w:b/>
          <w:color w:val="auto"/>
          <w:szCs w:val="21"/>
          <w:highlight w:val="none"/>
        </w:rPr>
        <w:t>有明显文字和计算错误的</w:t>
      </w:r>
      <w:r>
        <w:rPr>
          <w:rFonts w:hint="eastAsia" w:ascii="宋体" w:hAnsi="宋体"/>
          <w:b/>
          <w:color w:val="auto"/>
          <w:szCs w:val="21"/>
          <w:highlight w:val="none"/>
        </w:rPr>
        <w:t>，可以进行澄清和补充，但不得改变最后报价文件中报价等</w:t>
      </w:r>
      <w:r>
        <w:rPr>
          <w:rFonts w:ascii="宋体" w:hAnsi="宋体"/>
          <w:b/>
          <w:color w:val="auto"/>
          <w:szCs w:val="21"/>
          <w:highlight w:val="none"/>
        </w:rPr>
        <w:t>实质性内容（算术性错误修正的除外）</w:t>
      </w:r>
      <w:r>
        <w:rPr>
          <w:rFonts w:hint="eastAsia" w:ascii="宋体" w:hAnsi="宋体"/>
          <w:b/>
          <w:color w:val="auto"/>
          <w:szCs w:val="21"/>
          <w:highlight w:val="none"/>
        </w:rPr>
        <w:t>。</w:t>
      </w:r>
    </w:p>
    <w:p w14:paraId="083B975E">
      <w:pPr>
        <w:spacing w:line="360" w:lineRule="auto"/>
        <w:ind w:firstLine="426" w:firstLineChars="202"/>
        <w:jc w:val="left"/>
        <w:rPr>
          <w:rFonts w:hint="eastAsia" w:ascii="宋体" w:hAnsi="宋体" w:eastAsia="宋体" w:cs="Times New Roman"/>
          <w:b/>
          <w:szCs w:val="21"/>
          <w:highlight w:val="none"/>
          <w:lang w:val="en-US" w:eastAsia="zh-CN"/>
        </w:rPr>
      </w:pPr>
      <w:bookmarkStart w:id="369" w:name="OLE_LINK53"/>
      <w:r>
        <w:rPr>
          <w:rFonts w:hint="eastAsia" w:ascii="宋体" w:hAnsi="宋体" w:eastAsia="宋体" w:cs="Times New Roman"/>
          <w:b/>
          <w:szCs w:val="21"/>
          <w:highlight w:val="none"/>
          <w:lang w:val="en-US" w:eastAsia="zh-CN"/>
        </w:rPr>
        <w:t>10.6异常低价审查</w:t>
      </w:r>
    </w:p>
    <w:p w14:paraId="2F14CDDA">
      <w:pPr>
        <w:spacing w:line="360" w:lineRule="auto"/>
        <w:ind w:firstLine="420" w:firstLineChars="200"/>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（1）评审中出现下列情形之一的，磋商小组应当启动异常低价投标审查程序：</w:t>
      </w:r>
    </w:p>
    <w:p w14:paraId="64FE8C88">
      <w:pPr>
        <w:spacing w:line="360" w:lineRule="auto"/>
        <w:ind w:firstLine="420" w:firstLineChars="200"/>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①磋商报价低于全部通过符合性审查供应商磋商报价平均值50%的，即磋商报价&lt;全部通过符合性审查供应商磋商报价平均值×50%；</w:t>
      </w:r>
    </w:p>
    <w:p w14:paraId="0DAF95E2">
      <w:pPr>
        <w:spacing w:line="360" w:lineRule="auto"/>
        <w:ind w:firstLine="420" w:firstLineChars="200"/>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②磋商报价低于通过符合性审查的次低报价供应商磋商报价50%的，即磋商报价&lt;通过符合性审查的次低报价供应商磋商报价×50%；</w:t>
      </w:r>
    </w:p>
    <w:p w14:paraId="5D3D1E6E">
      <w:pPr>
        <w:spacing w:line="360" w:lineRule="auto"/>
        <w:ind w:firstLine="424" w:firstLineChars="202"/>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③磋商报价低于采购项目最高限价45%的，即磋商报价&lt;采购项目最高限价×45%；</w:t>
      </w:r>
    </w:p>
    <w:p w14:paraId="36026197">
      <w:pPr>
        <w:spacing w:line="360" w:lineRule="auto"/>
        <w:ind w:firstLine="424" w:firstLineChars="202"/>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④磋商小组基于专业判断，认为供应商报价过低，有可能影响产品质量或者不能诚信履约的其他情形。</w:t>
      </w:r>
    </w:p>
    <w:p w14:paraId="34227A3C">
      <w:pPr>
        <w:spacing w:line="360" w:lineRule="auto"/>
        <w:ind w:firstLine="424" w:firstLineChars="202"/>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相关法律法规对供应商报价有规定的，从其规定。</w:t>
      </w:r>
    </w:p>
    <w:p w14:paraId="171DE1C7">
      <w:pPr>
        <w:spacing w:line="360" w:lineRule="auto"/>
        <w:ind w:firstLine="424" w:firstLineChars="202"/>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2）磋商小组启动异常低价投标审查后，属于前述第①项至第④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③项情形，供应商已随响应文件一并提交相关书面说明及必要的证明材料的，在评审现场可不再重复提交。</w:t>
      </w:r>
    </w:p>
    <w:p w14:paraId="376356F2">
      <w:pPr>
        <w:spacing w:line="360" w:lineRule="auto"/>
        <w:ind w:firstLine="424" w:firstLineChars="202"/>
        <w:jc w:val="left"/>
        <w:rPr>
          <w:rFonts w:hint="eastAsia" w:ascii="宋体" w:hAnsi="宋体" w:eastAsia="宋体" w:cs="Times New Roman"/>
          <w:b w:val="0"/>
          <w:bCs/>
          <w:szCs w:val="21"/>
          <w:highlight w:val="none"/>
          <w:lang w:val="en-US" w:eastAsia="zh-CN"/>
        </w:rPr>
      </w:pPr>
      <w:r>
        <w:rPr>
          <w:rFonts w:hint="eastAsia" w:ascii="宋体" w:hAnsi="宋体" w:eastAsia="宋体" w:cs="Times New Roman"/>
          <w:b w:val="0"/>
          <w:bCs/>
          <w:szCs w:val="21"/>
          <w:highlight w:val="none"/>
          <w:lang w:val="en-US" w:eastAsia="zh-CN"/>
        </w:rPr>
        <w:t>（3）磋商小组依据专业经验，参考同类项目中标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p w14:paraId="1C0E4F29">
      <w:pPr>
        <w:spacing w:line="360" w:lineRule="auto"/>
        <w:ind w:firstLine="424" w:firstLineChars="202"/>
        <w:jc w:val="left"/>
        <w:rPr>
          <w:rFonts w:ascii="宋体" w:hAnsi="宋体"/>
          <w:color w:val="auto"/>
          <w:szCs w:val="21"/>
          <w:highlight w:val="none"/>
        </w:rPr>
      </w:pPr>
      <w:r>
        <w:rPr>
          <w:rFonts w:hint="eastAsia" w:ascii="宋体" w:hAnsi="宋体" w:eastAsia="宋体" w:cs="Times New Roman"/>
          <w:b w:val="0"/>
          <w:bCs/>
          <w:szCs w:val="21"/>
          <w:highlight w:val="none"/>
          <w:lang w:val="en-US" w:eastAsia="zh-CN"/>
        </w:rPr>
        <w:t>（4）异常低价投标（响应）审查的启动原因、审查意见和审查结果应当在评审报告中记录，并随供应商提供的相关书面说明及证明材料，以及磋商小组有关互联网浏览、查询历史一并归档。</w:t>
      </w:r>
      <w:bookmarkEnd w:id="369"/>
    </w:p>
    <w:p w14:paraId="6A4CB36A">
      <w:pPr>
        <w:pStyle w:val="5"/>
        <w:tabs>
          <w:tab w:val="left" w:pos="0"/>
        </w:tabs>
        <w:spacing w:before="0" w:after="0"/>
        <w:ind w:firstLine="0" w:firstLineChars="0"/>
        <w:jc w:val="both"/>
        <w:rPr>
          <w:rFonts w:hAnsi="宋体"/>
          <w:color w:val="auto"/>
          <w:kern w:val="2"/>
          <w:sz w:val="24"/>
          <w:szCs w:val="24"/>
          <w:highlight w:val="none"/>
        </w:rPr>
      </w:pPr>
      <w:bookmarkStart w:id="370" w:name="_Toc30034"/>
      <w:bookmarkStart w:id="371" w:name="_Toc11906"/>
      <w:bookmarkStart w:id="372" w:name="_Toc383175064"/>
      <w:bookmarkStart w:id="373" w:name="_Toc329810198"/>
      <w:bookmarkStart w:id="374" w:name="_Toc432194838"/>
      <w:bookmarkStart w:id="375" w:name="_Toc25522"/>
      <w:bookmarkStart w:id="376" w:name="_Toc27531"/>
      <w:bookmarkStart w:id="377" w:name="_Toc470096317"/>
      <w:bookmarkStart w:id="378" w:name="_Toc432106487"/>
      <w:bookmarkStart w:id="379" w:name="_Toc26900"/>
      <w:bookmarkStart w:id="380" w:name="_Toc16604"/>
      <w:bookmarkStart w:id="381" w:name="_Toc383175288"/>
      <w:bookmarkStart w:id="382" w:name="_Toc11532"/>
      <w:bookmarkStart w:id="383" w:name="_Toc24977"/>
      <w:bookmarkStart w:id="384" w:name="_Toc8023"/>
      <w:bookmarkStart w:id="385" w:name="_Toc2192"/>
      <w:bookmarkStart w:id="386" w:name="_Toc86124058"/>
      <w:bookmarkStart w:id="387" w:name="_Toc438396740"/>
      <w:bookmarkStart w:id="388" w:name="_Toc383175486"/>
      <w:r>
        <w:rPr>
          <w:rFonts w:hint="eastAsia" w:hAnsi="宋体"/>
          <w:color w:val="auto"/>
          <w:kern w:val="2"/>
          <w:sz w:val="24"/>
          <w:szCs w:val="24"/>
          <w:highlight w:val="none"/>
        </w:rPr>
        <w:t>11、磋商有效期</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58BB96D">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11.1 </w:t>
      </w:r>
      <w:r>
        <w:rPr>
          <w:rFonts w:hint="eastAsia" w:ascii="宋体" w:hAnsi="宋体"/>
          <w:color w:val="auto"/>
          <w:szCs w:val="21"/>
          <w:highlight w:val="none"/>
        </w:rPr>
        <w:t>在“</w:t>
      </w:r>
      <w:r>
        <w:rPr>
          <w:rFonts w:hint="eastAsia" w:ascii="宋体" w:hAnsi="宋体"/>
          <w:b/>
          <w:color w:val="auto"/>
          <w:szCs w:val="21"/>
          <w:highlight w:val="none"/>
        </w:rPr>
        <w:t>供应商须知前附表</w:t>
      </w:r>
      <w:r>
        <w:rPr>
          <w:rFonts w:hint="eastAsia" w:ascii="宋体" w:hAnsi="宋体"/>
          <w:color w:val="auto"/>
          <w:szCs w:val="21"/>
          <w:highlight w:val="none"/>
        </w:rPr>
        <w:t>”规定的有效期内，供应商不得要求撤销或修改其响应文件。</w:t>
      </w:r>
    </w:p>
    <w:p w14:paraId="4BA95473">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11.2 </w:t>
      </w:r>
      <w:r>
        <w:rPr>
          <w:rFonts w:hint="eastAsia" w:ascii="宋体" w:hAnsi="宋体"/>
          <w:color w:val="auto"/>
          <w:szCs w:val="21"/>
          <w:highlight w:val="none"/>
        </w:rPr>
        <w:t>因特殊情况需要延长有效期的，采购代理机构以书面形式通知所有供应商延长有效期。供应商同意延长的，应相应延长其保证金的有效期，但不得要求或被允许修改或撤销其响应文件；供应商拒绝延长的，其响应文件失效，但供应商有权收回其保证金。</w:t>
      </w:r>
    </w:p>
    <w:p w14:paraId="22CA8DF5">
      <w:pPr>
        <w:pStyle w:val="5"/>
        <w:tabs>
          <w:tab w:val="left" w:pos="0"/>
        </w:tabs>
        <w:spacing w:before="0" w:after="0"/>
        <w:ind w:firstLine="0" w:firstLineChars="0"/>
        <w:jc w:val="both"/>
        <w:rPr>
          <w:rFonts w:hAnsi="宋体"/>
          <w:color w:val="auto"/>
          <w:kern w:val="2"/>
          <w:sz w:val="24"/>
          <w:szCs w:val="24"/>
          <w:highlight w:val="none"/>
        </w:rPr>
      </w:pPr>
      <w:bookmarkStart w:id="389" w:name="_Toc86124059"/>
      <w:bookmarkStart w:id="390" w:name="_Toc329810199"/>
      <w:bookmarkStart w:id="391" w:name="_Toc4569"/>
      <w:bookmarkStart w:id="392" w:name="_Toc28736"/>
      <w:bookmarkStart w:id="393" w:name="_Toc383175487"/>
      <w:bookmarkStart w:id="394" w:name="_Toc383175289"/>
      <w:bookmarkStart w:id="395" w:name="_Toc470096318"/>
      <w:bookmarkStart w:id="396" w:name="_Toc432194839"/>
      <w:bookmarkStart w:id="397" w:name="_Toc438396741"/>
      <w:bookmarkStart w:id="398" w:name="_Toc5684"/>
      <w:bookmarkStart w:id="399" w:name="_Toc24004"/>
      <w:bookmarkStart w:id="400" w:name="_Toc20347"/>
      <w:bookmarkStart w:id="401" w:name="_Toc3996"/>
      <w:bookmarkStart w:id="402" w:name="_Toc383175065"/>
      <w:bookmarkStart w:id="403" w:name="_Toc24551"/>
      <w:bookmarkStart w:id="404" w:name="_Toc1610"/>
      <w:bookmarkStart w:id="405" w:name="_Toc432106488"/>
      <w:bookmarkStart w:id="406" w:name="_Toc18551"/>
      <w:bookmarkStart w:id="407" w:name="_Toc28661"/>
      <w:r>
        <w:rPr>
          <w:rFonts w:hint="eastAsia" w:hAnsi="宋体"/>
          <w:color w:val="auto"/>
          <w:kern w:val="2"/>
          <w:sz w:val="24"/>
          <w:szCs w:val="24"/>
          <w:highlight w:val="none"/>
        </w:rPr>
        <w:t>12、响应文件的</w:t>
      </w:r>
      <w:bookmarkEnd w:id="389"/>
      <w:bookmarkEnd w:id="390"/>
      <w:r>
        <w:rPr>
          <w:rFonts w:hint="eastAsia" w:hAnsi="宋体"/>
          <w:color w:val="auto"/>
          <w:kern w:val="2"/>
          <w:sz w:val="24"/>
          <w:szCs w:val="24"/>
          <w:highlight w:val="none"/>
        </w:rPr>
        <w:t>编制</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8FEEC55">
      <w:pPr>
        <w:snapToGrid w:val="0"/>
        <w:spacing w:line="360" w:lineRule="auto"/>
        <w:ind w:firstLine="367" w:firstLineChars="175"/>
        <w:rPr>
          <w:rFonts w:ascii="宋体" w:hAnsi="宋体"/>
          <w:color w:val="auto"/>
          <w:szCs w:val="21"/>
          <w:highlight w:val="none"/>
        </w:rPr>
      </w:pPr>
      <w:bookmarkStart w:id="408" w:name="_Toc438396742"/>
      <w:bookmarkStart w:id="409" w:name="_Toc432194840"/>
      <w:bookmarkStart w:id="410" w:name="_Toc470096319"/>
      <w:bookmarkStart w:id="411" w:name="_Toc432106489"/>
      <w:r>
        <w:rPr>
          <w:rFonts w:hint="eastAsia" w:ascii="宋体" w:hAnsi="宋体"/>
          <w:color w:val="auto"/>
          <w:szCs w:val="21"/>
          <w:highlight w:val="none"/>
        </w:rPr>
        <w:t xml:space="preserve">12.1 </w:t>
      </w:r>
      <w:r>
        <w:rPr>
          <w:rFonts w:hint="eastAsia" w:ascii="宋体" w:hAnsi="宋体"/>
          <w:color w:val="auto"/>
          <w:kern w:val="0"/>
          <w:szCs w:val="21"/>
          <w:highlight w:val="none"/>
        </w:rPr>
        <w:t>响应文件编制详见</w:t>
      </w:r>
      <w:r>
        <w:rPr>
          <w:rFonts w:hint="eastAsia" w:ascii="宋体" w:hAnsi="宋体"/>
          <w:b/>
          <w:bCs/>
          <w:color w:val="auto"/>
          <w:kern w:val="0"/>
          <w:szCs w:val="21"/>
          <w:highlight w:val="none"/>
        </w:rPr>
        <w:t>“供应商须知前附表”</w:t>
      </w:r>
    </w:p>
    <w:p w14:paraId="78C6FBBF">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12.2 响应文件全部采用电子文档，供应商应安装客户端软件—“政采云电子交易客户端”，并按照磋商文件和政采云电子交易平台的要求编制，编制后应进行电子签名及加密。</w:t>
      </w:r>
    </w:p>
    <w:p w14:paraId="117FF382">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12.3如供应商提交的电子标书磋商文件要求或开标时无法读取导入或解密，其响应文件将不予受理。</w:t>
      </w:r>
    </w:p>
    <w:p w14:paraId="7FD66AB3">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12.4响应文件应尽量避免涂改、行间插字或删除。如果出现上述情况，改动之处应加盖单位章或由供应商的法定代表人（签名或盖章）确认。</w:t>
      </w:r>
    </w:p>
    <w:p w14:paraId="743AC59A">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12.5 关键内容字迹潦草、表达不清、未按要求填写而导致非唯一理解，视为未实质性响应磋商文件的响应文件。</w:t>
      </w:r>
    </w:p>
    <w:p w14:paraId="122B8DA5">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12.6响应文件应由法定代表人或其委托代理人在凡规定签字处逐一</w:t>
      </w:r>
      <w:r>
        <w:rPr>
          <w:rFonts w:hint="eastAsia" w:ascii="宋体" w:hAnsi="宋体"/>
          <w:b/>
          <w:bCs/>
          <w:color w:val="auto"/>
          <w:szCs w:val="21"/>
          <w:highlight w:val="none"/>
        </w:rPr>
        <w:t>电子签名</w:t>
      </w:r>
      <w:r>
        <w:rPr>
          <w:rFonts w:hint="eastAsia" w:ascii="宋体" w:hAnsi="宋体"/>
          <w:color w:val="auto"/>
          <w:szCs w:val="21"/>
          <w:highlight w:val="none"/>
        </w:rPr>
        <w:t>，要求盖章处应盖单位电子公章，若以“投标专用章”或“合同专用章”代替的，须出具供应商单位公章对“投标专用章”或“合同专用章”的授权函原件。</w:t>
      </w:r>
    </w:p>
    <w:p w14:paraId="0C8D5978">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12.7响应文件中提供的资料（扫描件），内容必须清晰可辨，若内容模糊，无法辨识，均视为未提供。</w:t>
      </w:r>
    </w:p>
    <w:p w14:paraId="4635CCD9">
      <w:pPr>
        <w:snapToGrid w:val="0"/>
        <w:spacing w:line="360" w:lineRule="auto"/>
        <w:ind w:firstLine="367" w:firstLineChars="175"/>
        <w:rPr>
          <w:rFonts w:ascii="宋体" w:hAnsi="宋体"/>
          <w:color w:val="auto"/>
          <w:szCs w:val="21"/>
          <w:highlight w:val="none"/>
        </w:rPr>
      </w:pPr>
      <w:r>
        <w:rPr>
          <w:rFonts w:hint="eastAsia" w:ascii="宋体" w:hAnsi="宋体"/>
          <w:color w:val="auto"/>
          <w:szCs w:val="21"/>
          <w:highlight w:val="none"/>
        </w:rPr>
        <w:t>12.8响应文件的份数和签署：具体详见</w:t>
      </w:r>
      <w:r>
        <w:rPr>
          <w:rFonts w:hint="eastAsia" w:ascii="宋体" w:hAnsi="宋体"/>
          <w:b/>
          <w:bCs/>
          <w:color w:val="auto"/>
          <w:szCs w:val="21"/>
          <w:highlight w:val="none"/>
        </w:rPr>
        <w:t>“供应商须知前附表”</w:t>
      </w:r>
      <w:r>
        <w:rPr>
          <w:rFonts w:hint="eastAsia" w:ascii="宋体" w:hAnsi="宋体"/>
          <w:color w:val="auto"/>
          <w:szCs w:val="21"/>
          <w:highlight w:val="none"/>
        </w:rPr>
        <w:t>。</w:t>
      </w:r>
    </w:p>
    <w:p w14:paraId="438FF5F1">
      <w:pPr>
        <w:pStyle w:val="5"/>
        <w:tabs>
          <w:tab w:val="left" w:pos="0"/>
        </w:tabs>
        <w:spacing w:before="0" w:after="0"/>
        <w:ind w:firstLine="0" w:firstLineChars="0"/>
        <w:jc w:val="both"/>
        <w:rPr>
          <w:rFonts w:hAnsi="宋体"/>
          <w:color w:val="auto"/>
          <w:kern w:val="2"/>
          <w:sz w:val="24"/>
          <w:szCs w:val="24"/>
          <w:highlight w:val="none"/>
        </w:rPr>
      </w:pPr>
      <w:bookmarkStart w:id="412" w:name="_Toc3885"/>
      <w:bookmarkStart w:id="413" w:name="_Toc140"/>
      <w:bookmarkStart w:id="414" w:name="_Toc23491"/>
      <w:bookmarkStart w:id="415" w:name="_Toc23985"/>
      <w:bookmarkStart w:id="416" w:name="_Toc28040"/>
      <w:bookmarkStart w:id="417" w:name="_Toc4045"/>
      <w:bookmarkStart w:id="418" w:name="_Toc30024"/>
      <w:bookmarkStart w:id="419" w:name="_Toc29934"/>
      <w:bookmarkStart w:id="420" w:name="_Toc23691"/>
      <w:bookmarkStart w:id="421" w:name="_Toc26260"/>
      <w:r>
        <w:rPr>
          <w:rFonts w:hint="eastAsia" w:hAnsi="宋体"/>
          <w:color w:val="auto"/>
          <w:kern w:val="2"/>
          <w:sz w:val="24"/>
          <w:szCs w:val="24"/>
          <w:highlight w:val="none"/>
        </w:rPr>
        <w:t>13、磋商保证金</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FCFBCB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13.1磋商保证金为人民币。供应商应在递交响应文件截止时间以前按</w:t>
      </w:r>
      <w:r>
        <w:rPr>
          <w:rFonts w:ascii="宋体" w:hAnsi="宋体"/>
          <w:color w:val="auto"/>
          <w:szCs w:val="21"/>
          <w:highlight w:val="none"/>
        </w:rPr>
        <w:t>“</w:t>
      </w:r>
      <w:r>
        <w:rPr>
          <w:rFonts w:hint="eastAsia" w:ascii="宋体" w:hAnsi="宋体"/>
          <w:b/>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规定的方式及金额缴纳保证金，并在磋商有效期内保持有效。</w:t>
      </w:r>
    </w:p>
    <w:p w14:paraId="020FC6F3">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13.</w:t>
      </w:r>
      <w:r>
        <w:rPr>
          <w:rFonts w:hint="eastAsia" w:ascii="宋体" w:hAnsi="宋体"/>
          <w:color w:val="auto"/>
          <w:szCs w:val="21"/>
          <w:highlight w:val="none"/>
        </w:rPr>
        <w:t>2未成交供应商的保证金及同期银行存款利息在成交通知书发出后5个工作日内退还，成交供应商的保证金及同期银行存款利息在采购合同签订后5个工作日内退还</w:t>
      </w:r>
      <w:r>
        <w:rPr>
          <w:rFonts w:hint="eastAsia"/>
          <w:color w:val="auto"/>
          <w:szCs w:val="21"/>
          <w:highlight w:val="none"/>
        </w:rPr>
        <w:t>，磋商保证金利息计算方式详见</w:t>
      </w:r>
      <w:r>
        <w:rPr>
          <w:rFonts w:ascii="宋体" w:hAnsi="宋体"/>
          <w:color w:val="auto"/>
          <w:szCs w:val="21"/>
          <w:highlight w:val="none"/>
        </w:rPr>
        <w:t>“</w:t>
      </w:r>
      <w:r>
        <w:rPr>
          <w:rFonts w:hint="eastAsia" w:ascii="宋体" w:hAnsi="宋体"/>
          <w:b/>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w:t>
      </w:r>
    </w:p>
    <w:p w14:paraId="50A3196D">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13.</w:t>
      </w:r>
      <w:r>
        <w:rPr>
          <w:rFonts w:hint="eastAsia" w:ascii="宋体" w:hAnsi="宋体"/>
          <w:color w:val="auto"/>
          <w:szCs w:val="21"/>
          <w:highlight w:val="none"/>
        </w:rPr>
        <w:t>3</w:t>
      </w:r>
      <w:r>
        <w:rPr>
          <w:rFonts w:ascii="宋体" w:hAnsi="宋体"/>
          <w:color w:val="auto"/>
          <w:szCs w:val="21"/>
          <w:highlight w:val="none"/>
        </w:rPr>
        <w:t xml:space="preserve"> </w:t>
      </w:r>
      <w:r>
        <w:rPr>
          <w:rFonts w:hint="eastAsia" w:ascii="宋体" w:hAnsi="宋体"/>
          <w:color w:val="auto"/>
          <w:szCs w:val="21"/>
          <w:highlight w:val="none"/>
        </w:rPr>
        <w:t>下列情况发生时，磋商保证金将不予退还：</w:t>
      </w:r>
    </w:p>
    <w:p w14:paraId="7DD43EC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（一）供应商在提交响应文件截止时间后撤回响应文件的；</w:t>
      </w:r>
    </w:p>
    <w:p w14:paraId="79DFC14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（二）供应商在响应文件中提供虚假材料的；</w:t>
      </w:r>
    </w:p>
    <w:p w14:paraId="51EFA15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（三）除因不可抗力或磋商文件、磋商通知书认可的情形以外，成交供应商不与采购人签订合同的；</w:t>
      </w:r>
    </w:p>
    <w:p w14:paraId="317F09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（四）供应商与采购人、其他供应商或者采购代理机构恶意串通的；</w:t>
      </w:r>
    </w:p>
    <w:p w14:paraId="15AEFBD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（五）磋商文件规定的其他情形。</w:t>
      </w:r>
    </w:p>
    <w:p w14:paraId="62A21010">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422" w:name="_Toc470096320"/>
      <w:bookmarkStart w:id="423" w:name="_Toc28318"/>
      <w:bookmarkStart w:id="424" w:name="_Toc1719"/>
      <w:bookmarkStart w:id="425" w:name="_Toc7817"/>
      <w:bookmarkStart w:id="426" w:name="_Toc32601"/>
      <w:bookmarkStart w:id="427" w:name="_Toc26004"/>
      <w:bookmarkStart w:id="428" w:name="_Toc19456"/>
      <w:bookmarkStart w:id="429" w:name="_Toc8936"/>
      <w:bookmarkStart w:id="430" w:name="_Toc9214"/>
      <w:bookmarkStart w:id="431" w:name="_Toc86124061"/>
      <w:bookmarkStart w:id="432" w:name="_Toc7830"/>
      <w:bookmarkStart w:id="433" w:name="_Toc15685"/>
      <w:r>
        <w:rPr>
          <w:rFonts w:hint="eastAsia" w:ascii="黑体" w:hAnsi="黑体" w:eastAsia="黑体"/>
          <w:bCs w:val="0"/>
          <w:color w:val="auto"/>
          <w:sz w:val="28"/>
          <w:szCs w:val="30"/>
          <w:highlight w:val="none"/>
        </w:rPr>
        <w:t>四、响应文件的提交</w:t>
      </w:r>
      <w:bookmarkEnd w:id="422"/>
      <w:bookmarkEnd w:id="423"/>
      <w:bookmarkEnd w:id="424"/>
      <w:bookmarkEnd w:id="425"/>
      <w:bookmarkEnd w:id="426"/>
      <w:bookmarkEnd w:id="427"/>
      <w:bookmarkEnd w:id="428"/>
      <w:bookmarkEnd w:id="429"/>
      <w:bookmarkEnd w:id="430"/>
      <w:bookmarkEnd w:id="431"/>
      <w:bookmarkEnd w:id="432"/>
      <w:bookmarkEnd w:id="433"/>
    </w:p>
    <w:p w14:paraId="6651349F">
      <w:pPr>
        <w:pStyle w:val="5"/>
        <w:tabs>
          <w:tab w:val="left" w:pos="0"/>
        </w:tabs>
        <w:spacing w:before="0" w:after="0"/>
        <w:ind w:firstLine="0" w:firstLineChars="0"/>
        <w:jc w:val="both"/>
        <w:rPr>
          <w:rFonts w:hAnsi="宋体"/>
          <w:color w:val="auto"/>
          <w:kern w:val="2"/>
          <w:sz w:val="24"/>
          <w:szCs w:val="24"/>
          <w:highlight w:val="none"/>
        </w:rPr>
      </w:pPr>
      <w:bookmarkStart w:id="434" w:name="_Toc438396744"/>
      <w:bookmarkStart w:id="435" w:name="_Toc4423"/>
      <w:bookmarkStart w:id="436" w:name="_Toc383175490"/>
      <w:bookmarkStart w:id="437" w:name="_Toc432194842"/>
      <w:bookmarkStart w:id="438" w:name="_Toc14680"/>
      <w:bookmarkStart w:id="439" w:name="_Toc22552"/>
      <w:bookmarkStart w:id="440" w:name="_Toc86124062"/>
      <w:bookmarkStart w:id="441" w:name="_Toc383175292"/>
      <w:bookmarkStart w:id="442" w:name="_Toc383175068"/>
      <w:bookmarkStart w:id="443" w:name="_Toc470096321"/>
      <w:bookmarkStart w:id="444" w:name="_Toc329810202"/>
      <w:bookmarkStart w:id="445" w:name="_Toc432106491"/>
      <w:bookmarkStart w:id="446" w:name="_Toc6830"/>
      <w:bookmarkStart w:id="447" w:name="_Toc1786"/>
      <w:bookmarkStart w:id="448" w:name="_Toc3937"/>
      <w:bookmarkStart w:id="449" w:name="_Toc7869"/>
      <w:bookmarkStart w:id="450" w:name="_Toc1097"/>
      <w:bookmarkStart w:id="451" w:name="_Toc5310"/>
      <w:bookmarkStart w:id="452" w:name="_Toc25102"/>
      <w:r>
        <w:rPr>
          <w:rFonts w:hint="eastAsia" w:hAnsi="宋体"/>
          <w:color w:val="auto"/>
          <w:kern w:val="2"/>
          <w:sz w:val="24"/>
          <w:szCs w:val="24"/>
          <w:highlight w:val="none"/>
        </w:rPr>
        <w:t>14、响应文件的密封与标记</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8301C14">
      <w:pPr>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供应商进行电子交易应安装客户端软件—“政采云电子交易客户端”，并按照磋商文件和电子交易平台的要求编制并加密响应文件。供应商未按规定加密的响应文件，电子交易平台将拒收并提示。</w:t>
      </w:r>
    </w:p>
    <w:p w14:paraId="39758F2D">
      <w:pPr>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14.2 使用“政采云电子交易客户端”需要提前申领 CA 数字证书，申领流程见该项目采购公告附件。</w:t>
      </w:r>
    </w:p>
    <w:p w14:paraId="67300959">
      <w:pPr>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为确保网上操作合法、有效和安全，供应商应当在响应文件提交截止时间前完成在 “政府采购云平台”的身份认证，确保在电子交易过程中能够对相关数据电文进行加密和使用电子签名。</w:t>
      </w:r>
    </w:p>
    <w:p w14:paraId="72D295ED">
      <w:pPr>
        <w:pStyle w:val="5"/>
        <w:tabs>
          <w:tab w:val="left" w:pos="0"/>
        </w:tabs>
        <w:spacing w:before="0" w:after="0"/>
        <w:ind w:firstLine="0" w:firstLineChars="0"/>
        <w:jc w:val="both"/>
        <w:rPr>
          <w:rFonts w:hAnsi="宋体"/>
          <w:color w:val="auto"/>
          <w:kern w:val="2"/>
          <w:sz w:val="24"/>
          <w:szCs w:val="24"/>
          <w:highlight w:val="none"/>
        </w:rPr>
      </w:pPr>
      <w:bookmarkStart w:id="453" w:name="_Toc470096322"/>
      <w:bookmarkStart w:id="454" w:name="_Toc20384"/>
      <w:bookmarkStart w:id="455" w:name="_Toc432106492"/>
      <w:bookmarkStart w:id="456" w:name="_Toc438396745"/>
      <w:bookmarkStart w:id="457" w:name="_Toc29781"/>
      <w:bookmarkStart w:id="458" w:name="_Toc383175293"/>
      <w:bookmarkStart w:id="459" w:name="_Toc27826"/>
      <w:bookmarkStart w:id="460" w:name="_Toc13635"/>
      <w:bookmarkStart w:id="461" w:name="_Toc21285"/>
      <w:bookmarkStart w:id="462" w:name="_Toc30788"/>
      <w:bookmarkStart w:id="463" w:name="_Toc329810203"/>
      <w:bookmarkStart w:id="464" w:name="_Toc383175491"/>
      <w:bookmarkStart w:id="465" w:name="_Toc383175069"/>
      <w:bookmarkStart w:id="466" w:name="_Toc31058"/>
      <w:bookmarkStart w:id="467" w:name="_Toc17511"/>
      <w:bookmarkStart w:id="468" w:name="_Toc8803"/>
      <w:bookmarkStart w:id="469" w:name="_Toc432194843"/>
      <w:bookmarkStart w:id="470" w:name="_Toc9272"/>
      <w:bookmarkStart w:id="471" w:name="_Toc86124063"/>
      <w:r>
        <w:rPr>
          <w:rFonts w:hint="eastAsia" w:hAnsi="宋体"/>
          <w:color w:val="auto"/>
          <w:kern w:val="2"/>
          <w:sz w:val="24"/>
          <w:szCs w:val="24"/>
          <w:highlight w:val="none"/>
        </w:rPr>
        <w:t>15、递交响应文件的截止时间和地点</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5730AC2">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15.1 </w:t>
      </w:r>
      <w:r>
        <w:rPr>
          <w:rFonts w:hint="eastAsia" w:ascii="宋体" w:hAnsi="宋体"/>
          <w:color w:val="auto"/>
          <w:szCs w:val="21"/>
          <w:highlight w:val="none"/>
        </w:rPr>
        <w:t>响应文件的递交/上传不得迟于</w:t>
      </w:r>
      <w:r>
        <w:rPr>
          <w:rFonts w:ascii="宋体" w:hAnsi="宋体"/>
          <w:color w:val="auto"/>
          <w:szCs w:val="21"/>
          <w:highlight w:val="none"/>
        </w:rPr>
        <w:t>“</w:t>
      </w:r>
      <w:r>
        <w:rPr>
          <w:rFonts w:hint="eastAsia" w:ascii="宋体" w:hAnsi="宋体"/>
          <w:b/>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规定的递交响应文件截止时间。逾期送达/上传的响应文件，采购人不予接收。</w:t>
      </w:r>
    </w:p>
    <w:p w14:paraId="0CBF4ADD">
      <w:pPr>
        <w:spacing w:line="360" w:lineRule="auto"/>
        <w:ind w:firstLine="420" w:firstLineChars="200"/>
        <w:jc w:val="left"/>
        <w:rPr>
          <w:rFonts w:ascii="宋体" w:hAnsi="宋体"/>
          <w:b/>
          <w:color w:val="auto"/>
          <w:szCs w:val="21"/>
          <w:highlight w:val="none"/>
        </w:rPr>
      </w:pPr>
      <w:r>
        <w:rPr>
          <w:rFonts w:ascii="宋体" w:hAnsi="宋体"/>
          <w:color w:val="auto"/>
          <w:szCs w:val="21"/>
          <w:highlight w:val="none"/>
        </w:rPr>
        <w:t xml:space="preserve">15.2 </w:t>
      </w:r>
      <w:r>
        <w:rPr>
          <w:rFonts w:hint="eastAsia" w:ascii="宋体" w:hAnsi="宋体"/>
          <w:color w:val="auto"/>
          <w:szCs w:val="21"/>
          <w:highlight w:val="none"/>
        </w:rPr>
        <w:t>供应商必须在规定时间内将响应文件递交/上传到</w:t>
      </w:r>
      <w:r>
        <w:rPr>
          <w:rFonts w:ascii="宋体" w:hAnsi="宋体"/>
          <w:color w:val="auto"/>
          <w:szCs w:val="21"/>
          <w:highlight w:val="none"/>
        </w:rPr>
        <w:t>“</w:t>
      </w:r>
      <w:r>
        <w:rPr>
          <w:rFonts w:hint="eastAsia" w:ascii="宋体" w:hAnsi="宋体"/>
          <w:b/>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规定的地点。</w:t>
      </w:r>
    </w:p>
    <w:p w14:paraId="7ADE17D4">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15.3</w:t>
      </w:r>
      <w:r>
        <w:rPr>
          <w:rFonts w:hint="eastAsia" w:ascii="宋体" w:hAnsi="宋体"/>
          <w:color w:val="auto"/>
          <w:szCs w:val="21"/>
          <w:highlight w:val="none"/>
        </w:rPr>
        <w:t>磋商文件的递交方式：具体详见</w:t>
      </w:r>
      <w:r>
        <w:rPr>
          <w:rFonts w:ascii="宋体" w:hAnsi="宋体"/>
          <w:b/>
          <w:bCs/>
          <w:color w:val="auto"/>
          <w:szCs w:val="21"/>
          <w:highlight w:val="none"/>
        </w:rPr>
        <w:t>“</w:t>
      </w:r>
      <w:r>
        <w:rPr>
          <w:rFonts w:hint="eastAsia" w:ascii="宋体" w:hAnsi="宋体"/>
          <w:b/>
          <w:bCs/>
          <w:color w:val="auto"/>
          <w:szCs w:val="21"/>
          <w:highlight w:val="none"/>
        </w:rPr>
        <w:t>供应商须知前附表</w:t>
      </w:r>
      <w:r>
        <w:rPr>
          <w:rFonts w:ascii="宋体" w:hAnsi="宋体"/>
          <w:b/>
          <w:bCs/>
          <w:color w:val="auto"/>
          <w:szCs w:val="21"/>
          <w:highlight w:val="none"/>
        </w:rPr>
        <w:t>”</w:t>
      </w:r>
      <w:r>
        <w:rPr>
          <w:rFonts w:hint="eastAsia" w:ascii="宋体" w:hAnsi="宋体"/>
          <w:color w:val="auto"/>
          <w:szCs w:val="21"/>
          <w:highlight w:val="none"/>
        </w:rPr>
        <w:t>。</w:t>
      </w:r>
    </w:p>
    <w:p w14:paraId="77AE4DE2">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472" w:name="_Toc31548"/>
      <w:bookmarkStart w:id="473" w:name="_Toc9970"/>
      <w:bookmarkStart w:id="474" w:name="_Toc22160"/>
      <w:bookmarkStart w:id="475" w:name="_Toc12428"/>
      <w:bookmarkStart w:id="476" w:name="_Toc470096323"/>
      <w:bookmarkStart w:id="477" w:name="_Toc1864"/>
      <w:bookmarkStart w:id="478" w:name="_Toc723"/>
      <w:bookmarkStart w:id="479" w:name="_Toc10949"/>
      <w:bookmarkStart w:id="480" w:name="_Toc86124064"/>
      <w:bookmarkStart w:id="481" w:name="_Toc14435"/>
      <w:bookmarkStart w:id="482" w:name="_Toc18896"/>
      <w:bookmarkStart w:id="483" w:name="_Toc9557"/>
      <w:r>
        <w:rPr>
          <w:rFonts w:hint="eastAsia" w:ascii="黑体" w:hAnsi="黑体" w:eastAsia="黑体"/>
          <w:bCs w:val="0"/>
          <w:color w:val="auto"/>
          <w:sz w:val="28"/>
          <w:szCs w:val="30"/>
          <w:highlight w:val="none"/>
        </w:rPr>
        <w:t>五、磋商</w:t>
      </w:r>
      <w:bookmarkEnd w:id="472"/>
      <w:bookmarkEnd w:id="473"/>
      <w:bookmarkEnd w:id="474"/>
      <w:bookmarkEnd w:id="475"/>
      <w:bookmarkEnd w:id="476"/>
      <w:bookmarkEnd w:id="477"/>
      <w:bookmarkEnd w:id="478"/>
      <w:bookmarkEnd w:id="479"/>
      <w:bookmarkEnd w:id="480"/>
      <w:bookmarkEnd w:id="481"/>
      <w:bookmarkEnd w:id="482"/>
      <w:bookmarkEnd w:id="483"/>
    </w:p>
    <w:p w14:paraId="5D965862">
      <w:pPr>
        <w:pStyle w:val="5"/>
        <w:tabs>
          <w:tab w:val="left" w:pos="0"/>
        </w:tabs>
        <w:spacing w:before="0" w:after="0"/>
        <w:ind w:firstLine="0" w:firstLineChars="0"/>
        <w:jc w:val="both"/>
        <w:rPr>
          <w:rFonts w:hAnsi="宋体"/>
          <w:color w:val="auto"/>
          <w:kern w:val="2"/>
          <w:sz w:val="24"/>
          <w:szCs w:val="24"/>
          <w:highlight w:val="none"/>
        </w:rPr>
      </w:pPr>
      <w:bookmarkStart w:id="484" w:name="_Toc23219"/>
      <w:bookmarkStart w:id="485" w:name="_Toc432194845"/>
      <w:bookmarkStart w:id="486" w:name="_Toc22952"/>
      <w:bookmarkStart w:id="487" w:name="_Toc231"/>
      <w:bookmarkStart w:id="488" w:name="_Toc20051"/>
      <w:bookmarkStart w:id="489" w:name="_Toc470096324"/>
      <w:bookmarkStart w:id="490" w:name="_Toc438396747"/>
      <w:bookmarkStart w:id="491" w:name="_Toc23963"/>
      <w:bookmarkStart w:id="492" w:name="_Toc11171"/>
      <w:bookmarkStart w:id="493" w:name="_Toc16055"/>
      <w:bookmarkStart w:id="494" w:name="_Toc19299"/>
      <w:bookmarkStart w:id="495" w:name="_Toc18481"/>
      <w:bookmarkStart w:id="496" w:name="_Toc432106494"/>
      <w:bookmarkStart w:id="497" w:name="_Toc31569"/>
      <w:r>
        <w:rPr>
          <w:rFonts w:hint="eastAsia" w:hAnsi="宋体"/>
          <w:color w:val="auto"/>
          <w:kern w:val="2"/>
          <w:sz w:val="24"/>
          <w:szCs w:val="24"/>
          <w:highlight w:val="none"/>
        </w:rPr>
        <w:t>16、磋商</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1AF0B7E">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16.1</w:t>
      </w:r>
      <w:r>
        <w:rPr>
          <w:rFonts w:hint="eastAsia" w:ascii="宋体" w:hAnsi="宋体"/>
          <w:color w:val="auto"/>
          <w:szCs w:val="21"/>
          <w:highlight w:val="none"/>
        </w:rPr>
        <w:t>采购代理机构将在</w:t>
      </w:r>
      <w:r>
        <w:rPr>
          <w:rFonts w:ascii="宋体" w:hAnsi="宋体"/>
          <w:color w:val="auto"/>
          <w:szCs w:val="21"/>
          <w:highlight w:val="none"/>
        </w:rPr>
        <w:t>“</w:t>
      </w:r>
      <w:r>
        <w:rPr>
          <w:rFonts w:hint="eastAsia" w:ascii="宋体" w:hAnsi="宋体"/>
          <w:b/>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规定的时间和地点进行磋商，供应商的法定代表人或其委托代理人应按时参加。</w:t>
      </w:r>
    </w:p>
    <w:p w14:paraId="4D18C621">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16.2 </w:t>
      </w:r>
      <w:r>
        <w:rPr>
          <w:rFonts w:hint="eastAsia" w:ascii="宋体" w:hAnsi="宋体"/>
          <w:color w:val="auto"/>
          <w:szCs w:val="21"/>
          <w:highlight w:val="none"/>
        </w:rPr>
        <w:t>磋商由磋商小组负责。磋商小组由采购人的代表和有关技术、经济等方面的专家组成，成员人数应当为3人以上单数。其中，技术、经济等方面的专家不得少于成员总数的三分之二。</w:t>
      </w:r>
    </w:p>
    <w:p w14:paraId="7D968E1A">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16.3 </w:t>
      </w:r>
      <w:r>
        <w:rPr>
          <w:rFonts w:hint="eastAsia" w:ascii="宋体" w:hAnsi="宋体"/>
          <w:color w:val="auto"/>
          <w:szCs w:val="21"/>
          <w:highlight w:val="none"/>
        </w:rPr>
        <w:t>磋商原则</w:t>
      </w:r>
    </w:p>
    <w:p w14:paraId="018CFFA9">
      <w:pPr>
        <w:tabs>
          <w:tab w:val="left" w:pos="7980"/>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磋商小组对各供应商的响应文件进行详细评审。</w:t>
      </w:r>
      <w:r>
        <w:rPr>
          <w:rFonts w:hint="eastAsia" w:ascii="宋体" w:hAnsi="宋体"/>
          <w:b/>
          <w:bCs/>
          <w:color w:val="auto"/>
          <w:szCs w:val="21"/>
          <w:highlight w:val="none"/>
        </w:rPr>
        <w:t>磋商小组按照得分的高低推荐成交候选人，推荐成交候选人3人，并标明排列顺序。</w:t>
      </w:r>
    </w:p>
    <w:p w14:paraId="47164552">
      <w:pPr>
        <w:tabs>
          <w:tab w:val="left" w:pos="7980"/>
        </w:tabs>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16.4 </w:t>
      </w:r>
      <w:r>
        <w:rPr>
          <w:rFonts w:hint="eastAsia" w:ascii="宋体" w:hAnsi="宋体"/>
          <w:color w:val="auto"/>
          <w:szCs w:val="21"/>
          <w:highlight w:val="none"/>
        </w:rPr>
        <w:t>磋商程序和方法</w:t>
      </w:r>
    </w:p>
    <w:p w14:paraId="2D6472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磋商小组按照</w:t>
      </w:r>
      <w:r>
        <w:rPr>
          <w:rFonts w:ascii="宋体" w:hAnsi="宋体"/>
          <w:color w:val="auto"/>
          <w:szCs w:val="21"/>
          <w:highlight w:val="none"/>
        </w:rPr>
        <w:t xml:space="preserve"> “</w:t>
      </w:r>
      <w:r>
        <w:rPr>
          <w:rFonts w:hint="eastAsia" w:ascii="宋体" w:hAnsi="宋体"/>
          <w:b/>
          <w:color w:val="auto"/>
          <w:szCs w:val="21"/>
          <w:highlight w:val="none"/>
        </w:rPr>
        <w:t>供应商须知前附表</w:t>
      </w:r>
      <w:r>
        <w:rPr>
          <w:rFonts w:ascii="宋体" w:hAnsi="宋体"/>
          <w:color w:val="auto"/>
          <w:szCs w:val="21"/>
          <w:highlight w:val="none"/>
        </w:rPr>
        <w:t>”</w:t>
      </w:r>
      <w:r>
        <w:rPr>
          <w:rFonts w:hint="eastAsia" w:ascii="宋体" w:hAnsi="宋体"/>
          <w:color w:val="auto"/>
          <w:szCs w:val="21"/>
          <w:highlight w:val="none"/>
        </w:rPr>
        <w:t>规定的方法、因素、标准和程序进行磋商。</w:t>
      </w:r>
    </w:p>
    <w:p w14:paraId="65539AF8">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16.</w:t>
      </w:r>
      <w:r>
        <w:rPr>
          <w:rFonts w:hint="eastAsia" w:ascii="宋体" w:hAnsi="宋体"/>
          <w:color w:val="auto"/>
          <w:szCs w:val="21"/>
          <w:highlight w:val="none"/>
        </w:rPr>
        <w:t>5磋商文件</w:t>
      </w:r>
      <w:r>
        <w:rPr>
          <w:rFonts w:hint="eastAsia" w:ascii="宋体" w:hAnsi="宋体"/>
          <w:b/>
          <w:color w:val="auto"/>
          <w:szCs w:val="21"/>
          <w:highlight w:val="none"/>
          <w:u w:val="single"/>
        </w:rPr>
        <w:t>第三章</w:t>
      </w:r>
      <w:r>
        <w:rPr>
          <w:rFonts w:ascii="宋体" w:hAnsi="宋体"/>
          <w:b/>
          <w:color w:val="auto"/>
          <w:szCs w:val="21"/>
          <w:highlight w:val="none"/>
          <w:u w:val="single"/>
        </w:rPr>
        <w:t>“</w:t>
      </w:r>
      <w:r>
        <w:rPr>
          <w:rFonts w:hint="eastAsia" w:ascii="宋体" w:hAnsi="宋体"/>
          <w:b/>
          <w:color w:val="auto"/>
          <w:szCs w:val="21"/>
          <w:highlight w:val="none"/>
          <w:u w:val="single"/>
        </w:rPr>
        <w:t>磋商程序和方法</w:t>
      </w:r>
      <w:r>
        <w:rPr>
          <w:rFonts w:ascii="宋体" w:hAnsi="宋体"/>
          <w:b/>
          <w:color w:val="auto"/>
          <w:szCs w:val="21"/>
          <w:highlight w:val="none"/>
          <w:u w:val="single"/>
        </w:rPr>
        <w:t>”</w:t>
      </w:r>
      <w:r>
        <w:rPr>
          <w:rFonts w:hint="eastAsia" w:ascii="宋体" w:hAnsi="宋体"/>
          <w:b/>
          <w:color w:val="auto"/>
          <w:szCs w:val="21"/>
          <w:highlight w:val="none"/>
          <w:u w:val="single"/>
        </w:rPr>
        <w:t xml:space="preserve"> 前附表资格及符合性评审标准为磋商文件的实质性内容，未实质性响应磋商文件的供应商的响应文件将按无效处理，该供应商不得再继续参加磋商</w:t>
      </w:r>
      <w:r>
        <w:rPr>
          <w:rFonts w:hint="eastAsia" w:ascii="宋体" w:hAnsi="宋体"/>
          <w:color w:val="auto"/>
          <w:szCs w:val="21"/>
          <w:highlight w:val="none"/>
        </w:rPr>
        <w:t>。</w:t>
      </w:r>
    </w:p>
    <w:p w14:paraId="7FF52056">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16.</w:t>
      </w:r>
      <w:r>
        <w:rPr>
          <w:rFonts w:hint="eastAsia" w:ascii="宋体" w:hAnsi="宋体"/>
          <w:color w:val="auto"/>
          <w:szCs w:val="21"/>
          <w:highlight w:val="none"/>
        </w:rPr>
        <w:t>6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5FE012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17083E94">
      <w:pPr>
        <w:pStyle w:val="6"/>
        <w:spacing w:before="156" w:line="360" w:lineRule="auto"/>
        <w:ind w:firstLine="420"/>
        <w:rPr>
          <w:color w:val="auto"/>
          <w:highlight w:val="none"/>
        </w:rPr>
      </w:pPr>
      <w:bookmarkStart w:id="498" w:name="_Toc86124067"/>
      <w:bookmarkStart w:id="499" w:name="_Toc383175072"/>
      <w:bookmarkStart w:id="500" w:name="_Toc470096325"/>
      <w:bookmarkStart w:id="501" w:name="_Toc432194846"/>
      <w:bookmarkStart w:id="502" w:name="_Toc438396748"/>
      <w:bookmarkStart w:id="503" w:name="_Toc383175296"/>
      <w:bookmarkStart w:id="504" w:name="_Toc432106495"/>
      <w:bookmarkStart w:id="505" w:name="_Toc383175494"/>
      <w:bookmarkStart w:id="506" w:name="_Toc329810207"/>
      <w:r>
        <w:rPr>
          <w:rFonts w:hint="eastAsia"/>
          <w:color w:val="auto"/>
          <w:highlight w:val="none"/>
        </w:rPr>
        <w:t>16.7响应文件解密：</w:t>
      </w:r>
    </w:p>
    <w:p w14:paraId="1CB8974B">
      <w:pPr>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采购代理机构将在“供应商须知前附表”规定的磋商时间通过电子交易平台组织响应文件开启，采购代理机构将依托电子交易平台发起开始解密指令，供应商的法定代表人或其委托代理人须携带加密时所用的 CA 锁按平台提示和采购文件的规定登录到“政采云”平台电子开标大厅签到，并在发起解密指令之时起30分钟内完成对电子响应文件在线解密。发起解密指令之时起5分钟内供应商还未进行解密的，代理机构可通知供应商，供应商</w:t>
      </w:r>
      <w:r>
        <w:rPr>
          <w:rFonts w:hint="eastAsia" w:ascii="宋体" w:hAnsi="宋体"/>
          <w:color w:val="auto"/>
          <w:szCs w:val="21"/>
          <w:highlight w:val="none"/>
          <w:lang w:eastAsia="zh-CN"/>
        </w:rPr>
        <w:t>没有</w:t>
      </w:r>
      <w:r>
        <w:rPr>
          <w:rFonts w:hint="eastAsia" w:ascii="宋体" w:hAnsi="宋体"/>
          <w:color w:val="auto"/>
          <w:szCs w:val="21"/>
          <w:highlight w:val="none"/>
        </w:rPr>
        <w:t>预留联系方式或预留联系方式无效，导致代理机构无法联系到供应商进行解密的，视为撤回响应文件。（解密异常情况处理：详见本章 16.9电子交易活动的中止。）</w:t>
      </w:r>
      <w:r>
        <w:rPr>
          <w:rFonts w:hint="eastAsia" w:ascii="宋体" w:hAnsi="宋体"/>
          <w:color w:val="auto"/>
          <w:sz w:val="20"/>
          <w:szCs w:val="20"/>
          <w:highlight w:val="none"/>
        </w:rPr>
        <w:t xml:space="preserve"> 如供应商成功解密响应文件，但未在“政采云”电子开标大厅参加磋商的，视同认可磋商过程和结果，由此产生的后果由供应商自行负责。</w:t>
      </w:r>
    </w:p>
    <w:p w14:paraId="1A8BF059">
      <w:pPr>
        <w:pStyle w:val="6"/>
        <w:spacing w:before="156" w:line="240" w:lineRule="auto"/>
        <w:ind w:firstLine="420"/>
        <w:rPr>
          <w:rFonts w:hAnsi="宋体"/>
          <w:color w:val="auto"/>
          <w:szCs w:val="21"/>
          <w:highlight w:val="none"/>
        </w:rPr>
      </w:pPr>
      <w:r>
        <w:rPr>
          <w:rFonts w:hint="eastAsia" w:hAnsi="宋体"/>
          <w:color w:val="auto"/>
          <w:szCs w:val="21"/>
          <w:highlight w:val="none"/>
        </w:rPr>
        <w:t>16.8磋商的顺序：</w:t>
      </w:r>
    </w:p>
    <w:p w14:paraId="270D13EA">
      <w:pPr>
        <w:pStyle w:val="6"/>
        <w:spacing w:before="156" w:line="240" w:lineRule="auto"/>
        <w:ind w:firstLine="420"/>
        <w:rPr>
          <w:rFonts w:hAnsi="宋体"/>
          <w:color w:val="auto"/>
          <w:szCs w:val="21"/>
          <w:highlight w:val="none"/>
        </w:rPr>
      </w:pPr>
      <w:r>
        <w:rPr>
          <w:rFonts w:hint="eastAsia" w:hAnsi="宋体"/>
          <w:color w:val="auto"/>
          <w:szCs w:val="21"/>
          <w:highlight w:val="none"/>
        </w:rPr>
        <w:t>按“政采云”系统的编号顺序。</w:t>
      </w:r>
    </w:p>
    <w:p w14:paraId="661A47BC">
      <w:pPr>
        <w:pStyle w:val="6"/>
        <w:spacing w:before="156" w:line="360" w:lineRule="auto"/>
        <w:ind w:firstLine="420"/>
        <w:rPr>
          <w:rFonts w:hint="eastAsia" w:hAnsi="宋体"/>
          <w:color w:val="auto"/>
          <w:szCs w:val="21"/>
          <w:highlight w:val="none"/>
        </w:rPr>
      </w:pPr>
      <w:r>
        <w:rPr>
          <w:rFonts w:hint="eastAsia" w:hAnsi="宋体"/>
          <w:color w:val="auto"/>
          <w:szCs w:val="21"/>
          <w:highlight w:val="none"/>
        </w:rPr>
        <w:t>符合磋商资格的供应商必须在接到磋商通知后规定时间内参加磋商，未在规定时间内参加磋商的视同放弃参加磋商权利，其响应文件按无效响应处理。</w:t>
      </w:r>
    </w:p>
    <w:p w14:paraId="10FA4662">
      <w:pPr>
        <w:pStyle w:val="6"/>
        <w:spacing w:before="156" w:line="360" w:lineRule="auto"/>
        <w:ind w:firstLine="420"/>
        <w:rPr>
          <w:color w:val="auto"/>
          <w:highlight w:val="none"/>
        </w:rPr>
      </w:pPr>
      <w:r>
        <w:rPr>
          <w:rFonts w:hint="eastAsia"/>
          <w:color w:val="auto"/>
          <w:highlight w:val="none"/>
        </w:rPr>
        <w:t>16.9电子交易活动的中止。采购过程中出现以下情形，导致电子交易平台无法正常运行，或者无法保证电子交易的公平、公正和安全时，采购机构可中止电子交易活动：</w:t>
      </w:r>
    </w:p>
    <w:p w14:paraId="216631E6">
      <w:pPr>
        <w:pStyle w:val="6"/>
        <w:spacing w:before="156" w:line="360" w:lineRule="auto"/>
        <w:ind w:firstLine="420"/>
        <w:rPr>
          <w:color w:val="auto"/>
          <w:highlight w:val="none"/>
        </w:rPr>
      </w:pPr>
      <w:r>
        <w:rPr>
          <w:rFonts w:hint="eastAsia"/>
          <w:color w:val="auto"/>
          <w:highlight w:val="none"/>
        </w:rPr>
        <w:t>（1）电子交易平台发生故障而无法登录访问的；</w:t>
      </w:r>
    </w:p>
    <w:p w14:paraId="57FC5854">
      <w:pPr>
        <w:pStyle w:val="6"/>
        <w:spacing w:before="156" w:line="360" w:lineRule="auto"/>
        <w:ind w:firstLine="420"/>
        <w:rPr>
          <w:color w:val="auto"/>
          <w:highlight w:val="none"/>
        </w:rPr>
      </w:pPr>
      <w:r>
        <w:rPr>
          <w:rFonts w:hint="eastAsia"/>
          <w:color w:val="auto"/>
          <w:highlight w:val="none"/>
        </w:rPr>
        <w:t>（2）电子交易平台应用或数据库出现错误，不能进行正常操作的；</w:t>
      </w:r>
    </w:p>
    <w:p w14:paraId="560C820A">
      <w:pPr>
        <w:pStyle w:val="6"/>
        <w:spacing w:before="156" w:line="360" w:lineRule="auto"/>
        <w:ind w:firstLine="420"/>
        <w:rPr>
          <w:color w:val="auto"/>
          <w:highlight w:val="none"/>
        </w:rPr>
      </w:pPr>
      <w:r>
        <w:rPr>
          <w:rFonts w:hint="eastAsia"/>
          <w:color w:val="auto"/>
          <w:highlight w:val="none"/>
        </w:rPr>
        <w:t>（3）电子交易平台发现严重安全漏洞，有潜在泄密危险的；</w:t>
      </w:r>
    </w:p>
    <w:p w14:paraId="1609BDA2">
      <w:pPr>
        <w:pStyle w:val="6"/>
        <w:spacing w:before="156" w:line="360" w:lineRule="auto"/>
        <w:ind w:firstLine="420"/>
        <w:rPr>
          <w:color w:val="auto"/>
          <w:highlight w:val="none"/>
        </w:rPr>
      </w:pPr>
      <w:r>
        <w:rPr>
          <w:rFonts w:hint="eastAsia"/>
          <w:color w:val="auto"/>
          <w:highlight w:val="none"/>
        </w:rPr>
        <w:t>（4）病毒发作导致不能进行正常操作的；</w:t>
      </w:r>
    </w:p>
    <w:p w14:paraId="504A1072">
      <w:pPr>
        <w:pStyle w:val="6"/>
        <w:spacing w:before="156" w:line="360" w:lineRule="auto"/>
        <w:ind w:firstLine="420"/>
        <w:rPr>
          <w:color w:val="auto"/>
          <w:highlight w:val="none"/>
        </w:rPr>
      </w:pPr>
      <w:r>
        <w:rPr>
          <w:rFonts w:hint="eastAsia"/>
          <w:color w:val="auto"/>
          <w:highlight w:val="none"/>
        </w:rPr>
        <w:t>（5）其他无法保证电子交易的公平、公正和安全的情况。</w:t>
      </w:r>
    </w:p>
    <w:p w14:paraId="6C065FBE">
      <w:pPr>
        <w:pStyle w:val="6"/>
        <w:spacing w:before="156" w:line="360" w:lineRule="auto"/>
        <w:ind w:firstLine="420"/>
        <w:rPr>
          <w:color w:val="auto"/>
          <w:highlight w:val="none"/>
        </w:rPr>
      </w:pPr>
      <w:r>
        <w:rPr>
          <w:rFonts w:hint="eastAsia"/>
          <w:color w:val="auto"/>
          <w:highlight w:val="none"/>
        </w:rPr>
        <w:t>16.10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575D1D20">
      <w:pPr>
        <w:pStyle w:val="5"/>
        <w:tabs>
          <w:tab w:val="left" w:pos="0"/>
        </w:tabs>
        <w:spacing w:before="0" w:after="0"/>
        <w:ind w:firstLine="0" w:firstLineChars="0"/>
        <w:jc w:val="both"/>
        <w:rPr>
          <w:rFonts w:hAnsi="宋体"/>
          <w:color w:val="auto"/>
          <w:kern w:val="2"/>
          <w:sz w:val="24"/>
          <w:szCs w:val="24"/>
          <w:highlight w:val="none"/>
        </w:rPr>
      </w:pPr>
      <w:bookmarkStart w:id="507" w:name="_Toc27463"/>
      <w:bookmarkStart w:id="508" w:name="_Toc2059"/>
      <w:bookmarkStart w:id="509" w:name="_Toc11163"/>
      <w:bookmarkStart w:id="510" w:name="_Toc28387"/>
      <w:bookmarkStart w:id="511" w:name="_Toc24732"/>
      <w:bookmarkStart w:id="512" w:name="_Toc30243"/>
      <w:bookmarkStart w:id="513" w:name="_Toc8541"/>
      <w:bookmarkStart w:id="514" w:name="_Toc5406"/>
      <w:bookmarkStart w:id="515" w:name="_Toc9962"/>
      <w:bookmarkStart w:id="516" w:name="_Toc3275"/>
      <w:r>
        <w:rPr>
          <w:rFonts w:hint="eastAsia" w:hAnsi="宋体"/>
          <w:color w:val="auto"/>
          <w:kern w:val="2"/>
          <w:sz w:val="24"/>
          <w:szCs w:val="24"/>
          <w:highlight w:val="none"/>
        </w:rPr>
        <w:t>17、磋商过程的保密</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4FCDD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磋商中，磋商的任何一方不得透露与磋商有关的其他供应商的技术资料、价格和其他信息。磋商开始后，直到授予供应商合同止，凡是属于审查、澄清、磋商和比较的有关资料以及成交建议等均不向供应商或其他人员透露。</w:t>
      </w:r>
    </w:p>
    <w:p w14:paraId="60CE50DE">
      <w:pPr>
        <w:pStyle w:val="5"/>
        <w:tabs>
          <w:tab w:val="left" w:pos="0"/>
        </w:tabs>
        <w:spacing w:before="0" w:after="0"/>
        <w:ind w:firstLine="0" w:firstLineChars="0"/>
        <w:jc w:val="both"/>
        <w:rPr>
          <w:rFonts w:hAnsi="宋体"/>
          <w:color w:val="auto"/>
          <w:kern w:val="2"/>
          <w:sz w:val="24"/>
          <w:szCs w:val="24"/>
          <w:highlight w:val="none"/>
        </w:rPr>
      </w:pPr>
      <w:bookmarkStart w:id="517" w:name="_Toc18453"/>
      <w:bookmarkStart w:id="518" w:name="_Toc25917"/>
      <w:bookmarkStart w:id="519" w:name="_Toc8186"/>
      <w:bookmarkStart w:id="520" w:name="_Toc30398"/>
      <w:bookmarkStart w:id="521" w:name="_Toc14531"/>
      <w:bookmarkStart w:id="522" w:name="_Toc24809"/>
      <w:bookmarkStart w:id="523" w:name="_Toc22215"/>
      <w:bookmarkStart w:id="524" w:name="_Toc17111"/>
      <w:bookmarkStart w:id="525" w:name="_Toc235"/>
      <w:bookmarkStart w:id="526" w:name="_Toc24222"/>
      <w:bookmarkStart w:id="527" w:name="_Toc438396749"/>
      <w:bookmarkStart w:id="528" w:name="_Toc432194847"/>
      <w:bookmarkStart w:id="529" w:name="_Toc470096326"/>
      <w:bookmarkStart w:id="530" w:name="_Toc86124068"/>
      <w:bookmarkStart w:id="531" w:name="_Toc378499713"/>
      <w:bookmarkStart w:id="532" w:name="_Toc432106496"/>
      <w:bookmarkStart w:id="533" w:name="_Toc383175073"/>
      <w:bookmarkStart w:id="534" w:name="_Toc383175495"/>
      <w:bookmarkStart w:id="535" w:name="_Toc383175297"/>
      <w:bookmarkStart w:id="536" w:name="_Toc329810208"/>
      <w:r>
        <w:rPr>
          <w:rFonts w:hint="eastAsia" w:hAnsi="宋体"/>
          <w:color w:val="auto"/>
          <w:kern w:val="2"/>
          <w:sz w:val="24"/>
          <w:szCs w:val="24"/>
          <w:highlight w:val="none"/>
        </w:rPr>
        <w:t>18、关于重新开展采购活动</w:t>
      </w:r>
      <w:bookmarkEnd w:id="517"/>
      <w:bookmarkEnd w:id="518"/>
      <w:bookmarkEnd w:id="519"/>
      <w:bookmarkEnd w:id="520"/>
      <w:bookmarkEnd w:id="521"/>
      <w:bookmarkEnd w:id="522"/>
      <w:bookmarkEnd w:id="523"/>
      <w:bookmarkEnd w:id="524"/>
      <w:bookmarkEnd w:id="525"/>
      <w:bookmarkEnd w:id="526"/>
    </w:p>
    <w:p w14:paraId="164794A5">
      <w:pPr>
        <w:spacing w:line="360" w:lineRule="auto"/>
        <w:ind w:firstLine="420" w:firstLineChars="200"/>
        <w:rPr>
          <w:color w:val="auto"/>
          <w:highlight w:val="none"/>
        </w:rPr>
      </w:pPr>
      <w:r>
        <w:rPr>
          <w:rFonts w:hint="eastAsia"/>
          <w:color w:val="auto"/>
          <w:highlight w:val="none"/>
        </w:rPr>
        <w:t>出现下列情形之一的，将终止竞争性磋商采购活动，并发布项目终止公告并说明原因，重新开展采购活动：</w:t>
      </w:r>
      <w:bookmarkEnd w:id="527"/>
      <w:bookmarkEnd w:id="528"/>
      <w:bookmarkEnd w:id="529"/>
      <w:bookmarkEnd w:id="530"/>
      <w:bookmarkEnd w:id="531"/>
      <w:bookmarkEnd w:id="532"/>
      <w:bookmarkEnd w:id="533"/>
      <w:bookmarkEnd w:id="534"/>
      <w:bookmarkEnd w:id="535"/>
      <w:bookmarkEnd w:id="536"/>
    </w:p>
    <w:p w14:paraId="658C97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）因情况变化，不再符合规定的竞争性磋商采购方式适用情形的；</w:t>
      </w:r>
    </w:p>
    <w:p w14:paraId="708BB1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）出现影响采购公正的违法、违规行为的；</w:t>
      </w:r>
    </w:p>
    <w:p w14:paraId="0D552F0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）在采购过程中</w:t>
      </w:r>
      <w:r>
        <w:rPr>
          <w:rFonts w:hint="eastAsia" w:ascii="宋体" w:hAnsi="宋体"/>
          <w:b/>
          <w:color w:val="auto"/>
          <w:szCs w:val="21"/>
          <w:highlight w:val="none"/>
        </w:rPr>
        <w:t>符合要求的供应商</w:t>
      </w:r>
      <w:r>
        <w:rPr>
          <w:rFonts w:hint="eastAsia" w:ascii="宋体" w:hAnsi="宋体"/>
          <w:color w:val="auto"/>
          <w:szCs w:val="21"/>
          <w:highlight w:val="none"/>
        </w:rPr>
        <w:t>或者</w:t>
      </w:r>
      <w:r>
        <w:rPr>
          <w:rFonts w:hint="eastAsia" w:ascii="宋体" w:hAnsi="宋体"/>
          <w:b/>
          <w:color w:val="auto"/>
          <w:szCs w:val="21"/>
          <w:highlight w:val="none"/>
        </w:rPr>
        <w:t>报价未超过采购预算的供应商不足3家</w:t>
      </w:r>
      <w:r>
        <w:rPr>
          <w:rFonts w:hint="eastAsia" w:ascii="宋体" w:hAnsi="宋体"/>
          <w:color w:val="auto"/>
          <w:szCs w:val="21"/>
          <w:highlight w:val="none"/>
        </w:rPr>
        <w:t>的。</w:t>
      </w:r>
    </w:p>
    <w:p w14:paraId="28DFB17B">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537" w:name="_Toc86124069"/>
      <w:bookmarkStart w:id="538" w:name="_Toc14067"/>
      <w:bookmarkStart w:id="539" w:name="_Toc470096327"/>
      <w:bookmarkStart w:id="540" w:name="_Toc4254"/>
      <w:bookmarkStart w:id="541" w:name="_Toc28554"/>
      <w:bookmarkStart w:id="542" w:name="_Toc10880"/>
      <w:bookmarkStart w:id="543" w:name="_Toc27586"/>
      <w:bookmarkStart w:id="544" w:name="_Toc20462"/>
      <w:bookmarkStart w:id="545" w:name="_Toc309"/>
      <w:bookmarkStart w:id="546" w:name="_Toc2579"/>
      <w:bookmarkStart w:id="547" w:name="_Toc1522"/>
      <w:bookmarkStart w:id="548" w:name="_Toc13456"/>
      <w:r>
        <w:rPr>
          <w:rFonts w:hint="eastAsia" w:ascii="黑体" w:hAnsi="黑体" w:eastAsia="黑体"/>
          <w:bCs w:val="0"/>
          <w:color w:val="auto"/>
          <w:sz w:val="28"/>
          <w:szCs w:val="30"/>
          <w:highlight w:val="none"/>
        </w:rPr>
        <w:t>六、成交结果</w:t>
      </w:r>
      <w:bookmarkEnd w:id="537"/>
      <w:bookmarkEnd w:id="538"/>
      <w:bookmarkEnd w:id="539"/>
      <w:bookmarkEnd w:id="540"/>
      <w:bookmarkEnd w:id="541"/>
      <w:bookmarkEnd w:id="542"/>
      <w:bookmarkEnd w:id="543"/>
      <w:bookmarkEnd w:id="544"/>
      <w:bookmarkEnd w:id="545"/>
      <w:bookmarkEnd w:id="546"/>
      <w:bookmarkEnd w:id="547"/>
      <w:bookmarkEnd w:id="548"/>
    </w:p>
    <w:p w14:paraId="7636A818">
      <w:pPr>
        <w:pStyle w:val="5"/>
        <w:tabs>
          <w:tab w:val="left" w:pos="0"/>
        </w:tabs>
        <w:spacing w:before="0" w:after="0"/>
        <w:ind w:firstLine="0" w:firstLineChars="0"/>
        <w:jc w:val="both"/>
        <w:rPr>
          <w:rFonts w:hAnsi="宋体"/>
          <w:color w:val="auto"/>
          <w:kern w:val="2"/>
          <w:sz w:val="24"/>
          <w:szCs w:val="24"/>
          <w:highlight w:val="none"/>
        </w:rPr>
      </w:pPr>
      <w:bookmarkStart w:id="549" w:name="_Toc86124070"/>
      <w:bookmarkStart w:id="550" w:name="_Toc329810210"/>
      <w:bookmarkStart w:id="551" w:name="_Toc23917"/>
      <w:bookmarkStart w:id="552" w:name="_Toc470096328"/>
      <w:bookmarkStart w:id="553" w:name="_Toc432194849"/>
      <w:bookmarkStart w:id="554" w:name="_Toc23739"/>
      <w:bookmarkStart w:id="555" w:name="_Toc383175299"/>
      <w:bookmarkStart w:id="556" w:name="_Toc32081"/>
      <w:bookmarkStart w:id="557" w:name="_Toc383175075"/>
      <w:bookmarkStart w:id="558" w:name="_Toc29449"/>
      <w:bookmarkStart w:id="559" w:name="_Toc30111"/>
      <w:bookmarkStart w:id="560" w:name="_Toc11673"/>
      <w:bookmarkStart w:id="561" w:name="_Toc438396751"/>
      <w:bookmarkStart w:id="562" w:name="_Toc29362"/>
      <w:bookmarkStart w:id="563" w:name="_Toc383175497"/>
      <w:bookmarkStart w:id="564" w:name="_Toc432106498"/>
      <w:bookmarkStart w:id="565" w:name="_Toc19528"/>
      <w:bookmarkStart w:id="566" w:name="_Toc10424"/>
      <w:bookmarkStart w:id="567" w:name="_Toc10495"/>
      <w:r>
        <w:rPr>
          <w:rFonts w:hint="eastAsia" w:hAnsi="宋体"/>
          <w:color w:val="auto"/>
          <w:kern w:val="2"/>
          <w:sz w:val="24"/>
          <w:szCs w:val="24"/>
          <w:highlight w:val="none"/>
        </w:rPr>
        <w:t>19、成交供应商的确定</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B59787F">
      <w:pPr>
        <w:spacing w:line="360" w:lineRule="auto"/>
        <w:ind w:firstLine="420" w:firstLineChars="200"/>
        <w:jc w:val="left"/>
        <w:rPr>
          <w:rFonts w:ascii="宋体" w:hAnsi="宋体"/>
          <w:color w:val="auto"/>
          <w:szCs w:val="21"/>
          <w:highlight w:val="none"/>
        </w:rPr>
      </w:pPr>
      <w:bookmarkStart w:id="568" w:name="_Toc329810211"/>
      <w:r>
        <w:rPr>
          <w:rFonts w:ascii="宋体" w:hAnsi="宋体"/>
          <w:color w:val="auto"/>
          <w:szCs w:val="21"/>
          <w:highlight w:val="none"/>
        </w:rPr>
        <w:t>19.1</w:t>
      </w:r>
      <w:r>
        <w:rPr>
          <w:rFonts w:hint="eastAsia" w:ascii="宋体" w:hAnsi="宋体"/>
          <w:color w:val="auto"/>
          <w:szCs w:val="21"/>
          <w:highlight w:val="none"/>
        </w:rPr>
        <w:t>采购代理机构在评审结束后</w:t>
      </w:r>
      <w:r>
        <w:rPr>
          <w:rFonts w:ascii="宋体" w:hAnsi="宋体"/>
          <w:color w:val="auto"/>
          <w:szCs w:val="21"/>
          <w:highlight w:val="none"/>
        </w:rPr>
        <w:t>2</w:t>
      </w:r>
      <w:r>
        <w:rPr>
          <w:rFonts w:hint="eastAsia" w:ascii="宋体" w:hAnsi="宋体"/>
          <w:color w:val="auto"/>
          <w:szCs w:val="21"/>
          <w:highlight w:val="none"/>
        </w:rPr>
        <w:t>个工作日内将评审报告送采购人确认。</w:t>
      </w:r>
    </w:p>
    <w:p w14:paraId="3C854BFF">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19.2</w:t>
      </w:r>
      <w:r>
        <w:rPr>
          <w:rFonts w:hint="eastAsia" w:ascii="宋体" w:hAnsi="宋体"/>
          <w:color w:val="auto"/>
          <w:szCs w:val="21"/>
          <w:highlight w:val="none"/>
        </w:rPr>
        <w:t>采购人应当在收到评审报告后</w:t>
      </w:r>
      <w:r>
        <w:rPr>
          <w:rFonts w:ascii="宋体" w:hAnsi="宋体"/>
          <w:color w:val="auto"/>
          <w:szCs w:val="21"/>
          <w:highlight w:val="none"/>
        </w:rPr>
        <w:t>5</w:t>
      </w:r>
      <w:r>
        <w:rPr>
          <w:rFonts w:hint="eastAsia" w:ascii="宋体" w:hAnsi="宋体"/>
          <w:color w:val="auto"/>
          <w:szCs w:val="21"/>
          <w:highlight w:val="none"/>
        </w:rPr>
        <w:t>个工作日内，从评审报告提出的成交候选人中，按照综合得分由高到低</w:t>
      </w:r>
      <w:r>
        <w:rPr>
          <w:rFonts w:hint="eastAsia" w:ascii="宋体" w:hAnsi="宋体"/>
          <w:color w:val="auto"/>
          <w:szCs w:val="21"/>
          <w:highlight w:val="none"/>
          <w:lang w:eastAsia="zh-CN"/>
        </w:rPr>
        <w:t>的</w:t>
      </w:r>
      <w:r>
        <w:rPr>
          <w:rFonts w:hint="eastAsia" w:ascii="宋体" w:hAnsi="宋体"/>
          <w:color w:val="auto"/>
          <w:szCs w:val="21"/>
          <w:highlight w:val="none"/>
        </w:rPr>
        <w:t>原则确定成交供应商。</w:t>
      </w:r>
    </w:p>
    <w:p w14:paraId="3370CD3C">
      <w:pPr>
        <w:pStyle w:val="5"/>
        <w:tabs>
          <w:tab w:val="left" w:pos="0"/>
        </w:tabs>
        <w:spacing w:before="0" w:after="0"/>
        <w:ind w:firstLine="0" w:firstLineChars="0"/>
        <w:jc w:val="both"/>
        <w:rPr>
          <w:rFonts w:hAnsi="宋体"/>
          <w:color w:val="auto"/>
          <w:kern w:val="2"/>
          <w:sz w:val="24"/>
          <w:szCs w:val="24"/>
          <w:highlight w:val="none"/>
        </w:rPr>
      </w:pPr>
      <w:bookmarkStart w:id="569" w:name="_Toc383175300"/>
      <w:bookmarkStart w:id="570" w:name="_Toc18567"/>
      <w:bookmarkStart w:id="571" w:name="_Toc7854"/>
      <w:bookmarkStart w:id="572" w:name="_Toc432194850"/>
      <w:bookmarkStart w:id="573" w:name="_Toc28542"/>
      <w:bookmarkStart w:id="574" w:name="_Toc6913"/>
      <w:bookmarkStart w:id="575" w:name="_Toc470096329"/>
      <w:bookmarkStart w:id="576" w:name="_Toc432106499"/>
      <w:bookmarkStart w:id="577" w:name="_Toc29413"/>
      <w:bookmarkStart w:id="578" w:name="_Toc7613"/>
      <w:bookmarkStart w:id="579" w:name="_Toc18229"/>
      <w:bookmarkStart w:id="580" w:name="_Toc9984"/>
      <w:bookmarkStart w:id="581" w:name="_Toc383175076"/>
      <w:bookmarkStart w:id="582" w:name="_Toc438396752"/>
      <w:bookmarkStart w:id="583" w:name="_Toc12123"/>
      <w:bookmarkStart w:id="584" w:name="_Toc383175498"/>
      <w:bookmarkStart w:id="585" w:name="_Toc9504"/>
      <w:r>
        <w:rPr>
          <w:rFonts w:hint="eastAsia" w:hAnsi="宋体"/>
          <w:color w:val="auto"/>
          <w:kern w:val="2"/>
          <w:sz w:val="24"/>
          <w:szCs w:val="24"/>
          <w:highlight w:val="none"/>
        </w:rPr>
        <w:t>20、成交通知书</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5B1F4B0">
      <w:pPr>
        <w:spacing w:line="360" w:lineRule="auto"/>
        <w:ind w:firstLine="420" w:firstLineChars="200"/>
        <w:jc w:val="left"/>
        <w:rPr>
          <w:rFonts w:ascii="宋体" w:hAnsi="宋体"/>
          <w:color w:val="auto"/>
          <w:szCs w:val="21"/>
          <w:highlight w:val="none"/>
        </w:rPr>
      </w:pPr>
      <w:bookmarkStart w:id="586" w:name="_Toc86124072"/>
      <w:bookmarkStart w:id="587" w:name="_Toc329810212"/>
      <w:r>
        <w:rPr>
          <w:rFonts w:ascii="宋体" w:hAnsi="宋体"/>
          <w:color w:val="auto"/>
          <w:szCs w:val="21"/>
          <w:highlight w:val="none"/>
        </w:rPr>
        <w:t>20.1</w:t>
      </w:r>
      <w:r>
        <w:rPr>
          <w:rFonts w:hint="eastAsia" w:ascii="宋体" w:hAnsi="宋体"/>
          <w:color w:val="auto"/>
          <w:szCs w:val="21"/>
          <w:highlight w:val="none"/>
        </w:rPr>
        <w:t>采购代理机构将在成交供应商确定后</w:t>
      </w:r>
      <w:r>
        <w:rPr>
          <w:rFonts w:ascii="宋体" w:hAnsi="宋体"/>
          <w:color w:val="auto"/>
          <w:szCs w:val="21"/>
          <w:highlight w:val="none"/>
        </w:rPr>
        <w:t>2</w:t>
      </w:r>
      <w:r>
        <w:rPr>
          <w:rFonts w:hint="eastAsia" w:ascii="宋体" w:hAnsi="宋体"/>
          <w:color w:val="auto"/>
          <w:szCs w:val="21"/>
          <w:highlight w:val="none"/>
        </w:rPr>
        <w:t>个工作日内，在云南省政府采购网和政采云上公告</w:t>
      </w:r>
      <w:r>
        <w:rPr>
          <w:rFonts w:ascii="宋体" w:hAnsi="宋体"/>
          <w:color w:val="auto"/>
          <w:szCs w:val="21"/>
          <w:highlight w:val="none"/>
        </w:rPr>
        <w:t>,</w:t>
      </w:r>
      <w:r>
        <w:rPr>
          <w:rFonts w:hint="eastAsia" w:ascii="宋体" w:hAnsi="宋体"/>
          <w:color w:val="auto"/>
          <w:szCs w:val="21"/>
          <w:highlight w:val="none"/>
        </w:rPr>
        <w:t>同时向成交供应商发出成交通知书。</w:t>
      </w:r>
    </w:p>
    <w:p w14:paraId="4601E443">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 xml:space="preserve">20.2 </w:t>
      </w:r>
      <w:r>
        <w:rPr>
          <w:rFonts w:hint="eastAsia" w:ascii="宋体" w:hAnsi="宋体"/>
          <w:color w:val="auto"/>
          <w:szCs w:val="21"/>
          <w:highlight w:val="none"/>
        </w:rPr>
        <w:t>成交通知书是合同的一个组成部分。</w:t>
      </w:r>
    </w:p>
    <w:p w14:paraId="2FDD2700">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20.3</w:t>
      </w:r>
      <w:r>
        <w:rPr>
          <w:rFonts w:hint="eastAsia" w:ascii="宋体" w:hAnsi="宋体"/>
          <w:color w:val="auto"/>
          <w:szCs w:val="21"/>
          <w:highlight w:val="none"/>
        </w:rPr>
        <w:t>除不可抗力等因素外，成交通知书发出后，采购人改变成交结果，或者成交供应商拒绝签订政府采购合同的，应当承担相应的法律责任。</w:t>
      </w:r>
    </w:p>
    <w:p w14:paraId="0F8D7A26">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20.4</w:t>
      </w:r>
      <w:r>
        <w:rPr>
          <w:rFonts w:hint="eastAsia" w:ascii="宋体" w:hAnsi="宋体"/>
          <w:color w:val="auto"/>
          <w:szCs w:val="21"/>
          <w:highlight w:val="none"/>
        </w:rPr>
        <w:t>采购代理机构无义务向未成交供应商解释未成交原因和退回响应文件。</w:t>
      </w:r>
    </w:p>
    <w:p w14:paraId="1A58989E">
      <w:pPr>
        <w:pStyle w:val="5"/>
        <w:tabs>
          <w:tab w:val="left" w:pos="0"/>
        </w:tabs>
        <w:spacing w:before="0" w:after="0"/>
        <w:ind w:firstLine="0" w:firstLineChars="0"/>
        <w:jc w:val="both"/>
        <w:rPr>
          <w:rFonts w:hAnsi="宋体"/>
          <w:color w:val="auto"/>
          <w:kern w:val="2"/>
          <w:sz w:val="24"/>
          <w:szCs w:val="24"/>
          <w:highlight w:val="none"/>
        </w:rPr>
      </w:pPr>
      <w:bookmarkStart w:id="588" w:name="_Toc9789"/>
      <w:bookmarkStart w:id="589" w:name="_Toc7751"/>
      <w:bookmarkStart w:id="590" w:name="_Toc322"/>
      <w:bookmarkStart w:id="591" w:name="_Toc6348"/>
      <w:bookmarkStart w:id="592" w:name="_Toc432194851"/>
      <w:bookmarkStart w:id="593" w:name="_Toc16814"/>
      <w:bookmarkStart w:id="594" w:name="_Toc30337"/>
      <w:bookmarkStart w:id="595" w:name="_Toc470096330"/>
      <w:bookmarkStart w:id="596" w:name="_Toc7815"/>
      <w:bookmarkStart w:id="597" w:name="_Toc14292"/>
      <w:bookmarkStart w:id="598" w:name="_Toc438396753"/>
      <w:bookmarkStart w:id="599" w:name="_Toc432106500"/>
      <w:bookmarkStart w:id="600" w:name="_Toc383175301"/>
      <w:bookmarkStart w:id="601" w:name="_Toc29021"/>
      <w:bookmarkStart w:id="602" w:name="_Toc383175077"/>
      <w:bookmarkStart w:id="603" w:name="_Toc19139"/>
      <w:bookmarkStart w:id="604" w:name="_Toc383175499"/>
      <w:r>
        <w:rPr>
          <w:rFonts w:hint="eastAsia" w:hAnsi="宋体"/>
          <w:color w:val="auto"/>
          <w:kern w:val="2"/>
          <w:sz w:val="24"/>
          <w:szCs w:val="24"/>
          <w:highlight w:val="none"/>
        </w:rPr>
        <w:t>21、签订合同</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EFDA97D">
      <w:pPr>
        <w:spacing w:line="360" w:lineRule="auto"/>
        <w:ind w:firstLine="420" w:firstLineChars="200"/>
        <w:jc w:val="left"/>
        <w:rPr>
          <w:rFonts w:ascii="宋体" w:hAnsi="宋体"/>
          <w:color w:val="auto"/>
          <w:szCs w:val="21"/>
          <w:highlight w:val="none"/>
        </w:rPr>
      </w:pPr>
      <w:bookmarkStart w:id="605" w:name="_Toc329810213"/>
      <w:bookmarkStart w:id="606" w:name="_Toc86124073"/>
      <w:r>
        <w:rPr>
          <w:rFonts w:hint="eastAsia" w:ascii="宋体" w:hAnsi="宋体"/>
          <w:color w:val="auto"/>
          <w:szCs w:val="21"/>
          <w:highlight w:val="none"/>
        </w:rPr>
        <w:t>21.1采购人与成交供应商应当在成交通知书发出之日起</w:t>
      </w:r>
      <w:r>
        <w:rPr>
          <w:rFonts w:ascii="宋体" w:hAnsi="宋体"/>
          <w:color w:val="auto"/>
          <w:szCs w:val="21"/>
          <w:highlight w:val="none"/>
        </w:rPr>
        <w:t>30</w:t>
      </w:r>
      <w:r>
        <w:rPr>
          <w:rFonts w:hint="eastAsia" w:ascii="宋体" w:hAnsi="宋体"/>
          <w:color w:val="auto"/>
          <w:szCs w:val="21"/>
          <w:highlight w:val="none"/>
        </w:rPr>
        <w:t>日内，按照磋商文件确定的合同文本以及采购标的、采购金额、采购数量、技术和服务要求等事项签订政府采购合同。</w:t>
      </w:r>
    </w:p>
    <w:p w14:paraId="72CE15A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21.2成交供应商拒绝签订政府采购合同的，采购人可以按照《政府采购竞争性磋商采购方式管理暂行办法》规定的原则确定其他供应商作为成交供应商并签订政府采购合同，也可以重新开展采购活动。拒绝签订政府采购合同的成交供应商不得参加对该项目重新开展的采购活动。</w:t>
      </w:r>
      <w:bookmarkEnd w:id="605"/>
      <w:bookmarkEnd w:id="606"/>
    </w:p>
    <w:p w14:paraId="4A0D362E">
      <w:pPr>
        <w:pStyle w:val="6"/>
        <w:spacing w:before="156" w:line="360" w:lineRule="auto"/>
        <w:ind w:firstLine="420"/>
        <w:rPr>
          <w:rFonts w:hint="eastAsia" w:hAnsi="宋体"/>
          <w:color w:val="auto"/>
          <w:sz w:val="24"/>
          <w:szCs w:val="24"/>
          <w:highlight w:val="none"/>
        </w:rPr>
      </w:pPr>
      <w:bookmarkStart w:id="607" w:name="_Toc15390"/>
      <w:bookmarkStart w:id="608" w:name="_Toc25601"/>
      <w:bookmarkStart w:id="609" w:name="_Toc24341"/>
      <w:bookmarkStart w:id="610" w:name="_Toc17466"/>
      <w:bookmarkStart w:id="611" w:name="_Toc7631"/>
      <w:bookmarkStart w:id="612" w:name="_Toc25391"/>
      <w:bookmarkStart w:id="613" w:name="_Toc16911"/>
      <w:bookmarkStart w:id="614" w:name="_Toc17296"/>
      <w:bookmarkStart w:id="615" w:name="_Toc19983"/>
      <w:r>
        <w:rPr>
          <w:rFonts w:hAnsi="宋体"/>
          <w:color w:val="auto"/>
          <w:szCs w:val="21"/>
          <w:highlight w:val="none"/>
        </w:rPr>
        <w:t>2</w:t>
      </w:r>
      <w:r>
        <w:rPr>
          <w:rFonts w:hint="eastAsia" w:hAnsi="宋体"/>
          <w:color w:val="auto"/>
          <w:szCs w:val="21"/>
          <w:highlight w:val="none"/>
        </w:rPr>
        <w:t>1</w:t>
      </w:r>
      <w:r>
        <w:rPr>
          <w:rFonts w:hAnsi="宋体"/>
          <w:color w:val="auto"/>
          <w:szCs w:val="21"/>
          <w:highlight w:val="none"/>
        </w:rPr>
        <w:t>.3</w:t>
      </w:r>
      <w:r>
        <w:rPr>
          <w:rFonts w:hint="eastAsia" w:hAnsi="宋体"/>
          <w:color w:val="auto"/>
          <w:szCs w:val="21"/>
          <w:highlight w:val="none"/>
        </w:rPr>
        <w:t>采购人根据项目的实际情况在</w:t>
      </w:r>
      <w:r>
        <w:rPr>
          <w:rFonts w:hint="eastAsia" w:hAnsi="宋体"/>
          <w:b/>
          <w:bCs/>
          <w:color w:val="auto"/>
          <w:szCs w:val="21"/>
          <w:highlight w:val="none"/>
        </w:rPr>
        <w:t>“供应商须知前附表”</w:t>
      </w:r>
      <w:r>
        <w:rPr>
          <w:rFonts w:hint="eastAsia" w:hAnsi="宋体"/>
          <w:color w:val="auto"/>
          <w:szCs w:val="21"/>
          <w:highlight w:val="none"/>
        </w:rPr>
        <w:t>明确允许供应商在成交后将成交项目的非主体、非关键性工作分包的，供应商应当在响应文件中载明拟分包的内容及承担主体，分包承担主体应当具备相应资质条件且不得再次分包。否则成交无效</w:t>
      </w:r>
      <w:r>
        <w:rPr>
          <w:rFonts w:hAnsi="宋体"/>
          <w:color w:val="auto"/>
          <w:szCs w:val="21"/>
          <w:highlight w:val="none"/>
        </w:rPr>
        <w:t>。</w:t>
      </w:r>
    </w:p>
    <w:p w14:paraId="51FB8FA8">
      <w:pPr>
        <w:pStyle w:val="5"/>
        <w:tabs>
          <w:tab w:val="left" w:pos="0"/>
        </w:tabs>
        <w:spacing w:before="0" w:after="0"/>
        <w:ind w:firstLine="0" w:firstLineChars="0"/>
        <w:jc w:val="both"/>
        <w:rPr>
          <w:rFonts w:hint="eastAsia" w:hAnsi="宋体"/>
          <w:color w:val="auto"/>
          <w:kern w:val="2"/>
          <w:sz w:val="24"/>
          <w:szCs w:val="24"/>
          <w:highlight w:val="none"/>
        </w:rPr>
      </w:pPr>
      <w:bookmarkStart w:id="616" w:name="_Toc4942"/>
      <w:bookmarkStart w:id="617" w:name="_Toc17700"/>
      <w:bookmarkStart w:id="618" w:name="_Toc19262"/>
      <w:bookmarkStart w:id="619" w:name="_Toc8381"/>
      <w:bookmarkStart w:id="620" w:name="_Toc791"/>
      <w:bookmarkStart w:id="621" w:name="_Toc7636"/>
      <w:bookmarkStart w:id="622" w:name="_Toc1640"/>
      <w:bookmarkStart w:id="623" w:name="_Toc19763"/>
      <w:bookmarkStart w:id="624" w:name="_Toc23011"/>
      <w:r>
        <w:rPr>
          <w:rFonts w:hint="eastAsia" w:hAnsi="宋体"/>
          <w:color w:val="auto"/>
          <w:kern w:val="2"/>
          <w:sz w:val="24"/>
          <w:szCs w:val="24"/>
          <w:highlight w:val="none"/>
        </w:rPr>
        <w:t>22、</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Pr>
          <w:rFonts w:hint="eastAsia" w:hAnsi="宋体"/>
          <w:color w:val="auto"/>
          <w:kern w:val="2"/>
          <w:sz w:val="24"/>
          <w:szCs w:val="24"/>
          <w:highlight w:val="none"/>
        </w:rPr>
        <w:t>履约保证金</w:t>
      </w:r>
      <w:bookmarkEnd w:id="621"/>
      <w:bookmarkEnd w:id="622"/>
      <w:bookmarkEnd w:id="623"/>
      <w:bookmarkEnd w:id="624"/>
    </w:p>
    <w:p w14:paraId="2B72B2EF">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详见“投标人须知前附表”</w:t>
      </w:r>
      <w:r>
        <w:rPr>
          <w:rFonts w:hint="eastAsia" w:ascii="宋体" w:hAnsi="宋体"/>
          <w:color w:val="auto"/>
          <w:szCs w:val="21"/>
          <w:highlight w:val="none"/>
          <w:lang w:eastAsia="zh-CN"/>
        </w:rPr>
        <w:t>）</w:t>
      </w:r>
    </w:p>
    <w:p w14:paraId="021BCBE9">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625" w:name="_Toc17586"/>
      <w:bookmarkStart w:id="626" w:name="_Toc10195"/>
      <w:bookmarkStart w:id="627" w:name="_Toc470096331"/>
      <w:bookmarkStart w:id="628" w:name="_Toc11843"/>
      <w:bookmarkStart w:id="629" w:name="_Toc11462"/>
      <w:bookmarkStart w:id="630" w:name="_Toc13064"/>
      <w:bookmarkStart w:id="631" w:name="_Toc6944"/>
      <w:bookmarkStart w:id="632" w:name="_Toc86124074"/>
      <w:bookmarkStart w:id="633" w:name="_Toc9625"/>
      <w:bookmarkStart w:id="634" w:name="_Toc25488"/>
      <w:bookmarkStart w:id="635" w:name="_Toc14843"/>
      <w:bookmarkStart w:id="636" w:name="_Toc11632"/>
      <w:r>
        <w:rPr>
          <w:rFonts w:hint="eastAsia" w:ascii="黑体" w:hAnsi="黑体" w:eastAsia="黑体"/>
          <w:bCs w:val="0"/>
          <w:color w:val="auto"/>
          <w:sz w:val="28"/>
          <w:szCs w:val="30"/>
          <w:highlight w:val="none"/>
        </w:rPr>
        <w:t>七、其他事项</w:t>
      </w:r>
      <w:bookmarkEnd w:id="625"/>
      <w:bookmarkEnd w:id="626"/>
      <w:bookmarkEnd w:id="627"/>
      <w:bookmarkEnd w:id="628"/>
      <w:bookmarkEnd w:id="629"/>
      <w:bookmarkEnd w:id="630"/>
      <w:bookmarkEnd w:id="631"/>
      <w:bookmarkEnd w:id="632"/>
      <w:bookmarkEnd w:id="633"/>
      <w:bookmarkEnd w:id="634"/>
      <w:bookmarkEnd w:id="635"/>
      <w:bookmarkEnd w:id="636"/>
    </w:p>
    <w:p w14:paraId="0C452D8D">
      <w:pPr>
        <w:pStyle w:val="5"/>
        <w:tabs>
          <w:tab w:val="left" w:pos="0"/>
        </w:tabs>
        <w:spacing w:before="0" w:after="0"/>
        <w:ind w:firstLine="0" w:firstLineChars="0"/>
        <w:jc w:val="both"/>
        <w:rPr>
          <w:rFonts w:hAnsi="宋体"/>
          <w:color w:val="auto"/>
          <w:kern w:val="2"/>
          <w:sz w:val="24"/>
          <w:szCs w:val="24"/>
          <w:highlight w:val="none"/>
        </w:rPr>
      </w:pPr>
      <w:bookmarkStart w:id="637" w:name="_Toc16466"/>
      <w:bookmarkStart w:id="638" w:name="_Toc329810215"/>
      <w:bookmarkStart w:id="639" w:name="_Toc11179"/>
      <w:bookmarkStart w:id="640" w:name="_Toc383175502"/>
      <w:bookmarkStart w:id="641" w:name="_Toc470096332"/>
      <w:bookmarkStart w:id="642" w:name="_Toc28473"/>
      <w:bookmarkStart w:id="643" w:name="_Toc383175080"/>
      <w:bookmarkStart w:id="644" w:name="_Toc14861"/>
      <w:bookmarkStart w:id="645" w:name="_Toc432106502"/>
      <w:bookmarkStart w:id="646" w:name="_Toc21715"/>
      <w:bookmarkStart w:id="647" w:name="_Toc17945"/>
      <w:bookmarkStart w:id="648" w:name="_Toc7794"/>
      <w:bookmarkStart w:id="649" w:name="_Toc20754"/>
      <w:bookmarkStart w:id="650" w:name="_Toc19072"/>
      <w:bookmarkStart w:id="651" w:name="_Toc432194853"/>
      <w:bookmarkStart w:id="652" w:name="_Toc438396755"/>
      <w:bookmarkStart w:id="653" w:name="_Toc8013"/>
      <w:bookmarkStart w:id="654" w:name="_Toc383175304"/>
      <w:r>
        <w:rPr>
          <w:rFonts w:hint="eastAsia" w:hAnsi="宋体"/>
          <w:color w:val="auto"/>
          <w:kern w:val="2"/>
          <w:sz w:val="24"/>
          <w:szCs w:val="24"/>
          <w:highlight w:val="none"/>
        </w:rPr>
        <w:t>23、质疑和投诉</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13B60B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23.1质疑</w:t>
      </w:r>
    </w:p>
    <w:p w14:paraId="4B3FEC5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23.1.1 供应商认为采购文件、采购过程、中标或者成交结果使自己的权益受到损害的，可以在知道或者应知其权益受到损害之日起7个工作日内，以书面形式向采购人、采购代理机构提出质疑。供应商在法定质疑期内一次性提出针对同一采购程序环节的质疑。质疑内容不得含有虚假、恶意成分。当事人对自己提出的主张，有责任提供证据，提出质疑时应同时提交相关证据材料和注明事实的确切来源且证据合法、真实、有效。采购人或采购代理机构应当在7个工作日内对供应商依法提出的质疑作出书面答复，但答复的内容不得涉及商业秘密。</w:t>
      </w:r>
    </w:p>
    <w:p w14:paraId="6281905F">
      <w:pPr>
        <w:spacing w:line="360" w:lineRule="auto"/>
        <w:rPr>
          <w:rFonts w:ascii="宋体" w:hAnsi="宋体"/>
          <w:color w:val="auto"/>
          <w:szCs w:val="21"/>
          <w:highlight w:val="none"/>
        </w:rPr>
      </w:pPr>
      <w:r>
        <w:rPr>
          <w:rFonts w:hint="eastAsia" w:ascii="宋体" w:hAnsi="宋体"/>
          <w:color w:val="auto"/>
          <w:szCs w:val="21"/>
          <w:highlight w:val="none"/>
        </w:rPr>
        <w:t>供应商知其权益受到损害之日，是指：</w:t>
      </w:r>
    </w:p>
    <w:p w14:paraId="5E0B1BB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（一）对可以质疑的采购文件提出质疑的，为收到采购文件之日或者采购文件公告期限届满之日起7个工作日内；</w:t>
      </w:r>
    </w:p>
    <w:p w14:paraId="5E2F1EC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（二）对采购过程提出质疑的，为各采购程序环节结束之日；</w:t>
      </w:r>
    </w:p>
    <w:p w14:paraId="66263B6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（三）对中标（成交）结果提出质疑的，为中标（成交）结果公告期限届满之日。（中标公告发布之日起七个工作日内）</w:t>
      </w:r>
    </w:p>
    <w:p w14:paraId="49AF3CA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23.1.2供应商提供的质疑书（如材料中有外文资料应同时附上中文译本）应当包括以下主要内容：</w:t>
      </w:r>
    </w:p>
    <w:p w14:paraId="494CE448">
      <w:pPr>
        <w:spacing w:line="360" w:lineRule="auto"/>
        <w:ind w:left="786"/>
        <w:rPr>
          <w:rFonts w:ascii="宋体" w:hAnsi="宋体"/>
          <w:color w:val="auto"/>
          <w:szCs w:val="21"/>
          <w:highlight w:val="none"/>
        </w:rPr>
      </w:pPr>
      <w:r>
        <w:rPr>
          <w:rFonts w:hint="eastAsia" w:ascii="宋体" w:hAnsi="宋体"/>
          <w:color w:val="auto"/>
          <w:szCs w:val="21"/>
          <w:highlight w:val="none"/>
        </w:rPr>
        <w:t>（一）供应商的姓名或者名称、地址、邮编、联系人及联系电话；</w:t>
      </w:r>
    </w:p>
    <w:p w14:paraId="13F140CC">
      <w:pPr>
        <w:spacing w:line="360" w:lineRule="auto"/>
        <w:ind w:left="786"/>
        <w:rPr>
          <w:rFonts w:ascii="宋体" w:hAnsi="宋体"/>
          <w:color w:val="auto"/>
          <w:szCs w:val="21"/>
          <w:highlight w:val="none"/>
        </w:rPr>
      </w:pPr>
      <w:r>
        <w:rPr>
          <w:rFonts w:hint="eastAsia" w:ascii="宋体" w:hAnsi="宋体"/>
          <w:color w:val="auto"/>
          <w:szCs w:val="21"/>
          <w:highlight w:val="none"/>
        </w:rPr>
        <w:t>（二）质疑项目的名称、编号；</w:t>
      </w:r>
    </w:p>
    <w:p w14:paraId="2926CD86">
      <w:pPr>
        <w:spacing w:line="360" w:lineRule="auto"/>
        <w:ind w:left="786"/>
        <w:rPr>
          <w:rFonts w:ascii="宋体" w:hAnsi="宋体"/>
          <w:color w:val="auto"/>
          <w:szCs w:val="21"/>
          <w:highlight w:val="none"/>
        </w:rPr>
      </w:pPr>
      <w:r>
        <w:rPr>
          <w:rFonts w:hint="eastAsia" w:ascii="宋体" w:hAnsi="宋体"/>
          <w:color w:val="auto"/>
          <w:szCs w:val="21"/>
          <w:highlight w:val="none"/>
        </w:rPr>
        <w:t>（三）具体、明确的质疑事项和与质疑事项相关的请求；</w:t>
      </w:r>
    </w:p>
    <w:p w14:paraId="014174A5">
      <w:pPr>
        <w:spacing w:line="360" w:lineRule="auto"/>
        <w:ind w:firstLine="840" w:firstLineChars="400"/>
        <w:rPr>
          <w:rFonts w:ascii="宋体" w:hAnsi="宋体"/>
          <w:color w:val="auto"/>
          <w:szCs w:val="21"/>
          <w:highlight w:val="none"/>
        </w:rPr>
      </w:pPr>
      <w:r>
        <w:rPr>
          <w:rFonts w:hint="eastAsia" w:ascii="宋体" w:hAnsi="宋体"/>
          <w:color w:val="auto"/>
          <w:szCs w:val="21"/>
          <w:highlight w:val="none"/>
        </w:rPr>
        <w:t>（四）事实依据；</w:t>
      </w:r>
    </w:p>
    <w:p w14:paraId="0D6B3176">
      <w:pPr>
        <w:spacing w:line="360" w:lineRule="auto"/>
        <w:ind w:left="786"/>
        <w:rPr>
          <w:rFonts w:ascii="宋体" w:hAnsi="宋体"/>
          <w:color w:val="auto"/>
          <w:szCs w:val="21"/>
          <w:highlight w:val="none"/>
        </w:rPr>
      </w:pPr>
      <w:r>
        <w:rPr>
          <w:rFonts w:hint="eastAsia" w:ascii="宋体" w:hAnsi="宋体"/>
          <w:color w:val="auto"/>
          <w:szCs w:val="21"/>
          <w:highlight w:val="none"/>
        </w:rPr>
        <w:t>（五）必要的法律依据；</w:t>
      </w:r>
    </w:p>
    <w:p w14:paraId="6984BF0D">
      <w:pPr>
        <w:spacing w:line="360" w:lineRule="auto"/>
        <w:ind w:left="786"/>
        <w:rPr>
          <w:rFonts w:ascii="宋体" w:hAnsi="宋体"/>
          <w:color w:val="auto"/>
          <w:szCs w:val="21"/>
          <w:highlight w:val="none"/>
        </w:rPr>
      </w:pPr>
      <w:r>
        <w:rPr>
          <w:rFonts w:hint="eastAsia" w:ascii="宋体" w:hAnsi="宋体"/>
          <w:color w:val="auto"/>
          <w:szCs w:val="21"/>
          <w:highlight w:val="none"/>
        </w:rPr>
        <w:t>（六）提出质疑的日期。</w:t>
      </w:r>
    </w:p>
    <w:p w14:paraId="1A13713F">
      <w:pPr>
        <w:spacing w:line="360" w:lineRule="auto"/>
        <w:ind w:firstLine="422" w:firstLineChars="200"/>
        <w:rPr>
          <w:rFonts w:ascii="宋体" w:hAnsi="宋体"/>
          <w:b/>
          <w:bCs/>
          <w:color w:val="auto"/>
          <w:szCs w:val="21"/>
          <w:highlight w:val="none"/>
          <w:u w:val="single"/>
        </w:rPr>
      </w:pPr>
      <w:bookmarkStart w:id="655" w:name="_Toc69402083"/>
      <w:r>
        <w:rPr>
          <w:rFonts w:hint="eastAsia" w:ascii="宋体" w:hAnsi="宋体"/>
          <w:b/>
          <w:bCs/>
          <w:color w:val="auto"/>
          <w:szCs w:val="21"/>
          <w:highlight w:val="none"/>
          <w:u w:val="single"/>
        </w:rPr>
        <w:t>质疑书实行实名制，并提交由法定代表人或其授权代理人签字并加盖单位公章的原件。</w:t>
      </w:r>
      <w:bookmarkEnd w:id="655"/>
    </w:p>
    <w:p w14:paraId="11B533B0">
      <w:pPr>
        <w:spacing w:line="360" w:lineRule="auto"/>
        <w:ind w:left="426"/>
        <w:rPr>
          <w:rFonts w:ascii="宋体" w:hAnsi="宋体"/>
          <w:color w:val="auto"/>
          <w:szCs w:val="21"/>
          <w:highlight w:val="none"/>
        </w:rPr>
      </w:pPr>
      <w:r>
        <w:rPr>
          <w:rFonts w:hint="eastAsia" w:ascii="宋体" w:hAnsi="宋体"/>
          <w:color w:val="auto"/>
          <w:szCs w:val="21"/>
          <w:highlight w:val="none"/>
        </w:rPr>
        <w:t>受理质疑部门：</w:t>
      </w:r>
    </w:p>
    <w:p w14:paraId="5BCA634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云南谦和工程咨询有限公司综合办公室，电话：</w:t>
      </w:r>
      <w:r>
        <w:rPr>
          <w:rFonts w:hint="eastAsia" w:ascii="宋体" w:hAnsi="宋体" w:eastAsia="微软雅黑"/>
          <w:color w:val="auto"/>
          <w:szCs w:val="21"/>
          <w:highlight w:val="none"/>
        </w:rPr>
        <w:t>0871-63333561。</w:t>
      </w:r>
    </w:p>
    <w:p w14:paraId="678B47A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供应商为自然人的，应当由本人签字；供应商为法人或者其他组织的，应当由法定代表人、主要负责人，或者其授权代表签字或者盖章，并加盖公章。其授权委托书应当载明代理人的姓名或者名称、代理事项、具体权限、期限和相关事项。</w:t>
      </w:r>
    </w:p>
    <w:p w14:paraId="4C1C22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23.1.3采购人、采购代理机构将在收到供应商的书面质疑后七个工作日内做出书面答复，但答复的内容不涉及商业秘密。</w:t>
      </w:r>
    </w:p>
    <w:p w14:paraId="196FDEC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23.1.4参与政府采购活动的供应商对磋商过程或者结果提出质疑的，采购人或采购代理机构可以组织原磋商小组协助处理质疑事项，并依据磋商小组出具的意见进行答复。质疑答复导致成交结果改变的，采购人或采购代理机构应当将相关情况报相关监管部门备案。</w:t>
      </w:r>
    </w:p>
    <w:p w14:paraId="2F8A8BC6">
      <w:pPr>
        <w:spacing w:line="360" w:lineRule="auto"/>
        <w:ind w:left="426"/>
        <w:rPr>
          <w:rFonts w:ascii="宋体" w:hAnsi="宋体"/>
          <w:color w:val="auto"/>
          <w:szCs w:val="21"/>
          <w:highlight w:val="none"/>
        </w:rPr>
      </w:pPr>
      <w:r>
        <w:rPr>
          <w:rFonts w:hint="eastAsia" w:ascii="宋体" w:hAnsi="宋体"/>
          <w:color w:val="auto"/>
          <w:szCs w:val="21"/>
          <w:highlight w:val="none"/>
        </w:rPr>
        <w:t>23.2投诉</w:t>
      </w:r>
    </w:p>
    <w:p w14:paraId="4B94423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当事人提出的投诉事项必须首先经过质疑程序。质疑人对采购人、采购代理机构的答复不满意，或者采购人、采购代理机构未在规定的时间内做出答复的，可以在答复期满后十五个工作日内书面向相关监督管理部门投诉。</w:t>
      </w:r>
    </w:p>
    <w:p w14:paraId="2356B499">
      <w:pPr>
        <w:pStyle w:val="5"/>
        <w:tabs>
          <w:tab w:val="left" w:pos="0"/>
        </w:tabs>
        <w:spacing w:before="0" w:after="0"/>
        <w:ind w:firstLine="0" w:firstLineChars="0"/>
        <w:jc w:val="both"/>
        <w:rPr>
          <w:rFonts w:hAnsi="宋体"/>
          <w:color w:val="auto"/>
          <w:kern w:val="2"/>
          <w:sz w:val="24"/>
          <w:szCs w:val="24"/>
          <w:highlight w:val="none"/>
        </w:rPr>
      </w:pPr>
      <w:bookmarkStart w:id="656" w:name="_Toc432194854"/>
      <w:bookmarkStart w:id="657" w:name="_Toc432106503"/>
      <w:bookmarkStart w:id="658" w:name="_Toc8194"/>
      <w:bookmarkStart w:id="659" w:name="_Toc4667"/>
      <w:bookmarkStart w:id="660" w:name="_Toc10144"/>
      <w:bookmarkStart w:id="661" w:name="_Toc438396756"/>
      <w:bookmarkStart w:id="662" w:name="_Toc383175081"/>
      <w:bookmarkStart w:id="663" w:name="_Toc25763"/>
      <w:bookmarkStart w:id="664" w:name="_Toc383175305"/>
      <w:bookmarkStart w:id="665" w:name="_Toc86124075"/>
      <w:bookmarkStart w:id="666" w:name="_Toc12309"/>
      <w:bookmarkStart w:id="667" w:name="_Toc383175503"/>
      <w:bookmarkStart w:id="668" w:name="_Toc11079"/>
      <w:bookmarkStart w:id="669" w:name="_Toc5912"/>
      <w:bookmarkStart w:id="670" w:name="_Toc16572"/>
      <w:bookmarkStart w:id="671" w:name="_Toc14021"/>
      <w:bookmarkStart w:id="672" w:name="_Toc329810216"/>
      <w:bookmarkStart w:id="673" w:name="_Toc14088"/>
      <w:bookmarkStart w:id="674" w:name="_Toc470096333"/>
      <w:r>
        <w:rPr>
          <w:rFonts w:hint="eastAsia" w:hAnsi="宋体"/>
          <w:color w:val="auto"/>
          <w:kern w:val="2"/>
          <w:sz w:val="24"/>
          <w:szCs w:val="24"/>
          <w:highlight w:val="none"/>
        </w:rPr>
        <w:t>24、采购代理服务费</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CB32411">
      <w:pPr>
        <w:ind w:firstLine="420" w:firstLineChars="200"/>
        <w:rPr>
          <w:rFonts w:hAnsi="宋体"/>
          <w:color w:val="auto"/>
          <w:szCs w:val="21"/>
          <w:highlight w:val="none"/>
        </w:rPr>
      </w:pPr>
      <w:r>
        <w:rPr>
          <w:rFonts w:hint="eastAsia" w:hAnsi="宋体"/>
          <w:color w:val="auto"/>
          <w:szCs w:val="21"/>
          <w:highlight w:val="none"/>
        </w:rPr>
        <w:t>24.1具体内容详见：</w:t>
      </w:r>
      <w:r>
        <w:rPr>
          <w:rFonts w:hint="eastAsia" w:hAnsi="宋体"/>
          <w:b/>
          <w:bCs/>
          <w:color w:val="auto"/>
          <w:szCs w:val="21"/>
          <w:highlight w:val="none"/>
        </w:rPr>
        <w:t>“供应商须知前附表”</w:t>
      </w:r>
    </w:p>
    <w:p w14:paraId="790EE017">
      <w:pPr>
        <w:spacing w:line="360" w:lineRule="auto"/>
        <w:ind w:firstLine="420" w:firstLineChars="200"/>
        <w:jc w:val="left"/>
        <w:rPr>
          <w:rFonts w:ascii="宋体" w:hAnsi="宋体"/>
          <w:color w:val="auto"/>
          <w:szCs w:val="21"/>
          <w:highlight w:val="none"/>
        </w:rPr>
      </w:pPr>
      <w:r>
        <w:rPr>
          <w:rFonts w:hint="eastAsia"/>
          <w:color w:val="auto"/>
          <w:szCs w:val="21"/>
          <w:highlight w:val="none"/>
        </w:rPr>
        <w:t>24.2成交供应商应在接受“成交通知书”前向采购代理机构一次付清代理服务费。</w:t>
      </w:r>
    </w:p>
    <w:p w14:paraId="53259180">
      <w:pPr>
        <w:pStyle w:val="5"/>
        <w:tabs>
          <w:tab w:val="left" w:pos="0"/>
        </w:tabs>
        <w:spacing w:before="0" w:after="0"/>
        <w:ind w:firstLine="0" w:firstLineChars="0"/>
        <w:jc w:val="both"/>
        <w:rPr>
          <w:rFonts w:hAnsi="宋体"/>
          <w:color w:val="auto"/>
          <w:kern w:val="2"/>
          <w:sz w:val="24"/>
          <w:szCs w:val="24"/>
          <w:highlight w:val="none"/>
        </w:rPr>
      </w:pPr>
      <w:bookmarkStart w:id="675" w:name="_Toc438396757"/>
      <w:bookmarkStart w:id="676" w:name="_Toc432106504"/>
      <w:bookmarkStart w:id="677" w:name="_Toc383175504"/>
      <w:bookmarkStart w:id="678" w:name="_Toc16564"/>
      <w:bookmarkStart w:id="679" w:name="_Toc25960"/>
      <w:bookmarkStart w:id="680" w:name="_Toc383175082"/>
      <w:bookmarkStart w:id="681" w:name="_Toc8004"/>
      <w:bookmarkStart w:id="682" w:name="_Toc30271"/>
      <w:bookmarkStart w:id="683" w:name="_Toc17452"/>
      <w:bookmarkStart w:id="684" w:name="_Toc432194855"/>
      <w:bookmarkStart w:id="685" w:name="_Toc29433"/>
      <w:bookmarkStart w:id="686" w:name="_Toc21749"/>
      <w:bookmarkStart w:id="687" w:name="_Toc31067"/>
      <w:bookmarkStart w:id="688" w:name="_Toc383175306"/>
      <w:bookmarkStart w:id="689" w:name="_Toc329810217"/>
      <w:bookmarkStart w:id="690" w:name="_Toc20141"/>
      <w:bookmarkStart w:id="691" w:name="_Toc470096334"/>
      <w:bookmarkStart w:id="692" w:name="_Toc1771"/>
      <w:r>
        <w:rPr>
          <w:rFonts w:hint="eastAsia" w:hAnsi="宋体"/>
          <w:color w:val="auto"/>
          <w:kern w:val="2"/>
          <w:sz w:val="24"/>
          <w:szCs w:val="24"/>
          <w:highlight w:val="none"/>
        </w:rPr>
        <w:t>25、磋商文件编制依据</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27D609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本磋商文件是根据《中华人民共和国政府采购法》及相关法律法规编制。</w:t>
      </w:r>
    </w:p>
    <w:p w14:paraId="2FF30FE3">
      <w:pPr>
        <w:pStyle w:val="5"/>
        <w:tabs>
          <w:tab w:val="left" w:pos="0"/>
        </w:tabs>
        <w:spacing w:before="0" w:after="0"/>
        <w:ind w:firstLine="0" w:firstLineChars="0"/>
        <w:jc w:val="both"/>
        <w:rPr>
          <w:rFonts w:hAnsi="宋体"/>
          <w:color w:val="auto"/>
          <w:kern w:val="2"/>
          <w:sz w:val="24"/>
          <w:szCs w:val="24"/>
          <w:highlight w:val="none"/>
        </w:rPr>
      </w:pPr>
      <w:bookmarkStart w:id="693" w:name="_Toc12840"/>
      <w:bookmarkStart w:id="694" w:name="_Toc266"/>
      <w:bookmarkStart w:id="695" w:name="_Toc11894"/>
      <w:bookmarkStart w:id="696" w:name="_Toc4652"/>
      <w:bookmarkStart w:id="697" w:name="_Toc23858"/>
      <w:bookmarkStart w:id="698" w:name="_Toc12023"/>
      <w:bookmarkStart w:id="699" w:name="_Toc12671"/>
      <w:bookmarkStart w:id="700" w:name="_Toc14015"/>
      <w:bookmarkStart w:id="701" w:name="_Toc6066"/>
      <w:bookmarkStart w:id="702" w:name="_Toc31726"/>
      <w:r>
        <w:rPr>
          <w:rFonts w:hint="eastAsia" w:hAnsi="宋体"/>
          <w:color w:val="auto"/>
          <w:kern w:val="2"/>
          <w:sz w:val="24"/>
          <w:szCs w:val="24"/>
          <w:highlight w:val="none"/>
        </w:rPr>
        <w:t>26、需要补充的其他内容</w:t>
      </w:r>
      <w:bookmarkEnd w:id="693"/>
      <w:bookmarkEnd w:id="694"/>
      <w:bookmarkEnd w:id="695"/>
      <w:bookmarkEnd w:id="696"/>
      <w:bookmarkEnd w:id="697"/>
      <w:bookmarkEnd w:id="698"/>
      <w:bookmarkEnd w:id="699"/>
      <w:bookmarkEnd w:id="700"/>
      <w:bookmarkEnd w:id="701"/>
      <w:bookmarkEnd w:id="702"/>
    </w:p>
    <w:p w14:paraId="0642C331">
      <w:pPr>
        <w:pStyle w:val="5"/>
        <w:tabs>
          <w:tab w:val="left" w:pos="0"/>
        </w:tabs>
        <w:spacing w:before="0" w:after="0"/>
        <w:ind w:firstLine="420"/>
        <w:jc w:val="both"/>
        <w:rPr>
          <w:rFonts w:hAnsi="宋体"/>
          <w:b w:val="0"/>
          <w:bCs w:val="0"/>
          <w:color w:val="auto"/>
          <w:kern w:val="2"/>
          <w:sz w:val="21"/>
          <w:szCs w:val="21"/>
          <w:highlight w:val="none"/>
        </w:rPr>
      </w:pPr>
      <w:bookmarkStart w:id="703" w:name="_Toc29837"/>
      <w:bookmarkStart w:id="704" w:name="_Toc15884"/>
      <w:bookmarkStart w:id="705" w:name="_Toc21262"/>
      <w:bookmarkStart w:id="706" w:name="_Toc11227"/>
      <w:bookmarkStart w:id="707" w:name="_Toc29479"/>
      <w:bookmarkStart w:id="708" w:name="_Toc876"/>
      <w:bookmarkStart w:id="709" w:name="_Toc26111"/>
      <w:bookmarkStart w:id="710" w:name="_Toc2279"/>
      <w:bookmarkStart w:id="711" w:name="_Toc31259"/>
      <w:bookmarkStart w:id="712" w:name="_Toc7405"/>
      <w:r>
        <w:rPr>
          <w:rFonts w:hint="eastAsia" w:hAnsi="宋体"/>
          <w:b w:val="0"/>
          <w:bCs w:val="0"/>
          <w:color w:val="auto"/>
          <w:kern w:val="2"/>
          <w:sz w:val="21"/>
          <w:szCs w:val="21"/>
          <w:highlight w:val="none"/>
        </w:rPr>
        <w:t>具体内容详见：</w:t>
      </w:r>
      <w:r>
        <w:rPr>
          <w:rFonts w:hint="eastAsia" w:hAnsi="宋体"/>
          <w:color w:val="auto"/>
          <w:kern w:val="2"/>
          <w:sz w:val="21"/>
          <w:szCs w:val="21"/>
          <w:highlight w:val="none"/>
        </w:rPr>
        <w:t>“供应商须知前附表”</w:t>
      </w:r>
      <w:bookmarkEnd w:id="703"/>
      <w:bookmarkEnd w:id="704"/>
      <w:bookmarkEnd w:id="705"/>
      <w:bookmarkEnd w:id="706"/>
      <w:bookmarkEnd w:id="707"/>
      <w:bookmarkEnd w:id="708"/>
      <w:bookmarkEnd w:id="709"/>
      <w:bookmarkEnd w:id="710"/>
      <w:bookmarkEnd w:id="711"/>
      <w:bookmarkEnd w:id="712"/>
    </w:p>
    <w:p w14:paraId="5EF58E17">
      <w:pPr>
        <w:pStyle w:val="5"/>
        <w:tabs>
          <w:tab w:val="left" w:pos="0"/>
        </w:tabs>
        <w:spacing w:before="0" w:after="0"/>
        <w:ind w:firstLine="0" w:firstLineChars="0"/>
        <w:jc w:val="both"/>
        <w:rPr>
          <w:rFonts w:hAnsi="宋体"/>
          <w:color w:val="auto"/>
          <w:kern w:val="2"/>
          <w:sz w:val="24"/>
          <w:szCs w:val="24"/>
          <w:highlight w:val="none"/>
        </w:rPr>
      </w:pPr>
      <w:bookmarkStart w:id="713" w:name="_Toc18660"/>
      <w:bookmarkStart w:id="714" w:name="_Toc4002"/>
      <w:bookmarkStart w:id="715" w:name="_Toc28111"/>
      <w:bookmarkStart w:id="716" w:name="_Toc14326"/>
      <w:bookmarkStart w:id="717" w:name="_Toc18702"/>
      <w:bookmarkStart w:id="718" w:name="_Toc12607"/>
      <w:bookmarkStart w:id="719" w:name="_Toc6453"/>
      <w:bookmarkStart w:id="720" w:name="_Toc16344"/>
      <w:bookmarkStart w:id="721" w:name="_Toc623"/>
      <w:bookmarkStart w:id="722" w:name="_Toc6313"/>
      <w:r>
        <w:rPr>
          <w:rFonts w:hint="eastAsia" w:hAnsi="宋体"/>
          <w:color w:val="auto"/>
          <w:kern w:val="2"/>
          <w:sz w:val="24"/>
          <w:szCs w:val="24"/>
          <w:highlight w:val="none"/>
        </w:rPr>
        <w:t>27、名词及术语</w:t>
      </w:r>
      <w:bookmarkEnd w:id="713"/>
      <w:bookmarkEnd w:id="714"/>
      <w:bookmarkEnd w:id="715"/>
      <w:bookmarkEnd w:id="716"/>
      <w:bookmarkEnd w:id="717"/>
      <w:bookmarkEnd w:id="718"/>
      <w:bookmarkEnd w:id="719"/>
      <w:bookmarkEnd w:id="720"/>
      <w:bookmarkEnd w:id="721"/>
      <w:bookmarkEnd w:id="722"/>
    </w:p>
    <w:p w14:paraId="0688C31F">
      <w:pPr>
        <w:pStyle w:val="12"/>
        <w:spacing w:line="360" w:lineRule="auto"/>
        <w:ind w:firstLine="420" w:firstLineChars="200"/>
        <w:rPr>
          <w:rFonts w:hint="eastAsia" w:ascii="Times New Roman"/>
          <w:color w:val="auto"/>
          <w:szCs w:val="24"/>
          <w:highlight w:val="none"/>
        </w:rPr>
      </w:pPr>
      <w:bookmarkStart w:id="723" w:name="_Toc86124078"/>
      <w:r>
        <w:rPr>
          <w:rFonts w:hint="eastAsia" w:ascii="Times New Roman"/>
          <w:color w:val="auto"/>
          <w:szCs w:val="24"/>
          <w:highlight w:val="none"/>
        </w:rPr>
        <w:t>采购</w:t>
      </w:r>
      <w:r>
        <w:rPr>
          <w:rFonts w:ascii="Times New Roman"/>
          <w:color w:val="auto"/>
          <w:szCs w:val="24"/>
          <w:highlight w:val="none"/>
        </w:rPr>
        <w:t>人</w:t>
      </w:r>
      <w:r>
        <w:rPr>
          <w:rFonts w:hint="eastAsia" w:ascii="Times New Roman"/>
          <w:color w:val="auto"/>
          <w:szCs w:val="24"/>
          <w:highlight w:val="none"/>
        </w:rPr>
        <w:t>/</w:t>
      </w:r>
      <w:r>
        <w:rPr>
          <w:rFonts w:ascii="Times New Roman"/>
          <w:color w:val="auto"/>
          <w:szCs w:val="24"/>
          <w:highlight w:val="none"/>
        </w:rPr>
        <w:t>甲方</w:t>
      </w:r>
      <w:r>
        <w:rPr>
          <w:rFonts w:hint="eastAsia" w:ascii="Times New Roman"/>
          <w:color w:val="auto"/>
          <w:szCs w:val="24"/>
          <w:highlight w:val="none"/>
        </w:rPr>
        <w:t>/发包人</w:t>
      </w:r>
      <w:r>
        <w:rPr>
          <w:rFonts w:ascii="Times New Roman"/>
          <w:color w:val="auto"/>
          <w:szCs w:val="24"/>
          <w:highlight w:val="none"/>
        </w:rPr>
        <w:t>：</w:t>
      </w:r>
      <w:r>
        <w:rPr>
          <w:rFonts w:hint="eastAsia" w:ascii="Times New Roman"/>
          <w:color w:val="auto"/>
          <w:szCs w:val="24"/>
          <w:highlight w:val="none"/>
        </w:rPr>
        <w:t>云南开放大学（云南国防工业职业技术学院）</w:t>
      </w:r>
    </w:p>
    <w:p w14:paraId="7C1737C6">
      <w:pPr>
        <w:pStyle w:val="12"/>
        <w:spacing w:line="360" w:lineRule="auto"/>
        <w:ind w:firstLine="420" w:firstLineChars="200"/>
        <w:rPr>
          <w:rFonts w:ascii="Times New Roman"/>
          <w:color w:val="auto"/>
          <w:szCs w:val="24"/>
          <w:highlight w:val="none"/>
        </w:rPr>
      </w:pPr>
      <w:r>
        <w:rPr>
          <w:rFonts w:hint="eastAsia" w:ascii="Times New Roman"/>
          <w:color w:val="auto"/>
          <w:szCs w:val="24"/>
          <w:highlight w:val="none"/>
        </w:rPr>
        <w:t>供应商/当事人：指参加本次项目投标，在本项目中对采购人负总责的法律主体。</w:t>
      </w:r>
    </w:p>
    <w:p w14:paraId="04741DFD">
      <w:pPr>
        <w:pStyle w:val="12"/>
        <w:spacing w:line="360" w:lineRule="auto"/>
        <w:ind w:firstLine="420" w:firstLineChars="200"/>
        <w:rPr>
          <w:rFonts w:ascii="Times New Roman"/>
          <w:color w:val="auto"/>
          <w:szCs w:val="24"/>
          <w:highlight w:val="none"/>
        </w:rPr>
      </w:pPr>
      <w:r>
        <w:rPr>
          <w:rFonts w:hint="eastAsia" w:ascii="Times New Roman"/>
          <w:color w:val="auto"/>
          <w:szCs w:val="24"/>
          <w:highlight w:val="none"/>
        </w:rPr>
        <w:t>成交供应商/乙方/承包人：供应商通过招投标竞标中标后，与采购人签订合同即成为</w:t>
      </w:r>
      <w:r>
        <w:rPr>
          <w:rFonts w:hint="eastAsia" w:ascii="Times New Roman"/>
          <w:color w:val="auto"/>
          <w:szCs w:val="24"/>
          <w:highlight w:val="none"/>
          <w:lang w:eastAsia="zh-CN"/>
        </w:rPr>
        <w:t>项目</w:t>
      </w:r>
      <w:r>
        <w:rPr>
          <w:rFonts w:hint="eastAsia" w:ascii="Times New Roman"/>
          <w:color w:val="auto"/>
          <w:szCs w:val="24"/>
          <w:highlight w:val="none"/>
        </w:rPr>
        <w:t>。</w:t>
      </w:r>
    </w:p>
    <w:p w14:paraId="0F6E63AA">
      <w:pPr>
        <w:pStyle w:val="2"/>
        <w:spacing w:line="360" w:lineRule="auto"/>
        <w:ind w:firstLine="420" w:firstLineChars="200"/>
        <w:rPr>
          <w:rFonts w:hAnsi="Courier New"/>
          <w:color w:val="auto"/>
          <w:kern w:val="2"/>
          <w:sz w:val="21"/>
          <w:highlight w:val="none"/>
        </w:rPr>
      </w:pPr>
      <w:r>
        <w:rPr>
          <w:rFonts w:hint="eastAsia" w:hAnsi="Courier New"/>
          <w:color w:val="auto"/>
          <w:kern w:val="2"/>
          <w:sz w:val="21"/>
          <w:highlight w:val="none"/>
        </w:rPr>
        <w:t>采购代理机构：云南谦和工程咨询有限公司。</w:t>
      </w:r>
    </w:p>
    <w:p w14:paraId="3B5158B3">
      <w:pPr>
        <w:rPr>
          <w:rFonts w:eastAsia="黑体"/>
          <w:b/>
          <w:color w:val="auto"/>
          <w:kern w:val="44"/>
          <w:sz w:val="36"/>
          <w:szCs w:val="20"/>
          <w:highlight w:val="none"/>
        </w:rPr>
      </w:pPr>
      <w:bookmarkStart w:id="724" w:name="_Toc438396778"/>
      <w:bookmarkStart w:id="725" w:name="_Toc27101"/>
      <w:bookmarkStart w:id="726" w:name="_Toc432106528"/>
      <w:bookmarkStart w:id="727" w:name="_Toc430041035"/>
      <w:bookmarkStart w:id="728" w:name="_Toc470096336"/>
      <w:r>
        <w:rPr>
          <w:rFonts w:hint="eastAsia" w:eastAsia="黑体"/>
          <w:b/>
          <w:color w:val="auto"/>
          <w:kern w:val="44"/>
          <w:sz w:val="36"/>
          <w:szCs w:val="20"/>
          <w:highlight w:val="none"/>
        </w:rPr>
        <w:br w:type="page"/>
      </w:r>
    </w:p>
    <w:p w14:paraId="045934BC">
      <w:pPr>
        <w:pStyle w:val="12"/>
        <w:spacing w:line="360" w:lineRule="auto"/>
        <w:jc w:val="center"/>
        <w:outlineLvl w:val="0"/>
        <w:rPr>
          <w:rFonts w:hAnsi="宋体"/>
          <w:color w:val="auto"/>
          <w:sz w:val="24"/>
          <w:highlight w:val="none"/>
        </w:rPr>
      </w:pPr>
      <w:bookmarkStart w:id="729" w:name="_Toc6886"/>
      <w:bookmarkStart w:id="730" w:name="_Toc1609"/>
      <w:bookmarkStart w:id="731" w:name="_Toc29507"/>
      <w:bookmarkStart w:id="732" w:name="_Toc11932"/>
      <w:bookmarkStart w:id="733" w:name="_Toc5487"/>
      <w:bookmarkStart w:id="734" w:name="_Toc27949"/>
      <w:bookmarkStart w:id="735" w:name="_Toc21880"/>
      <w:bookmarkStart w:id="736" w:name="_Toc1653"/>
      <w:bookmarkStart w:id="737" w:name="_Toc13937"/>
      <w:r>
        <w:rPr>
          <w:rFonts w:hint="eastAsia" w:ascii="Times New Roman" w:hAnsi="Times New Roman" w:eastAsia="黑体"/>
          <w:b/>
          <w:color w:val="auto"/>
          <w:kern w:val="44"/>
          <w:sz w:val="36"/>
          <w:szCs w:val="20"/>
          <w:highlight w:val="none"/>
        </w:rPr>
        <w:t>第三章 磋商程序和方法</w:t>
      </w:r>
      <w:bookmarkEnd w:id="724"/>
      <w:bookmarkEnd w:id="725"/>
      <w:bookmarkEnd w:id="726"/>
      <w:bookmarkEnd w:id="727"/>
      <w:bookmarkEnd w:id="729"/>
      <w:bookmarkEnd w:id="730"/>
      <w:bookmarkEnd w:id="731"/>
      <w:bookmarkEnd w:id="732"/>
      <w:bookmarkEnd w:id="733"/>
      <w:bookmarkEnd w:id="734"/>
      <w:bookmarkEnd w:id="735"/>
      <w:bookmarkEnd w:id="736"/>
      <w:bookmarkEnd w:id="737"/>
    </w:p>
    <w:p w14:paraId="07724DB6">
      <w:pPr>
        <w:pStyle w:val="4"/>
        <w:keepLines w:val="0"/>
        <w:tabs>
          <w:tab w:val="left" w:pos="420"/>
          <w:tab w:val="left" w:pos="6090"/>
        </w:tabs>
        <w:adjustRightInd w:val="0"/>
        <w:spacing w:after="0"/>
        <w:ind w:left="-2" w:leftChars="-1"/>
        <w:textAlignment w:val="baseline"/>
        <w:rPr>
          <w:rFonts w:ascii="黑体" w:hAnsi="黑体" w:eastAsia="黑体"/>
          <w:bCs w:val="0"/>
          <w:color w:val="auto"/>
          <w:sz w:val="28"/>
          <w:szCs w:val="30"/>
          <w:highlight w:val="none"/>
        </w:rPr>
      </w:pPr>
      <w:bookmarkStart w:id="738" w:name="_Toc191374457"/>
      <w:bookmarkStart w:id="739" w:name="_Toc15826"/>
      <w:bookmarkStart w:id="740" w:name="_Toc25943"/>
      <w:bookmarkStart w:id="741" w:name="_Toc18733"/>
      <w:bookmarkStart w:id="742" w:name="_Toc5829"/>
      <w:bookmarkStart w:id="743" w:name="_Toc16818"/>
      <w:bookmarkStart w:id="744" w:name="_Toc9124"/>
      <w:bookmarkStart w:id="745" w:name="_Toc86124093"/>
      <w:bookmarkStart w:id="746" w:name="_Toc432106529"/>
      <w:bookmarkStart w:id="747" w:name="_Toc470096339"/>
      <w:bookmarkStart w:id="748" w:name="_Toc27712"/>
      <w:bookmarkStart w:id="749" w:name="_Toc10140"/>
      <w:bookmarkStart w:id="750" w:name="_Toc1243"/>
      <w:bookmarkStart w:id="751" w:name="_Toc14617"/>
      <w:r>
        <w:rPr>
          <w:rFonts w:hint="eastAsia" w:ascii="黑体" w:hAnsi="黑体" w:eastAsia="黑体"/>
          <w:bCs w:val="0"/>
          <w:color w:val="auto"/>
          <w:sz w:val="28"/>
          <w:szCs w:val="30"/>
          <w:highlight w:val="none"/>
        </w:rPr>
        <w:t>磋商方法前附表</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tbl>
      <w:tblPr>
        <w:tblStyle w:val="21"/>
        <w:tblpPr w:leftFromText="180" w:rightFromText="180" w:vertAnchor="text" w:horzAnchor="page" w:tblpX="1449" w:tblpY="625"/>
        <w:tblOverlap w:val="never"/>
        <w:tblW w:w="92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698"/>
        <w:gridCol w:w="541"/>
        <w:gridCol w:w="1277"/>
        <w:gridCol w:w="760"/>
        <w:gridCol w:w="5418"/>
      </w:tblGrid>
      <w:tr w14:paraId="2069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trPr>
        <w:tc>
          <w:tcPr>
            <w:tcW w:w="1257" w:type="dxa"/>
            <w:gridSpan w:val="2"/>
            <w:noWrap w:val="0"/>
            <w:vAlign w:val="center"/>
          </w:tcPr>
          <w:p w14:paraId="16CA3665">
            <w:pPr>
              <w:spacing w:before="0" w:beforeAutospacing="0" w:after="0" w:afterAutospacing="0"/>
              <w:jc w:val="left"/>
              <w:rPr>
                <w:rFonts w:ascii="宋体" w:hAnsi="宋体"/>
                <w:b/>
                <w:color w:val="auto"/>
                <w:szCs w:val="21"/>
                <w:highlight w:val="none"/>
              </w:rPr>
            </w:pPr>
            <w:bookmarkStart w:id="752" w:name="_Toc13822204"/>
            <w:r>
              <w:rPr>
                <w:rFonts w:hint="eastAsia" w:ascii="宋体" w:hAnsi="宋体"/>
                <w:b/>
                <w:color w:val="auto"/>
                <w:szCs w:val="21"/>
                <w:highlight w:val="none"/>
              </w:rPr>
              <w:t>条款号</w:t>
            </w:r>
          </w:p>
        </w:tc>
        <w:tc>
          <w:tcPr>
            <w:tcW w:w="2578" w:type="dxa"/>
            <w:gridSpan w:val="3"/>
            <w:noWrap w:val="0"/>
            <w:vAlign w:val="center"/>
          </w:tcPr>
          <w:p w14:paraId="1DA4716B">
            <w:pPr>
              <w:spacing w:before="0" w:beforeAutospacing="0" w:after="0" w:afterAutospacing="0"/>
              <w:jc w:val="left"/>
              <w:rPr>
                <w:rFonts w:ascii="宋体" w:hAnsi="宋体"/>
                <w:b/>
                <w:color w:val="auto"/>
                <w:szCs w:val="21"/>
                <w:highlight w:val="none"/>
              </w:rPr>
            </w:pPr>
            <w:r>
              <w:rPr>
                <w:rFonts w:hint="eastAsia" w:ascii="宋体" w:hAnsi="宋体"/>
                <w:b/>
                <w:color w:val="auto"/>
                <w:szCs w:val="21"/>
                <w:highlight w:val="none"/>
              </w:rPr>
              <w:t>评 审 内 容</w:t>
            </w:r>
          </w:p>
        </w:tc>
        <w:tc>
          <w:tcPr>
            <w:tcW w:w="5418" w:type="dxa"/>
            <w:noWrap w:val="0"/>
            <w:vAlign w:val="center"/>
          </w:tcPr>
          <w:p w14:paraId="3D5FC8ED">
            <w:pPr>
              <w:spacing w:before="0" w:beforeAutospacing="0" w:after="0" w:afterAutospacing="0"/>
              <w:jc w:val="left"/>
              <w:rPr>
                <w:rFonts w:ascii="宋体" w:hAnsi="宋体"/>
                <w:b/>
                <w:color w:val="auto"/>
                <w:szCs w:val="21"/>
                <w:highlight w:val="none"/>
              </w:rPr>
            </w:pPr>
            <w:r>
              <w:rPr>
                <w:rFonts w:hint="eastAsia" w:ascii="宋体" w:hAnsi="宋体"/>
                <w:b/>
                <w:color w:val="auto"/>
                <w:szCs w:val="21"/>
                <w:highlight w:val="none"/>
              </w:rPr>
              <w:t>评 审 标 准</w:t>
            </w:r>
          </w:p>
        </w:tc>
      </w:tr>
      <w:tr w14:paraId="5D66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559" w:type="dxa"/>
            <w:noWrap w:val="0"/>
            <w:vAlign w:val="center"/>
          </w:tcPr>
          <w:p w14:paraId="2598BC25">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1.1</w:t>
            </w:r>
          </w:p>
        </w:tc>
        <w:tc>
          <w:tcPr>
            <w:tcW w:w="698" w:type="dxa"/>
            <w:noWrap w:val="0"/>
            <w:vAlign w:val="center"/>
          </w:tcPr>
          <w:p w14:paraId="17A44F0F">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资格评审标准</w:t>
            </w:r>
          </w:p>
        </w:tc>
        <w:tc>
          <w:tcPr>
            <w:tcW w:w="2578" w:type="dxa"/>
            <w:gridSpan w:val="3"/>
            <w:noWrap w:val="0"/>
            <w:vAlign w:val="center"/>
          </w:tcPr>
          <w:p w14:paraId="01181820">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资格条件</w:t>
            </w:r>
          </w:p>
        </w:tc>
        <w:tc>
          <w:tcPr>
            <w:tcW w:w="5418" w:type="dxa"/>
            <w:noWrap w:val="0"/>
            <w:vAlign w:val="center"/>
          </w:tcPr>
          <w:p w14:paraId="47F72004">
            <w:pPr>
              <w:spacing w:before="100" w:beforeAutospacing="1" w:after="100" w:afterAutospacing="1"/>
              <w:jc w:val="left"/>
              <w:rPr>
                <w:rFonts w:ascii="宋体" w:hAnsi="宋体"/>
                <w:color w:val="auto"/>
                <w:szCs w:val="21"/>
                <w:highlight w:val="none"/>
              </w:rPr>
            </w:pPr>
            <w:r>
              <w:rPr>
                <w:rFonts w:hint="eastAsia" w:ascii="宋体" w:hAnsi="宋体"/>
                <w:color w:val="auto"/>
                <w:szCs w:val="21"/>
                <w:highlight w:val="none"/>
              </w:rPr>
              <w:t>符合第二章“供应商须知”第</w:t>
            </w:r>
            <w:r>
              <w:rPr>
                <w:rFonts w:ascii="宋体" w:hAnsi="宋体"/>
                <w:color w:val="auto"/>
                <w:szCs w:val="21"/>
                <w:highlight w:val="none"/>
              </w:rPr>
              <w:t>4</w:t>
            </w:r>
            <w:r>
              <w:rPr>
                <w:rFonts w:hint="eastAsia" w:ascii="宋体" w:hAnsi="宋体"/>
                <w:color w:val="auto"/>
                <w:szCs w:val="21"/>
                <w:highlight w:val="none"/>
              </w:rPr>
              <w:t>项规定，</w:t>
            </w:r>
            <w:r>
              <w:rPr>
                <w:rFonts w:hint="eastAsia"/>
                <w:color w:val="auto"/>
                <w:szCs w:val="21"/>
                <w:highlight w:val="none"/>
              </w:rPr>
              <w:t>且提供了磋商文件要求提供的证明材料。</w:t>
            </w:r>
          </w:p>
        </w:tc>
      </w:tr>
      <w:tr w14:paraId="0218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59" w:type="dxa"/>
            <w:vMerge w:val="restart"/>
            <w:noWrap w:val="0"/>
            <w:vAlign w:val="center"/>
          </w:tcPr>
          <w:p w14:paraId="21C1A644">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1.2</w:t>
            </w:r>
          </w:p>
        </w:tc>
        <w:tc>
          <w:tcPr>
            <w:tcW w:w="698" w:type="dxa"/>
            <w:vMerge w:val="restart"/>
            <w:noWrap w:val="0"/>
            <w:vAlign w:val="center"/>
          </w:tcPr>
          <w:p w14:paraId="30804E6D">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符合性评审标准</w:t>
            </w:r>
          </w:p>
        </w:tc>
        <w:tc>
          <w:tcPr>
            <w:tcW w:w="2578" w:type="dxa"/>
            <w:gridSpan w:val="3"/>
            <w:noWrap w:val="0"/>
            <w:vAlign w:val="center"/>
          </w:tcPr>
          <w:p w14:paraId="54534D3E">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报价一览表及磋商申请函</w:t>
            </w:r>
          </w:p>
        </w:tc>
        <w:tc>
          <w:tcPr>
            <w:tcW w:w="5418" w:type="dxa"/>
            <w:noWrap w:val="0"/>
            <w:vAlign w:val="center"/>
          </w:tcPr>
          <w:p w14:paraId="55B35565">
            <w:pPr>
              <w:spacing w:line="320" w:lineRule="exact"/>
              <w:rPr>
                <w:rFonts w:ascii="宋体" w:hAnsi="宋体"/>
                <w:color w:val="auto"/>
                <w:szCs w:val="21"/>
                <w:highlight w:val="none"/>
              </w:rPr>
            </w:pPr>
            <w:r>
              <w:rPr>
                <w:rFonts w:hint="eastAsia" w:ascii="宋体" w:hAnsi="宋体"/>
                <w:color w:val="auto"/>
                <w:szCs w:val="21"/>
                <w:highlight w:val="none"/>
              </w:rPr>
              <w:t>按要求签字、盖单位公章；</w:t>
            </w:r>
          </w:p>
          <w:p w14:paraId="1DB3858D">
            <w:pPr>
              <w:spacing w:line="320" w:lineRule="exact"/>
              <w:rPr>
                <w:rFonts w:ascii="宋体" w:hAnsi="宋体"/>
                <w:color w:val="auto"/>
                <w:szCs w:val="21"/>
                <w:highlight w:val="none"/>
              </w:rPr>
            </w:pPr>
            <w:r>
              <w:rPr>
                <w:rFonts w:hint="eastAsia" w:ascii="宋体" w:hAnsi="宋体"/>
                <w:color w:val="auto"/>
                <w:szCs w:val="21"/>
                <w:highlight w:val="none"/>
              </w:rPr>
              <w:t>符合第六章“响应文件格式”中规定的格式及内容。</w:t>
            </w:r>
          </w:p>
        </w:tc>
      </w:tr>
      <w:tr w14:paraId="366F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59" w:type="dxa"/>
            <w:vMerge w:val="continue"/>
            <w:noWrap w:val="0"/>
            <w:vAlign w:val="center"/>
          </w:tcPr>
          <w:p w14:paraId="0A433385">
            <w:pPr>
              <w:spacing w:before="100" w:beforeAutospacing="1" w:after="100" w:afterAutospacing="1"/>
              <w:jc w:val="center"/>
              <w:rPr>
                <w:rFonts w:hint="eastAsia" w:ascii="宋体" w:hAnsi="宋体"/>
                <w:color w:val="auto"/>
                <w:szCs w:val="21"/>
                <w:highlight w:val="none"/>
              </w:rPr>
            </w:pPr>
          </w:p>
        </w:tc>
        <w:tc>
          <w:tcPr>
            <w:tcW w:w="698" w:type="dxa"/>
            <w:vMerge w:val="continue"/>
            <w:noWrap w:val="0"/>
            <w:vAlign w:val="center"/>
          </w:tcPr>
          <w:p w14:paraId="3C94E978">
            <w:pPr>
              <w:spacing w:before="100" w:beforeAutospacing="1" w:after="100" w:afterAutospacing="1"/>
              <w:jc w:val="center"/>
              <w:rPr>
                <w:rFonts w:hint="eastAsia" w:ascii="宋体" w:hAnsi="宋体"/>
                <w:color w:val="auto"/>
                <w:szCs w:val="21"/>
                <w:highlight w:val="none"/>
              </w:rPr>
            </w:pPr>
          </w:p>
        </w:tc>
        <w:tc>
          <w:tcPr>
            <w:tcW w:w="2578" w:type="dxa"/>
            <w:gridSpan w:val="3"/>
            <w:noWrap w:val="0"/>
            <w:vAlign w:val="center"/>
          </w:tcPr>
          <w:p w14:paraId="0972019C">
            <w:pPr>
              <w:jc w:val="center"/>
              <w:rPr>
                <w:rFonts w:ascii="宋体" w:hAnsi="宋体"/>
                <w:color w:val="auto"/>
                <w:szCs w:val="21"/>
                <w:highlight w:val="none"/>
              </w:rPr>
            </w:pPr>
            <w:r>
              <w:rPr>
                <w:rFonts w:ascii="宋体" w:hAnsi="宋体"/>
                <w:color w:val="auto"/>
                <w:szCs w:val="21"/>
                <w:highlight w:val="none"/>
              </w:rPr>
              <w:t>法定代表人身份证明书</w:t>
            </w:r>
          </w:p>
        </w:tc>
        <w:tc>
          <w:tcPr>
            <w:tcW w:w="5418" w:type="dxa"/>
            <w:noWrap w:val="0"/>
            <w:vAlign w:val="center"/>
          </w:tcPr>
          <w:p w14:paraId="147335BE">
            <w:pPr>
              <w:rPr>
                <w:rFonts w:ascii="宋体" w:hAnsi="宋体"/>
                <w:color w:val="auto"/>
                <w:szCs w:val="21"/>
                <w:highlight w:val="none"/>
              </w:rPr>
            </w:pPr>
            <w:r>
              <w:rPr>
                <w:rFonts w:ascii="宋体" w:hAnsi="宋体"/>
                <w:color w:val="auto"/>
                <w:szCs w:val="21"/>
                <w:highlight w:val="none"/>
              </w:rPr>
              <w:t>符合磋商文件</w:t>
            </w:r>
            <w:r>
              <w:rPr>
                <w:rFonts w:hint="eastAsia" w:ascii="宋体" w:hAnsi="宋体"/>
                <w:color w:val="auto"/>
                <w:szCs w:val="21"/>
                <w:highlight w:val="none"/>
              </w:rPr>
              <w:t>规</w:t>
            </w:r>
            <w:r>
              <w:rPr>
                <w:rFonts w:ascii="宋体" w:hAnsi="宋体"/>
                <w:color w:val="auto"/>
                <w:szCs w:val="21"/>
                <w:highlight w:val="none"/>
              </w:rPr>
              <w:t>定</w:t>
            </w:r>
            <w:r>
              <w:rPr>
                <w:rFonts w:hint="eastAsia" w:ascii="宋体" w:hAnsi="宋体"/>
                <w:color w:val="auto"/>
                <w:szCs w:val="21"/>
                <w:highlight w:val="none"/>
              </w:rPr>
              <w:t>的</w:t>
            </w:r>
            <w:r>
              <w:rPr>
                <w:rFonts w:ascii="宋体" w:hAnsi="宋体"/>
                <w:color w:val="auto"/>
                <w:szCs w:val="21"/>
                <w:highlight w:val="none"/>
              </w:rPr>
              <w:t>格式及内容</w:t>
            </w:r>
            <w:r>
              <w:rPr>
                <w:rFonts w:hint="eastAsia" w:ascii="宋体" w:hAnsi="宋体"/>
                <w:color w:val="auto"/>
                <w:szCs w:val="21"/>
                <w:highlight w:val="none"/>
              </w:rPr>
              <w:t>，</w:t>
            </w:r>
            <w:r>
              <w:rPr>
                <w:rFonts w:ascii="宋体" w:hAnsi="宋体"/>
                <w:color w:val="auto"/>
                <w:szCs w:val="21"/>
                <w:highlight w:val="none"/>
              </w:rPr>
              <w:t>并盖单位公章；响应文件正本中法定代表人身份证明书为原件。</w:t>
            </w:r>
          </w:p>
        </w:tc>
      </w:tr>
      <w:tr w14:paraId="4314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59" w:type="dxa"/>
            <w:vMerge w:val="continue"/>
            <w:noWrap w:val="0"/>
            <w:vAlign w:val="center"/>
          </w:tcPr>
          <w:p w14:paraId="76CFDDD5">
            <w:pPr>
              <w:spacing w:before="100" w:beforeAutospacing="1" w:after="100" w:afterAutospacing="1"/>
              <w:jc w:val="center"/>
              <w:rPr>
                <w:rFonts w:hint="eastAsia" w:ascii="宋体" w:hAnsi="宋体"/>
                <w:color w:val="auto"/>
                <w:szCs w:val="21"/>
                <w:highlight w:val="none"/>
              </w:rPr>
            </w:pPr>
          </w:p>
        </w:tc>
        <w:tc>
          <w:tcPr>
            <w:tcW w:w="698" w:type="dxa"/>
            <w:vMerge w:val="continue"/>
            <w:noWrap w:val="0"/>
            <w:vAlign w:val="center"/>
          </w:tcPr>
          <w:p w14:paraId="6DA4DBFE">
            <w:pPr>
              <w:spacing w:before="100" w:beforeAutospacing="1" w:after="100" w:afterAutospacing="1"/>
              <w:jc w:val="center"/>
              <w:rPr>
                <w:rFonts w:hint="eastAsia" w:ascii="宋体" w:hAnsi="宋体"/>
                <w:color w:val="auto"/>
                <w:szCs w:val="21"/>
                <w:highlight w:val="none"/>
              </w:rPr>
            </w:pPr>
          </w:p>
        </w:tc>
        <w:tc>
          <w:tcPr>
            <w:tcW w:w="2578" w:type="dxa"/>
            <w:gridSpan w:val="3"/>
            <w:noWrap w:val="0"/>
            <w:vAlign w:val="center"/>
          </w:tcPr>
          <w:p w14:paraId="22C2D896">
            <w:pPr>
              <w:jc w:val="center"/>
              <w:rPr>
                <w:rFonts w:ascii="宋体" w:hAnsi="宋体"/>
                <w:color w:val="auto"/>
                <w:szCs w:val="21"/>
                <w:highlight w:val="none"/>
              </w:rPr>
            </w:pPr>
            <w:r>
              <w:rPr>
                <w:rFonts w:ascii="宋体" w:hAnsi="宋体"/>
                <w:color w:val="auto"/>
                <w:szCs w:val="21"/>
                <w:highlight w:val="none"/>
              </w:rPr>
              <w:t>法定代表人授权委托书</w:t>
            </w:r>
          </w:p>
        </w:tc>
        <w:tc>
          <w:tcPr>
            <w:tcW w:w="5418" w:type="dxa"/>
            <w:noWrap w:val="0"/>
            <w:vAlign w:val="center"/>
          </w:tcPr>
          <w:p w14:paraId="1161F58B">
            <w:pPr>
              <w:rPr>
                <w:rFonts w:ascii="宋体" w:hAnsi="宋体"/>
                <w:color w:val="auto"/>
                <w:szCs w:val="21"/>
                <w:highlight w:val="none"/>
              </w:rPr>
            </w:pPr>
            <w:r>
              <w:rPr>
                <w:rFonts w:ascii="宋体" w:hAnsi="宋体"/>
                <w:color w:val="auto"/>
                <w:szCs w:val="21"/>
                <w:highlight w:val="none"/>
              </w:rPr>
              <w:t>有法定代表人签字</w:t>
            </w:r>
            <w:r>
              <w:rPr>
                <w:rFonts w:hint="eastAsia" w:ascii="宋体" w:hAnsi="宋体"/>
                <w:color w:val="auto"/>
                <w:szCs w:val="21"/>
                <w:highlight w:val="none"/>
              </w:rPr>
              <w:t>或盖章</w:t>
            </w:r>
            <w:r>
              <w:rPr>
                <w:rFonts w:ascii="宋体" w:hAnsi="宋体"/>
                <w:color w:val="auto"/>
                <w:szCs w:val="21"/>
                <w:highlight w:val="none"/>
              </w:rPr>
              <w:t>，并盖单位公章；符合磋商文件</w:t>
            </w:r>
            <w:r>
              <w:rPr>
                <w:rFonts w:hint="eastAsia" w:ascii="宋体" w:hAnsi="宋体"/>
                <w:color w:val="auto"/>
                <w:szCs w:val="21"/>
                <w:highlight w:val="none"/>
              </w:rPr>
              <w:t>规</w:t>
            </w:r>
            <w:r>
              <w:rPr>
                <w:rFonts w:ascii="宋体" w:hAnsi="宋体"/>
                <w:color w:val="auto"/>
                <w:szCs w:val="21"/>
                <w:highlight w:val="none"/>
              </w:rPr>
              <w:t>定</w:t>
            </w:r>
            <w:r>
              <w:rPr>
                <w:rFonts w:hint="eastAsia" w:ascii="宋体" w:hAnsi="宋体"/>
                <w:color w:val="auto"/>
                <w:szCs w:val="21"/>
                <w:highlight w:val="none"/>
              </w:rPr>
              <w:t>的</w:t>
            </w:r>
            <w:r>
              <w:rPr>
                <w:rFonts w:ascii="宋体" w:hAnsi="宋体"/>
                <w:color w:val="auto"/>
                <w:szCs w:val="21"/>
                <w:highlight w:val="none"/>
              </w:rPr>
              <w:t>格式及内容；响应文件正本中法定代表人授权委托书为原件。</w:t>
            </w:r>
          </w:p>
        </w:tc>
      </w:tr>
      <w:tr w14:paraId="73B6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59" w:type="dxa"/>
            <w:vMerge w:val="continue"/>
            <w:noWrap w:val="0"/>
            <w:vAlign w:val="center"/>
          </w:tcPr>
          <w:p w14:paraId="4B8EE928">
            <w:pPr>
              <w:spacing w:before="100" w:beforeAutospacing="1" w:after="100" w:afterAutospacing="1"/>
              <w:jc w:val="center"/>
              <w:rPr>
                <w:rFonts w:ascii="宋体" w:hAnsi="宋体"/>
                <w:color w:val="auto"/>
                <w:szCs w:val="21"/>
                <w:highlight w:val="none"/>
              </w:rPr>
            </w:pPr>
          </w:p>
        </w:tc>
        <w:tc>
          <w:tcPr>
            <w:tcW w:w="698" w:type="dxa"/>
            <w:vMerge w:val="continue"/>
            <w:noWrap w:val="0"/>
            <w:vAlign w:val="center"/>
          </w:tcPr>
          <w:p w14:paraId="7E9A4EE6">
            <w:pPr>
              <w:spacing w:before="100" w:beforeAutospacing="1" w:after="100" w:afterAutospacing="1"/>
              <w:jc w:val="center"/>
              <w:rPr>
                <w:rFonts w:ascii="宋体" w:hAnsi="宋体"/>
                <w:color w:val="auto"/>
                <w:szCs w:val="21"/>
                <w:highlight w:val="none"/>
              </w:rPr>
            </w:pPr>
          </w:p>
        </w:tc>
        <w:tc>
          <w:tcPr>
            <w:tcW w:w="2578" w:type="dxa"/>
            <w:gridSpan w:val="3"/>
            <w:noWrap w:val="0"/>
            <w:vAlign w:val="center"/>
          </w:tcPr>
          <w:p w14:paraId="1EDD179B">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报价</w:t>
            </w:r>
          </w:p>
        </w:tc>
        <w:tc>
          <w:tcPr>
            <w:tcW w:w="5418" w:type="dxa"/>
            <w:noWrap w:val="0"/>
            <w:vAlign w:val="center"/>
          </w:tcPr>
          <w:p w14:paraId="0C323857">
            <w:pPr>
              <w:spacing w:before="100" w:beforeAutospacing="1" w:after="100" w:afterAutospacing="1"/>
              <w:rPr>
                <w:rFonts w:hint="eastAsia" w:ascii="宋体" w:hAnsi="宋体"/>
                <w:color w:val="auto"/>
                <w:szCs w:val="21"/>
                <w:highlight w:val="none"/>
              </w:rPr>
            </w:pPr>
            <w:r>
              <w:rPr>
                <w:rFonts w:hint="eastAsia"/>
                <w:b/>
                <w:bCs/>
                <w:color w:val="auto"/>
                <w:highlight w:val="none"/>
              </w:rPr>
              <w:t>最后报价未超过磋商文件中规定的最高限价。</w:t>
            </w:r>
          </w:p>
        </w:tc>
      </w:tr>
      <w:tr w14:paraId="5B48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59" w:type="dxa"/>
            <w:vMerge w:val="continue"/>
            <w:noWrap w:val="0"/>
            <w:vAlign w:val="center"/>
          </w:tcPr>
          <w:p w14:paraId="03C69E8E">
            <w:pPr>
              <w:spacing w:before="100" w:beforeAutospacing="1" w:after="100" w:afterAutospacing="1"/>
              <w:rPr>
                <w:rFonts w:ascii="宋体" w:hAnsi="宋体"/>
                <w:color w:val="auto"/>
                <w:szCs w:val="21"/>
                <w:highlight w:val="none"/>
              </w:rPr>
            </w:pPr>
          </w:p>
        </w:tc>
        <w:tc>
          <w:tcPr>
            <w:tcW w:w="698" w:type="dxa"/>
            <w:vMerge w:val="continue"/>
            <w:noWrap w:val="0"/>
            <w:vAlign w:val="center"/>
          </w:tcPr>
          <w:p w14:paraId="240BE89D">
            <w:pPr>
              <w:spacing w:before="100" w:beforeAutospacing="1" w:after="100" w:afterAutospacing="1"/>
              <w:rPr>
                <w:rFonts w:ascii="宋体" w:hAnsi="宋体"/>
                <w:color w:val="auto"/>
                <w:szCs w:val="21"/>
                <w:highlight w:val="none"/>
              </w:rPr>
            </w:pPr>
          </w:p>
        </w:tc>
        <w:tc>
          <w:tcPr>
            <w:tcW w:w="2578" w:type="dxa"/>
            <w:gridSpan w:val="3"/>
            <w:noWrap w:val="0"/>
            <w:vAlign w:val="center"/>
          </w:tcPr>
          <w:p w14:paraId="736AE735">
            <w:pPr>
              <w:jc w:val="center"/>
              <w:rPr>
                <w:rFonts w:ascii="宋体" w:hAnsi="宋体"/>
                <w:color w:val="auto"/>
                <w:szCs w:val="21"/>
                <w:highlight w:val="none"/>
              </w:rPr>
            </w:pPr>
            <w:r>
              <w:rPr>
                <w:rFonts w:hint="eastAsia" w:ascii="宋体" w:hAnsi="宋体"/>
                <w:color w:val="auto"/>
                <w:szCs w:val="21"/>
                <w:highlight w:val="none"/>
              </w:rPr>
              <w:t>磋商有效期</w:t>
            </w:r>
          </w:p>
        </w:tc>
        <w:tc>
          <w:tcPr>
            <w:tcW w:w="5418" w:type="dxa"/>
            <w:noWrap w:val="0"/>
            <w:vAlign w:val="center"/>
          </w:tcPr>
          <w:p w14:paraId="14D18324">
            <w:pPr>
              <w:rPr>
                <w:rFonts w:ascii="宋体" w:hAnsi="宋体"/>
                <w:color w:val="auto"/>
                <w:szCs w:val="21"/>
                <w:highlight w:val="none"/>
              </w:rPr>
            </w:pPr>
            <w:r>
              <w:rPr>
                <w:rFonts w:hint="eastAsia" w:ascii="宋体" w:hAnsi="宋体"/>
                <w:color w:val="auto"/>
                <w:szCs w:val="21"/>
                <w:highlight w:val="none"/>
              </w:rPr>
              <w:t>符合第二章“供应商须知”第11.1项规定</w:t>
            </w:r>
          </w:p>
        </w:tc>
      </w:tr>
      <w:tr w14:paraId="05F9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559" w:type="dxa"/>
            <w:vMerge w:val="continue"/>
            <w:noWrap w:val="0"/>
            <w:vAlign w:val="center"/>
          </w:tcPr>
          <w:p w14:paraId="20385758">
            <w:pPr>
              <w:spacing w:before="100" w:beforeAutospacing="1" w:after="100" w:afterAutospacing="1"/>
              <w:rPr>
                <w:rFonts w:ascii="宋体" w:hAnsi="宋体"/>
                <w:color w:val="auto"/>
                <w:szCs w:val="21"/>
                <w:highlight w:val="none"/>
              </w:rPr>
            </w:pPr>
          </w:p>
        </w:tc>
        <w:tc>
          <w:tcPr>
            <w:tcW w:w="698" w:type="dxa"/>
            <w:vMerge w:val="continue"/>
            <w:noWrap w:val="0"/>
            <w:vAlign w:val="center"/>
          </w:tcPr>
          <w:p w14:paraId="4FD45126">
            <w:pPr>
              <w:spacing w:before="100" w:beforeAutospacing="1" w:after="100" w:afterAutospacing="1"/>
              <w:rPr>
                <w:rFonts w:ascii="宋体" w:hAnsi="宋体"/>
                <w:color w:val="auto"/>
                <w:szCs w:val="21"/>
                <w:highlight w:val="none"/>
              </w:rPr>
            </w:pPr>
          </w:p>
        </w:tc>
        <w:tc>
          <w:tcPr>
            <w:tcW w:w="2578" w:type="dxa"/>
            <w:gridSpan w:val="3"/>
            <w:noWrap w:val="0"/>
            <w:vAlign w:val="center"/>
          </w:tcPr>
          <w:p w14:paraId="4B14F094">
            <w:pPr>
              <w:spacing w:before="100" w:beforeAutospacing="1" w:after="100" w:afterAutospacing="1"/>
              <w:jc w:val="center"/>
              <w:rPr>
                <w:rFonts w:ascii="宋体" w:hAnsi="宋体"/>
                <w:color w:val="auto"/>
                <w:szCs w:val="21"/>
                <w:highlight w:val="none"/>
              </w:rPr>
            </w:pPr>
            <w:r>
              <w:rPr>
                <w:rFonts w:hint="eastAsia" w:ascii="宋体" w:hAnsi="宋体"/>
                <w:color w:val="auto"/>
                <w:szCs w:val="21"/>
                <w:highlight w:val="none"/>
              </w:rPr>
              <w:t>磋商保证金</w:t>
            </w:r>
          </w:p>
        </w:tc>
        <w:tc>
          <w:tcPr>
            <w:tcW w:w="5418" w:type="dxa"/>
            <w:noWrap w:val="0"/>
            <w:vAlign w:val="center"/>
          </w:tcPr>
          <w:p w14:paraId="5B996D54">
            <w:pPr>
              <w:spacing w:before="100" w:beforeAutospacing="1" w:after="100" w:afterAutospacing="1"/>
              <w:rPr>
                <w:rFonts w:ascii="宋体" w:hAnsi="宋体"/>
                <w:color w:val="auto"/>
                <w:szCs w:val="21"/>
                <w:highlight w:val="none"/>
              </w:rPr>
            </w:pPr>
            <w:r>
              <w:rPr>
                <w:rFonts w:hint="eastAsia" w:ascii="宋体" w:hAnsi="宋体"/>
                <w:color w:val="auto"/>
                <w:szCs w:val="21"/>
                <w:highlight w:val="none"/>
              </w:rPr>
              <w:t>符合第二章“供应商须知”第</w:t>
            </w:r>
            <w:r>
              <w:rPr>
                <w:rFonts w:ascii="宋体" w:hAnsi="宋体"/>
                <w:color w:val="auto"/>
                <w:szCs w:val="21"/>
                <w:highlight w:val="none"/>
              </w:rPr>
              <w:t>1</w:t>
            </w:r>
            <w:r>
              <w:rPr>
                <w:rFonts w:hint="eastAsia" w:ascii="宋体" w:hAnsi="宋体"/>
                <w:color w:val="auto"/>
                <w:szCs w:val="21"/>
                <w:highlight w:val="none"/>
              </w:rPr>
              <w:t>3.1项规定</w:t>
            </w:r>
          </w:p>
        </w:tc>
      </w:tr>
      <w:tr w14:paraId="3582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trPr>
        <w:tc>
          <w:tcPr>
            <w:tcW w:w="559" w:type="dxa"/>
            <w:vMerge w:val="continue"/>
            <w:noWrap w:val="0"/>
            <w:vAlign w:val="center"/>
          </w:tcPr>
          <w:p w14:paraId="5B179570">
            <w:pPr>
              <w:spacing w:before="100" w:beforeAutospacing="1" w:after="100" w:afterAutospacing="1"/>
              <w:rPr>
                <w:rFonts w:ascii="宋体" w:hAnsi="宋体"/>
                <w:color w:val="auto"/>
                <w:szCs w:val="21"/>
                <w:highlight w:val="none"/>
              </w:rPr>
            </w:pPr>
          </w:p>
        </w:tc>
        <w:tc>
          <w:tcPr>
            <w:tcW w:w="698" w:type="dxa"/>
            <w:vMerge w:val="continue"/>
            <w:noWrap w:val="0"/>
            <w:vAlign w:val="center"/>
          </w:tcPr>
          <w:p w14:paraId="7E7CD3ED">
            <w:pPr>
              <w:spacing w:before="100" w:beforeAutospacing="1" w:after="100" w:afterAutospacing="1"/>
              <w:rPr>
                <w:rFonts w:ascii="宋体" w:hAnsi="宋体"/>
                <w:color w:val="auto"/>
                <w:szCs w:val="21"/>
                <w:highlight w:val="none"/>
              </w:rPr>
            </w:pPr>
          </w:p>
        </w:tc>
        <w:tc>
          <w:tcPr>
            <w:tcW w:w="2578" w:type="dxa"/>
            <w:gridSpan w:val="3"/>
            <w:noWrap w:val="0"/>
            <w:vAlign w:val="center"/>
          </w:tcPr>
          <w:p w14:paraId="79A218D4">
            <w:pPr>
              <w:spacing w:before="100" w:beforeAutospacing="1" w:after="100" w:afterAutospacing="1"/>
              <w:jc w:val="center"/>
              <w:rPr>
                <w:rFonts w:hint="eastAsia" w:ascii="宋体" w:hAnsi="宋体"/>
                <w:color w:val="auto"/>
                <w:szCs w:val="21"/>
                <w:highlight w:val="none"/>
              </w:rPr>
            </w:pPr>
            <w:r>
              <w:rPr>
                <w:color w:val="auto"/>
                <w:szCs w:val="21"/>
                <w:highlight w:val="none"/>
              </w:rPr>
              <w:t>造价人员签字及盖专用章</w:t>
            </w:r>
          </w:p>
        </w:tc>
        <w:tc>
          <w:tcPr>
            <w:tcW w:w="5418" w:type="dxa"/>
            <w:noWrap w:val="0"/>
            <w:vAlign w:val="center"/>
          </w:tcPr>
          <w:p w14:paraId="23E41ED9">
            <w:pPr>
              <w:spacing w:before="100" w:beforeAutospacing="1" w:after="100" w:afterAutospacing="1"/>
              <w:jc w:val="left"/>
              <w:rPr>
                <w:rFonts w:hint="eastAsia" w:ascii="宋体" w:hAnsi="宋体"/>
                <w:color w:val="auto"/>
                <w:szCs w:val="21"/>
                <w:highlight w:val="none"/>
              </w:rPr>
            </w:pPr>
            <w:r>
              <w:rPr>
                <w:rFonts w:hint="eastAsia"/>
                <w:color w:val="auto"/>
                <w:szCs w:val="21"/>
                <w:highlight w:val="none"/>
              </w:rPr>
              <w:t>商务标报价文件（已标价工程量清单）中投标（成交）总价（扉）要求“编制人：（造价人员签字盖专用章）”处，须由注册造价工程师签字并盖造价工程师章（若造价工程师非本单位人员的，须附委托协议并附于响应文件商务标部分中）</w:t>
            </w:r>
          </w:p>
        </w:tc>
      </w:tr>
      <w:tr w14:paraId="0427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559" w:type="dxa"/>
            <w:vMerge w:val="continue"/>
            <w:noWrap w:val="0"/>
            <w:vAlign w:val="center"/>
          </w:tcPr>
          <w:p w14:paraId="5B5915C9">
            <w:pPr>
              <w:spacing w:before="100" w:beforeAutospacing="1" w:after="100" w:afterAutospacing="1"/>
              <w:rPr>
                <w:rFonts w:ascii="宋体" w:hAnsi="宋体"/>
                <w:color w:val="auto"/>
                <w:szCs w:val="21"/>
                <w:highlight w:val="none"/>
              </w:rPr>
            </w:pPr>
          </w:p>
        </w:tc>
        <w:tc>
          <w:tcPr>
            <w:tcW w:w="698" w:type="dxa"/>
            <w:vMerge w:val="continue"/>
            <w:noWrap w:val="0"/>
            <w:vAlign w:val="center"/>
          </w:tcPr>
          <w:p w14:paraId="1FE89803">
            <w:pPr>
              <w:spacing w:before="100" w:beforeAutospacing="1" w:after="100" w:afterAutospacing="1"/>
              <w:rPr>
                <w:rFonts w:ascii="宋体" w:hAnsi="宋体"/>
                <w:color w:val="auto"/>
                <w:szCs w:val="21"/>
                <w:highlight w:val="none"/>
              </w:rPr>
            </w:pPr>
          </w:p>
        </w:tc>
        <w:tc>
          <w:tcPr>
            <w:tcW w:w="2578" w:type="dxa"/>
            <w:gridSpan w:val="3"/>
            <w:noWrap w:val="0"/>
            <w:vAlign w:val="center"/>
          </w:tcPr>
          <w:p w14:paraId="5B4C2D7C">
            <w:pPr>
              <w:spacing w:before="100" w:beforeAutospacing="1" w:after="100" w:afterAutospacing="1"/>
              <w:jc w:val="center"/>
              <w:rPr>
                <w:rFonts w:ascii="宋体" w:hAnsi="宋体"/>
                <w:color w:val="auto"/>
                <w:szCs w:val="21"/>
                <w:highlight w:val="none"/>
              </w:rPr>
            </w:pPr>
            <w:r>
              <w:rPr>
                <w:rFonts w:hint="eastAsia"/>
                <w:color w:val="auto"/>
                <w:szCs w:val="21"/>
                <w:highlight w:val="none"/>
              </w:rPr>
              <w:t>响应文件无效</w:t>
            </w:r>
          </w:p>
        </w:tc>
        <w:tc>
          <w:tcPr>
            <w:tcW w:w="5418" w:type="dxa"/>
            <w:noWrap w:val="0"/>
            <w:vAlign w:val="center"/>
          </w:tcPr>
          <w:p w14:paraId="389A0C0D">
            <w:pPr>
              <w:rPr>
                <w:rFonts w:hint="eastAsia"/>
                <w:color w:val="auto"/>
                <w:highlight w:val="none"/>
              </w:rPr>
            </w:pPr>
            <w:r>
              <w:rPr>
                <w:rFonts w:hint="eastAsia"/>
                <w:color w:val="auto"/>
                <w:highlight w:val="none"/>
              </w:rPr>
              <w:t>1）竞争性磋商文件中规定的：</w:t>
            </w:r>
            <w:r>
              <w:rPr>
                <w:rFonts w:hint="eastAsia"/>
                <w:b/>
                <w:bCs/>
                <w:color w:val="auto"/>
                <w:highlight w:val="none"/>
                <w:u w:val="single"/>
              </w:rPr>
              <w:t>合同履行期限（工期）、合同履行地点、付款方式</w:t>
            </w:r>
            <w:r>
              <w:rPr>
                <w:rFonts w:hint="eastAsia"/>
                <w:color w:val="auto"/>
                <w:highlight w:val="none"/>
              </w:rPr>
              <w:t>不允许负偏离，否则其响应文件按无效投标处理；</w:t>
            </w:r>
          </w:p>
          <w:p w14:paraId="06AF15D2">
            <w:pPr>
              <w:rPr>
                <w:rFonts w:hint="eastAsia"/>
                <w:color w:val="auto"/>
                <w:highlight w:val="none"/>
              </w:rPr>
            </w:pPr>
            <w:r>
              <w:rPr>
                <w:rFonts w:hint="eastAsia"/>
                <w:color w:val="auto"/>
                <w:highlight w:val="none"/>
              </w:rPr>
              <w:t>2）响应文件含有采购人不能接受的附加条件的；</w:t>
            </w:r>
          </w:p>
          <w:p w14:paraId="422D209A">
            <w:pPr>
              <w:rPr>
                <w:rFonts w:hint="eastAsia" w:eastAsia="宋体"/>
                <w:color w:val="auto"/>
                <w:highlight w:val="none"/>
                <w:lang w:val="en-US" w:eastAsia="zh-CN"/>
              </w:rPr>
            </w:pPr>
            <w:r>
              <w:rPr>
                <w:rFonts w:hint="eastAsia"/>
                <w:color w:val="auto"/>
                <w:highlight w:val="none"/>
              </w:rPr>
              <w:t>3）法律、法规和磋商文件明确规定的其他无效情形。</w:t>
            </w:r>
          </w:p>
        </w:tc>
      </w:tr>
      <w:tr w14:paraId="5EF1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559" w:type="dxa"/>
            <w:vMerge w:val="restart"/>
            <w:noWrap w:val="0"/>
            <w:vAlign w:val="center"/>
          </w:tcPr>
          <w:p w14:paraId="7ECF4116">
            <w:pPr>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1</w:t>
            </w:r>
          </w:p>
        </w:tc>
        <w:tc>
          <w:tcPr>
            <w:tcW w:w="698" w:type="dxa"/>
            <w:vMerge w:val="restart"/>
            <w:noWrap w:val="0"/>
            <w:vAlign w:val="center"/>
          </w:tcPr>
          <w:p w14:paraId="5E6E42B1">
            <w:pPr>
              <w:rPr>
                <w:rFonts w:ascii="宋体" w:hAnsi="宋体"/>
                <w:color w:val="auto"/>
                <w:szCs w:val="21"/>
                <w:highlight w:val="none"/>
              </w:rPr>
            </w:pPr>
            <w:r>
              <w:rPr>
                <w:rFonts w:hint="eastAsia" w:ascii="宋体" w:hAnsi="宋体"/>
                <w:color w:val="auto"/>
                <w:szCs w:val="21"/>
                <w:highlight w:val="none"/>
              </w:rPr>
              <w:t>详细评审标准</w:t>
            </w:r>
          </w:p>
        </w:tc>
        <w:tc>
          <w:tcPr>
            <w:tcW w:w="541" w:type="dxa"/>
            <w:noWrap w:val="0"/>
            <w:vAlign w:val="center"/>
          </w:tcPr>
          <w:p w14:paraId="33CD7FBD">
            <w:pPr>
              <w:snapToGrid w:val="0"/>
              <w:jc w:val="center"/>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1</w:t>
            </w:r>
          </w:p>
        </w:tc>
        <w:tc>
          <w:tcPr>
            <w:tcW w:w="1277" w:type="dxa"/>
            <w:noWrap w:val="0"/>
            <w:vAlign w:val="center"/>
          </w:tcPr>
          <w:p w14:paraId="6183EB21">
            <w:pPr>
              <w:snapToGrid w:val="0"/>
              <w:jc w:val="center"/>
              <w:rPr>
                <w:rFonts w:ascii="宋体" w:hAnsi="宋体" w:cs="宋体"/>
                <w:color w:val="auto"/>
                <w:szCs w:val="21"/>
                <w:highlight w:val="none"/>
              </w:rPr>
            </w:pPr>
            <w:r>
              <w:rPr>
                <w:rFonts w:hint="eastAsia" w:ascii="宋体" w:hAnsi="宋体"/>
                <w:color w:val="auto"/>
                <w:szCs w:val="21"/>
                <w:highlight w:val="none"/>
              </w:rPr>
              <w:t>总得分</w:t>
            </w:r>
          </w:p>
        </w:tc>
        <w:tc>
          <w:tcPr>
            <w:tcW w:w="760" w:type="dxa"/>
            <w:noWrap w:val="0"/>
            <w:vAlign w:val="center"/>
          </w:tcPr>
          <w:p w14:paraId="6CB38FA2">
            <w:pPr>
              <w:jc w:val="center"/>
              <w:rPr>
                <w:rFonts w:ascii="宋体" w:hAnsi="宋体" w:cs="宋体"/>
                <w:color w:val="auto"/>
                <w:szCs w:val="21"/>
                <w:highlight w:val="none"/>
              </w:rPr>
            </w:pPr>
            <w:r>
              <w:rPr>
                <w:rFonts w:hint="eastAsia" w:ascii="宋体" w:hAnsi="宋体" w:cs="宋体"/>
                <w:color w:val="auto"/>
                <w:szCs w:val="21"/>
                <w:highlight w:val="none"/>
              </w:rPr>
              <w:t>100</w:t>
            </w:r>
          </w:p>
        </w:tc>
        <w:tc>
          <w:tcPr>
            <w:tcW w:w="5418" w:type="dxa"/>
            <w:noWrap w:val="0"/>
            <w:vAlign w:val="center"/>
          </w:tcPr>
          <w:p w14:paraId="1B6F8118">
            <w:pPr>
              <w:snapToGrid w:val="0"/>
              <w:rPr>
                <w:rFonts w:hint="eastAsia" w:ascii="宋体" w:hAnsi="宋体"/>
                <w:b/>
                <w:color w:val="auto"/>
                <w:szCs w:val="21"/>
                <w:highlight w:val="none"/>
              </w:rPr>
            </w:pPr>
            <w:r>
              <w:rPr>
                <w:rFonts w:hint="eastAsia" w:ascii="宋体" w:hAnsi="宋体"/>
                <w:b/>
                <w:color w:val="auto"/>
                <w:szCs w:val="21"/>
                <w:highlight w:val="none"/>
              </w:rPr>
              <w:t>供应商</w:t>
            </w:r>
            <w:r>
              <w:rPr>
                <w:rFonts w:ascii="宋体" w:hAnsi="宋体"/>
                <w:b/>
                <w:color w:val="auto"/>
                <w:szCs w:val="21"/>
                <w:highlight w:val="none"/>
              </w:rPr>
              <w:t>的总得分</w:t>
            </w:r>
            <w:r>
              <w:rPr>
                <w:rFonts w:hint="eastAsia" w:ascii="宋体" w:hAnsi="宋体"/>
                <w:b/>
                <w:color w:val="auto"/>
                <w:szCs w:val="21"/>
                <w:highlight w:val="none"/>
              </w:rPr>
              <w:t>满分100分，</w:t>
            </w:r>
          </w:p>
          <w:p w14:paraId="269085F9">
            <w:pPr>
              <w:snapToGrid w:val="0"/>
              <w:rPr>
                <w:rFonts w:hint="eastAsia" w:ascii="宋体" w:hAnsi="宋体"/>
                <w:b/>
                <w:color w:val="auto"/>
                <w:szCs w:val="21"/>
                <w:highlight w:val="none"/>
              </w:rPr>
            </w:pPr>
            <w:r>
              <w:rPr>
                <w:rFonts w:hint="eastAsia" w:ascii="宋体" w:hAnsi="宋体"/>
                <w:b/>
                <w:color w:val="auto"/>
                <w:szCs w:val="21"/>
                <w:highlight w:val="none"/>
              </w:rPr>
              <w:t>供应商</w:t>
            </w:r>
            <w:r>
              <w:rPr>
                <w:rFonts w:ascii="宋体" w:hAnsi="宋体"/>
                <w:b/>
                <w:color w:val="auto"/>
                <w:szCs w:val="21"/>
                <w:highlight w:val="none"/>
              </w:rPr>
              <w:t>的总得分</w:t>
            </w:r>
            <w:r>
              <w:rPr>
                <w:rFonts w:hint="eastAsia" w:ascii="宋体" w:hAnsi="宋体"/>
                <w:b/>
                <w:color w:val="auto"/>
                <w:szCs w:val="21"/>
                <w:highlight w:val="none"/>
              </w:rPr>
              <w:t>=</w:t>
            </w:r>
            <w:r>
              <w:rPr>
                <w:rFonts w:ascii="宋体" w:hAnsi="宋体"/>
                <w:color w:val="auto"/>
                <w:szCs w:val="21"/>
                <w:highlight w:val="none"/>
              </w:rPr>
              <w:t xml:space="preserve"> F1</w:t>
            </w:r>
            <w:r>
              <w:rPr>
                <w:rFonts w:hint="eastAsia" w:ascii="宋体" w:hAnsi="宋体"/>
                <w:color w:val="auto"/>
                <w:szCs w:val="21"/>
                <w:highlight w:val="none"/>
              </w:rPr>
              <w:t>+</w:t>
            </w:r>
            <w:r>
              <w:rPr>
                <w:rFonts w:ascii="宋体" w:hAnsi="宋体"/>
                <w:color w:val="auto"/>
                <w:szCs w:val="21"/>
                <w:highlight w:val="none"/>
              </w:rPr>
              <w:t>F2</w:t>
            </w:r>
            <w:r>
              <w:rPr>
                <w:rFonts w:hint="eastAsia" w:ascii="宋体" w:hAnsi="宋体"/>
                <w:color w:val="auto"/>
                <w:szCs w:val="21"/>
                <w:highlight w:val="none"/>
              </w:rPr>
              <w:t>+</w:t>
            </w:r>
            <w:r>
              <w:rPr>
                <w:rFonts w:ascii="宋体" w:hAnsi="宋体"/>
                <w:color w:val="auto"/>
                <w:szCs w:val="21"/>
                <w:highlight w:val="none"/>
              </w:rPr>
              <w:t>F3</w:t>
            </w:r>
          </w:p>
          <w:p w14:paraId="75484608">
            <w:pPr>
              <w:snapToGrid w:val="0"/>
              <w:rPr>
                <w:rFonts w:ascii="宋体" w:hAnsi="宋体"/>
                <w:color w:val="auto"/>
                <w:szCs w:val="21"/>
                <w:highlight w:val="none"/>
              </w:rPr>
            </w:pPr>
            <w:r>
              <w:rPr>
                <w:rFonts w:ascii="宋体" w:hAnsi="宋体"/>
                <w:color w:val="auto"/>
                <w:szCs w:val="21"/>
                <w:highlight w:val="none"/>
              </w:rPr>
              <w:t>F1、F2、F3分别为报价、技术部分、</w:t>
            </w:r>
            <w:r>
              <w:rPr>
                <w:rFonts w:hint="eastAsia" w:ascii="宋体" w:hAnsi="宋体"/>
                <w:color w:val="auto"/>
                <w:szCs w:val="21"/>
                <w:highlight w:val="none"/>
              </w:rPr>
              <w:t>商务部分</w:t>
            </w:r>
            <w:r>
              <w:rPr>
                <w:rFonts w:ascii="宋体" w:hAnsi="宋体"/>
                <w:color w:val="auto"/>
                <w:szCs w:val="21"/>
                <w:highlight w:val="none"/>
              </w:rPr>
              <w:t>3项评分因素的汇总得分；</w:t>
            </w:r>
          </w:p>
        </w:tc>
      </w:tr>
      <w:tr w14:paraId="1466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8" w:hRule="atLeast"/>
        </w:trPr>
        <w:tc>
          <w:tcPr>
            <w:tcW w:w="559" w:type="dxa"/>
            <w:vMerge w:val="continue"/>
            <w:noWrap w:val="0"/>
            <w:vAlign w:val="center"/>
          </w:tcPr>
          <w:p w14:paraId="18065EF2">
            <w:pPr>
              <w:rPr>
                <w:rFonts w:hint="eastAsia" w:ascii="宋体" w:hAnsi="宋体"/>
                <w:color w:val="auto"/>
                <w:szCs w:val="21"/>
                <w:highlight w:val="none"/>
              </w:rPr>
            </w:pPr>
          </w:p>
        </w:tc>
        <w:tc>
          <w:tcPr>
            <w:tcW w:w="698" w:type="dxa"/>
            <w:vMerge w:val="continue"/>
            <w:noWrap w:val="0"/>
            <w:vAlign w:val="center"/>
          </w:tcPr>
          <w:p w14:paraId="15B51B2F">
            <w:pPr>
              <w:rPr>
                <w:rFonts w:hint="eastAsia" w:ascii="宋体" w:hAnsi="宋体"/>
                <w:color w:val="auto"/>
                <w:szCs w:val="21"/>
                <w:highlight w:val="none"/>
              </w:rPr>
            </w:pPr>
          </w:p>
        </w:tc>
        <w:tc>
          <w:tcPr>
            <w:tcW w:w="541" w:type="dxa"/>
            <w:tcBorders>
              <w:bottom w:val="single" w:color="auto" w:sz="4" w:space="0"/>
            </w:tcBorders>
            <w:noWrap w:val="0"/>
            <w:vAlign w:val="center"/>
          </w:tcPr>
          <w:p w14:paraId="4546CC0B">
            <w:pPr>
              <w:snapToGrid w:val="0"/>
              <w:jc w:val="center"/>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p>
        </w:tc>
        <w:tc>
          <w:tcPr>
            <w:tcW w:w="1277" w:type="dxa"/>
            <w:tcBorders>
              <w:bottom w:val="single" w:color="auto" w:sz="4" w:space="0"/>
            </w:tcBorders>
            <w:noWrap w:val="0"/>
            <w:vAlign w:val="center"/>
          </w:tcPr>
          <w:p w14:paraId="609DC40F">
            <w:pPr>
              <w:snapToGrid w:val="0"/>
              <w:jc w:val="center"/>
              <w:rPr>
                <w:rFonts w:ascii="宋体" w:hAnsi="宋体" w:cs="宋体"/>
                <w:b/>
                <w:color w:val="auto"/>
                <w:szCs w:val="21"/>
                <w:highlight w:val="none"/>
              </w:rPr>
            </w:pPr>
            <w:r>
              <w:rPr>
                <w:rFonts w:hint="eastAsia" w:ascii="宋体" w:hAnsi="宋体"/>
                <w:b/>
                <w:color w:val="auto"/>
                <w:szCs w:val="21"/>
                <w:highlight w:val="none"/>
              </w:rPr>
              <w:t>报价评分F1</w:t>
            </w:r>
          </w:p>
        </w:tc>
        <w:tc>
          <w:tcPr>
            <w:tcW w:w="760" w:type="dxa"/>
            <w:tcBorders>
              <w:bottom w:val="single" w:color="auto" w:sz="4" w:space="0"/>
            </w:tcBorders>
            <w:noWrap w:val="0"/>
            <w:vAlign w:val="center"/>
          </w:tcPr>
          <w:p w14:paraId="34B9FA89">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20</w:t>
            </w:r>
            <w:r>
              <w:rPr>
                <w:rFonts w:hint="eastAsia" w:ascii="宋体" w:hAnsi="宋体" w:cs="宋体"/>
                <w:color w:val="auto"/>
                <w:szCs w:val="21"/>
                <w:highlight w:val="none"/>
              </w:rPr>
              <w:t>分</w:t>
            </w:r>
          </w:p>
        </w:tc>
        <w:tc>
          <w:tcPr>
            <w:tcW w:w="5418" w:type="dxa"/>
            <w:tcBorders>
              <w:bottom w:val="single" w:color="auto" w:sz="4" w:space="0"/>
            </w:tcBorders>
            <w:noWrap w:val="0"/>
            <w:vAlign w:val="center"/>
          </w:tcPr>
          <w:p w14:paraId="7D36EE42">
            <w:pPr>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满足磋商文件要求且最后磋商总报价最低的为磋商基准价</w:t>
            </w:r>
          </w:p>
          <w:p w14:paraId="35E947A3">
            <w:pPr>
              <w:rPr>
                <w:rFonts w:hint="default"/>
                <w:color w:val="auto"/>
                <w:highlight w:val="none"/>
                <w:lang w:val="en-US" w:eastAsia="zh-CN"/>
              </w:rPr>
            </w:pPr>
            <w:r>
              <w:rPr>
                <w:rFonts w:hint="eastAsia" w:ascii="宋体" w:hAnsi="宋体" w:eastAsia="宋体" w:cs="宋体"/>
                <w:color w:val="auto"/>
                <w:szCs w:val="21"/>
                <w:highlight w:val="none"/>
              </w:rPr>
              <w:t>磋商报价得分=（磋商基准价/最后磋商总报价）×</w:t>
            </w:r>
            <w:r>
              <w:rPr>
                <w:rFonts w:hint="eastAsia" w:ascii="宋体" w:hAnsi="宋体" w:cs="宋体"/>
                <w:color w:val="auto"/>
                <w:szCs w:val="21"/>
                <w:highlight w:val="none"/>
                <w:lang w:val="en-US" w:eastAsia="zh-CN"/>
              </w:rPr>
              <w:t>20</w:t>
            </w:r>
          </w:p>
        </w:tc>
      </w:tr>
      <w:tr w14:paraId="0C9F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59" w:type="dxa"/>
            <w:vMerge w:val="restart"/>
            <w:noWrap w:val="0"/>
            <w:vAlign w:val="center"/>
          </w:tcPr>
          <w:p w14:paraId="464B0720">
            <w:pPr>
              <w:rPr>
                <w:rFonts w:ascii="宋体" w:hAnsi="宋体"/>
                <w:color w:val="auto"/>
                <w:szCs w:val="21"/>
                <w:highlight w:val="none"/>
              </w:rPr>
            </w:pPr>
          </w:p>
          <w:p w14:paraId="4B408FCF">
            <w:pPr>
              <w:rPr>
                <w:rFonts w:hint="eastAsia" w:ascii="宋体" w:hAnsi="宋体"/>
                <w:color w:val="auto"/>
                <w:szCs w:val="21"/>
                <w:highlight w:val="none"/>
              </w:rPr>
            </w:pPr>
            <w:r>
              <w:rPr>
                <w:rFonts w:hint="eastAsia" w:ascii="宋体" w:hAnsi="宋体"/>
                <w:color w:val="auto"/>
                <w:szCs w:val="21"/>
                <w:highlight w:val="none"/>
              </w:rPr>
              <w:t>2.2</w:t>
            </w:r>
          </w:p>
        </w:tc>
        <w:tc>
          <w:tcPr>
            <w:tcW w:w="698" w:type="dxa"/>
            <w:vMerge w:val="restart"/>
            <w:noWrap w:val="0"/>
            <w:vAlign w:val="center"/>
          </w:tcPr>
          <w:p w14:paraId="46B073F1">
            <w:pPr>
              <w:rPr>
                <w:rFonts w:hint="eastAsia" w:ascii="宋体" w:hAnsi="宋体"/>
                <w:color w:val="auto"/>
                <w:szCs w:val="21"/>
                <w:highlight w:val="none"/>
              </w:rPr>
            </w:pPr>
            <w:r>
              <w:rPr>
                <w:rFonts w:hint="eastAsia" w:ascii="宋体" w:hAnsi="宋体"/>
                <w:color w:val="auto"/>
                <w:szCs w:val="21"/>
                <w:highlight w:val="none"/>
              </w:rPr>
              <w:t>详细评审标准</w:t>
            </w:r>
          </w:p>
        </w:tc>
        <w:tc>
          <w:tcPr>
            <w:tcW w:w="541" w:type="dxa"/>
            <w:noWrap w:val="0"/>
            <w:vAlign w:val="center"/>
          </w:tcPr>
          <w:p w14:paraId="40CDA873">
            <w:pPr>
              <w:jc w:val="center"/>
              <w:rPr>
                <w:rFonts w:ascii="宋体" w:hAnsi="宋体"/>
                <w:color w:val="auto"/>
                <w:szCs w:val="21"/>
                <w:highlight w:val="none"/>
              </w:rPr>
            </w:pPr>
            <w:r>
              <w:rPr>
                <w:rFonts w:ascii="宋体" w:hAnsi="宋体" w:cs="宋体"/>
                <w:color w:val="auto"/>
                <w:szCs w:val="21"/>
                <w:highlight w:val="none"/>
              </w:rPr>
              <w:t>2.3</w:t>
            </w:r>
          </w:p>
        </w:tc>
        <w:tc>
          <w:tcPr>
            <w:tcW w:w="1277" w:type="dxa"/>
            <w:noWrap w:val="0"/>
            <w:vAlign w:val="center"/>
          </w:tcPr>
          <w:p w14:paraId="4266BC24">
            <w:pPr>
              <w:jc w:val="center"/>
              <w:rPr>
                <w:rFonts w:ascii="宋体" w:hAnsi="宋体"/>
                <w:b/>
                <w:color w:val="auto"/>
                <w:szCs w:val="21"/>
                <w:highlight w:val="none"/>
              </w:rPr>
            </w:pPr>
            <w:r>
              <w:rPr>
                <w:rFonts w:hint="eastAsia" w:ascii="宋体" w:hAnsi="宋体"/>
                <w:b/>
                <w:color w:val="auto"/>
                <w:szCs w:val="21"/>
                <w:highlight w:val="none"/>
              </w:rPr>
              <w:t>技术部分评分F2</w:t>
            </w:r>
          </w:p>
        </w:tc>
        <w:tc>
          <w:tcPr>
            <w:tcW w:w="760" w:type="dxa"/>
            <w:noWrap w:val="0"/>
            <w:vAlign w:val="center"/>
          </w:tcPr>
          <w:p w14:paraId="5591CCA2">
            <w:pPr>
              <w:jc w:val="center"/>
              <w:rPr>
                <w:rFonts w:ascii="宋体" w:hAnsi="宋体"/>
                <w:color w:val="auto"/>
                <w:szCs w:val="21"/>
                <w:highlight w:val="none"/>
              </w:rPr>
            </w:pPr>
            <w:r>
              <w:rPr>
                <w:rFonts w:hint="eastAsia" w:ascii="宋体" w:hAnsi="宋体"/>
                <w:color w:val="auto"/>
                <w:szCs w:val="21"/>
                <w:highlight w:val="none"/>
                <w:lang w:val="en-US" w:eastAsia="zh-CN"/>
              </w:rPr>
              <w:t>51</w:t>
            </w:r>
            <w:r>
              <w:rPr>
                <w:rFonts w:hint="eastAsia" w:ascii="宋体" w:hAnsi="宋体"/>
                <w:color w:val="auto"/>
                <w:szCs w:val="21"/>
                <w:highlight w:val="none"/>
              </w:rPr>
              <w:t>分</w:t>
            </w:r>
          </w:p>
        </w:tc>
        <w:tc>
          <w:tcPr>
            <w:tcW w:w="5418" w:type="dxa"/>
            <w:noWrap w:val="0"/>
            <w:vAlign w:val="center"/>
          </w:tcPr>
          <w:p w14:paraId="08637700">
            <w:pPr>
              <w:jc w:val="center"/>
              <w:rPr>
                <w:rFonts w:hint="eastAsia"/>
                <w:color w:val="auto"/>
                <w:highlight w:val="none"/>
                <w:lang w:eastAsia="zh-CN"/>
              </w:rPr>
            </w:pPr>
            <w:r>
              <w:rPr>
                <w:rFonts w:hint="eastAsia" w:ascii="宋体" w:hAnsi="宋体"/>
                <w:color w:val="auto"/>
                <w:szCs w:val="21"/>
                <w:highlight w:val="none"/>
              </w:rPr>
              <w:t>评审内容包括</w:t>
            </w:r>
          </w:p>
        </w:tc>
      </w:tr>
      <w:tr w14:paraId="1316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trPr>
        <w:tc>
          <w:tcPr>
            <w:tcW w:w="559" w:type="dxa"/>
            <w:vMerge w:val="continue"/>
            <w:noWrap w:val="0"/>
            <w:vAlign w:val="center"/>
          </w:tcPr>
          <w:p w14:paraId="67C97B7A">
            <w:pPr>
              <w:rPr>
                <w:rFonts w:hint="eastAsia" w:ascii="宋体" w:hAnsi="宋体"/>
                <w:color w:val="auto"/>
                <w:szCs w:val="21"/>
                <w:highlight w:val="none"/>
              </w:rPr>
            </w:pPr>
          </w:p>
        </w:tc>
        <w:tc>
          <w:tcPr>
            <w:tcW w:w="698" w:type="dxa"/>
            <w:vMerge w:val="continue"/>
            <w:noWrap w:val="0"/>
            <w:vAlign w:val="center"/>
          </w:tcPr>
          <w:p w14:paraId="678C455D">
            <w:pPr>
              <w:rPr>
                <w:rFonts w:hint="eastAsia" w:ascii="宋体" w:hAnsi="宋体"/>
                <w:color w:val="auto"/>
                <w:szCs w:val="21"/>
                <w:highlight w:val="none"/>
              </w:rPr>
            </w:pPr>
          </w:p>
        </w:tc>
        <w:tc>
          <w:tcPr>
            <w:tcW w:w="541" w:type="dxa"/>
            <w:noWrap w:val="0"/>
            <w:vAlign w:val="center"/>
          </w:tcPr>
          <w:p w14:paraId="0C7C5010">
            <w:pPr>
              <w:jc w:val="center"/>
              <w:rPr>
                <w:rFonts w:hint="eastAsia" w:ascii="宋体" w:hAnsi="宋体"/>
                <w:color w:val="auto"/>
                <w:szCs w:val="21"/>
                <w:highlight w:val="none"/>
              </w:rPr>
            </w:pPr>
            <w:r>
              <w:rPr>
                <w:rFonts w:hint="eastAsia" w:ascii="宋体" w:hAnsi="宋体"/>
                <w:color w:val="auto"/>
                <w:szCs w:val="21"/>
                <w:highlight w:val="none"/>
              </w:rPr>
              <w:t>1）</w:t>
            </w:r>
          </w:p>
        </w:tc>
        <w:tc>
          <w:tcPr>
            <w:tcW w:w="1277" w:type="dxa"/>
            <w:noWrap w:val="0"/>
            <w:vAlign w:val="center"/>
          </w:tcPr>
          <w:p w14:paraId="08FCC2AF">
            <w:pPr>
              <w:jc w:val="center"/>
              <w:rPr>
                <w:rFonts w:hint="eastAsia" w:ascii="宋体" w:hAnsi="宋体" w:cs="宋体"/>
                <w:color w:val="auto"/>
                <w:szCs w:val="21"/>
                <w:highlight w:val="none"/>
              </w:rPr>
            </w:pPr>
            <w:r>
              <w:rPr>
                <w:rFonts w:hint="eastAsia" w:ascii="宋体" w:hAnsi="宋体" w:cs="宋体"/>
                <w:color w:val="auto"/>
                <w:szCs w:val="21"/>
                <w:highlight w:val="none"/>
              </w:rPr>
              <w:t>施工技术方案评审评分</w:t>
            </w:r>
          </w:p>
        </w:tc>
        <w:tc>
          <w:tcPr>
            <w:tcW w:w="760" w:type="dxa"/>
            <w:noWrap w:val="0"/>
            <w:vAlign w:val="center"/>
          </w:tcPr>
          <w:p w14:paraId="56CAD783">
            <w:pPr>
              <w:spacing w:line="300" w:lineRule="exact"/>
              <w:jc w:val="center"/>
              <w:rPr>
                <w:rFonts w:hint="eastAsia" w:ascii="宋体" w:hAnsi="宋体"/>
                <w:color w:val="auto"/>
                <w:szCs w:val="21"/>
                <w:highlight w:val="none"/>
              </w:rPr>
            </w:pPr>
            <w:r>
              <w:rPr>
                <w:rFonts w:hint="eastAsia" w:ascii="宋体" w:hAnsi="宋体" w:cs="宋体"/>
                <w:color w:val="auto"/>
                <w:szCs w:val="21"/>
                <w:highlight w:val="none"/>
                <w:lang w:val="en-US" w:eastAsia="zh-CN"/>
              </w:rPr>
              <w:t>22</w:t>
            </w:r>
            <w:r>
              <w:rPr>
                <w:rFonts w:hint="eastAsia" w:ascii="宋体" w:hAnsi="宋体" w:cs="宋体"/>
                <w:color w:val="auto"/>
                <w:szCs w:val="21"/>
                <w:highlight w:val="none"/>
              </w:rPr>
              <w:t>分</w:t>
            </w:r>
          </w:p>
        </w:tc>
        <w:tc>
          <w:tcPr>
            <w:tcW w:w="5418" w:type="dxa"/>
            <w:noWrap w:val="0"/>
            <w:vAlign w:val="center"/>
          </w:tcPr>
          <w:p w14:paraId="43954816">
            <w:pPr>
              <w:spacing w:line="24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施工技术方案（</w:t>
            </w:r>
            <w:r>
              <w:rPr>
                <w:rFonts w:hint="eastAsia" w:ascii="宋体" w:hAnsi="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分）</w:t>
            </w:r>
          </w:p>
          <w:p w14:paraId="578970BC">
            <w:pPr>
              <w:spacing w:line="240" w:lineRule="auto"/>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第一个档次（</w:t>
            </w:r>
            <w:r>
              <w:rPr>
                <w:rFonts w:hint="eastAsia" w:ascii="宋体" w:hAnsi="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lang w:val="en-US" w:eastAsia="zh-CN"/>
              </w:rPr>
              <w:t>分）：施工技术方案各阶段流程安排合理，完全满足采购人需求，工艺流程及措施内容详细合理，投资管控内容详细完整，对施工具有指导性的；</w:t>
            </w:r>
          </w:p>
          <w:p w14:paraId="3E631C98">
            <w:pPr>
              <w:spacing w:line="240" w:lineRule="auto"/>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第二个档次（</w:t>
            </w:r>
            <w:r>
              <w:rPr>
                <w:rFonts w:hint="eastAsia" w:ascii="宋体" w:hAnsi="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lang w:val="en-US" w:eastAsia="zh-CN"/>
              </w:rPr>
              <w:t>分）：施工技术方案各阶段流程安排合理，满足工艺流程及措施内容详细，投资管控内容完整的；</w:t>
            </w:r>
          </w:p>
          <w:p w14:paraId="01C16D56">
            <w:pPr>
              <w:spacing w:line="240" w:lineRule="auto"/>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第三个档次（</w:t>
            </w:r>
            <w:r>
              <w:rPr>
                <w:rFonts w:hint="eastAsia" w:ascii="宋体" w:hAnsi="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val="en-US" w:eastAsia="zh-CN"/>
              </w:rPr>
              <w:t>分）：施工技术方案各阶段流程安排基本合理，基本满足采购人需求，工艺流程及措施内容详细；</w:t>
            </w:r>
          </w:p>
          <w:p w14:paraId="6EBE4B8C">
            <w:pPr>
              <w:spacing w:line="240" w:lineRule="auto"/>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第四个档次（</w:t>
            </w: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分）：施工技术方案各阶段流程安排少部分满足采购人需求，工艺流程及措施内容有一定欠缺的；</w:t>
            </w:r>
          </w:p>
          <w:p w14:paraId="647C6EE8">
            <w:pPr>
              <w:spacing w:line="240" w:lineRule="auto"/>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第五个档次（</w:t>
            </w:r>
            <w:r>
              <w:rPr>
                <w:rFonts w:hint="eastAsia" w:ascii="宋体"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分）：施工技术方案各阶段流程安排不合理，不能满足采购人需求，工艺流程及措施内容有缺漏的。</w:t>
            </w:r>
          </w:p>
          <w:p w14:paraId="2E88F7D2">
            <w:pPr>
              <w:spacing w:line="24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施工总体部署（</w:t>
            </w:r>
            <w:r>
              <w:rPr>
                <w:rFonts w:hint="eastAsia" w:ascii="宋体" w:hAnsi="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分）</w:t>
            </w:r>
          </w:p>
          <w:p w14:paraId="1E43EB58">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一</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分）：总体部署计划内容贴切项目，施工现场组织流程规划内容完善有详细的规划流程图或描述内容的；管理工作协调内容详细的；</w:t>
            </w:r>
          </w:p>
          <w:p w14:paraId="0A4172D3">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二</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分）：总体部署计划内容合理，施工现场组织流程规划内容基本完善有规划流程图或描述内容的</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管理工作协调内容基本明确的；</w:t>
            </w:r>
          </w:p>
          <w:p w14:paraId="3F1EAEB2">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分）：总体部署计划内容基本合理，施工现场组织流程规划内容</w:t>
            </w:r>
            <w:r>
              <w:rPr>
                <w:rFonts w:hint="eastAsia" w:ascii="宋体" w:hAnsi="宋体" w:cs="宋体"/>
                <w:color w:val="auto"/>
                <w:sz w:val="21"/>
                <w:szCs w:val="21"/>
                <w:highlight w:val="none"/>
                <w:lang w:val="en-US" w:eastAsia="zh-CN"/>
              </w:rPr>
              <w:t>满足基本要求，</w:t>
            </w:r>
            <w:r>
              <w:rPr>
                <w:rFonts w:hint="eastAsia" w:ascii="宋体" w:hAnsi="宋体" w:eastAsia="宋体" w:cs="宋体"/>
                <w:color w:val="auto"/>
                <w:sz w:val="21"/>
                <w:szCs w:val="21"/>
                <w:highlight w:val="none"/>
              </w:rPr>
              <w:t>管理工作协调内容基本明确的；</w:t>
            </w:r>
          </w:p>
          <w:p w14:paraId="0B0DB070">
            <w:pPr>
              <w:spacing w:line="24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四</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分）：总体部署计划内容不合理，施工现场组织流程规划内容</w:t>
            </w:r>
            <w:r>
              <w:rPr>
                <w:rFonts w:hint="eastAsia" w:ascii="宋体" w:hAnsi="宋体" w:cs="宋体"/>
                <w:color w:val="auto"/>
                <w:sz w:val="21"/>
                <w:szCs w:val="21"/>
                <w:highlight w:val="none"/>
                <w:lang w:val="en-US" w:eastAsia="zh-CN"/>
              </w:rPr>
              <w:t>有一定缺陷，</w:t>
            </w:r>
            <w:r>
              <w:rPr>
                <w:rFonts w:hint="eastAsia" w:ascii="宋体" w:hAnsi="宋体" w:eastAsia="宋体" w:cs="宋体"/>
                <w:color w:val="auto"/>
                <w:sz w:val="21"/>
                <w:szCs w:val="21"/>
                <w:highlight w:val="none"/>
              </w:rPr>
              <w:t>管理工作协调内容不明确的；</w:t>
            </w:r>
          </w:p>
          <w:p w14:paraId="35D2A46E">
            <w:pPr>
              <w:spacing w:line="24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文明施工方案（</w:t>
            </w:r>
            <w:r>
              <w:rPr>
                <w:rFonts w:hint="eastAsia" w:ascii="宋体" w:hAnsi="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分）</w:t>
            </w:r>
          </w:p>
          <w:p w14:paraId="063352CA">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第一个档次（</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分）：安全、文明施工</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rPr>
              <w:t>环保、消防</w:t>
            </w:r>
            <w:r>
              <w:rPr>
                <w:rFonts w:hint="eastAsia" w:ascii="宋体" w:hAnsi="宋体" w:cs="宋体"/>
                <w:color w:val="auto"/>
                <w:sz w:val="21"/>
                <w:szCs w:val="21"/>
                <w:highlight w:val="none"/>
                <w:lang w:eastAsia="zh-CN"/>
              </w:rPr>
              <w:t>等</w:t>
            </w:r>
            <w:r>
              <w:rPr>
                <w:rFonts w:hint="eastAsia" w:ascii="宋体" w:hAnsi="宋体" w:eastAsia="宋体" w:cs="宋体"/>
                <w:color w:val="auto"/>
                <w:sz w:val="21"/>
                <w:szCs w:val="21"/>
                <w:highlight w:val="none"/>
              </w:rPr>
              <w:t>保证措施等。内容整体全面、有结合项目经验进行描述、提出的解决措施及方案对项目切实有推进作用，完全满足采购人要求的；</w:t>
            </w:r>
          </w:p>
          <w:p w14:paraId="35511CA8">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第二个档次（</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分）：安全、文明施工及环保、消防</w:t>
            </w:r>
            <w:r>
              <w:rPr>
                <w:rFonts w:hint="eastAsia" w:ascii="宋体" w:hAnsi="宋体" w:cs="宋体"/>
                <w:color w:val="auto"/>
                <w:sz w:val="21"/>
                <w:szCs w:val="21"/>
                <w:highlight w:val="none"/>
                <w:lang w:eastAsia="zh-CN"/>
              </w:rPr>
              <w:t>等</w:t>
            </w:r>
            <w:r>
              <w:rPr>
                <w:rFonts w:hint="eastAsia" w:ascii="宋体" w:hAnsi="宋体" w:eastAsia="宋体" w:cs="宋体"/>
                <w:color w:val="auto"/>
                <w:sz w:val="21"/>
                <w:szCs w:val="21"/>
                <w:highlight w:val="none"/>
              </w:rPr>
              <w:t>保证措施等。内容整体全面、有结合项目经验进行描述、提出的解决措施及方案对项目切实有推进作用，满足采购人要求的；</w:t>
            </w:r>
          </w:p>
          <w:p w14:paraId="0FF68EA1">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第三个档次（</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分）：安全、文明施工</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rPr>
              <w:t>环保、消防</w:t>
            </w:r>
            <w:r>
              <w:rPr>
                <w:rFonts w:hint="eastAsia" w:ascii="宋体" w:hAnsi="宋体" w:cs="宋体"/>
                <w:color w:val="auto"/>
                <w:sz w:val="21"/>
                <w:szCs w:val="21"/>
                <w:highlight w:val="none"/>
                <w:lang w:eastAsia="zh-CN"/>
              </w:rPr>
              <w:t>等</w:t>
            </w:r>
            <w:r>
              <w:rPr>
                <w:rFonts w:hint="eastAsia" w:ascii="宋体" w:hAnsi="宋体" w:eastAsia="宋体" w:cs="宋体"/>
                <w:color w:val="auto"/>
                <w:sz w:val="21"/>
                <w:szCs w:val="21"/>
                <w:highlight w:val="none"/>
              </w:rPr>
              <w:t>保证措施等。内容基本全面、部分内容结合项目经验进行描述、提出解决措施及方案，基本满足采购人要求的；</w:t>
            </w:r>
          </w:p>
          <w:p w14:paraId="7D68118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第四个档次（</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分）：安全、文明施工及环保、消防</w:t>
            </w:r>
            <w:r>
              <w:rPr>
                <w:rFonts w:hint="eastAsia" w:ascii="宋体" w:hAnsi="宋体" w:cs="宋体"/>
                <w:color w:val="auto"/>
                <w:sz w:val="21"/>
                <w:szCs w:val="21"/>
                <w:highlight w:val="none"/>
                <w:lang w:eastAsia="zh-CN"/>
              </w:rPr>
              <w:t>等</w:t>
            </w:r>
            <w:r>
              <w:rPr>
                <w:rFonts w:hint="eastAsia" w:ascii="宋体" w:hAnsi="宋体" w:eastAsia="宋体" w:cs="宋体"/>
                <w:color w:val="auto"/>
                <w:sz w:val="21"/>
                <w:szCs w:val="21"/>
                <w:highlight w:val="none"/>
              </w:rPr>
              <w:t>保证措施等。内容不全面、部分内容有结合项目经验进行描述、提出解决措施及方案，部分满足采购人要求的；</w:t>
            </w:r>
          </w:p>
          <w:p w14:paraId="4322ED95">
            <w:pPr>
              <w:jc w:val="lef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未提供不得分。</w:t>
            </w:r>
          </w:p>
        </w:tc>
      </w:tr>
      <w:tr w14:paraId="7D80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59" w:type="dxa"/>
            <w:vMerge w:val="continue"/>
            <w:noWrap w:val="0"/>
            <w:vAlign w:val="center"/>
          </w:tcPr>
          <w:p w14:paraId="3E585031">
            <w:pPr>
              <w:rPr>
                <w:rFonts w:hint="eastAsia" w:ascii="宋体" w:hAnsi="宋体"/>
                <w:color w:val="auto"/>
                <w:szCs w:val="21"/>
                <w:highlight w:val="none"/>
              </w:rPr>
            </w:pPr>
          </w:p>
        </w:tc>
        <w:tc>
          <w:tcPr>
            <w:tcW w:w="698" w:type="dxa"/>
            <w:vMerge w:val="continue"/>
            <w:noWrap w:val="0"/>
            <w:vAlign w:val="center"/>
          </w:tcPr>
          <w:p w14:paraId="4014BCA1">
            <w:pPr>
              <w:rPr>
                <w:rFonts w:hint="eastAsia" w:ascii="宋体" w:hAnsi="宋体"/>
                <w:color w:val="auto"/>
                <w:szCs w:val="21"/>
                <w:highlight w:val="none"/>
              </w:rPr>
            </w:pPr>
          </w:p>
        </w:tc>
        <w:tc>
          <w:tcPr>
            <w:tcW w:w="541" w:type="dxa"/>
            <w:noWrap w:val="0"/>
            <w:vAlign w:val="center"/>
          </w:tcPr>
          <w:p w14:paraId="1153C541">
            <w:pPr>
              <w:jc w:val="center"/>
              <w:rPr>
                <w:rFonts w:ascii="宋体" w:hAnsi="宋体"/>
                <w:color w:val="auto"/>
                <w:szCs w:val="21"/>
                <w:highlight w:val="none"/>
              </w:rPr>
            </w:pPr>
            <w:r>
              <w:rPr>
                <w:rFonts w:hint="eastAsia" w:ascii="宋体" w:hAnsi="宋体"/>
                <w:color w:val="auto"/>
                <w:szCs w:val="21"/>
                <w:highlight w:val="none"/>
              </w:rPr>
              <w:t>2）</w:t>
            </w:r>
          </w:p>
        </w:tc>
        <w:tc>
          <w:tcPr>
            <w:tcW w:w="1277" w:type="dxa"/>
            <w:noWrap w:val="0"/>
            <w:vAlign w:val="center"/>
          </w:tcPr>
          <w:p w14:paraId="3E32A358">
            <w:pPr>
              <w:jc w:val="center"/>
              <w:rPr>
                <w:rFonts w:hint="eastAsia"/>
                <w:color w:val="auto"/>
                <w:szCs w:val="21"/>
                <w:highlight w:val="none"/>
              </w:rPr>
            </w:pPr>
            <w:r>
              <w:rPr>
                <w:rFonts w:hint="eastAsia" w:ascii="宋体" w:hAnsi="宋体" w:cs="宋体"/>
                <w:color w:val="auto"/>
                <w:szCs w:val="21"/>
                <w:highlight w:val="none"/>
              </w:rPr>
              <w:t>质量承诺及保证措施评审评分</w:t>
            </w:r>
          </w:p>
        </w:tc>
        <w:tc>
          <w:tcPr>
            <w:tcW w:w="760" w:type="dxa"/>
            <w:noWrap w:val="0"/>
            <w:vAlign w:val="center"/>
          </w:tcPr>
          <w:p w14:paraId="6756A188">
            <w:pPr>
              <w:spacing w:line="300" w:lineRule="exact"/>
              <w:jc w:val="center"/>
              <w:rPr>
                <w:color w:val="auto"/>
                <w:szCs w:val="21"/>
                <w:highlight w:val="none"/>
              </w:rPr>
            </w:pP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分</w:t>
            </w:r>
          </w:p>
        </w:tc>
        <w:tc>
          <w:tcPr>
            <w:tcW w:w="5418" w:type="dxa"/>
            <w:noWrap w:val="0"/>
            <w:vAlign w:val="top"/>
          </w:tcPr>
          <w:p w14:paraId="477F29A9">
            <w:pPr>
              <w:widowControl/>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1</w:t>
            </w:r>
            <w:r>
              <w:rPr>
                <w:rFonts w:hint="eastAsia" w:ascii="宋体" w:hAnsi="宋体" w:eastAsia="宋体" w:cs="宋体"/>
                <w:b/>
                <w:bCs/>
                <w:color w:val="auto"/>
                <w:szCs w:val="21"/>
                <w:highlight w:val="none"/>
                <w:lang w:val="en-US" w:eastAsia="zh-CN"/>
              </w:rPr>
              <w:t>.</w:t>
            </w:r>
            <w:r>
              <w:rPr>
                <w:rFonts w:hint="eastAsia" w:ascii="宋体" w:hAnsi="宋体" w:eastAsia="宋体" w:cs="宋体"/>
                <w:b/>
                <w:bCs/>
                <w:color w:val="auto"/>
                <w:szCs w:val="21"/>
                <w:highlight w:val="none"/>
              </w:rPr>
              <w:t>质量承诺内容（</w:t>
            </w:r>
            <w:r>
              <w:rPr>
                <w:rFonts w:hint="eastAsia" w:ascii="宋体" w:hAnsi="宋体" w:cs="宋体"/>
                <w:b/>
                <w:bCs/>
                <w:color w:val="auto"/>
                <w:szCs w:val="21"/>
                <w:highlight w:val="none"/>
                <w:lang w:val="en-US" w:eastAsia="zh-CN"/>
              </w:rPr>
              <w:t>6</w:t>
            </w:r>
            <w:r>
              <w:rPr>
                <w:rFonts w:hint="eastAsia" w:ascii="宋体" w:hAnsi="宋体" w:eastAsia="宋体" w:cs="宋体"/>
                <w:b/>
                <w:bCs/>
                <w:color w:val="auto"/>
                <w:szCs w:val="21"/>
                <w:highlight w:val="none"/>
              </w:rPr>
              <w:t>分）</w:t>
            </w:r>
          </w:p>
          <w:p w14:paraId="78D5C99B">
            <w:pPr>
              <w:widowControl/>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第一个档次（</w:t>
            </w:r>
            <w:r>
              <w:rPr>
                <w:rFonts w:hint="eastAsia" w:ascii="宋体" w:hAnsi="宋体" w:cs="宋体"/>
                <w:b w:val="0"/>
                <w:bCs w:val="0"/>
                <w:color w:val="auto"/>
                <w:szCs w:val="21"/>
                <w:highlight w:val="none"/>
                <w:lang w:val="en-US" w:eastAsia="zh-CN"/>
              </w:rPr>
              <w:t>6</w:t>
            </w:r>
            <w:r>
              <w:rPr>
                <w:rFonts w:hint="eastAsia" w:ascii="宋体" w:hAnsi="宋体" w:eastAsia="宋体" w:cs="宋体"/>
                <w:b w:val="0"/>
                <w:bCs w:val="0"/>
                <w:color w:val="auto"/>
                <w:szCs w:val="21"/>
                <w:highlight w:val="none"/>
              </w:rPr>
              <w:t>分）：质量管理目标详细合理，质量管理责任划分明确有详细的责任架构划分，质量控制程序内容详细明确，承诺内容满足竞争性磋商文件要求的；</w:t>
            </w:r>
          </w:p>
          <w:p w14:paraId="6C595AE4">
            <w:pPr>
              <w:widowControl/>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第二个档次（</w:t>
            </w:r>
            <w:r>
              <w:rPr>
                <w:rFonts w:hint="eastAsia" w:ascii="宋体" w:hAnsi="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rPr>
              <w:t>分）：质量管理目标合理，质量管理责任划分</w:t>
            </w:r>
            <w:r>
              <w:rPr>
                <w:rFonts w:hint="eastAsia" w:ascii="宋体" w:hAnsi="宋体" w:cs="宋体"/>
                <w:b w:val="0"/>
                <w:bCs w:val="0"/>
                <w:color w:val="auto"/>
                <w:szCs w:val="21"/>
                <w:highlight w:val="none"/>
                <w:lang w:val="en-US" w:eastAsia="zh-CN"/>
              </w:rPr>
              <w:t>基本</w:t>
            </w:r>
            <w:r>
              <w:rPr>
                <w:rFonts w:hint="eastAsia" w:ascii="宋体" w:hAnsi="宋体" w:eastAsia="宋体" w:cs="宋体"/>
                <w:b w:val="0"/>
                <w:bCs w:val="0"/>
                <w:color w:val="auto"/>
                <w:szCs w:val="21"/>
                <w:highlight w:val="none"/>
              </w:rPr>
              <w:t>明确，质量控制程序内容详细，承诺内容满足竞争性磋商文件要求的；</w:t>
            </w:r>
          </w:p>
          <w:p w14:paraId="49C79C29">
            <w:pPr>
              <w:widowControl/>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第三个档次（2分）：质量管理目标基本合理，质量管理责任划分有一定欠缺，质量控制程序内容明确，承诺内容满足竞争性磋商文件要求的。</w:t>
            </w:r>
          </w:p>
          <w:p w14:paraId="0936C51A">
            <w:pPr>
              <w:widowControl/>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2</w:t>
            </w:r>
            <w:r>
              <w:rPr>
                <w:rFonts w:hint="eastAsia" w:ascii="宋体" w:hAnsi="宋体" w:eastAsia="宋体" w:cs="宋体"/>
                <w:b/>
                <w:bCs/>
                <w:color w:val="auto"/>
                <w:szCs w:val="21"/>
                <w:highlight w:val="none"/>
                <w:lang w:val="en-US" w:eastAsia="zh-CN"/>
              </w:rPr>
              <w:t>.</w:t>
            </w:r>
            <w:r>
              <w:rPr>
                <w:rFonts w:hint="eastAsia" w:ascii="宋体" w:hAnsi="宋体" w:eastAsia="宋体" w:cs="宋体"/>
                <w:b/>
                <w:bCs/>
                <w:color w:val="auto"/>
                <w:szCs w:val="21"/>
                <w:highlight w:val="none"/>
              </w:rPr>
              <w:t>质量保证措施（</w:t>
            </w:r>
            <w:r>
              <w:rPr>
                <w:rFonts w:hint="eastAsia" w:ascii="宋体" w:hAnsi="宋体" w:cs="宋体"/>
                <w:b/>
                <w:bCs/>
                <w:color w:val="auto"/>
                <w:szCs w:val="21"/>
                <w:highlight w:val="none"/>
                <w:lang w:val="en-US" w:eastAsia="zh-CN"/>
              </w:rPr>
              <w:t>8</w:t>
            </w:r>
            <w:r>
              <w:rPr>
                <w:rFonts w:hint="eastAsia" w:ascii="宋体" w:hAnsi="宋体" w:eastAsia="宋体" w:cs="宋体"/>
                <w:b/>
                <w:bCs/>
                <w:color w:val="auto"/>
                <w:szCs w:val="21"/>
                <w:highlight w:val="none"/>
              </w:rPr>
              <w:t>分）</w:t>
            </w:r>
          </w:p>
          <w:p w14:paraId="290AFBCB">
            <w:pPr>
              <w:widowControl/>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第一个档次（</w:t>
            </w:r>
            <w:r>
              <w:rPr>
                <w:rFonts w:hint="eastAsia" w:ascii="宋体" w:hAnsi="宋体" w:cs="宋体"/>
                <w:b w:val="0"/>
                <w:bCs w:val="0"/>
                <w:color w:val="auto"/>
                <w:szCs w:val="21"/>
                <w:highlight w:val="none"/>
                <w:lang w:val="en-US" w:eastAsia="zh-CN"/>
              </w:rPr>
              <w:t>8</w:t>
            </w:r>
            <w:r>
              <w:rPr>
                <w:rFonts w:hint="eastAsia" w:ascii="宋体" w:hAnsi="宋体" w:eastAsia="宋体" w:cs="宋体"/>
                <w:b w:val="0"/>
                <w:bCs w:val="0"/>
                <w:color w:val="auto"/>
                <w:szCs w:val="21"/>
                <w:highlight w:val="none"/>
              </w:rPr>
              <w:t>分）：质量保证措施体系流程内容详细完善，各项指标设定明确合理，质量管理制度内容详细具体，施工各阶段控制内容分布清晰合理的；质量违约责任承诺内容具体详细，有明确的违约金额，且违约金额设定符合项目实际情况的；</w:t>
            </w:r>
          </w:p>
          <w:p w14:paraId="46A7D803">
            <w:pPr>
              <w:widowControl/>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第</w:t>
            </w:r>
            <w:r>
              <w:rPr>
                <w:rFonts w:hint="eastAsia" w:ascii="宋体" w:hAnsi="宋体" w:cs="宋体"/>
                <w:b w:val="0"/>
                <w:bCs w:val="0"/>
                <w:color w:val="auto"/>
                <w:szCs w:val="21"/>
                <w:highlight w:val="none"/>
                <w:lang w:val="en-US" w:eastAsia="zh-CN"/>
              </w:rPr>
              <w:t>二</w:t>
            </w:r>
            <w:r>
              <w:rPr>
                <w:rFonts w:hint="eastAsia" w:ascii="宋体" w:hAnsi="宋体" w:eastAsia="宋体" w:cs="宋体"/>
                <w:b w:val="0"/>
                <w:bCs w:val="0"/>
                <w:color w:val="auto"/>
                <w:szCs w:val="21"/>
                <w:highlight w:val="none"/>
              </w:rPr>
              <w:t>个档次（</w:t>
            </w:r>
            <w:r>
              <w:rPr>
                <w:rFonts w:hint="eastAsia" w:ascii="宋体" w:hAnsi="宋体" w:cs="宋体"/>
                <w:b w:val="0"/>
                <w:bCs w:val="0"/>
                <w:color w:val="auto"/>
                <w:szCs w:val="21"/>
                <w:highlight w:val="none"/>
                <w:lang w:val="en-US" w:eastAsia="zh-CN"/>
              </w:rPr>
              <w:t>6</w:t>
            </w:r>
            <w:r>
              <w:rPr>
                <w:rFonts w:hint="eastAsia" w:ascii="宋体" w:hAnsi="宋体" w:eastAsia="宋体" w:cs="宋体"/>
                <w:b w:val="0"/>
                <w:bCs w:val="0"/>
                <w:color w:val="auto"/>
                <w:szCs w:val="21"/>
                <w:highlight w:val="none"/>
              </w:rPr>
              <w:t>分）：质量保证措施体系流程内容完善，各项指标设定合理，质量管理制度内容完善，施工各阶段控制内容分布基本合理的；质量违约责任承诺内容具体，有明确的违约金额的；</w:t>
            </w:r>
          </w:p>
          <w:p w14:paraId="054E3CDB">
            <w:pPr>
              <w:widowControl/>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第</w:t>
            </w:r>
            <w:r>
              <w:rPr>
                <w:rFonts w:hint="eastAsia" w:ascii="宋体" w:hAnsi="宋体" w:cs="宋体"/>
                <w:b w:val="0"/>
                <w:bCs w:val="0"/>
                <w:color w:val="auto"/>
                <w:szCs w:val="21"/>
                <w:highlight w:val="none"/>
                <w:lang w:val="en-US" w:eastAsia="zh-CN"/>
              </w:rPr>
              <w:t>三</w:t>
            </w:r>
            <w:r>
              <w:rPr>
                <w:rFonts w:hint="eastAsia" w:ascii="宋体" w:hAnsi="宋体" w:eastAsia="宋体" w:cs="宋体"/>
                <w:b w:val="0"/>
                <w:bCs w:val="0"/>
                <w:color w:val="auto"/>
                <w:szCs w:val="21"/>
                <w:highlight w:val="none"/>
              </w:rPr>
              <w:t>个档次（</w:t>
            </w:r>
            <w:r>
              <w:rPr>
                <w:rFonts w:hint="eastAsia" w:ascii="宋体" w:hAnsi="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rPr>
              <w:t>分）质量保证措施体系流程内容基本完善，各项指标设定基本合理，质量管理制度内容基本完善，施工各阶段控制内容分布合理的。质量违约责任承诺内容有一定欠缺，违约金额不明确的。</w:t>
            </w:r>
          </w:p>
          <w:p w14:paraId="64A60D15">
            <w:pPr>
              <w:widowControl/>
              <w:rPr>
                <w:rFonts w:hint="eastAsia" w:ascii="宋体" w:hAnsi="宋体" w:cs="宋体"/>
                <w:color w:val="auto"/>
                <w:sz w:val="21"/>
                <w:szCs w:val="21"/>
                <w:highlight w:val="none"/>
                <w:lang w:val="en-US" w:eastAsia="zh-CN"/>
              </w:rPr>
            </w:pPr>
            <w:r>
              <w:rPr>
                <w:rFonts w:hint="eastAsia" w:ascii="宋体" w:hAnsi="宋体" w:eastAsia="宋体" w:cs="宋体"/>
                <w:b w:val="0"/>
                <w:bCs w:val="0"/>
                <w:color w:val="auto"/>
                <w:szCs w:val="21"/>
                <w:highlight w:val="none"/>
              </w:rPr>
              <w:t>第</w:t>
            </w:r>
            <w:r>
              <w:rPr>
                <w:rFonts w:hint="eastAsia" w:ascii="宋体" w:hAnsi="宋体" w:cs="宋体"/>
                <w:b w:val="0"/>
                <w:bCs w:val="0"/>
                <w:color w:val="auto"/>
                <w:szCs w:val="21"/>
                <w:highlight w:val="none"/>
                <w:lang w:val="en-US" w:eastAsia="zh-CN"/>
              </w:rPr>
              <w:t>四</w:t>
            </w:r>
            <w:r>
              <w:rPr>
                <w:rFonts w:hint="eastAsia" w:ascii="宋体" w:hAnsi="宋体" w:eastAsia="宋体" w:cs="宋体"/>
                <w:b w:val="0"/>
                <w:bCs w:val="0"/>
                <w:color w:val="auto"/>
                <w:szCs w:val="21"/>
                <w:highlight w:val="none"/>
              </w:rPr>
              <w:t>个档次（</w:t>
            </w:r>
            <w:r>
              <w:rPr>
                <w:rFonts w:hint="eastAsia" w:ascii="宋体" w:hAnsi="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rPr>
              <w:t>分）质量保证措施体系流程内容</w:t>
            </w:r>
            <w:r>
              <w:rPr>
                <w:rFonts w:hint="eastAsia" w:ascii="宋体" w:hAnsi="宋体" w:cs="宋体"/>
                <w:b w:val="0"/>
                <w:bCs w:val="0"/>
                <w:color w:val="auto"/>
                <w:szCs w:val="21"/>
                <w:highlight w:val="none"/>
                <w:lang w:val="en-US" w:eastAsia="zh-CN"/>
              </w:rPr>
              <w:t>不</w:t>
            </w:r>
            <w:r>
              <w:rPr>
                <w:rFonts w:hint="eastAsia" w:ascii="宋体" w:hAnsi="宋体" w:eastAsia="宋体" w:cs="宋体"/>
                <w:b w:val="0"/>
                <w:bCs w:val="0"/>
                <w:color w:val="auto"/>
                <w:szCs w:val="21"/>
                <w:highlight w:val="none"/>
              </w:rPr>
              <w:t>完善，质量违约责任</w:t>
            </w:r>
            <w:r>
              <w:rPr>
                <w:rFonts w:hint="eastAsia" w:ascii="宋体" w:hAnsi="宋体" w:cs="宋体"/>
                <w:b w:val="0"/>
                <w:bCs w:val="0"/>
                <w:color w:val="auto"/>
                <w:szCs w:val="21"/>
                <w:highlight w:val="none"/>
                <w:lang w:val="en-US" w:eastAsia="zh-CN"/>
              </w:rPr>
              <w:t>有较多缺陷</w:t>
            </w:r>
            <w:r>
              <w:rPr>
                <w:rFonts w:hint="eastAsia" w:ascii="宋体" w:hAnsi="宋体" w:cs="宋体"/>
                <w:color w:val="auto"/>
                <w:sz w:val="21"/>
                <w:szCs w:val="21"/>
                <w:highlight w:val="none"/>
                <w:lang w:val="en-US" w:eastAsia="zh-CN"/>
              </w:rPr>
              <w:t>。</w:t>
            </w:r>
          </w:p>
          <w:p w14:paraId="422EFB24">
            <w:pPr>
              <w:pStyle w:val="2"/>
              <w:rPr>
                <w:rFonts w:hint="default"/>
                <w:lang w:val="en-US"/>
              </w:rPr>
            </w:pPr>
            <w:r>
              <w:rPr>
                <w:rFonts w:hint="eastAsia" w:ascii="宋体" w:hAnsi="宋体" w:cs="宋体"/>
                <w:color w:val="auto"/>
                <w:sz w:val="21"/>
                <w:szCs w:val="21"/>
                <w:highlight w:val="none"/>
                <w:lang w:val="en-US" w:eastAsia="zh-CN"/>
              </w:rPr>
              <w:t>未提供不得分。</w:t>
            </w:r>
          </w:p>
        </w:tc>
      </w:tr>
      <w:tr w14:paraId="48C3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559" w:type="dxa"/>
            <w:vMerge w:val="continue"/>
            <w:noWrap w:val="0"/>
            <w:vAlign w:val="center"/>
          </w:tcPr>
          <w:p w14:paraId="70C41E05">
            <w:pPr>
              <w:rPr>
                <w:rFonts w:hint="eastAsia" w:ascii="宋体" w:hAnsi="宋体"/>
                <w:color w:val="auto"/>
                <w:szCs w:val="21"/>
                <w:highlight w:val="none"/>
              </w:rPr>
            </w:pPr>
          </w:p>
        </w:tc>
        <w:tc>
          <w:tcPr>
            <w:tcW w:w="698" w:type="dxa"/>
            <w:vMerge w:val="continue"/>
            <w:noWrap w:val="0"/>
            <w:vAlign w:val="center"/>
          </w:tcPr>
          <w:p w14:paraId="09A78C91">
            <w:pPr>
              <w:rPr>
                <w:rFonts w:hint="eastAsia" w:ascii="宋体" w:hAnsi="宋体"/>
                <w:color w:val="auto"/>
                <w:szCs w:val="21"/>
                <w:highlight w:val="none"/>
              </w:rPr>
            </w:pPr>
          </w:p>
        </w:tc>
        <w:tc>
          <w:tcPr>
            <w:tcW w:w="541" w:type="dxa"/>
            <w:noWrap w:val="0"/>
            <w:vAlign w:val="center"/>
          </w:tcPr>
          <w:p w14:paraId="1CA79D9E">
            <w:pPr>
              <w:jc w:val="center"/>
              <w:rPr>
                <w:rFonts w:ascii="宋体" w:hAnsi="宋体"/>
                <w:color w:val="auto"/>
                <w:szCs w:val="21"/>
                <w:highlight w:val="none"/>
              </w:rPr>
            </w:pPr>
            <w:r>
              <w:rPr>
                <w:rFonts w:hint="eastAsia" w:ascii="宋体" w:hAnsi="宋体"/>
                <w:color w:val="auto"/>
                <w:szCs w:val="21"/>
                <w:highlight w:val="none"/>
              </w:rPr>
              <w:t>3）</w:t>
            </w:r>
          </w:p>
        </w:tc>
        <w:tc>
          <w:tcPr>
            <w:tcW w:w="1277" w:type="dxa"/>
            <w:noWrap w:val="0"/>
            <w:vAlign w:val="center"/>
          </w:tcPr>
          <w:p w14:paraId="7DE3272F">
            <w:pPr>
              <w:jc w:val="center"/>
              <w:rPr>
                <w:rFonts w:hint="eastAsia"/>
                <w:color w:val="auto"/>
                <w:szCs w:val="21"/>
                <w:highlight w:val="none"/>
              </w:rPr>
            </w:pPr>
            <w:r>
              <w:rPr>
                <w:rFonts w:hint="eastAsia" w:ascii="宋体" w:hAnsi="宋体" w:eastAsia="宋体" w:cs="宋体"/>
                <w:bCs/>
                <w:color w:val="auto"/>
                <w:szCs w:val="21"/>
                <w:highlight w:val="none"/>
              </w:rPr>
              <w:t>施工进度计划评审评分</w:t>
            </w:r>
          </w:p>
        </w:tc>
        <w:tc>
          <w:tcPr>
            <w:tcW w:w="760" w:type="dxa"/>
            <w:noWrap w:val="0"/>
            <w:vAlign w:val="center"/>
          </w:tcPr>
          <w:p w14:paraId="3D41A8CC">
            <w:pPr>
              <w:spacing w:line="300" w:lineRule="exact"/>
              <w:jc w:val="center"/>
              <w:rPr>
                <w:rFonts w:hint="eastAsia"/>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w:t>
            </w:r>
          </w:p>
        </w:tc>
        <w:tc>
          <w:tcPr>
            <w:tcW w:w="5418" w:type="dxa"/>
            <w:noWrap w:val="0"/>
            <w:vAlign w:val="top"/>
          </w:tcPr>
          <w:p w14:paraId="3743B1D7">
            <w:pPr>
              <w:spacing w:line="300" w:lineRule="exact"/>
              <w:rPr>
                <w:rFonts w:hint="eastAsia" w:ascii="宋体" w:hAnsi="宋体" w:eastAsia="宋体" w:cs="宋体"/>
                <w:bCs/>
                <w:color w:val="auto"/>
                <w:szCs w:val="21"/>
                <w:highlight w:val="none"/>
              </w:rPr>
            </w:pPr>
            <w:r>
              <w:rPr>
                <w:rFonts w:hint="eastAsia" w:ascii="宋体" w:hAnsi="宋体" w:cs="宋体"/>
                <w:bCs/>
                <w:color w:val="auto"/>
                <w:szCs w:val="21"/>
                <w:highlight w:val="none"/>
                <w:lang w:val="en-US" w:eastAsia="zh-CN"/>
              </w:rPr>
              <w:t>第</w:t>
            </w:r>
            <w:r>
              <w:rPr>
                <w:rFonts w:hint="eastAsia" w:ascii="宋体" w:hAnsi="宋体" w:eastAsia="宋体" w:cs="宋体"/>
                <w:bCs/>
                <w:color w:val="auto"/>
                <w:szCs w:val="21"/>
                <w:highlight w:val="none"/>
              </w:rPr>
              <w:t>一个档次（5分）：施工进度计划严格按工期安排，工序搭配逻辑关系清晰、合理，并能指导施工的；</w:t>
            </w:r>
          </w:p>
          <w:p w14:paraId="51791B7A">
            <w:pPr>
              <w:spacing w:line="3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第二个档次（4分）：施工进度计划符合工期要求，工序搭配逻辑关系和关键线路清晰、合理的；</w:t>
            </w:r>
          </w:p>
          <w:p w14:paraId="08ACD2E8">
            <w:pPr>
              <w:spacing w:line="3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第三个档次（3分）：施工进度计划符合工期要求，工序搭配逻辑关系较为合理的；</w:t>
            </w:r>
          </w:p>
          <w:p w14:paraId="0472F715">
            <w:pPr>
              <w:spacing w:line="3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第四个档次（2分）：施工进度计划符合工期要求，工序搭配逻辑关系基本合理的；</w:t>
            </w:r>
          </w:p>
          <w:p w14:paraId="13642E08">
            <w:pPr>
              <w:spacing w:line="300" w:lineRule="exact"/>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第五个档次（</w:t>
            </w:r>
            <w:r>
              <w:rPr>
                <w:rFonts w:hint="eastAsia" w:ascii="宋体" w:hAnsi="宋体" w:cs="宋体"/>
                <w:bCs/>
                <w:color w:val="auto"/>
                <w:sz w:val="22"/>
                <w:szCs w:val="22"/>
                <w:highlight w:val="none"/>
                <w:lang w:val="en-US" w:eastAsia="zh-CN"/>
              </w:rPr>
              <w:t>1</w:t>
            </w:r>
            <w:r>
              <w:rPr>
                <w:rFonts w:hint="eastAsia" w:ascii="宋体" w:hAnsi="宋体" w:eastAsia="宋体" w:cs="宋体"/>
                <w:bCs/>
                <w:color w:val="auto"/>
                <w:szCs w:val="21"/>
                <w:highlight w:val="none"/>
              </w:rPr>
              <w:t>分）：施工进度计划中工序搭配逻辑关系不明确有错误的。</w:t>
            </w:r>
          </w:p>
          <w:p w14:paraId="5A64DB42">
            <w:pPr>
              <w:spacing w:line="300" w:lineRule="exact"/>
              <w:jc w:val="left"/>
              <w:rPr>
                <w:rFonts w:hint="eastAsia" w:ascii="宋体" w:hAnsi="宋体" w:eastAsia="宋体" w:cs="宋体"/>
                <w:bCs/>
                <w:color w:val="auto"/>
                <w:szCs w:val="21"/>
                <w:highlight w:val="none"/>
              </w:rPr>
            </w:pPr>
            <w:r>
              <w:rPr>
                <w:rFonts w:hint="eastAsia" w:ascii="宋体" w:hAnsi="宋体" w:cs="宋体"/>
                <w:color w:val="auto"/>
                <w:sz w:val="21"/>
                <w:szCs w:val="21"/>
                <w:highlight w:val="none"/>
                <w:lang w:val="en-US" w:eastAsia="zh-CN"/>
              </w:rPr>
              <w:t>未提供不得分。</w:t>
            </w:r>
          </w:p>
        </w:tc>
      </w:tr>
      <w:tr w14:paraId="1F3FA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559" w:type="dxa"/>
            <w:vMerge w:val="continue"/>
            <w:noWrap w:val="0"/>
            <w:vAlign w:val="center"/>
          </w:tcPr>
          <w:p w14:paraId="693C41D7">
            <w:pPr>
              <w:rPr>
                <w:rFonts w:hint="eastAsia" w:ascii="宋体" w:hAnsi="宋体"/>
                <w:color w:val="auto"/>
                <w:szCs w:val="21"/>
                <w:highlight w:val="none"/>
              </w:rPr>
            </w:pPr>
          </w:p>
        </w:tc>
        <w:tc>
          <w:tcPr>
            <w:tcW w:w="698" w:type="dxa"/>
            <w:vMerge w:val="continue"/>
            <w:noWrap w:val="0"/>
            <w:vAlign w:val="center"/>
          </w:tcPr>
          <w:p w14:paraId="340A3C90">
            <w:pPr>
              <w:rPr>
                <w:rFonts w:hint="eastAsia" w:ascii="宋体" w:hAnsi="宋体"/>
                <w:color w:val="auto"/>
                <w:szCs w:val="21"/>
                <w:highlight w:val="none"/>
              </w:rPr>
            </w:pPr>
          </w:p>
        </w:tc>
        <w:tc>
          <w:tcPr>
            <w:tcW w:w="541" w:type="dxa"/>
            <w:noWrap w:val="0"/>
            <w:vAlign w:val="center"/>
          </w:tcPr>
          <w:p w14:paraId="2BBFB077">
            <w:pPr>
              <w:jc w:val="center"/>
              <w:rPr>
                <w:rFonts w:ascii="宋体" w:hAnsi="宋体"/>
                <w:color w:val="auto"/>
                <w:szCs w:val="21"/>
                <w:highlight w:val="none"/>
              </w:rPr>
            </w:pPr>
            <w:r>
              <w:rPr>
                <w:rFonts w:hint="eastAsia" w:ascii="宋体" w:hAnsi="宋体"/>
                <w:color w:val="auto"/>
                <w:szCs w:val="21"/>
                <w:highlight w:val="none"/>
              </w:rPr>
              <w:t>4）</w:t>
            </w:r>
          </w:p>
        </w:tc>
        <w:tc>
          <w:tcPr>
            <w:tcW w:w="1277" w:type="dxa"/>
            <w:noWrap w:val="0"/>
            <w:vAlign w:val="center"/>
          </w:tcPr>
          <w:p w14:paraId="08448D90">
            <w:pPr>
              <w:spacing w:line="240" w:lineRule="atLeast"/>
              <w:jc w:val="center"/>
              <w:rPr>
                <w:rFonts w:hint="eastAsia"/>
                <w:color w:val="auto"/>
                <w:szCs w:val="21"/>
                <w:highlight w:val="none"/>
              </w:rPr>
            </w:pPr>
            <w:r>
              <w:rPr>
                <w:rFonts w:hint="eastAsia" w:ascii="宋体" w:hAnsi="宋体" w:eastAsia="宋体" w:cs="宋体"/>
                <w:color w:val="auto"/>
                <w:szCs w:val="21"/>
                <w:highlight w:val="none"/>
              </w:rPr>
              <w:t>劳动力安排评审评分</w:t>
            </w:r>
          </w:p>
        </w:tc>
        <w:tc>
          <w:tcPr>
            <w:tcW w:w="760" w:type="dxa"/>
            <w:noWrap w:val="0"/>
            <w:vAlign w:val="center"/>
          </w:tcPr>
          <w:p w14:paraId="0F978660">
            <w:pPr>
              <w:rPr>
                <w:rFonts w:hint="eastAsia"/>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分</w:t>
            </w:r>
          </w:p>
        </w:tc>
        <w:tc>
          <w:tcPr>
            <w:tcW w:w="5418" w:type="dxa"/>
            <w:noWrap w:val="0"/>
            <w:vAlign w:val="center"/>
          </w:tcPr>
          <w:p w14:paraId="388BC0A1">
            <w:pPr>
              <w:spacing w:line="3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第一个档次（</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分）：劳动力安排与施工进度计划呼应，能较好满足施工需要，调配投入计划合理，能指导施工且针对性好的；</w:t>
            </w:r>
          </w:p>
          <w:p w14:paraId="4D3F6087">
            <w:pPr>
              <w:spacing w:line="3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第二个档次（</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分）：劳动力安排与施工进度计划呼应，能满足施工需要，调配投入计划合理，针对性和指导性</w:t>
            </w:r>
            <w:r>
              <w:rPr>
                <w:rFonts w:hint="eastAsia" w:ascii="宋体" w:hAnsi="宋体" w:eastAsia="宋体" w:cs="宋体"/>
                <w:color w:val="auto"/>
                <w:szCs w:val="21"/>
                <w:highlight w:val="none"/>
                <w:lang w:val="en-US" w:eastAsia="zh-CN"/>
              </w:rPr>
              <w:t>较好的</w:t>
            </w:r>
            <w:r>
              <w:rPr>
                <w:rFonts w:hint="eastAsia" w:ascii="宋体" w:hAnsi="宋体" w:eastAsia="宋体" w:cs="宋体"/>
                <w:color w:val="auto"/>
                <w:szCs w:val="21"/>
                <w:highlight w:val="none"/>
              </w:rPr>
              <w:t>；</w:t>
            </w:r>
          </w:p>
          <w:p w14:paraId="14F1FA7F">
            <w:pPr>
              <w:spacing w:line="3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第三个档次（</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分）：劳动力安排与施工进度计划</w:t>
            </w:r>
            <w:r>
              <w:rPr>
                <w:rFonts w:hint="eastAsia" w:ascii="宋体" w:hAnsi="宋体" w:eastAsia="宋体" w:cs="宋体"/>
                <w:color w:val="auto"/>
                <w:szCs w:val="21"/>
                <w:highlight w:val="none"/>
                <w:lang w:val="en-US" w:eastAsia="zh-CN"/>
              </w:rPr>
              <w:t>基本</w:t>
            </w:r>
            <w:r>
              <w:rPr>
                <w:rFonts w:hint="eastAsia" w:ascii="宋体" w:hAnsi="宋体" w:eastAsia="宋体" w:cs="宋体"/>
                <w:color w:val="auto"/>
                <w:szCs w:val="21"/>
                <w:highlight w:val="none"/>
              </w:rPr>
              <w:t>呼应，能基本满足施工需要，调配投入计划基本合理，针对性</w:t>
            </w:r>
            <w:r>
              <w:rPr>
                <w:rFonts w:hint="eastAsia" w:ascii="宋体" w:hAnsi="宋体" w:eastAsia="宋体" w:cs="宋体"/>
                <w:color w:val="auto"/>
                <w:szCs w:val="21"/>
                <w:highlight w:val="none"/>
                <w:lang w:val="en-US" w:eastAsia="zh-CN"/>
              </w:rPr>
              <w:t>和指导性一般</w:t>
            </w:r>
            <w:r>
              <w:rPr>
                <w:rFonts w:hint="eastAsia" w:ascii="宋体" w:hAnsi="宋体" w:eastAsia="宋体" w:cs="宋体"/>
                <w:color w:val="auto"/>
                <w:szCs w:val="21"/>
                <w:highlight w:val="none"/>
              </w:rPr>
              <w:t>的；</w:t>
            </w:r>
          </w:p>
          <w:p w14:paraId="07614C73">
            <w:pPr>
              <w:pStyle w:val="12"/>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个档次（</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提供了</w:t>
            </w:r>
            <w:r>
              <w:rPr>
                <w:rFonts w:hint="eastAsia" w:ascii="宋体" w:hAnsi="宋体" w:eastAsia="宋体" w:cs="宋体"/>
                <w:color w:val="auto"/>
                <w:szCs w:val="21"/>
                <w:highlight w:val="none"/>
              </w:rPr>
              <w:t>劳动力安排与施工进度计划，</w:t>
            </w:r>
            <w:r>
              <w:rPr>
                <w:rFonts w:hint="eastAsia" w:ascii="宋体" w:hAnsi="宋体" w:eastAsia="宋体" w:cs="宋体"/>
                <w:color w:val="auto"/>
                <w:szCs w:val="21"/>
                <w:highlight w:val="none"/>
                <w:lang w:val="en-US" w:eastAsia="zh-CN"/>
              </w:rPr>
              <w:t>部分</w:t>
            </w:r>
            <w:r>
              <w:rPr>
                <w:rFonts w:hint="eastAsia" w:ascii="宋体" w:hAnsi="宋体" w:eastAsia="宋体" w:cs="宋体"/>
                <w:color w:val="auto"/>
                <w:szCs w:val="21"/>
                <w:highlight w:val="none"/>
              </w:rPr>
              <w:t>满足施工需要，调配投入计划</w:t>
            </w:r>
            <w:r>
              <w:rPr>
                <w:rFonts w:hint="eastAsia" w:ascii="宋体" w:hAnsi="宋体" w:eastAsia="宋体" w:cs="宋体"/>
                <w:color w:val="auto"/>
                <w:szCs w:val="21"/>
                <w:highlight w:val="none"/>
                <w:lang w:val="en-US" w:eastAsia="zh-CN"/>
              </w:rPr>
              <w:t>有缺陷</w:t>
            </w:r>
            <w:r>
              <w:rPr>
                <w:rFonts w:hint="eastAsia" w:ascii="宋体" w:hAnsi="宋体" w:eastAsia="宋体" w:cs="宋体"/>
                <w:color w:val="auto"/>
                <w:szCs w:val="21"/>
                <w:highlight w:val="none"/>
              </w:rPr>
              <w:t>，缺乏针对性的；</w:t>
            </w:r>
          </w:p>
          <w:p w14:paraId="30676E86">
            <w:r>
              <w:rPr>
                <w:rFonts w:hint="eastAsia" w:ascii="宋体" w:hAnsi="宋体" w:cs="宋体"/>
                <w:color w:val="auto"/>
                <w:sz w:val="21"/>
                <w:szCs w:val="21"/>
                <w:highlight w:val="none"/>
                <w:lang w:val="en-US" w:eastAsia="zh-CN"/>
              </w:rPr>
              <w:t>未提供不得分。</w:t>
            </w:r>
          </w:p>
        </w:tc>
      </w:tr>
      <w:tr w14:paraId="173E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559" w:type="dxa"/>
            <w:vMerge w:val="continue"/>
            <w:noWrap w:val="0"/>
            <w:vAlign w:val="center"/>
          </w:tcPr>
          <w:p w14:paraId="179CA4EB">
            <w:pPr>
              <w:rPr>
                <w:rFonts w:hint="eastAsia" w:ascii="宋体" w:hAnsi="宋体"/>
                <w:color w:val="auto"/>
                <w:szCs w:val="21"/>
                <w:highlight w:val="none"/>
              </w:rPr>
            </w:pPr>
          </w:p>
        </w:tc>
        <w:tc>
          <w:tcPr>
            <w:tcW w:w="698" w:type="dxa"/>
            <w:vMerge w:val="continue"/>
            <w:noWrap w:val="0"/>
            <w:vAlign w:val="center"/>
          </w:tcPr>
          <w:p w14:paraId="4DC0870A">
            <w:pPr>
              <w:rPr>
                <w:rFonts w:hint="eastAsia" w:ascii="宋体" w:hAnsi="宋体"/>
                <w:color w:val="auto"/>
                <w:szCs w:val="21"/>
                <w:highlight w:val="none"/>
              </w:rPr>
            </w:pPr>
          </w:p>
        </w:tc>
        <w:tc>
          <w:tcPr>
            <w:tcW w:w="541" w:type="dxa"/>
            <w:noWrap w:val="0"/>
            <w:vAlign w:val="center"/>
          </w:tcPr>
          <w:p w14:paraId="5C52875E">
            <w:pPr>
              <w:jc w:val="center"/>
              <w:rPr>
                <w:rFonts w:ascii="宋体" w:hAnsi="宋体"/>
                <w:color w:val="auto"/>
                <w:szCs w:val="21"/>
                <w:highlight w:val="none"/>
              </w:rPr>
            </w:pPr>
            <w:r>
              <w:rPr>
                <w:rFonts w:hint="eastAsia" w:ascii="宋体" w:hAnsi="宋体"/>
                <w:color w:val="auto"/>
                <w:szCs w:val="21"/>
                <w:highlight w:val="none"/>
              </w:rPr>
              <w:t>6）</w:t>
            </w:r>
          </w:p>
        </w:tc>
        <w:tc>
          <w:tcPr>
            <w:tcW w:w="1277" w:type="dxa"/>
            <w:noWrap w:val="0"/>
            <w:vAlign w:val="center"/>
          </w:tcPr>
          <w:p w14:paraId="63DD0CA3">
            <w:pPr>
              <w:jc w:val="center"/>
              <w:rPr>
                <w:rFonts w:hint="eastAsia"/>
                <w:color w:val="auto"/>
                <w:szCs w:val="21"/>
                <w:highlight w:val="none"/>
              </w:rPr>
            </w:pPr>
            <w:r>
              <w:rPr>
                <w:rFonts w:hint="eastAsia" w:ascii="宋体" w:hAnsi="宋体" w:eastAsia="宋体" w:cs="宋体"/>
                <w:color w:val="auto"/>
                <w:spacing w:val="12"/>
                <w:szCs w:val="21"/>
                <w:highlight w:val="none"/>
              </w:rPr>
              <w:t>主要材料投入计划评审评分</w:t>
            </w:r>
          </w:p>
        </w:tc>
        <w:tc>
          <w:tcPr>
            <w:tcW w:w="760" w:type="dxa"/>
            <w:noWrap w:val="0"/>
            <w:vAlign w:val="center"/>
          </w:tcPr>
          <w:p w14:paraId="29C491D8">
            <w:pPr>
              <w:adjustRightInd w:val="0"/>
              <w:snapToGrid w:val="0"/>
              <w:spacing w:line="240" w:lineRule="atLeast"/>
              <w:jc w:val="center"/>
              <w:rPr>
                <w:rFonts w:hint="eastAsia" w:ascii="宋体" w:hAnsi="宋体" w:cs="宋体"/>
                <w:bCs/>
                <w:color w:val="auto"/>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分</w:t>
            </w:r>
          </w:p>
        </w:tc>
        <w:tc>
          <w:tcPr>
            <w:tcW w:w="5418" w:type="dxa"/>
            <w:noWrap w:val="0"/>
            <w:vAlign w:val="center"/>
          </w:tcPr>
          <w:p w14:paraId="6A168274">
            <w:pPr>
              <w:spacing w:line="240" w:lineRule="atLeas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第</w:t>
            </w:r>
            <w:r>
              <w:rPr>
                <w:rFonts w:hint="eastAsia" w:ascii="宋体" w:hAnsi="宋体" w:eastAsia="宋体" w:cs="宋体"/>
                <w:color w:val="auto"/>
                <w:szCs w:val="21"/>
                <w:highlight w:val="none"/>
              </w:rPr>
              <w:t>一个档次（</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分）：材料投入计划与施工进度计划呼应，</w:t>
            </w:r>
            <w:r>
              <w:rPr>
                <w:rFonts w:hint="eastAsia" w:ascii="宋体" w:hAnsi="宋体" w:eastAsia="宋体" w:cs="宋体"/>
                <w:color w:val="auto"/>
                <w:szCs w:val="21"/>
                <w:highlight w:val="none"/>
                <w:lang w:val="en-US" w:eastAsia="zh-CN"/>
              </w:rPr>
              <w:t>优于</w:t>
            </w:r>
            <w:r>
              <w:rPr>
                <w:rFonts w:hint="eastAsia" w:ascii="宋体" w:hAnsi="宋体" w:eastAsia="宋体" w:cs="宋体"/>
                <w:color w:val="auto"/>
                <w:szCs w:val="21"/>
                <w:highlight w:val="none"/>
              </w:rPr>
              <w:t>施工需要，调配投入计划合理，</w:t>
            </w:r>
            <w:r>
              <w:rPr>
                <w:rFonts w:hint="eastAsia" w:ascii="宋体" w:hAnsi="宋体" w:eastAsia="宋体" w:cs="宋体"/>
                <w:color w:val="auto"/>
                <w:kern w:val="0"/>
                <w:szCs w:val="21"/>
                <w:highlight w:val="none"/>
              </w:rPr>
              <w:t>材料来源全部有依据、产地或厂家明确</w:t>
            </w:r>
            <w:r>
              <w:rPr>
                <w:rFonts w:hint="eastAsia" w:ascii="宋体" w:hAnsi="宋体" w:eastAsia="宋体" w:cs="宋体"/>
                <w:color w:val="auto"/>
                <w:szCs w:val="21"/>
                <w:highlight w:val="none"/>
              </w:rPr>
              <w:t>的；</w:t>
            </w:r>
          </w:p>
          <w:p w14:paraId="04126EB1">
            <w:pPr>
              <w:spacing w:line="240" w:lineRule="atLeas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第二个档次（</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分）材料投入计划与施工进度计划呼应，能较好满足施工需要，调配投入计划合理，</w:t>
            </w:r>
            <w:r>
              <w:rPr>
                <w:rFonts w:hint="eastAsia" w:ascii="宋体" w:hAnsi="宋体" w:eastAsia="宋体" w:cs="宋体"/>
                <w:color w:val="auto"/>
                <w:kern w:val="0"/>
                <w:szCs w:val="21"/>
                <w:highlight w:val="none"/>
              </w:rPr>
              <w:t>材料来源全部有依据、产地或厂家明确</w:t>
            </w:r>
            <w:r>
              <w:rPr>
                <w:rFonts w:hint="eastAsia" w:ascii="宋体" w:hAnsi="宋体" w:eastAsia="宋体" w:cs="宋体"/>
                <w:color w:val="auto"/>
                <w:szCs w:val="21"/>
                <w:highlight w:val="none"/>
              </w:rPr>
              <w:t>的；</w:t>
            </w:r>
          </w:p>
          <w:p w14:paraId="1190D90B">
            <w:pPr>
              <w:spacing w:line="240" w:lineRule="atLeas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三</w:t>
            </w:r>
            <w:r>
              <w:rPr>
                <w:rFonts w:hint="eastAsia" w:ascii="宋体" w:hAnsi="宋体" w:eastAsia="宋体" w:cs="宋体"/>
                <w:color w:val="auto"/>
                <w:szCs w:val="21"/>
                <w:highlight w:val="none"/>
              </w:rPr>
              <w:t>个档次（</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分）材料投入计划与施工进度计划呼应，能满足施工需要，调配投入计划</w:t>
            </w:r>
            <w:r>
              <w:rPr>
                <w:rFonts w:hint="eastAsia" w:ascii="宋体" w:hAnsi="宋体" w:eastAsia="宋体" w:cs="宋体"/>
                <w:color w:val="auto"/>
                <w:szCs w:val="21"/>
                <w:highlight w:val="none"/>
                <w:lang w:val="en-US" w:eastAsia="zh-CN"/>
              </w:rPr>
              <w:t>较</w:t>
            </w:r>
            <w:r>
              <w:rPr>
                <w:rFonts w:hint="eastAsia" w:ascii="宋体" w:hAnsi="宋体" w:eastAsia="宋体" w:cs="宋体"/>
                <w:color w:val="auto"/>
                <w:szCs w:val="21"/>
                <w:highlight w:val="none"/>
              </w:rPr>
              <w:t>合理，</w:t>
            </w:r>
            <w:r>
              <w:rPr>
                <w:rFonts w:hint="eastAsia" w:ascii="宋体" w:hAnsi="宋体" w:eastAsia="宋体" w:cs="宋体"/>
                <w:color w:val="auto"/>
                <w:kern w:val="0"/>
                <w:szCs w:val="21"/>
                <w:highlight w:val="none"/>
              </w:rPr>
              <w:t>材料来源</w:t>
            </w:r>
            <w:r>
              <w:rPr>
                <w:rFonts w:hint="eastAsia" w:ascii="宋体" w:hAnsi="宋体" w:eastAsia="宋体" w:cs="宋体"/>
                <w:color w:val="auto"/>
                <w:kern w:val="0"/>
                <w:szCs w:val="21"/>
                <w:highlight w:val="none"/>
                <w:lang w:val="en-US" w:eastAsia="zh-CN"/>
              </w:rPr>
              <w:t>大部分</w:t>
            </w:r>
            <w:r>
              <w:rPr>
                <w:rFonts w:hint="eastAsia" w:ascii="宋体" w:hAnsi="宋体" w:eastAsia="宋体" w:cs="宋体"/>
                <w:color w:val="auto"/>
                <w:kern w:val="0"/>
                <w:szCs w:val="21"/>
                <w:highlight w:val="none"/>
              </w:rPr>
              <w:t>有依据、产地或厂家明确</w:t>
            </w:r>
            <w:r>
              <w:rPr>
                <w:rFonts w:hint="eastAsia" w:ascii="宋体" w:hAnsi="宋体" w:eastAsia="宋体" w:cs="宋体"/>
                <w:color w:val="auto"/>
                <w:szCs w:val="21"/>
                <w:highlight w:val="none"/>
              </w:rPr>
              <w:t>的；</w:t>
            </w:r>
          </w:p>
          <w:p w14:paraId="33DFC79D">
            <w:pPr>
              <w:spacing w:line="240" w:lineRule="atLeas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rPr>
              <w:t>个档次（</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分）：材料投入计划与施工进度计划</w:t>
            </w:r>
            <w:r>
              <w:rPr>
                <w:rFonts w:hint="eastAsia" w:ascii="宋体" w:hAnsi="宋体" w:cs="宋体"/>
                <w:color w:val="auto"/>
                <w:szCs w:val="21"/>
                <w:highlight w:val="none"/>
                <w:lang w:val="en-US" w:eastAsia="zh-CN"/>
              </w:rPr>
              <w:t>基本</w:t>
            </w:r>
            <w:r>
              <w:rPr>
                <w:rFonts w:hint="eastAsia" w:ascii="宋体" w:hAnsi="宋体" w:eastAsia="宋体" w:cs="宋体"/>
                <w:color w:val="auto"/>
                <w:szCs w:val="21"/>
                <w:highlight w:val="none"/>
              </w:rPr>
              <w:t>呼应，能</w:t>
            </w:r>
            <w:r>
              <w:rPr>
                <w:rFonts w:hint="eastAsia" w:ascii="宋体" w:hAnsi="宋体" w:cs="宋体"/>
                <w:color w:val="auto"/>
                <w:szCs w:val="21"/>
                <w:highlight w:val="none"/>
                <w:lang w:val="en-US" w:eastAsia="zh-CN"/>
              </w:rPr>
              <w:t>基本</w:t>
            </w:r>
            <w:r>
              <w:rPr>
                <w:rFonts w:hint="eastAsia" w:ascii="宋体" w:hAnsi="宋体" w:eastAsia="宋体" w:cs="宋体"/>
                <w:color w:val="auto"/>
                <w:szCs w:val="21"/>
                <w:highlight w:val="none"/>
              </w:rPr>
              <w:t>满足施工需要，调配投入计划合理，</w:t>
            </w:r>
            <w:r>
              <w:rPr>
                <w:rFonts w:hint="eastAsia" w:ascii="宋体" w:hAnsi="宋体" w:eastAsia="宋体" w:cs="宋体"/>
                <w:color w:val="auto"/>
                <w:kern w:val="0"/>
                <w:szCs w:val="21"/>
                <w:highlight w:val="none"/>
              </w:rPr>
              <w:t>材料来源部分有依据、产地或厂家明确</w:t>
            </w:r>
            <w:r>
              <w:rPr>
                <w:rFonts w:hint="eastAsia" w:ascii="宋体" w:hAnsi="宋体" w:eastAsia="宋体" w:cs="宋体"/>
                <w:color w:val="auto"/>
                <w:szCs w:val="21"/>
                <w:highlight w:val="none"/>
              </w:rPr>
              <w:t>的；</w:t>
            </w:r>
          </w:p>
          <w:p w14:paraId="612F630B">
            <w:pPr>
              <w:pStyle w:val="12"/>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hAnsi="宋体" w:cs="宋体"/>
                <w:color w:val="auto"/>
                <w:szCs w:val="21"/>
                <w:highlight w:val="none"/>
                <w:lang w:val="en-US" w:eastAsia="zh-CN"/>
              </w:rPr>
              <w:t>五</w:t>
            </w:r>
            <w:r>
              <w:rPr>
                <w:rFonts w:hint="eastAsia" w:ascii="宋体" w:hAnsi="宋体" w:eastAsia="宋体" w:cs="宋体"/>
                <w:color w:val="auto"/>
                <w:szCs w:val="21"/>
                <w:highlight w:val="none"/>
              </w:rPr>
              <w:t>个档次（</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：材料投入计划与施工进度计划</w:t>
            </w:r>
            <w:r>
              <w:rPr>
                <w:rFonts w:hint="eastAsia" w:hAnsi="宋体" w:cs="宋体"/>
                <w:color w:val="auto"/>
                <w:szCs w:val="21"/>
                <w:highlight w:val="none"/>
                <w:lang w:val="en-US" w:eastAsia="zh-CN"/>
              </w:rPr>
              <w:t>部分</w:t>
            </w:r>
            <w:r>
              <w:rPr>
                <w:rFonts w:hint="eastAsia" w:ascii="宋体" w:hAnsi="宋体" w:eastAsia="宋体" w:cs="宋体"/>
                <w:color w:val="auto"/>
                <w:szCs w:val="21"/>
                <w:highlight w:val="none"/>
              </w:rPr>
              <w:t>呼应，能</w:t>
            </w:r>
            <w:r>
              <w:rPr>
                <w:rFonts w:hint="eastAsia" w:hAnsi="宋体" w:cs="宋体"/>
                <w:color w:val="auto"/>
                <w:szCs w:val="21"/>
                <w:highlight w:val="none"/>
                <w:lang w:val="en-US" w:eastAsia="zh-CN"/>
              </w:rPr>
              <w:t>部分</w:t>
            </w:r>
            <w:r>
              <w:rPr>
                <w:rFonts w:hint="eastAsia" w:ascii="宋体" w:hAnsi="宋体" w:eastAsia="宋体" w:cs="宋体"/>
                <w:color w:val="auto"/>
                <w:szCs w:val="21"/>
                <w:highlight w:val="none"/>
              </w:rPr>
              <w:t>满足施工需要，调配投入计划基本合理，</w:t>
            </w:r>
            <w:r>
              <w:rPr>
                <w:rFonts w:hint="eastAsia" w:ascii="宋体" w:hAnsi="宋体" w:eastAsia="宋体" w:cs="宋体"/>
                <w:color w:val="auto"/>
                <w:kern w:val="0"/>
                <w:szCs w:val="21"/>
                <w:highlight w:val="none"/>
              </w:rPr>
              <w:t>材料来源基本有依据、产地或厂家明确</w:t>
            </w:r>
            <w:r>
              <w:rPr>
                <w:rFonts w:hint="eastAsia" w:ascii="宋体" w:hAnsi="宋体" w:eastAsia="宋体" w:cs="宋体"/>
                <w:color w:val="auto"/>
                <w:szCs w:val="21"/>
                <w:highlight w:val="none"/>
              </w:rPr>
              <w:t>的；</w:t>
            </w:r>
          </w:p>
          <w:p w14:paraId="6B9F14E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cs="宋体"/>
                <w:color w:val="auto"/>
                <w:szCs w:val="21"/>
                <w:highlight w:val="none"/>
                <w:lang w:val="en-US" w:eastAsia="zh-CN"/>
              </w:rPr>
              <w:t>六</w:t>
            </w:r>
            <w:r>
              <w:rPr>
                <w:rFonts w:hint="eastAsia" w:ascii="宋体" w:hAnsi="宋体" w:eastAsia="宋体" w:cs="宋体"/>
                <w:color w:val="auto"/>
                <w:szCs w:val="21"/>
                <w:highlight w:val="none"/>
              </w:rPr>
              <w:t>个档次（</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材料投入计划与施工进度计划</w:t>
            </w:r>
            <w:r>
              <w:rPr>
                <w:rFonts w:hint="eastAsia" w:ascii="宋体" w:hAnsi="宋体" w:eastAsia="宋体" w:cs="宋体"/>
                <w:color w:val="auto"/>
                <w:szCs w:val="21"/>
                <w:highlight w:val="none"/>
                <w:lang w:val="en-US" w:eastAsia="zh-CN"/>
              </w:rPr>
              <w:t>有欠缺</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不太</w:t>
            </w:r>
            <w:r>
              <w:rPr>
                <w:rFonts w:hint="eastAsia" w:ascii="宋体" w:hAnsi="宋体" w:eastAsia="宋体" w:cs="宋体"/>
                <w:color w:val="auto"/>
                <w:szCs w:val="21"/>
                <w:highlight w:val="none"/>
              </w:rPr>
              <w:t>满足施工需要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调配投入计划基本合理</w:t>
            </w:r>
            <w:r>
              <w:rPr>
                <w:rFonts w:hint="eastAsia" w:ascii="宋体" w:hAnsi="宋体" w:eastAsia="宋体" w:cs="宋体"/>
                <w:color w:val="auto"/>
                <w:szCs w:val="21"/>
                <w:highlight w:val="none"/>
                <w:lang w:val="en-US" w:eastAsia="zh-CN"/>
              </w:rPr>
              <w:t>但有欠缺</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材料来源</w:t>
            </w:r>
            <w:r>
              <w:rPr>
                <w:rFonts w:hint="eastAsia" w:ascii="宋体" w:hAnsi="宋体" w:eastAsia="宋体" w:cs="宋体"/>
                <w:color w:val="auto"/>
                <w:kern w:val="0"/>
                <w:szCs w:val="21"/>
                <w:highlight w:val="none"/>
                <w:lang w:val="en-US" w:eastAsia="zh-CN"/>
              </w:rPr>
              <w:t>少部分</w:t>
            </w:r>
            <w:r>
              <w:rPr>
                <w:rFonts w:hint="eastAsia" w:ascii="宋体" w:hAnsi="宋体" w:eastAsia="宋体" w:cs="宋体"/>
                <w:color w:val="auto"/>
                <w:kern w:val="0"/>
                <w:szCs w:val="21"/>
                <w:highlight w:val="none"/>
              </w:rPr>
              <w:t>有依据、产地或厂家明确</w:t>
            </w:r>
            <w:r>
              <w:rPr>
                <w:rFonts w:hint="eastAsia" w:ascii="宋体" w:hAnsi="宋体" w:eastAsia="宋体" w:cs="宋体"/>
                <w:color w:val="auto"/>
                <w:szCs w:val="21"/>
                <w:highlight w:val="none"/>
              </w:rPr>
              <w:t>的；</w:t>
            </w:r>
          </w:p>
          <w:p w14:paraId="46DEB2FF">
            <w:pPr>
              <w:spacing w:line="240" w:lineRule="atLeast"/>
              <w:rPr>
                <w:rFonts w:hint="eastAsia" w:ascii="宋体" w:hAnsi="宋体" w:cs="宋体"/>
                <w:bCs/>
                <w:color w:val="auto"/>
                <w:szCs w:val="21"/>
                <w:highlight w:val="none"/>
              </w:rPr>
            </w:pPr>
            <w:r>
              <w:rPr>
                <w:rFonts w:hint="eastAsia" w:ascii="宋体" w:hAnsi="宋体" w:eastAsia="宋体" w:cs="宋体"/>
                <w:b/>
                <w:bCs/>
                <w:color w:val="auto"/>
                <w:szCs w:val="21"/>
                <w:highlight w:val="none"/>
              </w:rPr>
              <w:t>注：拟投入本项目的主要材料需提供来源依据（产地、厂家）等信息，证明材料包含但不限于生产厂家出具的授权书或生产厂家出</w:t>
            </w:r>
            <w:r>
              <w:rPr>
                <w:rFonts w:hint="eastAsia" w:ascii="宋体" w:hAnsi="宋体" w:cs="宋体"/>
                <w:b/>
                <w:bCs/>
                <w:color w:val="auto"/>
                <w:szCs w:val="21"/>
                <w:highlight w:val="none"/>
                <w:lang w:eastAsia="zh-CN"/>
              </w:rPr>
              <w:t>具的</w:t>
            </w:r>
            <w:r>
              <w:rPr>
                <w:rFonts w:hint="eastAsia" w:ascii="宋体" w:hAnsi="宋体" w:eastAsia="宋体" w:cs="宋体"/>
                <w:b/>
                <w:bCs/>
                <w:color w:val="auto"/>
                <w:szCs w:val="21"/>
                <w:highlight w:val="none"/>
              </w:rPr>
              <w:t>证明材料等。</w:t>
            </w:r>
            <w:r>
              <w:rPr>
                <w:rFonts w:hint="eastAsia" w:ascii="宋体" w:hAnsi="宋体" w:cs="宋体"/>
                <w:color w:val="auto"/>
                <w:sz w:val="21"/>
                <w:szCs w:val="21"/>
                <w:highlight w:val="none"/>
                <w:lang w:val="en-US" w:eastAsia="zh-CN"/>
              </w:rPr>
              <w:t>未提供不得分。</w:t>
            </w:r>
          </w:p>
        </w:tc>
      </w:tr>
      <w:tr w14:paraId="57F9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59" w:type="dxa"/>
            <w:vMerge w:val="continue"/>
            <w:noWrap w:val="0"/>
            <w:vAlign w:val="center"/>
          </w:tcPr>
          <w:p w14:paraId="0B107C99">
            <w:pPr>
              <w:rPr>
                <w:rFonts w:hint="eastAsia" w:ascii="宋体" w:hAnsi="宋体"/>
                <w:color w:val="auto"/>
                <w:szCs w:val="21"/>
                <w:highlight w:val="none"/>
              </w:rPr>
            </w:pPr>
          </w:p>
        </w:tc>
        <w:tc>
          <w:tcPr>
            <w:tcW w:w="698" w:type="dxa"/>
            <w:vMerge w:val="continue"/>
            <w:noWrap w:val="0"/>
            <w:vAlign w:val="center"/>
          </w:tcPr>
          <w:p w14:paraId="718C010B">
            <w:pPr>
              <w:rPr>
                <w:rFonts w:hint="eastAsia" w:ascii="宋体" w:hAnsi="宋体"/>
                <w:color w:val="auto"/>
                <w:szCs w:val="21"/>
                <w:highlight w:val="none"/>
              </w:rPr>
            </w:pPr>
          </w:p>
        </w:tc>
        <w:tc>
          <w:tcPr>
            <w:tcW w:w="541" w:type="dxa"/>
            <w:noWrap w:val="0"/>
            <w:vAlign w:val="center"/>
          </w:tcPr>
          <w:p w14:paraId="6E60761E">
            <w:pPr>
              <w:snapToGrid w:val="0"/>
              <w:jc w:val="center"/>
              <w:rPr>
                <w:rFonts w:ascii="宋体" w:hAnsi="宋体" w:cs="宋体"/>
                <w:color w:val="auto"/>
                <w:szCs w:val="21"/>
                <w:highlight w:val="none"/>
              </w:rPr>
            </w:pPr>
            <w:r>
              <w:rPr>
                <w:rFonts w:hint="eastAsia" w:ascii="宋体" w:hAnsi="宋体" w:cs="宋体"/>
                <w:color w:val="auto"/>
                <w:szCs w:val="21"/>
                <w:highlight w:val="none"/>
              </w:rPr>
              <w:t>2.4</w:t>
            </w:r>
          </w:p>
        </w:tc>
        <w:tc>
          <w:tcPr>
            <w:tcW w:w="1277" w:type="dxa"/>
            <w:noWrap w:val="0"/>
            <w:vAlign w:val="center"/>
          </w:tcPr>
          <w:p w14:paraId="2EF88746">
            <w:pPr>
              <w:snapToGrid w:val="0"/>
              <w:jc w:val="center"/>
              <w:rPr>
                <w:rFonts w:ascii="宋体" w:hAnsi="宋体" w:cs="宋体"/>
                <w:b/>
                <w:color w:val="auto"/>
                <w:szCs w:val="21"/>
                <w:highlight w:val="none"/>
              </w:rPr>
            </w:pPr>
            <w:r>
              <w:rPr>
                <w:rFonts w:hint="eastAsia" w:ascii="宋体" w:hAnsi="宋体" w:cs="宋体"/>
                <w:b/>
                <w:color w:val="auto"/>
                <w:szCs w:val="21"/>
                <w:highlight w:val="none"/>
              </w:rPr>
              <w:t>商务</w:t>
            </w:r>
            <w:r>
              <w:rPr>
                <w:rFonts w:hint="eastAsia" w:ascii="宋体" w:hAnsi="宋体" w:cs="宋体"/>
                <w:b/>
                <w:color w:val="auto"/>
                <w:szCs w:val="21"/>
                <w:highlight w:val="none"/>
                <w:lang w:eastAsia="zh-CN"/>
              </w:rPr>
              <w:t>部分</w:t>
            </w:r>
            <w:r>
              <w:rPr>
                <w:rFonts w:ascii="宋体" w:hAnsi="宋体" w:cs="宋体"/>
                <w:b/>
                <w:color w:val="auto"/>
                <w:szCs w:val="21"/>
                <w:highlight w:val="none"/>
              </w:rPr>
              <w:t>评分</w:t>
            </w:r>
            <w:r>
              <w:rPr>
                <w:rFonts w:hint="eastAsia" w:ascii="宋体" w:hAnsi="宋体" w:cs="宋体"/>
                <w:b/>
                <w:color w:val="auto"/>
                <w:szCs w:val="21"/>
                <w:highlight w:val="none"/>
              </w:rPr>
              <w:t>F3</w:t>
            </w:r>
          </w:p>
        </w:tc>
        <w:tc>
          <w:tcPr>
            <w:tcW w:w="760" w:type="dxa"/>
            <w:noWrap w:val="0"/>
            <w:vAlign w:val="center"/>
          </w:tcPr>
          <w:p w14:paraId="77DE93F6">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29</w:t>
            </w:r>
            <w:r>
              <w:rPr>
                <w:rFonts w:hint="eastAsia" w:ascii="宋体" w:hAnsi="宋体" w:cs="宋体"/>
                <w:color w:val="auto"/>
                <w:szCs w:val="21"/>
                <w:highlight w:val="none"/>
              </w:rPr>
              <w:t>分</w:t>
            </w:r>
          </w:p>
        </w:tc>
        <w:tc>
          <w:tcPr>
            <w:tcW w:w="5418" w:type="dxa"/>
            <w:noWrap w:val="0"/>
            <w:vAlign w:val="center"/>
          </w:tcPr>
          <w:p w14:paraId="7465C383">
            <w:pPr>
              <w:snapToGrid w:val="0"/>
              <w:jc w:val="center"/>
              <w:rPr>
                <w:rFonts w:ascii="宋体" w:hAnsi="宋体" w:cs="宋体"/>
                <w:b/>
                <w:color w:val="auto"/>
                <w:szCs w:val="21"/>
                <w:highlight w:val="none"/>
              </w:rPr>
            </w:pPr>
            <w:r>
              <w:rPr>
                <w:rFonts w:hint="eastAsia" w:ascii="宋体" w:hAnsi="宋体"/>
                <w:b/>
                <w:color w:val="auto"/>
                <w:szCs w:val="21"/>
                <w:highlight w:val="none"/>
              </w:rPr>
              <w:t>评审内容包括</w:t>
            </w:r>
          </w:p>
        </w:tc>
      </w:tr>
      <w:tr w14:paraId="5C79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9" w:type="dxa"/>
            <w:vMerge w:val="continue"/>
            <w:noWrap w:val="0"/>
            <w:vAlign w:val="center"/>
          </w:tcPr>
          <w:p w14:paraId="013A475E">
            <w:pPr>
              <w:rPr>
                <w:rFonts w:hint="eastAsia" w:ascii="宋体" w:hAnsi="宋体"/>
                <w:color w:val="auto"/>
                <w:szCs w:val="21"/>
                <w:highlight w:val="none"/>
              </w:rPr>
            </w:pPr>
          </w:p>
        </w:tc>
        <w:tc>
          <w:tcPr>
            <w:tcW w:w="698" w:type="dxa"/>
            <w:vMerge w:val="continue"/>
            <w:noWrap w:val="0"/>
            <w:vAlign w:val="center"/>
          </w:tcPr>
          <w:p w14:paraId="36133D69">
            <w:pPr>
              <w:rPr>
                <w:rFonts w:hint="eastAsia" w:ascii="宋体" w:hAnsi="宋体"/>
                <w:color w:val="auto"/>
                <w:szCs w:val="21"/>
                <w:highlight w:val="none"/>
              </w:rPr>
            </w:pPr>
          </w:p>
        </w:tc>
        <w:tc>
          <w:tcPr>
            <w:tcW w:w="541" w:type="dxa"/>
            <w:noWrap w:val="0"/>
            <w:vAlign w:val="center"/>
          </w:tcPr>
          <w:p w14:paraId="21DF2C74">
            <w:pPr>
              <w:snapToGrid w:val="0"/>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277" w:type="dxa"/>
            <w:noWrap w:val="0"/>
            <w:vAlign w:val="center"/>
          </w:tcPr>
          <w:p w14:paraId="04579BF6">
            <w:pPr>
              <w:spacing w:line="240" w:lineRule="atLeast"/>
              <w:jc w:val="center"/>
              <w:rPr>
                <w:rFonts w:hint="eastAsia"/>
                <w:color w:val="auto"/>
                <w:szCs w:val="21"/>
                <w:highlight w:val="none"/>
              </w:rPr>
            </w:pPr>
            <w:r>
              <w:rPr>
                <w:rFonts w:hint="eastAsia" w:ascii="宋体" w:hAnsi="宋体" w:eastAsia="宋体" w:cs="宋体"/>
                <w:bCs/>
                <w:color w:val="auto"/>
                <w:szCs w:val="21"/>
                <w:highlight w:val="none"/>
              </w:rPr>
              <w:t>工期承诺及保证措施审查评分</w:t>
            </w:r>
          </w:p>
        </w:tc>
        <w:tc>
          <w:tcPr>
            <w:tcW w:w="760" w:type="dxa"/>
            <w:noWrap w:val="0"/>
            <w:vAlign w:val="center"/>
          </w:tcPr>
          <w:p w14:paraId="59D8257D">
            <w:pPr>
              <w:rPr>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分</w:t>
            </w:r>
          </w:p>
        </w:tc>
        <w:tc>
          <w:tcPr>
            <w:tcW w:w="5418" w:type="dxa"/>
            <w:noWrap w:val="0"/>
            <w:vAlign w:val="center"/>
          </w:tcPr>
          <w:p w14:paraId="13F68AF3">
            <w:pPr>
              <w:spacing w:line="240" w:lineRule="atLeast"/>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eastAsia="zh-CN"/>
              </w:rPr>
              <w:t>1</w:t>
            </w:r>
            <w:r>
              <w:rPr>
                <w:rFonts w:hint="eastAsia" w:ascii="宋体" w:hAnsi="宋体" w:eastAsia="宋体" w:cs="宋体"/>
                <w:b/>
                <w:bCs w:val="0"/>
                <w:color w:val="auto"/>
                <w:sz w:val="21"/>
                <w:szCs w:val="21"/>
                <w:highlight w:val="none"/>
                <w:lang w:val="en-US" w:eastAsia="zh-CN"/>
              </w:rPr>
              <w:t>.</w:t>
            </w:r>
            <w:r>
              <w:rPr>
                <w:rFonts w:hint="eastAsia" w:ascii="宋体" w:hAnsi="宋体" w:eastAsia="宋体" w:cs="宋体"/>
                <w:b/>
                <w:bCs w:val="0"/>
                <w:color w:val="auto"/>
                <w:sz w:val="21"/>
                <w:szCs w:val="21"/>
                <w:highlight w:val="none"/>
              </w:rPr>
              <w:t>工期承诺（3分）</w:t>
            </w:r>
          </w:p>
          <w:p w14:paraId="315C5337">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第一个档次（3分）：工期承诺提前且满足竞争性磋商文件要求的；</w:t>
            </w:r>
          </w:p>
          <w:p w14:paraId="7F325222">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第二个档次（2分）：工期承诺满足竞争性磋商文件要求的；</w:t>
            </w:r>
          </w:p>
          <w:p w14:paraId="01B598F7">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第三个档次（1分）：工期承</w:t>
            </w:r>
            <w:r>
              <w:rPr>
                <w:rFonts w:hint="eastAsia" w:ascii="宋体" w:hAnsi="宋体" w:eastAsia="宋体" w:cs="宋体"/>
                <w:bCs/>
                <w:color w:val="auto"/>
                <w:sz w:val="21"/>
                <w:szCs w:val="21"/>
                <w:highlight w:val="none"/>
                <w:lang w:val="en-US" w:eastAsia="zh-CN"/>
              </w:rPr>
              <w:t>诺滞</w:t>
            </w:r>
            <w:r>
              <w:rPr>
                <w:rFonts w:hint="eastAsia" w:ascii="宋体" w:hAnsi="宋体" w:eastAsia="宋体" w:cs="宋体"/>
                <w:bCs/>
                <w:color w:val="auto"/>
                <w:sz w:val="21"/>
                <w:szCs w:val="21"/>
                <w:highlight w:val="none"/>
              </w:rPr>
              <w:t>后且满足竞争性磋商文件要求的；</w:t>
            </w:r>
          </w:p>
          <w:p w14:paraId="4540364D">
            <w:pPr>
              <w:spacing w:line="240" w:lineRule="atLeast"/>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2.</w:t>
            </w:r>
            <w:r>
              <w:rPr>
                <w:rFonts w:hint="eastAsia" w:ascii="宋体" w:hAnsi="宋体" w:eastAsia="宋体" w:cs="宋体"/>
                <w:b/>
                <w:bCs w:val="0"/>
                <w:color w:val="auto"/>
                <w:sz w:val="21"/>
                <w:szCs w:val="21"/>
                <w:highlight w:val="none"/>
              </w:rPr>
              <w:t>工期承诺保证体系（</w:t>
            </w:r>
            <w:r>
              <w:rPr>
                <w:rFonts w:hint="eastAsia" w:ascii="宋体" w:hAnsi="宋体" w:eastAsia="宋体" w:cs="宋体"/>
                <w:b/>
                <w:bCs w:val="0"/>
                <w:color w:val="auto"/>
                <w:sz w:val="21"/>
                <w:szCs w:val="21"/>
                <w:highlight w:val="none"/>
                <w:lang w:val="en-US" w:eastAsia="zh-CN"/>
              </w:rPr>
              <w:t>3</w:t>
            </w:r>
            <w:r>
              <w:rPr>
                <w:rFonts w:hint="eastAsia" w:ascii="宋体" w:hAnsi="宋体" w:eastAsia="宋体" w:cs="宋体"/>
                <w:b/>
                <w:bCs w:val="0"/>
                <w:color w:val="auto"/>
                <w:sz w:val="21"/>
                <w:szCs w:val="21"/>
                <w:highlight w:val="none"/>
              </w:rPr>
              <w:t>分）</w:t>
            </w:r>
          </w:p>
          <w:p w14:paraId="70CF12BE">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第一个档次（</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分）：具有详细工期承诺保证体系，且提供具体的体系框架内容的；</w:t>
            </w:r>
          </w:p>
          <w:p w14:paraId="3AE8D88F">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第二个档次（</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分）：具有工期承诺保证体系，提供</w:t>
            </w:r>
            <w:r>
              <w:rPr>
                <w:rFonts w:hint="eastAsia" w:ascii="宋体" w:hAnsi="宋体" w:eastAsia="宋体" w:cs="宋体"/>
                <w:bCs/>
                <w:color w:val="auto"/>
                <w:sz w:val="21"/>
                <w:szCs w:val="21"/>
                <w:highlight w:val="none"/>
                <w:lang w:eastAsia="zh-CN"/>
              </w:rPr>
              <w:t>了</w:t>
            </w:r>
            <w:r>
              <w:rPr>
                <w:rFonts w:hint="eastAsia" w:ascii="宋体" w:hAnsi="宋体" w:eastAsia="宋体" w:cs="宋体"/>
                <w:bCs/>
                <w:color w:val="auto"/>
                <w:sz w:val="21"/>
                <w:szCs w:val="21"/>
                <w:highlight w:val="none"/>
              </w:rPr>
              <w:t>体系框架内容的。</w:t>
            </w:r>
          </w:p>
          <w:p w14:paraId="6D2E7D18">
            <w:pPr>
              <w:spacing w:line="240" w:lineRule="atLeast"/>
              <w:jc w:val="left"/>
              <w:rPr>
                <w:rFonts w:hint="eastAsia" w:ascii="宋体" w:hAnsi="宋体" w:eastAsia="宋体" w:cs="宋体"/>
                <w:color w:val="auto"/>
                <w:szCs w:val="21"/>
                <w:highlight w:val="none"/>
              </w:rPr>
            </w:pPr>
            <w:r>
              <w:rPr>
                <w:rFonts w:hint="eastAsia" w:ascii="宋体" w:hAnsi="宋体" w:eastAsia="宋体" w:cs="宋体"/>
                <w:bCs/>
                <w:color w:val="auto"/>
                <w:sz w:val="21"/>
                <w:szCs w:val="21"/>
                <w:highlight w:val="none"/>
              </w:rPr>
              <w:t>第</w:t>
            </w:r>
            <w:r>
              <w:rPr>
                <w:rFonts w:hint="eastAsia" w:ascii="宋体" w:hAnsi="宋体" w:eastAsia="宋体" w:cs="宋体"/>
                <w:bCs/>
                <w:color w:val="auto"/>
                <w:sz w:val="21"/>
                <w:szCs w:val="21"/>
                <w:highlight w:val="none"/>
                <w:lang w:val="en-US" w:eastAsia="zh-CN"/>
              </w:rPr>
              <w:t>三</w:t>
            </w:r>
            <w:r>
              <w:rPr>
                <w:rFonts w:hint="eastAsia" w:ascii="宋体" w:hAnsi="宋体" w:eastAsia="宋体" w:cs="宋体"/>
                <w:bCs/>
                <w:color w:val="auto"/>
                <w:sz w:val="21"/>
                <w:szCs w:val="21"/>
                <w:highlight w:val="none"/>
              </w:rPr>
              <w:t>个档次（1分）：具有工期承诺保证体系，提体系框架内容不全面的。</w:t>
            </w:r>
          </w:p>
          <w:p w14:paraId="5B9C7C8F">
            <w:pPr>
              <w:spacing w:line="240" w:lineRule="atLeast"/>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eastAsia="zh-CN"/>
              </w:rPr>
              <w:t>3</w:t>
            </w:r>
            <w:r>
              <w:rPr>
                <w:rFonts w:hint="eastAsia" w:ascii="宋体" w:hAnsi="宋体" w:eastAsia="宋体" w:cs="宋体"/>
                <w:b/>
                <w:bCs w:val="0"/>
                <w:color w:val="auto"/>
                <w:sz w:val="21"/>
                <w:szCs w:val="21"/>
                <w:highlight w:val="none"/>
                <w:lang w:val="en-US" w:eastAsia="zh-CN"/>
              </w:rPr>
              <w:t>.</w:t>
            </w:r>
            <w:r>
              <w:rPr>
                <w:rFonts w:hint="eastAsia" w:ascii="宋体" w:hAnsi="宋体" w:eastAsia="宋体" w:cs="宋体"/>
                <w:b/>
                <w:bCs w:val="0"/>
                <w:color w:val="auto"/>
                <w:sz w:val="21"/>
                <w:szCs w:val="21"/>
                <w:highlight w:val="none"/>
              </w:rPr>
              <w:t>工期承诺保证措施（</w:t>
            </w:r>
            <w:r>
              <w:rPr>
                <w:rFonts w:hint="eastAsia" w:ascii="宋体" w:hAnsi="宋体" w:eastAsia="宋体" w:cs="宋体"/>
                <w:b/>
                <w:bCs w:val="0"/>
                <w:color w:val="auto"/>
                <w:sz w:val="21"/>
                <w:szCs w:val="21"/>
                <w:highlight w:val="none"/>
                <w:lang w:val="en-US" w:eastAsia="zh-CN"/>
              </w:rPr>
              <w:t>3</w:t>
            </w:r>
            <w:r>
              <w:rPr>
                <w:rFonts w:hint="eastAsia" w:ascii="宋体" w:hAnsi="宋体" w:eastAsia="宋体" w:cs="宋体"/>
                <w:b/>
                <w:bCs w:val="0"/>
                <w:color w:val="auto"/>
                <w:sz w:val="21"/>
                <w:szCs w:val="21"/>
                <w:highlight w:val="none"/>
              </w:rPr>
              <w:t>分）</w:t>
            </w:r>
          </w:p>
          <w:p w14:paraId="66F168C4">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第一个档次（</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分）：工期承诺保证措施详细具体，管理措施划分清晰的，对工程具有指导性的；</w:t>
            </w:r>
          </w:p>
          <w:p w14:paraId="4FC772D3">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第二个档次（</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分）：工期承诺保证措施具体，管理措施划分明确的。</w:t>
            </w:r>
          </w:p>
          <w:p w14:paraId="0BA9B607">
            <w:pPr>
              <w:spacing w:line="240" w:lineRule="atLeast"/>
              <w:jc w:val="left"/>
              <w:rPr>
                <w:rFonts w:hint="eastAsia" w:ascii="宋体" w:hAnsi="宋体" w:eastAsia="宋体" w:cs="宋体"/>
                <w:color w:val="auto"/>
                <w:szCs w:val="21"/>
                <w:highlight w:val="none"/>
              </w:rPr>
            </w:pPr>
            <w:r>
              <w:rPr>
                <w:rFonts w:hint="eastAsia" w:ascii="宋体" w:hAnsi="宋体" w:eastAsia="宋体" w:cs="宋体"/>
                <w:bCs/>
                <w:color w:val="auto"/>
                <w:sz w:val="21"/>
                <w:szCs w:val="21"/>
                <w:highlight w:val="none"/>
              </w:rPr>
              <w:t>第</w:t>
            </w:r>
            <w:r>
              <w:rPr>
                <w:rFonts w:hint="eastAsia" w:ascii="宋体" w:hAnsi="宋体" w:eastAsia="宋体" w:cs="宋体"/>
                <w:bCs/>
                <w:color w:val="auto"/>
                <w:sz w:val="21"/>
                <w:szCs w:val="21"/>
                <w:highlight w:val="none"/>
                <w:lang w:val="en-US" w:eastAsia="zh-CN"/>
              </w:rPr>
              <w:t>三</w:t>
            </w:r>
            <w:r>
              <w:rPr>
                <w:rFonts w:hint="eastAsia" w:ascii="宋体" w:hAnsi="宋体" w:eastAsia="宋体" w:cs="宋体"/>
                <w:bCs/>
                <w:color w:val="auto"/>
                <w:sz w:val="21"/>
                <w:szCs w:val="21"/>
                <w:highlight w:val="none"/>
              </w:rPr>
              <w:t>个档次（1分）：工期承诺保证措施不具体，管理措施划分不明确的。</w:t>
            </w:r>
          </w:p>
          <w:p w14:paraId="6E5B3FE1">
            <w:pPr>
              <w:spacing w:line="240" w:lineRule="atLeast"/>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eastAsia="zh-CN"/>
              </w:rPr>
              <w:t>4</w:t>
            </w:r>
            <w:r>
              <w:rPr>
                <w:rFonts w:hint="eastAsia" w:ascii="宋体" w:hAnsi="宋体" w:eastAsia="宋体" w:cs="宋体"/>
                <w:b/>
                <w:bCs w:val="0"/>
                <w:color w:val="auto"/>
                <w:sz w:val="21"/>
                <w:szCs w:val="21"/>
                <w:highlight w:val="none"/>
                <w:lang w:val="en-US" w:eastAsia="zh-CN"/>
              </w:rPr>
              <w:t>.</w:t>
            </w:r>
            <w:r>
              <w:rPr>
                <w:rFonts w:hint="eastAsia" w:ascii="宋体" w:hAnsi="宋体" w:eastAsia="宋体" w:cs="宋体"/>
                <w:b/>
                <w:bCs w:val="0"/>
                <w:color w:val="auto"/>
                <w:sz w:val="21"/>
                <w:szCs w:val="21"/>
                <w:highlight w:val="none"/>
              </w:rPr>
              <w:t>工期承诺违约承诺（3分）</w:t>
            </w:r>
          </w:p>
          <w:p w14:paraId="13AA770F">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第一个档次（3分）：违约承诺内容详细具体，有明确的违约金额，且违约金额设定符合项目实际情况的；</w:t>
            </w:r>
          </w:p>
          <w:p w14:paraId="70D4369A">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第二个档次（2分）：违约承诺内容具体，有明确的违约金额的。</w:t>
            </w:r>
          </w:p>
          <w:p w14:paraId="3EBA797C">
            <w:pPr>
              <w:spacing w:line="240" w:lineRule="atLeast"/>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第三个档次（1分）：违约承诺内容具体，没有明确的违约金额的。</w:t>
            </w:r>
          </w:p>
          <w:p w14:paraId="6F082175">
            <w:pPr>
              <w:spacing w:line="240" w:lineRule="atLeast"/>
              <w:jc w:val="left"/>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未提供不得分。</w:t>
            </w:r>
          </w:p>
        </w:tc>
      </w:tr>
      <w:tr w14:paraId="3F3D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559" w:type="dxa"/>
            <w:vMerge w:val="continue"/>
            <w:noWrap w:val="0"/>
            <w:vAlign w:val="center"/>
          </w:tcPr>
          <w:p w14:paraId="3ECE29EB">
            <w:pPr>
              <w:rPr>
                <w:rFonts w:hint="eastAsia" w:ascii="宋体" w:hAnsi="宋体"/>
                <w:color w:val="auto"/>
                <w:szCs w:val="21"/>
                <w:highlight w:val="none"/>
              </w:rPr>
            </w:pPr>
          </w:p>
        </w:tc>
        <w:tc>
          <w:tcPr>
            <w:tcW w:w="698" w:type="dxa"/>
            <w:vMerge w:val="continue"/>
            <w:noWrap w:val="0"/>
            <w:vAlign w:val="center"/>
          </w:tcPr>
          <w:p w14:paraId="01CD188E">
            <w:pPr>
              <w:rPr>
                <w:rFonts w:hint="eastAsia" w:ascii="宋体" w:hAnsi="宋体"/>
                <w:color w:val="auto"/>
                <w:szCs w:val="21"/>
                <w:highlight w:val="none"/>
              </w:rPr>
            </w:pPr>
          </w:p>
        </w:tc>
        <w:tc>
          <w:tcPr>
            <w:tcW w:w="541" w:type="dxa"/>
            <w:noWrap w:val="0"/>
            <w:vAlign w:val="center"/>
          </w:tcPr>
          <w:p w14:paraId="54A1FFB6">
            <w:pPr>
              <w:snapToGrid w:val="0"/>
              <w:jc w:val="center"/>
              <w:rPr>
                <w:rFonts w:hint="eastAsia" w:ascii="宋体" w:hAnsi="宋体"/>
                <w:color w:val="auto"/>
                <w:szCs w:val="21"/>
                <w:highlight w:val="none"/>
              </w:rPr>
            </w:pPr>
            <w:r>
              <w:rPr>
                <w:rFonts w:hint="eastAsia" w:ascii="宋体" w:hAnsi="宋体"/>
                <w:color w:val="auto"/>
                <w:szCs w:val="21"/>
                <w:highlight w:val="none"/>
              </w:rPr>
              <w:t>2）</w:t>
            </w:r>
          </w:p>
        </w:tc>
        <w:tc>
          <w:tcPr>
            <w:tcW w:w="1277" w:type="dxa"/>
            <w:noWrap w:val="0"/>
            <w:vAlign w:val="center"/>
          </w:tcPr>
          <w:p w14:paraId="30EC7A68">
            <w:pPr>
              <w:spacing w:line="240" w:lineRule="atLeast"/>
              <w:jc w:val="center"/>
              <w:rPr>
                <w:rFonts w:hint="eastAsia"/>
                <w:color w:val="auto"/>
                <w:szCs w:val="21"/>
                <w:highlight w:val="none"/>
              </w:rPr>
            </w:pPr>
            <w:r>
              <w:rPr>
                <w:rFonts w:hint="eastAsia" w:ascii="宋体" w:hAnsi="宋体" w:eastAsia="宋体" w:cs="宋体"/>
                <w:color w:val="auto"/>
                <w:szCs w:val="21"/>
                <w:highlight w:val="none"/>
              </w:rPr>
              <w:t>项目管理人员配置</w:t>
            </w:r>
            <w:r>
              <w:rPr>
                <w:rFonts w:hint="eastAsia" w:ascii="宋体" w:hAnsi="宋体" w:eastAsia="宋体" w:cs="宋体"/>
                <w:color w:val="auto"/>
                <w:szCs w:val="21"/>
                <w:highlight w:val="none"/>
                <w:lang w:val="en-US" w:eastAsia="zh-CN"/>
              </w:rPr>
              <w:t>及分工</w:t>
            </w:r>
            <w:r>
              <w:rPr>
                <w:rFonts w:hint="eastAsia" w:ascii="宋体" w:hAnsi="宋体" w:eastAsia="宋体" w:cs="宋体"/>
                <w:color w:val="auto"/>
                <w:szCs w:val="21"/>
                <w:highlight w:val="none"/>
              </w:rPr>
              <w:t>评审评分</w:t>
            </w:r>
          </w:p>
        </w:tc>
        <w:tc>
          <w:tcPr>
            <w:tcW w:w="760" w:type="dxa"/>
            <w:noWrap w:val="0"/>
            <w:vAlign w:val="center"/>
          </w:tcPr>
          <w:p w14:paraId="30041897">
            <w:pPr>
              <w:adjustRightInd w:val="0"/>
              <w:snapToGrid w:val="0"/>
              <w:spacing w:line="240" w:lineRule="atLeast"/>
              <w:jc w:val="center"/>
              <w:rPr>
                <w:color w:val="auto"/>
                <w:szCs w:val="21"/>
                <w:highlight w:val="none"/>
              </w:rPr>
            </w:pP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分</w:t>
            </w:r>
          </w:p>
        </w:tc>
        <w:tc>
          <w:tcPr>
            <w:tcW w:w="5418" w:type="dxa"/>
            <w:noWrap w:val="0"/>
            <w:vAlign w:val="center"/>
          </w:tcPr>
          <w:p w14:paraId="7F2431AB">
            <w:p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项目管理人员配置（</w:t>
            </w:r>
            <w:r>
              <w:rPr>
                <w:rFonts w:hint="eastAsia" w:ascii="宋体" w:hAnsi="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分）</w:t>
            </w:r>
          </w:p>
          <w:p w14:paraId="0D2CCC4D">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第一个档次（</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分）：项目管理人员对工程实际配置且合理，人员配置数量高于竞争性磋商文件要求且能满足工程管理需要的；</w:t>
            </w:r>
          </w:p>
          <w:p w14:paraId="49C77F30">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第二个档次（</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分）：项目管理人员对工程实际配置且合理，满足竞争性磋商文件要求且能满足工程管理需要的；</w:t>
            </w:r>
          </w:p>
          <w:p w14:paraId="36E54F81">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第三个档次（</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分）：项目管理人员配置合理，能满足工程管理需要的；</w:t>
            </w:r>
          </w:p>
          <w:p w14:paraId="216CCBDB">
            <w:pPr>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第四个档次（</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分）：项目管理人员配置基本合理，基本能满足工程管理需要的</w:t>
            </w:r>
            <w:r>
              <w:rPr>
                <w:rFonts w:hint="eastAsia" w:ascii="宋体" w:hAnsi="宋体" w:eastAsia="宋体" w:cs="宋体"/>
                <w:color w:val="auto"/>
                <w:sz w:val="21"/>
                <w:szCs w:val="21"/>
                <w:highlight w:val="none"/>
                <w:lang w:eastAsia="zh-CN"/>
              </w:rPr>
              <w:t>。</w:t>
            </w:r>
          </w:p>
          <w:p w14:paraId="1129AAB7">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分）：项目管理人员配置</w:t>
            </w:r>
            <w:r>
              <w:rPr>
                <w:rFonts w:hint="eastAsia" w:ascii="宋体" w:hAnsi="宋体" w:eastAsia="宋体" w:cs="宋体"/>
                <w:color w:val="auto"/>
                <w:sz w:val="21"/>
                <w:szCs w:val="21"/>
                <w:highlight w:val="none"/>
                <w:lang w:val="en-US" w:eastAsia="zh-CN"/>
              </w:rPr>
              <w:t>有欠缺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不太能满足</w:t>
            </w:r>
            <w:r>
              <w:rPr>
                <w:rFonts w:hint="eastAsia" w:ascii="宋体" w:hAnsi="宋体" w:eastAsia="宋体" w:cs="宋体"/>
                <w:color w:val="auto"/>
                <w:sz w:val="21"/>
                <w:szCs w:val="21"/>
                <w:highlight w:val="none"/>
              </w:rPr>
              <w:t>工程管理需要</w:t>
            </w:r>
            <w:r>
              <w:rPr>
                <w:rFonts w:hint="eastAsia" w:ascii="宋体" w:hAnsi="宋体" w:eastAsia="宋体" w:cs="宋体"/>
                <w:color w:val="auto"/>
                <w:sz w:val="21"/>
                <w:szCs w:val="21"/>
                <w:highlight w:val="none"/>
                <w:lang w:eastAsia="zh-CN"/>
              </w:rPr>
              <w:t>的。</w:t>
            </w:r>
          </w:p>
          <w:p w14:paraId="7D04E54E">
            <w:p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项目管理人员分工（</w:t>
            </w:r>
            <w:r>
              <w:rPr>
                <w:rFonts w:hint="eastAsia" w:ascii="宋体" w:hAnsi="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分）</w:t>
            </w:r>
          </w:p>
          <w:p w14:paraId="61F4E194">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第一个档次（</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分）：项目管理人员分工详细明确满足竞争性磋商文件要求，有详细具体的岗位职责内容的；</w:t>
            </w:r>
          </w:p>
          <w:p w14:paraId="60C09D77">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第二个档次（</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分）：项目管理人员分工明确满足竞争性磋商文件要求，有具体的岗位职责内容的；</w:t>
            </w:r>
          </w:p>
          <w:p w14:paraId="1A207BB2">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第三个档次（</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分）项目管理人员分工明确基本满足竞争性磋商文件要求，有岗位职责内容的；</w:t>
            </w:r>
          </w:p>
          <w:p w14:paraId="040863A8">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分）：项目管理人员分工基本满足竞争性磋商文件要求，岗位职责内容有一定欠缺的。</w:t>
            </w:r>
          </w:p>
          <w:p w14:paraId="5FB7A7AB">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个档次（</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分）：项目管理人员分工</w:t>
            </w:r>
            <w:r>
              <w:rPr>
                <w:rFonts w:hint="eastAsia" w:ascii="宋体" w:hAnsi="宋体" w:eastAsia="宋体" w:cs="宋体"/>
                <w:color w:val="auto"/>
                <w:sz w:val="21"/>
                <w:szCs w:val="21"/>
                <w:highlight w:val="none"/>
                <w:lang w:val="en-US" w:eastAsia="zh-CN"/>
              </w:rPr>
              <w:t>与</w:t>
            </w:r>
            <w:r>
              <w:rPr>
                <w:rFonts w:hint="eastAsia" w:ascii="宋体" w:hAnsi="宋体" w:eastAsia="宋体" w:cs="宋体"/>
                <w:color w:val="auto"/>
                <w:sz w:val="21"/>
                <w:szCs w:val="21"/>
                <w:highlight w:val="none"/>
              </w:rPr>
              <w:t>竞争性磋商文件要求</w:t>
            </w:r>
            <w:r>
              <w:rPr>
                <w:rFonts w:hint="eastAsia" w:ascii="宋体" w:hAnsi="宋体" w:eastAsia="宋体" w:cs="宋体"/>
                <w:color w:val="auto"/>
                <w:sz w:val="21"/>
                <w:szCs w:val="21"/>
                <w:highlight w:val="none"/>
                <w:lang w:val="en-US" w:eastAsia="zh-CN"/>
              </w:rPr>
              <w:t>不符</w:t>
            </w:r>
            <w:r>
              <w:rPr>
                <w:rFonts w:hint="eastAsia" w:ascii="宋体" w:hAnsi="宋体" w:eastAsia="宋体" w:cs="宋体"/>
                <w:color w:val="auto"/>
                <w:sz w:val="21"/>
                <w:szCs w:val="21"/>
                <w:highlight w:val="none"/>
              </w:rPr>
              <w:t>，岗位职责内容有欠缺的。</w:t>
            </w:r>
          </w:p>
          <w:p w14:paraId="3691B82A">
            <w:pPr>
              <w:spacing w:line="360" w:lineRule="auto"/>
              <w:jc w:val="left"/>
              <w:rPr>
                <w:rFonts w:hint="eastAsia" w:ascii="宋体" w:hAnsi="宋体" w:eastAsia="宋体" w:cs="宋体"/>
                <w:color w:val="auto"/>
                <w:sz w:val="21"/>
                <w:szCs w:val="21"/>
                <w:highlight w:val="none"/>
              </w:rPr>
            </w:pPr>
            <w:r>
              <w:rPr>
                <w:rFonts w:hint="eastAsia" w:ascii="宋体" w:hAnsi="宋体" w:cs="宋体"/>
                <w:b/>
                <w:bCs/>
                <w:color w:val="auto"/>
                <w:szCs w:val="21"/>
                <w:highlight w:val="none"/>
                <w:lang w:val="en-US" w:eastAsia="zh-CN"/>
              </w:rPr>
              <w:t>注：1.</w:t>
            </w:r>
            <w:r>
              <w:rPr>
                <w:rFonts w:hint="eastAsia" w:ascii="宋体" w:hAnsi="宋体" w:cs="宋体"/>
                <w:b/>
                <w:bCs/>
                <w:color w:val="auto"/>
                <w:szCs w:val="21"/>
                <w:highlight w:val="none"/>
              </w:rPr>
              <w:t>响应文件中须提供人员资料，包括身份证、学历证书、职称证（如有）、专业技术执业资格证书（如有）。无人员资料或人员资料不明确、无法体现对应内容的，不予认可</w:t>
            </w:r>
            <w:r>
              <w:rPr>
                <w:rFonts w:ascii="宋体" w:hAnsi="宋体" w:cs="宋体"/>
                <w:b/>
                <w:bCs/>
                <w:snapToGrid w:val="0"/>
                <w:color w:val="auto"/>
                <w:kern w:val="21"/>
                <w:highlight w:val="none"/>
              </w:rPr>
              <w:t>。</w:t>
            </w:r>
          </w:p>
        </w:tc>
      </w:tr>
      <w:tr w14:paraId="3471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trPr>
        <w:tc>
          <w:tcPr>
            <w:tcW w:w="559" w:type="dxa"/>
            <w:vMerge w:val="continue"/>
            <w:noWrap w:val="0"/>
            <w:vAlign w:val="center"/>
          </w:tcPr>
          <w:p w14:paraId="44C25ACE">
            <w:pPr>
              <w:rPr>
                <w:rFonts w:hint="eastAsia" w:ascii="宋体" w:hAnsi="宋体"/>
                <w:color w:val="auto"/>
                <w:szCs w:val="21"/>
                <w:highlight w:val="none"/>
              </w:rPr>
            </w:pPr>
          </w:p>
        </w:tc>
        <w:tc>
          <w:tcPr>
            <w:tcW w:w="698" w:type="dxa"/>
            <w:vMerge w:val="continue"/>
            <w:noWrap w:val="0"/>
            <w:vAlign w:val="center"/>
          </w:tcPr>
          <w:p w14:paraId="332A2B08">
            <w:pPr>
              <w:rPr>
                <w:rFonts w:hint="eastAsia" w:ascii="宋体" w:hAnsi="宋体"/>
                <w:color w:val="auto"/>
                <w:szCs w:val="21"/>
                <w:highlight w:val="none"/>
              </w:rPr>
            </w:pPr>
          </w:p>
        </w:tc>
        <w:tc>
          <w:tcPr>
            <w:tcW w:w="541" w:type="dxa"/>
            <w:noWrap w:val="0"/>
            <w:vAlign w:val="center"/>
          </w:tcPr>
          <w:p w14:paraId="2CC19DEA">
            <w:pPr>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1277" w:type="dxa"/>
            <w:noWrap w:val="0"/>
            <w:vAlign w:val="center"/>
          </w:tcPr>
          <w:p w14:paraId="2EEF6055">
            <w:pPr>
              <w:spacing w:line="240" w:lineRule="atLeast"/>
              <w:jc w:val="center"/>
              <w:rPr>
                <w:rFonts w:hint="eastAsia" w:ascii="宋体" w:hAnsi="宋体" w:eastAsia="宋体" w:cs="宋体"/>
                <w:color w:val="auto"/>
                <w:szCs w:val="21"/>
                <w:highlight w:val="none"/>
              </w:rPr>
            </w:pPr>
            <w:r>
              <w:rPr>
                <w:rFonts w:hint="eastAsia" w:cs="Times New Roman"/>
                <w:color w:val="auto"/>
                <w:szCs w:val="21"/>
                <w:highlight w:val="none"/>
                <w:lang w:val="en-US" w:eastAsia="zh-CN"/>
              </w:rPr>
              <w:t>优先采购的节能产品或环境标志产品</w:t>
            </w:r>
            <w:r>
              <w:rPr>
                <w:rFonts w:hint="eastAsia" w:ascii="Times New Roman" w:hAnsi="Times New Roman" w:cs="Times New Roman"/>
                <w:color w:val="auto"/>
                <w:szCs w:val="21"/>
                <w:highlight w:val="none"/>
              </w:rPr>
              <w:t>评审评分</w:t>
            </w:r>
          </w:p>
        </w:tc>
        <w:tc>
          <w:tcPr>
            <w:tcW w:w="760" w:type="dxa"/>
            <w:noWrap w:val="0"/>
            <w:vAlign w:val="center"/>
          </w:tcPr>
          <w:p w14:paraId="5AD47248">
            <w:pPr>
              <w:ind w:firstLine="0" w:firstLineChars="0"/>
              <w:rPr>
                <w:rFonts w:hint="default" w:ascii="宋体" w:hAnsi="宋体" w:eastAsia="宋体" w:cs="宋体"/>
                <w:color w:val="auto"/>
                <w:szCs w:val="21"/>
                <w:highlight w:val="none"/>
                <w:lang w:val="en-US" w:eastAsia="zh-CN"/>
              </w:rPr>
            </w:pPr>
            <w:r>
              <w:rPr>
                <w:rFonts w:hint="eastAsia" w:ascii="Times New Roman" w:hAnsi="Times New Roman" w:cs="Times New Roman"/>
                <w:color w:val="auto"/>
                <w:szCs w:val="21"/>
                <w:highlight w:val="none"/>
                <w:lang w:val="en-US" w:eastAsia="zh-CN"/>
              </w:rPr>
              <w:t>1分</w:t>
            </w:r>
          </w:p>
        </w:tc>
        <w:tc>
          <w:tcPr>
            <w:tcW w:w="5418" w:type="dxa"/>
            <w:noWrap w:val="0"/>
            <w:vAlign w:val="center"/>
          </w:tcPr>
          <w:p w14:paraId="53121FCE">
            <w:pPr>
              <w:spacing w:line="360" w:lineRule="auto"/>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投标产品有一项认定为优先采购的节能产品的得0.5分；</w:t>
            </w:r>
          </w:p>
          <w:p w14:paraId="7EAB65DA">
            <w:pPr>
              <w:spacing w:line="360" w:lineRule="auto"/>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投标产品有一项认定为环境标志产品的得0.5分。</w:t>
            </w:r>
          </w:p>
          <w:p w14:paraId="3E745FC9">
            <w:pPr>
              <w:spacing w:line="360" w:lineRule="auto"/>
              <w:rPr>
                <w:rFonts w:hint="eastAsia" w:ascii="宋体" w:hAnsi="宋体" w:eastAsia="宋体" w:cs="宋体"/>
                <w:color w:val="auto"/>
                <w:sz w:val="21"/>
                <w:szCs w:val="21"/>
                <w:highlight w:val="none"/>
              </w:rPr>
            </w:pPr>
            <w:r>
              <w:rPr>
                <w:rFonts w:hint="eastAsia" w:ascii="宋体" w:hAnsi="宋体" w:cs="宋体"/>
                <w:bCs/>
                <w:color w:val="auto"/>
                <w:szCs w:val="21"/>
                <w:highlight w:val="none"/>
                <w:lang w:val="en-US" w:eastAsia="zh-CN"/>
              </w:rPr>
              <w:t>注：若工程量清单中货物为除强制节能产品以外的经国家认定的优先采购的节能产品或环境标志产品，提供有效期内的节能产品认证证书或环境标志产品认证证书，未提供的不得分。</w:t>
            </w:r>
          </w:p>
        </w:tc>
      </w:tr>
      <w:tr w14:paraId="208B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559" w:type="dxa"/>
            <w:vMerge w:val="continue"/>
            <w:noWrap w:val="0"/>
            <w:vAlign w:val="center"/>
          </w:tcPr>
          <w:p w14:paraId="6B3CF120">
            <w:pPr>
              <w:rPr>
                <w:rFonts w:hint="eastAsia" w:ascii="宋体" w:hAnsi="宋体"/>
                <w:color w:val="auto"/>
                <w:szCs w:val="21"/>
                <w:highlight w:val="none"/>
              </w:rPr>
            </w:pPr>
          </w:p>
        </w:tc>
        <w:tc>
          <w:tcPr>
            <w:tcW w:w="698" w:type="dxa"/>
            <w:vMerge w:val="continue"/>
            <w:noWrap w:val="0"/>
            <w:vAlign w:val="center"/>
          </w:tcPr>
          <w:p w14:paraId="2F98C449">
            <w:pPr>
              <w:rPr>
                <w:rFonts w:hint="eastAsia" w:ascii="宋体" w:hAnsi="宋体"/>
                <w:color w:val="auto"/>
                <w:szCs w:val="21"/>
                <w:highlight w:val="none"/>
              </w:rPr>
            </w:pPr>
          </w:p>
        </w:tc>
        <w:tc>
          <w:tcPr>
            <w:tcW w:w="541" w:type="dxa"/>
            <w:noWrap w:val="0"/>
            <w:vAlign w:val="center"/>
          </w:tcPr>
          <w:p w14:paraId="318AB651">
            <w:pPr>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1277" w:type="dxa"/>
            <w:noWrap w:val="0"/>
            <w:vAlign w:val="center"/>
          </w:tcPr>
          <w:p w14:paraId="359D67F7">
            <w:pPr>
              <w:spacing w:line="240" w:lineRule="atLeast"/>
              <w:jc w:val="center"/>
              <w:rPr>
                <w:rFonts w:hint="eastAsia"/>
                <w:color w:val="auto"/>
                <w:highlight w:val="none"/>
              </w:rPr>
            </w:pPr>
            <w:r>
              <w:rPr>
                <w:rFonts w:hint="eastAsia" w:ascii="宋体" w:hAnsi="宋体" w:cs="宋体"/>
                <w:color w:val="auto"/>
                <w:highlight w:val="none"/>
              </w:rPr>
              <w:t>业绩</w:t>
            </w:r>
          </w:p>
        </w:tc>
        <w:tc>
          <w:tcPr>
            <w:tcW w:w="760" w:type="dxa"/>
            <w:noWrap w:val="0"/>
            <w:vAlign w:val="center"/>
          </w:tcPr>
          <w:p w14:paraId="2EB99BBF">
            <w:pPr>
              <w:spacing w:line="240" w:lineRule="atLeast"/>
              <w:jc w:val="center"/>
              <w:rPr>
                <w:rFonts w:hint="eastAsia"/>
                <w:color w:val="auto"/>
                <w:szCs w:val="21"/>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分</w:t>
            </w:r>
          </w:p>
        </w:tc>
        <w:tc>
          <w:tcPr>
            <w:tcW w:w="5418" w:type="dxa"/>
            <w:noWrap w:val="0"/>
            <w:vAlign w:val="center"/>
          </w:tcPr>
          <w:p w14:paraId="1788FDDA">
            <w:pPr>
              <w:tabs>
                <w:tab w:val="left" w:pos="540"/>
              </w:tabs>
              <w:adjustRightInd w:val="0"/>
              <w:spacing w:line="240" w:lineRule="atLeast"/>
              <w:jc w:val="left"/>
              <w:rPr>
                <w:rFonts w:ascii="宋体" w:hAnsi="宋体" w:cs="宋体"/>
                <w:color w:val="auto"/>
                <w:highlight w:val="none"/>
              </w:rPr>
            </w:pPr>
            <w:r>
              <w:rPr>
                <w:rFonts w:hint="eastAsia" w:ascii="宋体" w:hAnsi="宋体" w:cs="宋体"/>
                <w:color w:val="auto"/>
                <w:highlight w:val="none"/>
              </w:rPr>
              <w:t>供应商提供202</w:t>
            </w:r>
            <w:r>
              <w:rPr>
                <w:rFonts w:hint="eastAsia" w:ascii="宋体" w:hAnsi="宋体" w:cs="宋体"/>
                <w:color w:val="auto"/>
                <w:highlight w:val="none"/>
                <w:lang w:val="en-US" w:eastAsia="zh-CN"/>
              </w:rPr>
              <w:t>2</w:t>
            </w:r>
            <w:r>
              <w:rPr>
                <w:rFonts w:hint="eastAsia" w:ascii="宋体" w:hAnsi="宋体" w:cs="宋体"/>
                <w:color w:val="auto"/>
                <w:highlight w:val="none"/>
              </w:rPr>
              <w:t>年至今的类似业绩，每提供</w:t>
            </w:r>
            <w:r>
              <w:rPr>
                <w:rFonts w:ascii="宋体" w:hAnsi="宋体" w:cs="宋体"/>
                <w:color w:val="auto"/>
                <w:highlight w:val="none"/>
              </w:rPr>
              <w:t>1项类似业绩的加</w:t>
            </w:r>
            <w:r>
              <w:rPr>
                <w:rFonts w:hint="eastAsia" w:ascii="宋体" w:hAnsi="宋体" w:cs="宋体"/>
                <w:color w:val="auto"/>
                <w:highlight w:val="none"/>
                <w:lang w:val="en-US" w:eastAsia="zh-CN"/>
              </w:rPr>
              <w:t>2</w:t>
            </w:r>
            <w:r>
              <w:rPr>
                <w:rFonts w:ascii="宋体" w:hAnsi="宋体" w:cs="宋体"/>
                <w:color w:val="auto"/>
                <w:highlight w:val="none"/>
              </w:rPr>
              <w:t>分，</w:t>
            </w:r>
            <w:r>
              <w:rPr>
                <w:rFonts w:hint="eastAsia" w:ascii="宋体" w:hAnsi="宋体" w:cs="宋体"/>
                <w:color w:val="auto"/>
                <w:highlight w:val="none"/>
              </w:rPr>
              <w:t>满分</w:t>
            </w:r>
            <w:r>
              <w:rPr>
                <w:rFonts w:hint="eastAsia" w:ascii="宋体" w:hAnsi="宋体" w:cs="宋体"/>
                <w:color w:val="auto"/>
                <w:highlight w:val="none"/>
                <w:lang w:val="en-US" w:eastAsia="zh-CN"/>
              </w:rPr>
              <w:t>8</w:t>
            </w:r>
            <w:r>
              <w:rPr>
                <w:rFonts w:ascii="宋体" w:hAnsi="宋体" w:cs="宋体"/>
                <w:color w:val="auto"/>
                <w:highlight w:val="none"/>
              </w:rPr>
              <w:t xml:space="preserve">分。 </w:t>
            </w:r>
          </w:p>
          <w:p w14:paraId="3434A013">
            <w:pPr>
              <w:tabs>
                <w:tab w:val="left" w:pos="540"/>
              </w:tabs>
              <w:adjustRightInd w:val="0"/>
              <w:spacing w:line="240" w:lineRule="atLeast"/>
              <w:jc w:val="left"/>
              <w:rPr>
                <w:rFonts w:hint="eastAsia" w:ascii="宋体" w:hAnsi="宋体" w:cs="宋体"/>
                <w:b/>
                <w:color w:val="auto"/>
                <w:szCs w:val="21"/>
                <w:highlight w:val="none"/>
              </w:rPr>
            </w:pPr>
            <w:r>
              <w:rPr>
                <w:rFonts w:ascii="宋体" w:hAnsi="宋体" w:cs="宋体"/>
                <w:b/>
                <w:bCs/>
                <w:color w:val="auto"/>
                <w:highlight w:val="none"/>
              </w:rPr>
              <w:t>注：</w:t>
            </w:r>
            <w:r>
              <w:rPr>
                <w:rFonts w:hint="eastAsia" w:ascii="宋体" w:hAnsi="宋体" w:cs="宋体"/>
                <w:b/>
                <w:bCs/>
                <w:color w:val="auto"/>
                <w:highlight w:val="none"/>
              </w:rPr>
              <w:t>响应文件中须提供业绩列表及相对应的业绩证明材料，业绩证明材料为合同（合同包括：合同首页、标的及金额所在页及合同签字盖章页）和竣工验收证明材料。无证明材料或证明材料不明确、无法体现业绩内容的，不予认可。</w:t>
            </w:r>
          </w:p>
        </w:tc>
      </w:tr>
    </w:tbl>
    <w:p w14:paraId="61D110EB">
      <w:pPr>
        <w:rPr>
          <w:color w:val="auto"/>
          <w:highlight w:val="none"/>
        </w:rPr>
      </w:pPr>
    </w:p>
    <w:p w14:paraId="623BC770">
      <w:pPr>
        <w:rPr>
          <w:rFonts w:hAnsi="宋体"/>
          <w:color w:val="auto"/>
          <w:sz w:val="24"/>
          <w:highlight w:val="none"/>
        </w:rPr>
      </w:pPr>
      <w:r>
        <w:rPr>
          <w:rFonts w:hint="eastAsia" w:hAnsi="宋体"/>
          <w:color w:val="auto"/>
          <w:sz w:val="24"/>
          <w:highlight w:val="none"/>
        </w:rPr>
        <w:br w:type="page"/>
      </w:r>
    </w:p>
    <w:bookmarkEnd w:id="752"/>
    <w:p w14:paraId="11D29CD4">
      <w:pPr>
        <w:pStyle w:val="4"/>
        <w:keepLines w:val="0"/>
        <w:tabs>
          <w:tab w:val="left" w:pos="420"/>
          <w:tab w:val="left" w:pos="6090"/>
        </w:tabs>
        <w:adjustRightInd w:val="0"/>
        <w:spacing w:after="0"/>
        <w:ind w:left="-2" w:leftChars="-1"/>
        <w:jc w:val="left"/>
        <w:textAlignment w:val="baseline"/>
        <w:rPr>
          <w:rFonts w:hint="eastAsia" w:hAnsi="宋体"/>
          <w:b w:val="0"/>
          <w:bCs w:val="0"/>
          <w:color w:val="auto"/>
          <w:sz w:val="21"/>
          <w:szCs w:val="21"/>
          <w:highlight w:val="none"/>
        </w:rPr>
      </w:pPr>
      <w:bookmarkStart w:id="753" w:name="_Toc23093"/>
      <w:bookmarkStart w:id="754" w:name="_Toc5699"/>
      <w:bookmarkStart w:id="755" w:name="_Toc4096"/>
      <w:bookmarkStart w:id="756" w:name="_Toc26332"/>
      <w:bookmarkStart w:id="757" w:name="_Toc10783"/>
      <w:bookmarkStart w:id="758" w:name="_Toc27098"/>
      <w:bookmarkStart w:id="759" w:name="_Toc26123"/>
      <w:bookmarkStart w:id="760" w:name="_Toc7696"/>
      <w:bookmarkStart w:id="761" w:name="_Toc3914"/>
      <w:bookmarkStart w:id="762" w:name="_Toc27131"/>
      <w:bookmarkStart w:id="763" w:name="_Toc30538"/>
      <w:r>
        <w:rPr>
          <w:rFonts w:hint="eastAsia" w:hAnsi="宋体"/>
          <w:b w:val="0"/>
          <w:bCs w:val="0"/>
          <w:color w:val="auto"/>
          <w:sz w:val="24"/>
          <w:highlight w:val="none"/>
        </w:rPr>
        <w:t>一、</w:t>
      </w:r>
      <w:r>
        <w:rPr>
          <w:rFonts w:hint="eastAsia" w:ascii="黑体" w:hAnsi="黑体" w:eastAsia="黑体"/>
          <w:bCs w:val="0"/>
          <w:color w:val="auto"/>
          <w:sz w:val="28"/>
          <w:szCs w:val="30"/>
          <w:highlight w:val="none"/>
        </w:rPr>
        <w:t>磋商方法</w:t>
      </w:r>
      <w:bookmarkEnd w:id="753"/>
      <w:bookmarkEnd w:id="754"/>
      <w:bookmarkEnd w:id="755"/>
      <w:bookmarkEnd w:id="756"/>
      <w:bookmarkEnd w:id="757"/>
      <w:bookmarkEnd w:id="758"/>
      <w:bookmarkEnd w:id="759"/>
      <w:bookmarkEnd w:id="760"/>
      <w:bookmarkEnd w:id="761"/>
      <w:bookmarkEnd w:id="762"/>
      <w:bookmarkEnd w:id="763"/>
    </w:p>
    <w:p w14:paraId="5A34C01B">
      <w:pPr>
        <w:pStyle w:val="13"/>
        <w:tabs>
          <w:tab w:val="left" w:pos="540"/>
        </w:tabs>
        <w:adjustRightInd w:val="0"/>
        <w:spacing w:line="360" w:lineRule="auto"/>
        <w:ind w:firstLine="422" w:firstLineChars="200"/>
        <w:rPr>
          <w:rFonts w:hint="eastAsia" w:ascii="宋体" w:hAnsi="宋体" w:eastAsia="宋体"/>
          <w:color w:val="auto"/>
          <w:sz w:val="21"/>
          <w:szCs w:val="21"/>
          <w:highlight w:val="none"/>
        </w:rPr>
      </w:pPr>
      <w:r>
        <w:rPr>
          <w:rFonts w:hint="eastAsia" w:ascii="宋体" w:hAnsi="宋体" w:eastAsia="宋体"/>
          <w:b/>
          <w:bCs/>
          <w:color w:val="auto"/>
          <w:sz w:val="21"/>
          <w:szCs w:val="21"/>
          <w:highlight w:val="none"/>
        </w:rPr>
        <w:t>本次磋商采用综合评分法。</w:t>
      </w:r>
      <w:r>
        <w:rPr>
          <w:rFonts w:hint="eastAsia" w:ascii="宋体" w:hAnsi="宋体" w:eastAsia="宋体"/>
          <w:color w:val="auto"/>
          <w:kern w:val="2"/>
          <w:sz w:val="21"/>
          <w:szCs w:val="21"/>
          <w:highlight w:val="none"/>
        </w:rPr>
        <w:t>磋商小组将根据评审办法计算出各供应商的综合得分，按得分由高到低推荐成交候选人排序；得分相同的，按最后报价由低到高顺序排列；得分且最后报价相同的，按技术部分得分高低顺序排列。最终磋商小组将根据评审后的总得分由高到低顺序排列推荐3个成交候选人。</w:t>
      </w:r>
    </w:p>
    <w:p w14:paraId="6E803384">
      <w:pPr>
        <w:pStyle w:val="4"/>
        <w:keepLines w:val="0"/>
        <w:tabs>
          <w:tab w:val="left" w:pos="420"/>
          <w:tab w:val="left" w:pos="6090"/>
        </w:tabs>
        <w:adjustRightInd w:val="0"/>
        <w:spacing w:after="0"/>
        <w:ind w:left="-2" w:leftChars="-1"/>
        <w:jc w:val="left"/>
        <w:textAlignment w:val="baseline"/>
        <w:rPr>
          <w:rFonts w:hint="eastAsia" w:ascii="黑体" w:hAnsi="黑体" w:eastAsia="黑体"/>
          <w:bCs w:val="0"/>
          <w:color w:val="auto"/>
          <w:sz w:val="28"/>
          <w:szCs w:val="30"/>
          <w:highlight w:val="none"/>
        </w:rPr>
      </w:pPr>
      <w:bookmarkStart w:id="764" w:name="_Toc25299"/>
      <w:bookmarkStart w:id="765" w:name="_Toc25159"/>
      <w:bookmarkStart w:id="766" w:name="_Toc27122"/>
      <w:bookmarkStart w:id="767" w:name="_Toc32712"/>
      <w:bookmarkStart w:id="768" w:name="_Toc18912"/>
      <w:bookmarkStart w:id="769" w:name="_Toc22595"/>
      <w:bookmarkStart w:id="770" w:name="_Toc22767"/>
      <w:bookmarkStart w:id="771" w:name="_Toc654"/>
      <w:bookmarkStart w:id="772" w:name="_Toc25556"/>
      <w:bookmarkStart w:id="773" w:name="_Toc25767"/>
      <w:bookmarkStart w:id="774" w:name="_Toc25418"/>
      <w:r>
        <w:rPr>
          <w:rFonts w:hint="eastAsia" w:ascii="黑体" w:hAnsi="黑体" w:eastAsia="黑体"/>
          <w:bCs w:val="0"/>
          <w:color w:val="auto"/>
          <w:sz w:val="28"/>
          <w:szCs w:val="30"/>
          <w:highlight w:val="none"/>
        </w:rPr>
        <w:t>二、评审标准</w:t>
      </w:r>
      <w:bookmarkEnd w:id="764"/>
      <w:bookmarkEnd w:id="765"/>
      <w:bookmarkEnd w:id="766"/>
      <w:bookmarkEnd w:id="767"/>
      <w:bookmarkEnd w:id="768"/>
      <w:bookmarkEnd w:id="769"/>
      <w:bookmarkEnd w:id="770"/>
      <w:bookmarkEnd w:id="771"/>
      <w:bookmarkEnd w:id="772"/>
      <w:bookmarkEnd w:id="773"/>
      <w:bookmarkEnd w:id="774"/>
    </w:p>
    <w:p w14:paraId="2AC923A0">
      <w:pPr>
        <w:spacing w:line="360" w:lineRule="auto"/>
        <w:ind w:firstLine="482" w:firstLineChars="200"/>
        <w:outlineLvl w:val="2"/>
        <w:rPr>
          <w:b/>
          <w:color w:val="auto"/>
          <w:kern w:val="0"/>
          <w:sz w:val="24"/>
          <w:highlight w:val="none"/>
        </w:rPr>
      </w:pPr>
      <w:bookmarkStart w:id="775" w:name="_Toc29510"/>
      <w:bookmarkStart w:id="776" w:name="_Toc21554"/>
      <w:bookmarkStart w:id="777" w:name="_Toc21859"/>
      <w:bookmarkStart w:id="778" w:name="_Toc15413"/>
      <w:bookmarkStart w:id="779" w:name="_Toc30664"/>
      <w:bookmarkStart w:id="780" w:name="_Toc10131"/>
      <w:bookmarkStart w:id="781" w:name="_Toc432"/>
      <w:bookmarkStart w:id="782" w:name="_Toc18418"/>
      <w:bookmarkStart w:id="783" w:name="_Toc2026"/>
      <w:bookmarkStart w:id="784" w:name="_Toc22951"/>
      <w:bookmarkStart w:id="785" w:name="_Toc27404"/>
      <w:r>
        <w:rPr>
          <w:rFonts w:hint="eastAsia"/>
          <w:b/>
          <w:color w:val="auto"/>
          <w:kern w:val="0"/>
          <w:sz w:val="24"/>
          <w:highlight w:val="none"/>
        </w:rPr>
        <w:t>1</w:t>
      </w:r>
      <w:r>
        <w:rPr>
          <w:b/>
          <w:color w:val="auto"/>
          <w:kern w:val="0"/>
          <w:sz w:val="24"/>
          <w:highlight w:val="none"/>
        </w:rPr>
        <w:t>.</w:t>
      </w:r>
      <w:r>
        <w:rPr>
          <w:rFonts w:hint="eastAsia"/>
          <w:b/>
          <w:color w:val="auto"/>
          <w:kern w:val="0"/>
          <w:sz w:val="24"/>
          <w:highlight w:val="none"/>
        </w:rPr>
        <w:t>初步评审标准</w:t>
      </w:r>
      <w:bookmarkEnd w:id="775"/>
      <w:bookmarkEnd w:id="776"/>
      <w:bookmarkEnd w:id="777"/>
      <w:bookmarkEnd w:id="778"/>
      <w:bookmarkEnd w:id="779"/>
      <w:bookmarkEnd w:id="780"/>
      <w:bookmarkEnd w:id="781"/>
      <w:bookmarkEnd w:id="782"/>
      <w:bookmarkEnd w:id="783"/>
      <w:bookmarkEnd w:id="784"/>
      <w:bookmarkEnd w:id="785"/>
    </w:p>
    <w:p w14:paraId="71E4656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1.1资格评审标准：</w:t>
      </w:r>
      <w:r>
        <w:rPr>
          <w:rFonts w:ascii="宋体" w:hAnsi="宋体"/>
          <w:color w:val="auto"/>
          <w:szCs w:val="21"/>
          <w:highlight w:val="none"/>
        </w:rPr>
        <w:t>依据法律法规和</w:t>
      </w:r>
      <w:r>
        <w:rPr>
          <w:rFonts w:hint="eastAsia" w:ascii="宋体" w:hAnsi="宋体"/>
          <w:color w:val="auto"/>
          <w:szCs w:val="21"/>
          <w:highlight w:val="none"/>
        </w:rPr>
        <w:t>磋商</w:t>
      </w:r>
      <w:r>
        <w:rPr>
          <w:rFonts w:ascii="宋体" w:hAnsi="宋体"/>
          <w:color w:val="auto"/>
          <w:szCs w:val="21"/>
          <w:highlight w:val="none"/>
        </w:rPr>
        <w:t>文件的规定，对</w:t>
      </w:r>
      <w:r>
        <w:rPr>
          <w:rFonts w:hint="eastAsia" w:ascii="宋体" w:hAnsi="宋体"/>
          <w:color w:val="auto"/>
          <w:szCs w:val="21"/>
          <w:highlight w:val="none"/>
        </w:rPr>
        <w:t>响应</w:t>
      </w:r>
      <w:r>
        <w:rPr>
          <w:rFonts w:ascii="宋体" w:hAnsi="宋体"/>
          <w:color w:val="auto"/>
          <w:szCs w:val="21"/>
          <w:highlight w:val="none"/>
        </w:rPr>
        <w:t>文件中的资格证明</w:t>
      </w:r>
      <w:r>
        <w:rPr>
          <w:rFonts w:hint="eastAsia" w:ascii="宋体" w:hAnsi="宋体"/>
          <w:color w:val="auto"/>
          <w:szCs w:val="21"/>
          <w:highlight w:val="none"/>
        </w:rPr>
        <w:t>文件</w:t>
      </w:r>
      <w:r>
        <w:rPr>
          <w:rFonts w:ascii="宋体" w:hAnsi="宋体"/>
          <w:color w:val="auto"/>
          <w:szCs w:val="21"/>
          <w:highlight w:val="none"/>
        </w:rPr>
        <w:t>进行审查</w:t>
      </w:r>
      <w:r>
        <w:rPr>
          <w:rFonts w:hint="eastAsia" w:ascii="宋体" w:hAnsi="宋体"/>
          <w:color w:val="auto"/>
          <w:szCs w:val="21"/>
          <w:highlight w:val="none"/>
        </w:rPr>
        <w:t>，</w:t>
      </w:r>
      <w:r>
        <w:rPr>
          <w:rFonts w:ascii="宋体" w:hAnsi="宋体"/>
          <w:color w:val="auto"/>
          <w:szCs w:val="21"/>
          <w:highlight w:val="none"/>
        </w:rPr>
        <w:t>见“磋商方法前附表”。</w:t>
      </w:r>
    </w:p>
    <w:p w14:paraId="5D558603">
      <w:pPr>
        <w:pStyle w:val="12"/>
        <w:tabs>
          <w:tab w:val="left" w:pos="2472"/>
        </w:tabs>
        <w:spacing w:line="360" w:lineRule="auto"/>
        <w:ind w:firstLine="420" w:firstLineChars="200"/>
        <w:jc w:val="both"/>
        <w:rPr>
          <w:rFonts w:hint="eastAsia" w:hAnsi="宋体"/>
          <w:color w:val="auto"/>
          <w:highlight w:val="none"/>
        </w:rPr>
      </w:pPr>
      <w:r>
        <w:rPr>
          <w:rFonts w:hint="eastAsia" w:hAnsi="宋体"/>
          <w:color w:val="auto"/>
          <w:highlight w:val="none"/>
        </w:rPr>
        <w:t>1.2符合性评审标准：</w:t>
      </w:r>
      <w:r>
        <w:rPr>
          <w:rFonts w:hAnsi="宋体"/>
          <w:color w:val="auto"/>
          <w:highlight w:val="none"/>
        </w:rPr>
        <w:t>依据</w:t>
      </w:r>
      <w:r>
        <w:rPr>
          <w:rFonts w:hint="eastAsia" w:hAnsi="宋体"/>
          <w:color w:val="auto"/>
          <w:highlight w:val="none"/>
        </w:rPr>
        <w:t>磋商</w:t>
      </w:r>
      <w:r>
        <w:rPr>
          <w:rFonts w:hAnsi="宋体"/>
          <w:color w:val="auto"/>
          <w:highlight w:val="none"/>
        </w:rPr>
        <w:t>文件的规定，从响应文件的有效性、完整性和对</w:t>
      </w:r>
      <w:r>
        <w:rPr>
          <w:rFonts w:hint="eastAsia" w:hAnsi="宋体"/>
          <w:color w:val="auto"/>
          <w:highlight w:val="none"/>
        </w:rPr>
        <w:t>磋商</w:t>
      </w:r>
      <w:r>
        <w:rPr>
          <w:rFonts w:hAnsi="宋体"/>
          <w:color w:val="auto"/>
          <w:highlight w:val="none"/>
        </w:rPr>
        <w:t>文件的响应程度进行审查，见“磋商方法前附表”。</w:t>
      </w:r>
    </w:p>
    <w:p w14:paraId="598C6250">
      <w:pPr>
        <w:spacing w:line="360" w:lineRule="auto"/>
        <w:ind w:firstLine="482" w:firstLineChars="200"/>
        <w:outlineLvl w:val="2"/>
        <w:rPr>
          <w:b/>
          <w:color w:val="auto"/>
          <w:kern w:val="0"/>
          <w:sz w:val="24"/>
          <w:highlight w:val="none"/>
        </w:rPr>
      </w:pPr>
      <w:bookmarkStart w:id="786" w:name="_Toc23275"/>
      <w:bookmarkStart w:id="787" w:name="_Toc438396781"/>
      <w:bookmarkStart w:id="788" w:name="_Toc4349"/>
      <w:bookmarkStart w:id="789" w:name="_Toc20308"/>
      <w:bookmarkStart w:id="790" w:name="_Toc32336"/>
      <w:bookmarkStart w:id="791" w:name="_Toc432194880"/>
      <w:bookmarkStart w:id="792" w:name="_Toc321836408"/>
      <w:bookmarkStart w:id="793" w:name="_Toc432106530"/>
      <w:bookmarkStart w:id="794" w:name="_Toc18365"/>
      <w:bookmarkStart w:id="795" w:name="_Toc28433"/>
      <w:bookmarkStart w:id="796" w:name="_Toc16800"/>
      <w:bookmarkStart w:id="797" w:name="_Toc2242"/>
      <w:bookmarkStart w:id="798" w:name="_Toc609"/>
      <w:bookmarkStart w:id="799" w:name="_Toc11252"/>
      <w:bookmarkStart w:id="800" w:name="_Toc31506"/>
      <w:r>
        <w:rPr>
          <w:b/>
          <w:color w:val="auto"/>
          <w:kern w:val="0"/>
          <w:sz w:val="24"/>
          <w:highlight w:val="none"/>
        </w:rPr>
        <w:t>2.分值构成与评分标准</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0510A4A8">
      <w:pPr>
        <w:pStyle w:val="12"/>
        <w:tabs>
          <w:tab w:val="left" w:pos="2472"/>
        </w:tabs>
        <w:spacing w:line="360" w:lineRule="auto"/>
        <w:ind w:firstLine="420" w:firstLineChars="200"/>
        <w:rPr>
          <w:rFonts w:hAnsi="宋体"/>
          <w:color w:val="auto"/>
          <w:highlight w:val="none"/>
        </w:rPr>
      </w:pPr>
      <w:r>
        <w:rPr>
          <w:rFonts w:hAnsi="宋体"/>
          <w:color w:val="auto"/>
          <w:highlight w:val="none"/>
        </w:rPr>
        <w:t>2.1 分值构成</w:t>
      </w:r>
    </w:p>
    <w:p w14:paraId="749D5692">
      <w:pPr>
        <w:pStyle w:val="12"/>
        <w:tabs>
          <w:tab w:val="left" w:pos="2472"/>
        </w:tabs>
        <w:spacing w:line="360" w:lineRule="auto"/>
        <w:ind w:firstLine="420" w:firstLineChars="200"/>
        <w:rPr>
          <w:rFonts w:hAnsi="宋体"/>
          <w:color w:val="auto"/>
          <w:highlight w:val="none"/>
        </w:rPr>
      </w:pPr>
      <w:r>
        <w:rPr>
          <w:rFonts w:hAnsi="宋体"/>
          <w:color w:val="auto"/>
          <w:highlight w:val="none"/>
        </w:rPr>
        <w:t>（1）报价：见“磋商方法前附表”；</w:t>
      </w:r>
    </w:p>
    <w:p w14:paraId="0C3FE6DC">
      <w:pPr>
        <w:pStyle w:val="12"/>
        <w:tabs>
          <w:tab w:val="left" w:pos="2472"/>
        </w:tabs>
        <w:spacing w:line="360" w:lineRule="auto"/>
        <w:ind w:firstLine="420" w:firstLineChars="200"/>
        <w:rPr>
          <w:rFonts w:hAnsi="宋体"/>
          <w:color w:val="auto"/>
          <w:highlight w:val="none"/>
        </w:rPr>
      </w:pPr>
      <w:r>
        <w:rPr>
          <w:rFonts w:hAnsi="宋体"/>
          <w:color w:val="auto"/>
          <w:highlight w:val="none"/>
        </w:rPr>
        <w:t>（2）技术部分：见“磋商方法前附表”；</w:t>
      </w:r>
    </w:p>
    <w:p w14:paraId="2E1DC37C">
      <w:pPr>
        <w:pStyle w:val="12"/>
        <w:tabs>
          <w:tab w:val="left" w:pos="2472"/>
        </w:tabs>
        <w:spacing w:line="360" w:lineRule="auto"/>
        <w:ind w:firstLine="420" w:firstLineChars="200"/>
        <w:rPr>
          <w:rFonts w:hAnsi="宋体"/>
          <w:color w:val="auto"/>
          <w:highlight w:val="none"/>
        </w:rPr>
      </w:pPr>
      <w:r>
        <w:rPr>
          <w:rFonts w:hAnsi="宋体"/>
          <w:color w:val="auto"/>
          <w:highlight w:val="none"/>
        </w:rPr>
        <w:t>（3）</w:t>
      </w:r>
      <w:r>
        <w:rPr>
          <w:rFonts w:hint="eastAsia" w:hAnsi="宋体"/>
          <w:color w:val="auto"/>
          <w:highlight w:val="none"/>
        </w:rPr>
        <w:t>商务</w:t>
      </w:r>
      <w:r>
        <w:rPr>
          <w:rFonts w:hAnsi="宋体"/>
          <w:color w:val="auto"/>
          <w:highlight w:val="none"/>
        </w:rPr>
        <w:t>部分：见“磋商方法前附表”。</w:t>
      </w:r>
    </w:p>
    <w:p w14:paraId="789FE6BA">
      <w:pPr>
        <w:pStyle w:val="12"/>
        <w:tabs>
          <w:tab w:val="left" w:pos="2472"/>
        </w:tabs>
        <w:spacing w:line="360" w:lineRule="auto"/>
        <w:ind w:firstLine="420" w:firstLineChars="200"/>
        <w:rPr>
          <w:rFonts w:hAnsi="宋体"/>
          <w:color w:val="auto"/>
          <w:highlight w:val="none"/>
        </w:rPr>
      </w:pPr>
      <w:r>
        <w:rPr>
          <w:rFonts w:hAnsi="宋体"/>
          <w:color w:val="auto"/>
          <w:highlight w:val="none"/>
        </w:rPr>
        <w:t>2.2基准价计算方法：见磋商方法前附表。</w:t>
      </w:r>
    </w:p>
    <w:p w14:paraId="6ADABDB0">
      <w:pPr>
        <w:pStyle w:val="12"/>
        <w:tabs>
          <w:tab w:val="left" w:pos="2472"/>
        </w:tabs>
        <w:spacing w:line="360" w:lineRule="auto"/>
        <w:ind w:firstLine="420" w:firstLineChars="200"/>
        <w:rPr>
          <w:rFonts w:hAnsi="宋体"/>
          <w:color w:val="auto"/>
          <w:highlight w:val="none"/>
        </w:rPr>
      </w:pPr>
      <w:r>
        <w:rPr>
          <w:rFonts w:hAnsi="宋体"/>
          <w:color w:val="auto"/>
          <w:highlight w:val="none"/>
        </w:rPr>
        <w:t>2.3 评分标准</w:t>
      </w:r>
    </w:p>
    <w:p w14:paraId="679A43A7">
      <w:pPr>
        <w:pStyle w:val="12"/>
        <w:tabs>
          <w:tab w:val="left" w:pos="2472"/>
        </w:tabs>
        <w:spacing w:line="360" w:lineRule="auto"/>
        <w:ind w:firstLine="420" w:firstLineChars="200"/>
        <w:jc w:val="both"/>
        <w:rPr>
          <w:rFonts w:hAnsi="宋体"/>
          <w:color w:val="auto"/>
          <w:highlight w:val="none"/>
        </w:rPr>
      </w:pPr>
      <w:r>
        <w:rPr>
          <w:rFonts w:hAnsi="宋体"/>
          <w:color w:val="auto"/>
          <w:highlight w:val="none"/>
        </w:rPr>
        <w:t>按</w:t>
      </w:r>
      <w:r>
        <w:rPr>
          <w:rFonts w:hint="eastAsia" w:hAnsi="宋体"/>
          <w:color w:val="auto"/>
          <w:highlight w:val="none"/>
        </w:rPr>
        <w:t>磋商</w:t>
      </w:r>
      <w:r>
        <w:rPr>
          <w:rFonts w:hAnsi="宋体"/>
          <w:color w:val="auto"/>
          <w:highlight w:val="none"/>
        </w:rPr>
        <w:t>文件中规定的评标方法和标准，对资格评审和符合性评审合格的</w:t>
      </w:r>
      <w:r>
        <w:rPr>
          <w:rFonts w:hint="eastAsia" w:hAnsi="宋体"/>
          <w:color w:val="auto"/>
          <w:highlight w:val="none"/>
        </w:rPr>
        <w:t>响应</w:t>
      </w:r>
      <w:r>
        <w:rPr>
          <w:rFonts w:hAnsi="宋体"/>
          <w:color w:val="auto"/>
          <w:highlight w:val="none"/>
        </w:rPr>
        <w:t>文件进行商务和技术评估，综合比较与评价。</w:t>
      </w:r>
    </w:p>
    <w:p w14:paraId="69EC46D8">
      <w:pPr>
        <w:pStyle w:val="12"/>
        <w:tabs>
          <w:tab w:val="left" w:pos="2472"/>
        </w:tabs>
        <w:spacing w:line="360" w:lineRule="auto"/>
        <w:ind w:firstLine="420" w:firstLineChars="200"/>
        <w:rPr>
          <w:rFonts w:hAnsi="宋体"/>
          <w:color w:val="auto"/>
          <w:highlight w:val="none"/>
        </w:rPr>
      </w:pPr>
      <w:r>
        <w:rPr>
          <w:rFonts w:hAnsi="宋体"/>
          <w:color w:val="auto"/>
          <w:highlight w:val="none"/>
        </w:rPr>
        <w:t>（1）</w:t>
      </w:r>
      <w:r>
        <w:rPr>
          <w:rFonts w:hint="eastAsia" w:hAnsi="宋体"/>
          <w:color w:val="auto"/>
          <w:highlight w:val="none"/>
        </w:rPr>
        <w:t>磋商</w:t>
      </w:r>
      <w:r>
        <w:rPr>
          <w:rFonts w:hAnsi="宋体"/>
          <w:color w:val="auto"/>
          <w:highlight w:val="none"/>
        </w:rPr>
        <w:t>报价评分标准：见“磋商方法前附表”；</w:t>
      </w:r>
    </w:p>
    <w:p w14:paraId="66D9B8CE">
      <w:pPr>
        <w:pStyle w:val="12"/>
        <w:tabs>
          <w:tab w:val="left" w:pos="2472"/>
        </w:tabs>
        <w:spacing w:line="360" w:lineRule="auto"/>
        <w:ind w:firstLine="420" w:firstLineChars="200"/>
        <w:rPr>
          <w:rFonts w:hAnsi="宋体"/>
          <w:color w:val="auto"/>
          <w:highlight w:val="none"/>
        </w:rPr>
      </w:pPr>
      <w:r>
        <w:rPr>
          <w:rFonts w:hAnsi="宋体"/>
          <w:color w:val="auto"/>
          <w:highlight w:val="none"/>
        </w:rPr>
        <w:t>（2）技术部分评分标准：见“磋商方法前附表”；</w:t>
      </w:r>
    </w:p>
    <w:p w14:paraId="7164EA57">
      <w:pPr>
        <w:pStyle w:val="12"/>
        <w:tabs>
          <w:tab w:val="left" w:pos="2472"/>
        </w:tabs>
        <w:spacing w:line="360" w:lineRule="auto"/>
        <w:ind w:firstLine="420" w:firstLineChars="200"/>
        <w:rPr>
          <w:rFonts w:hAnsi="宋体"/>
          <w:color w:val="auto"/>
          <w:highlight w:val="none"/>
        </w:rPr>
      </w:pPr>
      <w:r>
        <w:rPr>
          <w:rFonts w:hAnsi="宋体"/>
          <w:color w:val="auto"/>
          <w:highlight w:val="none"/>
        </w:rPr>
        <w:t>（3）</w:t>
      </w:r>
      <w:r>
        <w:rPr>
          <w:rFonts w:hint="eastAsia" w:hAnsi="宋体"/>
          <w:color w:val="auto"/>
          <w:highlight w:val="none"/>
        </w:rPr>
        <w:t>商务</w:t>
      </w:r>
      <w:r>
        <w:rPr>
          <w:rFonts w:hAnsi="宋体"/>
          <w:color w:val="auto"/>
          <w:highlight w:val="none"/>
        </w:rPr>
        <w:t>部分评分标准：见“磋商方法前附表”。</w:t>
      </w:r>
    </w:p>
    <w:p w14:paraId="6AFCDC9F">
      <w:pPr>
        <w:pStyle w:val="4"/>
        <w:keepLines w:val="0"/>
        <w:tabs>
          <w:tab w:val="left" w:pos="420"/>
          <w:tab w:val="left" w:pos="6090"/>
        </w:tabs>
        <w:adjustRightInd w:val="0"/>
        <w:spacing w:after="0"/>
        <w:ind w:left="-2" w:leftChars="-1"/>
        <w:jc w:val="left"/>
        <w:textAlignment w:val="baseline"/>
        <w:rPr>
          <w:rFonts w:ascii="黑体" w:hAnsi="黑体" w:eastAsia="黑体"/>
          <w:bCs w:val="0"/>
          <w:color w:val="auto"/>
          <w:sz w:val="28"/>
          <w:szCs w:val="30"/>
          <w:highlight w:val="none"/>
        </w:rPr>
      </w:pPr>
      <w:bookmarkStart w:id="801" w:name="_Toc6621"/>
      <w:bookmarkStart w:id="802" w:name="_Toc15192"/>
      <w:bookmarkStart w:id="803" w:name="_Toc1284"/>
      <w:bookmarkStart w:id="804" w:name="_Toc432194881"/>
      <w:bookmarkStart w:id="805" w:name="_Toc28258"/>
      <w:bookmarkStart w:id="806" w:name="_Toc432106531"/>
      <w:bookmarkStart w:id="807" w:name="_Toc4853"/>
      <w:bookmarkStart w:id="808" w:name="_Toc321836409"/>
      <w:bookmarkStart w:id="809" w:name="_Toc23477"/>
      <w:bookmarkStart w:id="810" w:name="_Toc32162"/>
      <w:bookmarkStart w:id="811" w:name="_Toc547"/>
      <w:bookmarkStart w:id="812" w:name="_Toc5273"/>
      <w:bookmarkStart w:id="813" w:name="_Toc12237"/>
      <w:bookmarkStart w:id="814" w:name="_Toc438396782"/>
      <w:bookmarkStart w:id="815" w:name="_Toc27717"/>
      <w:r>
        <w:rPr>
          <w:rFonts w:hint="eastAsia" w:ascii="黑体" w:hAnsi="黑体" w:eastAsia="黑体"/>
          <w:bCs w:val="0"/>
          <w:color w:val="auto"/>
          <w:sz w:val="28"/>
          <w:szCs w:val="30"/>
          <w:highlight w:val="none"/>
        </w:rPr>
        <w:t>三、磋商</w:t>
      </w:r>
      <w:r>
        <w:rPr>
          <w:rFonts w:ascii="黑体" w:hAnsi="黑体" w:eastAsia="黑体"/>
          <w:bCs w:val="0"/>
          <w:color w:val="auto"/>
          <w:sz w:val="28"/>
          <w:szCs w:val="30"/>
          <w:highlight w:val="none"/>
        </w:rPr>
        <w:t>程序</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EDBD6DD">
      <w:pPr>
        <w:spacing w:line="360" w:lineRule="auto"/>
        <w:ind w:firstLine="482" w:firstLineChars="200"/>
        <w:outlineLvl w:val="2"/>
        <w:rPr>
          <w:b/>
          <w:color w:val="auto"/>
          <w:kern w:val="0"/>
          <w:sz w:val="24"/>
          <w:highlight w:val="none"/>
        </w:rPr>
      </w:pPr>
      <w:bookmarkStart w:id="816" w:name="_Toc1377"/>
      <w:bookmarkStart w:id="817" w:name="_Toc9700"/>
      <w:bookmarkStart w:id="818" w:name="_Toc30369"/>
      <w:bookmarkStart w:id="819" w:name="_Toc25987"/>
      <w:bookmarkStart w:id="820" w:name="_Toc17188"/>
      <w:bookmarkStart w:id="821" w:name="_Toc6281"/>
      <w:bookmarkStart w:id="822" w:name="_Toc11961"/>
      <w:bookmarkStart w:id="823" w:name="_Toc432106532"/>
      <w:bookmarkStart w:id="824" w:name="_Toc16825"/>
      <w:bookmarkStart w:id="825" w:name="_Toc16889"/>
      <w:bookmarkStart w:id="826" w:name="_Toc438396783"/>
      <w:bookmarkStart w:id="827" w:name="_Toc432194882"/>
      <w:bookmarkStart w:id="828" w:name="_Toc321836410"/>
      <w:bookmarkStart w:id="829" w:name="_Toc32345"/>
      <w:bookmarkStart w:id="830" w:name="_Toc5496"/>
      <w:r>
        <w:rPr>
          <w:b/>
          <w:color w:val="auto"/>
          <w:kern w:val="0"/>
          <w:sz w:val="24"/>
          <w:highlight w:val="none"/>
        </w:rPr>
        <w:t>1.</w:t>
      </w:r>
      <w:r>
        <w:rPr>
          <w:rFonts w:hint="eastAsia"/>
          <w:b/>
          <w:color w:val="auto"/>
          <w:kern w:val="0"/>
          <w:sz w:val="24"/>
          <w:highlight w:val="none"/>
        </w:rPr>
        <w:t>初步</w:t>
      </w:r>
      <w:r>
        <w:rPr>
          <w:b/>
          <w:color w:val="auto"/>
          <w:kern w:val="0"/>
          <w:sz w:val="24"/>
          <w:highlight w:val="none"/>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725D149">
      <w:pPr>
        <w:pStyle w:val="12"/>
        <w:tabs>
          <w:tab w:val="left" w:pos="2472"/>
        </w:tabs>
        <w:spacing w:line="360" w:lineRule="auto"/>
        <w:ind w:firstLine="420" w:firstLineChars="200"/>
        <w:jc w:val="both"/>
        <w:rPr>
          <w:rFonts w:hint="eastAsia" w:hAnsi="宋体"/>
          <w:color w:val="auto"/>
          <w:kern w:val="0"/>
          <w:highlight w:val="none"/>
        </w:rPr>
      </w:pPr>
      <w:r>
        <w:rPr>
          <w:rFonts w:hAnsi="宋体"/>
          <w:color w:val="auto"/>
          <w:highlight w:val="none"/>
        </w:rPr>
        <w:t>1.1</w:t>
      </w:r>
      <w:r>
        <w:rPr>
          <w:rFonts w:hint="eastAsia" w:hAnsi="宋体"/>
          <w:color w:val="auto"/>
          <w:highlight w:val="none"/>
        </w:rPr>
        <w:t>磋商小组依据本章</w:t>
      </w:r>
      <w:r>
        <w:rPr>
          <w:rFonts w:hint="eastAsia" w:ascii="Times New Roman"/>
          <w:color w:val="auto"/>
          <w:highlight w:val="none"/>
        </w:rPr>
        <w:t>评审标准</w:t>
      </w:r>
      <w:r>
        <w:rPr>
          <w:rFonts w:hint="eastAsia" w:hAnsi="宋体"/>
          <w:color w:val="auto"/>
          <w:highlight w:val="none"/>
        </w:rPr>
        <w:t>第</w:t>
      </w:r>
      <w:r>
        <w:rPr>
          <w:rFonts w:hAnsi="宋体"/>
          <w:color w:val="auto"/>
          <w:highlight w:val="none"/>
        </w:rPr>
        <w:t>1.1项、第1.2项规定的标准对</w:t>
      </w:r>
      <w:r>
        <w:rPr>
          <w:rFonts w:hint="eastAsia" w:hAnsi="宋体"/>
          <w:color w:val="auto"/>
          <w:highlight w:val="none"/>
        </w:rPr>
        <w:t>响应</w:t>
      </w:r>
      <w:r>
        <w:rPr>
          <w:rFonts w:hAnsi="宋体"/>
          <w:color w:val="auto"/>
          <w:highlight w:val="none"/>
        </w:rPr>
        <w:t>文件进行</w:t>
      </w:r>
      <w:r>
        <w:rPr>
          <w:rFonts w:hint="eastAsia" w:hAnsi="宋体"/>
          <w:color w:val="auto"/>
          <w:highlight w:val="none"/>
        </w:rPr>
        <w:t>初步</w:t>
      </w:r>
      <w:r>
        <w:rPr>
          <w:rFonts w:hAnsi="宋体"/>
          <w:color w:val="auto"/>
          <w:highlight w:val="none"/>
        </w:rPr>
        <w:t>评审。</w:t>
      </w:r>
      <w:r>
        <w:rPr>
          <w:rFonts w:hint="eastAsia" w:hAnsi="宋体"/>
          <w:color w:val="auto"/>
          <w:kern w:val="0"/>
          <w:highlight w:val="none"/>
        </w:rPr>
        <w:t>有一项不符合磋商标准的，不通过初步审查，不再参与磋商。当响应磋商文件实质性要求的供应商少于3家时，将终止本次竞争性磋商采购活动。</w:t>
      </w:r>
    </w:p>
    <w:p w14:paraId="376951CF">
      <w:pPr>
        <w:spacing w:line="360" w:lineRule="auto"/>
        <w:ind w:firstLine="420" w:firstLineChars="200"/>
        <w:rPr>
          <w:rFonts w:hint="eastAsia"/>
          <w:color w:val="auto"/>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w:t>
      </w:r>
      <w:r>
        <w:rPr>
          <w:rFonts w:hint="eastAsia" w:ascii="宋体" w:hAnsi="宋体"/>
          <w:color w:val="auto"/>
          <w:kern w:val="0"/>
          <w:szCs w:val="21"/>
          <w:highlight w:val="none"/>
        </w:rPr>
        <w:t>2磋商小组成员要依法独立审查，并对审查意见承担个人责任。磋商小组成员对需要共同认定的事项存在争议的，按照少数服从多数的原则做出结论。</w:t>
      </w:r>
    </w:p>
    <w:p w14:paraId="7E97A6EB">
      <w:pPr>
        <w:spacing w:line="360" w:lineRule="auto"/>
        <w:ind w:firstLine="482" w:firstLineChars="200"/>
        <w:outlineLvl w:val="2"/>
        <w:rPr>
          <w:rFonts w:hint="eastAsia"/>
          <w:b/>
          <w:color w:val="auto"/>
          <w:kern w:val="0"/>
          <w:sz w:val="24"/>
          <w:highlight w:val="none"/>
        </w:rPr>
      </w:pPr>
      <w:bookmarkStart w:id="831" w:name="_Toc432106533"/>
      <w:bookmarkStart w:id="832" w:name="_Toc4802"/>
      <w:bookmarkStart w:id="833" w:name="_Toc9399"/>
      <w:bookmarkStart w:id="834" w:name="_Toc438396784"/>
      <w:bookmarkStart w:id="835" w:name="_Toc21105"/>
      <w:bookmarkStart w:id="836" w:name="_Toc7539"/>
      <w:bookmarkStart w:id="837" w:name="_Toc432194883"/>
      <w:bookmarkStart w:id="838" w:name="_Toc20808"/>
      <w:bookmarkStart w:id="839" w:name="_Toc10028"/>
      <w:bookmarkStart w:id="840" w:name="_Toc25216"/>
      <w:bookmarkStart w:id="841" w:name="_Toc7694"/>
      <w:bookmarkStart w:id="842" w:name="_Toc1184"/>
      <w:bookmarkStart w:id="843" w:name="_Toc9333"/>
      <w:bookmarkStart w:id="844" w:name="_Toc10265"/>
      <w:r>
        <w:rPr>
          <w:rFonts w:hint="eastAsia"/>
          <w:b/>
          <w:color w:val="auto"/>
          <w:kern w:val="0"/>
          <w:sz w:val="24"/>
          <w:highlight w:val="none"/>
        </w:rPr>
        <w:t>2</w:t>
      </w:r>
      <w:r>
        <w:rPr>
          <w:b/>
          <w:color w:val="auto"/>
          <w:kern w:val="0"/>
          <w:sz w:val="24"/>
          <w:highlight w:val="none"/>
        </w:rPr>
        <w:t>.</w:t>
      </w:r>
      <w:r>
        <w:rPr>
          <w:rFonts w:hint="eastAsia"/>
          <w:b/>
          <w:color w:val="auto"/>
          <w:kern w:val="0"/>
          <w:sz w:val="24"/>
          <w:highlight w:val="none"/>
        </w:rPr>
        <w:t>磋商及最后报价</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6715DC">
      <w:pPr>
        <w:widowControl/>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磋商小组所有成员集中与通过实质性审查的单一供应商分别进行磋商。在磋商中，磋商的任何一方不得透露与磋商有关的其他供应商的技术资料、价格、折扣和其他信息。</w:t>
      </w:r>
    </w:p>
    <w:p w14:paraId="3E4EB720">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磋商文件有实质性变动的，磋商小组将经采购人代表确认后，以书面形式通知所有参加磋商的供应商。但不得对涉及竞争的公平、公正性内容进行修改、变动。</w:t>
      </w:r>
      <w:r>
        <w:rPr>
          <w:rFonts w:hint="eastAsia" w:ascii="宋体" w:hAnsi="宋体"/>
          <w:color w:val="auto"/>
          <w:szCs w:val="21"/>
          <w:highlight w:val="none"/>
        </w:rPr>
        <w:t>供应商应当按照磋商文件的变动情况和磋商小组的要求重新提交响应文件，并由其法定代表人或授权代表签字或加盖公章。</w:t>
      </w:r>
    </w:p>
    <w:p w14:paraId="7DCE0F93">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2.3</w:t>
      </w:r>
      <w:r>
        <w:rPr>
          <w:rFonts w:hint="eastAsia" w:ascii="宋体" w:hAnsi="宋体"/>
          <w:color w:val="auto"/>
          <w:kern w:val="0"/>
          <w:szCs w:val="21"/>
          <w:highlight w:val="none"/>
        </w:rPr>
        <w:t>为有助于对响应文件的详细审查、评价和比较，磋商小组可要求对供应商分别进行技术询问、澄清，有关要求和答复均现场进行。</w:t>
      </w:r>
    </w:p>
    <w:p w14:paraId="63398A37">
      <w:pPr>
        <w:widowControl/>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2.4</w:t>
      </w:r>
      <w:r>
        <w:rPr>
          <w:rFonts w:hint="eastAsia" w:ascii="宋体" w:hAnsi="宋体"/>
          <w:color w:val="auto"/>
          <w:kern w:val="0"/>
          <w:szCs w:val="21"/>
          <w:highlight w:val="none"/>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3A02E435">
      <w:pPr>
        <w:widowControl/>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2.5</w:t>
      </w:r>
      <w:r>
        <w:rPr>
          <w:rFonts w:hint="eastAsia" w:ascii="宋体" w:hAnsi="宋体"/>
          <w:color w:val="auto"/>
          <w:kern w:val="0"/>
          <w:szCs w:val="21"/>
          <w:highlight w:val="none"/>
        </w:rPr>
        <w:t>磋商小组对供应商提交的澄清、说明有疑问的，可以要求供应商进一步澄清、说明。磋商小组要求供应商澄清、说明或者更正响应文件应当以书面形式作出。供应商的澄清、说明或者更正应当由法定代表人或其授权代表签字或者加盖公章。</w:t>
      </w:r>
    </w:p>
    <w:p w14:paraId="1FD71A4B">
      <w:pPr>
        <w:widowControl/>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2.6</w:t>
      </w:r>
      <w:r>
        <w:rPr>
          <w:rFonts w:hint="eastAsia" w:ascii="宋体" w:hAnsi="宋体"/>
          <w:color w:val="auto"/>
          <w:kern w:val="0"/>
          <w:szCs w:val="21"/>
          <w:highlight w:val="none"/>
        </w:rPr>
        <w:t>磋商结束后，磋商小组将要求所有继续参加磋商的供应商在规定时间内提交最后报价，提交最后报价的供应商不得少于</w:t>
      </w:r>
      <w:r>
        <w:rPr>
          <w:rFonts w:ascii="宋体" w:hAnsi="宋体"/>
          <w:color w:val="auto"/>
          <w:kern w:val="0"/>
          <w:szCs w:val="21"/>
          <w:highlight w:val="none"/>
        </w:rPr>
        <w:t>3</w:t>
      </w:r>
      <w:r>
        <w:rPr>
          <w:rFonts w:hint="eastAsia" w:ascii="宋体" w:hAnsi="宋体"/>
          <w:color w:val="auto"/>
          <w:kern w:val="0"/>
          <w:szCs w:val="21"/>
          <w:highlight w:val="none"/>
        </w:rPr>
        <w:t>家。</w:t>
      </w:r>
    </w:p>
    <w:p w14:paraId="0B195FD3">
      <w:pPr>
        <w:spacing w:line="360" w:lineRule="auto"/>
        <w:ind w:firstLine="420" w:firstLineChars="200"/>
        <w:rPr>
          <w:rFonts w:hint="eastAsia"/>
          <w:color w:val="auto"/>
          <w:highlight w:val="none"/>
        </w:rPr>
      </w:pPr>
      <w:r>
        <w:rPr>
          <w:rFonts w:hint="eastAsia" w:ascii="宋体" w:hAnsi="宋体"/>
          <w:color w:val="auto"/>
          <w:kern w:val="0"/>
          <w:szCs w:val="21"/>
          <w:highlight w:val="none"/>
        </w:rPr>
        <w:t>2</w:t>
      </w:r>
      <w:r>
        <w:rPr>
          <w:rFonts w:ascii="宋体" w:hAnsi="宋体"/>
          <w:color w:val="auto"/>
          <w:kern w:val="0"/>
          <w:szCs w:val="21"/>
          <w:highlight w:val="none"/>
        </w:rPr>
        <w:t xml:space="preserve">.7 </w:t>
      </w:r>
      <w:r>
        <w:rPr>
          <w:rFonts w:hint="eastAsia"/>
          <w:color w:val="auto"/>
          <w:highlight w:val="none"/>
        </w:rPr>
        <w:t>响应文件如果出现计算或表达上的错误，修正错误的原则如下：</w:t>
      </w:r>
    </w:p>
    <w:p w14:paraId="2A4150C1">
      <w:pPr>
        <w:pStyle w:val="12"/>
        <w:tabs>
          <w:tab w:val="left" w:pos="2472"/>
        </w:tabs>
        <w:snapToGrid w:val="0"/>
        <w:spacing w:line="360" w:lineRule="auto"/>
        <w:ind w:firstLine="420" w:firstLineChars="200"/>
        <w:rPr>
          <w:color w:val="auto"/>
          <w:highlight w:val="none"/>
        </w:rPr>
      </w:pPr>
      <w:r>
        <w:rPr>
          <w:rFonts w:hint="eastAsia"/>
          <w:color w:val="auto"/>
          <w:highlight w:val="none"/>
        </w:rPr>
        <w:t>（1）响应文件中报价表内容与响应文件中相应内容不一致的，以报价表为准。</w:t>
      </w:r>
    </w:p>
    <w:p w14:paraId="7A836EFD">
      <w:pPr>
        <w:pStyle w:val="12"/>
        <w:tabs>
          <w:tab w:val="left" w:pos="2472"/>
        </w:tabs>
        <w:snapToGrid w:val="0"/>
        <w:spacing w:line="360" w:lineRule="auto"/>
        <w:ind w:firstLine="420" w:firstLineChars="200"/>
        <w:rPr>
          <w:color w:val="auto"/>
          <w:highlight w:val="none"/>
        </w:rPr>
      </w:pPr>
      <w:r>
        <w:rPr>
          <w:rFonts w:hint="eastAsia"/>
          <w:color w:val="auto"/>
          <w:highlight w:val="none"/>
        </w:rPr>
        <w:t>（2）大写金额和小写金额不一致的，以大写金额为准；</w:t>
      </w:r>
    </w:p>
    <w:p w14:paraId="0EB3418B">
      <w:pPr>
        <w:pStyle w:val="12"/>
        <w:tabs>
          <w:tab w:val="left" w:pos="2472"/>
        </w:tabs>
        <w:snapToGrid w:val="0"/>
        <w:spacing w:line="360" w:lineRule="auto"/>
        <w:ind w:firstLine="420" w:firstLineChars="200"/>
        <w:rPr>
          <w:color w:val="auto"/>
          <w:highlight w:val="none"/>
        </w:rPr>
      </w:pPr>
      <w:r>
        <w:rPr>
          <w:rFonts w:hint="eastAsia"/>
          <w:color w:val="auto"/>
          <w:highlight w:val="none"/>
        </w:rPr>
        <w:t>（3）单价金额小数点或者百分比有明显错位的，以报价表的总价为准，并修改单价；</w:t>
      </w:r>
    </w:p>
    <w:p w14:paraId="0978E809">
      <w:pPr>
        <w:pStyle w:val="12"/>
        <w:tabs>
          <w:tab w:val="left" w:pos="2472"/>
        </w:tabs>
        <w:snapToGrid w:val="0"/>
        <w:spacing w:line="360" w:lineRule="auto"/>
        <w:ind w:firstLine="420" w:firstLineChars="200"/>
        <w:rPr>
          <w:color w:val="auto"/>
          <w:highlight w:val="none"/>
        </w:rPr>
      </w:pPr>
      <w:r>
        <w:rPr>
          <w:rFonts w:hint="eastAsia"/>
          <w:color w:val="auto"/>
          <w:highlight w:val="none"/>
        </w:rPr>
        <w:t>（4）总价金额与按单价汇总金额不一致的，以单价金额计算结果为准；</w:t>
      </w:r>
    </w:p>
    <w:p w14:paraId="26C17D19">
      <w:pPr>
        <w:pStyle w:val="12"/>
        <w:tabs>
          <w:tab w:val="left" w:pos="2472"/>
        </w:tabs>
        <w:snapToGrid w:val="0"/>
        <w:spacing w:line="360" w:lineRule="auto"/>
        <w:ind w:firstLine="420" w:firstLineChars="200"/>
        <w:rPr>
          <w:color w:val="auto"/>
          <w:highlight w:val="none"/>
        </w:rPr>
      </w:pPr>
      <w:r>
        <w:rPr>
          <w:rFonts w:hint="eastAsia"/>
          <w:color w:val="auto"/>
          <w:highlight w:val="none"/>
        </w:rPr>
        <w:t>（5）对不同文字文本响应文件的解释发生异议的，以中文文本为准。</w:t>
      </w:r>
    </w:p>
    <w:p w14:paraId="24C5338B">
      <w:pPr>
        <w:widowControl/>
        <w:spacing w:line="360" w:lineRule="auto"/>
        <w:ind w:firstLine="420" w:firstLineChars="200"/>
        <w:rPr>
          <w:color w:val="auto"/>
          <w:szCs w:val="21"/>
          <w:highlight w:val="none"/>
        </w:rPr>
      </w:pPr>
      <w:r>
        <w:rPr>
          <w:rFonts w:hint="eastAsia"/>
          <w:color w:val="auto"/>
          <w:szCs w:val="21"/>
          <w:highlight w:val="none"/>
        </w:rPr>
        <w:t>（6）同时出现两种以上不一致的，按照前款规定的顺序修正。按上述规定修正后的报价经供应商确认后对供应商起约束作用。如果供应商不确认修正后的报价，则其响应文件无效。</w:t>
      </w:r>
    </w:p>
    <w:p w14:paraId="706CD372">
      <w:pPr>
        <w:spacing w:line="360" w:lineRule="auto"/>
        <w:ind w:firstLine="420" w:firstLineChars="200"/>
        <w:rPr>
          <w:rFonts w:hint="eastAsia" w:ascii="宋体" w:hAnsi="宋体"/>
          <w:color w:val="auto"/>
          <w:kern w:val="0"/>
          <w:szCs w:val="21"/>
          <w:highlight w:val="none"/>
        </w:rPr>
      </w:pPr>
      <w:r>
        <w:rPr>
          <w:rFonts w:ascii="宋体" w:hAnsi="宋体"/>
          <w:color w:val="000000"/>
          <w:szCs w:val="21"/>
          <w:highlight w:val="none"/>
        </w:rPr>
        <w:t>2.8</w:t>
      </w:r>
      <w:r>
        <w:rPr>
          <w:rFonts w:hint="eastAsia" w:hAnsi="宋体" w:cs="宋体"/>
          <w:szCs w:val="21"/>
        </w:rPr>
        <w:t>启动异常低价投标审查程序后，评审委员会依据专业经验，参考同类项目中标价格、类似产品市场价格水平、行业人工费用标准、国家有关部门指导行业协会发布的行业平均成本等情况，对报价合理性进行判断。投标</w:t>
      </w:r>
      <w:r>
        <w:rPr>
          <w:rFonts w:hint="eastAsia" w:hAnsi="宋体" w:cs="宋体"/>
          <w:szCs w:val="21"/>
          <w:lang w:val="en-US" w:eastAsia="zh-CN"/>
        </w:rPr>
        <w:t>供应商</w:t>
      </w:r>
      <w:r>
        <w:rPr>
          <w:rFonts w:hint="eastAsia" w:hAnsi="宋体" w:cs="宋体"/>
          <w:szCs w:val="21"/>
        </w:rPr>
        <w:t>不能提供书面说明、证明材料，或者提供的书面说明、证明材料不能证明其报价合理性的，评审委员会应当将其作为无效投标处理。</w:t>
      </w:r>
    </w:p>
    <w:p w14:paraId="7533CBE1">
      <w:pPr>
        <w:spacing w:line="360" w:lineRule="auto"/>
        <w:ind w:firstLine="482" w:firstLineChars="200"/>
        <w:outlineLvl w:val="2"/>
        <w:rPr>
          <w:rFonts w:hint="eastAsia"/>
          <w:b/>
          <w:color w:val="auto"/>
          <w:kern w:val="0"/>
          <w:sz w:val="24"/>
          <w:highlight w:val="none"/>
        </w:rPr>
      </w:pPr>
      <w:bookmarkStart w:id="845" w:name="_Toc22494"/>
      <w:bookmarkStart w:id="846" w:name="_Toc6133"/>
      <w:bookmarkStart w:id="847" w:name="_Toc20544"/>
      <w:bookmarkStart w:id="848" w:name="_Toc28891"/>
      <w:bookmarkStart w:id="849" w:name="_Toc19615"/>
      <w:bookmarkStart w:id="850" w:name="_Toc9114"/>
      <w:bookmarkStart w:id="851" w:name="_Toc3678"/>
      <w:bookmarkStart w:id="852" w:name="_Toc26402"/>
      <w:bookmarkStart w:id="853" w:name="_Toc21081"/>
      <w:bookmarkStart w:id="854" w:name="_Toc4654"/>
      <w:bookmarkStart w:id="855" w:name="_Toc27958"/>
      <w:bookmarkStart w:id="856" w:name="_Toc432194884"/>
      <w:bookmarkStart w:id="857" w:name="_Toc438396785"/>
      <w:bookmarkStart w:id="858" w:name="_Toc432106534"/>
      <w:r>
        <w:rPr>
          <w:rFonts w:hint="eastAsia"/>
          <w:b/>
          <w:color w:val="auto"/>
          <w:kern w:val="0"/>
          <w:sz w:val="24"/>
          <w:highlight w:val="none"/>
        </w:rPr>
        <w:t>3</w:t>
      </w:r>
      <w:r>
        <w:rPr>
          <w:b/>
          <w:color w:val="auto"/>
          <w:kern w:val="0"/>
          <w:sz w:val="24"/>
          <w:highlight w:val="none"/>
        </w:rPr>
        <w:t>.</w:t>
      </w:r>
      <w:r>
        <w:rPr>
          <w:rFonts w:hint="eastAsia"/>
          <w:b/>
          <w:color w:val="auto"/>
          <w:kern w:val="0"/>
          <w:sz w:val="24"/>
          <w:highlight w:val="none"/>
        </w:rPr>
        <w:t>评分</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F94D9DC">
      <w:pPr>
        <w:pStyle w:val="12"/>
        <w:tabs>
          <w:tab w:val="left" w:pos="2472"/>
        </w:tabs>
        <w:spacing w:line="360" w:lineRule="auto"/>
        <w:ind w:firstLine="420" w:firstLineChars="200"/>
        <w:jc w:val="both"/>
        <w:rPr>
          <w:rFonts w:hAnsi="宋体"/>
          <w:color w:val="auto"/>
          <w:highlight w:val="none"/>
        </w:rPr>
      </w:pPr>
      <w:r>
        <w:rPr>
          <w:rFonts w:hint="eastAsia" w:hAnsi="宋体"/>
          <w:color w:val="auto"/>
          <w:highlight w:val="none"/>
        </w:rPr>
        <w:t>3</w:t>
      </w:r>
      <w:r>
        <w:rPr>
          <w:rFonts w:hAnsi="宋体"/>
          <w:color w:val="auto"/>
          <w:highlight w:val="none"/>
        </w:rPr>
        <w:t xml:space="preserve">.1 </w:t>
      </w:r>
      <w:r>
        <w:rPr>
          <w:rFonts w:hint="eastAsia" w:hAnsi="宋体"/>
          <w:color w:val="auto"/>
          <w:kern w:val="0"/>
          <w:highlight w:val="none"/>
        </w:rPr>
        <w:t>磋商小组</w:t>
      </w:r>
      <w:r>
        <w:rPr>
          <w:rFonts w:hAnsi="宋体"/>
          <w:color w:val="auto"/>
          <w:highlight w:val="none"/>
        </w:rPr>
        <w:t>按本章</w:t>
      </w:r>
      <w:r>
        <w:rPr>
          <w:rFonts w:hint="eastAsia" w:hAnsi="宋体"/>
          <w:color w:val="auto"/>
          <w:highlight w:val="none"/>
        </w:rPr>
        <w:t>评审标准中</w:t>
      </w:r>
      <w:r>
        <w:rPr>
          <w:rFonts w:hAnsi="宋体"/>
          <w:color w:val="auto"/>
          <w:highlight w:val="none"/>
        </w:rPr>
        <w:t>第2款规定的量化因素和分值进行打分，并计算出</w:t>
      </w:r>
      <w:r>
        <w:rPr>
          <w:rFonts w:hint="eastAsia" w:hAnsi="宋体"/>
          <w:color w:val="auto"/>
          <w:highlight w:val="none"/>
        </w:rPr>
        <w:t>供应商</w:t>
      </w:r>
      <w:r>
        <w:rPr>
          <w:rFonts w:hAnsi="宋体"/>
          <w:color w:val="auto"/>
          <w:highlight w:val="none"/>
        </w:rPr>
        <w:t>的</w:t>
      </w:r>
      <w:r>
        <w:rPr>
          <w:rFonts w:hint="eastAsia" w:hAnsi="宋体"/>
          <w:color w:val="auto"/>
          <w:highlight w:val="none"/>
        </w:rPr>
        <w:t>磋商</w:t>
      </w:r>
      <w:r>
        <w:rPr>
          <w:rFonts w:hAnsi="宋体"/>
          <w:color w:val="auto"/>
          <w:highlight w:val="none"/>
        </w:rPr>
        <w:t>总得分。</w:t>
      </w:r>
      <w:r>
        <w:rPr>
          <w:rFonts w:hint="eastAsia" w:hAnsi="宋体"/>
          <w:color w:val="auto"/>
          <w:highlight w:val="none"/>
        </w:rPr>
        <w:t>对其他需要借助专业知识评判的主观评分项，应当严格按照评分细则公正评分。</w:t>
      </w:r>
    </w:p>
    <w:p w14:paraId="43E12C18">
      <w:pPr>
        <w:pStyle w:val="12"/>
        <w:tabs>
          <w:tab w:val="left" w:pos="2472"/>
        </w:tabs>
        <w:spacing w:line="360" w:lineRule="auto"/>
        <w:ind w:firstLine="420" w:firstLineChars="200"/>
        <w:jc w:val="both"/>
        <w:rPr>
          <w:rFonts w:hAnsi="宋体"/>
          <w:color w:val="auto"/>
          <w:highlight w:val="none"/>
        </w:rPr>
      </w:pPr>
      <w:r>
        <w:rPr>
          <w:rFonts w:hAnsi="宋体"/>
          <w:color w:val="auto"/>
          <w:highlight w:val="none"/>
        </w:rPr>
        <w:t>（1）按本章</w:t>
      </w:r>
      <w:r>
        <w:rPr>
          <w:rFonts w:hint="eastAsia" w:hAnsi="宋体"/>
          <w:color w:val="auto"/>
          <w:highlight w:val="none"/>
        </w:rPr>
        <w:t>前附表的</w:t>
      </w:r>
      <w:r>
        <w:rPr>
          <w:rFonts w:hAnsi="宋体"/>
          <w:color w:val="auto"/>
          <w:highlight w:val="none"/>
        </w:rPr>
        <w:t>规定对</w:t>
      </w:r>
      <w:r>
        <w:rPr>
          <w:rFonts w:hint="eastAsia" w:hAnsi="宋体"/>
          <w:color w:val="auto"/>
          <w:highlight w:val="none"/>
        </w:rPr>
        <w:t>磋商</w:t>
      </w:r>
      <w:r>
        <w:rPr>
          <w:rFonts w:hAnsi="宋体"/>
          <w:color w:val="auto"/>
          <w:highlight w:val="none"/>
        </w:rPr>
        <w:t>报价计算出得分F1；</w:t>
      </w:r>
    </w:p>
    <w:p w14:paraId="350F72BA">
      <w:pPr>
        <w:pStyle w:val="12"/>
        <w:tabs>
          <w:tab w:val="left" w:pos="2472"/>
        </w:tabs>
        <w:spacing w:line="360" w:lineRule="auto"/>
        <w:ind w:firstLine="420" w:firstLineChars="200"/>
        <w:jc w:val="both"/>
        <w:rPr>
          <w:rFonts w:hAnsi="宋体"/>
          <w:color w:val="auto"/>
          <w:highlight w:val="none"/>
        </w:rPr>
      </w:pPr>
      <w:r>
        <w:rPr>
          <w:rFonts w:hAnsi="宋体"/>
          <w:color w:val="auto"/>
          <w:highlight w:val="none"/>
        </w:rPr>
        <w:t>（2）按本章</w:t>
      </w:r>
      <w:r>
        <w:rPr>
          <w:rFonts w:hint="eastAsia" w:hAnsi="宋体"/>
          <w:color w:val="auto"/>
          <w:highlight w:val="none"/>
        </w:rPr>
        <w:t>前附表的</w:t>
      </w:r>
      <w:r>
        <w:rPr>
          <w:rFonts w:hAnsi="宋体"/>
          <w:color w:val="auto"/>
          <w:highlight w:val="none"/>
        </w:rPr>
        <w:t>规定对技术部分</w:t>
      </w:r>
      <w:r>
        <w:rPr>
          <w:rFonts w:hint="eastAsia" w:hAnsi="宋体"/>
          <w:color w:val="auto"/>
          <w:highlight w:val="none"/>
        </w:rPr>
        <w:t>评分，</w:t>
      </w:r>
      <w:r>
        <w:rPr>
          <w:rFonts w:hAnsi="宋体"/>
          <w:color w:val="auto"/>
          <w:highlight w:val="none"/>
        </w:rPr>
        <w:t>得分F2；</w:t>
      </w:r>
    </w:p>
    <w:p w14:paraId="6087653C">
      <w:pPr>
        <w:pStyle w:val="12"/>
        <w:tabs>
          <w:tab w:val="left" w:pos="2472"/>
        </w:tabs>
        <w:spacing w:line="360" w:lineRule="auto"/>
        <w:ind w:firstLine="420" w:firstLineChars="200"/>
        <w:jc w:val="both"/>
        <w:rPr>
          <w:rFonts w:hAnsi="宋体"/>
          <w:color w:val="auto"/>
          <w:highlight w:val="none"/>
        </w:rPr>
      </w:pPr>
      <w:r>
        <w:rPr>
          <w:rFonts w:hAnsi="宋体"/>
          <w:color w:val="auto"/>
          <w:highlight w:val="none"/>
        </w:rPr>
        <w:t>（3）按本章</w:t>
      </w:r>
      <w:r>
        <w:rPr>
          <w:rFonts w:hint="eastAsia" w:hAnsi="宋体"/>
          <w:color w:val="auto"/>
          <w:highlight w:val="none"/>
        </w:rPr>
        <w:t>前附表的</w:t>
      </w:r>
      <w:r>
        <w:rPr>
          <w:rFonts w:hAnsi="宋体"/>
          <w:color w:val="auto"/>
          <w:highlight w:val="none"/>
        </w:rPr>
        <w:t>规定对</w:t>
      </w:r>
      <w:r>
        <w:rPr>
          <w:rFonts w:hint="eastAsia" w:hAnsi="宋体"/>
          <w:color w:val="auto"/>
          <w:highlight w:val="none"/>
        </w:rPr>
        <w:t>商务</w:t>
      </w:r>
      <w:r>
        <w:rPr>
          <w:rFonts w:hAnsi="宋体"/>
          <w:color w:val="auto"/>
          <w:highlight w:val="none"/>
        </w:rPr>
        <w:t>部分</w:t>
      </w:r>
      <w:r>
        <w:rPr>
          <w:rFonts w:hint="eastAsia" w:hAnsi="宋体"/>
          <w:color w:val="auto"/>
          <w:highlight w:val="none"/>
        </w:rPr>
        <w:t>评分，</w:t>
      </w:r>
      <w:r>
        <w:rPr>
          <w:rFonts w:hAnsi="宋体"/>
          <w:color w:val="auto"/>
          <w:highlight w:val="none"/>
        </w:rPr>
        <w:t>得分F3；</w:t>
      </w:r>
    </w:p>
    <w:p w14:paraId="7FA4B25F">
      <w:pPr>
        <w:pStyle w:val="12"/>
        <w:tabs>
          <w:tab w:val="left" w:pos="2472"/>
        </w:tabs>
        <w:spacing w:line="360" w:lineRule="auto"/>
        <w:ind w:firstLine="420" w:firstLineChars="200"/>
        <w:jc w:val="both"/>
        <w:rPr>
          <w:rFonts w:hAnsi="宋体"/>
          <w:color w:val="auto"/>
          <w:highlight w:val="none"/>
        </w:rPr>
      </w:pPr>
      <w:r>
        <w:rPr>
          <w:rFonts w:hAnsi="宋体"/>
          <w:color w:val="auto"/>
          <w:highlight w:val="none"/>
        </w:rPr>
        <w:t>（4）按本章</w:t>
      </w:r>
      <w:r>
        <w:rPr>
          <w:rFonts w:hint="eastAsia" w:hAnsi="宋体"/>
          <w:color w:val="auto"/>
          <w:highlight w:val="none"/>
        </w:rPr>
        <w:t>前附表的</w:t>
      </w:r>
      <w:r>
        <w:rPr>
          <w:rFonts w:hAnsi="宋体"/>
          <w:color w:val="auto"/>
          <w:highlight w:val="none"/>
        </w:rPr>
        <w:t>规定计算总得分。</w:t>
      </w:r>
    </w:p>
    <w:p w14:paraId="0431A25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.2</w:t>
      </w:r>
      <w:r>
        <w:rPr>
          <w:rFonts w:hint="eastAsia" w:ascii="宋体" w:hAnsi="宋体"/>
          <w:color w:val="auto"/>
          <w:szCs w:val="21"/>
          <w:highlight w:val="none"/>
        </w:rPr>
        <w:t>技术部分（F2）和商务部分（F3）得分由磋商小组成员独立评分，</w:t>
      </w:r>
      <w:r>
        <w:rPr>
          <w:rFonts w:hint="eastAsia" w:ascii="宋体" w:hAnsi="宋体"/>
          <w:bCs/>
          <w:color w:val="auto"/>
          <w:szCs w:val="21"/>
          <w:highlight w:val="none"/>
        </w:rPr>
        <w:t>供应商各项评分因素得分为该项因素各评委评分的算术平均值（保留小数点后两位）</w:t>
      </w:r>
      <w:r>
        <w:rPr>
          <w:rFonts w:ascii="宋体" w:hAnsi="宋体"/>
          <w:color w:val="auto"/>
          <w:szCs w:val="21"/>
          <w:highlight w:val="none"/>
        </w:rPr>
        <w:t>，小数点后第三位“四舍五入”。</w:t>
      </w:r>
    </w:p>
    <w:p w14:paraId="42B0F31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磋商小组成员要依法独立评审，并对评审意见承担个人责任。磋商小组成员对需要共同认定的事项存在争议的，按照少数服从多数的原则做出结论。持不同意见的磋商小组成员应当在评标报告上签署不同意见并说明理由，否则视为同意。</w:t>
      </w:r>
    </w:p>
    <w:p w14:paraId="7BF68783">
      <w:pPr>
        <w:spacing w:line="360" w:lineRule="auto"/>
        <w:ind w:firstLine="482" w:firstLineChars="200"/>
        <w:outlineLvl w:val="2"/>
        <w:rPr>
          <w:b/>
          <w:color w:val="auto"/>
          <w:kern w:val="0"/>
          <w:sz w:val="24"/>
          <w:highlight w:val="none"/>
        </w:rPr>
      </w:pPr>
      <w:bookmarkStart w:id="859" w:name="_Toc3855"/>
      <w:bookmarkStart w:id="860" w:name="_Toc432194885"/>
      <w:bookmarkStart w:id="861" w:name="_Toc14380"/>
      <w:bookmarkStart w:id="862" w:name="_Toc432106535"/>
      <w:bookmarkStart w:id="863" w:name="_Toc25894"/>
      <w:bookmarkStart w:id="864" w:name="_Toc19339"/>
      <w:bookmarkStart w:id="865" w:name="_Toc438396786"/>
      <w:bookmarkStart w:id="866" w:name="_Toc321836413"/>
      <w:bookmarkStart w:id="867" w:name="_Toc5492"/>
      <w:bookmarkStart w:id="868" w:name="_Toc24400"/>
      <w:bookmarkStart w:id="869" w:name="_Toc9192"/>
      <w:bookmarkStart w:id="870" w:name="_Toc9685"/>
      <w:bookmarkStart w:id="871" w:name="_Toc25464"/>
      <w:bookmarkStart w:id="872" w:name="_Toc1965"/>
      <w:bookmarkStart w:id="873" w:name="_Toc28158"/>
      <w:r>
        <w:rPr>
          <w:b/>
          <w:color w:val="auto"/>
          <w:kern w:val="0"/>
          <w:sz w:val="24"/>
          <w:highlight w:val="none"/>
        </w:rPr>
        <w:t>4.</w:t>
      </w:r>
      <w:r>
        <w:rPr>
          <w:rFonts w:hint="eastAsia"/>
          <w:b/>
          <w:color w:val="auto"/>
          <w:kern w:val="0"/>
          <w:sz w:val="24"/>
          <w:highlight w:val="none"/>
        </w:rPr>
        <w:t>磋商</w:t>
      </w:r>
      <w:r>
        <w:rPr>
          <w:b/>
          <w:color w:val="auto"/>
          <w:kern w:val="0"/>
          <w:sz w:val="24"/>
          <w:highlight w:val="none"/>
        </w:rPr>
        <w:t>结果</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7F0903E">
      <w:pPr>
        <w:spacing w:line="360" w:lineRule="auto"/>
        <w:ind w:firstLine="420" w:firstLineChars="200"/>
        <w:rPr>
          <w:rFonts w:ascii="宋体" w:hAnsi="宋体"/>
          <w:color w:val="auto"/>
          <w:szCs w:val="21"/>
          <w:highlight w:val="none"/>
        </w:rPr>
      </w:pPr>
      <w:r>
        <w:rPr>
          <w:rFonts w:ascii="宋体" w:hAnsi="宋体"/>
          <w:color w:val="auto"/>
          <w:szCs w:val="21"/>
          <w:highlight w:val="none"/>
        </w:rPr>
        <w:t>4.1</w:t>
      </w:r>
      <w:r>
        <w:rPr>
          <w:rFonts w:hint="eastAsia" w:ascii="宋体" w:hAnsi="宋体"/>
          <w:color w:val="auto"/>
          <w:szCs w:val="21"/>
          <w:highlight w:val="none"/>
        </w:rPr>
        <w:t>磋商小组按最终得分由高到低顺序推荐成交候选人，并提出书面评标报告</w:t>
      </w:r>
      <w:r>
        <w:rPr>
          <w:rFonts w:ascii="宋体" w:hAnsi="宋体"/>
          <w:color w:val="auto"/>
          <w:szCs w:val="21"/>
          <w:highlight w:val="none"/>
        </w:rPr>
        <w:t>。</w:t>
      </w:r>
    </w:p>
    <w:p w14:paraId="42A54FCF">
      <w:pPr>
        <w:spacing w:line="360" w:lineRule="auto"/>
        <w:ind w:firstLine="420" w:firstLineChars="200"/>
        <w:rPr>
          <w:rFonts w:ascii="宋体" w:hAnsi="宋体"/>
          <w:color w:val="auto"/>
          <w:szCs w:val="21"/>
          <w:highlight w:val="none"/>
        </w:rPr>
      </w:pPr>
      <w:r>
        <w:rPr>
          <w:rFonts w:ascii="宋体" w:hAnsi="宋体"/>
          <w:color w:val="auto"/>
          <w:szCs w:val="21"/>
          <w:highlight w:val="none"/>
        </w:rPr>
        <w:t>4.2 采购人根据磋商小组提出的书面评标报告和推荐的</w:t>
      </w:r>
      <w:r>
        <w:rPr>
          <w:rFonts w:hint="eastAsia" w:ascii="宋体" w:hAnsi="宋体"/>
          <w:color w:val="auto"/>
          <w:szCs w:val="21"/>
          <w:highlight w:val="none"/>
        </w:rPr>
        <w:t>成交</w:t>
      </w:r>
      <w:r>
        <w:rPr>
          <w:rFonts w:ascii="宋体" w:hAnsi="宋体"/>
          <w:color w:val="auto"/>
          <w:szCs w:val="21"/>
          <w:highlight w:val="none"/>
        </w:rPr>
        <w:t>候选人名单，确定</w:t>
      </w:r>
      <w:r>
        <w:rPr>
          <w:rFonts w:hint="eastAsia" w:ascii="宋体" w:hAnsi="宋体"/>
          <w:color w:val="auto"/>
          <w:szCs w:val="21"/>
          <w:highlight w:val="none"/>
        </w:rPr>
        <w:t>成交供应商</w:t>
      </w:r>
      <w:r>
        <w:rPr>
          <w:rFonts w:ascii="宋体" w:hAnsi="宋体"/>
          <w:color w:val="auto"/>
          <w:szCs w:val="21"/>
          <w:highlight w:val="none"/>
        </w:rPr>
        <w:t>。</w:t>
      </w:r>
    </w:p>
    <w:p w14:paraId="73F2B8C5">
      <w:pPr>
        <w:spacing w:line="360" w:lineRule="auto"/>
        <w:outlineLvl w:val="1"/>
        <w:rPr>
          <w:rFonts w:ascii="黑体" w:hAnsi="黑体" w:eastAsia="黑体"/>
          <w:b/>
          <w:color w:val="auto"/>
          <w:kern w:val="0"/>
          <w:sz w:val="28"/>
          <w:szCs w:val="30"/>
          <w:highlight w:val="none"/>
        </w:rPr>
      </w:pPr>
      <w:bookmarkStart w:id="874" w:name="_Toc5656"/>
      <w:bookmarkStart w:id="875" w:name="_Toc5568"/>
      <w:bookmarkStart w:id="876" w:name="_Toc11607"/>
      <w:bookmarkStart w:id="877" w:name="_Toc14835"/>
      <w:bookmarkStart w:id="878" w:name="_Toc13822213"/>
      <w:bookmarkStart w:id="879" w:name="_Toc9227"/>
      <w:bookmarkStart w:id="880" w:name="_Toc7468"/>
      <w:bookmarkStart w:id="881" w:name="_Toc5945"/>
      <w:bookmarkStart w:id="882" w:name="_Toc29244"/>
      <w:bookmarkStart w:id="883" w:name="_Toc32012"/>
      <w:bookmarkStart w:id="884" w:name="_Toc4359"/>
      <w:bookmarkStart w:id="885" w:name="_Toc28413"/>
      <w:r>
        <w:rPr>
          <w:rFonts w:hint="eastAsia" w:ascii="黑体" w:hAnsi="黑体" w:eastAsia="黑体"/>
          <w:b/>
          <w:color w:val="auto"/>
          <w:kern w:val="0"/>
          <w:sz w:val="28"/>
          <w:szCs w:val="30"/>
          <w:highlight w:val="none"/>
        </w:rPr>
        <w:t>四、其它</w:t>
      </w:r>
      <w:bookmarkEnd w:id="874"/>
      <w:bookmarkEnd w:id="875"/>
      <w:bookmarkEnd w:id="876"/>
      <w:bookmarkEnd w:id="877"/>
      <w:bookmarkEnd w:id="878"/>
      <w:bookmarkEnd w:id="879"/>
      <w:bookmarkEnd w:id="880"/>
      <w:bookmarkEnd w:id="881"/>
      <w:bookmarkEnd w:id="882"/>
      <w:bookmarkEnd w:id="883"/>
      <w:bookmarkEnd w:id="884"/>
      <w:bookmarkEnd w:id="885"/>
    </w:p>
    <w:p w14:paraId="301A6358">
      <w:pPr>
        <w:pStyle w:val="12"/>
        <w:tabs>
          <w:tab w:val="left" w:pos="1275"/>
          <w:tab w:val="left" w:pos="1440"/>
          <w:tab w:val="left" w:pos="1620"/>
        </w:tabs>
        <w:spacing w:line="360" w:lineRule="auto"/>
        <w:ind w:left="283" w:leftChars="135"/>
        <w:outlineLvl w:val="2"/>
        <w:rPr>
          <w:rFonts w:cs="宋体"/>
          <w:color w:val="auto"/>
          <w:kern w:val="0"/>
          <w:highlight w:val="none"/>
        </w:rPr>
      </w:pPr>
      <w:bookmarkStart w:id="886" w:name="_Toc13042"/>
      <w:bookmarkStart w:id="887" w:name="_Toc26225"/>
      <w:bookmarkStart w:id="888" w:name="_Toc27513"/>
      <w:bookmarkStart w:id="889" w:name="_Toc6304"/>
      <w:bookmarkStart w:id="890" w:name="_Toc20005"/>
      <w:bookmarkStart w:id="891" w:name="_Toc14592"/>
      <w:bookmarkStart w:id="892" w:name="_Toc32478"/>
      <w:bookmarkStart w:id="893" w:name="_Toc28338"/>
      <w:bookmarkStart w:id="894" w:name="_Toc1833"/>
      <w:r>
        <w:rPr>
          <w:rFonts w:hint="eastAsia" w:cs="宋体"/>
          <w:color w:val="auto"/>
          <w:kern w:val="0"/>
          <w:highlight w:val="none"/>
        </w:rPr>
        <w:t>1.关于中小企业</w:t>
      </w:r>
      <w:bookmarkEnd w:id="886"/>
      <w:bookmarkEnd w:id="887"/>
      <w:bookmarkEnd w:id="888"/>
      <w:bookmarkEnd w:id="889"/>
      <w:bookmarkEnd w:id="890"/>
      <w:bookmarkEnd w:id="891"/>
      <w:bookmarkEnd w:id="892"/>
      <w:bookmarkEnd w:id="893"/>
      <w:bookmarkEnd w:id="894"/>
    </w:p>
    <w:p w14:paraId="31769520">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1.1根据《财政部工业和信息化部关于印发〈政府采购促进中小企业发展管理办法〉的通知》（财库【2020】46号文）的规定，在政府采购活动中，供应商提供的货物、工程或者服务符合下列情形的，享受中小企业扶持政策：</w:t>
      </w:r>
    </w:p>
    <w:p w14:paraId="0EE579C0">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（1）本办法所称中小企业划分标准，是指中华人民共和国境内依法设立，依据国务院批准的中小企业划分标准确定的中型企业、小型企业和</w:t>
      </w:r>
      <w:r>
        <w:rPr>
          <w:rFonts w:hint="eastAsia" w:cs="宋体"/>
          <w:color w:val="auto"/>
          <w:kern w:val="0"/>
          <w:highlight w:val="none"/>
          <w:lang w:eastAsia="zh-CN"/>
        </w:rPr>
        <w:t>微型</w:t>
      </w:r>
      <w:r>
        <w:rPr>
          <w:rFonts w:hint="eastAsia" w:cs="宋体"/>
          <w:color w:val="auto"/>
          <w:kern w:val="0"/>
          <w:highlight w:val="none"/>
        </w:rPr>
        <w:t>企业，但与大企业的负责人为同一人，或者与大企业存在直接控股、管理关系的除外。</w:t>
      </w:r>
    </w:p>
    <w:p w14:paraId="0F3EEB52">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（2） （2.1）货物采购项目中，货物由中小企业制造，即货物由中小企业生产且使用该中小企业商号或者注册商标；</w:t>
      </w:r>
    </w:p>
    <w:p w14:paraId="6DB6C0B1">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 xml:space="preserve">（2.2）在工程采购项目中，工程由中小企业承建，即工程施工单位为中小企业； </w:t>
      </w:r>
    </w:p>
    <w:p w14:paraId="673D7A2C">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 xml:space="preserve">（2.3）在服务采购项目中，服务由中小企业承接，即提供服务的人员为中小企业依照《中华人民共和国劳动合同法》订立劳动合同的从业人员。 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 </w:t>
      </w:r>
    </w:p>
    <w:p w14:paraId="5D293CA6">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 xml:space="preserve">1.2中小企业参加政府采购活动，应当出具《中小企业声明函》，否则不得享受相关中小企业扶持政策。任何单位和个人不得要求供应商提供《中小企业声明函》之外的中小企业身份证明文件。 </w:t>
      </w:r>
    </w:p>
    <w:p w14:paraId="12F27CD6">
      <w:pPr>
        <w:pStyle w:val="12"/>
        <w:tabs>
          <w:tab w:val="left" w:pos="1275"/>
          <w:tab w:val="left" w:pos="1440"/>
          <w:tab w:val="left" w:pos="1620"/>
        </w:tabs>
        <w:spacing w:line="360" w:lineRule="auto"/>
        <w:ind w:left="283" w:leftChars="135"/>
        <w:rPr>
          <w:rFonts w:cs="宋体"/>
          <w:color w:val="auto"/>
          <w:kern w:val="0"/>
          <w:highlight w:val="none"/>
        </w:rPr>
      </w:pPr>
      <w:r>
        <w:rPr>
          <w:rFonts w:hint="eastAsia" w:cs="宋体"/>
          <w:color w:val="auto"/>
          <w:kern w:val="0"/>
          <w:highlight w:val="none"/>
        </w:rPr>
        <w:t>1.3本项目对应的中小企业划分标准所属行业为：</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5332"/>
        <w:gridCol w:w="2212"/>
      </w:tblGrid>
      <w:tr w14:paraId="70492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jc w:val="center"/>
        </w:trPr>
        <w:tc>
          <w:tcPr>
            <w:tcW w:w="1251" w:type="dxa"/>
            <w:shd w:val="clear" w:color="auto" w:fill="A4A4A4"/>
            <w:noWrap w:val="0"/>
            <w:vAlign w:val="center"/>
          </w:tcPr>
          <w:p w14:paraId="1A367DC3">
            <w:pPr>
              <w:spacing w:line="360" w:lineRule="auto"/>
              <w:jc w:val="center"/>
              <w:textAlignment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5332" w:type="dxa"/>
            <w:shd w:val="clear" w:color="auto" w:fill="A4A4A4"/>
            <w:noWrap w:val="0"/>
            <w:vAlign w:val="center"/>
          </w:tcPr>
          <w:p w14:paraId="65707C04">
            <w:pPr>
              <w:spacing w:line="360" w:lineRule="auto"/>
              <w:jc w:val="center"/>
              <w:textAlignment w:val="center"/>
              <w:rPr>
                <w:rFonts w:hint="default" w:ascii="宋体" w:hAnsi="宋体" w:eastAsia="宋体" w:cs="宋体"/>
                <w:b/>
                <w:color w:val="auto"/>
                <w:kern w:val="0"/>
                <w:szCs w:val="21"/>
                <w:highlight w:val="none"/>
                <w:lang w:val="en-US" w:eastAsia="zh-CN"/>
              </w:rPr>
            </w:pPr>
            <w:r>
              <w:rPr>
                <w:rFonts w:hint="eastAsia" w:ascii="宋体" w:hAnsi="宋体" w:cs="宋体"/>
                <w:b/>
                <w:bCs/>
                <w:color w:val="auto"/>
                <w:spacing w:val="-20"/>
                <w:szCs w:val="21"/>
                <w:highlight w:val="none"/>
                <w:lang w:val="en-US" w:eastAsia="zh-CN"/>
              </w:rPr>
              <w:t>标的名称</w:t>
            </w:r>
          </w:p>
        </w:tc>
        <w:tc>
          <w:tcPr>
            <w:tcW w:w="2212" w:type="dxa"/>
            <w:shd w:val="clear" w:color="auto" w:fill="A4A4A4"/>
            <w:noWrap w:val="0"/>
            <w:vAlign w:val="top"/>
          </w:tcPr>
          <w:p w14:paraId="05A1EC61">
            <w:pPr>
              <w:spacing w:line="360" w:lineRule="auto"/>
              <w:jc w:val="center"/>
              <w:textAlignment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所属行业</w:t>
            </w:r>
          </w:p>
        </w:tc>
      </w:tr>
      <w:tr w14:paraId="4DC2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51" w:type="dxa"/>
            <w:noWrap w:val="0"/>
            <w:vAlign w:val="center"/>
          </w:tcPr>
          <w:p w14:paraId="50E1CBC4">
            <w:pPr>
              <w:spacing w:line="360" w:lineRule="auto"/>
              <w:jc w:val="center"/>
              <w:textAlignment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w:t>
            </w:r>
          </w:p>
        </w:tc>
        <w:tc>
          <w:tcPr>
            <w:tcW w:w="5332" w:type="dxa"/>
            <w:noWrap w:val="0"/>
            <w:vAlign w:val="center"/>
          </w:tcPr>
          <w:p w14:paraId="4D268DE4">
            <w:pPr>
              <w:spacing w:line="360" w:lineRule="auto"/>
              <w:jc w:val="center"/>
              <w:textAlignment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云南开放大学呈贡校区学生公寓B苑室内维修项目</w:t>
            </w:r>
          </w:p>
        </w:tc>
        <w:tc>
          <w:tcPr>
            <w:tcW w:w="2212" w:type="dxa"/>
            <w:noWrap w:val="0"/>
            <w:vAlign w:val="center"/>
          </w:tcPr>
          <w:p w14:paraId="478D8480">
            <w:pPr>
              <w:spacing w:line="360" w:lineRule="auto"/>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建筑业</w:t>
            </w:r>
          </w:p>
        </w:tc>
      </w:tr>
    </w:tbl>
    <w:p w14:paraId="5FF17996">
      <w:pPr>
        <w:autoSpaceDE w:val="0"/>
        <w:autoSpaceDN w:val="0"/>
        <w:adjustRightInd w:val="0"/>
        <w:spacing w:line="360" w:lineRule="auto"/>
        <w:ind w:firstLine="482" w:firstLineChars="200"/>
        <w:outlineLvl w:val="2"/>
        <w:rPr>
          <w:rFonts w:ascii="宋体" w:hAnsi="宋体" w:cs="宋体"/>
          <w:b/>
          <w:bCs/>
          <w:color w:val="auto"/>
          <w:kern w:val="0"/>
          <w:sz w:val="24"/>
          <w:highlight w:val="none"/>
        </w:rPr>
      </w:pPr>
      <w:bookmarkStart w:id="895" w:name="_Toc16887"/>
      <w:bookmarkStart w:id="896" w:name="_Toc28262"/>
      <w:bookmarkStart w:id="897" w:name="_Toc22737"/>
      <w:bookmarkStart w:id="898" w:name="_Toc6128"/>
      <w:bookmarkStart w:id="899" w:name="_Toc16961"/>
      <w:bookmarkStart w:id="900" w:name="_Toc12766"/>
      <w:bookmarkStart w:id="901" w:name="_Toc27442"/>
      <w:bookmarkStart w:id="902" w:name="_Toc11554"/>
      <w:bookmarkStart w:id="903" w:name="_Toc28515"/>
      <w:bookmarkStart w:id="904" w:name="_Toc16179"/>
      <w:bookmarkStart w:id="905" w:name="_Toc15295"/>
      <w:bookmarkStart w:id="906" w:name="_Toc15009"/>
      <w:bookmarkStart w:id="907" w:name="_Toc17140"/>
      <w:r>
        <w:rPr>
          <w:rFonts w:hint="eastAsia" w:ascii="宋体" w:hAnsi="宋体" w:cs="宋体"/>
          <w:b/>
          <w:bCs/>
          <w:color w:val="auto"/>
          <w:kern w:val="0"/>
          <w:sz w:val="24"/>
          <w:highlight w:val="none"/>
        </w:rPr>
        <w:t>2．关于监狱企业：</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43157B5A">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BCCA192">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2.2监狱企业参加政府采购活动时，应当提供由省级以上监狱管理局、戒毒管理局（含新疆生产建设兵团）出具的属于监狱企业的证明文件。</w:t>
      </w:r>
    </w:p>
    <w:p w14:paraId="46FD5D7C">
      <w:pPr>
        <w:tabs>
          <w:tab w:val="left" w:pos="105"/>
          <w:tab w:val="left" w:pos="945"/>
          <w:tab w:val="left" w:pos="3360"/>
        </w:tabs>
        <w:adjustRightInd w:val="0"/>
        <w:snapToGrid w:val="0"/>
        <w:spacing w:line="480" w:lineRule="exact"/>
        <w:ind w:firstLine="420"/>
        <w:rPr>
          <w:rFonts w:ascii="宋体" w:hAnsi="宋体" w:cs="宋体"/>
          <w:b/>
          <w:bCs/>
          <w:color w:val="auto"/>
          <w:kern w:val="0"/>
          <w:sz w:val="24"/>
          <w:highlight w:val="none"/>
        </w:rPr>
      </w:pPr>
      <w:bookmarkStart w:id="908" w:name="_Toc2983"/>
      <w:r>
        <w:rPr>
          <w:rFonts w:hint="eastAsia" w:ascii="宋体" w:hAnsi="宋体" w:cs="宋体"/>
          <w:color w:val="auto"/>
          <w:szCs w:val="21"/>
          <w:highlight w:val="none"/>
        </w:rPr>
        <w:t>2.3在政府采购活动中，监狱企业视同小型、微型企业，享受预留份额等政府采购促进中小企业发展的政府采购政策。</w:t>
      </w:r>
      <w:bookmarkEnd w:id="908"/>
    </w:p>
    <w:p w14:paraId="3E41B855">
      <w:pPr>
        <w:autoSpaceDE w:val="0"/>
        <w:autoSpaceDN w:val="0"/>
        <w:adjustRightInd w:val="0"/>
        <w:spacing w:line="360" w:lineRule="auto"/>
        <w:ind w:firstLine="482" w:firstLineChars="200"/>
        <w:outlineLvl w:val="2"/>
        <w:rPr>
          <w:rFonts w:ascii="宋体" w:hAnsi="宋体" w:cs="宋体"/>
          <w:b/>
          <w:bCs/>
          <w:color w:val="auto"/>
          <w:kern w:val="0"/>
          <w:sz w:val="24"/>
          <w:highlight w:val="none"/>
        </w:rPr>
      </w:pPr>
      <w:bookmarkStart w:id="909" w:name="_Toc15886"/>
      <w:bookmarkStart w:id="910" w:name="_Toc17657"/>
      <w:bookmarkStart w:id="911" w:name="_Toc17374"/>
      <w:bookmarkStart w:id="912" w:name="_Toc2415"/>
      <w:bookmarkStart w:id="913" w:name="_Toc26665"/>
      <w:bookmarkStart w:id="914" w:name="_Toc8804"/>
      <w:bookmarkStart w:id="915" w:name="_Toc29251"/>
      <w:bookmarkStart w:id="916" w:name="_Toc2254"/>
      <w:bookmarkStart w:id="917" w:name="_Toc2160"/>
      <w:bookmarkStart w:id="918" w:name="_Toc23590"/>
      <w:bookmarkStart w:id="919" w:name="_Toc8721"/>
      <w:bookmarkStart w:id="920" w:name="_Toc10132"/>
      <w:bookmarkStart w:id="921" w:name="_Toc27447"/>
      <w:bookmarkStart w:id="922" w:name="_Toc17778"/>
      <w:r>
        <w:rPr>
          <w:rFonts w:hint="eastAsia" w:ascii="宋体" w:hAnsi="宋体" w:cs="宋体"/>
          <w:b/>
          <w:bCs/>
          <w:color w:val="auto"/>
          <w:kern w:val="0"/>
          <w:sz w:val="24"/>
          <w:highlight w:val="none"/>
        </w:rPr>
        <w:t>3．关于残疾人福利性单位：</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5DB5927">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3.1根据《三部门联合发布关于促进残疾人就业政府采购政策的通知》（财库〔2017〕141号）的规定，享受政府采购支持政策的残疾人福利性单位应当同时满足以下条件：</w:t>
      </w:r>
    </w:p>
    <w:p w14:paraId="7AE24F5F">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（一）安置的残疾人占本单位在职职工人数的比例不低于25%（含25%），并且安置的残疾人人数不少于10人（含10人）；</w:t>
      </w:r>
    </w:p>
    <w:p w14:paraId="49EB041D">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（二）依法与安置的每位残疾人签订了一年以上（含一年）的劳动合同或服务协议；</w:t>
      </w:r>
    </w:p>
    <w:p w14:paraId="6CDFA60E">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（三）为安置的每位残疾人按月足额缴纳了基本养老保险、基本医疗保险、失业保险、工伤保险和生育保险等社会保险费；</w:t>
      </w:r>
    </w:p>
    <w:p w14:paraId="556C62A8">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（四）通过银行等金融机构向安置的每位残疾人，按月支付了不低于单位所在区县适用的经省级人民政府批准的月最低工资标准的工资；</w:t>
      </w:r>
    </w:p>
    <w:p w14:paraId="7AD92247">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0CF0970C">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F14430A">
      <w:pPr>
        <w:tabs>
          <w:tab w:val="left" w:pos="105"/>
          <w:tab w:val="left" w:pos="945"/>
          <w:tab w:val="left" w:pos="3360"/>
        </w:tabs>
        <w:adjustRightInd w:val="0"/>
        <w:snapToGrid w:val="0"/>
        <w:spacing w:line="480" w:lineRule="exact"/>
        <w:ind w:firstLine="420"/>
        <w:rPr>
          <w:rFonts w:ascii="宋体" w:hAnsi="宋体" w:cs="宋体"/>
          <w:color w:val="auto"/>
          <w:szCs w:val="21"/>
          <w:highlight w:val="none"/>
        </w:rPr>
      </w:pPr>
      <w:r>
        <w:rPr>
          <w:rFonts w:hint="eastAsia" w:ascii="宋体" w:hAnsi="宋体" w:cs="宋体"/>
          <w:color w:val="auto"/>
          <w:szCs w:val="21"/>
          <w:highlight w:val="none"/>
        </w:rPr>
        <w:t>3.2符合条件的残疾人福利性单位在参加政府采购活动时，应当按《三部门联合发布关于促进残疾人就业政府采购政策的通知》（财库〔2017〕141号）提供规定的《残疾人福利性单位声明函》，并对声明的真实性负责。</w:t>
      </w:r>
    </w:p>
    <w:p w14:paraId="078119C7">
      <w:pPr>
        <w:autoSpaceDE w:val="0"/>
        <w:autoSpaceDN w:val="0"/>
        <w:adjustRightInd w:val="0"/>
        <w:spacing w:line="360" w:lineRule="auto"/>
        <w:ind w:firstLine="482" w:firstLineChars="200"/>
        <w:outlineLvl w:val="2"/>
        <w:rPr>
          <w:rFonts w:hint="eastAsia" w:ascii="宋体" w:hAnsi="宋体" w:cs="宋体"/>
          <w:b/>
          <w:bCs/>
          <w:color w:val="auto"/>
          <w:kern w:val="0"/>
          <w:sz w:val="24"/>
          <w:highlight w:val="none"/>
        </w:rPr>
      </w:pPr>
      <w:bookmarkStart w:id="923" w:name="_Toc21425"/>
      <w:bookmarkStart w:id="924" w:name="_Toc22139"/>
      <w:bookmarkStart w:id="925" w:name="_Toc553"/>
      <w:bookmarkStart w:id="926" w:name="_Toc25383"/>
      <w:bookmarkStart w:id="927" w:name="_Toc20705"/>
      <w:bookmarkStart w:id="928" w:name="_Toc9919"/>
      <w:bookmarkStart w:id="929" w:name="_Toc14588"/>
      <w:bookmarkStart w:id="930" w:name="_Toc23685"/>
      <w:bookmarkStart w:id="931" w:name="_Toc5011"/>
      <w:bookmarkStart w:id="932" w:name="_Toc2746"/>
      <w:r>
        <w:rPr>
          <w:rFonts w:hint="eastAsia" w:ascii="宋体" w:hAnsi="宋体" w:cs="宋体"/>
          <w:b/>
          <w:bCs/>
          <w:color w:val="auto"/>
          <w:kern w:val="0"/>
          <w:sz w:val="24"/>
          <w:highlight w:val="none"/>
          <w:lang w:val="en-US" w:eastAsia="zh-CN"/>
        </w:rPr>
        <w:t>4.</w:t>
      </w:r>
      <w:r>
        <w:rPr>
          <w:rFonts w:hint="eastAsia" w:ascii="宋体" w:hAnsi="宋体" w:cs="宋体"/>
          <w:b/>
          <w:bCs/>
          <w:color w:val="auto"/>
          <w:kern w:val="0"/>
          <w:sz w:val="24"/>
          <w:highlight w:val="none"/>
        </w:rPr>
        <w:t>关于节能产品及环境标志产品</w:t>
      </w:r>
      <w:bookmarkEnd w:id="923"/>
      <w:bookmarkEnd w:id="924"/>
      <w:bookmarkEnd w:id="925"/>
    </w:p>
    <w:p w14:paraId="16B60C4D">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4.1</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提供经国家认定的节能产品或环境标志产品须提供有效证明材料方可获得</w:t>
      </w:r>
      <w:r>
        <w:rPr>
          <w:rFonts w:hint="eastAsia" w:ascii="宋体" w:hAnsi="宋体" w:cs="宋体"/>
          <w:color w:val="auto"/>
          <w:kern w:val="0"/>
          <w:szCs w:val="21"/>
          <w:highlight w:val="none"/>
          <w:lang w:val="en-US" w:eastAsia="zh-CN"/>
        </w:rPr>
        <w:t>加分</w:t>
      </w:r>
      <w:r>
        <w:rPr>
          <w:rFonts w:hint="eastAsia" w:ascii="宋体" w:hAnsi="宋体" w:cs="宋体"/>
          <w:color w:val="auto"/>
          <w:kern w:val="0"/>
          <w:szCs w:val="21"/>
          <w:highlight w:val="none"/>
        </w:rPr>
        <w:t>。节能产品或环境标志产品须提供在有效期内的认证证书，且证书的认证机构必须符合市场监管总局2019年第16号文《市场监管总局关于发布参与实施政府采购节能产品、环境标志产品认证机构名录的公告》的规定。</w:t>
      </w:r>
    </w:p>
    <w:p w14:paraId="34B7B338">
      <w:pPr>
        <w:autoSpaceDE w:val="0"/>
        <w:autoSpaceDN w:val="0"/>
        <w:adjustRightInd w:val="0"/>
        <w:spacing w:line="360" w:lineRule="auto"/>
        <w:ind w:firstLine="420" w:firstLineChars="200"/>
        <w:rPr>
          <w:rFonts w:hint="default" w:ascii="宋体" w:hAnsi="宋体" w:cs="宋体"/>
          <w:b/>
          <w:bCs/>
          <w:color w:val="auto"/>
          <w:kern w:val="0"/>
          <w:sz w:val="24"/>
          <w:highlight w:val="none"/>
          <w:lang w:val="en-US" w:eastAsia="zh-CN"/>
        </w:rPr>
      </w:pPr>
      <w:r>
        <w:rPr>
          <w:rFonts w:hint="eastAsia" w:ascii="宋体" w:hAnsi="宋体" w:cs="宋体"/>
          <w:color w:val="auto"/>
          <w:kern w:val="0"/>
          <w:szCs w:val="21"/>
          <w:highlight w:val="none"/>
        </w:rPr>
        <w:t>4.2若采购需求为《节能产品政府采购品目清单》中政府强制采购的节能产品，则不再进行节能产品</w:t>
      </w:r>
      <w:r>
        <w:rPr>
          <w:rFonts w:hint="eastAsia" w:ascii="宋体" w:hAnsi="宋体" w:cs="宋体"/>
          <w:color w:val="auto"/>
          <w:kern w:val="0"/>
          <w:szCs w:val="21"/>
          <w:highlight w:val="none"/>
          <w:lang w:val="en-US" w:eastAsia="zh-CN"/>
        </w:rPr>
        <w:t>加分</w:t>
      </w:r>
      <w:r>
        <w:rPr>
          <w:rFonts w:hint="eastAsia" w:ascii="宋体" w:hAnsi="宋体" w:cs="宋体"/>
          <w:color w:val="auto"/>
          <w:kern w:val="0"/>
          <w:szCs w:val="21"/>
          <w:highlight w:val="none"/>
        </w:rPr>
        <w:t>。</w:t>
      </w:r>
    </w:p>
    <w:p w14:paraId="15A344FD">
      <w:pPr>
        <w:autoSpaceDE w:val="0"/>
        <w:autoSpaceDN w:val="0"/>
        <w:adjustRightInd w:val="0"/>
        <w:spacing w:line="360" w:lineRule="auto"/>
        <w:ind w:firstLine="482" w:firstLineChars="200"/>
        <w:outlineLvl w:val="2"/>
        <w:rPr>
          <w:color w:val="auto"/>
          <w:szCs w:val="21"/>
          <w:highlight w:val="none"/>
        </w:rPr>
      </w:pPr>
      <w:bookmarkStart w:id="933" w:name="_Toc22549"/>
      <w:bookmarkStart w:id="934" w:name="_Toc31100"/>
      <w:bookmarkStart w:id="935" w:name="_Toc7391"/>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．其他：</w:t>
      </w:r>
      <w:bookmarkEnd w:id="926"/>
      <w:bookmarkEnd w:id="927"/>
      <w:bookmarkEnd w:id="928"/>
      <w:bookmarkEnd w:id="929"/>
      <w:bookmarkEnd w:id="930"/>
      <w:bookmarkEnd w:id="931"/>
      <w:bookmarkEnd w:id="932"/>
      <w:bookmarkEnd w:id="933"/>
      <w:bookmarkEnd w:id="934"/>
      <w:bookmarkEnd w:id="935"/>
    </w:p>
    <w:p w14:paraId="45AF57D8">
      <w:pPr>
        <w:spacing w:line="360" w:lineRule="auto"/>
        <w:ind w:firstLine="420" w:firstLineChars="200"/>
        <w:rPr>
          <w:rFonts w:ascii="宋体" w:hAnsi="宋体"/>
          <w:color w:val="auto"/>
          <w:szCs w:val="21"/>
          <w:highlight w:val="none"/>
        </w:rPr>
      </w:pPr>
      <w:r>
        <w:rPr>
          <w:color w:val="auto"/>
          <w:szCs w:val="21"/>
          <w:highlight w:val="none"/>
        </w:rPr>
        <w:t>磋商小组发现</w:t>
      </w:r>
      <w:r>
        <w:rPr>
          <w:rFonts w:hint="eastAsia"/>
          <w:color w:val="auto"/>
          <w:szCs w:val="21"/>
          <w:highlight w:val="none"/>
        </w:rPr>
        <w:t>竞争性磋商文件</w:t>
      </w:r>
      <w:r>
        <w:rPr>
          <w:color w:val="auto"/>
          <w:szCs w:val="21"/>
          <w:highlight w:val="none"/>
        </w:rPr>
        <w:t>存在歧义、重大缺陷导致评审工作无法进行，或者</w:t>
      </w:r>
      <w:r>
        <w:rPr>
          <w:rFonts w:hint="eastAsia"/>
          <w:color w:val="auto"/>
          <w:szCs w:val="21"/>
          <w:highlight w:val="none"/>
        </w:rPr>
        <w:t>竞争性磋商文件</w:t>
      </w:r>
      <w:r>
        <w:rPr>
          <w:color w:val="auto"/>
          <w:szCs w:val="21"/>
          <w:highlight w:val="none"/>
        </w:rPr>
        <w:t>内容违反国家有关规定的，要停止磋商工作并向采购人或采购代理机构书面说明情况，采购人或采购代理机构应当修改</w:t>
      </w:r>
      <w:r>
        <w:rPr>
          <w:rFonts w:hint="eastAsia"/>
          <w:color w:val="auto"/>
          <w:szCs w:val="21"/>
          <w:highlight w:val="none"/>
        </w:rPr>
        <w:t>竞争性磋商文件</w:t>
      </w:r>
      <w:r>
        <w:rPr>
          <w:color w:val="auto"/>
          <w:szCs w:val="21"/>
          <w:highlight w:val="none"/>
        </w:rPr>
        <w:t>后重新组织采购活动；发现供应商提供虚假材料、串通等违法违规行为的，要及时向采购人或采购代理机构报告</w:t>
      </w:r>
      <w:r>
        <w:rPr>
          <w:rFonts w:hint="eastAsia" w:ascii="宋体" w:hAnsi="宋体"/>
          <w:color w:val="auto"/>
          <w:szCs w:val="21"/>
          <w:highlight w:val="none"/>
        </w:rPr>
        <w:t>。</w:t>
      </w:r>
    </w:p>
    <w:p w14:paraId="0BBA47EB">
      <w:pPr>
        <w:spacing w:line="360" w:lineRule="auto"/>
        <w:ind w:firstLine="420" w:firstLineChars="200"/>
        <w:rPr>
          <w:rFonts w:ascii="宋体" w:hAnsi="宋体"/>
          <w:color w:val="auto"/>
          <w:szCs w:val="21"/>
          <w:highlight w:val="none"/>
        </w:rPr>
      </w:pPr>
    </w:p>
    <w:p w14:paraId="4EE228B1">
      <w:pPr>
        <w:spacing w:line="360" w:lineRule="auto"/>
        <w:ind w:firstLine="420" w:firstLineChars="200"/>
        <w:rPr>
          <w:rFonts w:ascii="宋体" w:hAnsi="宋体"/>
          <w:color w:val="auto"/>
          <w:szCs w:val="21"/>
          <w:highlight w:val="none"/>
        </w:rPr>
      </w:pPr>
      <w:r>
        <w:rPr>
          <w:rFonts w:ascii="宋体" w:hAnsi="宋体"/>
          <w:color w:val="auto"/>
          <w:szCs w:val="21"/>
          <w:highlight w:val="none"/>
        </w:rPr>
        <w:br w:type="page"/>
      </w:r>
    </w:p>
    <w:p w14:paraId="19538F32">
      <w:pPr>
        <w:pStyle w:val="3"/>
        <w:jc w:val="center"/>
        <w:rPr>
          <w:rFonts w:ascii="Times New Roman" w:eastAsia="黑体"/>
          <w:bCs w:val="0"/>
          <w:color w:val="auto"/>
          <w:kern w:val="44"/>
          <w:highlight w:val="none"/>
        </w:rPr>
      </w:pPr>
      <w:bookmarkStart w:id="936" w:name="_Toc24517"/>
      <w:bookmarkStart w:id="937" w:name="_Toc20711"/>
      <w:bookmarkStart w:id="938" w:name="_Toc8452"/>
      <w:bookmarkStart w:id="939" w:name="_Toc28251"/>
      <w:bookmarkStart w:id="940" w:name="_Toc23695"/>
      <w:bookmarkStart w:id="941" w:name="_Toc16706"/>
      <w:bookmarkStart w:id="942" w:name="_Toc22050"/>
      <w:bookmarkStart w:id="943" w:name="_Toc23140"/>
      <w:bookmarkStart w:id="944" w:name="_Toc15853"/>
      <w:bookmarkStart w:id="945" w:name="_Toc21390"/>
      <w:r>
        <w:rPr>
          <w:rFonts w:hint="eastAsia" w:ascii="Times New Roman" w:eastAsia="黑体"/>
          <w:bCs w:val="0"/>
          <w:color w:val="auto"/>
          <w:kern w:val="44"/>
          <w:highlight w:val="none"/>
        </w:rPr>
        <w:t>第四章</w:t>
      </w:r>
      <w:r>
        <w:rPr>
          <w:rFonts w:ascii="Times New Roman" w:eastAsia="黑体"/>
          <w:bCs w:val="0"/>
          <w:color w:val="auto"/>
          <w:kern w:val="44"/>
          <w:highlight w:val="none"/>
        </w:rPr>
        <w:t xml:space="preserve">  </w:t>
      </w:r>
      <w:r>
        <w:rPr>
          <w:rFonts w:hint="eastAsia" w:ascii="Times New Roman" w:eastAsia="黑体"/>
          <w:bCs w:val="0"/>
          <w:color w:val="auto"/>
          <w:kern w:val="44"/>
          <w:highlight w:val="none"/>
        </w:rPr>
        <w:t>合同书样式及主要条款</w:t>
      </w:r>
      <w:bookmarkEnd w:id="723"/>
      <w:bookmarkEnd w:id="728"/>
      <w:bookmarkEnd w:id="936"/>
      <w:bookmarkEnd w:id="937"/>
      <w:bookmarkEnd w:id="938"/>
      <w:bookmarkEnd w:id="939"/>
      <w:bookmarkEnd w:id="940"/>
      <w:bookmarkEnd w:id="941"/>
      <w:bookmarkEnd w:id="942"/>
      <w:bookmarkEnd w:id="943"/>
      <w:bookmarkEnd w:id="944"/>
      <w:bookmarkEnd w:id="945"/>
    </w:p>
    <w:p w14:paraId="44BA117B">
      <w:pPr>
        <w:jc w:val="center"/>
        <w:outlineLvl w:val="1"/>
        <w:rPr>
          <w:color w:val="auto"/>
          <w:highlight w:val="none"/>
        </w:rPr>
      </w:pPr>
      <w:bookmarkStart w:id="946" w:name="_Toc7281"/>
      <w:bookmarkStart w:id="947" w:name="_Toc213141091"/>
      <w:bookmarkStart w:id="948" w:name="_Toc27627"/>
      <w:bookmarkStart w:id="949" w:name="_Toc481406614"/>
      <w:bookmarkStart w:id="950" w:name="_Toc29843"/>
      <w:bookmarkStart w:id="951" w:name="_Toc9066"/>
      <w:bookmarkStart w:id="952" w:name="_Toc5966"/>
      <w:bookmarkStart w:id="953" w:name="_Toc24363"/>
      <w:bookmarkStart w:id="954" w:name="_Toc20496"/>
      <w:bookmarkStart w:id="955" w:name="_Toc7671"/>
      <w:bookmarkStart w:id="956" w:name="_Toc10957"/>
      <w:bookmarkStart w:id="957" w:name="_Toc31941"/>
      <w:bookmarkStart w:id="958" w:name="_Toc533089827"/>
      <w:bookmarkStart w:id="959" w:name="_Toc86124081"/>
      <w:bookmarkStart w:id="960" w:name="_Toc12508"/>
      <w:r>
        <w:rPr>
          <w:rFonts w:eastAsia="黑体"/>
          <w:b/>
          <w:color w:val="auto"/>
          <w:kern w:val="0"/>
          <w:sz w:val="32"/>
          <w:szCs w:val="32"/>
          <w:highlight w:val="none"/>
        </w:rPr>
        <w:t>合同条款前附表</w:t>
      </w:r>
      <w:bookmarkEnd w:id="946"/>
      <w:bookmarkEnd w:id="947"/>
      <w:bookmarkEnd w:id="948"/>
      <w:bookmarkEnd w:id="949"/>
      <w:bookmarkEnd w:id="950"/>
      <w:bookmarkEnd w:id="951"/>
      <w:bookmarkEnd w:id="952"/>
      <w:bookmarkEnd w:id="953"/>
      <w:bookmarkEnd w:id="954"/>
      <w:bookmarkEnd w:id="955"/>
      <w:bookmarkEnd w:id="956"/>
      <w:bookmarkEnd w:id="957"/>
      <w:bookmarkEnd w:id="958"/>
    </w:p>
    <w:tbl>
      <w:tblPr>
        <w:tblStyle w:val="21"/>
        <w:tblW w:w="89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1"/>
        <w:gridCol w:w="1495"/>
        <w:gridCol w:w="6603"/>
      </w:tblGrid>
      <w:tr w14:paraId="0F54C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 w:hRule="atLeast"/>
          <w:jc w:val="center"/>
        </w:trPr>
        <w:tc>
          <w:tcPr>
            <w:tcW w:w="901" w:type="dxa"/>
            <w:noWrap w:val="0"/>
            <w:vAlign w:val="center"/>
          </w:tcPr>
          <w:p w14:paraId="3658E74C">
            <w:pPr>
              <w:jc w:val="center"/>
              <w:rPr>
                <w:b/>
                <w:color w:val="auto"/>
                <w:sz w:val="24"/>
                <w:highlight w:val="none"/>
              </w:rPr>
            </w:pPr>
            <w:r>
              <w:rPr>
                <w:b/>
                <w:color w:val="auto"/>
                <w:sz w:val="24"/>
                <w:highlight w:val="none"/>
              </w:rPr>
              <w:t>序号</w:t>
            </w:r>
          </w:p>
        </w:tc>
        <w:tc>
          <w:tcPr>
            <w:tcW w:w="1495" w:type="dxa"/>
            <w:noWrap w:val="0"/>
            <w:vAlign w:val="center"/>
          </w:tcPr>
          <w:p w14:paraId="119F59FB">
            <w:pPr>
              <w:jc w:val="center"/>
              <w:rPr>
                <w:b/>
                <w:color w:val="auto"/>
                <w:sz w:val="24"/>
                <w:highlight w:val="none"/>
              </w:rPr>
            </w:pPr>
            <w:r>
              <w:rPr>
                <w:b/>
                <w:color w:val="auto"/>
                <w:sz w:val="24"/>
                <w:highlight w:val="none"/>
              </w:rPr>
              <w:t>项目</w:t>
            </w:r>
          </w:p>
        </w:tc>
        <w:tc>
          <w:tcPr>
            <w:tcW w:w="6603" w:type="dxa"/>
            <w:noWrap w:val="0"/>
            <w:vAlign w:val="center"/>
          </w:tcPr>
          <w:p w14:paraId="541E362E">
            <w:pPr>
              <w:jc w:val="center"/>
              <w:rPr>
                <w:b/>
                <w:color w:val="auto"/>
                <w:sz w:val="24"/>
                <w:highlight w:val="none"/>
              </w:rPr>
            </w:pPr>
            <w:r>
              <w:rPr>
                <w:b/>
                <w:color w:val="auto"/>
                <w:sz w:val="24"/>
                <w:highlight w:val="none"/>
              </w:rPr>
              <w:t>内  容</w:t>
            </w:r>
          </w:p>
        </w:tc>
      </w:tr>
      <w:tr w14:paraId="77064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jc w:val="center"/>
        </w:trPr>
        <w:tc>
          <w:tcPr>
            <w:tcW w:w="901" w:type="dxa"/>
            <w:vMerge w:val="restart"/>
            <w:noWrap w:val="0"/>
            <w:vAlign w:val="center"/>
          </w:tcPr>
          <w:p w14:paraId="4CA5EA2A">
            <w:pPr>
              <w:jc w:val="center"/>
              <w:rPr>
                <w:color w:val="auto"/>
                <w:szCs w:val="21"/>
                <w:highlight w:val="none"/>
              </w:rPr>
            </w:pPr>
            <w:r>
              <w:rPr>
                <w:rFonts w:hint="eastAsia"/>
                <w:color w:val="auto"/>
                <w:szCs w:val="21"/>
                <w:highlight w:val="none"/>
              </w:rPr>
              <w:t>一</w:t>
            </w:r>
          </w:p>
        </w:tc>
        <w:tc>
          <w:tcPr>
            <w:tcW w:w="1495" w:type="dxa"/>
            <w:noWrap w:val="0"/>
            <w:vAlign w:val="center"/>
          </w:tcPr>
          <w:p w14:paraId="3ADCF4E0">
            <w:pPr>
              <w:jc w:val="center"/>
              <w:rPr>
                <w:rFonts w:hint="eastAsia"/>
                <w:color w:val="auto"/>
                <w:szCs w:val="21"/>
                <w:highlight w:val="none"/>
              </w:rPr>
            </w:pPr>
            <w:r>
              <w:rPr>
                <w:rFonts w:hint="eastAsia"/>
                <w:color w:val="auto"/>
                <w:szCs w:val="21"/>
                <w:highlight w:val="none"/>
              </w:rPr>
              <w:t>合同履行期限（工期）</w:t>
            </w:r>
          </w:p>
        </w:tc>
        <w:tc>
          <w:tcPr>
            <w:tcW w:w="6603" w:type="dxa"/>
            <w:noWrap w:val="0"/>
            <w:vAlign w:val="center"/>
          </w:tcPr>
          <w:p w14:paraId="37DA182F">
            <w:pPr>
              <w:spacing w:line="340" w:lineRule="exact"/>
              <w:rPr>
                <w:rFonts w:ascii="宋体" w:hAnsi="宋体" w:cs="宋体"/>
                <w:color w:val="auto"/>
                <w:kern w:val="0"/>
                <w:szCs w:val="21"/>
                <w:highlight w:val="none"/>
              </w:rPr>
            </w:pPr>
            <w:r>
              <w:rPr>
                <w:rFonts w:hint="eastAsia" w:ascii="宋体" w:hAnsi="宋体" w:cs="宋体"/>
                <w:color w:val="auto"/>
                <w:szCs w:val="21"/>
                <w:highlight w:val="none"/>
                <w:lang w:val="en-US" w:eastAsia="zh-CN"/>
              </w:rPr>
              <w:t>本项目分两个阶段进行施工，工期共计60个日历天，其中第一阶段施工为2026年暑假期间，施工工期为30个日历天，第二阶段施工为2027年暑假期间，施工工期为30个日历天。工期计算以甲方下达开工指令为准。</w:t>
            </w:r>
          </w:p>
        </w:tc>
      </w:tr>
      <w:tr w14:paraId="34F7E8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jc w:val="center"/>
        </w:trPr>
        <w:tc>
          <w:tcPr>
            <w:tcW w:w="901" w:type="dxa"/>
            <w:vMerge w:val="continue"/>
            <w:noWrap w:val="0"/>
            <w:vAlign w:val="center"/>
          </w:tcPr>
          <w:p w14:paraId="558B4D13">
            <w:pPr>
              <w:jc w:val="center"/>
              <w:rPr>
                <w:color w:val="auto"/>
                <w:szCs w:val="21"/>
                <w:highlight w:val="none"/>
              </w:rPr>
            </w:pPr>
          </w:p>
        </w:tc>
        <w:tc>
          <w:tcPr>
            <w:tcW w:w="1495" w:type="dxa"/>
            <w:noWrap w:val="0"/>
            <w:vAlign w:val="center"/>
          </w:tcPr>
          <w:p w14:paraId="31EA229F">
            <w:pPr>
              <w:jc w:val="center"/>
              <w:rPr>
                <w:color w:val="auto"/>
                <w:szCs w:val="21"/>
                <w:highlight w:val="none"/>
              </w:rPr>
            </w:pPr>
            <w:r>
              <w:rPr>
                <w:rFonts w:hint="eastAsia"/>
                <w:color w:val="auto"/>
                <w:szCs w:val="21"/>
                <w:highlight w:val="none"/>
              </w:rPr>
              <w:t>合同履行地点</w:t>
            </w:r>
          </w:p>
        </w:tc>
        <w:tc>
          <w:tcPr>
            <w:tcW w:w="6603" w:type="dxa"/>
            <w:noWrap w:val="0"/>
            <w:vAlign w:val="center"/>
          </w:tcPr>
          <w:p w14:paraId="2C4EB6C3">
            <w:pPr>
              <w:rPr>
                <w:b/>
                <w:color w:val="auto"/>
                <w:szCs w:val="21"/>
                <w:highlight w:val="none"/>
              </w:rPr>
            </w:pPr>
            <w:r>
              <w:rPr>
                <w:rFonts w:hint="eastAsia"/>
                <w:color w:val="auto"/>
                <w:szCs w:val="21"/>
                <w:highlight w:val="none"/>
                <w:lang w:eastAsia="zh-CN"/>
              </w:rPr>
              <w:t>云南开放大学呈贡校区</w:t>
            </w:r>
            <w:r>
              <w:rPr>
                <w:rFonts w:hint="eastAsia"/>
                <w:color w:val="auto"/>
                <w:szCs w:val="21"/>
                <w:highlight w:val="none"/>
              </w:rPr>
              <w:t>。</w:t>
            </w:r>
          </w:p>
        </w:tc>
      </w:tr>
      <w:tr w14:paraId="583D24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901" w:type="dxa"/>
            <w:noWrap w:val="0"/>
            <w:vAlign w:val="center"/>
          </w:tcPr>
          <w:p w14:paraId="486FDBE1">
            <w:pPr>
              <w:jc w:val="center"/>
              <w:rPr>
                <w:color w:val="auto"/>
                <w:szCs w:val="21"/>
                <w:highlight w:val="none"/>
              </w:rPr>
            </w:pPr>
            <w:r>
              <w:rPr>
                <w:rFonts w:hint="eastAsia"/>
                <w:color w:val="auto"/>
                <w:szCs w:val="21"/>
                <w:highlight w:val="none"/>
              </w:rPr>
              <w:t>二</w:t>
            </w:r>
          </w:p>
        </w:tc>
        <w:tc>
          <w:tcPr>
            <w:tcW w:w="1495" w:type="dxa"/>
            <w:noWrap w:val="0"/>
            <w:vAlign w:val="center"/>
          </w:tcPr>
          <w:p w14:paraId="111064C5">
            <w:pPr>
              <w:jc w:val="center"/>
              <w:rPr>
                <w:rFonts w:ascii="宋体" w:hAnsi="宋体" w:cs="宋体"/>
                <w:color w:val="auto"/>
                <w:szCs w:val="21"/>
                <w:highlight w:val="none"/>
              </w:rPr>
            </w:pPr>
            <w:r>
              <w:rPr>
                <w:rFonts w:hint="eastAsia" w:ascii="宋体" w:hAnsi="宋体" w:cs="宋体"/>
                <w:color w:val="auto"/>
                <w:szCs w:val="21"/>
                <w:highlight w:val="none"/>
              </w:rPr>
              <w:t>质量标准</w:t>
            </w:r>
          </w:p>
        </w:tc>
        <w:tc>
          <w:tcPr>
            <w:tcW w:w="6603" w:type="dxa"/>
            <w:noWrap w:val="0"/>
            <w:vAlign w:val="center"/>
          </w:tcPr>
          <w:p w14:paraId="7F32B95C">
            <w:pPr>
              <w:pStyle w:val="25"/>
              <w:tabs>
                <w:tab w:val="left" w:pos="8364"/>
              </w:tabs>
              <w:ind w:firstLine="0" w:firstLineChars="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《建筑装饰装修工程质量验收标准》、《住宅装饰装修工程施工规范》、《民用建筑工程室内环境污染控制标准》、《建筑内部装修设计防火规范》、《建筑节能工程施工质量验收规范》</w:t>
            </w:r>
          </w:p>
        </w:tc>
      </w:tr>
      <w:tr w14:paraId="5A869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jc w:val="center"/>
        </w:trPr>
        <w:tc>
          <w:tcPr>
            <w:tcW w:w="901" w:type="dxa"/>
            <w:noWrap w:val="0"/>
            <w:vAlign w:val="center"/>
          </w:tcPr>
          <w:p w14:paraId="1303F370">
            <w:pPr>
              <w:jc w:val="center"/>
              <w:rPr>
                <w:color w:val="auto"/>
                <w:szCs w:val="21"/>
                <w:highlight w:val="none"/>
              </w:rPr>
            </w:pPr>
            <w:r>
              <w:rPr>
                <w:rFonts w:hint="eastAsia"/>
                <w:color w:val="auto"/>
                <w:szCs w:val="21"/>
                <w:highlight w:val="none"/>
              </w:rPr>
              <w:t>三</w:t>
            </w:r>
          </w:p>
        </w:tc>
        <w:tc>
          <w:tcPr>
            <w:tcW w:w="1495" w:type="dxa"/>
            <w:noWrap w:val="0"/>
            <w:vAlign w:val="center"/>
          </w:tcPr>
          <w:p w14:paraId="19FF50F0">
            <w:pPr>
              <w:jc w:val="center"/>
              <w:rPr>
                <w:rFonts w:hint="eastAsia" w:ascii="宋体" w:hAnsi="宋体" w:cs="宋体"/>
                <w:color w:val="auto"/>
                <w:szCs w:val="21"/>
                <w:highlight w:val="none"/>
              </w:rPr>
            </w:pPr>
            <w:r>
              <w:rPr>
                <w:rFonts w:hint="eastAsia"/>
                <w:color w:val="auto"/>
                <w:szCs w:val="21"/>
                <w:highlight w:val="none"/>
              </w:rPr>
              <w:t>结算方式</w:t>
            </w:r>
          </w:p>
        </w:tc>
        <w:tc>
          <w:tcPr>
            <w:tcW w:w="6603" w:type="dxa"/>
            <w:noWrap w:val="0"/>
            <w:vAlign w:val="center"/>
          </w:tcPr>
          <w:p w14:paraId="23B7C61B">
            <w:pPr>
              <w:tabs>
                <w:tab w:val="left" w:pos="8364"/>
              </w:tabs>
              <w:rPr>
                <w:rFonts w:ascii="宋体" w:hAnsi="宋体" w:cs="宋体"/>
                <w:color w:val="auto"/>
                <w:szCs w:val="21"/>
                <w:highlight w:val="none"/>
              </w:rPr>
            </w:pPr>
            <w:r>
              <w:rPr>
                <w:rFonts w:ascii="宋体" w:hAnsi="宋体" w:cs="宋体"/>
                <w:color w:val="auto"/>
                <w:szCs w:val="21"/>
                <w:highlight w:val="none"/>
              </w:rPr>
              <w:t>本项目采用竞争性磋商，</w:t>
            </w:r>
            <w:r>
              <w:rPr>
                <w:rFonts w:hint="eastAsia" w:ascii="宋体" w:hAnsi="宋体" w:cs="宋体"/>
                <w:color w:val="auto"/>
                <w:szCs w:val="21"/>
                <w:highlight w:val="none"/>
              </w:rPr>
              <w:t>承包人</w:t>
            </w:r>
            <w:r>
              <w:rPr>
                <w:rFonts w:ascii="宋体" w:hAnsi="宋体" w:cs="宋体"/>
                <w:color w:val="auto"/>
                <w:szCs w:val="21"/>
                <w:highlight w:val="none"/>
              </w:rPr>
              <w:t>在合同完成后报送已完成项目结算审计资料，结算审计以</w:t>
            </w:r>
            <w:r>
              <w:rPr>
                <w:rFonts w:hint="eastAsia" w:ascii="宋体" w:hAnsi="宋体" w:cs="宋体"/>
                <w:color w:val="auto"/>
                <w:szCs w:val="21"/>
                <w:highlight w:val="none"/>
              </w:rPr>
              <w:t>承包人</w:t>
            </w:r>
            <w:r>
              <w:rPr>
                <w:rFonts w:ascii="宋体" w:hAnsi="宋体" w:cs="宋体"/>
                <w:color w:val="auto"/>
                <w:szCs w:val="21"/>
                <w:highlight w:val="none"/>
              </w:rPr>
              <w:t>第一轮</w:t>
            </w:r>
            <w:r>
              <w:rPr>
                <w:rFonts w:hint="eastAsia" w:ascii="宋体" w:hAnsi="宋体" w:cs="宋体"/>
                <w:color w:val="auto"/>
                <w:szCs w:val="21"/>
                <w:highlight w:val="none"/>
              </w:rPr>
              <w:t>报价所报的响应文件中的“已标价工程量清单”进行</w:t>
            </w:r>
            <w:r>
              <w:rPr>
                <w:rFonts w:ascii="宋体" w:hAnsi="宋体" w:cs="宋体"/>
                <w:color w:val="auto"/>
                <w:szCs w:val="21"/>
                <w:highlight w:val="none"/>
              </w:rPr>
              <w:t>审计，在审计后的结算价基础上乘以</w:t>
            </w:r>
            <w:r>
              <w:rPr>
                <w:rFonts w:hint="eastAsia" w:ascii="宋体" w:hAnsi="宋体" w:cs="宋体"/>
                <w:color w:val="auto"/>
                <w:szCs w:val="21"/>
                <w:highlight w:val="none"/>
              </w:rPr>
              <w:t>（1-本合同约定优惠率）</w:t>
            </w:r>
            <w:r>
              <w:rPr>
                <w:rFonts w:ascii="宋体" w:hAnsi="宋体" w:cs="宋体"/>
                <w:color w:val="auto"/>
                <w:szCs w:val="21"/>
                <w:highlight w:val="none"/>
              </w:rPr>
              <w:t>，即得到该工程审计结算价（应支付实际工程款）。</w:t>
            </w:r>
          </w:p>
          <w:p w14:paraId="255B02A8">
            <w:pPr>
              <w:tabs>
                <w:tab w:val="left" w:pos="8364"/>
              </w:tabs>
              <w:rPr>
                <w:rFonts w:ascii="宋体" w:hAnsi="宋体" w:cs="宋体"/>
                <w:color w:val="auto"/>
                <w:szCs w:val="21"/>
                <w:highlight w:val="none"/>
              </w:rPr>
            </w:pPr>
            <w:r>
              <w:rPr>
                <w:rFonts w:ascii="宋体" w:hAnsi="宋体" w:cs="宋体"/>
                <w:color w:val="auto"/>
                <w:szCs w:val="21"/>
                <w:highlight w:val="none"/>
              </w:rPr>
              <w:t>合同约定优惠率=（第一轮报价</w:t>
            </w:r>
            <w:r>
              <w:rPr>
                <w:rFonts w:hint="eastAsia" w:ascii="宋体" w:hAnsi="宋体" w:cs="宋体"/>
                <w:color w:val="auto"/>
                <w:szCs w:val="21"/>
                <w:highlight w:val="none"/>
              </w:rPr>
              <w:t>-</w:t>
            </w:r>
            <w:r>
              <w:rPr>
                <w:rFonts w:ascii="宋体" w:hAnsi="宋体" w:cs="宋体"/>
                <w:color w:val="auto"/>
                <w:szCs w:val="21"/>
                <w:highlight w:val="none"/>
              </w:rPr>
              <w:t>第二轮报价）</w:t>
            </w:r>
            <w:r>
              <w:rPr>
                <w:rFonts w:hint="eastAsia" w:ascii="宋体" w:hAnsi="宋体" w:cs="宋体"/>
                <w:color w:val="auto"/>
                <w:szCs w:val="21"/>
                <w:highlight w:val="none"/>
              </w:rPr>
              <w:t>/</w:t>
            </w:r>
            <w:r>
              <w:rPr>
                <w:rFonts w:ascii="宋体" w:hAnsi="宋体" w:cs="宋体"/>
                <w:color w:val="auto"/>
                <w:szCs w:val="21"/>
                <w:highlight w:val="none"/>
              </w:rPr>
              <w:t>第一轮报价。</w:t>
            </w:r>
          </w:p>
        </w:tc>
      </w:tr>
      <w:tr w14:paraId="2BD51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jc w:val="center"/>
        </w:trPr>
        <w:tc>
          <w:tcPr>
            <w:tcW w:w="901" w:type="dxa"/>
            <w:noWrap w:val="0"/>
            <w:vAlign w:val="center"/>
          </w:tcPr>
          <w:p w14:paraId="164B597A">
            <w:pPr>
              <w:jc w:val="center"/>
              <w:rPr>
                <w:rFonts w:hint="eastAsia"/>
                <w:color w:val="auto"/>
                <w:szCs w:val="21"/>
                <w:highlight w:val="none"/>
              </w:rPr>
            </w:pPr>
            <w:r>
              <w:rPr>
                <w:rFonts w:hint="eastAsia"/>
                <w:color w:val="auto"/>
                <w:szCs w:val="21"/>
                <w:highlight w:val="none"/>
              </w:rPr>
              <w:t>四</w:t>
            </w:r>
          </w:p>
        </w:tc>
        <w:tc>
          <w:tcPr>
            <w:tcW w:w="1495" w:type="dxa"/>
            <w:noWrap w:val="0"/>
            <w:vAlign w:val="center"/>
          </w:tcPr>
          <w:p w14:paraId="078B14C1">
            <w:pPr>
              <w:jc w:val="center"/>
              <w:rPr>
                <w:rFonts w:hint="eastAsia"/>
                <w:color w:val="auto"/>
                <w:szCs w:val="21"/>
                <w:highlight w:val="none"/>
              </w:rPr>
            </w:pPr>
            <w:r>
              <w:rPr>
                <w:rFonts w:hint="eastAsia"/>
                <w:color w:val="auto"/>
                <w:szCs w:val="21"/>
                <w:highlight w:val="none"/>
              </w:rPr>
              <w:t>付款方式</w:t>
            </w:r>
          </w:p>
        </w:tc>
        <w:tc>
          <w:tcPr>
            <w:tcW w:w="6603" w:type="dxa"/>
            <w:noWrap w:val="0"/>
            <w:vAlign w:val="center"/>
          </w:tcPr>
          <w:p w14:paraId="420DF1BF">
            <w:pPr>
              <w:rPr>
                <w:rFonts w:hint="eastAsia"/>
                <w:color w:val="auto"/>
                <w:highlight w:val="none"/>
                <w:lang w:val="en-US" w:eastAsia="zh-CN"/>
              </w:rPr>
            </w:pPr>
            <w:r>
              <w:rPr>
                <w:rFonts w:hint="eastAsia"/>
                <w:color w:val="auto"/>
                <w:highlight w:val="none"/>
                <w:lang w:val="en-US" w:eastAsia="zh-CN"/>
              </w:rPr>
              <w:t>本项目无预付款，项目分两个阶段实施，每个阶段完成后进行项目阶段性验收，项目验收合格后（即完成全部项目内容，施工质量符合设计及相关规范要求，环保要求符合各项法规标准，功能满足甲方需求，且具备正常使用条件），进行项目阶段性结算，乙方按甲方审计相关要求配合完成项目审计，乙方根据结算报告提供等额发票，甲方向乙方支付相应价款。</w:t>
            </w:r>
          </w:p>
          <w:p w14:paraId="39E4CFEF">
            <w:pPr>
              <w:rPr>
                <w:color w:val="auto"/>
                <w:highlight w:val="none"/>
              </w:rPr>
            </w:pPr>
            <w:r>
              <w:rPr>
                <w:rFonts w:hint="eastAsia"/>
                <w:color w:val="auto"/>
                <w:highlight w:val="none"/>
                <w:lang w:val="en-US" w:eastAsia="zh-CN"/>
              </w:rPr>
              <w:t>乙方应当在甲方付款前开具发票，并对所开具发票的真实性、合法性负责。乙方迟延开具发票或开具发票不符合法律法规的规定及本合同的约定，甲方有权相应迟延付款且无需承担违约责任。</w:t>
            </w:r>
          </w:p>
        </w:tc>
      </w:tr>
      <w:tr w14:paraId="26AE57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jc w:val="center"/>
        </w:trPr>
        <w:tc>
          <w:tcPr>
            <w:tcW w:w="901" w:type="dxa"/>
            <w:noWrap w:val="0"/>
            <w:vAlign w:val="center"/>
          </w:tcPr>
          <w:p w14:paraId="361216AD">
            <w:pPr>
              <w:jc w:val="center"/>
              <w:rPr>
                <w:color w:val="auto"/>
                <w:szCs w:val="21"/>
                <w:highlight w:val="none"/>
              </w:rPr>
            </w:pPr>
            <w:r>
              <w:rPr>
                <w:rFonts w:hint="eastAsia"/>
                <w:color w:val="auto"/>
                <w:szCs w:val="21"/>
                <w:highlight w:val="none"/>
              </w:rPr>
              <w:t>五</w:t>
            </w:r>
          </w:p>
        </w:tc>
        <w:tc>
          <w:tcPr>
            <w:tcW w:w="1495" w:type="dxa"/>
            <w:noWrap w:val="0"/>
            <w:vAlign w:val="center"/>
          </w:tcPr>
          <w:p w14:paraId="0916782D">
            <w:pPr>
              <w:jc w:val="center"/>
              <w:rPr>
                <w:rFonts w:hint="eastAsia"/>
                <w:color w:val="auto"/>
                <w:szCs w:val="21"/>
                <w:highlight w:val="none"/>
              </w:rPr>
            </w:pPr>
            <w:r>
              <w:rPr>
                <w:rFonts w:hint="eastAsia" w:ascii="宋体" w:hAnsi="宋体"/>
                <w:color w:val="auto"/>
                <w:szCs w:val="21"/>
                <w:highlight w:val="none"/>
              </w:rPr>
              <w:t>履约保证金</w:t>
            </w:r>
          </w:p>
        </w:tc>
        <w:tc>
          <w:tcPr>
            <w:tcW w:w="6603" w:type="dxa"/>
            <w:noWrap w:val="0"/>
            <w:vAlign w:val="center"/>
          </w:tcPr>
          <w:p w14:paraId="73854C3E">
            <w:pPr>
              <w:rPr>
                <w:rFonts w:hint="eastAsia"/>
                <w:color w:val="auto"/>
                <w:highlight w:val="none"/>
                <w:lang w:eastAsia="zh-CN"/>
              </w:rPr>
            </w:pPr>
            <w:r>
              <w:rPr>
                <w:rFonts w:hint="eastAsia"/>
                <w:color w:val="auto"/>
                <w:highlight w:val="none"/>
                <w:lang w:val="en-US" w:eastAsia="zh-CN"/>
              </w:rPr>
              <w:t>乙方</w:t>
            </w:r>
            <w:r>
              <w:rPr>
                <w:rFonts w:hint="eastAsia"/>
                <w:color w:val="auto"/>
                <w:highlight w:val="none"/>
                <w:lang w:eastAsia="zh-CN"/>
              </w:rPr>
              <w:t>在成交通知书收到之日起5个工作日内需向</w:t>
            </w:r>
            <w:r>
              <w:rPr>
                <w:rFonts w:hint="eastAsia"/>
                <w:color w:val="auto"/>
                <w:highlight w:val="none"/>
                <w:lang w:val="en-US" w:eastAsia="zh-CN"/>
              </w:rPr>
              <w:t>甲方</w:t>
            </w:r>
            <w:r>
              <w:rPr>
                <w:rFonts w:hint="eastAsia"/>
                <w:color w:val="auto"/>
                <w:highlight w:val="none"/>
                <w:lang w:eastAsia="zh-CN"/>
              </w:rPr>
              <w:t>缴纳成交总金额3%的履约保证金。项目竣工后，3%的履约保证金转为工程质量保证金。</w:t>
            </w:r>
          </w:p>
          <w:p w14:paraId="5F1E24B5">
            <w:pPr>
              <w:pStyle w:val="12"/>
              <w:rPr>
                <w:rFonts w:hint="eastAsia"/>
                <w:color w:val="auto"/>
                <w:highlight w:val="none"/>
                <w:lang w:eastAsia="zh-CN"/>
              </w:rPr>
            </w:pPr>
            <w:r>
              <w:rPr>
                <w:rFonts w:hint="eastAsia"/>
                <w:color w:val="auto"/>
                <w:highlight w:val="none"/>
                <w:lang w:eastAsia="zh-CN"/>
              </w:rPr>
              <w:t>履约保证金形式：</w:t>
            </w:r>
            <w:r>
              <w:rPr>
                <w:rFonts w:hint="eastAsia"/>
                <w:color w:val="auto"/>
                <w:highlight w:val="none"/>
                <w:lang w:val="en-US" w:eastAsia="zh-CN"/>
              </w:rPr>
              <w:t>乙方</w:t>
            </w:r>
            <w:r>
              <w:rPr>
                <w:rFonts w:hint="eastAsia"/>
                <w:color w:val="auto"/>
                <w:highlight w:val="none"/>
                <w:lang w:eastAsia="zh-CN"/>
              </w:rPr>
              <w:t>应当以银行转账、支票、汇票、本票或者金融机构、担保机构出具的保函等非现金形式提交。</w:t>
            </w:r>
          </w:p>
        </w:tc>
      </w:tr>
      <w:tr w14:paraId="72386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5" w:hRule="atLeast"/>
          <w:jc w:val="center"/>
        </w:trPr>
        <w:tc>
          <w:tcPr>
            <w:tcW w:w="901" w:type="dxa"/>
            <w:noWrap w:val="0"/>
            <w:vAlign w:val="center"/>
          </w:tcPr>
          <w:p w14:paraId="246A9CFB">
            <w:pPr>
              <w:jc w:val="center"/>
              <w:rPr>
                <w:rFonts w:hint="eastAsia" w:eastAsia="宋体"/>
                <w:color w:val="auto"/>
                <w:szCs w:val="21"/>
                <w:highlight w:val="none"/>
                <w:lang w:val="en-US" w:eastAsia="zh-CN"/>
              </w:rPr>
            </w:pPr>
            <w:r>
              <w:rPr>
                <w:rFonts w:hint="eastAsia"/>
                <w:color w:val="auto"/>
                <w:szCs w:val="21"/>
                <w:highlight w:val="none"/>
                <w:lang w:val="en-US" w:eastAsia="zh-CN"/>
              </w:rPr>
              <w:t>六</w:t>
            </w:r>
          </w:p>
        </w:tc>
        <w:tc>
          <w:tcPr>
            <w:tcW w:w="1495" w:type="dxa"/>
            <w:noWrap w:val="0"/>
            <w:vAlign w:val="center"/>
          </w:tcPr>
          <w:p w14:paraId="3D51D7C3">
            <w:pPr>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rPr>
              <w:t>质量保证金</w:t>
            </w:r>
          </w:p>
        </w:tc>
        <w:tc>
          <w:tcPr>
            <w:tcW w:w="6603" w:type="dxa"/>
            <w:noWrap w:val="0"/>
            <w:vAlign w:val="center"/>
          </w:tcPr>
          <w:p w14:paraId="715564F0">
            <w:pPr>
              <w:tabs>
                <w:tab w:val="left" w:pos="8364"/>
              </w:tabs>
              <w:rPr>
                <w:rFonts w:hint="eastAsia" w:ascii="宋体" w:hAnsi="宋体" w:eastAsia="宋体" w:cs="宋体"/>
                <w:color w:val="auto"/>
                <w:kern w:val="2"/>
                <w:sz w:val="21"/>
                <w:szCs w:val="21"/>
                <w:highlight w:val="none"/>
                <w:lang w:val="en-US" w:eastAsia="zh-CN" w:bidi="ar-SA"/>
              </w:rPr>
            </w:pPr>
            <w:r>
              <w:rPr>
                <w:rFonts w:hint="eastAsia"/>
                <w:color w:val="auto"/>
                <w:highlight w:val="none"/>
              </w:rPr>
              <w:t>比例：成交总金额3%；退回方式：自验收合格之日起满24个月无质量问题后，甲方无息退还乙方。</w:t>
            </w:r>
          </w:p>
        </w:tc>
      </w:tr>
      <w:tr w14:paraId="64545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2" w:hRule="atLeast"/>
          <w:jc w:val="center"/>
        </w:trPr>
        <w:tc>
          <w:tcPr>
            <w:tcW w:w="901" w:type="dxa"/>
            <w:noWrap w:val="0"/>
            <w:vAlign w:val="center"/>
          </w:tcPr>
          <w:p w14:paraId="2E5520FD">
            <w:pPr>
              <w:jc w:val="center"/>
              <w:rPr>
                <w:color w:val="auto"/>
                <w:szCs w:val="21"/>
                <w:highlight w:val="none"/>
              </w:rPr>
            </w:pPr>
            <w:r>
              <w:rPr>
                <w:rFonts w:hint="eastAsia"/>
                <w:color w:val="auto"/>
                <w:szCs w:val="21"/>
                <w:highlight w:val="none"/>
              </w:rPr>
              <w:t>七</w:t>
            </w:r>
          </w:p>
        </w:tc>
        <w:tc>
          <w:tcPr>
            <w:tcW w:w="1495" w:type="dxa"/>
            <w:noWrap w:val="0"/>
            <w:vAlign w:val="center"/>
          </w:tcPr>
          <w:p w14:paraId="1C4DA18F">
            <w:pPr>
              <w:jc w:val="center"/>
              <w:rPr>
                <w:rFonts w:hint="eastAsia"/>
                <w:color w:val="auto"/>
                <w:szCs w:val="21"/>
                <w:highlight w:val="none"/>
              </w:rPr>
            </w:pPr>
            <w:r>
              <w:rPr>
                <w:rFonts w:hint="eastAsia"/>
                <w:color w:val="auto"/>
                <w:szCs w:val="21"/>
                <w:highlight w:val="none"/>
              </w:rPr>
              <w:t>项目验收要求</w:t>
            </w:r>
          </w:p>
        </w:tc>
        <w:tc>
          <w:tcPr>
            <w:tcW w:w="6603" w:type="dxa"/>
            <w:noWrap w:val="0"/>
            <w:vAlign w:val="center"/>
          </w:tcPr>
          <w:p w14:paraId="1DA67248">
            <w:pPr>
              <w:numPr>
                <w:ilvl w:val="0"/>
                <w:numId w:val="0"/>
              </w:numPr>
              <w:tabs>
                <w:tab w:val="left" w:pos="8364"/>
              </w:tabs>
              <w:rPr>
                <w:rFonts w:hint="eastAsia" w:ascii="宋体" w:hAnsi="宋体" w:cs="宋体"/>
                <w:color w:val="auto"/>
                <w:szCs w:val="21"/>
                <w:highlight w:val="none"/>
              </w:rPr>
            </w:pPr>
            <w:r>
              <w:rPr>
                <w:rFonts w:hint="eastAsia" w:ascii="宋体" w:hAnsi="宋体" w:cs="宋体"/>
                <w:color w:val="auto"/>
                <w:szCs w:val="21"/>
                <w:highlight w:val="none"/>
              </w:rPr>
              <w:t>（一）项目验收（初验）：乙方向甲方提出项目初验申请，甲方组织甲乙双方人员进行初验。初验合格后，签署《云南开放大学采购项目验收报告表》。</w:t>
            </w:r>
          </w:p>
          <w:p w14:paraId="0795BF8C">
            <w:pPr>
              <w:numPr>
                <w:ilvl w:val="0"/>
                <w:numId w:val="0"/>
              </w:numPr>
              <w:tabs>
                <w:tab w:val="left" w:pos="8364"/>
              </w:tabs>
              <w:rPr>
                <w:rFonts w:hint="eastAsia" w:ascii="宋体" w:hAnsi="宋体" w:cs="宋体"/>
                <w:color w:val="auto"/>
                <w:szCs w:val="21"/>
                <w:highlight w:val="none"/>
              </w:rPr>
            </w:pPr>
            <w:r>
              <w:rPr>
                <w:rFonts w:hint="eastAsia" w:ascii="宋体" w:hAnsi="宋体" w:cs="宋体"/>
                <w:color w:val="auto"/>
                <w:szCs w:val="21"/>
                <w:highlight w:val="none"/>
              </w:rPr>
              <w:t>（二）项目验收（终验）：初验通过后，乙方向甲方管理部门提交《云南开放大学采购项目终验申请表》。甲方组织相关人员进行终验，终验通过后签署《云南开放大学采购项目终验报告表》。</w:t>
            </w:r>
          </w:p>
        </w:tc>
      </w:tr>
    </w:tbl>
    <w:p w14:paraId="1D2085A9">
      <w:pPr>
        <w:rPr>
          <w:rFonts w:hint="eastAsia" w:ascii="宋体" w:hAnsi="宋体" w:cs="宋体"/>
          <w:b/>
          <w:color w:val="auto"/>
          <w:highlight w:val="none"/>
        </w:rPr>
      </w:pPr>
      <w:bookmarkStart w:id="961" w:name="_Toc470096338"/>
    </w:p>
    <w:p w14:paraId="037E6C92">
      <w:pPr>
        <w:rPr>
          <w:rFonts w:hint="eastAsia" w:ascii="宋体" w:hAnsi="宋体" w:cs="宋体"/>
          <w:b/>
          <w:color w:val="auto"/>
          <w:highlight w:val="none"/>
        </w:rPr>
      </w:pPr>
    </w:p>
    <w:tbl>
      <w:tblPr>
        <w:tblStyle w:val="21"/>
        <w:tblW w:w="9205" w:type="dxa"/>
        <w:jc w:val="center"/>
        <w:tblLayout w:type="fixed"/>
        <w:tblCellMar>
          <w:top w:w="0" w:type="dxa"/>
          <w:left w:w="0" w:type="dxa"/>
          <w:bottom w:w="0" w:type="dxa"/>
          <w:right w:w="0" w:type="dxa"/>
        </w:tblCellMar>
      </w:tblPr>
      <w:tblGrid>
        <w:gridCol w:w="9205"/>
      </w:tblGrid>
      <w:tr w14:paraId="34256F9E">
        <w:tblPrEx>
          <w:tblCellMar>
            <w:top w:w="0" w:type="dxa"/>
            <w:left w:w="0" w:type="dxa"/>
            <w:bottom w:w="0" w:type="dxa"/>
            <w:right w:w="0" w:type="dxa"/>
          </w:tblCellMar>
        </w:tblPrEx>
        <w:trPr>
          <w:jc w:val="center"/>
        </w:trPr>
        <w:tc>
          <w:tcPr>
            <w:tcW w:w="9205" w:type="dxa"/>
            <w:noWrap w:val="0"/>
            <w:vAlign w:val="center"/>
          </w:tcPr>
          <w:tbl>
            <w:tblPr>
              <w:tblStyle w:val="21"/>
              <w:tblW w:w="9750" w:type="dxa"/>
              <w:tblCellSpacing w:w="0" w:type="dxa"/>
              <w:tblInd w:w="0" w:type="dxa"/>
              <w:tblLayout w:type="fixed"/>
              <w:tblCellMar>
                <w:top w:w="0" w:type="dxa"/>
                <w:left w:w="0" w:type="dxa"/>
                <w:bottom w:w="0" w:type="dxa"/>
                <w:right w:w="0" w:type="dxa"/>
              </w:tblCellMar>
            </w:tblPr>
            <w:tblGrid>
              <w:gridCol w:w="1214"/>
              <w:gridCol w:w="1960"/>
              <w:gridCol w:w="1515"/>
              <w:gridCol w:w="896"/>
              <w:gridCol w:w="1024"/>
              <w:gridCol w:w="1222"/>
              <w:gridCol w:w="1919"/>
            </w:tblGrid>
            <w:tr w14:paraId="242ACB52">
              <w:tblPrEx>
                <w:tblCellMar>
                  <w:top w:w="0" w:type="dxa"/>
                  <w:left w:w="0" w:type="dxa"/>
                  <w:bottom w:w="0" w:type="dxa"/>
                  <w:right w:w="0" w:type="dxa"/>
                </w:tblCellMar>
              </w:tblPrEx>
              <w:trPr>
                <w:tblCellSpacing w:w="0" w:type="dxa"/>
              </w:trPr>
              <w:tc>
                <w:tcPr>
                  <w:tcW w:w="1214" w:type="dxa"/>
                  <w:noWrap w:val="0"/>
                  <w:vAlign w:val="center"/>
                </w:tcPr>
                <w:p w14:paraId="574A93B8">
                  <w:pPr>
                    <w:widowControl/>
                    <w:jc w:val="right"/>
                    <w:rPr>
                      <w:rFonts w:hint="eastAsia" w:ascii="宋体" w:hAnsi="宋体" w:cs="宋体"/>
                      <w:color w:val="auto"/>
                      <w:kern w:val="0"/>
                      <w:sz w:val="24"/>
                      <w:highlight w:val="none"/>
                    </w:rPr>
                  </w:pPr>
                  <w:r>
                    <w:rPr>
                      <w:rFonts w:hint="eastAsia" w:ascii="宋体" w:hAnsi="宋体" w:cs="宋体"/>
                      <w:color w:val="auto"/>
                      <w:highlight w:val="none"/>
                    </w:rPr>
                    <w:t>合同编号：</w:t>
                  </w:r>
                </w:p>
              </w:tc>
              <w:tc>
                <w:tcPr>
                  <w:tcW w:w="1960" w:type="dxa"/>
                  <w:noWrap w:val="0"/>
                  <w:vAlign w:val="center"/>
                </w:tcPr>
                <w:p w14:paraId="3975F58D">
                  <w:pPr>
                    <w:jc w:val="left"/>
                    <w:rPr>
                      <w:rFonts w:hint="eastAsia" w:ascii="宋体" w:hAnsi="宋体" w:cs="宋体"/>
                      <w:color w:val="auto"/>
                      <w:highlight w:val="none"/>
                    </w:rPr>
                  </w:pPr>
                </w:p>
              </w:tc>
              <w:tc>
                <w:tcPr>
                  <w:tcW w:w="1515" w:type="dxa"/>
                  <w:noWrap w:val="0"/>
                  <w:vAlign w:val="center"/>
                </w:tcPr>
                <w:p w14:paraId="1E05C21F">
                  <w:pPr>
                    <w:ind w:right="315"/>
                    <w:jc w:val="right"/>
                    <w:rPr>
                      <w:rFonts w:hint="eastAsia" w:ascii="宋体" w:hAnsi="宋体" w:cs="宋体"/>
                      <w:color w:val="auto"/>
                      <w:highlight w:val="none"/>
                    </w:rPr>
                  </w:pPr>
                  <w:r>
                    <w:rPr>
                      <w:rFonts w:hint="eastAsia" w:ascii="宋体" w:hAnsi="宋体" w:cs="宋体"/>
                      <w:color w:val="auto"/>
                      <w:highlight w:val="none"/>
                    </w:rPr>
                    <w:t>合同自编号：</w:t>
                  </w:r>
                </w:p>
              </w:tc>
              <w:tc>
                <w:tcPr>
                  <w:tcW w:w="896" w:type="dxa"/>
                  <w:noWrap w:val="0"/>
                  <w:vAlign w:val="center"/>
                </w:tcPr>
                <w:p w14:paraId="0DA8EC9D">
                  <w:pPr>
                    <w:jc w:val="right"/>
                    <w:rPr>
                      <w:rFonts w:hint="eastAsia" w:ascii="宋体" w:hAnsi="宋体" w:cs="宋体"/>
                      <w:color w:val="auto"/>
                      <w:highlight w:val="none"/>
                    </w:rPr>
                  </w:pPr>
                </w:p>
              </w:tc>
              <w:tc>
                <w:tcPr>
                  <w:tcW w:w="1024" w:type="dxa"/>
                  <w:noWrap w:val="0"/>
                  <w:vAlign w:val="center"/>
                </w:tcPr>
                <w:p w14:paraId="529D0B25">
                  <w:pPr>
                    <w:rPr>
                      <w:rFonts w:hint="eastAsia" w:ascii="宋体" w:hAnsi="宋体" w:cs="宋体"/>
                      <w:color w:val="auto"/>
                      <w:sz w:val="20"/>
                      <w:szCs w:val="20"/>
                      <w:highlight w:val="none"/>
                    </w:rPr>
                  </w:pPr>
                </w:p>
              </w:tc>
              <w:tc>
                <w:tcPr>
                  <w:tcW w:w="1222" w:type="dxa"/>
                  <w:noWrap w:val="0"/>
                  <w:vAlign w:val="center"/>
                </w:tcPr>
                <w:p w14:paraId="3F572680">
                  <w:pPr>
                    <w:pStyle w:val="19"/>
                    <w:rPr>
                      <w:rFonts w:hint="eastAsia" w:ascii="宋体" w:cs="宋体"/>
                      <w:color w:val="auto"/>
                      <w:highlight w:val="none"/>
                    </w:rPr>
                  </w:pPr>
                  <w:r>
                    <w:rPr>
                      <w:rFonts w:hint="eastAsia" w:ascii="宋体" w:cs="宋体"/>
                      <w:color w:val="auto"/>
                      <w:highlight w:val="none"/>
                    </w:rPr>
                    <w:t xml:space="preserve">项目编号： </w:t>
                  </w:r>
                </w:p>
              </w:tc>
              <w:tc>
                <w:tcPr>
                  <w:tcW w:w="1919" w:type="dxa"/>
                  <w:noWrap w:val="0"/>
                  <w:vAlign w:val="center"/>
                </w:tcPr>
                <w:p w14:paraId="56749CA2">
                  <w:pPr>
                    <w:rPr>
                      <w:rFonts w:hint="eastAsia" w:ascii="宋体" w:hAnsi="宋体" w:cs="宋体"/>
                      <w:color w:val="auto"/>
                      <w:highlight w:val="none"/>
                    </w:rPr>
                  </w:pPr>
                </w:p>
              </w:tc>
            </w:tr>
          </w:tbl>
          <w:p w14:paraId="520A90EE">
            <w:pPr>
              <w:spacing w:after="240"/>
              <w:rPr>
                <w:rFonts w:hint="eastAsia" w:ascii="宋体" w:hAnsi="宋体" w:cs="宋体"/>
                <w:color w:val="auto"/>
                <w:sz w:val="24"/>
                <w:highlight w:val="none"/>
              </w:rPr>
            </w:pPr>
          </w:p>
          <w:p w14:paraId="3598A3DF">
            <w:pPr>
              <w:pStyle w:val="3"/>
              <w:rPr>
                <w:rFonts w:hint="eastAsia" w:ascii="宋体" w:hAnsi="宋体" w:eastAsia="宋体" w:cs="宋体"/>
                <w:color w:val="auto"/>
                <w:highlight w:val="none"/>
              </w:rPr>
            </w:pPr>
          </w:p>
        </w:tc>
      </w:tr>
      <w:tr w14:paraId="47D477D2">
        <w:tblPrEx>
          <w:tblCellMar>
            <w:top w:w="0" w:type="dxa"/>
            <w:left w:w="0" w:type="dxa"/>
            <w:bottom w:w="0" w:type="dxa"/>
            <w:right w:w="0" w:type="dxa"/>
          </w:tblCellMar>
        </w:tblPrEx>
        <w:trPr>
          <w:jc w:val="center"/>
        </w:trPr>
        <w:tc>
          <w:tcPr>
            <w:tcW w:w="9205" w:type="dxa"/>
            <w:noWrap w:val="0"/>
            <w:vAlign w:val="center"/>
          </w:tcPr>
          <w:p w14:paraId="304D05B3">
            <w:pPr>
              <w:spacing w:after="240"/>
              <w:rPr>
                <w:rFonts w:hint="eastAsia" w:ascii="宋体" w:hAnsi="宋体" w:cs="宋体"/>
                <w:color w:val="auto"/>
                <w:highlight w:val="none"/>
              </w:rPr>
            </w:pPr>
            <w:r>
              <w:rPr>
                <w:rFonts w:hint="eastAsia" w:ascii="宋体" w:hAnsi="宋体" w:cs="宋体"/>
                <w:color w:val="auto"/>
                <w:highlight w:val="none"/>
              </w:rPr>
              <w:t>●本合同须加盖甲乙双方骑缝章有效</w:t>
            </w:r>
          </w:p>
          <w:p w14:paraId="7E15D153">
            <w:pPr>
              <w:pStyle w:val="3"/>
              <w:rPr>
                <w:rFonts w:hint="eastAsia" w:ascii="宋体" w:hAnsi="宋体" w:eastAsia="宋体" w:cs="宋体"/>
                <w:color w:val="auto"/>
                <w:highlight w:val="none"/>
              </w:rPr>
            </w:pPr>
          </w:p>
        </w:tc>
      </w:tr>
      <w:tr w14:paraId="30DD073F">
        <w:tblPrEx>
          <w:tblCellMar>
            <w:top w:w="0" w:type="dxa"/>
            <w:left w:w="0" w:type="dxa"/>
            <w:bottom w:w="0" w:type="dxa"/>
            <w:right w:w="0" w:type="dxa"/>
          </w:tblCellMar>
        </w:tblPrEx>
        <w:trPr>
          <w:jc w:val="center"/>
        </w:trPr>
        <w:tc>
          <w:tcPr>
            <w:tcW w:w="9205" w:type="dxa"/>
            <w:noWrap w:val="0"/>
            <w:vAlign w:val="center"/>
          </w:tcPr>
          <w:p w14:paraId="0A106334">
            <w:pPr>
              <w:spacing w:after="240"/>
              <w:jc w:val="center"/>
              <w:rPr>
                <w:rFonts w:hint="eastAsia" w:ascii="宋体" w:hAnsi="宋体" w:cs="宋体"/>
                <w:color w:val="auto"/>
                <w:highlight w:val="none"/>
              </w:rPr>
            </w:pPr>
            <w:r>
              <w:rPr>
                <w:rFonts w:hint="eastAsia" w:ascii="宋体" w:hAnsi="宋体" w:cs="宋体"/>
                <w:color w:val="auto"/>
                <w:sz w:val="39"/>
                <w:szCs w:val="39"/>
                <w:highlight w:val="none"/>
              </w:rPr>
              <w:t>云南省省级政府采购</w:t>
            </w:r>
          </w:p>
        </w:tc>
      </w:tr>
      <w:tr w14:paraId="5D0F54E9">
        <w:tblPrEx>
          <w:tblCellMar>
            <w:top w:w="0" w:type="dxa"/>
            <w:left w:w="0" w:type="dxa"/>
            <w:bottom w:w="0" w:type="dxa"/>
            <w:right w:w="0" w:type="dxa"/>
          </w:tblCellMar>
        </w:tblPrEx>
        <w:trPr>
          <w:trHeight w:val="1013" w:hRule="atLeast"/>
          <w:jc w:val="center"/>
        </w:trPr>
        <w:tc>
          <w:tcPr>
            <w:tcW w:w="9205" w:type="dxa"/>
            <w:noWrap w:val="0"/>
            <w:vAlign w:val="center"/>
          </w:tcPr>
          <w:p w14:paraId="39D01871">
            <w:pPr>
              <w:spacing w:after="240"/>
              <w:jc w:val="center"/>
              <w:rPr>
                <w:rFonts w:hint="eastAsia" w:ascii="宋体" w:hAnsi="宋体" w:cs="宋体"/>
                <w:color w:val="auto"/>
                <w:highlight w:val="none"/>
              </w:rPr>
            </w:pPr>
            <w:r>
              <w:rPr>
                <w:rFonts w:hint="eastAsia" w:ascii="宋体" w:hAnsi="宋体" w:cs="宋体"/>
                <w:color w:val="auto"/>
                <w:highlight w:val="none"/>
              </w:rPr>
              <w:t xml:space="preserve">（委托采购） </w:t>
            </w:r>
          </w:p>
          <w:p w14:paraId="22A986BE">
            <w:pPr>
              <w:pStyle w:val="3"/>
              <w:rPr>
                <w:rFonts w:hint="eastAsia" w:ascii="宋体" w:hAnsi="宋体" w:eastAsia="宋体" w:cs="宋体"/>
                <w:color w:val="auto"/>
                <w:highlight w:val="none"/>
              </w:rPr>
            </w:pPr>
          </w:p>
        </w:tc>
      </w:tr>
      <w:tr w14:paraId="57DC113A">
        <w:tblPrEx>
          <w:tblCellMar>
            <w:top w:w="0" w:type="dxa"/>
            <w:left w:w="0" w:type="dxa"/>
            <w:bottom w:w="0" w:type="dxa"/>
            <w:right w:w="0" w:type="dxa"/>
          </w:tblCellMar>
        </w:tblPrEx>
        <w:trPr>
          <w:jc w:val="center"/>
        </w:trPr>
        <w:tc>
          <w:tcPr>
            <w:tcW w:w="9205" w:type="dxa"/>
            <w:noWrap w:val="0"/>
            <w:vAlign w:val="center"/>
          </w:tcPr>
          <w:p w14:paraId="2A7C3B2C">
            <w:pPr>
              <w:spacing w:after="240"/>
              <w:jc w:val="center"/>
              <w:rPr>
                <w:rFonts w:hint="eastAsia" w:ascii="宋体" w:hAnsi="宋体" w:cs="宋体"/>
                <w:color w:val="auto"/>
                <w:highlight w:val="none"/>
              </w:rPr>
            </w:pPr>
            <w:r>
              <w:rPr>
                <w:rFonts w:hint="eastAsia" w:ascii="宋体" w:hAnsi="宋体" w:cs="宋体"/>
                <w:color w:val="auto"/>
                <w:sz w:val="63"/>
                <w:szCs w:val="63"/>
                <w:highlight w:val="none"/>
              </w:rPr>
              <w:t>合</w:t>
            </w:r>
            <w:r>
              <w:rPr>
                <w:rFonts w:hint="eastAsia" w:ascii="宋体" w:hAnsi="宋体" w:cs="宋体"/>
                <w:color w:val="auto"/>
                <w:highlight w:val="none"/>
              </w:rPr>
              <w:t xml:space="preserve"> </w:t>
            </w:r>
          </w:p>
        </w:tc>
      </w:tr>
      <w:tr w14:paraId="304317E0">
        <w:tblPrEx>
          <w:tblCellMar>
            <w:top w:w="0" w:type="dxa"/>
            <w:left w:w="0" w:type="dxa"/>
            <w:bottom w:w="0" w:type="dxa"/>
            <w:right w:w="0" w:type="dxa"/>
          </w:tblCellMar>
        </w:tblPrEx>
        <w:trPr>
          <w:trHeight w:val="2199" w:hRule="atLeast"/>
          <w:jc w:val="center"/>
        </w:trPr>
        <w:tc>
          <w:tcPr>
            <w:tcW w:w="9205" w:type="dxa"/>
            <w:noWrap w:val="0"/>
            <w:vAlign w:val="center"/>
          </w:tcPr>
          <w:p w14:paraId="129E91D7">
            <w:pPr>
              <w:spacing w:after="240"/>
              <w:jc w:val="center"/>
              <w:rPr>
                <w:rFonts w:hint="eastAsia" w:ascii="宋体" w:hAnsi="宋体" w:cs="宋体"/>
                <w:color w:val="auto"/>
                <w:highlight w:val="none"/>
              </w:rPr>
            </w:pPr>
            <w:r>
              <w:rPr>
                <w:rFonts w:hint="eastAsia" w:ascii="宋体" w:hAnsi="宋体" w:cs="宋体"/>
                <w:color w:val="auto"/>
                <w:sz w:val="63"/>
                <w:szCs w:val="63"/>
                <w:highlight w:val="none"/>
              </w:rPr>
              <w:t>同</w:t>
            </w:r>
            <w:r>
              <w:rPr>
                <w:rFonts w:hint="eastAsia" w:ascii="宋体" w:hAnsi="宋体" w:cs="宋体"/>
                <w:color w:val="auto"/>
                <w:highlight w:val="none"/>
              </w:rPr>
              <w:t xml:space="preserve"> </w:t>
            </w:r>
          </w:p>
        </w:tc>
      </w:tr>
      <w:tr w14:paraId="6FBC7293">
        <w:tblPrEx>
          <w:tblCellMar>
            <w:top w:w="0" w:type="dxa"/>
            <w:left w:w="0" w:type="dxa"/>
            <w:bottom w:w="0" w:type="dxa"/>
            <w:right w:w="0" w:type="dxa"/>
          </w:tblCellMar>
        </w:tblPrEx>
        <w:trPr>
          <w:jc w:val="center"/>
        </w:trPr>
        <w:tc>
          <w:tcPr>
            <w:tcW w:w="9205" w:type="dxa"/>
            <w:noWrap w:val="0"/>
            <w:vAlign w:val="center"/>
          </w:tcPr>
          <w:p w14:paraId="3E2C0500">
            <w:pPr>
              <w:spacing w:after="240"/>
              <w:jc w:val="center"/>
              <w:rPr>
                <w:rFonts w:hint="eastAsia" w:ascii="宋体" w:hAnsi="宋体" w:cs="宋体"/>
                <w:color w:val="auto"/>
                <w:highlight w:val="none"/>
              </w:rPr>
            </w:pPr>
            <w:r>
              <w:rPr>
                <w:rFonts w:hint="eastAsia" w:ascii="宋体" w:hAnsi="宋体" w:cs="宋体"/>
                <w:color w:val="auto"/>
                <w:sz w:val="63"/>
                <w:szCs w:val="63"/>
                <w:highlight w:val="none"/>
              </w:rPr>
              <w:t>书</w:t>
            </w:r>
          </w:p>
        </w:tc>
      </w:tr>
      <w:tr w14:paraId="2EE723B3">
        <w:tblPrEx>
          <w:tblCellMar>
            <w:top w:w="0" w:type="dxa"/>
            <w:left w:w="0" w:type="dxa"/>
            <w:bottom w:w="0" w:type="dxa"/>
            <w:right w:w="0" w:type="dxa"/>
          </w:tblCellMar>
        </w:tblPrEx>
        <w:trPr>
          <w:jc w:val="center"/>
        </w:trPr>
        <w:tc>
          <w:tcPr>
            <w:tcW w:w="9205" w:type="dxa"/>
            <w:noWrap w:val="0"/>
            <w:vAlign w:val="center"/>
          </w:tcPr>
          <w:p w14:paraId="70F79523">
            <w:pPr>
              <w:spacing w:after="240"/>
              <w:jc w:val="center"/>
              <w:rPr>
                <w:rFonts w:hint="eastAsia" w:ascii="宋体" w:hAnsi="宋体" w:cs="宋体"/>
                <w:color w:val="auto"/>
                <w:highlight w:val="none"/>
              </w:rPr>
            </w:pPr>
            <w:r>
              <w:rPr>
                <w:rStyle w:val="23"/>
                <w:rFonts w:hint="eastAsia" w:ascii="宋体" w:hAnsi="宋体" w:cs="宋体"/>
                <w:color w:val="auto"/>
                <w:sz w:val="27"/>
                <w:szCs w:val="27"/>
                <w:highlight w:val="none"/>
              </w:rPr>
              <w:t>签订地点:         </w:t>
            </w:r>
          </w:p>
        </w:tc>
      </w:tr>
      <w:tr w14:paraId="3C75774D">
        <w:tblPrEx>
          <w:tblCellMar>
            <w:top w:w="0" w:type="dxa"/>
            <w:left w:w="0" w:type="dxa"/>
            <w:bottom w:w="0" w:type="dxa"/>
            <w:right w:w="0" w:type="dxa"/>
          </w:tblCellMar>
        </w:tblPrEx>
        <w:trPr>
          <w:jc w:val="center"/>
        </w:trPr>
        <w:tc>
          <w:tcPr>
            <w:tcW w:w="9205" w:type="dxa"/>
            <w:noWrap w:val="0"/>
            <w:vAlign w:val="center"/>
          </w:tcPr>
          <w:p w14:paraId="4D95A1C1">
            <w:pPr>
              <w:spacing w:after="240"/>
              <w:rPr>
                <w:rFonts w:hint="eastAsia" w:ascii="宋体" w:hAnsi="宋体" w:cs="宋体"/>
                <w:color w:val="auto"/>
                <w:highlight w:val="none"/>
              </w:rPr>
            </w:pPr>
          </w:p>
        </w:tc>
      </w:tr>
      <w:tr w14:paraId="3D404ABC">
        <w:tblPrEx>
          <w:tblCellMar>
            <w:top w:w="0" w:type="dxa"/>
            <w:left w:w="0" w:type="dxa"/>
            <w:bottom w:w="0" w:type="dxa"/>
            <w:right w:w="0" w:type="dxa"/>
          </w:tblCellMar>
        </w:tblPrEx>
        <w:trPr>
          <w:jc w:val="center"/>
        </w:trPr>
        <w:tc>
          <w:tcPr>
            <w:tcW w:w="9205" w:type="dxa"/>
            <w:noWrap w:val="0"/>
            <w:vAlign w:val="center"/>
          </w:tcPr>
          <w:p w14:paraId="278E67DE">
            <w:pPr>
              <w:pStyle w:val="19"/>
              <w:jc w:val="center"/>
              <w:rPr>
                <w:rStyle w:val="23"/>
                <w:rFonts w:hint="eastAsia" w:ascii="宋体" w:cs="宋体"/>
                <w:color w:val="auto"/>
                <w:sz w:val="27"/>
                <w:szCs w:val="27"/>
                <w:highlight w:val="none"/>
              </w:rPr>
            </w:pPr>
            <w:r>
              <w:rPr>
                <w:rStyle w:val="23"/>
                <w:rFonts w:hint="eastAsia" w:ascii="宋体" w:cs="宋体"/>
                <w:color w:val="auto"/>
                <w:sz w:val="27"/>
                <w:szCs w:val="27"/>
                <w:highlight w:val="none"/>
              </w:rPr>
              <w:t>云南省财政厅　制</w:t>
            </w:r>
          </w:p>
          <w:p w14:paraId="71F4997F">
            <w:pPr>
              <w:pStyle w:val="19"/>
              <w:jc w:val="center"/>
              <w:rPr>
                <w:rFonts w:hint="eastAsia" w:ascii="宋体" w:cs="宋体"/>
                <w:color w:val="auto"/>
                <w:highlight w:val="none"/>
              </w:rPr>
            </w:pPr>
          </w:p>
          <w:p w14:paraId="44075BE0">
            <w:pPr>
              <w:pStyle w:val="19"/>
              <w:jc w:val="center"/>
              <w:rPr>
                <w:rFonts w:hint="eastAsia" w:ascii="宋体" w:cs="宋体"/>
                <w:color w:val="auto"/>
                <w:highlight w:val="none"/>
              </w:rPr>
            </w:pPr>
          </w:p>
          <w:p w14:paraId="15291303">
            <w:pPr>
              <w:pStyle w:val="19"/>
              <w:jc w:val="center"/>
              <w:rPr>
                <w:rFonts w:hint="eastAsia" w:ascii="宋体" w:cs="宋体"/>
                <w:color w:val="auto"/>
                <w:highlight w:val="none"/>
              </w:rPr>
            </w:pPr>
          </w:p>
        </w:tc>
      </w:tr>
    </w:tbl>
    <w:p w14:paraId="011C7BCF">
      <w:pPr>
        <w:rPr>
          <w:rFonts w:hint="eastAsia" w:ascii="宋体" w:hAnsi="宋体" w:cs="宋体"/>
          <w:b/>
          <w:color w:val="auto"/>
          <w:highlight w:val="none"/>
        </w:rPr>
      </w:pPr>
    </w:p>
    <w:tbl>
      <w:tblPr>
        <w:tblStyle w:val="21"/>
        <w:tblW w:w="9790" w:type="dxa"/>
        <w:jc w:val="center"/>
        <w:tblLayout w:type="fixed"/>
        <w:tblCellMar>
          <w:top w:w="0" w:type="dxa"/>
          <w:left w:w="0" w:type="dxa"/>
          <w:bottom w:w="0" w:type="dxa"/>
          <w:right w:w="0" w:type="dxa"/>
        </w:tblCellMar>
      </w:tblPr>
      <w:tblGrid>
        <w:gridCol w:w="9790"/>
      </w:tblGrid>
      <w:tr w14:paraId="658414AD">
        <w:tblPrEx>
          <w:tblCellMar>
            <w:top w:w="0" w:type="dxa"/>
            <w:left w:w="0" w:type="dxa"/>
            <w:bottom w:w="0" w:type="dxa"/>
            <w:right w:w="0" w:type="dxa"/>
          </w:tblCellMar>
        </w:tblPrEx>
        <w:trPr>
          <w:jc w:val="center"/>
        </w:trPr>
        <w:tc>
          <w:tcPr>
            <w:tcW w:w="9790" w:type="dxa"/>
            <w:noWrap w:val="0"/>
            <w:vAlign w:val="center"/>
          </w:tcPr>
          <w:tbl>
            <w:tblPr>
              <w:tblStyle w:val="21"/>
              <w:tblW w:w="9790" w:type="dxa"/>
              <w:jc w:val="center"/>
              <w:tblCellSpacing w:w="0" w:type="dxa"/>
              <w:tblLayout w:type="fixed"/>
              <w:tblCellMar>
                <w:top w:w="0" w:type="dxa"/>
                <w:left w:w="0" w:type="dxa"/>
                <w:bottom w:w="0" w:type="dxa"/>
                <w:right w:w="0" w:type="dxa"/>
              </w:tblCellMar>
            </w:tblPr>
            <w:tblGrid>
              <w:gridCol w:w="1664"/>
              <w:gridCol w:w="8126"/>
            </w:tblGrid>
            <w:tr w14:paraId="77492FB9">
              <w:tblPrEx>
                <w:tblCellMar>
                  <w:top w:w="0" w:type="dxa"/>
                  <w:left w:w="0" w:type="dxa"/>
                  <w:bottom w:w="0" w:type="dxa"/>
                  <w:right w:w="0" w:type="dxa"/>
                </w:tblCellMar>
              </w:tblPrEx>
              <w:trPr>
                <w:tblCellSpacing w:w="0" w:type="dxa"/>
                <w:jc w:val="center"/>
              </w:trPr>
              <w:tc>
                <w:tcPr>
                  <w:tcW w:w="9790" w:type="dxa"/>
                  <w:gridSpan w:val="2"/>
                  <w:noWrap w:val="0"/>
                  <w:vAlign w:val="center"/>
                </w:tcPr>
                <w:p w14:paraId="36F2992C">
                  <w:pPr>
                    <w:spacing w:after="240"/>
                    <w:rPr>
                      <w:rFonts w:hint="eastAsia" w:ascii="宋体" w:hAnsi="宋体" w:cs="宋体"/>
                      <w:color w:val="auto"/>
                      <w:highlight w:val="none"/>
                    </w:rPr>
                  </w:pPr>
                  <w:r>
                    <w:rPr>
                      <w:rFonts w:hint="eastAsia" w:ascii="宋体" w:hAnsi="宋体" w:cs="宋体"/>
                      <w:color w:val="auto"/>
                      <w:highlight w:val="none"/>
                    </w:rPr>
                    <w:t>甲方（采购人公章）名称：云南开放大学（云南国防工业职业技术学院）</w:t>
                  </w:r>
                </w:p>
              </w:tc>
            </w:tr>
            <w:tr w14:paraId="2D44F291">
              <w:tblPrEx>
                <w:tblCellMar>
                  <w:top w:w="0" w:type="dxa"/>
                  <w:left w:w="0" w:type="dxa"/>
                  <w:bottom w:w="0" w:type="dxa"/>
                  <w:right w:w="0" w:type="dxa"/>
                </w:tblCellMar>
              </w:tblPrEx>
              <w:trPr>
                <w:tblCellSpacing w:w="0" w:type="dxa"/>
                <w:jc w:val="center"/>
              </w:trPr>
              <w:tc>
                <w:tcPr>
                  <w:tcW w:w="1664" w:type="dxa"/>
                  <w:noWrap w:val="0"/>
                  <w:vAlign w:val="center"/>
                </w:tcPr>
                <w:p w14:paraId="7B21CD7B">
                  <w:pPr>
                    <w:spacing w:after="240"/>
                    <w:rPr>
                      <w:rFonts w:hint="eastAsia" w:ascii="宋体" w:hAnsi="宋体" w:cs="宋体"/>
                      <w:color w:val="auto"/>
                      <w:highlight w:val="none"/>
                    </w:rPr>
                  </w:pPr>
                </w:p>
              </w:tc>
              <w:tc>
                <w:tcPr>
                  <w:tcW w:w="8126" w:type="dxa"/>
                  <w:noWrap w:val="0"/>
                  <w:vAlign w:val="center"/>
                </w:tcPr>
                <w:p w14:paraId="5AC5C85C">
                  <w:pPr>
                    <w:spacing w:after="240"/>
                    <w:rPr>
                      <w:rFonts w:hint="eastAsia" w:ascii="宋体" w:hAnsi="宋体" w:cs="宋体"/>
                      <w:color w:val="auto"/>
                      <w:sz w:val="24"/>
                      <w:highlight w:val="none"/>
                    </w:rPr>
                  </w:pPr>
                  <w:r>
                    <w:rPr>
                      <w:rFonts w:hint="eastAsia" w:ascii="宋体" w:hAnsi="宋体" w:cs="宋体"/>
                      <w:color w:val="auto"/>
                      <w:highlight w:val="none"/>
                    </w:rPr>
                    <w:t>地址：云南省昆明市呈贡区启秀路318号</w:t>
                  </w:r>
                </w:p>
              </w:tc>
            </w:tr>
            <w:tr w14:paraId="399C4A95">
              <w:tblPrEx>
                <w:tblCellMar>
                  <w:top w:w="0" w:type="dxa"/>
                  <w:left w:w="0" w:type="dxa"/>
                  <w:bottom w:w="0" w:type="dxa"/>
                  <w:right w:w="0" w:type="dxa"/>
                </w:tblCellMar>
              </w:tblPrEx>
              <w:trPr>
                <w:tblCellSpacing w:w="0" w:type="dxa"/>
                <w:jc w:val="center"/>
              </w:trPr>
              <w:tc>
                <w:tcPr>
                  <w:tcW w:w="1664" w:type="dxa"/>
                  <w:noWrap w:val="0"/>
                  <w:vAlign w:val="center"/>
                </w:tcPr>
                <w:p w14:paraId="3F85700C">
                  <w:pPr>
                    <w:spacing w:after="240"/>
                    <w:rPr>
                      <w:rFonts w:hint="eastAsia" w:ascii="宋体" w:hAnsi="宋体" w:cs="宋体"/>
                      <w:color w:val="auto"/>
                      <w:highlight w:val="none"/>
                    </w:rPr>
                  </w:pPr>
                </w:p>
              </w:tc>
              <w:tc>
                <w:tcPr>
                  <w:tcW w:w="8126" w:type="dxa"/>
                  <w:noWrap w:val="0"/>
                  <w:vAlign w:val="center"/>
                </w:tcPr>
                <w:p w14:paraId="14CF42AB">
                  <w:pPr>
                    <w:spacing w:after="240"/>
                    <w:rPr>
                      <w:rFonts w:hint="eastAsia" w:ascii="宋体" w:hAnsi="宋体" w:cs="宋体"/>
                      <w:color w:val="auto"/>
                      <w:sz w:val="24"/>
                      <w:highlight w:val="none"/>
                    </w:rPr>
                  </w:pPr>
                  <w:r>
                    <w:rPr>
                      <w:rFonts w:hint="eastAsia" w:ascii="宋体" w:hAnsi="宋体" w:cs="宋体"/>
                      <w:color w:val="auto"/>
                      <w:highlight w:val="none"/>
                    </w:rPr>
                    <w:t>邮编：</w:t>
                  </w:r>
                </w:p>
              </w:tc>
            </w:tr>
            <w:tr w14:paraId="28402DDA">
              <w:tblPrEx>
                <w:tblCellMar>
                  <w:top w:w="0" w:type="dxa"/>
                  <w:left w:w="0" w:type="dxa"/>
                  <w:bottom w:w="0" w:type="dxa"/>
                  <w:right w:w="0" w:type="dxa"/>
                </w:tblCellMar>
              </w:tblPrEx>
              <w:trPr>
                <w:tblCellSpacing w:w="0" w:type="dxa"/>
                <w:jc w:val="center"/>
              </w:trPr>
              <w:tc>
                <w:tcPr>
                  <w:tcW w:w="1664" w:type="dxa"/>
                  <w:noWrap w:val="0"/>
                  <w:vAlign w:val="center"/>
                </w:tcPr>
                <w:p w14:paraId="25962448">
                  <w:pPr>
                    <w:spacing w:after="240"/>
                    <w:rPr>
                      <w:rFonts w:hint="eastAsia" w:ascii="宋体" w:hAnsi="宋体" w:cs="宋体"/>
                      <w:color w:val="auto"/>
                      <w:highlight w:val="none"/>
                    </w:rPr>
                  </w:pPr>
                </w:p>
              </w:tc>
              <w:tc>
                <w:tcPr>
                  <w:tcW w:w="8126" w:type="dxa"/>
                  <w:noWrap w:val="0"/>
                  <w:vAlign w:val="center"/>
                </w:tcPr>
                <w:p w14:paraId="53B2B581">
                  <w:pPr>
                    <w:spacing w:after="240"/>
                    <w:rPr>
                      <w:rFonts w:hint="eastAsia" w:ascii="宋体" w:hAnsi="宋体" w:cs="宋体"/>
                      <w:color w:val="auto"/>
                      <w:sz w:val="24"/>
                      <w:highlight w:val="none"/>
                    </w:rPr>
                  </w:pPr>
                  <w:r>
                    <w:rPr>
                      <w:rFonts w:hint="eastAsia" w:ascii="宋体" w:hAnsi="宋体" w:cs="宋体"/>
                      <w:color w:val="auto"/>
                      <w:highlight w:val="none"/>
                    </w:rPr>
                    <w:t>法定代表人或委托代理人：</w:t>
                  </w:r>
                </w:p>
              </w:tc>
            </w:tr>
            <w:tr w14:paraId="4F6DDC3D">
              <w:tblPrEx>
                <w:tblCellMar>
                  <w:top w:w="0" w:type="dxa"/>
                  <w:left w:w="0" w:type="dxa"/>
                  <w:bottom w:w="0" w:type="dxa"/>
                  <w:right w:w="0" w:type="dxa"/>
                </w:tblCellMar>
              </w:tblPrEx>
              <w:trPr>
                <w:tblCellSpacing w:w="0" w:type="dxa"/>
                <w:jc w:val="center"/>
              </w:trPr>
              <w:tc>
                <w:tcPr>
                  <w:tcW w:w="1664" w:type="dxa"/>
                  <w:noWrap w:val="0"/>
                  <w:vAlign w:val="center"/>
                </w:tcPr>
                <w:p w14:paraId="759D4D2E">
                  <w:pPr>
                    <w:spacing w:after="240"/>
                    <w:rPr>
                      <w:rFonts w:hint="eastAsia" w:ascii="宋体" w:hAnsi="宋体" w:cs="宋体"/>
                      <w:color w:val="auto"/>
                      <w:highlight w:val="none"/>
                    </w:rPr>
                  </w:pPr>
                </w:p>
              </w:tc>
              <w:tc>
                <w:tcPr>
                  <w:tcW w:w="8126" w:type="dxa"/>
                  <w:noWrap w:val="0"/>
                  <w:vAlign w:val="center"/>
                </w:tcPr>
                <w:p w14:paraId="62BDCDA2">
                  <w:pPr>
                    <w:spacing w:after="240"/>
                    <w:rPr>
                      <w:rFonts w:hint="eastAsia" w:ascii="宋体" w:hAnsi="宋体" w:cs="宋体"/>
                      <w:color w:val="auto"/>
                      <w:sz w:val="24"/>
                      <w:highlight w:val="none"/>
                    </w:rPr>
                  </w:pPr>
                  <w:r>
                    <w:rPr>
                      <w:rFonts w:hint="eastAsia" w:ascii="宋体" w:hAnsi="宋体" w:cs="宋体"/>
                      <w:color w:val="auto"/>
                      <w:highlight w:val="none"/>
                    </w:rPr>
                    <w:t>项目（技术）负责人：</w:t>
                  </w:r>
                </w:p>
              </w:tc>
            </w:tr>
            <w:tr w14:paraId="7B58333F">
              <w:tblPrEx>
                <w:tblCellMar>
                  <w:top w:w="0" w:type="dxa"/>
                  <w:left w:w="0" w:type="dxa"/>
                  <w:bottom w:w="0" w:type="dxa"/>
                  <w:right w:w="0" w:type="dxa"/>
                </w:tblCellMar>
              </w:tblPrEx>
              <w:trPr>
                <w:tblCellSpacing w:w="0" w:type="dxa"/>
                <w:jc w:val="center"/>
              </w:trPr>
              <w:tc>
                <w:tcPr>
                  <w:tcW w:w="1664" w:type="dxa"/>
                  <w:noWrap w:val="0"/>
                  <w:vAlign w:val="center"/>
                </w:tcPr>
                <w:p w14:paraId="269F97B8">
                  <w:pPr>
                    <w:spacing w:after="240"/>
                    <w:rPr>
                      <w:rFonts w:hint="eastAsia" w:ascii="宋体" w:hAnsi="宋体" w:cs="宋体"/>
                      <w:color w:val="auto"/>
                      <w:highlight w:val="none"/>
                    </w:rPr>
                  </w:pPr>
                </w:p>
              </w:tc>
              <w:tc>
                <w:tcPr>
                  <w:tcW w:w="8126" w:type="dxa"/>
                  <w:noWrap w:val="0"/>
                  <w:vAlign w:val="center"/>
                </w:tcPr>
                <w:p w14:paraId="57433275">
                  <w:pPr>
                    <w:spacing w:after="240"/>
                    <w:rPr>
                      <w:rFonts w:hint="eastAsia" w:ascii="宋体" w:hAnsi="宋体" w:cs="宋体"/>
                      <w:color w:val="auto"/>
                      <w:sz w:val="24"/>
                      <w:highlight w:val="none"/>
                    </w:rPr>
                  </w:pPr>
                  <w:r>
                    <w:rPr>
                      <w:rFonts w:hint="eastAsia" w:ascii="宋体" w:hAnsi="宋体" w:cs="宋体"/>
                      <w:color w:val="auto"/>
                      <w:highlight w:val="none"/>
                    </w:rPr>
                    <w:t>电话：</w:t>
                  </w:r>
                </w:p>
              </w:tc>
            </w:tr>
            <w:tr w14:paraId="4FAF2D6E">
              <w:tblPrEx>
                <w:tblCellMar>
                  <w:top w:w="0" w:type="dxa"/>
                  <w:left w:w="0" w:type="dxa"/>
                  <w:bottom w:w="0" w:type="dxa"/>
                  <w:right w:w="0" w:type="dxa"/>
                </w:tblCellMar>
              </w:tblPrEx>
              <w:trPr>
                <w:tblCellSpacing w:w="0" w:type="dxa"/>
                <w:jc w:val="center"/>
              </w:trPr>
              <w:tc>
                <w:tcPr>
                  <w:tcW w:w="1664" w:type="dxa"/>
                  <w:noWrap w:val="0"/>
                  <w:vAlign w:val="center"/>
                </w:tcPr>
                <w:p w14:paraId="6D248D8D">
                  <w:pPr>
                    <w:spacing w:after="240"/>
                    <w:rPr>
                      <w:rFonts w:hint="eastAsia" w:ascii="宋体" w:hAnsi="宋体" w:cs="宋体"/>
                      <w:color w:val="auto"/>
                      <w:highlight w:val="none"/>
                    </w:rPr>
                  </w:pPr>
                </w:p>
              </w:tc>
              <w:tc>
                <w:tcPr>
                  <w:tcW w:w="8126" w:type="dxa"/>
                  <w:noWrap w:val="0"/>
                  <w:vAlign w:val="center"/>
                </w:tcPr>
                <w:p w14:paraId="1E8A9407">
                  <w:pPr>
                    <w:spacing w:after="240"/>
                    <w:rPr>
                      <w:rFonts w:hint="eastAsia" w:ascii="宋体" w:hAnsi="宋体" w:cs="宋体"/>
                      <w:color w:val="auto"/>
                      <w:sz w:val="24"/>
                      <w:highlight w:val="none"/>
                    </w:rPr>
                  </w:pPr>
                  <w:r>
                    <w:rPr>
                      <w:rFonts w:hint="eastAsia" w:ascii="宋体" w:hAnsi="宋体" w:cs="宋体"/>
                      <w:color w:val="auto"/>
                      <w:highlight w:val="none"/>
                    </w:rPr>
                    <w:t>签订日期：</w:t>
                  </w:r>
                </w:p>
              </w:tc>
            </w:tr>
            <w:tr w14:paraId="16DBDFAC">
              <w:tblPrEx>
                <w:tblCellMar>
                  <w:top w:w="0" w:type="dxa"/>
                  <w:left w:w="0" w:type="dxa"/>
                  <w:bottom w:w="0" w:type="dxa"/>
                  <w:right w:w="0" w:type="dxa"/>
                </w:tblCellMar>
              </w:tblPrEx>
              <w:trPr>
                <w:tblCellSpacing w:w="0" w:type="dxa"/>
                <w:jc w:val="center"/>
              </w:trPr>
              <w:tc>
                <w:tcPr>
                  <w:tcW w:w="9790" w:type="dxa"/>
                  <w:gridSpan w:val="2"/>
                  <w:noWrap w:val="0"/>
                  <w:vAlign w:val="center"/>
                </w:tcPr>
                <w:p w14:paraId="3109B493">
                  <w:pPr>
                    <w:spacing w:after="240"/>
                    <w:rPr>
                      <w:rFonts w:hint="eastAsia" w:ascii="宋体" w:hAnsi="宋体" w:cs="宋体"/>
                      <w:color w:val="auto"/>
                      <w:highlight w:val="none"/>
                    </w:rPr>
                  </w:pPr>
                </w:p>
                <w:p w14:paraId="77F8B53F">
                  <w:pPr>
                    <w:spacing w:after="240"/>
                    <w:rPr>
                      <w:rFonts w:hint="eastAsia" w:ascii="宋体" w:hAnsi="宋体" w:cs="宋体"/>
                      <w:color w:val="auto"/>
                      <w:highlight w:val="none"/>
                    </w:rPr>
                  </w:pPr>
                </w:p>
                <w:p w14:paraId="3D403649">
                  <w:pPr>
                    <w:spacing w:after="240"/>
                    <w:rPr>
                      <w:rFonts w:hint="eastAsia" w:ascii="宋体" w:hAnsi="宋体" w:cs="宋体"/>
                      <w:color w:val="auto"/>
                      <w:highlight w:val="none"/>
                    </w:rPr>
                  </w:pPr>
                </w:p>
                <w:p w14:paraId="23F80512">
                  <w:pPr>
                    <w:spacing w:after="240"/>
                    <w:rPr>
                      <w:rFonts w:hint="eastAsia" w:ascii="宋体" w:hAnsi="宋体" w:cs="宋体"/>
                      <w:color w:val="auto"/>
                      <w:highlight w:val="none"/>
                    </w:rPr>
                  </w:pPr>
                </w:p>
                <w:p w14:paraId="7BA092E4">
                  <w:pPr>
                    <w:spacing w:after="240"/>
                    <w:rPr>
                      <w:rFonts w:hint="eastAsia" w:ascii="宋体" w:hAnsi="宋体" w:cs="宋体"/>
                      <w:color w:val="auto"/>
                      <w:highlight w:val="none"/>
                    </w:rPr>
                  </w:pPr>
                </w:p>
                <w:p w14:paraId="458BEE42">
                  <w:pPr>
                    <w:spacing w:after="240"/>
                    <w:rPr>
                      <w:rFonts w:hint="eastAsia" w:ascii="宋体" w:hAnsi="宋体" w:cs="宋体"/>
                      <w:color w:val="auto"/>
                      <w:highlight w:val="none"/>
                    </w:rPr>
                  </w:pPr>
                </w:p>
                <w:p w14:paraId="4A670642">
                  <w:pPr>
                    <w:spacing w:after="240"/>
                    <w:rPr>
                      <w:rFonts w:hint="eastAsia" w:ascii="宋体" w:hAnsi="宋体" w:cs="宋体"/>
                      <w:color w:val="auto"/>
                      <w:highlight w:val="none"/>
                    </w:rPr>
                  </w:pPr>
                  <w:r>
                    <w:rPr>
                      <w:rFonts w:hint="eastAsia" w:ascii="宋体" w:hAnsi="宋体" w:cs="宋体"/>
                      <w:color w:val="auto"/>
                      <w:highlight w:val="none"/>
                    </w:rPr>
                    <w:t>乙方（供应商公章）名称：</w:t>
                  </w:r>
                </w:p>
              </w:tc>
            </w:tr>
            <w:tr w14:paraId="00CD9757">
              <w:tblPrEx>
                <w:tblCellMar>
                  <w:top w:w="0" w:type="dxa"/>
                  <w:left w:w="0" w:type="dxa"/>
                  <w:bottom w:w="0" w:type="dxa"/>
                  <w:right w:w="0" w:type="dxa"/>
                </w:tblCellMar>
              </w:tblPrEx>
              <w:trPr>
                <w:tblCellSpacing w:w="0" w:type="dxa"/>
                <w:jc w:val="center"/>
              </w:trPr>
              <w:tc>
                <w:tcPr>
                  <w:tcW w:w="1664" w:type="dxa"/>
                  <w:noWrap w:val="0"/>
                  <w:vAlign w:val="center"/>
                </w:tcPr>
                <w:p w14:paraId="53352AB9">
                  <w:pPr>
                    <w:spacing w:after="240"/>
                    <w:rPr>
                      <w:rFonts w:hint="eastAsia" w:ascii="宋体" w:hAnsi="宋体" w:cs="宋体"/>
                      <w:color w:val="auto"/>
                      <w:highlight w:val="none"/>
                    </w:rPr>
                  </w:pPr>
                </w:p>
              </w:tc>
              <w:tc>
                <w:tcPr>
                  <w:tcW w:w="8126" w:type="dxa"/>
                  <w:noWrap w:val="0"/>
                  <w:vAlign w:val="center"/>
                </w:tcPr>
                <w:p w14:paraId="77C65260">
                  <w:pPr>
                    <w:spacing w:after="240"/>
                    <w:rPr>
                      <w:rFonts w:hint="eastAsia" w:ascii="宋体" w:hAnsi="宋体" w:cs="宋体"/>
                      <w:color w:val="auto"/>
                      <w:sz w:val="24"/>
                      <w:highlight w:val="none"/>
                    </w:rPr>
                  </w:pPr>
                  <w:r>
                    <w:rPr>
                      <w:rFonts w:hint="eastAsia" w:ascii="宋体" w:hAnsi="宋体" w:cs="宋体"/>
                      <w:color w:val="auto"/>
                      <w:highlight w:val="none"/>
                    </w:rPr>
                    <w:t>地址：</w:t>
                  </w:r>
                </w:p>
              </w:tc>
            </w:tr>
            <w:tr w14:paraId="4134526D">
              <w:tblPrEx>
                <w:tblCellMar>
                  <w:top w:w="0" w:type="dxa"/>
                  <w:left w:w="0" w:type="dxa"/>
                  <w:bottom w:w="0" w:type="dxa"/>
                  <w:right w:w="0" w:type="dxa"/>
                </w:tblCellMar>
              </w:tblPrEx>
              <w:trPr>
                <w:tblCellSpacing w:w="0" w:type="dxa"/>
                <w:jc w:val="center"/>
              </w:trPr>
              <w:tc>
                <w:tcPr>
                  <w:tcW w:w="1664" w:type="dxa"/>
                  <w:noWrap w:val="0"/>
                  <w:vAlign w:val="center"/>
                </w:tcPr>
                <w:p w14:paraId="24348663">
                  <w:pPr>
                    <w:spacing w:after="240"/>
                    <w:rPr>
                      <w:rFonts w:hint="eastAsia" w:ascii="宋体" w:hAnsi="宋体" w:cs="宋体"/>
                      <w:color w:val="auto"/>
                      <w:highlight w:val="none"/>
                    </w:rPr>
                  </w:pPr>
                </w:p>
              </w:tc>
              <w:tc>
                <w:tcPr>
                  <w:tcW w:w="8126" w:type="dxa"/>
                  <w:noWrap w:val="0"/>
                  <w:vAlign w:val="center"/>
                </w:tcPr>
                <w:p w14:paraId="073A176D">
                  <w:pPr>
                    <w:spacing w:after="240"/>
                    <w:rPr>
                      <w:rFonts w:hint="eastAsia" w:ascii="宋体" w:hAnsi="宋体" w:cs="宋体"/>
                      <w:color w:val="auto"/>
                      <w:sz w:val="24"/>
                      <w:highlight w:val="none"/>
                    </w:rPr>
                  </w:pPr>
                  <w:r>
                    <w:rPr>
                      <w:rFonts w:hint="eastAsia" w:ascii="宋体" w:hAnsi="宋体" w:cs="宋体"/>
                      <w:color w:val="auto"/>
                      <w:highlight w:val="none"/>
                    </w:rPr>
                    <w:t>邮编：</w:t>
                  </w:r>
                </w:p>
              </w:tc>
            </w:tr>
            <w:tr w14:paraId="7739B462">
              <w:tblPrEx>
                <w:tblCellMar>
                  <w:top w:w="0" w:type="dxa"/>
                  <w:left w:w="0" w:type="dxa"/>
                  <w:bottom w:w="0" w:type="dxa"/>
                  <w:right w:w="0" w:type="dxa"/>
                </w:tblCellMar>
              </w:tblPrEx>
              <w:trPr>
                <w:tblCellSpacing w:w="0" w:type="dxa"/>
                <w:jc w:val="center"/>
              </w:trPr>
              <w:tc>
                <w:tcPr>
                  <w:tcW w:w="1664" w:type="dxa"/>
                  <w:noWrap w:val="0"/>
                  <w:vAlign w:val="center"/>
                </w:tcPr>
                <w:p w14:paraId="28C7536F">
                  <w:pPr>
                    <w:spacing w:after="240"/>
                    <w:rPr>
                      <w:rFonts w:hint="eastAsia" w:ascii="宋体" w:hAnsi="宋体" w:cs="宋体"/>
                      <w:color w:val="auto"/>
                      <w:highlight w:val="none"/>
                    </w:rPr>
                  </w:pPr>
                </w:p>
              </w:tc>
              <w:tc>
                <w:tcPr>
                  <w:tcW w:w="8126" w:type="dxa"/>
                  <w:noWrap w:val="0"/>
                  <w:vAlign w:val="center"/>
                </w:tcPr>
                <w:p w14:paraId="48D55CD0">
                  <w:pPr>
                    <w:spacing w:after="240"/>
                    <w:rPr>
                      <w:rFonts w:hint="eastAsia" w:ascii="宋体" w:hAnsi="宋体" w:cs="宋体"/>
                      <w:color w:val="auto"/>
                      <w:sz w:val="24"/>
                      <w:highlight w:val="none"/>
                    </w:rPr>
                  </w:pPr>
                  <w:r>
                    <w:rPr>
                      <w:rFonts w:hint="eastAsia" w:ascii="宋体" w:hAnsi="宋体" w:cs="宋体"/>
                      <w:color w:val="auto"/>
                      <w:highlight w:val="none"/>
                    </w:rPr>
                    <w:t>法定代表人或委托代理人：</w:t>
                  </w:r>
                </w:p>
              </w:tc>
            </w:tr>
            <w:tr w14:paraId="5E03D336">
              <w:tblPrEx>
                <w:tblCellMar>
                  <w:top w:w="0" w:type="dxa"/>
                  <w:left w:w="0" w:type="dxa"/>
                  <w:bottom w:w="0" w:type="dxa"/>
                  <w:right w:w="0" w:type="dxa"/>
                </w:tblCellMar>
              </w:tblPrEx>
              <w:trPr>
                <w:tblCellSpacing w:w="0" w:type="dxa"/>
                <w:jc w:val="center"/>
              </w:trPr>
              <w:tc>
                <w:tcPr>
                  <w:tcW w:w="1664" w:type="dxa"/>
                  <w:noWrap w:val="0"/>
                  <w:vAlign w:val="center"/>
                </w:tcPr>
                <w:p w14:paraId="3741916C">
                  <w:pPr>
                    <w:spacing w:after="240"/>
                    <w:rPr>
                      <w:rFonts w:hint="eastAsia" w:ascii="宋体" w:hAnsi="宋体" w:cs="宋体"/>
                      <w:color w:val="auto"/>
                      <w:highlight w:val="none"/>
                    </w:rPr>
                  </w:pPr>
                </w:p>
              </w:tc>
              <w:tc>
                <w:tcPr>
                  <w:tcW w:w="8126" w:type="dxa"/>
                  <w:noWrap w:val="0"/>
                  <w:vAlign w:val="center"/>
                </w:tcPr>
                <w:p w14:paraId="7CCCD63E">
                  <w:pPr>
                    <w:spacing w:after="240"/>
                    <w:rPr>
                      <w:rFonts w:hint="eastAsia" w:ascii="宋体" w:hAnsi="宋体" w:cs="宋体"/>
                      <w:color w:val="auto"/>
                      <w:sz w:val="24"/>
                      <w:highlight w:val="none"/>
                    </w:rPr>
                  </w:pPr>
                  <w:r>
                    <w:rPr>
                      <w:rFonts w:hint="eastAsia" w:ascii="宋体" w:hAnsi="宋体" w:cs="宋体"/>
                      <w:color w:val="auto"/>
                      <w:highlight w:val="none"/>
                    </w:rPr>
                    <w:t>经办人：</w:t>
                  </w:r>
                </w:p>
              </w:tc>
            </w:tr>
            <w:tr w14:paraId="52F3E1F2">
              <w:tblPrEx>
                <w:tblCellMar>
                  <w:top w:w="0" w:type="dxa"/>
                  <w:left w:w="0" w:type="dxa"/>
                  <w:bottom w:w="0" w:type="dxa"/>
                  <w:right w:w="0" w:type="dxa"/>
                </w:tblCellMar>
              </w:tblPrEx>
              <w:trPr>
                <w:tblCellSpacing w:w="0" w:type="dxa"/>
                <w:jc w:val="center"/>
              </w:trPr>
              <w:tc>
                <w:tcPr>
                  <w:tcW w:w="1664" w:type="dxa"/>
                  <w:noWrap w:val="0"/>
                  <w:vAlign w:val="center"/>
                </w:tcPr>
                <w:p w14:paraId="3491BE4E">
                  <w:pPr>
                    <w:spacing w:after="240"/>
                    <w:rPr>
                      <w:rFonts w:hint="eastAsia" w:ascii="宋体" w:hAnsi="宋体" w:cs="宋体"/>
                      <w:color w:val="auto"/>
                      <w:highlight w:val="none"/>
                    </w:rPr>
                  </w:pPr>
                </w:p>
              </w:tc>
              <w:tc>
                <w:tcPr>
                  <w:tcW w:w="8126" w:type="dxa"/>
                  <w:noWrap w:val="0"/>
                  <w:vAlign w:val="center"/>
                </w:tcPr>
                <w:p w14:paraId="61E0C515">
                  <w:pPr>
                    <w:spacing w:after="240"/>
                    <w:rPr>
                      <w:rFonts w:hint="eastAsia" w:ascii="宋体" w:hAnsi="宋体" w:cs="宋体"/>
                      <w:color w:val="auto"/>
                      <w:sz w:val="24"/>
                      <w:highlight w:val="none"/>
                    </w:rPr>
                  </w:pPr>
                  <w:r>
                    <w:rPr>
                      <w:rFonts w:hint="eastAsia" w:ascii="宋体" w:hAnsi="宋体" w:cs="宋体"/>
                      <w:color w:val="auto"/>
                      <w:highlight w:val="none"/>
                    </w:rPr>
                    <w:t>电话：</w:t>
                  </w:r>
                </w:p>
              </w:tc>
            </w:tr>
            <w:tr w14:paraId="476925D1">
              <w:tblPrEx>
                <w:tblCellMar>
                  <w:top w:w="0" w:type="dxa"/>
                  <w:left w:w="0" w:type="dxa"/>
                  <w:bottom w:w="0" w:type="dxa"/>
                  <w:right w:w="0" w:type="dxa"/>
                </w:tblCellMar>
              </w:tblPrEx>
              <w:trPr>
                <w:tblCellSpacing w:w="0" w:type="dxa"/>
                <w:jc w:val="center"/>
              </w:trPr>
              <w:tc>
                <w:tcPr>
                  <w:tcW w:w="1664" w:type="dxa"/>
                  <w:noWrap w:val="0"/>
                  <w:vAlign w:val="center"/>
                </w:tcPr>
                <w:p w14:paraId="344AEBBF">
                  <w:pPr>
                    <w:spacing w:after="240"/>
                    <w:rPr>
                      <w:rFonts w:hint="eastAsia" w:ascii="宋体" w:hAnsi="宋体" w:cs="宋体"/>
                      <w:color w:val="auto"/>
                      <w:highlight w:val="none"/>
                    </w:rPr>
                  </w:pPr>
                </w:p>
              </w:tc>
              <w:tc>
                <w:tcPr>
                  <w:tcW w:w="8126" w:type="dxa"/>
                  <w:noWrap w:val="0"/>
                  <w:vAlign w:val="center"/>
                </w:tcPr>
                <w:p w14:paraId="6C7BF024">
                  <w:pPr>
                    <w:spacing w:after="240"/>
                    <w:rPr>
                      <w:rFonts w:hint="eastAsia" w:ascii="宋体" w:hAnsi="宋体" w:cs="宋体"/>
                      <w:color w:val="auto"/>
                      <w:sz w:val="24"/>
                      <w:highlight w:val="none"/>
                    </w:rPr>
                  </w:pPr>
                  <w:r>
                    <w:rPr>
                      <w:rFonts w:hint="eastAsia" w:ascii="宋体" w:hAnsi="宋体" w:cs="宋体"/>
                      <w:color w:val="auto"/>
                      <w:highlight w:val="none"/>
                    </w:rPr>
                    <w:t>签订日期：</w:t>
                  </w:r>
                </w:p>
              </w:tc>
            </w:tr>
          </w:tbl>
          <w:p w14:paraId="15B62A53">
            <w:pPr>
              <w:rPr>
                <w:rFonts w:hint="eastAsia" w:ascii="宋体" w:hAnsi="宋体" w:cs="宋体"/>
                <w:vanish/>
                <w:color w:val="auto"/>
                <w:highlight w:val="none"/>
              </w:rPr>
            </w:pPr>
          </w:p>
          <w:p w14:paraId="3177B093">
            <w:pPr>
              <w:rPr>
                <w:rFonts w:hint="eastAsia" w:ascii="宋体" w:hAnsi="宋体" w:cs="宋体"/>
                <w:color w:val="auto"/>
                <w:highlight w:val="none"/>
              </w:rPr>
            </w:pPr>
          </w:p>
        </w:tc>
      </w:tr>
    </w:tbl>
    <w:p w14:paraId="52FD8326">
      <w:pPr>
        <w:rPr>
          <w:color w:val="auto"/>
          <w:highlight w:val="none"/>
        </w:rPr>
      </w:pPr>
      <w:r>
        <w:rPr>
          <w:rFonts w:hint="eastAsia" w:ascii="宋体"/>
          <w:b/>
          <w:color w:val="auto"/>
          <w:sz w:val="32"/>
          <w:szCs w:val="32"/>
          <w:highlight w:val="none"/>
        </w:rPr>
        <w:br w:type="page"/>
      </w:r>
    </w:p>
    <w:bookmarkEnd w:id="961"/>
    <w:p w14:paraId="3295519D">
      <w:pPr>
        <w:widowControl/>
        <w:wordWrap w:val="0"/>
        <w:spacing w:line="360" w:lineRule="auto"/>
        <w:jc w:val="center"/>
        <w:rPr>
          <w:rFonts w:hint="default" w:ascii="宋体" w:hAnsi="宋体" w:eastAsia="宋体" w:cs="宋体"/>
          <w:b w:val="0"/>
          <w:bCs/>
          <w:color w:val="auto"/>
          <w:sz w:val="21"/>
          <w:szCs w:val="21"/>
          <w:highlight w:val="none"/>
          <w:shd w:val="clear" w:color="auto" w:fill="FFFFFF"/>
          <w:lang w:val="en-US" w:eastAsia="zh-CN" w:bidi="ar"/>
        </w:rPr>
      </w:pPr>
      <w:bookmarkStart w:id="962" w:name="_Toc8356"/>
      <w:bookmarkStart w:id="963" w:name="_Toc9003"/>
      <w:bookmarkStart w:id="964" w:name="_Toc20906"/>
      <w:bookmarkStart w:id="965" w:name="_Toc15116"/>
      <w:bookmarkStart w:id="966" w:name="_Toc15908"/>
      <w:bookmarkStart w:id="967" w:name="_Toc22400"/>
      <w:bookmarkStart w:id="968" w:name="_Toc31572"/>
      <w:r>
        <w:rPr>
          <w:rFonts w:hint="eastAsia" w:ascii="宋体" w:hAnsi="宋体" w:cs="宋体"/>
          <w:b w:val="0"/>
          <w:bCs/>
          <w:color w:val="auto"/>
          <w:sz w:val="21"/>
          <w:szCs w:val="21"/>
          <w:highlight w:val="none"/>
          <w:shd w:val="clear" w:color="auto" w:fill="FFFFFF"/>
          <w:lang w:val="en-US" w:eastAsia="zh-CN" w:bidi="ar"/>
        </w:rPr>
        <w:t>（以下合同为模板，实际以双方签订为准）</w:t>
      </w:r>
    </w:p>
    <w:p w14:paraId="1E7AC059">
      <w:pPr>
        <w:widowControl/>
        <w:wordWrap w:val="0"/>
        <w:spacing w:line="360" w:lineRule="auto"/>
        <w:jc w:val="both"/>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shd w:val="clear" w:color="auto" w:fill="FFFFFF"/>
          <w:lang w:bidi="ar"/>
        </w:rPr>
        <w:t>甲方：云南开放大学（云南国防工业职业技术学院）</w:t>
      </w:r>
    </w:p>
    <w:p w14:paraId="4CB9064B">
      <w:pPr>
        <w:spacing w:line="360" w:lineRule="auto"/>
        <w:rPr>
          <w:rFonts w:hint="eastAsia" w:ascii="宋体" w:hAnsi="宋体" w:eastAsia="宋体" w:cs="宋体"/>
          <w:b/>
          <w:bCs/>
          <w:i w:val="0"/>
          <w:iCs w:val="0"/>
          <w:caps w:val="0"/>
          <w:color w:val="auto"/>
          <w:spacing w:val="0"/>
          <w:sz w:val="24"/>
          <w:szCs w:val="24"/>
          <w:highlight w:val="none"/>
          <w:shd w:val="clear" w:color="auto" w:fill="FFFFFF"/>
          <w:lang w:bidi="ar"/>
        </w:rPr>
      </w:pPr>
      <w:r>
        <w:rPr>
          <w:rFonts w:hint="eastAsia" w:ascii="宋体" w:hAnsi="宋体" w:eastAsia="宋体" w:cs="宋体"/>
          <w:b/>
          <w:color w:val="auto"/>
          <w:sz w:val="24"/>
          <w:szCs w:val="24"/>
          <w:highlight w:val="none"/>
          <w:shd w:val="clear" w:color="auto" w:fill="FFFFFF"/>
          <w:lang w:bidi="ar"/>
        </w:rPr>
        <w:t>乙方：</w:t>
      </w:r>
    </w:p>
    <w:p w14:paraId="693294C8">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b w:val="0"/>
          <w:bCs w:val="0"/>
          <w:color w:val="auto"/>
          <w:sz w:val="24"/>
          <w:szCs w:val="24"/>
          <w:highlight w:val="none"/>
          <w:u w:val="none"/>
        </w:rPr>
      </w:pPr>
      <w:r>
        <w:rPr>
          <w:rFonts w:hint="eastAsia" w:ascii="宋体" w:hAnsi="宋体" w:eastAsia="宋体" w:cs="宋体"/>
          <w:color w:val="auto"/>
          <w:kern w:val="0"/>
          <w:sz w:val="24"/>
          <w:szCs w:val="24"/>
          <w:highlight w:val="none"/>
          <w:lang w:val="en-US" w:eastAsia="zh-CN"/>
        </w:rPr>
        <w:t>甲乙双方根据“</w:t>
      </w:r>
      <w:r>
        <w:rPr>
          <w:rFonts w:hint="eastAsia" w:ascii="宋体" w:hAnsi="宋体" w:cs="宋体"/>
          <w:color w:val="auto"/>
          <w:kern w:val="0"/>
          <w:sz w:val="24"/>
          <w:szCs w:val="24"/>
          <w:highlight w:val="none"/>
          <w:lang w:val="en-US" w:eastAsia="zh-CN"/>
        </w:rPr>
        <w:t>云南开放大学呈贡校区学生公寓B苑室内维修项目</w:t>
      </w:r>
      <w:r>
        <w:rPr>
          <w:rFonts w:hint="eastAsia" w:ascii="宋体" w:hAnsi="宋体" w:eastAsia="宋体" w:cs="宋体"/>
          <w:color w:val="auto"/>
          <w:kern w:val="0"/>
          <w:sz w:val="24"/>
          <w:szCs w:val="24"/>
          <w:highlight w:val="none"/>
          <w:lang w:val="en-US" w:eastAsia="zh-CN"/>
        </w:rPr>
        <w:t>”采购结果，经双方协商达成一致，</w:t>
      </w:r>
      <w:r>
        <w:rPr>
          <w:rFonts w:hint="eastAsia" w:ascii="宋体" w:hAnsi="宋体" w:eastAsia="宋体" w:cs="宋体"/>
          <w:b w:val="0"/>
          <w:bCs w:val="0"/>
          <w:color w:val="auto"/>
          <w:sz w:val="24"/>
          <w:szCs w:val="24"/>
          <w:highlight w:val="none"/>
          <w:u w:val="none"/>
        </w:rPr>
        <w:t>签订以下内容：</w:t>
      </w:r>
    </w:p>
    <w:p w14:paraId="42294C4F">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一、工程概况</w:t>
      </w:r>
    </w:p>
    <w:p w14:paraId="1BC14693">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一）</w:t>
      </w:r>
      <w:r>
        <w:rPr>
          <w:rFonts w:hint="eastAsia" w:ascii="宋体" w:hAnsi="宋体" w:eastAsia="宋体" w:cs="宋体"/>
          <w:b w:val="0"/>
          <w:bCs w:val="0"/>
          <w:color w:val="auto"/>
          <w:kern w:val="0"/>
          <w:sz w:val="24"/>
          <w:szCs w:val="24"/>
          <w:highlight w:val="none"/>
        </w:rPr>
        <w:t>工程名称</w:t>
      </w:r>
      <w:r>
        <w:rPr>
          <w:rFonts w:hint="eastAsia" w:ascii="宋体" w:hAnsi="宋体" w:eastAsia="宋体" w:cs="宋体"/>
          <w:b w:val="0"/>
          <w:bCs w:val="0"/>
          <w:color w:val="auto"/>
          <w:kern w:val="0"/>
          <w:sz w:val="24"/>
          <w:szCs w:val="24"/>
          <w:highlight w:val="none"/>
          <w:lang w:eastAsia="zh-CN"/>
        </w:rPr>
        <w:t>：</w:t>
      </w:r>
      <w:r>
        <w:rPr>
          <w:rFonts w:hint="eastAsia" w:ascii="宋体" w:hAnsi="宋体" w:cs="宋体"/>
          <w:b w:val="0"/>
          <w:bCs w:val="0"/>
          <w:color w:val="auto"/>
          <w:kern w:val="0"/>
          <w:sz w:val="24"/>
          <w:szCs w:val="24"/>
          <w:highlight w:val="none"/>
          <w:lang w:eastAsia="zh-CN"/>
        </w:rPr>
        <w:t>云南开放大学呈贡校区学生公寓B苑室内维修项目</w:t>
      </w:r>
      <w:r>
        <w:rPr>
          <w:rFonts w:hint="eastAsia" w:ascii="宋体" w:hAnsi="宋体" w:eastAsia="宋体" w:cs="宋体"/>
          <w:b w:val="0"/>
          <w:bCs w:val="0"/>
          <w:color w:val="auto"/>
          <w:kern w:val="0"/>
          <w:sz w:val="24"/>
          <w:szCs w:val="24"/>
          <w:highlight w:val="none"/>
          <w:lang w:eastAsia="zh-CN"/>
        </w:rPr>
        <w:t>。</w:t>
      </w:r>
    </w:p>
    <w:p w14:paraId="19172E16">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lang w:val="en-US" w:eastAsia="zh-CN"/>
        </w:rPr>
        <w:t>（二）</w:t>
      </w:r>
      <w:r>
        <w:rPr>
          <w:rFonts w:hint="eastAsia" w:ascii="宋体" w:hAnsi="宋体" w:eastAsia="宋体" w:cs="宋体"/>
          <w:b w:val="0"/>
          <w:bCs w:val="0"/>
          <w:color w:val="auto"/>
          <w:kern w:val="0"/>
          <w:sz w:val="24"/>
          <w:szCs w:val="24"/>
          <w:highlight w:val="none"/>
        </w:rPr>
        <w:t>工程地址：云南开放大学呈贡校区</w:t>
      </w:r>
      <w:r>
        <w:rPr>
          <w:rFonts w:hint="eastAsia" w:ascii="宋体" w:hAnsi="宋体" w:eastAsia="宋体" w:cs="宋体"/>
          <w:b w:val="0"/>
          <w:bCs w:val="0"/>
          <w:color w:val="auto"/>
          <w:kern w:val="0"/>
          <w:sz w:val="24"/>
          <w:szCs w:val="24"/>
          <w:highlight w:val="none"/>
          <w:lang w:val="en-US" w:eastAsia="zh-CN"/>
        </w:rPr>
        <w:t>。</w:t>
      </w:r>
    </w:p>
    <w:p w14:paraId="76304266">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（三）工程概况：呈贡校区学生宿舍于2010年随校区建成陆续投入使用，长期作为全日制学生宿舍承担住宿功能，服务校区学生住宿需求已15余年。</w:t>
      </w:r>
    </w:p>
    <w:p w14:paraId="71830A03">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本次改造范围与主要内容围绕呈贡校区学生公寓B苑“公共区域+内部空间”展开，具体包括：</w:t>
      </w:r>
    </w:p>
    <w:p w14:paraId="66BC44C6">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室内公共区域：对走廊、楼梯间等公共区域的墙面、顶面破损位置修复后重新粉刷翻新，提升公共空间整洁度与安全性；</w:t>
      </w:r>
    </w:p>
    <w:p w14:paraId="3B8293BD">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宿舍内部空间：针对每间宿舍的墙面、门进行修缮，解决因长期使用导致的墙面剥落、开裂，门生锈、变形等问题；对部分宿舍存在渗漏的卫生间及阳台进行防水修缮，改善居住环境。</w:t>
      </w:r>
    </w:p>
    <w:p w14:paraId="19200C28">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（四）现场施工条件：</w:t>
      </w:r>
      <w:r>
        <w:rPr>
          <w:rFonts w:hint="eastAsia" w:ascii="宋体" w:hAnsi="宋体" w:eastAsia="宋体" w:cs="宋体"/>
          <w:b w:val="0"/>
          <w:bCs w:val="0"/>
          <w:color w:val="auto"/>
          <w:kern w:val="0"/>
          <w:sz w:val="24"/>
          <w:szCs w:val="24"/>
          <w:highlight w:val="none"/>
        </w:rPr>
        <w:t>现场施工</w:t>
      </w:r>
      <w:r>
        <w:rPr>
          <w:rFonts w:hint="eastAsia" w:ascii="宋体" w:hAnsi="宋体" w:eastAsia="宋体" w:cs="宋体"/>
          <w:b w:val="0"/>
          <w:bCs w:val="0"/>
          <w:color w:val="auto"/>
          <w:kern w:val="0"/>
          <w:sz w:val="24"/>
          <w:szCs w:val="24"/>
          <w:highlight w:val="none"/>
          <w:lang w:eastAsia="zh-CN"/>
        </w:rPr>
        <w:t>其他条件</w:t>
      </w:r>
      <w:r>
        <w:rPr>
          <w:rFonts w:hint="eastAsia" w:ascii="宋体" w:hAnsi="宋体" w:eastAsia="宋体" w:cs="宋体"/>
          <w:b w:val="0"/>
          <w:bCs w:val="0"/>
          <w:color w:val="auto"/>
          <w:kern w:val="0"/>
          <w:sz w:val="24"/>
          <w:szCs w:val="24"/>
          <w:highlight w:val="none"/>
        </w:rPr>
        <w:t>已全部具备。</w:t>
      </w:r>
    </w:p>
    <w:p w14:paraId="0D7941FE">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二、工程承包范围：云南开放大学呈贡校区。</w:t>
      </w:r>
    </w:p>
    <w:p w14:paraId="11C3607C">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三、工程承包方式：人工、材料、机械等总承包。</w:t>
      </w:r>
    </w:p>
    <w:p w14:paraId="68566703">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主要材料要求：</w:t>
      </w:r>
    </w:p>
    <w:p w14:paraId="7BC024E3">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工程涉及的材料（明确使用的位置、品牌、生产厂家、规格、型号及价格）统一报</w:t>
      </w:r>
      <w:r>
        <w:rPr>
          <w:rFonts w:hint="eastAsia" w:ascii="宋体" w:hAnsi="宋体" w:eastAsia="宋体" w:cs="宋体"/>
          <w:b w:val="0"/>
          <w:bCs w:val="0"/>
          <w:color w:val="auto"/>
          <w:kern w:val="0"/>
          <w:sz w:val="24"/>
          <w:szCs w:val="24"/>
          <w:highlight w:val="none"/>
        </w:rPr>
        <w:t>甲方</w:t>
      </w:r>
      <w:r>
        <w:rPr>
          <w:rFonts w:hint="eastAsia" w:ascii="宋体" w:hAnsi="宋体" w:eastAsia="宋体" w:cs="宋体"/>
          <w:color w:val="auto"/>
          <w:kern w:val="0"/>
          <w:sz w:val="24"/>
          <w:szCs w:val="24"/>
          <w:highlight w:val="none"/>
          <w:lang w:val="en-US" w:eastAsia="zh-CN"/>
        </w:rPr>
        <w:t>后勤服务中心</w:t>
      </w:r>
      <w:r>
        <w:rPr>
          <w:rFonts w:hint="eastAsia" w:ascii="宋体" w:hAnsi="宋体" w:eastAsia="宋体" w:cs="宋体"/>
          <w:color w:val="auto"/>
          <w:kern w:val="0"/>
          <w:sz w:val="24"/>
          <w:szCs w:val="24"/>
          <w:highlight w:val="none"/>
        </w:rPr>
        <w:t>进行审核</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审核确认后方可进场。</w:t>
      </w:r>
    </w:p>
    <w:p w14:paraId="4FDCA14C">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b w:val="0"/>
          <w:bCs w:val="0"/>
          <w:color w:val="auto"/>
          <w:kern w:val="0"/>
          <w:sz w:val="24"/>
          <w:szCs w:val="24"/>
          <w:highlight w:val="none"/>
        </w:rPr>
        <w:t>审批依据</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固定综合单价；</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执行</w:t>
      </w:r>
      <w:r>
        <w:rPr>
          <w:rFonts w:hint="eastAsia" w:ascii="宋体" w:hAnsi="宋体" w:eastAsia="宋体" w:cs="宋体"/>
          <w:color w:val="auto"/>
          <w:kern w:val="0"/>
          <w:sz w:val="24"/>
          <w:szCs w:val="24"/>
          <w:highlight w:val="none"/>
          <w:lang w:val="en-US" w:eastAsia="zh-CN"/>
        </w:rPr>
        <w:t>同</w:t>
      </w:r>
      <w:r>
        <w:rPr>
          <w:rFonts w:hint="eastAsia" w:ascii="宋体" w:hAnsi="宋体" w:eastAsia="宋体" w:cs="宋体"/>
          <w:color w:val="auto"/>
          <w:kern w:val="0"/>
          <w:sz w:val="24"/>
          <w:szCs w:val="24"/>
          <w:highlight w:val="none"/>
        </w:rPr>
        <w:t>期</w:t>
      </w:r>
      <w:r>
        <w:rPr>
          <w:rFonts w:hint="eastAsia" w:ascii="宋体" w:hAnsi="宋体" w:eastAsia="宋体" w:cs="宋体"/>
          <w:i w:val="0"/>
          <w:iCs w:val="0"/>
          <w:caps w:val="0"/>
          <w:color w:val="auto"/>
          <w:spacing w:val="0"/>
          <w:kern w:val="0"/>
          <w:sz w:val="24"/>
          <w:szCs w:val="24"/>
          <w:highlight w:val="none"/>
          <w:shd w:val="clear" w:color="auto" w:fill="auto"/>
        </w:rPr>
        <w:t>《昆明市建筑材料市场价格指导》</w:t>
      </w:r>
      <w:r>
        <w:rPr>
          <w:rFonts w:hint="eastAsia" w:ascii="宋体" w:hAnsi="宋体" w:eastAsia="宋体" w:cs="宋体"/>
          <w:color w:val="auto"/>
          <w:kern w:val="0"/>
          <w:sz w:val="24"/>
          <w:szCs w:val="24"/>
          <w:highlight w:val="none"/>
        </w:rPr>
        <w:t>。</w:t>
      </w:r>
    </w:p>
    <w:p w14:paraId="31A1333C">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shd w:val="clear" w:color="auto" w:fill="FFFFFF"/>
          <w:lang w:val="en-US" w:eastAsia="zh-CN"/>
        </w:rPr>
        <w:t>2.</w:t>
      </w:r>
      <w:r>
        <w:rPr>
          <w:rFonts w:hint="eastAsia" w:ascii="宋体" w:hAnsi="宋体" w:eastAsia="宋体" w:cs="宋体"/>
          <w:color w:val="auto"/>
          <w:kern w:val="0"/>
          <w:sz w:val="24"/>
          <w:szCs w:val="24"/>
          <w:highlight w:val="none"/>
        </w:rPr>
        <w:t>更换材料前后对比照片需提交</w:t>
      </w:r>
      <w:r>
        <w:rPr>
          <w:rFonts w:hint="eastAsia" w:ascii="宋体" w:hAnsi="宋体" w:eastAsia="宋体" w:cs="宋体"/>
          <w:b w:val="0"/>
          <w:bCs w:val="0"/>
          <w:color w:val="auto"/>
          <w:kern w:val="0"/>
          <w:sz w:val="24"/>
          <w:szCs w:val="24"/>
          <w:highlight w:val="none"/>
        </w:rPr>
        <w:t>甲方</w:t>
      </w:r>
      <w:r>
        <w:rPr>
          <w:rFonts w:hint="eastAsia" w:ascii="宋体" w:hAnsi="宋体" w:eastAsia="宋体" w:cs="宋体"/>
          <w:color w:val="auto"/>
          <w:kern w:val="0"/>
          <w:sz w:val="24"/>
          <w:szCs w:val="24"/>
          <w:highlight w:val="none"/>
        </w:rPr>
        <w:t>存档。</w:t>
      </w:r>
    </w:p>
    <w:p w14:paraId="168BC856">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color w:val="auto"/>
          <w:kern w:val="2"/>
          <w:sz w:val="24"/>
          <w:szCs w:val="24"/>
          <w:highlight w:val="none"/>
          <w:shd w:val="clear" w:color="auto" w:fill="FFFFFF"/>
          <w:lang w:val="en-US" w:eastAsia="zh-CN" w:bidi="ar-SA"/>
        </w:rPr>
        <w:t>3.</w:t>
      </w:r>
      <w:r>
        <w:rPr>
          <w:rFonts w:hint="eastAsia" w:ascii="宋体" w:hAnsi="宋体" w:eastAsia="宋体" w:cs="宋体"/>
          <w:b w:val="0"/>
          <w:bCs w:val="0"/>
          <w:color w:val="auto"/>
          <w:kern w:val="0"/>
          <w:sz w:val="24"/>
          <w:szCs w:val="24"/>
          <w:highlight w:val="none"/>
        </w:rPr>
        <w:t>材料进场后应及时通知甲方，现场核查所用材料是否与报批材料相符。</w:t>
      </w:r>
    </w:p>
    <w:p w14:paraId="755DE639">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b/>
          <w:bCs w:val="0"/>
          <w:color w:val="auto"/>
          <w:kern w:val="2"/>
          <w:sz w:val="24"/>
          <w:szCs w:val="24"/>
          <w:highlight w:val="none"/>
          <w:shd w:val="clear" w:color="auto" w:fill="FFFFFF"/>
          <w:lang w:val="en-US" w:eastAsia="zh-CN" w:bidi="ar-SA"/>
        </w:rPr>
        <w:t>四、合同工期</w:t>
      </w:r>
      <w:r>
        <w:rPr>
          <w:rFonts w:hint="eastAsia" w:ascii="宋体" w:hAnsi="宋体" w:eastAsia="宋体" w:cs="宋体"/>
          <w:b w:val="0"/>
          <w:bCs/>
          <w:color w:val="auto"/>
          <w:kern w:val="2"/>
          <w:sz w:val="24"/>
          <w:szCs w:val="24"/>
          <w:highlight w:val="none"/>
          <w:shd w:val="clear" w:color="auto" w:fill="FFFFFF"/>
          <w:lang w:val="en-US" w:eastAsia="zh-CN" w:bidi="ar-SA"/>
        </w:rPr>
        <w:t>：</w:t>
      </w:r>
      <w:r>
        <w:rPr>
          <w:rFonts w:hint="eastAsia" w:ascii="宋体" w:hAnsi="宋体" w:cs="宋体"/>
          <w:color w:val="auto"/>
          <w:kern w:val="0"/>
          <w:sz w:val="24"/>
          <w:szCs w:val="24"/>
          <w:highlight w:val="none"/>
          <w:lang w:val="en-US" w:eastAsia="zh-CN"/>
        </w:rPr>
        <w:t>本项目分两个阶段进行施工，工期共计60个日历天，其中第一阶段施工为2026年暑假期间，施工工期为30个日历天，第二阶段施工为2027年暑假期间，施工工期为30个日历天。工期计算以甲方下达开工指令为准。</w:t>
      </w:r>
    </w:p>
    <w:p w14:paraId="6090CE4A">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五、工程质量标准</w:t>
      </w:r>
    </w:p>
    <w:p w14:paraId="73BDA51E">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工程质量标准：</w:t>
      </w:r>
      <w:r>
        <w:rPr>
          <w:rFonts w:hint="eastAsia" w:ascii="宋体" w:hAnsi="宋体" w:cs="宋体"/>
          <w:color w:val="auto"/>
          <w:kern w:val="0"/>
          <w:sz w:val="24"/>
          <w:szCs w:val="24"/>
          <w:highlight w:val="none"/>
          <w:lang w:eastAsia="zh-CN"/>
        </w:rPr>
        <w:t>《建筑装饰装修工程质量验收标准》、《住宅装饰装修工程施工规范》、《民用建筑工程室内环境污染控制标准》、《建筑内部装修设计防火规范》、《建筑节能工程施工质量验收规范》</w:t>
      </w:r>
    </w:p>
    <w:p w14:paraId="3D68B3D3">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六、验收方式</w:t>
      </w:r>
    </w:p>
    <w:p w14:paraId="088AEB96">
      <w:pPr>
        <w:keepNext w:val="0"/>
        <w:keepLines w:val="0"/>
        <w:pageBreakBefore w:val="0"/>
        <w:kinsoku/>
        <w:wordWrap/>
        <w:overflowPunct/>
        <w:topLinePunct w:val="0"/>
        <w:bidi w:val="0"/>
        <w:spacing w:line="44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1.项目验收（初验）：乙方向甲方提出项目初验申请，甲方组织甲乙双方人员进行初验。初验合格后，签署《云南开放大学采购项目验收报告表》。</w:t>
      </w:r>
    </w:p>
    <w:p w14:paraId="40801D68">
      <w:pPr>
        <w:keepNext w:val="0"/>
        <w:keepLines w:val="0"/>
        <w:pageBreakBefore w:val="0"/>
        <w:kinsoku/>
        <w:wordWrap/>
        <w:overflowPunct/>
        <w:topLinePunct w:val="0"/>
        <w:bidi w:val="0"/>
        <w:spacing w:line="44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2.项目验收（终验）：初验通过后，乙方向甲方管理部门提交《云南开放大学采购项目终验申请表》。甲方组织相关人员进行终验，终验通过后签署《云南开放大学采购项目终验报告表》。</w:t>
      </w:r>
    </w:p>
    <w:p w14:paraId="0738D7C7">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七、价款结算</w:t>
      </w:r>
    </w:p>
    <w:p w14:paraId="7B5714FA">
      <w:pPr>
        <w:spacing w:line="360" w:lineRule="auto"/>
        <w:ind w:firstLine="482" w:firstLineChars="200"/>
        <w:jc w:val="both"/>
        <w:rPr>
          <w:rFonts w:hint="eastAsia" w:ascii="宋体" w:hAnsi="宋体" w:cs="宋体"/>
          <w:b/>
          <w:bCs/>
          <w:color w:val="auto"/>
          <w:sz w:val="24"/>
          <w:highlight w:val="none"/>
          <w:lang w:val="en-US" w:eastAsia="zh-CN"/>
        </w:rPr>
      </w:pPr>
      <w:r>
        <w:rPr>
          <w:rFonts w:hint="eastAsia" w:ascii="宋体" w:hAnsi="宋体" w:eastAsia="宋体" w:cs="宋体"/>
          <w:b/>
          <w:bCs w:val="0"/>
          <w:color w:val="auto"/>
          <w:spacing w:val="0"/>
          <w:kern w:val="0"/>
          <w:sz w:val="24"/>
          <w:szCs w:val="24"/>
          <w:highlight w:val="none"/>
        </w:rPr>
        <w:t>合同</w:t>
      </w:r>
      <w:r>
        <w:rPr>
          <w:rFonts w:hint="default" w:ascii="宋体" w:hAnsi="宋体" w:cs="宋体"/>
          <w:b/>
          <w:bCs w:val="0"/>
          <w:color w:val="auto"/>
          <w:spacing w:val="0"/>
          <w:kern w:val="0"/>
          <w:sz w:val="24"/>
          <w:szCs w:val="24"/>
          <w:highlight w:val="none"/>
        </w:rPr>
        <w:t>总价</w:t>
      </w:r>
      <w:r>
        <w:rPr>
          <w:rFonts w:hint="eastAsia" w:ascii="宋体" w:hAnsi="宋体" w:eastAsia="宋体" w:cs="宋体"/>
          <w:b/>
          <w:bCs w:val="0"/>
          <w:color w:val="auto"/>
          <w:spacing w:val="0"/>
          <w:kern w:val="0"/>
          <w:sz w:val="24"/>
          <w:szCs w:val="24"/>
          <w:highlight w:val="none"/>
          <w:lang w:eastAsia="zh-CN"/>
        </w:rPr>
        <w:t>：</w:t>
      </w:r>
      <w:r>
        <w:rPr>
          <w:rFonts w:hint="eastAsia" w:ascii="宋体" w:hAnsi="宋体" w:eastAsia="宋体" w:cs="宋体"/>
          <w:b/>
          <w:color w:val="auto"/>
          <w:sz w:val="24"/>
          <w:highlight w:val="none"/>
          <w:shd w:val="clear" w:color="auto" w:fill="FFFFFF"/>
          <w:lang w:val="en-US" w:eastAsia="zh-CN"/>
        </w:rPr>
        <w:t>大写</w:t>
      </w:r>
      <w:r>
        <w:rPr>
          <w:rFonts w:hint="eastAsia" w:ascii="宋体" w:hAnsi="宋体" w:cs="宋体"/>
          <w:b/>
          <w:bCs/>
          <w:color w:val="auto"/>
          <w:sz w:val="24"/>
          <w:highlight w:val="none"/>
        </w:rPr>
        <w:t>人民币</w:t>
      </w:r>
      <w:r>
        <w:rPr>
          <w:rFonts w:hint="eastAsia" w:ascii="宋体" w:hAnsi="宋体" w:cs="宋体"/>
          <w:b/>
          <w:bCs/>
          <w:color w:val="auto"/>
          <w:sz w:val="24"/>
          <w:highlight w:val="none"/>
          <w:lang w:val="en-US" w:eastAsia="zh-CN"/>
        </w:rPr>
        <w:t xml:space="preserve">__________________.            </w:t>
      </w:r>
    </w:p>
    <w:p w14:paraId="7D3090D0">
      <w:pPr>
        <w:keepNext w:val="0"/>
        <w:keepLines w:val="0"/>
        <w:pageBreakBefore w:val="0"/>
        <w:kinsoku/>
        <w:wordWrap/>
        <w:overflowPunct/>
        <w:topLinePunct w:val="0"/>
        <w:autoSpaceDE w:val="0"/>
        <w:autoSpaceDN w:val="0"/>
        <w:bidi w:val="0"/>
        <w:adjustRightInd w:val="0"/>
        <w:spacing w:line="440" w:lineRule="exact"/>
        <w:ind w:firstLine="0" w:firstLineChars="0"/>
        <w:jc w:val="both"/>
        <w:textAlignment w:val="auto"/>
        <w:rPr>
          <w:rFonts w:hint="eastAsia" w:ascii="宋体" w:hAnsi="宋体" w:eastAsia="宋体" w:cs="宋体"/>
          <w:b w:val="0"/>
          <w:bCs/>
          <w:color w:val="auto"/>
          <w:spacing w:val="0"/>
          <w:kern w:val="0"/>
          <w:sz w:val="24"/>
          <w:szCs w:val="24"/>
          <w:highlight w:val="none"/>
          <w:u w:val="single"/>
        </w:rPr>
      </w:pPr>
      <w:r>
        <w:rPr>
          <w:rFonts w:hint="default" w:ascii="宋体" w:hAnsi="宋体" w:cs="宋体"/>
          <w:b/>
          <w:bCs/>
          <w:color w:val="auto"/>
          <w:sz w:val="24"/>
          <w:highlight w:val="none"/>
          <w:lang w:eastAsia="zh-CN"/>
        </w:rPr>
        <w:t xml:space="preserve">              </w:t>
      </w:r>
      <w:r>
        <w:rPr>
          <w:rFonts w:hint="eastAsia" w:ascii="宋体" w:hAnsi="宋体" w:cs="宋体"/>
          <w:b/>
          <w:bCs/>
          <w:color w:val="auto"/>
          <w:sz w:val="24"/>
          <w:highlight w:val="none"/>
          <w:lang w:val="en-US" w:eastAsia="zh-CN"/>
        </w:rPr>
        <w:t>小写</w:t>
      </w:r>
      <w:r>
        <w:rPr>
          <w:rFonts w:hint="eastAsia" w:ascii="宋体" w:hAnsi="宋体" w:cs="宋体"/>
          <w:b/>
          <w:bCs/>
          <w:color w:val="auto"/>
          <w:sz w:val="24"/>
          <w:highlight w:val="none"/>
          <w:u w:val="single"/>
        </w:rPr>
        <w:t>¥</w:t>
      </w:r>
      <w:r>
        <w:rPr>
          <w:rFonts w:hint="eastAsia" w:ascii="宋体" w:hAnsi="宋体" w:cs="宋体"/>
          <w:b/>
          <w:bCs/>
          <w:color w:val="auto"/>
          <w:sz w:val="24"/>
          <w:highlight w:val="none"/>
          <w:u w:val="single"/>
          <w:lang w:val="en-US" w:eastAsia="zh-CN"/>
        </w:rPr>
        <w:t xml:space="preserve"> </w:t>
      </w:r>
      <w:r>
        <w:rPr>
          <w:rFonts w:hint="eastAsia" w:ascii="宋体" w:hAnsi="宋体" w:cs="宋体"/>
          <w:b/>
          <w:bCs/>
          <w:color w:val="auto"/>
          <w:sz w:val="24"/>
          <w:highlight w:val="none"/>
          <w:lang w:val="en-US" w:eastAsia="zh-CN"/>
        </w:rPr>
        <w:t>__________________.</w:t>
      </w:r>
    </w:p>
    <w:p w14:paraId="714D16E3">
      <w:pPr>
        <w:autoSpaceDE w:val="0"/>
        <w:autoSpaceDN w:val="0"/>
        <w:adjustRightInd w:val="0"/>
        <w:spacing w:line="360" w:lineRule="auto"/>
        <w:ind w:firstLine="480" w:firstLineChars="200"/>
        <w:jc w:val="left"/>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val="0"/>
          <w:bCs/>
          <w:color w:val="auto"/>
          <w:kern w:val="0"/>
          <w:sz w:val="24"/>
          <w:szCs w:val="24"/>
          <w:highlight w:val="none"/>
          <w:lang w:val="en-US" w:eastAsia="zh-CN"/>
        </w:rPr>
        <w:t>1.</w:t>
      </w:r>
      <w:r>
        <w:rPr>
          <w:rFonts w:hint="eastAsia" w:ascii="宋体" w:hAnsi="宋体" w:eastAsia="宋体" w:cs="宋体"/>
          <w:b w:val="0"/>
          <w:bCs/>
          <w:color w:val="auto"/>
          <w:kern w:val="0"/>
          <w:sz w:val="24"/>
          <w:szCs w:val="24"/>
          <w:highlight w:val="none"/>
        </w:rPr>
        <w:t>此合同为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总价</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合同。</w:t>
      </w:r>
      <w:r>
        <w:rPr>
          <w:rFonts w:hint="eastAsia" w:ascii="宋体" w:hAnsi="宋体" w:eastAsia="宋体" w:cs="宋体"/>
          <w:color w:val="auto"/>
          <w:sz w:val="24"/>
          <w:szCs w:val="24"/>
          <w:highlight w:val="none"/>
          <w:lang w:val="en-US" w:eastAsia="zh-CN"/>
        </w:rPr>
        <w:t>由学校审计处进行工程结算审计，若结算审定价格低于合同金额，则以结算审定价格为工程项目结算金额；若结算审定价格超过合同金额，则以合同金额为工程项目结算金额</w:t>
      </w:r>
      <w:r>
        <w:rPr>
          <w:rFonts w:hint="eastAsia" w:ascii="宋体" w:hAnsi="宋体" w:eastAsia="宋体" w:cs="宋体"/>
          <w:b w:val="0"/>
          <w:bCs/>
          <w:color w:val="auto"/>
          <w:kern w:val="0"/>
          <w:sz w:val="24"/>
          <w:szCs w:val="24"/>
          <w:highlight w:val="none"/>
          <w:lang w:eastAsia="zh-CN"/>
        </w:rPr>
        <w:t>。</w:t>
      </w:r>
    </w:p>
    <w:p w14:paraId="6BA2213A">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2.计价依据：云南省建设工程造价计价标准（2020版），根据《云南省住房和城乡建设厅关于</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云南省建设工程造价计价标准（2020版）</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发布实施的通知》（云建科﹝2021﹞15号）。</w:t>
      </w:r>
    </w:p>
    <w:p w14:paraId="3BB0915A">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工程结算审</w:t>
      </w:r>
      <w:r>
        <w:rPr>
          <w:rFonts w:hint="eastAsia" w:ascii="宋体" w:hAnsi="宋体" w:eastAsia="宋体" w:cs="宋体"/>
          <w:color w:val="auto"/>
          <w:kern w:val="0"/>
          <w:sz w:val="24"/>
          <w:szCs w:val="24"/>
          <w:highlight w:val="none"/>
          <w:lang w:val="en-US" w:eastAsia="zh-CN"/>
        </w:rPr>
        <w:t>定</w:t>
      </w:r>
    </w:p>
    <w:p w14:paraId="12014A90">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甲方施工结算管理部门，由学校审计处负责工程量的核实、整理，并对结算进行审</w:t>
      </w:r>
      <w:r>
        <w:rPr>
          <w:rFonts w:hint="eastAsia" w:ascii="宋体" w:hAnsi="宋体" w:eastAsia="宋体" w:cs="宋体"/>
          <w:color w:val="auto"/>
          <w:kern w:val="0"/>
          <w:sz w:val="24"/>
          <w:szCs w:val="24"/>
          <w:highlight w:val="none"/>
          <w:lang w:val="en-US" w:eastAsia="zh-CN"/>
        </w:rPr>
        <w:t>定</w:t>
      </w:r>
      <w:r>
        <w:rPr>
          <w:rFonts w:hint="eastAsia" w:ascii="宋体" w:hAnsi="宋体" w:eastAsia="宋体" w:cs="宋体"/>
          <w:color w:val="auto"/>
          <w:kern w:val="0"/>
          <w:sz w:val="24"/>
          <w:szCs w:val="24"/>
          <w:highlight w:val="none"/>
        </w:rPr>
        <w:t>。</w:t>
      </w:r>
    </w:p>
    <w:p w14:paraId="60BE178D">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因工程的工程量、质量等问题发生争议，异议方可委托持有合法资质的第三方机构进行鉴定，如异议不成立的，鉴定费用由异议方承担；如异议成立的，鉴定费用由被异议方承担。</w:t>
      </w:r>
    </w:p>
    <w:p w14:paraId="5A5D128F">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 xml:space="preserve">八、合同价款与支付 </w:t>
      </w:r>
    </w:p>
    <w:p w14:paraId="1C24632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b w:val="0"/>
          <w:bCs w:val="0"/>
          <w:color w:val="auto"/>
          <w:kern w:val="0"/>
          <w:sz w:val="24"/>
          <w:szCs w:val="24"/>
          <w:highlight w:val="none"/>
        </w:rPr>
      </w:pPr>
      <w:r>
        <w:rPr>
          <w:rFonts w:hint="default" w:ascii="宋体" w:hAnsi="宋体" w:cs="宋体"/>
          <w:b w:val="0"/>
          <w:bCs w:val="0"/>
          <w:color w:val="auto"/>
          <w:kern w:val="0"/>
          <w:sz w:val="24"/>
          <w:szCs w:val="24"/>
          <w:highlight w:val="none"/>
        </w:rPr>
        <w:t>（一）本项目无预付款，项目分两个阶段实施，每个阶段完成后进行项目阶段性验收，项目验收合格后（即完成全部项目内容，施工质量符合设计及相关规范要求，环保要求符合各项法规标准，功能满足甲方需求，且具备正常使用条件），进行项目阶段性结算，乙方按甲方审计相关要求配合完成项目审计，乙方根据结算报告提供等额发票，甲方向乙方支付相应价款。</w:t>
      </w:r>
    </w:p>
    <w:p w14:paraId="76CBB05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highlight w:val="none"/>
          <w:lang w:eastAsia="zh-CN"/>
        </w:rPr>
      </w:pPr>
      <w:r>
        <w:rPr>
          <w:rFonts w:hint="default" w:ascii="宋体" w:hAnsi="宋体" w:cs="宋体"/>
          <w:b w:val="0"/>
          <w:bCs w:val="0"/>
          <w:color w:val="auto"/>
          <w:kern w:val="0"/>
          <w:sz w:val="24"/>
          <w:szCs w:val="24"/>
          <w:highlight w:val="none"/>
        </w:rPr>
        <w:t>乙方应当在甲方付款前开具发票，并对所开具发票的真实性、合法性负责。乙方迟延开具发票或开具发票不符合法律法规的规定及本合同的约定，甲方有权相应迟延付款且无需承担违约责任。</w:t>
      </w:r>
    </w:p>
    <w:p w14:paraId="73ACF703">
      <w:pPr>
        <w:pStyle w:val="36"/>
        <w:ind w:firstLine="480"/>
        <w:jc w:val="both"/>
        <w:rPr>
          <w:rFonts w:hint="eastAsia" w:ascii="宋体" w:hAnsi="宋体" w:eastAsia="宋体" w:cs="宋体"/>
          <w:color w:val="auto"/>
          <w:sz w:val="24"/>
          <w:highlight w:val="none"/>
          <w:lang w:eastAsia="zh-CN"/>
        </w:rPr>
      </w:pPr>
      <w:r>
        <w:rPr>
          <w:rFonts w:hint="eastAsia" w:ascii="宋体" w:hAnsi="宋体" w:eastAsia="宋体"/>
          <w:color w:val="auto"/>
          <w:sz w:val="24"/>
          <w:szCs w:val="24"/>
          <w:highlight w:val="none"/>
        </w:rPr>
        <w:t>（</w:t>
      </w:r>
      <w:r>
        <w:rPr>
          <w:rFonts w:hint="eastAsia" w:ascii="宋体" w:hAnsi="宋体"/>
          <w:color w:val="auto"/>
          <w:sz w:val="24"/>
          <w:szCs w:val="24"/>
          <w:highlight w:val="none"/>
          <w:lang w:val="en-US" w:eastAsia="zh-CN"/>
        </w:rPr>
        <w:t>二</w:t>
      </w:r>
      <w:r>
        <w:rPr>
          <w:rFonts w:hint="eastAsia" w:ascii="宋体" w:hAnsi="宋体" w:eastAsia="宋体"/>
          <w:color w:val="auto"/>
          <w:sz w:val="24"/>
          <w:szCs w:val="24"/>
          <w:highlight w:val="none"/>
        </w:rPr>
        <w:t>）</w:t>
      </w:r>
      <w:r>
        <w:rPr>
          <w:rFonts w:hint="eastAsia" w:ascii="宋体" w:hAnsi="宋体" w:cs="宋体"/>
          <w:color w:val="auto"/>
          <w:sz w:val="24"/>
          <w:highlight w:val="none"/>
        </w:rPr>
        <w:t>甲方开票信息</w:t>
      </w:r>
    </w:p>
    <w:p w14:paraId="6026FCE1">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开户名：云南开放大学</w:t>
      </w:r>
    </w:p>
    <w:p w14:paraId="41B730D0">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纳税人识别号：12530000431203416M</w:t>
      </w:r>
    </w:p>
    <w:p w14:paraId="37FFD52A">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开户银行：中国银行昆明市聚贤街支行</w:t>
      </w:r>
    </w:p>
    <w:p w14:paraId="611ECFFE">
      <w:pPr>
        <w:spacing w:line="440" w:lineRule="exact"/>
        <w:ind w:firstLine="480" w:firstLineChars="200"/>
        <w:rPr>
          <w:rFonts w:hint="eastAsia" w:ascii="宋体" w:hAnsi="宋体" w:eastAsia="宋体"/>
          <w:color w:val="auto"/>
          <w:sz w:val="24"/>
          <w:szCs w:val="24"/>
          <w:highlight w:val="none"/>
        </w:rPr>
      </w:pPr>
      <w:r>
        <w:rPr>
          <w:rFonts w:hint="eastAsia" w:ascii="宋体" w:hAnsi="宋体" w:cs="宋体"/>
          <w:color w:val="auto"/>
          <w:sz w:val="24"/>
          <w:highlight w:val="none"/>
        </w:rPr>
        <w:t>银行账号：137284354714</w:t>
      </w:r>
    </w:p>
    <w:p w14:paraId="6F7784A8">
      <w:pPr>
        <w:pStyle w:val="36"/>
        <w:ind w:firstLine="480"/>
        <w:rPr>
          <w:rFonts w:hint="eastAsia" w:ascii="宋体" w:hAnsi="宋体" w:eastAsia="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三</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rPr>
        <w:t>乙方账户信息</w:t>
      </w:r>
    </w:p>
    <w:p w14:paraId="0C5ACAD4">
      <w:pPr>
        <w:pStyle w:val="36"/>
        <w:ind w:firstLine="48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开户名：</w:t>
      </w:r>
    </w:p>
    <w:p w14:paraId="100618B9">
      <w:pPr>
        <w:pStyle w:val="36"/>
        <w:ind w:firstLine="48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统一社会信用代码：</w:t>
      </w:r>
    </w:p>
    <w:p w14:paraId="37D5B38B">
      <w:pPr>
        <w:pStyle w:val="36"/>
        <w:ind w:firstLine="48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开户行：</w:t>
      </w:r>
    </w:p>
    <w:p w14:paraId="31F4FBC8">
      <w:pPr>
        <w:pStyle w:val="36"/>
        <w:ind w:firstLine="480"/>
        <w:rPr>
          <w:rFonts w:hint="eastAsia" w:ascii="宋体" w:hAnsi="宋体"/>
          <w:bCs/>
          <w:color w:val="auto"/>
          <w:sz w:val="24"/>
          <w:highlight w:val="none"/>
          <w:lang w:bidi="ar"/>
        </w:rPr>
      </w:pPr>
      <w:r>
        <w:rPr>
          <w:rFonts w:hint="eastAsia" w:ascii="宋体" w:hAnsi="宋体" w:eastAsia="宋体"/>
          <w:color w:val="auto"/>
          <w:sz w:val="24"/>
          <w:szCs w:val="24"/>
          <w:highlight w:val="none"/>
        </w:rPr>
        <w:t>银行账号：</w:t>
      </w:r>
    </w:p>
    <w:p w14:paraId="756127F2">
      <w:pPr>
        <w:pStyle w:val="36"/>
        <w:ind w:firstLine="480"/>
        <w:rPr>
          <w:rFonts w:ascii="宋体" w:hAnsi="宋体" w:eastAsia="宋体"/>
          <w:color w:val="auto"/>
          <w:sz w:val="24"/>
          <w:szCs w:val="24"/>
          <w:highlight w:val="none"/>
        </w:rPr>
      </w:pPr>
      <w:r>
        <w:rPr>
          <w:rFonts w:hint="eastAsia" w:ascii="宋体" w:hAnsi="宋体" w:eastAsia="宋体"/>
          <w:color w:val="auto"/>
          <w:sz w:val="24"/>
          <w:szCs w:val="24"/>
          <w:highlight w:val="none"/>
        </w:rPr>
        <w:t>乙方保证所提供收款账户信息真实、完整、准确，因乙方提供账户信息有误导致的无法收款的责任由乙方自行承担，由此给甲方造成的损失（包括但不限于甲方因此而重复支付的手续费，款项支付到第三人账户无法追回的损失，以及甲方为主张其权益而支出的诉讼费、律师费、公告费等一切合理费用）由乙方承担。</w:t>
      </w:r>
    </w:p>
    <w:p w14:paraId="144E4ED8">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 xml:space="preserve">九、履约保证金的缴纳和返还 </w:t>
      </w:r>
    </w:p>
    <w:p w14:paraId="379EF11D">
      <w:pPr>
        <w:spacing w:line="360" w:lineRule="auto"/>
        <w:ind w:firstLine="480" w:firstLineChars="200"/>
        <w:jc w:val="left"/>
        <w:rPr>
          <w:rFonts w:hint="eastAsia" w:ascii="宋体" w:hAnsi="宋体" w:cs="宋体"/>
          <w:b/>
          <w:bCs/>
          <w:color w:val="auto"/>
          <w:sz w:val="24"/>
          <w:highlight w:val="none"/>
          <w:lang w:val="en-US" w:eastAsia="zh-CN"/>
        </w:rPr>
      </w:pPr>
      <w:r>
        <w:rPr>
          <w:rFonts w:hint="eastAsia" w:ascii="宋体" w:hAnsi="宋体" w:eastAsia="宋体" w:cs="宋体"/>
          <w:color w:val="auto"/>
          <w:sz w:val="24"/>
          <w:szCs w:val="24"/>
          <w:highlight w:val="none"/>
        </w:rPr>
        <w:t>（一）履约保证金：</w:t>
      </w:r>
      <w:r>
        <w:rPr>
          <w:rFonts w:hint="eastAsia" w:ascii="宋体" w:hAnsi="宋体" w:eastAsia="宋体" w:cs="宋体"/>
          <w:b/>
          <w:color w:val="auto"/>
          <w:sz w:val="24"/>
          <w:highlight w:val="none"/>
          <w:shd w:val="clear" w:color="auto" w:fill="FFFFFF"/>
          <w:lang w:val="en-US" w:eastAsia="zh-CN"/>
        </w:rPr>
        <w:t>大写</w:t>
      </w:r>
      <w:r>
        <w:rPr>
          <w:rFonts w:hint="eastAsia" w:ascii="宋体" w:hAnsi="宋体" w:cs="宋体"/>
          <w:b/>
          <w:bCs/>
          <w:color w:val="auto"/>
          <w:sz w:val="24"/>
          <w:highlight w:val="none"/>
        </w:rPr>
        <w:t>人民币</w:t>
      </w:r>
      <w:r>
        <w:rPr>
          <w:rFonts w:hint="eastAsia" w:ascii="宋体" w:hAnsi="宋体" w:cs="宋体"/>
          <w:b/>
          <w:bCs/>
          <w:color w:val="auto"/>
          <w:sz w:val="24"/>
          <w:highlight w:val="none"/>
          <w:u w:val="single"/>
          <w:lang w:val="en-US" w:eastAsia="zh-CN"/>
        </w:rPr>
        <w:t xml:space="preserve">                       </w:t>
      </w:r>
      <w:r>
        <w:rPr>
          <w:rFonts w:hint="eastAsia" w:ascii="宋体" w:hAnsi="宋体" w:cs="宋体"/>
          <w:b/>
          <w:bCs/>
          <w:color w:val="auto"/>
          <w:sz w:val="24"/>
          <w:highlight w:val="none"/>
          <w:lang w:val="en-US" w:eastAsia="zh-CN"/>
        </w:rPr>
        <w:t>.</w:t>
      </w:r>
    </w:p>
    <w:p w14:paraId="30B557D3">
      <w:pPr>
        <w:pStyle w:val="36"/>
        <w:spacing w:line="360" w:lineRule="auto"/>
        <w:ind w:firstLine="2650" w:firstLineChars="1100"/>
        <w:jc w:val="both"/>
        <w:rPr>
          <w:rFonts w:hint="eastAsia" w:ascii="宋体" w:hAnsi="宋体" w:eastAsia="宋体" w:cs="宋体"/>
          <w:b w:val="0"/>
          <w:bCs/>
          <w:color w:val="auto"/>
          <w:sz w:val="24"/>
          <w:szCs w:val="24"/>
          <w:highlight w:val="none"/>
        </w:rPr>
      </w:pPr>
      <w:r>
        <w:rPr>
          <w:rFonts w:hint="eastAsia" w:ascii="宋体" w:hAnsi="宋体" w:cs="宋体"/>
          <w:b/>
          <w:bCs/>
          <w:color w:val="auto"/>
          <w:sz w:val="24"/>
          <w:highlight w:val="none"/>
          <w:lang w:val="en-US" w:eastAsia="zh-CN"/>
        </w:rPr>
        <w:t>小写</w:t>
      </w:r>
      <w:r>
        <w:rPr>
          <w:rFonts w:hint="eastAsia" w:ascii="宋体" w:hAnsi="宋体" w:cs="宋体"/>
          <w:b w:val="0"/>
          <w:bCs w:val="0"/>
          <w:color w:val="auto"/>
          <w:sz w:val="24"/>
          <w:highlight w:val="none"/>
          <w:u w:val="single"/>
        </w:rPr>
        <w:t>¥</w:t>
      </w:r>
      <w:r>
        <w:rPr>
          <w:rFonts w:hint="eastAsia" w:ascii="宋体" w:hAnsi="宋体" w:cs="宋体"/>
          <w:b w:val="0"/>
          <w:bCs w:val="0"/>
          <w:color w:val="auto"/>
          <w:sz w:val="24"/>
          <w:highlight w:val="none"/>
          <w:u w:val="single"/>
          <w:lang w:val="en-US" w:eastAsia="zh-CN"/>
        </w:rPr>
        <w:t xml:space="preserve">                            </w:t>
      </w:r>
      <w:r>
        <w:rPr>
          <w:rFonts w:hint="eastAsia" w:ascii="宋体" w:hAnsi="宋体" w:cs="宋体"/>
          <w:b/>
          <w:bCs/>
          <w:color w:val="auto"/>
          <w:sz w:val="24"/>
          <w:highlight w:val="none"/>
          <w:lang w:val="en-US" w:eastAsia="zh-CN"/>
        </w:rPr>
        <w:t xml:space="preserve">. </w:t>
      </w:r>
    </w:p>
    <w:p w14:paraId="2528EFE2">
      <w:pPr>
        <w:keepNext w:val="0"/>
        <w:keepLines w:val="0"/>
        <w:pageBreakBefore w:val="0"/>
        <w:tabs>
          <w:tab w:val="left" w:pos="6930"/>
        </w:tabs>
        <w:kinsoku/>
        <w:wordWrap/>
        <w:overflowPunct/>
        <w:topLinePunct w:val="0"/>
        <w:bidi w:val="0"/>
        <w:adjustRightInd w:val="0"/>
        <w:snapToGrid w:val="0"/>
        <w:spacing w:line="440" w:lineRule="exact"/>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乙方在成交通知书收到之日起</w:t>
      </w:r>
      <w:r>
        <w:rPr>
          <w:rFonts w:hint="eastAsia" w:ascii="宋体" w:hAnsi="宋体" w:cs="宋体"/>
          <w:b w:val="0"/>
          <w:bCs/>
          <w:color w:val="auto"/>
          <w:sz w:val="24"/>
          <w:szCs w:val="24"/>
          <w:highlight w:val="none"/>
          <w:lang w:eastAsia="zh-CN"/>
        </w:rPr>
        <w:t>5个工作日</w:t>
      </w:r>
      <w:r>
        <w:rPr>
          <w:rFonts w:hint="eastAsia" w:ascii="宋体" w:hAnsi="宋体" w:eastAsia="宋体" w:cs="宋体"/>
          <w:b w:val="0"/>
          <w:bCs/>
          <w:color w:val="auto"/>
          <w:sz w:val="24"/>
          <w:szCs w:val="24"/>
          <w:highlight w:val="none"/>
        </w:rPr>
        <w:t>内需向甲方缴纳成交总金额3%的履约保证金。项目竣工后，3%的履约保证金转为工程质量保证金。</w:t>
      </w:r>
    </w:p>
    <w:p w14:paraId="1118FF70">
      <w:pPr>
        <w:keepNext w:val="0"/>
        <w:keepLines w:val="0"/>
        <w:pageBreakBefore w:val="0"/>
        <w:tabs>
          <w:tab w:val="left" w:pos="6930"/>
        </w:tabs>
        <w:kinsoku/>
        <w:wordWrap/>
        <w:overflowPunct/>
        <w:topLinePunct w:val="0"/>
        <w:bidi w:val="0"/>
        <w:adjustRightInd w:val="0"/>
        <w:snapToGrid w:val="0"/>
        <w:spacing w:line="440" w:lineRule="exact"/>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退回方式：自验收合格之日起满24个月无质量问题后，甲方无息退还乙方。</w:t>
      </w:r>
    </w:p>
    <w:p w14:paraId="2459621F">
      <w:pPr>
        <w:keepNext w:val="0"/>
        <w:keepLines w:val="0"/>
        <w:pageBreakBefore w:val="0"/>
        <w:tabs>
          <w:tab w:val="left" w:pos="6930"/>
        </w:tabs>
        <w:kinsoku/>
        <w:wordWrap/>
        <w:overflowPunct/>
        <w:topLinePunct w:val="0"/>
        <w:bidi w:val="0"/>
        <w:adjustRightInd w:val="0"/>
        <w:snapToGrid w:val="0"/>
        <w:spacing w:line="440" w:lineRule="exact"/>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履约保证金形式：乙方应当以银行转账、支票、汇票、本票或者金融机构、担保机构出具的保函等非现金形式提交。</w:t>
      </w:r>
    </w:p>
    <w:p w14:paraId="38035E2A">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（二）履约保证金甲方收款银行账户信息：</w:t>
      </w:r>
    </w:p>
    <w:p w14:paraId="51484CE8">
      <w:pPr>
        <w:keepNext w:val="0"/>
        <w:keepLines w:val="0"/>
        <w:widowControl/>
        <w:suppressLineNumbers w:val="0"/>
        <w:spacing w:line="360" w:lineRule="auto"/>
        <w:jc w:val="left"/>
        <w:rPr>
          <w:rFonts w:hint="eastAsia" w:ascii="宋体" w:hAnsi="宋体" w:cs="宋体"/>
          <w:b/>
          <w:color w:val="auto"/>
          <w:sz w:val="24"/>
          <w:highlight w:val="none"/>
          <w:shd w:val="clear" w:color="auto" w:fill="FFFFFF"/>
        </w:rPr>
      </w:pPr>
      <w:r>
        <w:rPr>
          <w:rFonts w:hint="eastAsia" w:ascii="宋体" w:hAnsi="宋体" w:eastAsia="宋体" w:cs="宋体"/>
          <w:color w:val="auto"/>
          <w:kern w:val="0"/>
          <w:sz w:val="24"/>
          <w:szCs w:val="24"/>
          <w:highlight w:val="none"/>
          <w:lang w:eastAsia="zh-CN" w:bidi="ar"/>
        </w:rPr>
        <w:t xml:space="preserve">    同甲方开票信息一致。</w:t>
      </w:r>
    </w:p>
    <w:p w14:paraId="335C5258">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、施工安全保证措施及事故处理</w:t>
      </w:r>
    </w:p>
    <w:p w14:paraId="7623744C">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安全文明施工，杜绝死亡、重伤事故发生。如发生伤亡等事故由乙方承担全部责任和损失，施工单位负责给施工人员购买相关保险，并承担相应的费用。</w:t>
      </w:r>
    </w:p>
    <w:p w14:paraId="4F976C79">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贯彻执行“安全第一，预防为主”的方针，做好各项防护工作，安全生产做到经常化、制度化、规范化。</w:t>
      </w:r>
    </w:p>
    <w:p w14:paraId="18F6DB60">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认真落实各项安全管理制度，坚决杜绝违章指挥和违章作业，乙方应对员工不断进行安全教育，并及时检查，发现隐患及时排除。</w:t>
      </w:r>
    </w:p>
    <w:p w14:paraId="19F39660">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发生重大伤亡及其他安全事故，由乙方承担全部责任</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并承担发生的所有费用。若乙方在履行合同期间，因自身原因及意外，给甲方带来实质性损害或造成不良影响，甲方有权要求赔偿，赔偿金额从应付款中支付。</w:t>
      </w:r>
    </w:p>
    <w:p w14:paraId="7D5D7B79">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如因乙方行为发生重大治安事件、与校外单位或个人发生合同纠纷等对甲方造成重大经济损失或重大负面社会影响，甲方将保留责任</w:t>
      </w:r>
      <w:r>
        <w:rPr>
          <w:rFonts w:hint="eastAsia" w:ascii="宋体" w:hAnsi="宋体" w:cs="宋体"/>
          <w:color w:val="auto"/>
          <w:kern w:val="0"/>
          <w:sz w:val="24"/>
          <w:szCs w:val="24"/>
          <w:highlight w:val="none"/>
          <w:lang w:val="en-US" w:eastAsia="zh-CN"/>
        </w:rPr>
        <w:t>追诉</w:t>
      </w:r>
      <w:r>
        <w:rPr>
          <w:rFonts w:hint="eastAsia" w:ascii="宋体" w:hAnsi="宋体" w:eastAsia="宋体" w:cs="宋体"/>
          <w:color w:val="auto"/>
          <w:kern w:val="0"/>
          <w:sz w:val="24"/>
          <w:szCs w:val="24"/>
          <w:highlight w:val="none"/>
        </w:rPr>
        <w:t>权，要求乙方承担政治、经济法律等全部损失。</w:t>
      </w:r>
    </w:p>
    <w:p w14:paraId="00110825">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一</w:t>
      </w:r>
      <w:r>
        <w:rPr>
          <w:rFonts w:hint="eastAsia" w:ascii="宋体" w:hAnsi="宋体" w:eastAsia="宋体" w:cs="宋体"/>
          <w:b/>
          <w:color w:val="auto"/>
          <w:kern w:val="0"/>
          <w:sz w:val="24"/>
          <w:szCs w:val="24"/>
          <w:highlight w:val="none"/>
        </w:rPr>
        <w:t>、双方权利与义务</w:t>
      </w:r>
    </w:p>
    <w:p w14:paraId="6F785BE4">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lang w:eastAsia="zh-CN"/>
        </w:rPr>
        <w:t>（</w:t>
      </w:r>
      <w:r>
        <w:rPr>
          <w:rFonts w:hint="eastAsia" w:ascii="宋体" w:hAnsi="宋体" w:eastAsia="宋体" w:cs="宋体"/>
          <w:b w:val="0"/>
          <w:bCs/>
          <w:color w:val="auto"/>
          <w:kern w:val="0"/>
          <w:sz w:val="24"/>
          <w:szCs w:val="24"/>
          <w:highlight w:val="none"/>
          <w:lang w:val="en-US" w:eastAsia="zh-CN"/>
        </w:rPr>
        <w:t>一</w:t>
      </w:r>
      <w:r>
        <w:rPr>
          <w:rFonts w:hint="eastAsia" w:ascii="宋体" w:hAnsi="宋体" w:eastAsia="宋体" w:cs="宋体"/>
          <w:b w:val="0"/>
          <w:bCs/>
          <w:color w:val="auto"/>
          <w:kern w:val="0"/>
          <w:sz w:val="24"/>
          <w:szCs w:val="24"/>
          <w:highlight w:val="none"/>
          <w:lang w:eastAsia="zh-CN"/>
        </w:rPr>
        <w:t>）</w:t>
      </w:r>
      <w:r>
        <w:rPr>
          <w:rFonts w:hint="eastAsia" w:ascii="宋体" w:hAnsi="宋体" w:eastAsia="宋体" w:cs="宋体"/>
          <w:b w:val="0"/>
          <w:bCs/>
          <w:color w:val="auto"/>
          <w:kern w:val="0"/>
          <w:sz w:val="24"/>
          <w:szCs w:val="24"/>
          <w:highlight w:val="none"/>
        </w:rPr>
        <w:t>甲方的权利和义务</w:t>
      </w:r>
    </w:p>
    <w:p w14:paraId="20A0A403">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开工前办理好一切应该属于甲方办理的手续，协调施工所需水电。具体负责人：</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4859C3C">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加强质量管理，严把工程质量关、数量关，确保安全施工，做到工程监管到位。</w:t>
      </w:r>
    </w:p>
    <w:p w14:paraId="15C376B7">
      <w:pPr>
        <w:autoSpaceDE w:val="0"/>
        <w:autoSpaceDN w:val="0"/>
        <w:adjustRightInd w:val="0"/>
        <w:spacing w:line="440" w:lineRule="exact"/>
        <w:ind w:firstLine="480" w:firstLineChars="200"/>
        <w:jc w:val="both"/>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在合同履行过程中甲方发现乙方存在违法违约行为的，甲方有权书面通知乙方立即整改，乙方收到通知后不按通知明确的要求和期限进行整改的，甲方有权解除合同并要求乙方承担违约责任。</w:t>
      </w:r>
    </w:p>
    <w:p w14:paraId="4FE1FF6F">
      <w:pPr>
        <w:keepNext w:val="0"/>
        <w:keepLines w:val="0"/>
        <w:widowControl/>
        <w:suppressLineNumbers w:val="0"/>
        <w:autoSpaceDE w:val="0"/>
        <w:autoSpaceDN w:val="0"/>
        <w:adjustRightInd w:val="0"/>
        <w:spacing w:before="0" w:beforeAutospacing="0" w:after="0" w:afterAutospacing="0" w:line="440" w:lineRule="exact"/>
        <w:ind w:left="0" w:right="0" w:firstLine="480" w:firstLineChars="200"/>
        <w:jc w:val="both"/>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bidi="ar"/>
        </w:rPr>
        <w:t>4.负责组织成立验收小组对项目进行验收并签署验收报告。</w:t>
      </w:r>
    </w:p>
    <w:p w14:paraId="50DB2AB4">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val="0"/>
          <w:bCs/>
          <w:color w:val="auto"/>
          <w:kern w:val="0"/>
          <w:sz w:val="24"/>
          <w:szCs w:val="24"/>
          <w:highlight w:val="none"/>
          <w:lang w:eastAsia="zh-CN"/>
        </w:rPr>
        <w:t>（</w:t>
      </w:r>
      <w:r>
        <w:rPr>
          <w:rFonts w:hint="eastAsia" w:ascii="宋体" w:hAnsi="宋体" w:eastAsia="宋体" w:cs="宋体"/>
          <w:b w:val="0"/>
          <w:bCs/>
          <w:color w:val="auto"/>
          <w:kern w:val="0"/>
          <w:sz w:val="24"/>
          <w:szCs w:val="24"/>
          <w:highlight w:val="none"/>
          <w:lang w:val="en-US" w:eastAsia="zh-CN"/>
        </w:rPr>
        <w:t>二</w:t>
      </w:r>
      <w:r>
        <w:rPr>
          <w:rFonts w:hint="eastAsia" w:ascii="宋体" w:hAnsi="宋体" w:eastAsia="宋体" w:cs="宋体"/>
          <w:b w:val="0"/>
          <w:bCs/>
          <w:color w:val="auto"/>
          <w:kern w:val="0"/>
          <w:sz w:val="24"/>
          <w:szCs w:val="24"/>
          <w:highlight w:val="none"/>
          <w:lang w:eastAsia="zh-CN"/>
        </w:rPr>
        <w:t>）乙方的权利和义务</w:t>
      </w:r>
    </w:p>
    <w:p w14:paraId="7664118F">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u w:val="single"/>
          <w:lang w:val="en-US"/>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乙方任命</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工程项目现场管理负责人为：</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联系电话：</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w:t>
      </w:r>
    </w:p>
    <w:p w14:paraId="175FA3D9">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乙方按以下要求行使合同约定的</w:t>
      </w:r>
      <w:r>
        <w:rPr>
          <w:rFonts w:hint="eastAsia" w:ascii="宋体" w:hAnsi="宋体" w:cs="宋体"/>
          <w:color w:val="auto"/>
          <w:kern w:val="0"/>
          <w:sz w:val="24"/>
          <w:szCs w:val="24"/>
          <w:highlight w:val="none"/>
          <w:lang w:val="en-US" w:eastAsia="zh-CN"/>
        </w:rPr>
        <w:t>权利</w:t>
      </w:r>
      <w:r>
        <w:rPr>
          <w:rFonts w:hint="eastAsia" w:ascii="宋体" w:hAnsi="宋体" w:eastAsia="宋体" w:cs="宋体"/>
          <w:color w:val="auto"/>
          <w:kern w:val="0"/>
          <w:sz w:val="24"/>
          <w:szCs w:val="24"/>
          <w:highlight w:val="none"/>
        </w:rPr>
        <w:t>，履行合同约定的职责。</w:t>
      </w:r>
    </w:p>
    <w:p w14:paraId="41F04792">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按甲方批准的时间进场施工。</w:t>
      </w:r>
    </w:p>
    <w:p w14:paraId="28CCF2E2">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按施工安全规范规定，采取施工保卫安全、防火、防盗等技术措施，确保现场施工人员及第三者安全，负责现场设施和成品的保护工作。</w:t>
      </w:r>
    </w:p>
    <w:p w14:paraId="035E9AAF">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接受甲方的监督和管理，并服从进度计划的安排与施工协调。</w:t>
      </w:r>
    </w:p>
    <w:p w14:paraId="7282C205">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严格按甲方要求进行施工，确保工程质量和合同工期。</w:t>
      </w:r>
    </w:p>
    <w:p w14:paraId="73EC0CAC">
      <w:pPr>
        <w:autoSpaceDE w:val="0"/>
        <w:autoSpaceDN w:val="0"/>
        <w:adjustRightInd w:val="0"/>
        <w:spacing w:line="44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合同履行过程中乙方人员所发生的一切事故均由乙方承担赔偿责任。</w:t>
      </w:r>
    </w:p>
    <w:p w14:paraId="2D457D87">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参加工程竣工验收，竣工验收合格后，应按甲方要求及时办理竣工结算手续，编制工程结算。</w:t>
      </w:r>
    </w:p>
    <w:p w14:paraId="2C7AFFE1">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rPr>
        <w:t>工程完工后3天内，完成垃圾清运并且费用由乙方承担，对甲方原建筑物内已完成的建筑及装修成品进行防护和保护，如造成损坏和污染需进行修复或赔偿，如拒不修复，甲方有权委托其他单位进行修复，其费用从乙方的工程结算款中扣除。</w:t>
      </w:r>
    </w:p>
    <w:p w14:paraId="06AD9755">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按本合同约定做好相应由乙方所做的中间验收、竣工初验、验收工作。</w:t>
      </w:r>
    </w:p>
    <w:p w14:paraId="690309D0">
      <w:pPr>
        <w:keepNext w:val="0"/>
        <w:keepLines w:val="0"/>
        <w:pageBreakBefore w:val="0"/>
        <w:kinsoku/>
        <w:wordWrap/>
        <w:overflowPunct/>
        <w:topLinePunct w:val="0"/>
        <w:autoSpaceDE w:val="0"/>
        <w:autoSpaceDN w:val="0"/>
        <w:bidi w:val="0"/>
        <w:adjustRightInd w:val="0"/>
        <w:spacing w:line="44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rPr>
        <w:t>本项目工程质量保修期为：</w:t>
      </w:r>
    </w:p>
    <w:p w14:paraId="4DFFF5B5">
      <w:pPr>
        <w:autoSpaceDE/>
        <w:autoSpaceDN/>
        <w:adjustRightInd/>
        <w:spacing w:line="44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所有施工项目自工程验收之日起，质量保修期为</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法律法规规定的质保期更长的，从其规定</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，在合同规定的工程质量保修内，乙方无偿进行修理。</w:t>
      </w:r>
    </w:p>
    <w:p w14:paraId="034D8E1F">
      <w:pPr>
        <w:autoSpaceDE w:val="0"/>
        <w:autoSpaceDN w:val="0"/>
        <w:adjustRightInd w:val="0"/>
        <w:spacing w:line="440" w:lineRule="exact"/>
        <w:ind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乙方在履行本合同过程中不得存在违反国家法律法规及侵犯第三方合法权利的情形，如甲方因此遭受第三方的索赔或起诉或处罚，视为乙方违约。乙方须承担上述索赔或起诉或处罚导致的一切法律后果，并承诺支付甲方因此遭受的一切损失和费用。</w:t>
      </w:r>
    </w:p>
    <w:p w14:paraId="0D7D3CB6">
      <w:pPr>
        <w:autoSpaceDE w:val="0"/>
        <w:autoSpaceDN w:val="0"/>
        <w:adjustRightInd w:val="0"/>
        <w:spacing w:line="440" w:lineRule="exact"/>
        <w:ind w:firstLine="420" w:firstLineChars="0"/>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13.乙方未履行或履行不符合合同约定或违反国家法律法规及有关政策规定，受罚款或给甲方造成经济损失均由责任方承担责任，并赔偿对方造成的一切损失，赔偿损失范围包括但不限于甲方因此遭受的第三方索赔、直接损失、间接损失及预期可得利益损失，以及律师费、诉讼费、公证费、交通费、保全费等实现债权的费用。</w:t>
      </w:r>
    </w:p>
    <w:p w14:paraId="5CFA0F3B">
      <w:pPr>
        <w:autoSpaceDE w:val="0"/>
        <w:autoSpaceDN w:val="0"/>
        <w:adjustRightInd w:val="0"/>
        <w:spacing w:line="44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14.严格遵守协商、技术澄清、商务谈判、成交所承诺的一切规定和条款。</w:t>
      </w:r>
    </w:p>
    <w:p w14:paraId="732752DC">
      <w:pPr>
        <w:autoSpaceDE w:val="0"/>
        <w:autoSpaceDN w:val="0"/>
        <w:adjustRightInd w:val="0"/>
        <w:spacing w:line="44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15.乙方需加强对员工的思想政治教育及管理，确保员工遵守意识形态、防控疫情、消防安全等相关要求及规定。</w:t>
      </w:r>
    </w:p>
    <w:p w14:paraId="00E02A99">
      <w:pPr>
        <w:autoSpaceDE w:val="0"/>
        <w:autoSpaceDN w:val="0"/>
        <w:adjustRightInd w:val="0"/>
        <w:spacing w:line="440" w:lineRule="exact"/>
        <w:ind w:firstLine="0"/>
        <w:rPr>
          <w:rFonts w:hint="eastAsia" w:ascii="宋体" w:hAnsi="宋体" w:cs="宋体"/>
          <w:color w:val="auto"/>
          <w:kern w:val="0"/>
          <w:sz w:val="24"/>
          <w:szCs w:val="24"/>
          <w:highlight w:val="none"/>
        </w:rPr>
      </w:pPr>
      <w:r>
        <w:rPr>
          <w:rFonts w:hint="default"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16.乙方及乙方工作人员</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包括管理人员</w:t>
      </w:r>
      <w:r>
        <w:rPr>
          <w:rFonts w:hint="eastAsia" w:ascii="宋体" w:hAnsi="宋体" w:cs="宋体"/>
          <w:color w:val="auto"/>
          <w:kern w:val="0"/>
          <w:sz w:val="24"/>
          <w:szCs w:val="24"/>
          <w:highlight w:val="none"/>
        </w:rPr>
        <w:t>和特种作业人员</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应具备履行本合同所应具备的合法资质、专业技能。</w:t>
      </w:r>
    </w:p>
    <w:p w14:paraId="6D435ACD">
      <w:pPr>
        <w:autoSpaceDE w:val="0"/>
        <w:autoSpaceDN w:val="0"/>
        <w:adjustRightInd w:val="0"/>
        <w:spacing w:line="44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17.未经甲方书面同意，乙方不得将本合同任一权利义务交由合同以外第三方行使。</w:t>
      </w:r>
    </w:p>
    <w:p w14:paraId="2010B234">
      <w:pPr>
        <w:autoSpaceDE w:val="0"/>
        <w:autoSpaceDN w:val="0"/>
        <w:adjustRightInd w:val="0"/>
        <w:spacing w:line="44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18.所有隐蔽工程在隐蔽之前必须提前报建设单位和监理单位，由监理单位、建设单位验收通过后，方可进行下一道工序施工。隐蔽工程未经验收即隐蔽的，发包人、监理单位有权要求重新检查，无论质量是否合格，重新检查产生的返工、检测等费用及工期延误责任由乙方承担。</w:t>
      </w:r>
    </w:p>
    <w:p w14:paraId="2CE2B7D4">
      <w:pPr>
        <w:widowControl/>
        <w:autoSpaceDE w:val="0"/>
        <w:autoSpaceDN w:val="0"/>
        <w:adjustRightInd w:val="0"/>
        <w:spacing w:line="440" w:lineRule="exact"/>
        <w:ind w:firstLine="420"/>
        <w:jc w:val="left"/>
        <w:rPr>
          <w:rFonts w:hint="eastAsia" w:ascii="宋体" w:hAnsi="宋体" w:cs="宋体"/>
          <w:color w:val="auto"/>
          <w:kern w:val="0"/>
          <w:sz w:val="24"/>
          <w:szCs w:val="24"/>
          <w:highlight w:val="none"/>
          <w:lang w:bidi="ar"/>
        </w:rPr>
      </w:pPr>
      <w:r>
        <w:rPr>
          <w:rFonts w:hint="default"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19.无论任何原因导致本合同终止的，乙方应在终止事由发生后【5】日历日内完成清场退出，否则视为乙方违约，甲方有权开展清场工作，由此产生的费用及损失均由乙方自行承担。</w:t>
      </w:r>
    </w:p>
    <w:p w14:paraId="5E46E8EB">
      <w:pPr>
        <w:autoSpaceDE w:val="0"/>
        <w:autoSpaceDN w:val="0"/>
        <w:adjustRightInd w:val="0"/>
        <w:spacing w:line="44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bidi="ar"/>
        </w:rPr>
        <w:t>20.乙方严格保守在合同履行期间所获得有关甲方及甲方项目的一切秘密信息。未经甲方同意，不得以泄露、告知、公布、发表、出版、传授、转让或者其他任何方式使任何第三方知悉属于甲方或者虽属于他人但甲方承诺有保密义务的技术秘密或其他商业秘密信息，也不得随意使用和观看这些秘密信息。</w:t>
      </w:r>
    </w:p>
    <w:p w14:paraId="67EE86AE">
      <w:pPr>
        <w:autoSpaceDE w:val="0"/>
        <w:autoSpaceDN w:val="0"/>
        <w:adjustRightInd w:val="0"/>
        <w:spacing w:line="440" w:lineRule="exact"/>
        <w:ind w:firstLine="420"/>
        <w:rPr>
          <w:rFonts w:hint="eastAsia" w:ascii="宋体" w:hAnsi="宋体" w:cs="宋体"/>
          <w:color w:val="auto"/>
          <w:kern w:val="0"/>
          <w:sz w:val="24"/>
          <w:szCs w:val="24"/>
          <w:highlight w:val="none"/>
        </w:rPr>
      </w:pPr>
      <w:r>
        <w:rPr>
          <w:rFonts w:hint="default"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21.在施工过程中，乙方必须严格按现行建筑施工安全法律法规及相关规范施工，做到安全文明施工；工程施工安全由乙方负全责，发生任何安全事故由乙方承担全部责任。</w:t>
      </w:r>
    </w:p>
    <w:p w14:paraId="2E44749C">
      <w:pPr>
        <w:autoSpaceDE w:val="0"/>
        <w:autoSpaceDN w:val="0"/>
        <w:adjustRightInd w:val="0"/>
        <w:spacing w:line="440" w:lineRule="exact"/>
        <w:ind w:firstLine="420"/>
        <w:rPr>
          <w:rFonts w:hint="eastAsia" w:ascii="宋体" w:hAnsi="宋体" w:cs="宋体"/>
          <w:b/>
          <w:color w:val="auto"/>
          <w:sz w:val="24"/>
          <w:szCs w:val="24"/>
          <w:highlight w:val="none"/>
        </w:rPr>
      </w:pPr>
      <w:r>
        <w:rPr>
          <w:rFonts w:hint="default"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22.乙方应按法律、行政法规和国家工程质保期及本协议的有关规定，对甲方要求修缮的工程（包括设备、配件）在质保期内承担质量保修责任。属于保修范围和内容的项目，乙方应在接到甲方维修通知后进行维修。</w:t>
      </w:r>
    </w:p>
    <w:p w14:paraId="09AD86EF">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二</w:t>
      </w:r>
      <w:r>
        <w:rPr>
          <w:rFonts w:hint="eastAsia" w:ascii="宋体" w:hAnsi="宋体" w:eastAsia="宋体" w:cs="宋体"/>
          <w:b/>
          <w:color w:val="auto"/>
          <w:kern w:val="0"/>
          <w:sz w:val="24"/>
          <w:szCs w:val="24"/>
          <w:highlight w:val="none"/>
        </w:rPr>
        <w:t>、违约责任</w:t>
      </w:r>
    </w:p>
    <w:p w14:paraId="2A208E90">
      <w:pPr>
        <w:keepNext w:val="0"/>
        <w:keepLines w:val="0"/>
        <w:pageBreakBefore w:val="0"/>
        <w:kinsoku/>
        <w:wordWrap/>
        <w:overflowPunct/>
        <w:topLinePunct w:val="0"/>
        <w:autoSpaceDE w:val="0"/>
        <w:autoSpaceDN w:val="0"/>
        <w:bidi w:val="0"/>
        <w:adjustRightInd w:val="0"/>
        <w:spacing w:line="440" w:lineRule="exact"/>
        <w:ind w:left="0" w:leftChars="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1.除发生不可抗力事实外</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由于乙方原因延期开工或中途停工，导致工期延误，每逾期一天，应向甲方支付合同总价的</w:t>
      </w:r>
      <w:r>
        <w:rPr>
          <w:rFonts w:hint="eastAsia" w:ascii="宋体" w:hAnsi="宋体" w:cs="宋体"/>
          <w:color w:val="auto"/>
          <w:kern w:val="0"/>
          <w:sz w:val="24"/>
          <w:szCs w:val="24"/>
          <w:highlight w:val="none"/>
          <w:lang w:val="en-US" w:eastAsia="zh-CN"/>
        </w:rPr>
        <w:t>千分之一</w:t>
      </w:r>
      <w:r>
        <w:rPr>
          <w:rFonts w:hint="eastAsia" w:ascii="宋体" w:hAnsi="宋体" w:eastAsia="宋体" w:cs="宋体"/>
          <w:color w:val="auto"/>
          <w:kern w:val="0"/>
          <w:sz w:val="24"/>
          <w:szCs w:val="24"/>
          <w:highlight w:val="none"/>
        </w:rPr>
        <w:t>作为违约金，甲方有权要求乙方限期改正</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乙方在</w:t>
      </w:r>
      <w:r>
        <w:rPr>
          <w:rFonts w:hint="eastAsia" w:ascii="宋体" w:hAnsi="宋体" w:eastAsia="宋体" w:cs="宋体"/>
          <w:color w:val="auto"/>
          <w:kern w:val="0"/>
          <w:sz w:val="24"/>
          <w:szCs w:val="24"/>
          <w:highlight w:val="none"/>
          <w:lang w:eastAsia="zh-CN"/>
        </w:rPr>
        <w:t>监理、设计、</w:t>
      </w:r>
      <w:r>
        <w:rPr>
          <w:rFonts w:hint="eastAsia" w:ascii="宋体" w:hAnsi="宋体" w:eastAsia="宋体" w:cs="宋体"/>
          <w:color w:val="auto"/>
          <w:kern w:val="0"/>
          <w:sz w:val="24"/>
          <w:szCs w:val="24"/>
          <w:highlight w:val="none"/>
          <w:lang w:val="en-US" w:eastAsia="zh-CN"/>
        </w:rPr>
        <w:t>甲方</w:t>
      </w:r>
      <w:r>
        <w:rPr>
          <w:rFonts w:hint="eastAsia" w:ascii="宋体" w:hAnsi="宋体" w:eastAsia="宋体" w:cs="宋体"/>
          <w:color w:val="auto"/>
          <w:kern w:val="0"/>
          <w:sz w:val="24"/>
          <w:szCs w:val="24"/>
          <w:highlight w:val="none"/>
          <w:lang w:eastAsia="zh-CN"/>
        </w:rPr>
        <w:t>等多方达成一致，且具备开工条件</w:t>
      </w:r>
      <w:r>
        <w:rPr>
          <w:rFonts w:hint="eastAsia" w:ascii="宋体" w:hAnsi="宋体" w:eastAsia="宋体" w:cs="宋体"/>
          <w:color w:val="auto"/>
          <w:kern w:val="0"/>
          <w:sz w:val="24"/>
          <w:szCs w:val="24"/>
          <w:highlight w:val="none"/>
          <w:lang w:val="en-US" w:eastAsia="zh-CN"/>
        </w:rPr>
        <w:t>下</w:t>
      </w:r>
      <w:r>
        <w:rPr>
          <w:rFonts w:hint="eastAsia" w:ascii="宋体" w:hAnsi="宋体" w:eastAsia="宋体" w:cs="宋体"/>
          <w:color w:val="auto"/>
          <w:kern w:val="0"/>
          <w:sz w:val="24"/>
          <w:szCs w:val="24"/>
          <w:highlight w:val="none"/>
        </w:rPr>
        <w:t>仍</w:t>
      </w:r>
      <w:r>
        <w:rPr>
          <w:rFonts w:hint="eastAsia" w:ascii="宋体" w:hAnsi="宋体" w:cs="宋体"/>
          <w:color w:val="auto"/>
          <w:kern w:val="0"/>
          <w:sz w:val="24"/>
          <w:szCs w:val="24"/>
          <w:highlight w:val="none"/>
          <w:lang w:val="en-US" w:eastAsia="zh-CN"/>
        </w:rPr>
        <w:t>迟延</w:t>
      </w:r>
      <w:r>
        <w:rPr>
          <w:rFonts w:hint="eastAsia" w:ascii="宋体" w:hAnsi="宋体" w:cs="宋体"/>
          <w:color w:val="auto"/>
          <w:kern w:val="0"/>
          <w:sz w:val="24"/>
          <w:szCs w:val="24"/>
          <w:highlight w:val="none"/>
        </w:rPr>
        <w:t>开工</w:t>
      </w:r>
      <w:r>
        <w:rPr>
          <w:rFonts w:hint="eastAsia" w:ascii="宋体" w:hAnsi="宋体" w:cs="宋体"/>
          <w:color w:val="auto"/>
          <w:kern w:val="0"/>
          <w:sz w:val="24"/>
          <w:szCs w:val="24"/>
          <w:highlight w:val="none"/>
          <w:lang w:val="en-US" w:eastAsia="zh-CN"/>
        </w:rPr>
        <w:t>达【】日或中途停工达【】日，</w:t>
      </w:r>
      <w:r>
        <w:rPr>
          <w:rFonts w:hint="eastAsia" w:ascii="宋体" w:hAnsi="宋体" w:cs="宋体"/>
          <w:color w:val="auto"/>
          <w:kern w:val="0"/>
          <w:sz w:val="24"/>
          <w:highlight w:val="none"/>
          <w:lang w:val="en-US" w:eastAsia="zh-CN"/>
        </w:rPr>
        <w:t>或</w:t>
      </w:r>
      <w:r>
        <w:rPr>
          <w:rFonts w:hint="eastAsia" w:ascii="宋体" w:hAnsi="宋体" w:cs="宋体"/>
          <w:color w:val="auto"/>
          <w:kern w:val="0"/>
          <w:sz w:val="24"/>
          <w:highlight w:val="none"/>
        </w:rPr>
        <w:t>乙方发生质量、安全管理等违约行为</w:t>
      </w:r>
      <w:r>
        <w:rPr>
          <w:rFonts w:hint="eastAsia" w:ascii="宋体" w:hAnsi="宋体" w:cs="宋体"/>
          <w:color w:val="auto"/>
          <w:kern w:val="0"/>
          <w:sz w:val="24"/>
          <w:highlight w:val="none"/>
          <w:lang w:val="en-US" w:eastAsia="zh-CN"/>
        </w:rPr>
        <w:t>且未按照</w:t>
      </w:r>
      <w:r>
        <w:rPr>
          <w:rFonts w:hint="eastAsia" w:ascii="宋体" w:hAnsi="宋体" w:cs="宋体"/>
          <w:color w:val="auto"/>
          <w:kern w:val="0"/>
          <w:sz w:val="24"/>
          <w:highlight w:val="none"/>
        </w:rPr>
        <w:t>甲方要求限期整改</w:t>
      </w:r>
      <w:r>
        <w:rPr>
          <w:rFonts w:hint="eastAsia" w:ascii="宋体" w:hAnsi="宋体" w:cs="宋体"/>
          <w:color w:val="auto"/>
          <w:kern w:val="0"/>
          <w:sz w:val="24"/>
          <w:highlight w:val="none"/>
          <w:lang w:val="en-US" w:eastAsia="zh-CN"/>
        </w:rPr>
        <w:t>合格</w:t>
      </w:r>
      <w:r>
        <w:rPr>
          <w:rFonts w:hint="eastAsia" w:ascii="宋体" w:hAnsi="宋体" w:cs="宋体"/>
          <w:color w:val="auto"/>
          <w:kern w:val="0"/>
          <w:sz w:val="24"/>
          <w:highlight w:val="none"/>
        </w:rPr>
        <w:t>的</w:t>
      </w:r>
      <w:r>
        <w:rPr>
          <w:rFonts w:hint="eastAsia" w:ascii="宋体" w:hAnsi="宋体" w:eastAsia="宋体" w:cs="宋体"/>
          <w:color w:val="auto"/>
          <w:kern w:val="0"/>
          <w:sz w:val="24"/>
          <w:szCs w:val="24"/>
          <w:highlight w:val="none"/>
        </w:rPr>
        <w:t>，甲方有权单方解除合同</w:t>
      </w:r>
      <w:r>
        <w:rPr>
          <w:rFonts w:hint="eastAsia" w:ascii="宋体" w:hAnsi="宋体" w:eastAsia="宋体" w:cs="宋体"/>
          <w:color w:val="auto"/>
          <w:kern w:val="0"/>
          <w:sz w:val="24"/>
          <w:szCs w:val="24"/>
          <w:highlight w:val="none"/>
          <w:lang w:eastAsia="zh-CN"/>
        </w:rPr>
        <w:t>，乙方应向甲方支付合同总额3</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lang w:eastAsia="zh-CN"/>
        </w:rPr>
        <w:t>%的违约金，</w:t>
      </w:r>
      <w:r>
        <w:rPr>
          <w:rFonts w:hint="eastAsia" w:ascii="宋体" w:hAnsi="宋体" w:eastAsia="宋体" w:cs="宋体"/>
          <w:color w:val="auto"/>
          <w:kern w:val="0"/>
          <w:sz w:val="24"/>
          <w:szCs w:val="24"/>
          <w:highlight w:val="none"/>
          <w:lang w:val="en-US" w:eastAsia="zh-CN"/>
        </w:rPr>
        <w:t>违约金不足以弥补给甲方造成的损失的，由乙方另行赔偿。因乙方违约导致</w:t>
      </w:r>
      <w:r>
        <w:rPr>
          <w:rFonts w:hint="eastAsia" w:ascii="宋体" w:hAnsi="宋体" w:eastAsia="宋体" w:cs="宋体"/>
          <w:color w:val="auto"/>
          <w:kern w:val="0"/>
          <w:sz w:val="24"/>
          <w:szCs w:val="24"/>
          <w:highlight w:val="none"/>
          <w:lang w:eastAsia="zh-CN"/>
        </w:rPr>
        <w:t>甲方为实现债权而产生的律师费、诉讼费、公证费、交通费、保全费</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保全保险费、评估费、鉴定费</w:t>
      </w:r>
      <w:r>
        <w:rPr>
          <w:rFonts w:hint="eastAsia" w:ascii="宋体" w:hAnsi="宋体" w:eastAsia="宋体" w:cs="宋体"/>
          <w:color w:val="auto"/>
          <w:kern w:val="0"/>
          <w:sz w:val="24"/>
          <w:szCs w:val="24"/>
          <w:highlight w:val="none"/>
          <w:lang w:eastAsia="zh-CN"/>
        </w:rPr>
        <w:t>等相关费用</w:t>
      </w:r>
      <w:r>
        <w:rPr>
          <w:rFonts w:hint="eastAsia" w:ascii="宋体" w:hAnsi="宋体" w:cs="宋体"/>
          <w:color w:val="auto"/>
          <w:kern w:val="0"/>
          <w:sz w:val="24"/>
          <w:szCs w:val="24"/>
          <w:highlight w:val="none"/>
          <w:lang w:val="en-US" w:eastAsia="zh-CN"/>
        </w:rPr>
        <w:t>全部由乙方承担</w:t>
      </w:r>
      <w:r>
        <w:rPr>
          <w:rFonts w:hint="eastAsia" w:ascii="宋体" w:hAnsi="宋体" w:eastAsia="宋体" w:cs="宋体"/>
          <w:color w:val="auto"/>
          <w:kern w:val="0"/>
          <w:sz w:val="24"/>
          <w:szCs w:val="24"/>
          <w:highlight w:val="none"/>
        </w:rPr>
        <w:t>。</w:t>
      </w:r>
    </w:p>
    <w:p w14:paraId="5672B5CB">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bCs w:val="0"/>
          <w:color w:val="auto"/>
          <w:kern w:val="0"/>
          <w:sz w:val="24"/>
          <w:szCs w:val="24"/>
          <w:highlight w:val="none"/>
          <w:lang w:val="en-US" w:eastAsia="zh-CN"/>
        </w:rPr>
        <w:t>2</w:t>
      </w:r>
      <w:r>
        <w:rPr>
          <w:rFonts w:hint="eastAsia" w:ascii="宋体" w:hAnsi="宋体" w:eastAsia="宋体" w:cs="宋体"/>
          <w:bCs w:val="0"/>
          <w:color w:val="auto"/>
          <w:kern w:val="0"/>
          <w:sz w:val="24"/>
          <w:szCs w:val="24"/>
          <w:highlight w:val="none"/>
        </w:rPr>
        <w:t>.甲方逾期支付合同款将向乙方每日偿付欠款总额</w:t>
      </w:r>
      <w:r>
        <w:rPr>
          <w:rFonts w:hint="eastAsia" w:ascii="宋体" w:hAnsi="宋体" w:cs="宋体"/>
          <w:bCs w:val="0"/>
          <w:color w:val="auto"/>
          <w:kern w:val="0"/>
          <w:sz w:val="24"/>
          <w:szCs w:val="24"/>
          <w:highlight w:val="none"/>
          <w:lang w:val="en-US" w:eastAsia="zh-CN"/>
        </w:rPr>
        <w:t>千分之一</w:t>
      </w:r>
      <w:r>
        <w:rPr>
          <w:rFonts w:hint="eastAsia" w:ascii="宋体" w:hAnsi="宋体" w:eastAsia="宋体" w:cs="宋体"/>
          <w:bCs w:val="0"/>
          <w:color w:val="auto"/>
          <w:kern w:val="0"/>
          <w:sz w:val="24"/>
          <w:szCs w:val="24"/>
          <w:highlight w:val="none"/>
        </w:rPr>
        <w:t>的违约金（累计不超过欠款总额的5</w:t>
      </w:r>
      <w:r>
        <w:rPr>
          <w:rFonts w:hint="eastAsia" w:ascii="宋体" w:hAnsi="宋体" w:eastAsia="宋体" w:cs="宋体"/>
          <w:color w:val="auto"/>
          <w:kern w:val="0"/>
          <w:sz w:val="24"/>
          <w:szCs w:val="24"/>
          <w:highlight w:val="none"/>
        </w:rPr>
        <w:t>%</w:t>
      </w:r>
      <w:r>
        <w:rPr>
          <w:rFonts w:hint="eastAsia" w:ascii="宋体" w:hAnsi="宋体" w:eastAsia="宋体" w:cs="宋体"/>
          <w:bCs w:val="0"/>
          <w:color w:val="auto"/>
          <w:kern w:val="0"/>
          <w:sz w:val="24"/>
          <w:szCs w:val="24"/>
          <w:highlight w:val="none"/>
        </w:rPr>
        <w:t>）。</w:t>
      </w:r>
    </w:p>
    <w:p w14:paraId="71CC9359">
      <w:pPr>
        <w:autoSpaceDE/>
        <w:autoSpaceDN/>
        <w:adjustRightInd/>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.乙方发生违约情况后，违约金从履约保证金中扣除，若履约保证金不足以扣款的，甲方有权向乙方追诉。</w:t>
      </w:r>
    </w:p>
    <w:p w14:paraId="44DDC425">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三</w:t>
      </w:r>
      <w:r>
        <w:rPr>
          <w:rFonts w:hint="eastAsia" w:ascii="宋体" w:hAnsi="宋体" w:eastAsia="宋体" w:cs="宋体"/>
          <w:b/>
          <w:color w:val="auto"/>
          <w:kern w:val="0"/>
          <w:sz w:val="24"/>
          <w:szCs w:val="24"/>
          <w:highlight w:val="none"/>
        </w:rPr>
        <w:t>、合同期内，所定条款与国家新颁布的劳动</w:t>
      </w:r>
      <w:r>
        <w:rPr>
          <w:rFonts w:hint="eastAsia" w:ascii="宋体" w:hAnsi="宋体" w:eastAsia="宋体" w:cs="宋体"/>
          <w:b/>
          <w:color w:val="auto"/>
          <w:kern w:val="0"/>
          <w:sz w:val="24"/>
          <w:szCs w:val="24"/>
          <w:highlight w:val="none"/>
          <w:lang w:eastAsia="zh-CN"/>
        </w:rPr>
        <w:t>法律法规</w:t>
      </w:r>
      <w:r>
        <w:rPr>
          <w:rFonts w:hint="eastAsia" w:ascii="宋体" w:hAnsi="宋体" w:eastAsia="宋体" w:cs="宋体"/>
          <w:b/>
          <w:color w:val="auto"/>
          <w:kern w:val="0"/>
          <w:sz w:val="24"/>
          <w:szCs w:val="24"/>
          <w:highlight w:val="none"/>
        </w:rPr>
        <w:t>、规章不符的，甲、乙双方均应按国家新规定执行。</w:t>
      </w:r>
    </w:p>
    <w:p w14:paraId="7A610531">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四</w:t>
      </w:r>
      <w:r>
        <w:rPr>
          <w:rFonts w:hint="eastAsia" w:ascii="宋体" w:hAnsi="宋体" w:eastAsia="宋体" w:cs="宋体"/>
          <w:b/>
          <w:color w:val="auto"/>
          <w:kern w:val="0"/>
          <w:sz w:val="24"/>
          <w:szCs w:val="24"/>
          <w:highlight w:val="none"/>
        </w:rPr>
        <w:t>、</w:t>
      </w:r>
      <w:r>
        <w:rPr>
          <w:rFonts w:hint="eastAsia" w:ascii="宋体" w:hAnsi="宋体" w:eastAsia="宋体" w:cs="宋体"/>
          <w:b/>
          <w:color w:val="auto"/>
          <w:sz w:val="24"/>
          <w:szCs w:val="24"/>
          <w:highlight w:val="none"/>
        </w:rPr>
        <w:t>甲乙双方在履行合同过程中发生纠纷，应</w:t>
      </w:r>
      <w:r>
        <w:rPr>
          <w:rFonts w:hint="eastAsia" w:ascii="宋体" w:hAnsi="宋体" w:cs="宋体"/>
          <w:b/>
          <w:color w:val="auto"/>
          <w:sz w:val="24"/>
          <w:szCs w:val="24"/>
          <w:highlight w:val="none"/>
          <w:lang w:val="en-US" w:eastAsia="zh-CN"/>
        </w:rPr>
        <w:t>友好协商解决</w:t>
      </w:r>
      <w:r>
        <w:rPr>
          <w:rFonts w:hint="eastAsia" w:ascii="宋体" w:hAnsi="宋体" w:eastAsia="宋体" w:cs="宋体"/>
          <w:b/>
          <w:color w:val="auto"/>
          <w:sz w:val="24"/>
          <w:szCs w:val="24"/>
          <w:highlight w:val="none"/>
        </w:rPr>
        <w:t>；</w:t>
      </w:r>
      <w:r>
        <w:rPr>
          <w:rFonts w:hint="eastAsia" w:ascii="宋体" w:hAnsi="宋体" w:cs="宋体"/>
          <w:b/>
          <w:color w:val="auto"/>
          <w:sz w:val="24"/>
          <w:szCs w:val="24"/>
          <w:highlight w:val="none"/>
          <w:lang w:val="en-US" w:eastAsia="zh-CN"/>
        </w:rPr>
        <w:t>协商</w:t>
      </w:r>
      <w:r>
        <w:rPr>
          <w:rFonts w:hint="eastAsia" w:ascii="宋体" w:hAnsi="宋体" w:eastAsia="宋体" w:cs="宋体"/>
          <w:b/>
          <w:bCs/>
          <w:color w:val="auto"/>
          <w:sz w:val="24"/>
          <w:szCs w:val="24"/>
          <w:highlight w:val="none"/>
        </w:rPr>
        <w:t>不成的</w:t>
      </w:r>
      <w:r>
        <w:rPr>
          <w:rFonts w:hint="eastAsia" w:ascii="宋体" w:hAnsi="宋体" w:eastAsia="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双方均可</w:t>
      </w:r>
      <w:r>
        <w:rPr>
          <w:rFonts w:hint="eastAsia" w:ascii="宋体" w:hAnsi="宋体" w:eastAsia="宋体" w:cs="宋体"/>
          <w:b/>
          <w:color w:val="auto"/>
          <w:sz w:val="24"/>
          <w:szCs w:val="24"/>
          <w:highlight w:val="none"/>
        </w:rPr>
        <w:t>向</w:t>
      </w:r>
      <w:r>
        <w:rPr>
          <w:rFonts w:hint="eastAsia" w:ascii="宋体" w:hAnsi="宋体" w:cs="宋体"/>
          <w:b/>
          <w:color w:val="auto"/>
          <w:sz w:val="24"/>
          <w:szCs w:val="24"/>
          <w:highlight w:val="none"/>
          <w:lang w:val="en-US" w:eastAsia="zh-CN"/>
        </w:rPr>
        <w:t>项目</w:t>
      </w:r>
      <w:r>
        <w:rPr>
          <w:rFonts w:hint="eastAsia" w:ascii="宋体" w:hAnsi="宋体" w:eastAsia="宋体" w:cs="宋体"/>
          <w:b/>
          <w:color w:val="auto"/>
          <w:sz w:val="24"/>
          <w:szCs w:val="24"/>
          <w:highlight w:val="none"/>
        </w:rPr>
        <w:t>所在地人民法院提起诉讼。</w:t>
      </w:r>
    </w:p>
    <w:p w14:paraId="5A040C01">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五</w:t>
      </w:r>
      <w:r>
        <w:rPr>
          <w:rFonts w:hint="eastAsia" w:ascii="宋体" w:hAnsi="宋体" w:eastAsia="宋体" w:cs="宋体"/>
          <w:b/>
          <w:color w:val="auto"/>
          <w:kern w:val="0"/>
          <w:sz w:val="24"/>
          <w:szCs w:val="24"/>
          <w:highlight w:val="none"/>
        </w:rPr>
        <w:t>、本合同自</w:t>
      </w:r>
      <w:r>
        <w:rPr>
          <w:rFonts w:hint="eastAsia" w:ascii="宋体" w:hAnsi="宋体" w:cs="宋体"/>
          <w:b/>
          <w:color w:val="auto"/>
          <w:kern w:val="0"/>
          <w:sz w:val="24"/>
          <w:szCs w:val="24"/>
          <w:highlight w:val="none"/>
        </w:rPr>
        <w:t>甲乙双方法定代表人或委托代理人签字并加盖双方公章或合同专用章</w:t>
      </w:r>
      <w:r>
        <w:rPr>
          <w:rFonts w:hint="eastAsia" w:ascii="宋体" w:hAnsi="宋体" w:eastAsia="宋体" w:cs="宋体"/>
          <w:b/>
          <w:color w:val="auto"/>
          <w:kern w:val="0"/>
          <w:sz w:val="24"/>
          <w:szCs w:val="24"/>
          <w:highlight w:val="none"/>
        </w:rPr>
        <w:t>之日起生效，</w:t>
      </w:r>
      <w:r>
        <w:rPr>
          <w:rFonts w:hint="eastAsia" w:ascii="宋体" w:hAnsi="宋体" w:cs="宋体"/>
          <w:b/>
          <w:color w:val="auto"/>
          <w:kern w:val="0"/>
          <w:sz w:val="24"/>
          <w:szCs w:val="24"/>
          <w:highlight w:val="none"/>
        </w:rPr>
        <w:t>委托代理人签字的，应当提供法定代表人签署的授权委托书。</w:t>
      </w:r>
      <w:r>
        <w:rPr>
          <w:rFonts w:hint="eastAsia" w:ascii="宋体" w:hAnsi="宋体" w:eastAsia="宋体" w:cs="宋体"/>
          <w:b/>
          <w:color w:val="auto"/>
          <w:kern w:val="0"/>
          <w:sz w:val="24"/>
          <w:szCs w:val="24"/>
          <w:highlight w:val="none"/>
        </w:rPr>
        <w:t>合同签订与执行地为甲方所在地。</w:t>
      </w:r>
    </w:p>
    <w:p w14:paraId="3A83E650">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cs="宋体"/>
          <w:b/>
          <w:color w:val="auto"/>
          <w:kern w:val="0"/>
          <w:sz w:val="24"/>
          <w:szCs w:val="24"/>
          <w:highlight w:val="none"/>
          <w:lang w:eastAsia="zh-CN"/>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六</w:t>
      </w:r>
      <w:r>
        <w:rPr>
          <w:rFonts w:hint="eastAsia" w:ascii="宋体" w:hAnsi="宋体" w:eastAsia="宋体" w:cs="宋体"/>
          <w:b/>
          <w:color w:val="auto"/>
          <w:kern w:val="0"/>
          <w:sz w:val="24"/>
          <w:szCs w:val="24"/>
          <w:highlight w:val="none"/>
        </w:rPr>
        <w:t>、本合同一式</w:t>
      </w:r>
      <w:r>
        <w:rPr>
          <w:rFonts w:hint="eastAsia" w:ascii="宋体" w:hAnsi="宋体" w:eastAsia="宋体" w:cs="宋体"/>
          <w:b/>
          <w:color w:val="auto"/>
          <w:kern w:val="0"/>
          <w:sz w:val="24"/>
          <w:szCs w:val="24"/>
          <w:highlight w:val="none"/>
          <w:lang w:val="en-US" w:eastAsia="zh-CN"/>
        </w:rPr>
        <w:t>柒</w:t>
      </w:r>
      <w:r>
        <w:rPr>
          <w:rFonts w:hint="eastAsia" w:ascii="宋体" w:hAnsi="宋体" w:eastAsia="宋体" w:cs="宋体"/>
          <w:b/>
          <w:color w:val="auto"/>
          <w:kern w:val="0"/>
          <w:sz w:val="24"/>
          <w:szCs w:val="24"/>
          <w:highlight w:val="none"/>
        </w:rPr>
        <w:t>份，甲方</w:t>
      </w:r>
      <w:r>
        <w:rPr>
          <w:rFonts w:hint="eastAsia" w:ascii="宋体" w:hAnsi="宋体" w:cs="宋体"/>
          <w:b/>
          <w:color w:val="auto"/>
          <w:kern w:val="0"/>
          <w:sz w:val="24"/>
          <w:szCs w:val="24"/>
          <w:highlight w:val="none"/>
          <w:lang w:val="en-US" w:eastAsia="zh-CN"/>
        </w:rPr>
        <w:t>伍</w:t>
      </w:r>
      <w:r>
        <w:rPr>
          <w:rFonts w:hint="eastAsia" w:ascii="宋体" w:hAnsi="宋体" w:eastAsia="宋体" w:cs="宋体"/>
          <w:b/>
          <w:color w:val="auto"/>
          <w:kern w:val="0"/>
          <w:sz w:val="24"/>
          <w:szCs w:val="24"/>
          <w:highlight w:val="none"/>
        </w:rPr>
        <w:t>份，乙方贰份</w:t>
      </w:r>
      <w:r>
        <w:rPr>
          <w:rFonts w:hint="eastAsia" w:ascii="宋体" w:hAnsi="宋体" w:cs="宋体"/>
          <w:b/>
          <w:color w:val="auto"/>
          <w:kern w:val="0"/>
          <w:sz w:val="24"/>
          <w:szCs w:val="24"/>
          <w:highlight w:val="none"/>
          <w:lang w:eastAsia="zh-CN"/>
        </w:rPr>
        <w:t>。</w:t>
      </w:r>
    </w:p>
    <w:p w14:paraId="2FBE1F9F">
      <w:pPr>
        <w:keepNext w:val="0"/>
        <w:keepLines w:val="0"/>
        <w:pageBreakBefore w:val="0"/>
        <w:kinsoku/>
        <w:wordWrap/>
        <w:overflowPunct/>
        <w:topLinePunct w:val="0"/>
        <w:autoSpaceDE w:val="0"/>
        <w:autoSpaceDN w:val="0"/>
        <w:bidi w:val="0"/>
        <w:adjustRightInd w:val="0"/>
        <w:spacing w:line="440" w:lineRule="exact"/>
        <w:ind w:left="0" w:leftChars="0" w:firstLine="482"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七</w:t>
      </w:r>
      <w:r>
        <w:rPr>
          <w:rFonts w:hint="eastAsia" w:ascii="宋体" w:hAnsi="宋体" w:eastAsia="宋体" w:cs="宋体"/>
          <w:b/>
          <w:color w:val="auto"/>
          <w:kern w:val="0"/>
          <w:sz w:val="24"/>
          <w:szCs w:val="24"/>
          <w:highlight w:val="none"/>
        </w:rPr>
        <w:t>、</w:t>
      </w:r>
      <w:r>
        <w:rPr>
          <w:rFonts w:hint="eastAsia" w:ascii="宋体" w:hAnsi="宋体" w:eastAsia="宋体" w:cs="宋体"/>
          <w:b/>
          <w:bCs/>
          <w:color w:val="auto"/>
          <w:sz w:val="24"/>
          <w:szCs w:val="24"/>
          <w:highlight w:val="none"/>
          <w:shd w:val="clear" w:color="auto" w:fill="FFFFFF"/>
        </w:rPr>
        <w:t>本合同不可分割之部分：</w:t>
      </w:r>
    </w:p>
    <w:p w14:paraId="179B4F5D">
      <w:pPr>
        <w:keepNext w:val="0"/>
        <w:keepLines w:val="0"/>
        <w:widowControl/>
        <w:suppressLineNumbers w:val="0"/>
        <w:wordWrap w:val="0"/>
        <w:spacing w:before="0" w:beforeAutospacing="0" w:after="0" w:afterAutospacing="0" w:line="360" w:lineRule="auto"/>
        <w:ind w:left="0" w:right="0" w:firstLine="480" w:firstLineChars="200"/>
        <w:jc w:val="left"/>
        <w:rPr>
          <w:rFonts w:hint="eastAsia" w:ascii="宋体" w:hAnsi="宋体" w:eastAsia="宋体" w:cs="仿宋"/>
          <w:bCs/>
          <w:kern w:val="2"/>
          <w:sz w:val="24"/>
          <w:szCs w:val="24"/>
          <w:shd w:val="clear" w:color="auto" w:fill="FFFFFF"/>
        </w:rPr>
      </w:pPr>
      <w:r>
        <w:rPr>
          <w:rFonts w:hint="eastAsia" w:ascii="宋体" w:hAnsi="宋体" w:eastAsia="宋体" w:cs="宋体"/>
          <w:kern w:val="2"/>
          <w:sz w:val="24"/>
          <w:szCs w:val="24"/>
          <w:lang w:val="en-US" w:eastAsia="zh-CN" w:bidi="ar"/>
        </w:rPr>
        <w:t>（一）</w:t>
      </w:r>
      <w:r>
        <w:rPr>
          <w:rFonts w:hint="eastAsia" w:ascii="宋体" w:hAnsi="宋体" w:eastAsia="宋体" w:cs="宋体"/>
          <w:bCs/>
          <w:kern w:val="2"/>
          <w:sz w:val="24"/>
          <w:szCs w:val="24"/>
          <w:shd w:val="clear" w:color="auto" w:fill="FFFFFF"/>
          <w:lang w:val="en-US" w:eastAsia="zh-CN" w:bidi="ar"/>
        </w:rPr>
        <w:t>成交人的响应文件；</w:t>
      </w:r>
    </w:p>
    <w:p w14:paraId="1315A5E3">
      <w:pPr>
        <w:keepNext w:val="0"/>
        <w:keepLines w:val="0"/>
        <w:widowControl/>
        <w:suppressLineNumbers w:val="0"/>
        <w:wordWrap w:val="0"/>
        <w:spacing w:before="0" w:beforeAutospacing="0" w:after="0" w:afterAutospacing="0" w:line="360" w:lineRule="auto"/>
        <w:ind w:left="0" w:right="0" w:firstLine="480" w:firstLineChars="200"/>
        <w:jc w:val="left"/>
        <w:rPr>
          <w:rFonts w:hint="eastAsia" w:ascii="宋体" w:hAnsi="宋体" w:eastAsia="宋体" w:cs="仿宋"/>
          <w:bCs/>
          <w:kern w:val="2"/>
          <w:sz w:val="24"/>
          <w:szCs w:val="24"/>
          <w:shd w:val="clear" w:color="auto" w:fill="FFFFFF"/>
        </w:rPr>
      </w:pPr>
      <w:r>
        <w:rPr>
          <w:rFonts w:hint="eastAsia" w:ascii="宋体" w:hAnsi="宋体" w:eastAsia="宋体" w:cs="宋体"/>
          <w:kern w:val="2"/>
          <w:sz w:val="24"/>
          <w:szCs w:val="24"/>
          <w:lang w:val="en-US" w:eastAsia="zh-CN" w:bidi="ar"/>
        </w:rPr>
        <w:t>（二）</w:t>
      </w:r>
      <w:r>
        <w:rPr>
          <w:rFonts w:hint="eastAsia" w:ascii="宋体" w:hAnsi="宋体" w:eastAsia="宋体" w:cs="宋体"/>
          <w:bCs/>
          <w:kern w:val="2"/>
          <w:sz w:val="24"/>
          <w:szCs w:val="24"/>
          <w:shd w:val="clear" w:color="auto" w:fill="FFFFFF"/>
          <w:lang w:val="en-US" w:eastAsia="zh-CN" w:bidi="ar"/>
        </w:rPr>
        <w:t>成交通知书；</w:t>
      </w:r>
    </w:p>
    <w:p w14:paraId="77936962">
      <w:pPr>
        <w:keepNext w:val="0"/>
        <w:keepLines w:val="0"/>
        <w:pageBreakBefore w:val="0"/>
        <w:kinsoku/>
        <w:wordWrap/>
        <w:overflowPunct/>
        <w:topLinePunct w:val="0"/>
        <w:bidi w:val="0"/>
        <w:spacing w:line="440" w:lineRule="exact"/>
        <w:ind w:left="0" w:leftChars="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kern w:val="2"/>
          <w:sz w:val="24"/>
          <w:szCs w:val="24"/>
          <w:lang w:val="en-US" w:eastAsia="zh-CN" w:bidi="ar"/>
        </w:rPr>
        <w:t>（三）附件：</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rPr>
        <w:t>工程量清单</w:t>
      </w:r>
    </w:p>
    <w:p w14:paraId="426851E9">
      <w:pPr>
        <w:keepNext w:val="0"/>
        <w:keepLines w:val="0"/>
        <w:pageBreakBefore w:val="0"/>
        <w:kinsoku/>
        <w:wordWrap/>
        <w:overflowPunct/>
        <w:topLinePunct w:val="0"/>
        <w:bidi w:val="0"/>
        <w:spacing w:line="440" w:lineRule="exact"/>
        <w:ind w:left="0" w:leftChars="0" w:firstLine="1440" w:firstLineChars="600"/>
        <w:jc w:val="both"/>
        <w:textAlignment w:val="auto"/>
        <w:rPr>
          <w:rFonts w:hint="eastAsia" w:ascii="宋体" w:hAnsi="宋体" w:eastAsia="宋体" w:cs="宋体"/>
          <w:color w:val="auto"/>
          <w:kern w:val="0"/>
          <w:sz w:val="24"/>
          <w:szCs w:val="24"/>
          <w:highlight w:val="none"/>
        </w:rPr>
      </w:pPr>
      <w:r>
        <w:rPr>
          <w:rFonts w:hint="default" w:ascii="宋体" w:hAnsi="宋体" w:cs="宋体"/>
          <w:color w:val="auto"/>
          <w:sz w:val="24"/>
          <w:szCs w:val="24"/>
          <w:highlight w:val="none"/>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rPr>
        <w:t>安全协议</w:t>
      </w:r>
    </w:p>
    <w:p w14:paraId="7F6CEFEE">
      <w:pPr>
        <w:keepNext w:val="0"/>
        <w:keepLines w:val="0"/>
        <w:pageBreakBefore w:val="0"/>
        <w:kinsoku/>
        <w:wordWrap/>
        <w:overflowPunct/>
        <w:topLinePunct w:val="0"/>
        <w:bidi w:val="0"/>
        <w:spacing w:line="440" w:lineRule="exact"/>
        <w:ind w:left="0" w:leftChars="0" w:firstLine="1440" w:firstLineChars="600"/>
        <w:jc w:val="both"/>
        <w:textAlignment w:val="auto"/>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 xml:space="preserve">    </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工程售后服务承诺书</w:t>
      </w:r>
    </w:p>
    <w:p w14:paraId="56CD7ADA">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r>
        <w:rPr>
          <w:rFonts w:hint="eastAsia" w:ascii="宋体" w:hAnsi="宋体" w:cs="宋体"/>
          <w:color w:val="auto"/>
          <w:sz w:val="24"/>
          <w:szCs w:val="24"/>
          <w:highlight w:val="none"/>
        </w:rPr>
        <w:br w:type="page"/>
      </w:r>
      <w:r>
        <w:rPr>
          <w:rFonts w:hint="eastAsia" w:ascii="黑体" w:hAnsi="黑体" w:eastAsia="黑体" w:cs="黑体"/>
          <w:color w:val="auto"/>
          <w:kern w:val="2"/>
          <w:sz w:val="24"/>
          <w:szCs w:val="24"/>
          <w:highlight w:val="none"/>
          <w:lang w:val="en-US" w:eastAsia="zh-CN" w:bidi="ar-SA"/>
        </w:rPr>
        <w:t>附件1</w:t>
      </w:r>
    </w:p>
    <w:p w14:paraId="21F78320">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jc w:val="center"/>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工程量清单</w:t>
      </w:r>
    </w:p>
    <w:p w14:paraId="0D8A5001">
      <w:pPr>
        <w:pStyle w:val="12"/>
        <w:keepNext w:val="0"/>
        <w:keepLines w:val="0"/>
        <w:pageBreakBefore w:val="0"/>
        <w:widowControl w:val="0"/>
        <w:kinsoku/>
        <w:wordWrap/>
        <w:overflowPunct/>
        <w:topLinePunct w:val="0"/>
        <w:bidi w:val="0"/>
        <w:snapToGrid/>
        <w:spacing w:afterAutospacing="0" w:line="240" w:lineRule="auto"/>
        <w:ind w:left="0" w:leftChars="0"/>
        <w:jc w:val="both"/>
        <w:textAlignment w:val="auto"/>
        <w:rPr>
          <w:rFonts w:hint="eastAsia" w:ascii="黑体" w:hAnsi="黑体" w:eastAsia="黑体" w:cs="黑体"/>
          <w:color w:val="auto"/>
          <w:kern w:val="2"/>
          <w:sz w:val="24"/>
          <w:szCs w:val="24"/>
          <w:highlight w:val="none"/>
          <w:lang w:val="en-US" w:eastAsia="zh-CN" w:bidi="ar-SA"/>
        </w:rPr>
      </w:pPr>
    </w:p>
    <w:p w14:paraId="2FC71B81">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jc w:val="left"/>
        <w:textAlignment w:val="auto"/>
        <w:rPr>
          <w:rFonts w:hint="eastAsia" w:ascii="宋体" w:hAnsi="宋体" w:eastAsia="宋体" w:cs="宋体"/>
          <w:color w:val="auto"/>
          <w:kern w:val="0"/>
          <w:sz w:val="24"/>
          <w:szCs w:val="24"/>
          <w:highlight w:val="none"/>
          <w:lang w:val="en-US" w:eastAsia="zh-CN"/>
        </w:rPr>
      </w:pPr>
    </w:p>
    <w:p w14:paraId="40DC8C5D">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jc w:val="left"/>
        <w:textAlignment w:val="auto"/>
        <w:rPr>
          <w:rFonts w:hint="eastAsia" w:ascii="宋体" w:hAnsi="宋体" w:eastAsia="宋体" w:cs="宋体"/>
          <w:color w:val="auto"/>
          <w:kern w:val="0"/>
          <w:sz w:val="24"/>
          <w:szCs w:val="24"/>
          <w:highlight w:val="none"/>
          <w:lang w:val="en-US" w:eastAsia="zh-CN"/>
        </w:rPr>
      </w:pPr>
    </w:p>
    <w:p w14:paraId="2E5CFC7F">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3B31DABC">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2A598FBA">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43172BB0">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0BF0A7D2">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02907223">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17B5C20A">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0A687059">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135B1EBB">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633C2CED">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6C620B87">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5F4A9DF3">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093C046D">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377FF7E1">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733B0634">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4A9B152E">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291DF628">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27FF2ECB">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p>
    <w:p w14:paraId="6C4CD4D5">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textAlignment w:val="auto"/>
        <w:rPr>
          <w:rFonts w:hint="eastAsia" w:ascii="黑体" w:hAnsi="黑体" w:eastAsia="黑体" w:cs="黑体"/>
          <w:color w:val="auto"/>
          <w:kern w:val="2"/>
          <w:sz w:val="24"/>
          <w:szCs w:val="24"/>
          <w:highlight w:val="none"/>
          <w:lang w:val="en-US" w:eastAsia="zh-CN" w:bidi="ar-SA"/>
        </w:rPr>
      </w:pPr>
      <w:r>
        <w:rPr>
          <w:rFonts w:hint="eastAsia" w:ascii="黑体" w:hAnsi="黑体" w:eastAsia="黑体" w:cs="黑体"/>
          <w:color w:val="auto"/>
          <w:kern w:val="2"/>
          <w:sz w:val="24"/>
          <w:szCs w:val="24"/>
          <w:highlight w:val="none"/>
          <w:lang w:val="en-US" w:eastAsia="zh-CN" w:bidi="ar-SA"/>
        </w:rPr>
        <w:t>附件2</w:t>
      </w:r>
    </w:p>
    <w:p w14:paraId="3E56AD66">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jc w:val="center"/>
        <w:textAlignment w:val="auto"/>
        <w:rPr>
          <w:rFonts w:hint="eastAsia" w:ascii="宋体" w:hAnsi="宋体" w:eastAsia="宋体" w:cs="宋体"/>
          <w:color w:val="auto"/>
          <w:kern w:val="0"/>
          <w:sz w:val="28"/>
          <w:szCs w:val="28"/>
          <w:highlight w:val="none"/>
          <w:lang w:eastAsia="zh-CN"/>
        </w:rPr>
      </w:pPr>
      <w:r>
        <w:rPr>
          <w:rFonts w:hint="eastAsia" w:ascii="宋体" w:hAnsi="宋体" w:eastAsia="宋体" w:cs="宋体"/>
          <w:color w:val="auto"/>
          <w:kern w:val="0"/>
          <w:sz w:val="28"/>
          <w:szCs w:val="28"/>
          <w:highlight w:val="none"/>
        </w:rPr>
        <w:t>安全协议</w:t>
      </w:r>
    </w:p>
    <w:p w14:paraId="422957F7">
      <w:pPr>
        <w:pStyle w:val="19"/>
        <w:keepNext w:val="0"/>
        <w:keepLines w:val="0"/>
        <w:pageBreakBefore w:val="0"/>
        <w:widowControl w:val="0"/>
        <w:shd w:val="clear" w:color="auto" w:fill="FFFFFF"/>
        <w:kinsoku/>
        <w:wordWrap/>
        <w:overflowPunct/>
        <w:topLinePunct w:val="0"/>
        <w:bidi w:val="0"/>
        <w:snapToGrid/>
        <w:spacing w:afterAutospacing="0" w:line="440" w:lineRule="exact"/>
        <w:ind w:left="0" w:leftChars="0"/>
        <w:textAlignment w:val="auto"/>
        <w:rPr>
          <w:rFonts w:hint="eastAsia" w:ascii="仿宋_GB2312" w:hAnsi="仿宋_GB2312" w:eastAsia="仿宋_GB2312" w:cs="仿宋_GB2312"/>
          <w:bCs/>
          <w:color w:val="auto"/>
          <w:sz w:val="24"/>
          <w:szCs w:val="24"/>
          <w:highlight w:val="none"/>
          <w:shd w:val="clear" w:color="auto" w:fill="FFFFFF"/>
        </w:rPr>
      </w:pPr>
    </w:p>
    <w:p w14:paraId="6FB2272B">
      <w:pPr>
        <w:pStyle w:val="19"/>
        <w:keepNext w:val="0"/>
        <w:keepLines w:val="0"/>
        <w:pageBreakBefore w:val="0"/>
        <w:widowControl w:val="0"/>
        <w:shd w:val="clear" w:color="auto" w:fill="FFFFFF"/>
        <w:kinsoku/>
        <w:wordWrap/>
        <w:overflowPunct/>
        <w:topLinePunct w:val="0"/>
        <w:bidi w:val="0"/>
        <w:snapToGrid/>
        <w:spacing w:afterAutospacing="0" w:line="440" w:lineRule="exact"/>
        <w:ind w:left="0" w:leftChars="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shd w:val="clear" w:color="auto" w:fill="FFFFFF"/>
        </w:rPr>
        <w:t>甲方：云南开放大学</w:t>
      </w:r>
      <w:r>
        <w:rPr>
          <w:rFonts w:hint="eastAsia" w:ascii="宋体" w:hAnsi="宋体" w:eastAsia="宋体" w:cs="宋体"/>
          <w:bCs/>
          <w:color w:val="auto"/>
          <w:sz w:val="24"/>
          <w:szCs w:val="24"/>
          <w:highlight w:val="none"/>
          <w:shd w:val="clear" w:color="auto" w:fill="FFFFFF"/>
          <w:lang w:eastAsia="zh-CN"/>
        </w:rPr>
        <w:t>（</w:t>
      </w:r>
      <w:r>
        <w:rPr>
          <w:rFonts w:hint="eastAsia" w:ascii="宋体" w:hAnsi="宋体" w:eastAsia="宋体" w:cs="宋体"/>
          <w:bCs/>
          <w:color w:val="auto"/>
          <w:sz w:val="24"/>
          <w:szCs w:val="24"/>
          <w:highlight w:val="none"/>
          <w:shd w:val="clear" w:color="auto" w:fill="FFFFFF"/>
          <w:lang w:val="en-US" w:eastAsia="zh-CN"/>
        </w:rPr>
        <w:t>云南国防工业职业技术学院</w:t>
      </w:r>
      <w:r>
        <w:rPr>
          <w:rFonts w:hint="eastAsia" w:ascii="宋体" w:hAnsi="宋体" w:eastAsia="宋体" w:cs="宋体"/>
          <w:bCs/>
          <w:color w:val="auto"/>
          <w:sz w:val="24"/>
          <w:szCs w:val="24"/>
          <w:highlight w:val="none"/>
          <w:shd w:val="clear" w:color="auto" w:fill="FFFFFF"/>
          <w:lang w:eastAsia="zh-CN"/>
        </w:rPr>
        <w:t>）</w:t>
      </w:r>
    </w:p>
    <w:p w14:paraId="12B93704">
      <w:pPr>
        <w:pStyle w:val="19"/>
        <w:keepNext w:val="0"/>
        <w:keepLines w:val="0"/>
        <w:pageBreakBefore w:val="0"/>
        <w:widowControl w:val="0"/>
        <w:shd w:val="clear" w:color="auto" w:fill="FFFFFF"/>
        <w:kinsoku/>
        <w:wordWrap/>
        <w:overflowPunct/>
        <w:topLinePunct w:val="0"/>
        <w:bidi w:val="0"/>
        <w:snapToGrid/>
        <w:spacing w:afterAutospacing="0" w:line="440" w:lineRule="exact"/>
        <w:ind w:left="0" w:left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shd w:val="clear" w:color="auto" w:fill="FFFFFF"/>
        </w:rPr>
        <w:t>乙方：</w:t>
      </w:r>
    </w:p>
    <w:p w14:paraId="7FFC7B4A">
      <w:pPr>
        <w:keepNext w:val="0"/>
        <w:keepLines w:val="0"/>
        <w:pageBreakBefore w:val="0"/>
        <w:widowControl w:val="0"/>
        <w:kinsoku/>
        <w:wordWrap/>
        <w:overflowPunct/>
        <w:topLinePunct w:val="0"/>
        <w:bidi w:val="0"/>
        <w:snapToGrid/>
        <w:spacing w:afterAutospacing="0" w:line="440" w:lineRule="exact"/>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一、甲方职责</w:t>
      </w:r>
    </w:p>
    <w:p w14:paraId="7797A2CB">
      <w:pPr>
        <w:keepNext w:val="0"/>
        <w:keepLines w:val="0"/>
        <w:pageBreakBefore w:val="0"/>
        <w:widowControl w:val="0"/>
        <w:kinsoku/>
        <w:wordWrap/>
        <w:overflowPunct/>
        <w:topLinePunct w:val="0"/>
        <w:bidi w:val="0"/>
        <w:snapToGrid/>
        <w:spacing w:afterAutospacing="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严格遵守国家有关安全生产的法律法规，认真执行工程承包合同中的有关安全要求。</w:t>
      </w:r>
    </w:p>
    <w:p w14:paraId="3870F307">
      <w:pPr>
        <w:keepNext w:val="0"/>
        <w:keepLines w:val="0"/>
        <w:pageBreakBefore w:val="0"/>
        <w:widowControl w:val="0"/>
        <w:kinsoku/>
        <w:wordWrap/>
        <w:overflowPunct/>
        <w:topLinePunct w:val="0"/>
        <w:bidi w:val="0"/>
        <w:snapToGrid/>
        <w:spacing w:afterAutospacing="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组织对乙方施工现场安全生产检查，监督乙方及时处理发现的各种安全隐患。</w:t>
      </w:r>
    </w:p>
    <w:p w14:paraId="47D233FC">
      <w:pPr>
        <w:keepNext w:val="0"/>
        <w:keepLines w:val="0"/>
        <w:pageBreakBefore w:val="0"/>
        <w:widowControl w:val="0"/>
        <w:kinsoku/>
        <w:wordWrap/>
        <w:overflowPunct/>
        <w:topLinePunct w:val="0"/>
        <w:bidi w:val="0"/>
        <w:snapToGrid/>
        <w:spacing w:afterAutospacing="0" w:line="440" w:lineRule="exact"/>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二、乙方职责</w:t>
      </w:r>
    </w:p>
    <w:p w14:paraId="206EFC62">
      <w:pPr>
        <w:keepNext w:val="0"/>
        <w:keepLines w:val="0"/>
        <w:pageBreakBefore w:val="0"/>
        <w:widowControl w:val="0"/>
        <w:kinsoku/>
        <w:wordWrap/>
        <w:overflowPunct/>
        <w:topLinePunct w:val="0"/>
        <w:bidi w:val="0"/>
        <w:snapToGrid/>
        <w:spacing w:afterAutospacing="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严格遵守国家有关安全生产的法律法规，认真执行工程承包合同中的有关安全要求。</w:t>
      </w:r>
    </w:p>
    <w:p w14:paraId="1C5C4687">
      <w:pPr>
        <w:keepNext w:val="0"/>
        <w:keepLines w:val="0"/>
        <w:pageBreakBefore w:val="0"/>
        <w:widowControl w:val="0"/>
        <w:kinsoku/>
        <w:wordWrap/>
        <w:overflowPunct/>
        <w:topLinePunct w:val="0"/>
        <w:bidi w:val="0"/>
        <w:snapToGrid/>
        <w:spacing w:afterAutospacing="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坚持“安全第一、预防为主”和“管生产必须管安全”的原则，加强安全生产宣传教育，增强全员安全生产意识，有组织有领导地开展安全生产活动。管理人员和具体操作人员，必须熟悉和遵守本条款的各项规定，做到生产与安全工作同时计划、布置、检查、总结。</w:t>
      </w:r>
    </w:p>
    <w:p w14:paraId="1653DD85">
      <w:pPr>
        <w:keepNext w:val="0"/>
        <w:keepLines w:val="0"/>
        <w:pageBreakBefore w:val="0"/>
        <w:widowControl w:val="0"/>
        <w:kinsoku/>
        <w:wordWrap/>
        <w:overflowPunct/>
        <w:topLinePunct w:val="0"/>
        <w:bidi w:val="0"/>
        <w:snapToGrid/>
        <w:spacing w:afterAutospacing="0" w:line="440" w:lineRule="exact"/>
        <w:ind w:left="0" w:leftChars="0"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建立健全安全生产责任制。从派往项目实施的项目经理到生产工人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包括临时雇请</w:t>
      </w:r>
      <w:r>
        <w:rPr>
          <w:rFonts w:hint="eastAsia" w:ascii="宋体" w:hAnsi="宋体" w:cs="宋体"/>
          <w:color w:val="auto"/>
          <w:sz w:val="24"/>
          <w:szCs w:val="24"/>
          <w:highlight w:val="none"/>
          <w:lang w:eastAsia="zh-CN"/>
        </w:rPr>
        <w:t>的农</w:t>
      </w:r>
      <w:r>
        <w:rPr>
          <w:rFonts w:hint="eastAsia" w:ascii="宋体" w:hAnsi="宋体" w:eastAsia="宋体" w:cs="宋体"/>
          <w:color w:val="auto"/>
          <w:sz w:val="24"/>
          <w:szCs w:val="24"/>
          <w:highlight w:val="none"/>
        </w:rPr>
        <w:t>民工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的安全生产管理系统必须做到纵向到底，一环不漏；各职能部门、人员的安全生产责任制做到横向到边，人人有责。项目经理是安全生产的第一责任人，负责所有员工的安全工作及预防事故的发生。 </w:t>
      </w:r>
    </w:p>
    <w:p w14:paraId="1799E5BC">
      <w:pPr>
        <w:keepNext w:val="0"/>
        <w:keepLines w:val="0"/>
        <w:pageBreakBefore w:val="0"/>
        <w:widowControl w:val="0"/>
        <w:kinsoku/>
        <w:wordWrap/>
        <w:overflowPunct/>
        <w:topLinePunct w:val="0"/>
        <w:bidi w:val="0"/>
        <w:snapToGrid/>
        <w:spacing w:afterAutospacing="0" w:line="440" w:lineRule="exact"/>
        <w:ind w:left="0" w:leftChars="0"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乙方在任何时候都应采取各种合理的预防措施，防止其员工发生任何违法、</w:t>
      </w:r>
      <w:r>
        <w:rPr>
          <w:rFonts w:hint="eastAsia" w:ascii="宋体" w:hAnsi="宋体" w:eastAsia="宋体" w:cs="宋体"/>
          <w:color w:val="auto"/>
          <w:sz w:val="24"/>
          <w:szCs w:val="24"/>
          <w:highlight w:val="none"/>
          <w:lang w:eastAsia="zh-CN"/>
        </w:rPr>
        <w:t>违纪</w:t>
      </w:r>
      <w:r>
        <w:rPr>
          <w:rFonts w:hint="eastAsia" w:ascii="宋体" w:hAnsi="宋体" w:eastAsia="宋体" w:cs="宋体"/>
          <w:color w:val="auto"/>
          <w:sz w:val="24"/>
          <w:szCs w:val="24"/>
          <w:highlight w:val="none"/>
        </w:rPr>
        <w:t>、暴力或妨碍治安的行为。</w:t>
      </w:r>
    </w:p>
    <w:p w14:paraId="5BDB3AC1">
      <w:pPr>
        <w:keepNext w:val="0"/>
        <w:keepLines w:val="0"/>
        <w:pageBreakBefore w:val="0"/>
        <w:widowControl w:val="0"/>
        <w:kinsoku/>
        <w:wordWrap/>
        <w:overflowPunct/>
        <w:topLinePunct w:val="0"/>
        <w:bidi w:val="0"/>
        <w:snapToGrid/>
        <w:spacing w:afterAutospacing="0" w:line="440" w:lineRule="exact"/>
        <w:ind w:left="0" w:leftChars="0"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rPr>
        <w:t>认真落实各项安全管理制度，坚决杜绝违章指挥和违章作业，乙方应对员工不断进行安全教育，并及时检查，发现隐患及时排除。</w:t>
      </w:r>
      <w:r>
        <w:rPr>
          <w:rFonts w:hint="eastAsia" w:ascii="宋体" w:hAnsi="宋体" w:eastAsia="宋体" w:cs="宋体"/>
          <w:color w:val="auto"/>
          <w:sz w:val="24"/>
          <w:szCs w:val="24"/>
          <w:highlight w:val="none"/>
        </w:rPr>
        <w:t>对于从事电气、起重、建筑登高架设作业等人员，必须接受安全技术教育，熟知和遵守各项安全技术操作规程。</w:t>
      </w:r>
    </w:p>
    <w:p w14:paraId="2A37382E">
      <w:pPr>
        <w:keepNext w:val="0"/>
        <w:keepLines w:val="0"/>
        <w:pageBreakBefore w:val="0"/>
        <w:widowControl w:val="0"/>
        <w:kinsoku/>
        <w:wordWrap/>
        <w:overflowPunct/>
        <w:topLinePunct w:val="0"/>
        <w:bidi w:val="0"/>
        <w:snapToGrid/>
        <w:spacing w:afterAutospacing="0" w:line="440" w:lineRule="exact"/>
        <w:ind w:left="0" w:leftChars="0" w:firstLine="540" w:firstLineChars="2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对于易燃易爆的材料除应专门妥善保管之外，还应配备有足够的消防设施。</w:t>
      </w:r>
    </w:p>
    <w:p w14:paraId="1099CDB2">
      <w:pPr>
        <w:keepNext w:val="0"/>
        <w:keepLines w:val="0"/>
        <w:pageBreakBefore w:val="0"/>
        <w:widowControl w:val="0"/>
        <w:kinsoku/>
        <w:wordWrap/>
        <w:overflowPunct/>
        <w:topLinePunct w:val="0"/>
        <w:bidi w:val="0"/>
        <w:snapToGrid/>
        <w:spacing w:afterAutospacing="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所有施工机具设备和高空作业的设备均应定期检查，保证其经常处于完好状态；不合格的机具、设备和劳动保护用品严禁使用。</w:t>
      </w:r>
    </w:p>
    <w:p w14:paraId="3DB36282">
      <w:pPr>
        <w:keepNext w:val="0"/>
        <w:keepLines w:val="0"/>
        <w:pageBreakBefore w:val="0"/>
        <w:widowControl w:val="0"/>
        <w:kinsoku/>
        <w:wordWrap/>
        <w:overflowPunct/>
        <w:topLinePunct w:val="0"/>
        <w:bidi w:val="0"/>
        <w:snapToGrid/>
        <w:spacing w:afterAutospacing="0" w:line="440" w:lineRule="exact"/>
        <w:ind w:left="0" w:leftChars="0"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施工中采用新技术、新工艺、新设备、新材料时，必须制定相应的安全技术措施，施工现场必须具有相关的安全标志牌和设置安全围挡或警戒线。</w:t>
      </w:r>
    </w:p>
    <w:p w14:paraId="25B5E0EE">
      <w:pPr>
        <w:keepNext w:val="0"/>
        <w:keepLines w:val="0"/>
        <w:pageBreakBefore w:val="0"/>
        <w:widowControl w:val="0"/>
        <w:kinsoku/>
        <w:wordWrap/>
        <w:overflowPunct/>
        <w:topLinePunct w:val="0"/>
        <w:bidi w:val="0"/>
        <w:snapToGrid/>
        <w:spacing w:afterAutospacing="0" w:line="440" w:lineRule="exact"/>
        <w:ind w:left="0" w:leftChars="0"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如乙方在履行合同期间，因自身原因及意外，给甲方带来实质性损害或造成不良影响，甲方有权要求赔偿，赔偿金额从应付款中支付。</w:t>
      </w:r>
    </w:p>
    <w:p w14:paraId="5FA015BA">
      <w:pPr>
        <w:keepNext w:val="0"/>
        <w:keepLines w:val="0"/>
        <w:pageBreakBefore w:val="0"/>
        <w:widowControl w:val="0"/>
        <w:kinsoku/>
        <w:wordWrap/>
        <w:overflowPunct/>
        <w:topLinePunct w:val="0"/>
        <w:bidi w:val="0"/>
        <w:snapToGrid/>
        <w:spacing w:afterAutospacing="0" w:line="440" w:lineRule="exact"/>
        <w:ind w:left="0" w:leftChars="0"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乙方必须按照本工程项目特点，组织制定本工程实施中的生产安全事故应急救援预案；如果发生安全事故，由乙方承担全部责任。</w:t>
      </w:r>
    </w:p>
    <w:p w14:paraId="19DC808A">
      <w:pPr>
        <w:keepNext w:val="0"/>
        <w:keepLines w:val="0"/>
        <w:pageBreakBefore w:val="0"/>
        <w:widowControl w:val="0"/>
        <w:tabs>
          <w:tab w:val="left" w:pos="360"/>
        </w:tabs>
        <w:kinsoku/>
        <w:wordWrap/>
        <w:overflowPunct/>
        <w:topLinePunct w:val="0"/>
        <w:autoSpaceDE w:val="0"/>
        <w:autoSpaceDN w:val="0"/>
        <w:bidi w:val="0"/>
        <w:adjustRightInd w:val="0"/>
        <w:snapToGrid/>
        <w:spacing w:afterAutospacing="0"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对于涉及安全的质量问题，按照《建筑工程质量管理条例》的规定，做到立即报告，及时采取防范措施。</w:t>
      </w:r>
    </w:p>
    <w:p w14:paraId="31BB8B3F">
      <w:pPr>
        <w:keepNext w:val="0"/>
        <w:keepLines w:val="0"/>
        <w:pageBreakBefore w:val="0"/>
        <w:widowControl w:val="0"/>
        <w:tabs>
          <w:tab w:val="left" w:pos="360"/>
        </w:tabs>
        <w:kinsoku/>
        <w:wordWrap/>
        <w:overflowPunct/>
        <w:topLinePunct w:val="0"/>
        <w:autoSpaceDE w:val="0"/>
        <w:autoSpaceDN w:val="0"/>
        <w:bidi w:val="0"/>
        <w:adjustRightInd w:val="0"/>
        <w:snapToGrid/>
        <w:spacing w:afterAutospacing="0"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（1）乙方在完成合同约定的所有施工内容后，将所有承包范围内工程清理干净。如乙方不能及时拆除或清理，甲方有权委托其他单位进行清理，造成的费用均在乙方的结算价款中扣除。</w:t>
      </w:r>
    </w:p>
    <w:p w14:paraId="04F1B05F">
      <w:pPr>
        <w:keepNext w:val="0"/>
        <w:keepLines w:val="0"/>
        <w:pageBreakBefore w:val="0"/>
        <w:widowControl w:val="0"/>
        <w:tabs>
          <w:tab w:val="left" w:pos="360"/>
        </w:tabs>
        <w:kinsoku/>
        <w:wordWrap/>
        <w:overflowPunct/>
        <w:topLinePunct w:val="0"/>
        <w:autoSpaceDE w:val="0"/>
        <w:autoSpaceDN w:val="0"/>
        <w:bidi w:val="0"/>
        <w:adjustRightInd w:val="0"/>
        <w:snapToGrid/>
        <w:spacing w:afterAutospacing="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rPr>
        <w:t>本工程项目的材料及施工须达到现行中华人民共和国相关国家标准、规范的要求。</w:t>
      </w:r>
    </w:p>
    <w:p w14:paraId="33D431E9">
      <w:pPr>
        <w:keepNext w:val="0"/>
        <w:keepLines w:val="0"/>
        <w:pageBreakBefore w:val="0"/>
        <w:widowControl w:val="0"/>
        <w:kinsoku/>
        <w:wordWrap/>
        <w:overflowPunct/>
        <w:topLinePunct w:val="0"/>
        <w:bidi w:val="0"/>
        <w:snapToGrid/>
        <w:spacing w:afterAutospacing="0" w:line="440" w:lineRule="exact"/>
        <w:ind w:left="0" w:leftChars="0" w:firstLine="480" w:firstLineChars="200"/>
        <w:textAlignment w:val="auto"/>
        <w:rPr>
          <w:rFonts w:hint="eastAsia" w:ascii="仿宋_GB2312" w:hAnsi="仿宋_GB2312" w:eastAsia="仿宋_GB2312" w:cs="仿宋_GB2312"/>
          <w:color w:val="auto"/>
          <w:sz w:val="24"/>
          <w:szCs w:val="24"/>
          <w:highlight w:val="none"/>
        </w:rPr>
      </w:pPr>
    </w:p>
    <w:p w14:paraId="65B4BABE">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66C2D271">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29FB3876">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2CC23413">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314A317B">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6C349A0E">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16613CFD">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1B1EBC8A">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487B070D">
      <w:pPr>
        <w:keepNext w:val="0"/>
        <w:keepLines w:val="0"/>
        <w:pageBreakBefore w:val="0"/>
        <w:widowControl w:val="0"/>
        <w:kinsoku/>
        <w:wordWrap/>
        <w:overflowPunct/>
        <w:topLinePunct w:val="0"/>
        <w:bidi w:val="0"/>
        <w:snapToGrid/>
        <w:spacing w:afterAutospacing="0" w:line="440" w:lineRule="exact"/>
        <w:ind w:left="0" w:leftChars="0"/>
        <w:jc w:val="right"/>
        <w:textAlignment w:val="auto"/>
        <w:rPr>
          <w:rFonts w:hint="eastAsia" w:ascii="仿宋_GB2312" w:hAnsi="仿宋_GB2312" w:eastAsia="仿宋_GB2312" w:cs="仿宋_GB2312"/>
          <w:color w:val="auto"/>
          <w:sz w:val="24"/>
          <w:szCs w:val="24"/>
          <w:highlight w:val="none"/>
        </w:rPr>
      </w:pPr>
    </w:p>
    <w:p w14:paraId="5ACBD1AB">
      <w:pPr>
        <w:pStyle w:val="12"/>
        <w:keepNext w:val="0"/>
        <w:keepLines w:val="0"/>
        <w:pageBreakBefore w:val="0"/>
        <w:widowControl w:val="0"/>
        <w:kinsoku/>
        <w:wordWrap/>
        <w:overflowPunct/>
        <w:topLinePunct w:val="0"/>
        <w:bidi w:val="0"/>
        <w:snapToGrid/>
        <w:spacing w:afterAutospacing="0" w:line="440" w:lineRule="exact"/>
        <w:ind w:left="0" w:leftChars="0"/>
        <w:textAlignment w:val="auto"/>
        <w:rPr>
          <w:rFonts w:hint="eastAsia" w:ascii="仿宋_GB2312" w:hAnsi="仿宋_GB2312" w:eastAsia="仿宋_GB2312" w:cs="仿宋_GB2312"/>
          <w:b/>
          <w:color w:val="auto"/>
          <w:sz w:val="24"/>
          <w:szCs w:val="24"/>
          <w:highlight w:val="none"/>
        </w:rPr>
      </w:pPr>
    </w:p>
    <w:p w14:paraId="75F1BC7A">
      <w:pPr>
        <w:pStyle w:val="20"/>
        <w:keepNext w:val="0"/>
        <w:keepLines w:val="0"/>
        <w:pageBreakBefore w:val="0"/>
        <w:widowControl w:val="0"/>
        <w:kinsoku/>
        <w:wordWrap/>
        <w:overflowPunct/>
        <w:topLinePunct w:val="0"/>
        <w:bidi w:val="0"/>
        <w:snapToGrid/>
        <w:spacing w:after="0" w:afterAutospacing="0" w:line="440" w:lineRule="exact"/>
        <w:ind w:left="0" w:leftChars="0" w:firstLine="0" w:firstLineChars="0"/>
        <w:textAlignment w:val="auto"/>
        <w:rPr>
          <w:rFonts w:hint="eastAsia" w:ascii="黑体" w:hAnsi="黑体" w:eastAsia="黑体" w:cs="黑体"/>
          <w:color w:val="auto"/>
          <w:sz w:val="24"/>
          <w:szCs w:val="24"/>
          <w:highlight w:val="none"/>
        </w:rPr>
      </w:pPr>
    </w:p>
    <w:p w14:paraId="471D5A20">
      <w:pPr>
        <w:pStyle w:val="20"/>
        <w:keepNext w:val="0"/>
        <w:keepLines w:val="0"/>
        <w:pageBreakBefore w:val="0"/>
        <w:widowControl w:val="0"/>
        <w:kinsoku/>
        <w:wordWrap/>
        <w:overflowPunct/>
        <w:topLinePunct w:val="0"/>
        <w:bidi w:val="0"/>
        <w:snapToGrid/>
        <w:spacing w:after="0" w:afterAutospacing="0" w:line="440" w:lineRule="exact"/>
        <w:ind w:left="0" w:leftChars="0" w:firstLine="0" w:firstLineChars="0"/>
        <w:textAlignment w:val="auto"/>
        <w:rPr>
          <w:rFonts w:hint="eastAsia" w:ascii="黑体" w:hAnsi="黑体" w:eastAsia="黑体" w:cs="黑体"/>
          <w:color w:val="auto"/>
          <w:sz w:val="24"/>
          <w:szCs w:val="24"/>
          <w:highlight w:val="none"/>
        </w:rPr>
      </w:pPr>
    </w:p>
    <w:p w14:paraId="12655001">
      <w:pPr>
        <w:pStyle w:val="20"/>
        <w:keepNext w:val="0"/>
        <w:keepLines w:val="0"/>
        <w:pageBreakBefore w:val="0"/>
        <w:widowControl w:val="0"/>
        <w:kinsoku/>
        <w:wordWrap/>
        <w:overflowPunct/>
        <w:topLinePunct w:val="0"/>
        <w:bidi w:val="0"/>
        <w:snapToGrid/>
        <w:spacing w:after="0" w:afterAutospacing="0" w:line="440" w:lineRule="exact"/>
        <w:ind w:left="0" w:leftChars="0" w:firstLine="0" w:firstLineChars="0"/>
        <w:textAlignment w:val="auto"/>
        <w:rPr>
          <w:rFonts w:hint="eastAsia" w:ascii="黑体" w:hAnsi="黑体" w:eastAsia="黑体" w:cs="黑体"/>
          <w:color w:val="auto"/>
          <w:sz w:val="24"/>
          <w:szCs w:val="24"/>
          <w:highlight w:val="none"/>
        </w:rPr>
      </w:pPr>
    </w:p>
    <w:p w14:paraId="2773D514">
      <w:pPr>
        <w:pStyle w:val="20"/>
        <w:keepNext w:val="0"/>
        <w:keepLines w:val="0"/>
        <w:pageBreakBefore w:val="0"/>
        <w:widowControl w:val="0"/>
        <w:kinsoku/>
        <w:wordWrap/>
        <w:overflowPunct/>
        <w:topLinePunct w:val="0"/>
        <w:bidi w:val="0"/>
        <w:snapToGrid/>
        <w:spacing w:after="0" w:afterAutospacing="0" w:line="440" w:lineRule="exact"/>
        <w:ind w:left="0" w:leftChars="0" w:firstLine="0" w:firstLineChars="0"/>
        <w:textAlignment w:val="auto"/>
        <w:rPr>
          <w:rFonts w:hint="eastAsia" w:ascii="黑体" w:hAnsi="黑体" w:eastAsia="黑体" w:cs="黑体"/>
          <w:color w:val="auto"/>
          <w:sz w:val="24"/>
          <w:szCs w:val="24"/>
          <w:highlight w:val="none"/>
        </w:rPr>
      </w:pPr>
    </w:p>
    <w:p w14:paraId="01FF1146">
      <w:pPr>
        <w:pStyle w:val="20"/>
        <w:keepNext w:val="0"/>
        <w:keepLines w:val="0"/>
        <w:pageBreakBefore w:val="0"/>
        <w:widowControl w:val="0"/>
        <w:kinsoku/>
        <w:wordWrap/>
        <w:overflowPunct/>
        <w:topLinePunct w:val="0"/>
        <w:bidi w:val="0"/>
        <w:snapToGrid/>
        <w:spacing w:after="0" w:afterAutospacing="0" w:line="440" w:lineRule="exact"/>
        <w:ind w:left="0" w:leftChars="0" w:firstLine="0" w:firstLineChars="0"/>
        <w:textAlignment w:val="auto"/>
        <w:rPr>
          <w:rFonts w:hint="eastAsia" w:ascii="黑体" w:hAnsi="黑体" w:eastAsia="黑体" w:cs="黑体"/>
          <w:b/>
          <w:color w:val="auto"/>
          <w:sz w:val="24"/>
          <w:szCs w:val="24"/>
          <w:highlight w:val="none"/>
        </w:rPr>
      </w:pPr>
      <w:r>
        <w:rPr>
          <w:rFonts w:hint="eastAsia" w:ascii="黑体" w:hAnsi="黑体" w:eastAsia="黑体" w:cs="黑体"/>
          <w:color w:val="auto"/>
          <w:sz w:val="24"/>
          <w:szCs w:val="24"/>
          <w:highlight w:val="none"/>
        </w:rPr>
        <w:t>附件3</w:t>
      </w:r>
    </w:p>
    <w:p w14:paraId="4544831F">
      <w:pPr>
        <w:pStyle w:val="6"/>
        <w:keepNext w:val="0"/>
        <w:keepLines w:val="0"/>
        <w:pageBreakBefore w:val="0"/>
        <w:widowControl w:val="0"/>
        <w:kinsoku/>
        <w:wordWrap/>
        <w:overflowPunct/>
        <w:topLinePunct w:val="0"/>
        <w:bidi w:val="0"/>
        <w:snapToGrid/>
        <w:spacing w:afterAutospacing="0" w:line="440" w:lineRule="exact"/>
        <w:ind w:left="0" w:leftChars="0" w:firstLine="0" w:firstLineChars="0"/>
        <w:jc w:val="center"/>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工程售后服务承诺书</w:t>
      </w:r>
    </w:p>
    <w:p w14:paraId="10065DE3">
      <w:pPr>
        <w:pStyle w:val="2"/>
        <w:rPr>
          <w:rFonts w:hint="eastAsia"/>
          <w:color w:val="auto"/>
          <w:highlight w:val="none"/>
        </w:rPr>
      </w:pPr>
    </w:p>
    <w:p w14:paraId="3A5E6537">
      <w:pPr>
        <w:pStyle w:val="2"/>
        <w:rPr>
          <w:rFonts w:hint="eastAsia"/>
          <w:color w:val="auto"/>
          <w:highlight w:val="none"/>
        </w:rPr>
      </w:pPr>
    </w:p>
    <w:p w14:paraId="74C502A3">
      <w:pPr>
        <w:rPr>
          <w:rFonts w:hint="eastAsia"/>
          <w:color w:val="auto"/>
          <w:highlight w:val="none"/>
        </w:rPr>
      </w:pPr>
    </w:p>
    <w:p w14:paraId="4306544C">
      <w:pPr>
        <w:pStyle w:val="2"/>
        <w:rPr>
          <w:rFonts w:hint="eastAsia"/>
          <w:color w:val="auto"/>
          <w:highlight w:val="none"/>
        </w:rPr>
      </w:pPr>
    </w:p>
    <w:p w14:paraId="30FABEF2">
      <w:pPr>
        <w:rPr>
          <w:rFonts w:hint="eastAsia"/>
          <w:color w:val="auto"/>
          <w:highlight w:val="none"/>
        </w:rPr>
      </w:pPr>
    </w:p>
    <w:p w14:paraId="5BD745D2">
      <w:pPr>
        <w:pStyle w:val="2"/>
        <w:rPr>
          <w:rFonts w:hint="eastAsia"/>
          <w:color w:val="auto"/>
          <w:highlight w:val="none"/>
        </w:rPr>
      </w:pPr>
    </w:p>
    <w:p w14:paraId="1A26F9C6">
      <w:pPr>
        <w:rPr>
          <w:rFonts w:hint="eastAsia"/>
          <w:color w:val="auto"/>
          <w:highlight w:val="none"/>
        </w:rPr>
      </w:pPr>
    </w:p>
    <w:p w14:paraId="1620EC88">
      <w:pPr>
        <w:pStyle w:val="2"/>
        <w:rPr>
          <w:rFonts w:hint="eastAsia"/>
          <w:color w:val="auto"/>
          <w:highlight w:val="none"/>
        </w:rPr>
      </w:pPr>
    </w:p>
    <w:p w14:paraId="21167ADE">
      <w:pPr>
        <w:rPr>
          <w:rFonts w:hint="eastAsia"/>
          <w:color w:val="auto"/>
          <w:highlight w:val="none"/>
        </w:rPr>
      </w:pPr>
    </w:p>
    <w:p w14:paraId="0B5843E5">
      <w:pPr>
        <w:pStyle w:val="2"/>
        <w:rPr>
          <w:rFonts w:hint="eastAsia"/>
          <w:color w:val="auto"/>
          <w:highlight w:val="none"/>
        </w:rPr>
      </w:pPr>
    </w:p>
    <w:p w14:paraId="7D0F3B59">
      <w:pPr>
        <w:rPr>
          <w:rFonts w:hint="eastAsia"/>
          <w:color w:val="auto"/>
          <w:highlight w:val="none"/>
        </w:rPr>
      </w:pPr>
    </w:p>
    <w:p w14:paraId="43DE509E">
      <w:pPr>
        <w:pStyle w:val="2"/>
        <w:rPr>
          <w:rFonts w:hint="eastAsia"/>
          <w:color w:val="auto"/>
          <w:highlight w:val="none"/>
        </w:rPr>
      </w:pPr>
    </w:p>
    <w:p w14:paraId="76723CBB">
      <w:pPr>
        <w:rPr>
          <w:rFonts w:hint="eastAsia"/>
          <w:color w:val="auto"/>
          <w:highlight w:val="none"/>
        </w:rPr>
      </w:pPr>
    </w:p>
    <w:p w14:paraId="783043FB">
      <w:pPr>
        <w:pStyle w:val="2"/>
        <w:rPr>
          <w:rFonts w:hint="eastAsia"/>
          <w:color w:val="auto"/>
          <w:highlight w:val="none"/>
        </w:rPr>
      </w:pPr>
    </w:p>
    <w:p w14:paraId="75A6130F">
      <w:pPr>
        <w:rPr>
          <w:rFonts w:hint="eastAsia"/>
          <w:color w:val="auto"/>
          <w:highlight w:val="none"/>
        </w:rPr>
      </w:pPr>
    </w:p>
    <w:p w14:paraId="2D215F8F">
      <w:pPr>
        <w:pStyle w:val="2"/>
        <w:rPr>
          <w:rFonts w:hint="eastAsia"/>
          <w:color w:val="auto"/>
          <w:highlight w:val="none"/>
        </w:rPr>
      </w:pPr>
    </w:p>
    <w:p w14:paraId="30B1ABFC">
      <w:pPr>
        <w:rPr>
          <w:rFonts w:hint="eastAsia"/>
          <w:color w:val="auto"/>
          <w:highlight w:val="none"/>
        </w:rPr>
      </w:pPr>
    </w:p>
    <w:p w14:paraId="15874720">
      <w:pPr>
        <w:pStyle w:val="2"/>
        <w:rPr>
          <w:rFonts w:hint="eastAsia"/>
          <w:color w:val="auto"/>
          <w:highlight w:val="none"/>
        </w:rPr>
      </w:pPr>
    </w:p>
    <w:p w14:paraId="0C67430A">
      <w:pPr>
        <w:rPr>
          <w:rFonts w:hint="eastAsia"/>
          <w:color w:val="auto"/>
          <w:highlight w:val="none"/>
        </w:rPr>
      </w:pPr>
    </w:p>
    <w:p w14:paraId="08FDEEB8">
      <w:pPr>
        <w:pStyle w:val="2"/>
        <w:rPr>
          <w:rFonts w:hint="eastAsia"/>
          <w:color w:val="auto"/>
          <w:highlight w:val="none"/>
        </w:rPr>
      </w:pPr>
    </w:p>
    <w:p w14:paraId="4B8A35A9">
      <w:pPr>
        <w:rPr>
          <w:rFonts w:hint="eastAsia"/>
          <w:color w:val="auto"/>
          <w:highlight w:val="none"/>
        </w:rPr>
      </w:pPr>
    </w:p>
    <w:p w14:paraId="200BE49C">
      <w:pPr>
        <w:pStyle w:val="2"/>
        <w:rPr>
          <w:rFonts w:hint="eastAsia"/>
          <w:color w:val="auto"/>
          <w:highlight w:val="none"/>
        </w:rPr>
      </w:pPr>
    </w:p>
    <w:p w14:paraId="1F1659A9">
      <w:pPr>
        <w:rPr>
          <w:rFonts w:hint="eastAsia"/>
          <w:color w:val="auto"/>
          <w:highlight w:val="none"/>
        </w:rPr>
      </w:pPr>
    </w:p>
    <w:p w14:paraId="0AB696C3">
      <w:pPr>
        <w:pStyle w:val="2"/>
        <w:rPr>
          <w:rFonts w:hint="eastAsia"/>
          <w:color w:val="auto"/>
          <w:highlight w:val="none"/>
        </w:rPr>
      </w:pPr>
    </w:p>
    <w:p w14:paraId="60751C3D">
      <w:pPr>
        <w:rPr>
          <w:rFonts w:hint="eastAsia"/>
          <w:color w:val="auto"/>
          <w:highlight w:val="none"/>
        </w:rPr>
      </w:pPr>
    </w:p>
    <w:p w14:paraId="75183F6E">
      <w:pPr>
        <w:pStyle w:val="2"/>
        <w:rPr>
          <w:rFonts w:hint="eastAsia"/>
          <w:color w:val="auto"/>
          <w:highlight w:val="none"/>
        </w:rPr>
      </w:pPr>
    </w:p>
    <w:p w14:paraId="35672DE8">
      <w:pPr>
        <w:rPr>
          <w:rFonts w:hint="eastAsia"/>
          <w:color w:val="auto"/>
          <w:highlight w:val="none"/>
        </w:rPr>
      </w:pPr>
    </w:p>
    <w:p w14:paraId="54A5AFC3">
      <w:pPr>
        <w:pStyle w:val="2"/>
        <w:rPr>
          <w:rFonts w:hint="eastAsia"/>
          <w:color w:val="auto"/>
          <w:highlight w:val="none"/>
        </w:rPr>
      </w:pPr>
    </w:p>
    <w:p w14:paraId="7DB836C5">
      <w:pPr>
        <w:rPr>
          <w:rFonts w:hint="eastAsia"/>
          <w:color w:val="auto"/>
          <w:highlight w:val="none"/>
        </w:rPr>
      </w:pPr>
    </w:p>
    <w:p w14:paraId="48875085">
      <w:pPr>
        <w:pStyle w:val="2"/>
        <w:rPr>
          <w:rFonts w:hint="eastAsia"/>
          <w:color w:val="auto"/>
          <w:highlight w:val="none"/>
        </w:rPr>
      </w:pPr>
    </w:p>
    <w:p w14:paraId="1344344F">
      <w:pPr>
        <w:rPr>
          <w:rFonts w:hint="eastAsia" w:ascii="宋体" w:hAnsi="宋体" w:eastAsia="宋体" w:cs="宋体"/>
          <w:b/>
          <w:bCs/>
          <w:color w:val="auto"/>
          <w:kern w:val="44"/>
          <w:sz w:val="28"/>
          <w:szCs w:val="28"/>
          <w:lang w:val="en-US" w:eastAsia="zh-CN" w:bidi="ar-SA"/>
        </w:rPr>
      </w:pPr>
    </w:p>
    <w:bookmarkEnd w:id="962"/>
    <w:bookmarkEnd w:id="963"/>
    <w:bookmarkEnd w:id="964"/>
    <w:bookmarkEnd w:id="965"/>
    <w:bookmarkEnd w:id="966"/>
    <w:bookmarkEnd w:id="967"/>
    <w:bookmarkEnd w:id="968"/>
    <w:p w14:paraId="28E9EA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bookmarkStart w:id="969" w:name="_Toc3982"/>
      <w:bookmarkStart w:id="970" w:name="_Toc22323"/>
      <w:bookmarkStart w:id="971" w:name="_Toc14668"/>
      <w:bookmarkStart w:id="972" w:name="_Toc28609"/>
      <w:bookmarkStart w:id="973" w:name="_Toc200"/>
    </w:p>
    <w:p w14:paraId="4752C0D7">
      <w:pPr>
        <w:pStyle w:val="3"/>
        <w:numPr>
          <w:ilvl w:val="0"/>
          <w:numId w:val="0"/>
        </w:numPr>
        <w:jc w:val="center"/>
        <w:rPr>
          <w:rFonts w:hint="eastAsia" w:ascii="宋体" w:hAnsi="宋体" w:eastAsia="宋体" w:cs="宋体"/>
          <w:color w:val="auto"/>
          <w:kern w:val="44"/>
          <w:sz w:val="28"/>
          <w:szCs w:val="28"/>
          <w:highlight w:val="none"/>
        </w:rPr>
      </w:pPr>
      <w:bookmarkStart w:id="974" w:name="_Toc10696"/>
      <w:r>
        <w:rPr>
          <w:rFonts w:hint="eastAsia" w:ascii="宋体" w:hAnsi="宋体" w:eastAsia="宋体" w:cs="宋体"/>
          <w:b/>
          <w:bCs/>
          <w:color w:val="auto"/>
          <w:kern w:val="44"/>
          <w:sz w:val="32"/>
          <w:szCs w:val="32"/>
          <w:lang w:val="en-US" w:eastAsia="zh-CN" w:bidi="ar-SA"/>
        </w:rPr>
        <w:t xml:space="preserve">第五章 </w:t>
      </w:r>
      <w:r>
        <w:rPr>
          <w:rFonts w:hint="eastAsia" w:ascii="宋体" w:hAnsi="宋体" w:eastAsia="宋体" w:cs="宋体"/>
          <w:bCs w:val="0"/>
          <w:color w:val="auto"/>
          <w:kern w:val="44"/>
          <w:sz w:val="32"/>
          <w:szCs w:val="32"/>
          <w:highlight w:val="none"/>
        </w:rPr>
        <w:t>项目需求</w:t>
      </w:r>
      <w:bookmarkEnd w:id="974"/>
    </w:p>
    <w:p w14:paraId="2BDFC5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 xml:space="preserve">一、简要概况： </w:t>
      </w:r>
    </w:p>
    <w:p w14:paraId="7BD7B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根据云南开放大学呈贡校区学生公寓B苑室内维修项目的目标定位，具体内容如下：</w:t>
      </w:r>
    </w:p>
    <w:p w14:paraId="58EDD9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1、项目概况：</w:t>
      </w:r>
    </w:p>
    <w:p w14:paraId="39C524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呈贡校区学生宿舍于 2010年随校区建成陆续投入使用，长期作为全日制学生宿舍承担住宿功能，服务校区学生住宿需求已15余年。</w:t>
      </w:r>
    </w:p>
    <w:p w14:paraId="2126B3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本次改造范围与主要内容围绕呈贡校区学生公寓B苑 “公共区域 + 内部空间” 展开，具体包括：</w:t>
      </w:r>
    </w:p>
    <w:p w14:paraId="6B2839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室内公共区域：对走廊、楼梯间等公共区域的墙面、顶面破损位置修复后重新粉刷翻新，提升公共空间整洁度与安全性；</w:t>
      </w:r>
    </w:p>
    <w:p w14:paraId="656F5A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宿舍内部空间：针对每间宿舍的墙面、门进行修缮，解决因长期使用导致的墙面剥落、开裂，门生锈、变形等问题；对部分宿舍存在渗漏的卫生间及阳台进行防水修缮，改善居住环境。</w:t>
      </w:r>
    </w:p>
    <w:p w14:paraId="7C9EC9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2、需执行的国家相关标准、行业标准及规范：</w:t>
      </w:r>
    </w:p>
    <w:p w14:paraId="324C0D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《建筑装饰装修工程质量验收标准》</w:t>
      </w:r>
    </w:p>
    <w:p w14:paraId="529D78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《住宅装饰装修工程施工规范》</w:t>
      </w:r>
    </w:p>
    <w:p w14:paraId="050CBF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《民用建筑工程室内环境污染控制标准》</w:t>
      </w:r>
    </w:p>
    <w:p w14:paraId="0D6C70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《建筑内部装修设计防火规范》</w:t>
      </w:r>
    </w:p>
    <w:p w14:paraId="389051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《建筑节能工程施工质量验收规范》</w:t>
      </w:r>
    </w:p>
    <w:p w14:paraId="44F4A5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二、项目内容：</w:t>
      </w:r>
    </w:p>
    <w:p w14:paraId="009167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包括但不限于以下内容：</w:t>
      </w:r>
    </w:p>
    <w:p w14:paraId="7CDDF7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1、建筑物墙面、顶面破损修缮、翻新；</w:t>
      </w:r>
    </w:p>
    <w:p w14:paraId="1383BA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2、宿舍门进行翻新等；</w:t>
      </w:r>
    </w:p>
    <w:p w14:paraId="75F3E9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3、卫生间、阳台防水施工等。</w:t>
      </w:r>
    </w:p>
    <w:p w14:paraId="32727B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所有施工须同步落实成品保护与扬尘管控措施，确保学校正常秩序不受影响。</w:t>
      </w:r>
    </w:p>
    <w:p w14:paraId="19A874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三、目标需求：</w:t>
      </w:r>
    </w:p>
    <w:p w14:paraId="228DAE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1、解决宿舍长期使用产生的设施老化问题，消除安全隐患，完善校区基础设施功能，为学生提供更安全、舒适的生活环境。</w:t>
      </w:r>
    </w:p>
    <w:p w14:paraId="49585D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2、确保工程的施工质量，包括墙面翻新后的平整度，卫生间和阳台防水耐久性，原有水电设施的安全性等。</w:t>
      </w:r>
    </w:p>
    <w:p w14:paraId="036E9F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3、选用优质的装修材料，保证其耐久性和稳定性。</w:t>
      </w:r>
    </w:p>
    <w:p w14:paraId="59270E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4、控制室内改造装饰材料的有害物质释放，保障室内空气质量符合环保标准。</w:t>
      </w:r>
    </w:p>
    <w:p w14:paraId="1B4ED6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6、采用环保的施工工艺，减少对环境的污染。</w:t>
      </w:r>
    </w:p>
    <w:p w14:paraId="77CFAC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7、设定合理的改造工期，严格按照施工计划进行，避免工期延误。</w:t>
      </w:r>
    </w:p>
    <w:p w14:paraId="7A8508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8、保障施工过程中的人员安全，遵守相关安全规范。</w:t>
      </w:r>
    </w:p>
    <w:p w14:paraId="56B475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四、人员组成：</w:t>
      </w:r>
    </w:p>
    <w:p w14:paraId="2B80EB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项目经理1名（二级建造师及以上职称），技术负责人1名以上，安全管理员1名以上，预算员1名以上，施工人员若干，以上人员需具有工程类相关的资质证书，施工人员必须有社保及意外伤害险。</w:t>
      </w:r>
    </w:p>
    <w:p w14:paraId="0830CB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w:t>
      </w:r>
      <w:r>
        <w:rPr>
          <w:rFonts w:hint="eastAsia" w:asciiTheme="minorEastAsia" w:hAnsiTheme="minorEastAsia" w:eastAsiaTheme="minorEastAsia" w:cstheme="minorEastAsia"/>
          <w:b/>
          <w:bCs/>
          <w:color w:val="auto"/>
          <w:sz w:val="21"/>
          <w:szCs w:val="21"/>
          <w:highlight w:val="none"/>
          <w:lang w:val="en-US" w:eastAsia="zh-CN"/>
        </w:rPr>
        <w:t>五、质量要求（提供承诺函）：</w:t>
      </w:r>
    </w:p>
    <w:p w14:paraId="58D617E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所有施工材料及设施设备质量符合国家相关质量标准，确保所有修缮工程质量达到优良标准，所有修缮工程质保两年以上（房屋防水工程、有防水要求的卫生间、房间和外墙面的防渗漏，质保期为5年）。</w:t>
      </w:r>
    </w:p>
    <w:p w14:paraId="2CC003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六、项目验收要求：</w:t>
      </w:r>
    </w:p>
    <w:p w14:paraId="026452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（一）项目验收（初验）：成交人向采购人提出项目初验申请，采购人组织甲乙双方人员进行初验。初验合格后，签署《云南开放大学采购项目验收报告表》。</w:t>
      </w:r>
    </w:p>
    <w:p w14:paraId="484D6B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（二）项目验收（终验）：初验通过后，成交人向采购人管理部门提交《云南开放大学采购项目终验申请表》。采购人组织相关人员进行终验，终验通过后签署《云南开放大学采购项目终验报告表》。</w:t>
      </w:r>
    </w:p>
    <w:p w14:paraId="00DDD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七、施工图纸、工程量清单：</w:t>
      </w:r>
    </w:p>
    <w:p w14:paraId="790ECE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详见提供的施工图纸和工程量清单。</w:t>
      </w:r>
    </w:p>
    <w:p w14:paraId="04AC75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八、维保修承诺：</w:t>
      </w:r>
    </w:p>
    <w:p w14:paraId="41D3A7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（一）保修范围</w:t>
      </w:r>
    </w:p>
    <w:p w14:paraId="3DF30C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本承诺书适用于云南开放大学呈贡校区学生公寓B苑室内维修项目，包括但不限于：⑴拆除工程，⑵砌筑工程，⑶卫生间防水工程，⑷墙柱面装饰工程，⑸楼地面装饰工程，⑹天棚工程，⑺油漆、涂料、裱糊工程，⑻其他装饰工程，⑼外墙装修工程，⑽铝合金门窗工程，⑾电气照明工程，⑿弱电工程，⒀排烟通风工程，⒁给排水工程。</w:t>
      </w:r>
    </w:p>
    <w:p w14:paraId="27546C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2.保修期内，因施工质量、材料缺陷等原因造成的故障，成交人负责免费维修。</w:t>
      </w:r>
    </w:p>
    <w:p w14:paraId="4767EE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（二）保修期限</w:t>
      </w:r>
    </w:p>
    <w:p w14:paraId="0C61C7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1.本工程保修期为2年，其中防水工程的保修期为5年，自工程竣工验收合格之日起计算。</w:t>
      </w:r>
    </w:p>
    <w:p w14:paraId="0A1F9A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2.保修期内，成交人提供24小时全天候应急维修服务，接到报修通知后24小时内到达现场进行处理。</w:t>
      </w:r>
    </w:p>
    <w:p w14:paraId="5DA27F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（三）售后服务内容</w:t>
      </w:r>
    </w:p>
    <w:p w14:paraId="240763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1.定期回访：保修期内，成交人将定期进行电话回访或现场巡查，了解设备运行情况，及时发现并解决问题。</w:t>
      </w:r>
    </w:p>
    <w:p w14:paraId="37E305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2.故障维修：保修期内，出现任何故障，成交人将24小时内派遣专业技术人员进行维修，确保故障及时排除。</w:t>
      </w:r>
    </w:p>
    <w:p w14:paraId="26CD64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3.技术咨询：成交人提供免费技术咨询服务，解答采购人在使用过程中遇到的任何技术问题。</w:t>
      </w:r>
    </w:p>
    <w:p w14:paraId="72EDF4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（四）其他</w:t>
      </w:r>
    </w:p>
    <w:p w14:paraId="377A75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1.采购人未经竣工验收擅自使用工程的，保修期自转移占用之日起算。</w:t>
      </w:r>
    </w:p>
    <w:p w14:paraId="53D8AC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2.成交人对提供的货物在质保期内，因产品质量而导致的缺陷，免费提供包修、包换、包退服务。</w:t>
      </w:r>
    </w:p>
    <w:p w14:paraId="794250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3.本承诺书作为施工合同的附件，与合同具有同等法律效力。</w:t>
      </w:r>
    </w:p>
    <w:p w14:paraId="74C120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4.成交人承诺：将以优质的服务、精湛的技术、高效的执行力，为云南开放大学呈贡校区学生公寓B苑室内维修项目提供安全可靠的质量保障！</w:t>
      </w:r>
    </w:p>
    <w:p w14:paraId="06F3F7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黑体"/>
          <w:b/>
          <w:color w:val="auto"/>
          <w:kern w:val="44"/>
          <w:sz w:val="36"/>
          <w:szCs w:val="20"/>
          <w:highlight w:val="none"/>
        </w:rPr>
      </w:pPr>
    </w:p>
    <w:p w14:paraId="77E29E52"/>
    <w:p w14:paraId="7CD5F6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黑体"/>
          <w:b/>
          <w:color w:val="auto"/>
          <w:kern w:val="44"/>
          <w:sz w:val="36"/>
          <w:szCs w:val="20"/>
          <w:highlight w:val="none"/>
        </w:rPr>
      </w:pPr>
    </w:p>
    <w:p w14:paraId="30D5C0C1">
      <w:pPr>
        <w:spacing w:line="240" w:lineRule="auto"/>
        <w:jc w:val="left"/>
        <w:outlineLvl w:val="9"/>
        <w:rPr>
          <w:rFonts w:hint="eastAsia" w:eastAsia="黑体"/>
          <w:b/>
          <w:color w:val="auto"/>
          <w:kern w:val="44"/>
          <w:sz w:val="36"/>
          <w:szCs w:val="20"/>
          <w:highlight w:val="none"/>
        </w:rPr>
      </w:pPr>
      <w:bookmarkStart w:id="975" w:name="_Toc8492"/>
      <w:bookmarkStart w:id="976" w:name="_Toc8929"/>
      <w:r>
        <w:rPr>
          <w:rFonts w:hint="eastAsia" w:eastAsia="黑体"/>
          <w:b/>
          <w:color w:val="auto"/>
          <w:kern w:val="44"/>
          <w:sz w:val="36"/>
          <w:szCs w:val="20"/>
          <w:highlight w:val="none"/>
        </w:rPr>
        <w:br w:type="page"/>
      </w:r>
    </w:p>
    <w:p w14:paraId="4F3D002D">
      <w:pPr>
        <w:tabs>
          <w:tab w:val="left" w:pos="7560"/>
          <w:tab w:val="left" w:pos="8460"/>
        </w:tabs>
        <w:spacing w:line="360" w:lineRule="auto"/>
        <w:jc w:val="center"/>
        <w:outlineLvl w:val="0"/>
        <w:rPr>
          <w:rFonts w:eastAsia="黑体"/>
          <w:b/>
          <w:color w:val="auto"/>
          <w:kern w:val="44"/>
          <w:sz w:val="36"/>
          <w:szCs w:val="20"/>
          <w:highlight w:val="none"/>
        </w:rPr>
      </w:pPr>
      <w:bookmarkStart w:id="977" w:name="_Toc2801"/>
      <w:r>
        <w:rPr>
          <w:rFonts w:hint="eastAsia" w:eastAsia="黑体"/>
          <w:b/>
          <w:color w:val="auto"/>
          <w:kern w:val="44"/>
          <w:sz w:val="36"/>
          <w:szCs w:val="20"/>
          <w:highlight w:val="none"/>
        </w:rPr>
        <w:t>第六章</w:t>
      </w:r>
      <w:r>
        <w:rPr>
          <w:rFonts w:eastAsia="黑体"/>
          <w:b/>
          <w:color w:val="auto"/>
          <w:kern w:val="44"/>
          <w:sz w:val="36"/>
          <w:szCs w:val="20"/>
          <w:highlight w:val="none"/>
        </w:rPr>
        <w:t xml:space="preserve">  </w:t>
      </w:r>
      <w:r>
        <w:rPr>
          <w:rFonts w:hint="eastAsia" w:eastAsia="黑体"/>
          <w:b/>
          <w:color w:val="auto"/>
          <w:kern w:val="44"/>
          <w:sz w:val="36"/>
          <w:szCs w:val="20"/>
          <w:highlight w:val="none"/>
        </w:rPr>
        <w:t>响应文件格式</w:t>
      </w:r>
      <w:bookmarkEnd w:id="959"/>
      <w:bookmarkEnd w:id="960"/>
      <w:bookmarkEnd w:id="969"/>
      <w:bookmarkEnd w:id="970"/>
      <w:bookmarkEnd w:id="971"/>
      <w:bookmarkEnd w:id="972"/>
      <w:bookmarkEnd w:id="973"/>
      <w:bookmarkEnd w:id="975"/>
      <w:bookmarkEnd w:id="976"/>
      <w:bookmarkEnd w:id="977"/>
    </w:p>
    <w:p w14:paraId="380DBF20">
      <w:pPr>
        <w:rPr>
          <w:color w:val="auto"/>
          <w:highlight w:val="none"/>
        </w:rPr>
      </w:pPr>
      <w:bookmarkStart w:id="978" w:name="_Toc470096337"/>
      <w:bookmarkStart w:id="979" w:name="_Toc463868520"/>
      <w:bookmarkStart w:id="980" w:name="_Toc427339178"/>
    </w:p>
    <w:p w14:paraId="63F9D866">
      <w:pPr>
        <w:pStyle w:val="4"/>
        <w:keepLines w:val="0"/>
        <w:tabs>
          <w:tab w:val="left" w:pos="420"/>
          <w:tab w:val="left" w:pos="6090"/>
        </w:tabs>
        <w:adjustRightInd w:val="0"/>
        <w:spacing w:after="0"/>
        <w:jc w:val="center"/>
        <w:textAlignment w:val="baseline"/>
        <w:rPr>
          <w:rFonts w:ascii="宋体" w:hAnsi="宋体"/>
          <w:color w:val="auto"/>
          <w:highlight w:val="none"/>
        </w:rPr>
      </w:pPr>
      <w:bookmarkStart w:id="981" w:name="_Toc32575"/>
      <w:bookmarkStart w:id="982" w:name="_Toc30992"/>
      <w:bookmarkStart w:id="983" w:name="_Toc14732"/>
      <w:bookmarkStart w:id="984" w:name="_Toc26973"/>
      <w:bookmarkStart w:id="985" w:name="_Toc22587"/>
      <w:bookmarkStart w:id="986" w:name="_Toc19015"/>
      <w:bookmarkStart w:id="987" w:name="_Toc26232"/>
      <w:bookmarkStart w:id="988" w:name="_Toc4648"/>
      <w:bookmarkStart w:id="989" w:name="_Toc24497"/>
      <w:bookmarkStart w:id="990" w:name="_Toc31349"/>
      <w:r>
        <w:rPr>
          <w:rFonts w:hint="eastAsia" w:ascii="黑体" w:hAnsi="黑体" w:eastAsia="黑体"/>
          <w:bCs w:val="0"/>
          <w:color w:val="auto"/>
          <w:sz w:val="28"/>
          <w:szCs w:val="30"/>
          <w:highlight w:val="none"/>
        </w:rPr>
        <w:t>响应文件封面</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240247FC">
      <w:pPr>
        <w:spacing w:line="360" w:lineRule="auto"/>
        <w:ind w:firstLine="561"/>
        <w:jc w:val="center"/>
        <w:rPr>
          <w:rFonts w:ascii="宋体" w:hAnsi="宋体"/>
          <w:b/>
          <w:color w:val="auto"/>
          <w:sz w:val="44"/>
          <w:szCs w:val="44"/>
          <w:highlight w:val="none"/>
        </w:rPr>
      </w:pPr>
    </w:p>
    <w:p w14:paraId="2A05AF6A">
      <w:pPr>
        <w:spacing w:line="360" w:lineRule="auto"/>
        <w:ind w:firstLine="561"/>
        <w:jc w:val="center"/>
        <w:rPr>
          <w:rFonts w:ascii="宋体" w:hAnsi="宋体"/>
          <w:b/>
          <w:color w:val="auto"/>
          <w:sz w:val="44"/>
          <w:szCs w:val="44"/>
          <w:highlight w:val="none"/>
        </w:rPr>
      </w:pPr>
      <w:r>
        <w:rPr>
          <w:rFonts w:hint="eastAsia" w:ascii="宋体" w:hAnsi="宋体"/>
          <w:b/>
          <w:color w:val="auto"/>
          <w:sz w:val="44"/>
          <w:szCs w:val="44"/>
          <w:highlight w:val="none"/>
        </w:rPr>
        <w:t>（项目名称）</w:t>
      </w:r>
    </w:p>
    <w:p w14:paraId="15E1D04F">
      <w:pPr>
        <w:spacing w:line="360" w:lineRule="auto"/>
        <w:jc w:val="center"/>
        <w:rPr>
          <w:rFonts w:ascii="宋体" w:hAnsi="宋体"/>
          <w:b/>
          <w:color w:val="auto"/>
          <w:sz w:val="48"/>
          <w:szCs w:val="48"/>
          <w:highlight w:val="none"/>
        </w:rPr>
      </w:pPr>
    </w:p>
    <w:p w14:paraId="7E5C6120">
      <w:pPr>
        <w:spacing w:line="360" w:lineRule="auto"/>
        <w:rPr>
          <w:rFonts w:ascii="宋体" w:hAnsi="宋体"/>
          <w:b/>
          <w:color w:val="auto"/>
          <w:sz w:val="48"/>
          <w:szCs w:val="48"/>
          <w:highlight w:val="none"/>
        </w:rPr>
      </w:pPr>
    </w:p>
    <w:p w14:paraId="511DB919">
      <w:pPr>
        <w:spacing w:line="360" w:lineRule="auto"/>
        <w:ind w:firstLine="561"/>
        <w:jc w:val="center"/>
        <w:rPr>
          <w:rFonts w:ascii="宋体" w:hAnsi="宋体"/>
          <w:b/>
          <w:color w:val="auto"/>
          <w:sz w:val="48"/>
          <w:szCs w:val="48"/>
          <w:highlight w:val="none"/>
        </w:rPr>
      </w:pPr>
    </w:p>
    <w:p w14:paraId="5B71B8AD">
      <w:pPr>
        <w:spacing w:line="360" w:lineRule="auto"/>
        <w:jc w:val="center"/>
        <w:rPr>
          <w:rFonts w:ascii="宋体" w:hAnsi="宋体"/>
          <w:b/>
          <w:color w:val="auto"/>
          <w:sz w:val="84"/>
          <w:szCs w:val="84"/>
          <w:highlight w:val="none"/>
        </w:rPr>
      </w:pPr>
      <w:r>
        <w:rPr>
          <w:rFonts w:hint="eastAsia" w:ascii="宋体" w:hAnsi="宋体"/>
          <w:b/>
          <w:color w:val="auto"/>
          <w:sz w:val="84"/>
          <w:szCs w:val="84"/>
          <w:highlight w:val="none"/>
        </w:rPr>
        <w:t>响应文件</w:t>
      </w:r>
    </w:p>
    <w:p w14:paraId="6482BF96">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项目编号：</w:t>
      </w:r>
      <w:r>
        <w:rPr>
          <w:rFonts w:ascii="宋体" w:hAnsi="宋体"/>
          <w:b/>
          <w:bCs/>
          <w:color w:val="auto"/>
          <w:sz w:val="32"/>
          <w:szCs w:val="32"/>
          <w:highlight w:val="none"/>
        </w:rPr>
        <w:t xml:space="preserve"> </w:t>
      </w:r>
    </w:p>
    <w:p w14:paraId="318F81E9">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 xml:space="preserve"> </w:t>
      </w:r>
    </w:p>
    <w:p w14:paraId="10CCD3F4">
      <w:pPr>
        <w:spacing w:line="360" w:lineRule="auto"/>
        <w:jc w:val="center"/>
        <w:rPr>
          <w:rFonts w:ascii="宋体" w:hAnsi="宋体"/>
          <w:color w:val="auto"/>
          <w:szCs w:val="21"/>
          <w:highlight w:val="none"/>
        </w:rPr>
      </w:pPr>
    </w:p>
    <w:p w14:paraId="63AEEB81">
      <w:pPr>
        <w:spacing w:line="360" w:lineRule="auto"/>
        <w:rPr>
          <w:rFonts w:ascii="宋体" w:hAnsi="宋体"/>
          <w:color w:val="auto"/>
          <w:szCs w:val="21"/>
          <w:highlight w:val="none"/>
        </w:rPr>
      </w:pPr>
    </w:p>
    <w:p w14:paraId="664BA5D6">
      <w:pPr>
        <w:spacing w:line="360" w:lineRule="auto"/>
        <w:ind w:firstLine="480" w:firstLineChars="200"/>
        <w:rPr>
          <w:rFonts w:ascii="宋体" w:hAnsi="宋体" w:cs="宋体-18030"/>
          <w:color w:val="auto"/>
          <w:sz w:val="24"/>
          <w:highlight w:val="none"/>
        </w:rPr>
      </w:pPr>
    </w:p>
    <w:p w14:paraId="75793684">
      <w:pPr>
        <w:spacing w:line="360" w:lineRule="auto"/>
        <w:ind w:firstLine="480" w:firstLineChars="200"/>
        <w:rPr>
          <w:rFonts w:ascii="宋体" w:hAnsi="宋体" w:cs="宋体-18030"/>
          <w:color w:val="auto"/>
          <w:sz w:val="24"/>
          <w:highlight w:val="none"/>
        </w:rPr>
      </w:pPr>
    </w:p>
    <w:p w14:paraId="67C2BF82">
      <w:pPr>
        <w:pStyle w:val="2"/>
        <w:rPr>
          <w:rFonts w:ascii="宋体" w:hAnsi="宋体" w:cs="宋体-18030"/>
          <w:color w:val="auto"/>
          <w:highlight w:val="none"/>
        </w:rPr>
      </w:pPr>
    </w:p>
    <w:p w14:paraId="5699FEB4">
      <w:pPr>
        <w:pStyle w:val="10"/>
        <w:ind w:left="1680"/>
        <w:rPr>
          <w:rFonts w:ascii="宋体" w:hAnsi="宋体" w:cs="宋体-18030"/>
          <w:color w:val="auto"/>
          <w:sz w:val="24"/>
          <w:highlight w:val="none"/>
        </w:rPr>
      </w:pPr>
    </w:p>
    <w:p w14:paraId="472266D4">
      <w:pPr>
        <w:rPr>
          <w:rFonts w:ascii="宋体" w:hAnsi="宋体" w:cs="宋体-18030"/>
          <w:color w:val="auto"/>
          <w:sz w:val="24"/>
          <w:highlight w:val="none"/>
        </w:rPr>
      </w:pPr>
    </w:p>
    <w:p w14:paraId="371894FA">
      <w:pPr>
        <w:pStyle w:val="2"/>
        <w:rPr>
          <w:rFonts w:ascii="宋体" w:hAnsi="宋体" w:cs="宋体-18030"/>
          <w:color w:val="auto"/>
          <w:highlight w:val="none"/>
        </w:rPr>
      </w:pPr>
    </w:p>
    <w:p w14:paraId="0F954149">
      <w:pPr>
        <w:pStyle w:val="10"/>
        <w:ind w:left="1680"/>
        <w:rPr>
          <w:rFonts w:ascii="宋体" w:hAnsi="宋体" w:cs="宋体-18030"/>
          <w:color w:val="auto"/>
          <w:sz w:val="24"/>
          <w:highlight w:val="none"/>
        </w:rPr>
      </w:pPr>
    </w:p>
    <w:p w14:paraId="5D6910CA">
      <w:pPr>
        <w:rPr>
          <w:color w:val="auto"/>
          <w:highlight w:val="none"/>
        </w:rPr>
      </w:pPr>
    </w:p>
    <w:p w14:paraId="0722D7D5">
      <w:pPr>
        <w:spacing w:line="360" w:lineRule="auto"/>
        <w:ind w:firstLine="1350" w:firstLineChars="450"/>
        <w:rPr>
          <w:rFonts w:ascii="宋体" w:hAnsi="宋体" w:cs="宋体-18030"/>
          <w:color w:val="auto"/>
          <w:sz w:val="30"/>
          <w:szCs w:val="30"/>
          <w:highlight w:val="none"/>
        </w:rPr>
      </w:pPr>
      <w:r>
        <w:rPr>
          <w:rFonts w:hint="eastAsia" w:ascii="宋体" w:hAnsi="宋体" w:cs="宋体-18030"/>
          <w:color w:val="auto"/>
          <w:kern w:val="0"/>
          <w:sz w:val="30"/>
          <w:szCs w:val="30"/>
          <w:highlight w:val="none"/>
        </w:rPr>
        <w:t>供应商名称</w:t>
      </w:r>
      <w:r>
        <w:rPr>
          <w:rFonts w:hint="eastAsia" w:ascii="宋体" w:hAnsi="宋体" w:cs="宋体-18030"/>
          <w:color w:val="auto"/>
          <w:sz w:val="30"/>
          <w:szCs w:val="30"/>
          <w:highlight w:val="none"/>
        </w:rPr>
        <w:t>：</w:t>
      </w:r>
      <w:r>
        <w:rPr>
          <w:rFonts w:hint="eastAsia" w:ascii="宋体" w:hAnsi="宋体" w:cs="宋体-18030"/>
          <w:color w:val="auto"/>
          <w:sz w:val="30"/>
          <w:szCs w:val="30"/>
          <w:highlight w:val="none"/>
          <w:u w:val="single"/>
        </w:rPr>
        <w:t xml:space="preserve">               （企业电子公章）  </w:t>
      </w:r>
    </w:p>
    <w:p w14:paraId="3EDEE204">
      <w:pPr>
        <w:wordWrap w:val="0"/>
        <w:spacing w:line="360" w:lineRule="auto"/>
        <w:ind w:firstLine="1350" w:firstLineChars="450"/>
        <w:rPr>
          <w:rFonts w:ascii="宋体" w:hAnsi="宋体" w:cs="宋体-18030"/>
          <w:color w:val="auto"/>
          <w:sz w:val="30"/>
          <w:szCs w:val="30"/>
          <w:highlight w:val="none"/>
        </w:rPr>
      </w:pPr>
      <w:r>
        <w:rPr>
          <w:rFonts w:hint="eastAsia" w:ascii="宋体" w:hAnsi="宋体" w:cs="宋体-18030"/>
          <w:color w:val="auto"/>
          <w:sz w:val="30"/>
          <w:szCs w:val="30"/>
          <w:highlight w:val="none"/>
        </w:rPr>
        <w:t>法定代表人：</w:t>
      </w:r>
      <w:r>
        <w:rPr>
          <w:rFonts w:hint="eastAsia" w:ascii="宋体" w:hAnsi="宋体" w:cs="宋体-18030"/>
          <w:color w:val="auto"/>
          <w:sz w:val="30"/>
          <w:szCs w:val="30"/>
          <w:highlight w:val="none"/>
          <w:u w:val="single"/>
        </w:rPr>
        <w:t xml:space="preserve">                （电子签名/章）    </w:t>
      </w:r>
    </w:p>
    <w:p w14:paraId="7C671C6B">
      <w:pPr>
        <w:ind w:firstLine="1350" w:firstLineChars="450"/>
        <w:jc w:val="left"/>
        <w:rPr>
          <w:color w:val="auto"/>
          <w:highlight w:val="none"/>
        </w:rPr>
      </w:pPr>
      <w:r>
        <w:rPr>
          <w:rFonts w:hint="eastAsia"/>
          <w:color w:val="auto"/>
          <w:sz w:val="30"/>
          <w:szCs w:val="30"/>
          <w:highlight w:val="none"/>
        </w:rPr>
        <w:t xml:space="preserve">日     期： </w:t>
      </w:r>
      <w:r>
        <w:rPr>
          <w:rFonts w:hint="eastAsia"/>
          <w:color w:val="auto"/>
          <w:sz w:val="30"/>
          <w:szCs w:val="30"/>
          <w:highlight w:val="none"/>
          <w:u w:val="single"/>
        </w:rPr>
        <w:t xml:space="preserve">      </w:t>
      </w:r>
      <w:r>
        <w:rPr>
          <w:rFonts w:hint="eastAsia"/>
          <w:color w:val="auto"/>
          <w:sz w:val="30"/>
          <w:szCs w:val="30"/>
          <w:highlight w:val="none"/>
        </w:rPr>
        <w:t>年</w:t>
      </w:r>
      <w:r>
        <w:rPr>
          <w:rFonts w:hint="eastAsia"/>
          <w:color w:val="auto"/>
          <w:sz w:val="30"/>
          <w:szCs w:val="30"/>
          <w:highlight w:val="none"/>
          <w:u w:val="single"/>
        </w:rPr>
        <w:t xml:space="preserve">      </w:t>
      </w:r>
      <w:r>
        <w:rPr>
          <w:rFonts w:hint="eastAsia"/>
          <w:color w:val="auto"/>
          <w:sz w:val="30"/>
          <w:szCs w:val="30"/>
          <w:highlight w:val="none"/>
        </w:rPr>
        <w:t>月</w:t>
      </w:r>
      <w:r>
        <w:rPr>
          <w:rFonts w:hint="eastAsia"/>
          <w:color w:val="auto"/>
          <w:sz w:val="30"/>
          <w:szCs w:val="30"/>
          <w:highlight w:val="none"/>
          <w:u w:val="single"/>
        </w:rPr>
        <w:t xml:space="preserve">     </w:t>
      </w:r>
      <w:r>
        <w:rPr>
          <w:rFonts w:hint="eastAsia"/>
          <w:color w:val="auto"/>
          <w:sz w:val="30"/>
          <w:szCs w:val="30"/>
          <w:highlight w:val="none"/>
        </w:rPr>
        <w:t>日</w:t>
      </w:r>
      <w:r>
        <w:rPr>
          <w:color w:val="auto"/>
          <w:highlight w:val="none"/>
        </w:rPr>
        <w:br w:type="page"/>
      </w:r>
      <w:bookmarkStart w:id="991" w:name="_Toc346496609"/>
      <w:bookmarkStart w:id="992" w:name="_Toc415662831"/>
      <w:bookmarkStart w:id="993" w:name="_Toc347849254"/>
      <w:bookmarkStart w:id="994" w:name="_Toc383175517"/>
    </w:p>
    <w:p w14:paraId="7650B383">
      <w:pPr>
        <w:pStyle w:val="5"/>
        <w:keepLines w:val="0"/>
        <w:tabs>
          <w:tab w:val="left" w:pos="420"/>
          <w:tab w:val="left" w:pos="6090"/>
        </w:tabs>
        <w:adjustRightInd w:val="0"/>
        <w:spacing w:after="0"/>
        <w:ind w:left="-2" w:leftChars="-1" w:firstLine="562"/>
        <w:textAlignment w:val="baseline"/>
        <w:rPr>
          <w:rFonts w:ascii="黑体" w:hAnsi="黑体" w:eastAsia="黑体"/>
          <w:bCs w:val="0"/>
          <w:color w:val="auto"/>
          <w:sz w:val="28"/>
          <w:szCs w:val="30"/>
          <w:highlight w:val="none"/>
        </w:rPr>
      </w:pPr>
      <w:bookmarkStart w:id="995" w:name="_Toc11509"/>
      <w:bookmarkStart w:id="996" w:name="_Toc20264"/>
      <w:bookmarkStart w:id="997" w:name="_Toc3489"/>
      <w:bookmarkStart w:id="998" w:name="_Toc10443"/>
      <w:bookmarkStart w:id="999" w:name="_Toc26559"/>
      <w:bookmarkStart w:id="1000" w:name="_Toc25925"/>
      <w:bookmarkStart w:id="1001" w:name="_Toc16751"/>
      <w:bookmarkStart w:id="1002" w:name="_Toc20769"/>
      <w:bookmarkStart w:id="1003" w:name="_Toc29536"/>
      <w:bookmarkStart w:id="1004" w:name="_Toc19160"/>
      <w:r>
        <w:rPr>
          <w:rFonts w:hint="eastAsia" w:ascii="黑体" w:hAnsi="黑体" w:eastAsia="黑体"/>
          <w:bCs w:val="0"/>
          <w:color w:val="auto"/>
          <w:sz w:val="28"/>
          <w:szCs w:val="30"/>
          <w:highlight w:val="none"/>
        </w:rPr>
        <w:t>★报价一览表</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4C1D5E2">
      <w:pPr>
        <w:spacing w:line="360" w:lineRule="auto"/>
        <w:jc w:val="left"/>
        <w:rPr>
          <w:rFonts w:ascii="宋体" w:hAnsi="宋体"/>
          <w:bCs/>
          <w:color w:val="auto"/>
          <w:szCs w:val="21"/>
          <w:highlight w:val="none"/>
        </w:rPr>
      </w:pPr>
      <w:r>
        <w:rPr>
          <w:rFonts w:hint="eastAsia" w:ascii="宋体" w:hAnsi="宋体"/>
          <w:color w:val="auto"/>
          <w:kern w:val="0"/>
          <w:szCs w:val="21"/>
          <w:highlight w:val="none"/>
        </w:rPr>
        <w:t>项目名称：</w:t>
      </w:r>
      <w:r>
        <w:rPr>
          <w:rFonts w:hint="eastAsia" w:ascii="宋体" w:hAnsi="宋体"/>
          <w:bCs/>
          <w:color w:val="auto"/>
          <w:szCs w:val="21"/>
          <w:highlight w:val="none"/>
        </w:rPr>
        <w:t xml:space="preserve">                                                      </w:t>
      </w:r>
    </w:p>
    <w:p w14:paraId="6F721953">
      <w:pPr>
        <w:spacing w:line="360" w:lineRule="auto"/>
        <w:jc w:val="left"/>
        <w:rPr>
          <w:rFonts w:ascii="宋体" w:hAnsi="宋体"/>
          <w:bCs/>
          <w:color w:val="auto"/>
          <w:szCs w:val="21"/>
          <w:highlight w:val="none"/>
        </w:rPr>
      </w:pPr>
      <w:r>
        <w:rPr>
          <w:rFonts w:hint="eastAsia" w:ascii="宋体" w:hAnsi="宋体"/>
          <w:color w:val="auto"/>
          <w:kern w:val="0"/>
          <w:szCs w:val="21"/>
          <w:highlight w:val="none"/>
        </w:rPr>
        <w:t>项目</w:t>
      </w:r>
      <w:r>
        <w:rPr>
          <w:rFonts w:hint="eastAsia" w:ascii="宋体" w:hAnsi="宋体"/>
          <w:bCs/>
          <w:color w:val="auto"/>
          <w:szCs w:val="21"/>
          <w:highlight w:val="none"/>
        </w:rPr>
        <w:t>编号：</w:t>
      </w:r>
    </w:p>
    <w:tbl>
      <w:tblPr>
        <w:tblStyle w:val="21"/>
        <w:tblW w:w="91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2403"/>
        <w:gridCol w:w="1504"/>
        <w:gridCol w:w="2372"/>
        <w:gridCol w:w="871"/>
      </w:tblGrid>
      <w:tr w14:paraId="21C7B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6" w:hRule="atLeast"/>
          <w:jc w:val="center"/>
        </w:trPr>
        <w:tc>
          <w:tcPr>
            <w:tcW w:w="1967" w:type="dxa"/>
            <w:noWrap w:val="0"/>
            <w:vAlign w:val="center"/>
          </w:tcPr>
          <w:p w14:paraId="1A234A47">
            <w:pPr>
              <w:spacing w:line="360" w:lineRule="auto"/>
              <w:jc w:val="center"/>
              <w:rPr>
                <w:rFonts w:eastAsia="新宋体"/>
                <w:color w:val="auto"/>
                <w:szCs w:val="21"/>
                <w:highlight w:val="none"/>
              </w:rPr>
            </w:pPr>
            <w:r>
              <w:rPr>
                <w:rFonts w:hint="eastAsia" w:eastAsia="新宋体"/>
                <w:color w:val="auto"/>
                <w:szCs w:val="21"/>
                <w:highlight w:val="none"/>
              </w:rPr>
              <w:t>磋商总报价（元）</w:t>
            </w:r>
          </w:p>
        </w:tc>
        <w:tc>
          <w:tcPr>
            <w:tcW w:w="2403" w:type="dxa"/>
            <w:tcBorders>
              <w:right w:val="single" w:color="auto" w:sz="4" w:space="0"/>
            </w:tcBorders>
            <w:noWrap w:val="0"/>
            <w:vAlign w:val="center"/>
          </w:tcPr>
          <w:p w14:paraId="3D13AD14">
            <w:pPr>
              <w:spacing w:line="360" w:lineRule="auto"/>
              <w:jc w:val="center"/>
              <w:rPr>
                <w:rFonts w:hint="eastAsia" w:eastAsia="新宋体"/>
                <w:color w:val="auto"/>
                <w:szCs w:val="21"/>
                <w:highlight w:val="none"/>
              </w:rPr>
            </w:pPr>
            <w:r>
              <w:rPr>
                <w:rFonts w:hint="eastAsia" w:eastAsia="新宋体"/>
                <w:color w:val="auto"/>
                <w:szCs w:val="21"/>
                <w:highlight w:val="none"/>
              </w:rPr>
              <w:t>合同履行期限（工期）</w:t>
            </w:r>
          </w:p>
        </w:tc>
        <w:tc>
          <w:tcPr>
            <w:tcW w:w="1504" w:type="dxa"/>
            <w:tcBorders>
              <w:right w:val="single" w:color="auto" w:sz="4" w:space="0"/>
            </w:tcBorders>
            <w:noWrap w:val="0"/>
            <w:vAlign w:val="center"/>
          </w:tcPr>
          <w:p w14:paraId="7D4DFB31">
            <w:pPr>
              <w:spacing w:line="360" w:lineRule="auto"/>
              <w:rPr>
                <w:rFonts w:eastAsia="新宋体"/>
                <w:color w:val="auto"/>
                <w:szCs w:val="21"/>
                <w:highlight w:val="none"/>
              </w:rPr>
            </w:pPr>
            <w:r>
              <w:rPr>
                <w:rFonts w:hint="eastAsia" w:eastAsia="新宋体"/>
                <w:color w:val="auto"/>
                <w:szCs w:val="21"/>
                <w:highlight w:val="none"/>
              </w:rPr>
              <w:t>合同履行地点</w:t>
            </w:r>
          </w:p>
        </w:tc>
        <w:tc>
          <w:tcPr>
            <w:tcW w:w="2372" w:type="dxa"/>
            <w:tcBorders>
              <w:left w:val="single" w:color="auto" w:sz="4" w:space="0"/>
            </w:tcBorders>
            <w:noWrap w:val="0"/>
            <w:vAlign w:val="center"/>
          </w:tcPr>
          <w:p w14:paraId="73D423FB">
            <w:pPr>
              <w:spacing w:line="360" w:lineRule="auto"/>
              <w:jc w:val="center"/>
              <w:rPr>
                <w:rFonts w:eastAsia="新宋体"/>
                <w:color w:val="auto"/>
                <w:szCs w:val="21"/>
                <w:highlight w:val="none"/>
              </w:rPr>
            </w:pPr>
            <w:r>
              <w:rPr>
                <w:rFonts w:hint="eastAsia" w:eastAsia="新宋体"/>
                <w:color w:val="auto"/>
                <w:szCs w:val="21"/>
                <w:highlight w:val="none"/>
              </w:rPr>
              <w:t>磋商保证金金额及形式</w:t>
            </w:r>
          </w:p>
        </w:tc>
        <w:tc>
          <w:tcPr>
            <w:tcW w:w="871" w:type="dxa"/>
            <w:noWrap w:val="0"/>
            <w:vAlign w:val="center"/>
          </w:tcPr>
          <w:p w14:paraId="0A48DF32">
            <w:pPr>
              <w:spacing w:line="360" w:lineRule="auto"/>
              <w:jc w:val="center"/>
              <w:rPr>
                <w:rFonts w:ascii="新宋体" w:hAnsi="新宋体" w:eastAsia="新宋体"/>
                <w:color w:val="auto"/>
                <w:szCs w:val="21"/>
                <w:highlight w:val="none"/>
              </w:rPr>
            </w:pPr>
            <w:r>
              <w:rPr>
                <w:rFonts w:hint="eastAsia" w:ascii="新宋体" w:hAnsi="新宋体" w:eastAsia="新宋体"/>
                <w:color w:val="auto"/>
                <w:szCs w:val="21"/>
                <w:highlight w:val="none"/>
              </w:rPr>
              <w:t>备注</w:t>
            </w:r>
          </w:p>
        </w:tc>
      </w:tr>
      <w:tr w14:paraId="6CA6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35" w:hRule="atLeast"/>
          <w:jc w:val="center"/>
        </w:trPr>
        <w:tc>
          <w:tcPr>
            <w:tcW w:w="1967" w:type="dxa"/>
            <w:noWrap w:val="0"/>
            <w:vAlign w:val="center"/>
          </w:tcPr>
          <w:p w14:paraId="50E2562E">
            <w:pPr>
              <w:jc w:val="left"/>
              <w:rPr>
                <w:rFonts w:hint="eastAsia" w:eastAsia="新宋体"/>
                <w:color w:val="auto"/>
                <w:szCs w:val="21"/>
                <w:highlight w:val="none"/>
              </w:rPr>
            </w:pPr>
            <w:r>
              <w:rPr>
                <w:rFonts w:hint="eastAsia" w:eastAsia="新宋体"/>
                <w:color w:val="auto"/>
                <w:szCs w:val="21"/>
                <w:highlight w:val="none"/>
              </w:rPr>
              <w:t>大写：</w:t>
            </w:r>
          </w:p>
          <w:p w14:paraId="7A76290F">
            <w:pPr>
              <w:pStyle w:val="2"/>
              <w:rPr>
                <w:color w:val="auto"/>
                <w:highlight w:val="none"/>
              </w:rPr>
            </w:pPr>
            <w:r>
              <w:rPr>
                <w:rFonts w:hint="eastAsia" w:eastAsia="新宋体"/>
                <w:color w:val="auto"/>
                <w:kern w:val="2"/>
                <w:sz w:val="21"/>
                <w:szCs w:val="21"/>
                <w:highlight w:val="none"/>
              </w:rPr>
              <w:t>小写：</w:t>
            </w:r>
          </w:p>
        </w:tc>
        <w:tc>
          <w:tcPr>
            <w:tcW w:w="2403" w:type="dxa"/>
            <w:tcBorders>
              <w:right w:val="single" w:color="auto" w:sz="4" w:space="0"/>
            </w:tcBorders>
            <w:noWrap w:val="0"/>
            <w:vAlign w:val="center"/>
          </w:tcPr>
          <w:p w14:paraId="2D1ECABA">
            <w:pPr>
              <w:spacing w:line="360" w:lineRule="auto"/>
              <w:ind w:left="632" w:hanging="632" w:hangingChars="301"/>
              <w:jc w:val="center"/>
              <w:rPr>
                <w:rFonts w:ascii="新宋体" w:hAnsi="新宋体" w:eastAsia="新宋体"/>
                <w:color w:val="auto"/>
                <w:szCs w:val="21"/>
                <w:highlight w:val="none"/>
              </w:rPr>
            </w:pPr>
          </w:p>
        </w:tc>
        <w:tc>
          <w:tcPr>
            <w:tcW w:w="1504" w:type="dxa"/>
            <w:tcBorders>
              <w:right w:val="single" w:color="auto" w:sz="4" w:space="0"/>
            </w:tcBorders>
            <w:noWrap w:val="0"/>
            <w:vAlign w:val="top"/>
          </w:tcPr>
          <w:p w14:paraId="706FB0C1">
            <w:pPr>
              <w:spacing w:line="360" w:lineRule="auto"/>
              <w:ind w:left="632" w:hanging="632" w:hangingChars="301"/>
              <w:jc w:val="center"/>
              <w:rPr>
                <w:rFonts w:ascii="新宋体" w:hAnsi="新宋体" w:eastAsia="新宋体"/>
                <w:color w:val="auto"/>
                <w:szCs w:val="21"/>
                <w:highlight w:val="none"/>
              </w:rPr>
            </w:pPr>
          </w:p>
        </w:tc>
        <w:tc>
          <w:tcPr>
            <w:tcW w:w="2372" w:type="dxa"/>
            <w:tcBorders>
              <w:left w:val="single" w:color="auto" w:sz="4" w:space="0"/>
            </w:tcBorders>
            <w:noWrap w:val="0"/>
            <w:vAlign w:val="center"/>
          </w:tcPr>
          <w:p w14:paraId="1A312607">
            <w:pPr>
              <w:spacing w:line="360" w:lineRule="auto"/>
              <w:ind w:left="632" w:hanging="632" w:hangingChars="301"/>
              <w:jc w:val="center"/>
              <w:rPr>
                <w:rFonts w:ascii="新宋体" w:hAnsi="新宋体" w:eastAsia="新宋体"/>
                <w:color w:val="auto"/>
                <w:szCs w:val="21"/>
                <w:highlight w:val="none"/>
              </w:rPr>
            </w:pPr>
          </w:p>
        </w:tc>
        <w:tc>
          <w:tcPr>
            <w:tcW w:w="871" w:type="dxa"/>
            <w:noWrap w:val="0"/>
            <w:vAlign w:val="center"/>
          </w:tcPr>
          <w:p w14:paraId="489BB581">
            <w:pPr>
              <w:spacing w:line="360" w:lineRule="auto"/>
              <w:ind w:firstLine="420"/>
              <w:jc w:val="center"/>
              <w:rPr>
                <w:rFonts w:ascii="新宋体" w:hAnsi="新宋体" w:eastAsia="新宋体"/>
                <w:color w:val="auto"/>
                <w:szCs w:val="21"/>
                <w:highlight w:val="none"/>
              </w:rPr>
            </w:pPr>
          </w:p>
        </w:tc>
      </w:tr>
      <w:tr w14:paraId="38B54D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47" w:hRule="atLeast"/>
          <w:jc w:val="center"/>
        </w:trPr>
        <w:tc>
          <w:tcPr>
            <w:tcW w:w="9117" w:type="dxa"/>
            <w:gridSpan w:val="5"/>
            <w:noWrap w:val="0"/>
            <w:vAlign w:val="center"/>
          </w:tcPr>
          <w:p w14:paraId="1EB75373">
            <w:pPr>
              <w:spacing w:line="360" w:lineRule="auto"/>
              <w:rPr>
                <w:rFonts w:ascii="新宋体" w:hAnsi="新宋体" w:eastAsia="新宋体"/>
                <w:color w:val="auto"/>
                <w:szCs w:val="21"/>
                <w:highlight w:val="none"/>
                <w:u w:val="single"/>
              </w:rPr>
            </w:pPr>
            <w:r>
              <w:rPr>
                <w:rFonts w:hint="eastAsia" w:ascii="新宋体" w:hAnsi="新宋体" w:eastAsia="新宋体"/>
                <w:color w:val="auto"/>
                <w:szCs w:val="21"/>
                <w:highlight w:val="none"/>
              </w:rPr>
              <w:t>供应商（盖企业电子公章）：</w:t>
            </w:r>
            <w:r>
              <w:rPr>
                <w:rFonts w:hint="eastAsia" w:ascii="新宋体" w:hAnsi="新宋体" w:eastAsia="新宋体"/>
                <w:color w:val="auto"/>
                <w:szCs w:val="21"/>
                <w:highlight w:val="none"/>
                <w:u w:val="single"/>
              </w:rPr>
              <w:t xml:space="preserve">             </w:t>
            </w:r>
          </w:p>
          <w:p w14:paraId="40EA19B9">
            <w:pPr>
              <w:spacing w:line="360" w:lineRule="auto"/>
              <w:ind w:firstLine="420"/>
              <w:jc w:val="center"/>
              <w:rPr>
                <w:rFonts w:ascii="新宋体" w:hAnsi="新宋体" w:eastAsia="新宋体"/>
                <w:color w:val="auto"/>
                <w:szCs w:val="21"/>
                <w:highlight w:val="none"/>
              </w:rPr>
            </w:pPr>
          </w:p>
          <w:p w14:paraId="5B6A6194">
            <w:pPr>
              <w:spacing w:line="360" w:lineRule="auto"/>
              <w:rPr>
                <w:rFonts w:ascii="新宋体" w:hAnsi="新宋体" w:eastAsia="新宋体"/>
                <w:color w:val="auto"/>
                <w:szCs w:val="21"/>
                <w:highlight w:val="none"/>
              </w:rPr>
            </w:pPr>
            <w:r>
              <w:rPr>
                <w:rFonts w:hint="eastAsia" w:ascii="新宋体" w:hAnsi="新宋体" w:eastAsia="新宋体"/>
                <w:color w:val="auto"/>
                <w:szCs w:val="21"/>
                <w:highlight w:val="none"/>
              </w:rPr>
              <w:t xml:space="preserve">法定代表人（电子签名/章）： </w:t>
            </w:r>
            <w:r>
              <w:rPr>
                <w:rFonts w:hint="eastAsia" w:ascii="新宋体" w:hAnsi="新宋体" w:eastAsia="新宋体"/>
                <w:color w:val="auto"/>
                <w:szCs w:val="21"/>
                <w:highlight w:val="none"/>
                <w:u w:val="single"/>
              </w:rPr>
              <w:t xml:space="preserve">              </w:t>
            </w:r>
          </w:p>
          <w:p w14:paraId="6B4086E4">
            <w:pPr>
              <w:spacing w:line="360" w:lineRule="auto"/>
              <w:rPr>
                <w:rFonts w:ascii="新宋体" w:hAnsi="新宋体" w:eastAsia="新宋体"/>
                <w:color w:val="auto"/>
                <w:szCs w:val="21"/>
                <w:highlight w:val="none"/>
              </w:rPr>
            </w:pPr>
            <w:r>
              <w:rPr>
                <w:rFonts w:hint="eastAsia" w:ascii="新宋体" w:hAnsi="新宋体" w:eastAsia="新宋体"/>
                <w:color w:val="auto"/>
                <w:szCs w:val="21"/>
                <w:highlight w:val="none"/>
              </w:rPr>
              <w:t xml:space="preserve">                                          </w:t>
            </w:r>
          </w:p>
          <w:p w14:paraId="14406523">
            <w:pPr>
              <w:rPr>
                <w:rFonts w:ascii="新宋体" w:hAnsi="新宋体" w:eastAsia="新宋体"/>
                <w:color w:val="auto"/>
                <w:szCs w:val="21"/>
                <w:highlight w:val="none"/>
              </w:rPr>
            </w:pPr>
            <w:r>
              <w:rPr>
                <w:rFonts w:hint="eastAsia" w:ascii="新宋体" w:hAnsi="新宋体" w:eastAsia="新宋体"/>
                <w:color w:val="auto"/>
                <w:szCs w:val="21"/>
                <w:highlight w:val="none"/>
              </w:rPr>
              <w:t>日  期：</w:t>
            </w:r>
            <w:r>
              <w:rPr>
                <w:color w:val="auto"/>
                <w:szCs w:val="21"/>
                <w:highlight w:val="none"/>
                <w:u w:val="single"/>
              </w:rPr>
              <w:t>　　　</w:t>
            </w:r>
            <w:r>
              <w:rPr>
                <w:color w:val="auto"/>
                <w:szCs w:val="21"/>
                <w:highlight w:val="none"/>
              </w:rPr>
              <w:t>年</w:t>
            </w:r>
            <w:r>
              <w:rPr>
                <w:color w:val="auto"/>
                <w:szCs w:val="21"/>
                <w:highlight w:val="none"/>
                <w:u w:val="single"/>
              </w:rPr>
              <w:t>　　</w:t>
            </w:r>
            <w:r>
              <w:rPr>
                <w:rFonts w:hint="eastAsia"/>
                <w:color w:val="auto"/>
                <w:szCs w:val="21"/>
                <w:highlight w:val="none"/>
                <w:u w:val="single"/>
              </w:rPr>
              <w:t xml:space="preserve">  </w:t>
            </w:r>
            <w:r>
              <w:rPr>
                <w:color w:val="auto"/>
                <w:szCs w:val="21"/>
                <w:highlight w:val="none"/>
              </w:rPr>
              <w:t>月</w:t>
            </w:r>
            <w:r>
              <w:rPr>
                <w:color w:val="auto"/>
                <w:szCs w:val="21"/>
                <w:highlight w:val="none"/>
                <w:u w:val="single"/>
              </w:rPr>
              <w:t>　</w:t>
            </w:r>
            <w:r>
              <w:rPr>
                <w:rFonts w:hint="eastAsia"/>
                <w:color w:val="auto"/>
                <w:szCs w:val="21"/>
                <w:highlight w:val="none"/>
                <w:u w:val="single"/>
              </w:rPr>
              <w:t xml:space="preserve">  </w:t>
            </w:r>
            <w:r>
              <w:rPr>
                <w:color w:val="auto"/>
                <w:szCs w:val="21"/>
                <w:highlight w:val="none"/>
                <w:u w:val="single"/>
              </w:rPr>
              <w:t>　</w:t>
            </w:r>
            <w:r>
              <w:rPr>
                <w:color w:val="auto"/>
                <w:szCs w:val="21"/>
                <w:highlight w:val="none"/>
              </w:rPr>
              <w:t>日</w:t>
            </w:r>
          </w:p>
        </w:tc>
      </w:tr>
    </w:tbl>
    <w:p w14:paraId="2F3C6CBA">
      <w:pPr>
        <w:rPr>
          <w:color w:val="auto"/>
          <w:highlight w:val="none"/>
        </w:rPr>
      </w:pPr>
    </w:p>
    <w:p w14:paraId="0C9631D7">
      <w:pPr>
        <w:tabs>
          <w:tab w:val="left" w:pos="420"/>
          <w:tab w:val="left" w:pos="6090"/>
        </w:tabs>
        <w:adjustRightInd w:val="0"/>
        <w:jc w:val="left"/>
        <w:textAlignment w:val="baseline"/>
        <w:rPr>
          <w:rFonts w:ascii="宋体" w:hAnsi="宋体"/>
          <w:color w:val="auto"/>
          <w:sz w:val="24"/>
          <w:highlight w:val="none"/>
        </w:rPr>
      </w:pPr>
      <w:r>
        <w:rPr>
          <w:rFonts w:ascii="宋体" w:hAnsi="宋体"/>
          <w:color w:val="auto"/>
          <w:sz w:val="24"/>
          <w:highlight w:val="none"/>
        </w:rPr>
        <w:br w:type="page"/>
      </w:r>
      <w:bookmarkStart w:id="1005" w:name="_Toc415662825"/>
      <w:bookmarkStart w:id="1006" w:name="_Toc347849248"/>
      <w:bookmarkStart w:id="1007" w:name="_Toc383175510"/>
      <w:bookmarkStart w:id="1008" w:name="_Toc86124091"/>
    </w:p>
    <w:p w14:paraId="3F4BF14B">
      <w:pPr>
        <w:pStyle w:val="4"/>
        <w:keepLines w:val="0"/>
        <w:tabs>
          <w:tab w:val="left" w:pos="420"/>
          <w:tab w:val="left" w:pos="6090"/>
        </w:tabs>
        <w:adjustRightInd w:val="0"/>
        <w:spacing w:after="0"/>
        <w:textAlignment w:val="baseline"/>
        <w:rPr>
          <w:b w:val="0"/>
          <w:color w:val="auto"/>
          <w:sz w:val="28"/>
          <w:highlight w:val="none"/>
        </w:rPr>
      </w:pPr>
      <w:bookmarkStart w:id="1009" w:name="_Toc22719"/>
      <w:bookmarkStart w:id="1010" w:name="_Toc23972"/>
      <w:bookmarkStart w:id="1011" w:name="_Toc18084"/>
      <w:bookmarkStart w:id="1012" w:name="_Toc27508"/>
      <w:bookmarkStart w:id="1013" w:name="_Toc20136"/>
      <w:bookmarkStart w:id="1014" w:name="_Toc17662"/>
      <w:bookmarkStart w:id="1015" w:name="_Toc7432"/>
      <w:bookmarkStart w:id="1016" w:name="_Toc4788"/>
      <w:bookmarkStart w:id="1017" w:name="_Toc18001"/>
      <w:bookmarkStart w:id="1018" w:name="_Toc14564"/>
      <w:r>
        <w:rPr>
          <w:rFonts w:hint="eastAsia" w:ascii="宋体" w:hAnsi="宋体"/>
          <w:b w:val="0"/>
          <w:color w:val="auto"/>
          <w:highlight w:val="none"/>
        </w:rPr>
        <w:t>一</w:t>
      </w:r>
      <w:r>
        <w:rPr>
          <w:rFonts w:ascii="黑体" w:hAnsi="黑体" w:eastAsia="黑体"/>
          <w:bCs w:val="0"/>
          <w:color w:val="auto"/>
          <w:sz w:val="28"/>
          <w:szCs w:val="30"/>
          <w:highlight w:val="none"/>
        </w:rPr>
        <w:t>、</w:t>
      </w:r>
      <w:r>
        <w:rPr>
          <w:rFonts w:hint="eastAsia" w:ascii="黑体" w:hAnsi="黑体" w:eastAsia="黑体"/>
          <w:bCs w:val="0"/>
          <w:color w:val="auto"/>
          <w:sz w:val="28"/>
          <w:szCs w:val="30"/>
          <w:highlight w:val="none"/>
        </w:rPr>
        <w:t>资格证明文件</w:t>
      </w:r>
      <w:bookmarkEnd w:id="1005"/>
      <w:bookmarkEnd w:id="1006"/>
      <w:bookmarkEnd w:id="1007"/>
      <w:bookmarkEnd w:id="1009"/>
      <w:bookmarkEnd w:id="1010"/>
      <w:bookmarkEnd w:id="1011"/>
      <w:bookmarkEnd w:id="1012"/>
      <w:bookmarkEnd w:id="1013"/>
      <w:bookmarkEnd w:id="1014"/>
      <w:bookmarkEnd w:id="1015"/>
      <w:bookmarkEnd w:id="1016"/>
      <w:bookmarkEnd w:id="1017"/>
      <w:bookmarkEnd w:id="1018"/>
    </w:p>
    <w:p w14:paraId="1A23F92A">
      <w:pPr>
        <w:rPr>
          <w:color w:val="auto"/>
          <w:highlight w:val="none"/>
        </w:rPr>
      </w:pPr>
      <w:bookmarkStart w:id="1019" w:name="_Toc421607918"/>
      <w:bookmarkStart w:id="1020" w:name="_Toc213141104"/>
      <w:bookmarkStart w:id="1021" w:name="_Toc416962891"/>
    </w:p>
    <w:bookmarkEnd w:id="1019"/>
    <w:bookmarkEnd w:id="1020"/>
    <w:bookmarkEnd w:id="1021"/>
    <w:p w14:paraId="1F0A75C0">
      <w:pPr>
        <w:autoSpaceDE w:val="0"/>
        <w:autoSpaceDN w:val="0"/>
        <w:adjustRightInd w:val="0"/>
        <w:spacing w:line="360" w:lineRule="auto"/>
        <w:jc w:val="center"/>
        <w:outlineLvl w:val="2"/>
        <w:rPr>
          <w:rFonts w:eastAsia="黑体"/>
          <w:color w:val="auto"/>
          <w:sz w:val="30"/>
          <w:szCs w:val="30"/>
          <w:highlight w:val="none"/>
        </w:rPr>
      </w:pPr>
      <w:bookmarkStart w:id="1022" w:name="_Toc9961"/>
      <w:bookmarkStart w:id="1023" w:name="_Toc5229"/>
      <w:bookmarkStart w:id="1024" w:name="_Toc21331"/>
      <w:bookmarkStart w:id="1025" w:name="_Toc27574"/>
      <w:bookmarkStart w:id="1026" w:name="_Toc6664"/>
      <w:bookmarkStart w:id="1027" w:name="_Toc31165"/>
      <w:bookmarkStart w:id="1028" w:name="_Toc3172"/>
      <w:bookmarkStart w:id="1029" w:name="_Toc6178"/>
      <w:bookmarkStart w:id="1030" w:name="_Toc30720"/>
      <w:bookmarkStart w:id="1031" w:name="_Toc437"/>
      <w:bookmarkStart w:id="1032" w:name="_Toc11320"/>
      <w:r>
        <w:rPr>
          <w:rFonts w:eastAsia="黑体"/>
          <w:color w:val="auto"/>
          <w:sz w:val="30"/>
          <w:szCs w:val="30"/>
          <w:highlight w:val="none"/>
        </w:rPr>
        <w:t>营业执照等材料</w:t>
      </w:r>
      <w:bookmarkEnd w:id="1022"/>
      <w:bookmarkEnd w:id="1023"/>
      <w:bookmarkEnd w:id="1024"/>
      <w:bookmarkEnd w:id="1025"/>
      <w:bookmarkEnd w:id="1026"/>
      <w:bookmarkEnd w:id="1027"/>
      <w:bookmarkEnd w:id="1028"/>
      <w:bookmarkEnd w:id="1029"/>
      <w:bookmarkEnd w:id="1030"/>
      <w:bookmarkEnd w:id="1031"/>
      <w:bookmarkEnd w:id="1032"/>
    </w:p>
    <w:p w14:paraId="770F74D4">
      <w:pPr>
        <w:pStyle w:val="12"/>
        <w:spacing w:line="360" w:lineRule="auto"/>
        <w:ind w:left="420" w:leftChars="200" w:firstLine="420" w:firstLineChars="200"/>
        <w:rPr>
          <w:rFonts w:hint="eastAsia" w:hAnsi="宋体" w:cs="宋体"/>
          <w:color w:val="auto"/>
          <w:highlight w:val="none"/>
        </w:rPr>
      </w:pPr>
      <w:r>
        <w:rPr>
          <w:rFonts w:hint="eastAsia" w:hAnsi="宋体" w:cs="宋体"/>
          <w:color w:val="auto"/>
          <w:highlight w:val="none"/>
        </w:rPr>
        <w:t>1.具有独立承担民事责任的能力：供应商有效的法人或者其他组织的营业执照等证明文件；提供营业执照、税务登记证、组织机构代码证或三证合一等有效证件；自然人提供自然人的身份证明。</w:t>
      </w:r>
    </w:p>
    <w:p w14:paraId="5697E5C7">
      <w:pPr>
        <w:pStyle w:val="12"/>
        <w:spacing w:line="360" w:lineRule="auto"/>
        <w:ind w:firstLine="420" w:firstLineChars="200"/>
        <w:rPr>
          <w:rFonts w:hint="eastAsia" w:hAnsi="宋体" w:cs="宋体"/>
          <w:color w:val="auto"/>
          <w:highlight w:val="none"/>
        </w:rPr>
      </w:pPr>
      <w:r>
        <w:rPr>
          <w:rFonts w:hint="eastAsia" w:hAnsi="宋体" w:cs="宋体"/>
          <w:color w:val="auto"/>
          <w:highlight w:val="none"/>
        </w:rPr>
        <w:t>2.具有健全的财务会计制度：</w:t>
      </w:r>
    </w:p>
    <w:p w14:paraId="6D93ADE4">
      <w:pPr>
        <w:pStyle w:val="12"/>
        <w:spacing w:line="360" w:lineRule="auto"/>
        <w:ind w:left="420" w:leftChars="200" w:firstLine="420" w:firstLineChars="200"/>
        <w:rPr>
          <w:rFonts w:hint="eastAsia" w:hAnsi="宋体" w:cs="宋体"/>
          <w:color w:val="auto"/>
          <w:highlight w:val="none"/>
        </w:rPr>
      </w:pPr>
      <w:r>
        <w:rPr>
          <w:rFonts w:hint="eastAsia" w:hAnsi="宋体" w:cs="宋体"/>
          <w:color w:val="auto"/>
          <w:highlight w:val="none"/>
        </w:rPr>
        <w:t>财务状况报告：提供</w:t>
      </w:r>
      <w:r>
        <w:rPr>
          <w:rFonts w:hint="eastAsia" w:hAnsi="宋体" w:cs="宋体"/>
          <w:color w:val="auto"/>
          <w:highlight w:val="none"/>
          <w:lang w:eastAsia="zh-CN"/>
        </w:rPr>
        <w:t>202</w:t>
      </w:r>
      <w:r>
        <w:rPr>
          <w:rFonts w:hint="eastAsia" w:hAnsi="宋体" w:cs="宋体"/>
          <w:color w:val="auto"/>
          <w:highlight w:val="none"/>
          <w:lang w:val="en-US" w:eastAsia="zh-CN"/>
        </w:rPr>
        <w:t>3</w:t>
      </w:r>
      <w:r>
        <w:rPr>
          <w:rFonts w:hint="eastAsia" w:hAnsi="宋体" w:cs="宋体"/>
          <w:color w:val="auto"/>
          <w:highlight w:val="none"/>
          <w:lang w:eastAsia="zh-CN"/>
        </w:rPr>
        <w:t>年或202</w:t>
      </w:r>
      <w:r>
        <w:rPr>
          <w:rFonts w:hint="eastAsia" w:hAnsi="宋体" w:cs="宋体"/>
          <w:color w:val="auto"/>
          <w:highlight w:val="none"/>
          <w:lang w:val="en-US" w:eastAsia="zh-CN"/>
        </w:rPr>
        <w:t>4</w:t>
      </w:r>
      <w:r>
        <w:rPr>
          <w:rFonts w:hint="eastAsia" w:hAnsi="宋体" w:cs="宋体"/>
          <w:color w:val="auto"/>
          <w:highlight w:val="none"/>
          <w:lang w:eastAsia="zh-CN"/>
        </w:rPr>
        <w:t>年或202</w:t>
      </w:r>
      <w:r>
        <w:rPr>
          <w:rFonts w:hint="eastAsia" w:hAnsi="宋体" w:cs="宋体"/>
          <w:color w:val="auto"/>
          <w:highlight w:val="none"/>
          <w:lang w:val="en-US" w:eastAsia="zh-CN"/>
        </w:rPr>
        <w:t>5</w:t>
      </w:r>
      <w:r>
        <w:rPr>
          <w:rFonts w:hint="eastAsia" w:hAnsi="宋体" w:cs="宋体"/>
          <w:color w:val="auto"/>
          <w:highlight w:val="none"/>
        </w:rPr>
        <w:t>年经非本单位的会计师事务所或审计机构审计的财务状况报告扫描件（工商登记注册之日起至磋商截止时间不满一年的不需提供）或其基本开户银行出具的资信证明；</w:t>
      </w:r>
    </w:p>
    <w:p w14:paraId="1F0BFA20">
      <w:pPr>
        <w:pStyle w:val="12"/>
        <w:spacing w:line="360" w:lineRule="auto"/>
        <w:ind w:left="420" w:leftChars="200" w:firstLine="420" w:firstLineChars="200"/>
        <w:rPr>
          <w:rFonts w:hint="eastAsia" w:hAnsi="宋体" w:cs="宋体"/>
          <w:color w:val="auto"/>
          <w:highlight w:val="none"/>
        </w:rPr>
      </w:pPr>
      <w:r>
        <w:rPr>
          <w:rFonts w:hint="eastAsia" w:hAnsi="宋体" w:cs="宋体"/>
          <w:color w:val="auto"/>
          <w:highlight w:val="none"/>
        </w:rPr>
        <w:t>注：根据《关于加强审计报告查验工作的通知》财会〔2023〕15号的规定，审计报告须在注册会计师行业统一监管平台备案后在右下角赋验证码。</w:t>
      </w:r>
    </w:p>
    <w:p w14:paraId="192509D4">
      <w:pPr>
        <w:pStyle w:val="12"/>
        <w:spacing w:line="360" w:lineRule="auto"/>
        <w:ind w:firstLine="420" w:firstLineChars="200"/>
        <w:rPr>
          <w:rFonts w:hint="eastAsia" w:hAnsi="宋体" w:cs="宋体"/>
          <w:color w:val="auto"/>
          <w:highlight w:val="none"/>
        </w:rPr>
      </w:pPr>
      <w:r>
        <w:rPr>
          <w:rFonts w:hint="eastAsia" w:hAnsi="宋体" w:cs="宋体"/>
          <w:color w:val="auto"/>
          <w:highlight w:val="none"/>
        </w:rPr>
        <w:t>3.具有依法缴纳税收和社会保障资金的良好记录：</w:t>
      </w:r>
    </w:p>
    <w:p w14:paraId="2E873AFD">
      <w:pPr>
        <w:pStyle w:val="12"/>
        <w:spacing w:line="360" w:lineRule="auto"/>
        <w:ind w:left="420" w:leftChars="200" w:firstLine="420" w:firstLineChars="200"/>
        <w:rPr>
          <w:rFonts w:hint="eastAsia" w:hAnsi="宋体" w:cs="宋体"/>
          <w:color w:val="auto"/>
          <w:highlight w:val="none"/>
        </w:rPr>
      </w:pPr>
      <w:r>
        <w:rPr>
          <w:rFonts w:hint="eastAsia" w:hAnsi="宋体" w:cs="宋体"/>
          <w:color w:val="auto"/>
          <w:highlight w:val="none"/>
        </w:rPr>
        <w:t>3.1纳税证明材料的时间范围：提供缴税所属时间在磋商截止日期之前12个月内任意1个月的税务局税收通用缴款书或银行电子缴税（费）凭证，或磋商截止日期之前12个月内税务局出具纳税情况的相关证明材料，依法免税的，应提供依法免税的相关证明文件（工商登记注册之日起至磋商截止时间不满三个月的不需提供）；</w:t>
      </w:r>
    </w:p>
    <w:p w14:paraId="79DD7AF4">
      <w:pPr>
        <w:pStyle w:val="12"/>
        <w:spacing w:line="360" w:lineRule="auto"/>
        <w:ind w:left="420" w:leftChars="200" w:firstLine="420" w:firstLineChars="200"/>
        <w:rPr>
          <w:rFonts w:hint="eastAsia" w:hAnsi="宋体" w:cs="宋体"/>
          <w:color w:val="auto"/>
          <w:highlight w:val="none"/>
        </w:rPr>
      </w:pPr>
      <w:r>
        <w:rPr>
          <w:rFonts w:hint="eastAsia" w:hAnsi="宋体" w:cs="宋体"/>
          <w:color w:val="auto"/>
          <w:highlight w:val="none"/>
        </w:rPr>
        <w:t>3.2缴纳社会保险证明材料的时间范围：提供缴纳社会保险所属时间在磋商截止日期之前12个月内任意1个月的社会保险费缴款书或银行电子缴税（费）凭证，或磋商截止日期之前12个月内社保管理部门出具的有效的社保缴纳情况的相关证明材料，依法免缴社会保险费的，应提供依法免缴的相关证明文件（工商登记注册之日起至磋商截止时间不满三个月的不需提供）；</w:t>
      </w:r>
    </w:p>
    <w:p w14:paraId="297369D7">
      <w:pPr>
        <w:pStyle w:val="12"/>
        <w:autoSpaceDE/>
        <w:autoSpaceDN/>
        <w:adjustRightInd/>
        <w:spacing w:line="360" w:lineRule="auto"/>
        <w:ind w:firstLine="420" w:firstLineChars="200"/>
        <w:rPr>
          <w:rFonts w:hint="eastAsia" w:hAnsi="宋体" w:cs="宋体"/>
          <w:color w:val="auto"/>
          <w:highlight w:val="none"/>
        </w:rPr>
      </w:pPr>
      <w:r>
        <w:rPr>
          <w:rFonts w:hint="eastAsia" w:hAnsi="宋体" w:cs="宋体"/>
          <w:color w:val="auto"/>
          <w:highlight w:val="none"/>
        </w:rPr>
        <w:t>4.法律、行政法规规定的其他条件：</w:t>
      </w:r>
    </w:p>
    <w:p w14:paraId="5B4DD9E1">
      <w:pPr>
        <w:pStyle w:val="12"/>
        <w:autoSpaceDE/>
        <w:autoSpaceDN/>
        <w:adjustRightInd/>
        <w:spacing w:line="360" w:lineRule="auto"/>
        <w:ind w:firstLine="420" w:firstLineChars="200"/>
        <w:rPr>
          <w:rFonts w:hint="eastAsia" w:hAnsi="宋体" w:cs="宋体"/>
          <w:color w:val="auto"/>
          <w:highlight w:val="none"/>
        </w:rPr>
      </w:pPr>
      <w:r>
        <w:rPr>
          <w:rFonts w:hint="eastAsia" w:hAnsi="宋体" w:cs="宋体"/>
          <w:color w:val="auto"/>
          <w:highlight w:val="none"/>
        </w:rPr>
        <w:t>4.1 单位负责人为同一人或者存在直接控股、管理关系的不同供应商，不得参加同一合同项下的政府采购活动。（提供承诺函）</w:t>
      </w:r>
    </w:p>
    <w:p w14:paraId="082DA26A">
      <w:pPr>
        <w:pStyle w:val="12"/>
        <w:autoSpaceDE/>
        <w:autoSpaceDN/>
        <w:adjustRightInd/>
        <w:spacing w:line="360" w:lineRule="auto"/>
        <w:ind w:firstLine="420" w:firstLineChars="200"/>
        <w:rPr>
          <w:rFonts w:hint="eastAsia" w:hAnsi="宋体" w:cs="宋体"/>
          <w:color w:val="auto"/>
          <w:highlight w:val="none"/>
        </w:rPr>
      </w:pPr>
      <w:r>
        <w:rPr>
          <w:rFonts w:hint="eastAsia" w:hAnsi="宋体" w:cs="宋体"/>
          <w:color w:val="auto"/>
          <w:highlight w:val="none"/>
        </w:rPr>
        <w:t>4.2为采购项目提供整体设计、规范编制或者项目管理、监理、检测等服务的供应商，不得再参加该采购项目的其他采购活动。（提供承诺函）</w:t>
      </w:r>
    </w:p>
    <w:p w14:paraId="6B232877">
      <w:pPr>
        <w:pStyle w:val="12"/>
        <w:spacing w:line="360" w:lineRule="auto"/>
        <w:ind w:firstLine="420" w:firstLineChars="200"/>
        <w:rPr>
          <w:rFonts w:hint="eastAsia" w:hAnsi="宋体" w:cs="宋体"/>
          <w:color w:val="auto"/>
          <w:highlight w:val="none"/>
        </w:rPr>
      </w:pPr>
      <w:r>
        <w:rPr>
          <w:rFonts w:hint="eastAsia" w:hAnsi="宋体" w:cs="宋体"/>
          <w:color w:val="auto"/>
          <w:highlight w:val="none"/>
        </w:rPr>
        <w:t>4.3根据《财政部关于在政府采购活动中查询及使用信用记录有关问题的通知－财库〔2016〕125号》相关要求，对列入失信被执行人、重大税收违法失信主体、政府采购严重违法失信行为记录名单的供应商拒绝其参与本次政府采购活动。（注：采购人或采购代理机构将通过“信用中国”网站（www.creditchina.gov.cn）和中国政府采购网（www.ccgp.gov.cn/）查询磋商供应商信用记录。对列入失信被执行人、重大税收违法失信主体、政府采购严重违法失信行为记录名单的供应商将否决其投标资格）。</w:t>
      </w:r>
    </w:p>
    <w:p w14:paraId="39987EF3">
      <w:pPr>
        <w:pStyle w:val="12"/>
        <w:numPr>
          <w:ilvl w:val="0"/>
          <w:numId w:val="0"/>
        </w:numPr>
        <w:spacing w:line="360" w:lineRule="auto"/>
        <w:ind w:firstLine="420" w:firstLineChars="200"/>
        <w:rPr>
          <w:rFonts w:hint="eastAsia" w:ascii="宋体" w:hAnsi="宋体" w:cs="宋体"/>
          <w:color w:val="auto"/>
          <w:szCs w:val="21"/>
          <w:highlight w:val="none"/>
        </w:rPr>
      </w:pPr>
      <w:r>
        <w:rPr>
          <w:rFonts w:hint="eastAsia" w:ascii="宋体" w:hAnsi="宋体" w:eastAsia="宋体" w:cs="宋体"/>
          <w:color w:val="auto"/>
          <w:kern w:val="2"/>
          <w:sz w:val="21"/>
          <w:szCs w:val="21"/>
          <w:highlight w:val="none"/>
          <w:lang w:val="en-US" w:eastAsia="zh-CN" w:bidi="ar-SA"/>
        </w:rPr>
        <w:t>5.</w:t>
      </w:r>
      <w:r>
        <w:rPr>
          <w:rFonts w:ascii="宋体" w:hAnsi="宋体" w:cs="宋体"/>
          <w:color w:val="auto"/>
          <w:szCs w:val="21"/>
          <w:highlight w:val="none"/>
        </w:rPr>
        <w:t>落实政府采购政策需满足的资格要求：</w:t>
      </w:r>
      <w:r>
        <w:rPr>
          <w:rFonts w:hint="eastAsia" w:ascii="宋体" w:hAnsi="宋体" w:cs="宋体"/>
          <w:color w:val="auto"/>
          <w:szCs w:val="21"/>
          <w:highlight w:val="none"/>
        </w:rPr>
        <w:t>本项目为专门面向中小企业采购的项目,供应商应为中小企业，或监狱企业，或残疾人福利性单位；根据“《关于印发《政府采购促进中小企业发展管理办法》的通知》（财库〔2020〕46号）及《工业和信息化部、国家统计局、国家发展和改革委员会、财政部关于印发中小企业划型标准规定的通知》（工信部联企业[2011]300号）”规定的划分标准，本项目对应的中小企业划分标准所属行业为：建筑业。《工业和信息化部、国家统计局、国家发展和改革委员会、财政部关于印发中小企业划型标准规定的通知》（工信部联企业[2011]300号）”规定的建筑业划型标准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353AEA04">
      <w:pPr>
        <w:pStyle w:val="12"/>
        <w:numPr>
          <w:ilvl w:val="0"/>
          <w:numId w:val="0"/>
        </w:numPr>
        <w:spacing w:line="360" w:lineRule="auto"/>
        <w:ind w:firstLine="420" w:firstLineChars="200"/>
        <w:rPr>
          <w:rFonts w:hint="eastAsia" w:hAnsi="宋体" w:cs="宋体"/>
          <w:color w:val="auto"/>
          <w:highlight w:val="none"/>
        </w:rPr>
      </w:pPr>
      <w:r>
        <w:rPr>
          <w:rFonts w:hint="eastAsia" w:hAnsi="宋体" w:cs="宋体"/>
          <w:color w:val="auto"/>
          <w:highlight w:val="none"/>
          <w:lang w:val="en-US" w:eastAsia="zh-CN"/>
        </w:rPr>
        <w:t>6</w:t>
      </w:r>
      <w:r>
        <w:rPr>
          <w:rFonts w:hint="eastAsia" w:hAnsi="宋体" w:cs="宋体"/>
          <w:color w:val="auto"/>
          <w:highlight w:val="none"/>
        </w:rPr>
        <w:t>.本项目的特定资格要求：</w:t>
      </w:r>
    </w:p>
    <w:p w14:paraId="6AC4D838">
      <w:pPr>
        <w:pStyle w:val="12"/>
        <w:spacing w:line="360" w:lineRule="auto"/>
        <w:ind w:firstLine="420" w:firstLineChars="200"/>
        <w:rPr>
          <w:rFonts w:hint="eastAsia"/>
          <w:color w:val="auto"/>
          <w:highlight w:val="none"/>
        </w:rPr>
      </w:pPr>
      <w:r>
        <w:rPr>
          <w:rFonts w:hint="eastAsia"/>
          <w:color w:val="auto"/>
          <w:highlight w:val="none"/>
          <w:lang w:val="en-US" w:eastAsia="zh-CN"/>
        </w:rPr>
        <w:t>6</w:t>
      </w:r>
      <w:r>
        <w:rPr>
          <w:rFonts w:hint="eastAsia"/>
          <w:color w:val="auto"/>
          <w:highlight w:val="none"/>
        </w:rPr>
        <w:t>.1供应商须具备建设行政主管部门核发的有效的建筑装饰装修工程专业承包贰级（含贰级）及以上资质或建筑工程施工总承包叁级（含叁级）及以上资质，且具备有效的安全生产许可证。</w:t>
      </w:r>
    </w:p>
    <w:p w14:paraId="10320512">
      <w:pPr>
        <w:pStyle w:val="12"/>
        <w:spacing w:line="360" w:lineRule="auto"/>
        <w:ind w:firstLine="420" w:firstLineChars="200"/>
        <w:rPr>
          <w:rFonts w:hint="eastAsia"/>
          <w:color w:val="auto"/>
          <w:highlight w:val="none"/>
        </w:rPr>
      </w:pPr>
      <w:r>
        <w:rPr>
          <w:rFonts w:hint="eastAsia"/>
          <w:color w:val="auto"/>
          <w:highlight w:val="none"/>
          <w:lang w:val="en-US" w:eastAsia="zh-CN"/>
        </w:rPr>
        <w:t>6</w:t>
      </w:r>
      <w:r>
        <w:rPr>
          <w:rFonts w:hint="eastAsia"/>
          <w:color w:val="auto"/>
          <w:highlight w:val="none"/>
        </w:rPr>
        <w:t>.2供应商拟派往本项目的项目负责人须具有建设行政主管部门颁发的贰级及以上注册建造师证书（建筑工程），具有有效的安全生产考核合格证（B证），且必须注册在供应商本单位；</w:t>
      </w:r>
    </w:p>
    <w:p w14:paraId="4433D2C5">
      <w:pPr>
        <w:pStyle w:val="12"/>
        <w:spacing w:line="360" w:lineRule="auto"/>
        <w:ind w:firstLine="420" w:firstLineChars="200"/>
        <w:rPr>
          <w:color w:val="auto"/>
          <w:highlight w:val="none"/>
        </w:rPr>
      </w:pPr>
      <w:r>
        <w:rPr>
          <w:rFonts w:hint="eastAsia"/>
          <w:color w:val="auto"/>
          <w:highlight w:val="none"/>
          <w:lang w:val="en-US" w:eastAsia="zh-CN"/>
        </w:rPr>
        <w:t>6</w:t>
      </w:r>
      <w:r>
        <w:rPr>
          <w:rFonts w:hint="eastAsia"/>
          <w:color w:val="auto"/>
          <w:highlight w:val="none"/>
        </w:rPr>
        <w:t>.3未担任其他任何在建工程的项目负责人（提供承诺函，格式内容自拟）。</w:t>
      </w:r>
    </w:p>
    <w:p w14:paraId="7DD5CA83">
      <w:pPr>
        <w:rPr>
          <w:rFonts w:hint="eastAsia"/>
          <w:color w:val="auto"/>
          <w:highlight w:val="none"/>
        </w:rPr>
      </w:pPr>
      <w:bookmarkStart w:id="1033" w:name="_Toc348010006"/>
      <w:bookmarkStart w:id="1034" w:name="_Toc525738086"/>
      <w:bookmarkStart w:id="1035" w:name="_Toc523408796"/>
      <w:bookmarkStart w:id="1036" w:name="_Toc7760"/>
      <w:bookmarkStart w:id="1037" w:name="_Toc347849249"/>
      <w:bookmarkStart w:id="1038" w:name="_Toc415662826"/>
      <w:bookmarkStart w:id="1039" w:name="_Toc347494222"/>
      <w:bookmarkStart w:id="1040" w:name="_Toc383175512"/>
      <w:bookmarkStart w:id="1041" w:name="_Toc383175511"/>
    </w:p>
    <w:p w14:paraId="2A961DBA">
      <w:pPr>
        <w:pStyle w:val="12"/>
        <w:spacing w:line="360" w:lineRule="auto"/>
        <w:ind w:firstLine="420" w:firstLineChars="200"/>
        <w:outlineLvl w:val="2"/>
        <w:rPr>
          <w:color w:val="auto"/>
          <w:sz w:val="32"/>
          <w:szCs w:val="32"/>
          <w:highlight w:val="none"/>
        </w:rPr>
      </w:pPr>
      <w:r>
        <w:rPr>
          <w:rFonts w:hint="eastAsia" w:hAnsi="宋体" w:cs="宋体"/>
          <w:color w:val="auto"/>
          <w:highlight w:val="none"/>
        </w:rPr>
        <w:br w:type="page"/>
      </w:r>
      <w:bookmarkEnd w:id="1033"/>
      <w:bookmarkEnd w:id="1034"/>
      <w:bookmarkEnd w:id="1035"/>
      <w:bookmarkStart w:id="1042" w:name="_Toc18557"/>
      <w:bookmarkStart w:id="1043" w:name="_Toc30576"/>
      <w:bookmarkStart w:id="1044" w:name="_Toc9841"/>
      <w:bookmarkStart w:id="1045" w:name="_Toc14304"/>
      <w:bookmarkStart w:id="1046" w:name="_Toc12691"/>
      <w:bookmarkStart w:id="1047" w:name="_Toc21582"/>
      <w:bookmarkStart w:id="1048" w:name="_Toc63"/>
      <w:bookmarkStart w:id="1049" w:name="_Toc7598"/>
      <w:bookmarkStart w:id="1050" w:name="_Toc1438"/>
      <w:bookmarkStart w:id="1051" w:name="_Toc30741"/>
      <w:bookmarkStart w:id="1052" w:name="_Toc32674"/>
      <w:bookmarkStart w:id="1053" w:name="_Toc2541"/>
      <w:bookmarkStart w:id="1054" w:name="_Toc6742"/>
      <w:bookmarkStart w:id="1055" w:name="_Toc17099"/>
      <w:bookmarkStart w:id="1056" w:name="_Toc26360"/>
      <w:bookmarkStart w:id="1057" w:name="_Toc24823"/>
      <w:bookmarkStart w:id="1058" w:name="_Toc29842"/>
      <w:bookmarkStart w:id="1059" w:name="_Hlk13150581"/>
      <w:bookmarkStart w:id="1060" w:name="_Hlk13150592"/>
      <w:r>
        <w:rPr>
          <w:rFonts w:hint="eastAsia" w:eastAsia="黑体"/>
          <w:color w:val="auto"/>
          <w:sz w:val="30"/>
          <w:szCs w:val="30"/>
          <w:highlight w:val="none"/>
        </w:rPr>
        <w:t>供应商具有履行合同所必需的设备和专业技术能力书面声明</w:t>
      </w:r>
      <w:bookmarkEnd w:id="1036"/>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2B8F010">
      <w:pPr>
        <w:rPr>
          <w:color w:val="auto"/>
          <w:highlight w:val="none"/>
        </w:rPr>
      </w:pPr>
    </w:p>
    <w:p w14:paraId="29867148">
      <w:pPr>
        <w:spacing w:line="440" w:lineRule="exact"/>
        <w:rPr>
          <w:color w:val="auto"/>
          <w:szCs w:val="21"/>
          <w:highlight w:val="none"/>
        </w:rPr>
      </w:pPr>
    </w:p>
    <w:p w14:paraId="7B0A9388">
      <w:pPr>
        <w:spacing w:line="440" w:lineRule="exact"/>
        <w:rPr>
          <w:color w:val="auto"/>
          <w:szCs w:val="21"/>
          <w:highlight w:val="none"/>
        </w:rPr>
      </w:pPr>
      <w:r>
        <w:rPr>
          <w:rFonts w:hint="eastAsia"/>
          <w:color w:val="auto"/>
          <w:szCs w:val="21"/>
          <w:highlight w:val="none"/>
        </w:rPr>
        <w:t>致：</w:t>
      </w:r>
      <w:r>
        <w:rPr>
          <w:color w:val="auto"/>
          <w:szCs w:val="21"/>
          <w:highlight w:val="none"/>
          <w:u w:val="single"/>
        </w:rPr>
        <w:t xml:space="preserve">                        </w:t>
      </w:r>
      <w:r>
        <w:rPr>
          <w:rFonts w:hint="eastAsia"/>
          <w:color w:val="auto"/>
          <w:szCs w:val="21"/>
          <w:highlight w:val="none"/>
        </w:rPr>
        <w:t>（采购人名称）：</w:t>
      </w:r>
    </w:p>
    <w:p w14:paraId="694F0712">
      <w:pPr>
        <w:ind w:firstLine="4410" w:firstLineChars="2100"/>
        <w:rPr>
          <w:color w:val="auto"/>
          <w:highlight w:val="none"/>
        </w:rPr>
      </w:pPr>
    </w:p>
    <w:p w14:paraId="53554078">
      <w:pPr>
        <w:ind w:firstLine="4410" w:firstLineChars="2100"/>
        <w:rPr>
          <w:color w:val="auto"/>
          <w:highlight w:val="none"/>
        </w:rPr>
      </w:pPr>
    </w:p>
    <w:p w14:paraId="73DEA019">
      <w:pPr>
        <w:ind w:firstLine="735" w:firstLineChars="350"/>
        <w:rPr>
          <w:color w:val="auto"/>
          <w:highlight w:val="none"/>
        </w:rPr>
      </w:pPr>
      <w:r>
        <w:rPr>
          <w:rFonts w:hint="eastAsia"/>
          <w:color w:val="auto"/>
          <w:highlight w:val="none"/>
        </w:rPr>
        <w:t>（供应商自行承诺及说明，内容自拟）</w:t>
      </w:r>
    </w:p>
    <w:p w14:paraId="1EA0CD0E">
      <w:pPr>
        <w:ind w:firstLine="840" w:firstLineChars="350"/>
        <w:rPr>
          <w:color w:val="auto"/>
          <w:sz w:val="24"/>
          <w:highlight w:val="none"/>
        </w:rPr>
      </w:pPr>
    </w:p>
    <w:bookmarkEnd w:id="1059"/>
    <w:bookmarkEnd w:id="1060"/>
    <w:p w14:paraId="46FD27A3">
      <w:pPr>
        <w:spacing w:line="360" w:lineRule="auto"/>
        <w:jc w:val="left"/>
        <w:rPr>
          <w:rFonts w:ascii="宋体"/>
          <w:color w:val="auto"/>
          <w:sz w:val="24"/>
          <w:highlight w:val="none"/>
        </w:rPr>
      </w:pPr>
    </w:p>
    <w:p w14:paraId="23651219">
      <w:pPr>
        <w:spacing w:line="360" w:lineRule="auto"/>
        <w:jc w:val="left"/>
        <w:rPr>
          <w:rFonts w:ascii="宋体"/>
          <w:color w:val="auto"/>
          <w:sz w:val="24"/>
          <w:highlight w:val="none"/>
        </w:rPr>
      </w:pPr>
    </w:p>
    <w:p w14:paraId="5F7E1758">
      <w:pPr>
        <w:spacing w:line="360" w:lineRule="auto"/>
        <w:jc w:val="left"/>
        <w:rPr>
          <w:rFonts w:ascii="宋体"/>
          <w:color w:val="auto"/>
          <w:sz w:val="24"/>
          <w:highlight w:val="none"/>
        </w:rPr>
      </w:pPr>
    </w:p>
    <w:p w14:paraId="189F002B">
      <w:pPr>
        <w:spacing w:line="360" w:lineRule="auto"/>
        <w:jc w:val="left"/>
        <w:rPr>
          <w:rFonts w:ascii="宋体"/>
          <w:color w:val="auto"/>
          <w:sz w:val="24"/>
          <w:highlight w:val="none"/>
        </w:rPr>
      </w:pPr>
    </w:p>
    <w:p w14:paraId="23E43215">
      <w:pPr>
        <w:spacing w:line="360" w:lineRule="auto"/>
        <w:jc w:val="left"/>
        <w:rPr>
          <w:rFonts w:ascii="宋体"/>
          <w:color w:val="auto"/>
          <w:sz w:val="24"/>
          <w:highlight w:val="none"/>
        </w:rPr>
      </w:pPr>
    </w:p>
    <w:p w14:paraId="44C51444">
      <w:pPr>
        <w:pStyle w:val="12"/>
        <w:spacing w:line="480" w:lineRule="auto"/>
        <w:rPr>
          <w:rFonts w:ascii="Times New Roman"/>
          <w:color w:val="auto"/>
          <w:highlight w:val="none"/>
        </w:rPr>
      </w:pPr>
      <w:r>
        <w:rPr>
          <w:rFonts w:ascii="Times New Roman"/>
          <w:color w:val="auto"/>
          <w:highlight w:val="none"/>
        </w:rPr>
        <w:t>法定代表人</w:t>
      </w:r>
      <w:r>
        <w:rPr>
          <w:rFonts w:hint="eastAsia" w:ascii="Times New Roman"/>
          <w:color w:val="auto"/>
          <w:highlight w:val="none"/>
        </w:rPr>
        <w:t>（电子签名/章）</w:t>
      </w:r>
      <w:r>
        <w:rPr>
          <w:rFonts w:ascii="Times New Roman"/>
          <w:color w:val="auto"/>
          <w:highlight w:val="none"/>
        </w:rPr>
        <w:t>：</w:t>
      </w:r>
      <w:r>
        <w:rPr>
          <w:rFonts w:ascii="Times New Roman"/>
          <w:color w:val="auto"/>
          <w:highlight w:val="none"/>
          <w:u w:val="single"/>
        </w:rPr>
        <w:t xml:space="preserve">      </w:t>
      </w:r>
      <w:r>
        <w:rPr>
          <w:rFonts w:hint="eastAsia" w:ascii="Times New Roman"/>
          <w:color w:val="auto"/>
          <w:highlight w:val="none"/>
          <w:u w:val="single"/>
        </w:rPr>
        <w:t xml:space="preserve">              </w:t>
      </w:r>
      <w:r>
        <w:rPr>
          <w:rFonts w:ascii="Times New Roman"/>
          <w:color w:val="auto"/>
          <w:highlight w:val="none"/>
          <w:u w:val="single"/>
        </w:rPr>
        <w:t xml:space="preserve">          </w:t>
      </w:r>
    </w:p>
    <w:p w14:paraId="3A9BE75B">
      <w:pPr>
        <w:pStyle w:val="12"/>
        <w:spacing w:line="480" w:lineRule="auto"/>
        <w:rPr>
          <w:rFonts w:ascii="Times New Roman"/>
          <w:color w:val="auto"/>
          <w:highlight w:val="none"/>
        </w:rPr>
      </w:pPr>
      <w:r>
        <w:rPr>
          <w:rFonts w:hint="eastAsia" w:ascii="Times New Roman"/>
          <w:color w:val="auto"/>
          <w:highlight w:val="none"/>
        </w:rPr>
        <w:t>供应商</w:t>
      </w:r>
      <w:r>
        <w:rPr>
          <w:rFonts w:ascii="Times New Roman"/>
          <w:color w:val="auto"/>
          <w:highlight w:val="none"/>
        </w:rPr>
        <w:t>（</w:t>
      </w:r>
      <w:r>
        <w:rPr>
          <w:color w:val="auto"/>
          <w:highlight w:val="none"/>
        </w:rPr>
        <w:t>盖企业电子公章</w:t>
      </w:r>
      <w:r>
        <w:rPr>
          <w:rFonts w:ascii="Times New Roman"/>
          <w:color w:val="auto"/>
          <w:highlight w:val="none"/>
        </w:rPr>
        <w:t>）：</w:t>
      </w:r>
      <w:r>
        <w:rPr>
          <w:rFonts w:ascii="Times New Roman"/>
          <w:color w:val="auto"/>
          <w:highlight w:val="none"/>
          <w:u w:val="single"/>
        </w:rPr>
        <w:t xml:space="preserve">                            </w:t>
      </w:r>
      <w:r>
        <w:rPr>
          <w:rFonts w:ascii="Times New Roman"/>
          <w:color w:val="auto"/>
          <w:highlight w:val="none"/>
        </w:rPr>
        <w:t xml:space="preserve">            </w:t>
      </w:r>
    </w:p>
    <w:p w14:paraId="31CF9199">
      <w:pPr>
        <w:spacing w:line="360" w:lineRule="auto"/>
        <w:jc w:val="left"/>
        <w:rPr>
          <w:color w:val="auto"/>
          <w:sz w:val="24"/>
          <w:highlight w:val="none"/>
          <w:u w:val="single"/>
        </w:rPr>
      </w:pPr>
      <w:r>
        <w:rPr>
          <w:color w:val="auto"/>
          <w:szCs w:val="21"/>
          <w:highlight w:val="none"/>
        </w:rPr>
        <w:t>日 期：</w:t>
      </w:r>
      <w:r>
        <w:rPr>
          <w:color w:val="auto"/>
          <w:szCs w:val="21"/>
          <w:highlight w:val="none"/>
          <w:u w:val="single"/>
        </w:rPr>
        <w:t xml:space="preserve">                    </w:t>
      </w:r>
    </w:p>
    <w:p w14:paraId="7D93590F">
      <w:pPr>
        <w:spacing w:line="360" w:lineRule="auto"/>
        <w:ind w:left="3541" w:leftChars="1686"/>
        <w:jc w:val="left"/>
        <w:rPr>
          <w:color w:val="auto"/>
          <w:sz w:val="24"/>
          <w:highlight w:val="none"/>
          <w:u w:val="single"/>
        </w:rPr>
      </w:pPr>
    </w:p>
    <w:p w14:paraId="6820A164">
      <w:pPr>
        <w:spacing w:line="360" w:lineRule="auto"/>
        <w:ind w:left="3541" w:leftChars="1686"/>
        <w:jc w:val="left"/>
        <w:rPr>
          <w:color w:val="auto"/>
          <w:szCs w:val="21"/>
          <w:highlight w:val="none"/>
          <w:u w:val="single"/>
        </w:rPr>
      </w:pPr>
    </w:p>
    <w:p w14:paraId="00B108CE">
      <w:pPr>
        <w:spacing w:line="360" w:lineRule="auto"/>
        <w:jc w:val="left"/>
        <w:rPr>
          <w:rFonts w:ascii="宋体"/>
          <w:color w:val="auto"/>
          <w:sz w:val="24"/>
          <w:highlight w:val="none"/>
        </w:rPr>
      </w:pPr>
    </w:p>
    <w:p w14:paraId="7310A04C">
      <w:pPr>
        <w:spacing w:line="360" w:lineRule="auto"/>
        <w:jc w:val="left"/>
        <w:rPr>
          <w:rFonts w:ascii="宋体"/>
          <w:color w:val="auto"/>
          <w:szCs w:val="21"/>
          <w:highlight w:val="none"/>
        </w:rPr>
      </w:pPr>
      <w:r>
        <w:rPr>
          <w:rFonts w:hint="eastAsia" w:ascii="宋体"/>
          <w:color w:val="auto"/>
          <w:szCs w:val="21"/>
          <w:highlight w:val="none"/>
        </w:rPr>
        <w:t>注：</w:t>
      </w:r>
    </w:p>
    <w:p w14:paraId="22E2F4B9">
      <w:pPr>
        <w:spacing w:line="360" w:lineRule="auto"/>
        <w:ind w:firstLine="422" w:firstLineChars="200"/>
        <w:jc w:val="left"/>
        <w:rPr>
          <w:rFonts w:ascii="宋体"/>
          <w:b/>
          <w:color w:val="auto"/>
          <w:szCs w:val="21"/>
          <w:highlight w:val="none"/>
        </w:rPr>
      </w:pPr>
      <w:r>
        <w:rPr>
          <w:rFonts w:hint="eastAsia" w:ascii="宋体"/>
          <w:b/>
          <w:color w:val="auto"/>
          <w:szCs w:val="21"/>
          <w:highlight w:val="none"/>
        </w:rPr>
        <w:t>1、供应商应对是否满足“具有履行合同所必需的设备和专业技术能力”进行说明和承诺；</w:t>
      </w:r>
    </w:p>
    <w:p w14:paraId="452C4993">
      <w:pPr>
        <w:spacing w:line="360" w:lineRule="auto"/>
        <w:ind w:firstLine="422" w:firstLineChars="200"/>
        <w:jc w:val="left"/>
        <w:rPr>
          <w:b/>
          <w:color w:val="auto"/>
          <w:sz w:val="18"/>
          <w:szCs w:val="21"/>
          <w:highlight w:val="none"/>
        </w:rPr>
      </w:pPr>
      <w:r>
        <w:rPr>
          <w:rFonts w:hint="eastAsia" w:ascii="宋体"/>
          <w:b/>
          <w:color w:val="auto"/>
          <w:szCs w:val="21"/>
          <w:highlight w:val="none"/>
        </w:rPr>
        <w:t>2、若竞争性磋商文件中明确要求提供证明资料的，以证明资料为准。</w:t>
      </w:r>
    </w:p>
    <w:p w14:paraId="59DF8799">
      <w:pPr>
        <w:spacing w:line="360" w:lineRule="auto"/>
        <w:ind w:firstLine="422" w:firstLineChars="200"/>
        <w:jc w:val="left"/>
        <w:rPr>
          <w:rFonts w:ascii="宋体"/>
          <w:b/>
          <w:color w:val="auto"/>
          <w:szCs w:val="21"/>
          <w:highlight w:val="none"/>
        </w:rPr>
      </w:pPr>
    </w:p>
    <w:p w14:paraId="6E814C40">
      <w:pPr>
        <w:spacing w:line="360" w:lineRule="auto"/>
        <w:jc w:val="left"/>
        <w:rPr>
          <w:color w:val="auto"/>
          <w:sz w:val="24"/>
          <w:highlight w:val="none"/>
          <w:u w:val="single"/>
        </w:rPr>
      </w:pPr>
    </w:p>
    <w:p w14:paraId="72C2910A">
      <w:pPr>
        <w:spacing w:line="360" w:lineRule="auto"/>
        <w:ind w:left="3541" w:leftChars="1686"/>
        <w:jc w:val="left"/>
        <w:rPr>
          <w:color w:val="auto"/>
          <w:sz w:val="24"/>
          <w:highlight w:val="none"/>
          <w:u w:val="single"/>
        </w:rPr>
      </w:pPr>
    </w:p>
    <w:p w14:paraId="7B118CF1">
      <w:pPr>
        <w:spacing w:line="360" w:lineRule="auto"/>
        <w:jc w:val="left"/>
        <w:rPr>
          <w:rFonts w:ascii="宋体"/>
          <w:color w:val="auto"/>
          <w:sz w:val="24"/>
          <w:highlight w:val="none"/>
        </w:rPr>
      </w:pPr>
    </w:p>
    <w:p w14:paraId="62AD8073">
      <w:pPr>
        <w:jc w:val="center"/>
        <w:outlineLvl w:val="2"/>
        <w:rPr>
          <w:color w:val="auto"/>
          <w:szCs w:val="21"/>
          <w:highlight w:val="none"/>
        </w:rPr>
      </w:pPr>
      <w:r>
        <w:rPr>
          <w:rFonts w:hint="eastAsia" w:ascii="宋体"/>
          <w:b/>
          <w:color w:val="auto"/>
          <w:szCs w:val="21"/>
          <w:highlight w:val="none"/>
        </w:rPr>
        <w:br w:type="page"/>
      </w:r>
      <w:bookmarkStart w:id="1061" w:name="_Toc10875"/>
      <w:bookmarkStart w:id="1062" w:name="_Toc8652"/>
      <w:bookmarkStart w:id="1063" w:name="_Toc27489"/>
      <w:bookmarkStart w:id="1064" w:name="_Toc2315"/>
      <w:bookmarkStart w:id="1065" w:name="_Toc32053"/>
      <w:bookmarkStart w:id="1066" w:name="_Toc32402"/>
      <w:bookmarkStart w:id="1067" w:name="_Toc8470"/>
      <w:bookmarkStart w:id="1068" w:name="_Toc24672"/>
      <w:bookmarkStart w:id="1069" w:name="_Toc22594"/>
      <w:bookmarkStart w:id="1070" w:name="_Toc5709"/>
      <w:bookmarkStart w:id="1071" w:name="_Toc248"/>
      <w:bookmarkStart w:id="1072" w:name="_Toc19285"/>
      <w:bookmarkStart w:id="1073" w:name="_Toc1665"/>
      <w:bookmarkStart w:id="1074" w:name="_Toc13557"/>
      <w:bookmarkStart w:id="1075" w:name="_Toc18735"/>
      <w:bookmarkStart w:id="1076" w:name="_Toc13468"/>
      <w:bookmarkStart w:id="1077" w:name="_Toc21838"/>
      <w:bookmarkStart w:id="1078" w:name="_Toc23306"/>
      <w:r>
        <w:rPr>
          <w:rFonts w:hint="eastAsia" w:eastAsia="黑体"/>
          <w:color w:val="auto"/>
          <w:sz w:val="30"/>
          <w:szCs w:val="30"/>
          <w:highlight w:val="none"/>
        </w:rPr>
        <w:t>参加政府采购活动前3年内在经营活动中没有重大违法记录书面声明</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632E547">
      <w:pPr>
        <w:rPr>
          <w:color w:val="auto"/>
          <w:highlight w:val="none"/>
        </w:rPr>
      </w:pPr>
    </w:p>
    <w:p w14:paraId="271BA87F">
      <w:pPr>
        <w:spacing w:line="440" w:lineRule="exact"/>
        <w:rPr>
          <w:color w:val="auto"/>
          <w:szCs w:val="21"/>
          <w:highlight w:val="none"/>
        </w:rPr>
      </w:pPr>
      <w:r>
        <w:rPr>
          <w:rFonts w:hint="eastAsia"/>
          <w:color w:val="auto"/>
          <w:szCs w:val="21"/>
          <w:highlight w:val="none"/>
        </w:rPr>
        <w:t>致：</w:t>
      </w:r>
      <w:r>
        <w:rPr>
          <w:color w:val="auto"/>
          <w:szCs w:val="21"/>
          <w:highlight w:val="none"/>
          <w:u w:val="single"/>
        </w:rPr>
        <w:t xml:space="preserve">                        </w:t>
      </w:r>
      <w:r>
        <w:rPr>
          <w:rFonts w:hint="eastAsia"/>
          <w:color w:val="auto"/>
          <w:szCs w:val="21"/>
          <w:highlight w:val="none"/>
        </w:rPr>
        <w:t>（采购人名称）：</w:t>
      </w:r>
    </w:p>
    <w:p w14:paraId="44D48612">
      <w:pPr>
        <w:ind w:firstLine="4410" w:firstLineChars="2100"/>
        <w:rPr>
          <w:color w:val="auto"/>
          <w:highlight w:val="none"/>
        </w:rPr>
      </w:pPr>
    </w:p>
    <w:p w14:paraId="6871A1D8">
      <w:pPr>
        <w:ind w:firstLine="4410" w:firstLineChars="2100"/>
        <w:rPr>
          <w:color w:val="auto"/>
          <w:highlight w:val="none"/>
        </w:rPr>
      </w:pPr>
    </w:p>
    <w:p w14:paraId="40BAA8DC">
      <w:pPr>
        <w:ind w:firstLine="735" w:firstLineChars="350"/>
        <w:rPr>
          <w:color w:val="auto"/>
          <w:highlight w:val="none"/>
        </w:rPr>
      </w:pPr>
      <w:r>
        <w:rPr>
          <w:rFonts w:hint="eastAsia"/>
          <w:color w:val="auto"/>
          <w:highlight w:val="none"/>
        </w:rPr>
        <w:t>（供应商自行承诺，内容自拟）</w:t>
      </w:r>
    </w:p>
    <w:p w14:paraId="2FB2993E">
      <w:pPr>
        <w:pStyle w:val="12"/>
        <w:spacing w:line="480" w:lineRule="auto"/>
        <w:rPr>
          <w:rFonts w:ascii="Times New Roman"/>
          <w:color w:val="auto"/>
          <w:sz w:val="24"/>
          <w:szCs w:val="24"/>
          <w:highlight w:val="none"/>
        </w:rPr>
      </w:pPr>
    </w:p>
    <w:p w14:paraId="5C9E3B41">
      <w:pPr>
        <w:pStyle w:val="12"/>
        <w:spacing w:line="480" w:lineRule="auto"/>
        <w:rPr>
          <w:rFonts w:ascii="Times New Roman"/>
          <w:color w:val="auto"/>
          <w:sz w:val="24"/>
          <w:szCs w:val="24"/>
          <w:highlight w:val="none"/>
        </w:rPr>
      </w:pPr>
    </w:p>
    <w:p w14:paraId="46E6270A">
      <w:pPr>
        <w:pStyle w:val="12"/>
        <w:spacing w:line="480" w:lineRule="auto"/>
        <w:rPr>
          <w:rFonts w:ascii="Times New Roman"/>
          <w:color w:val="auto"/>
          <w:sz w:val="24"/>
          <w:szCs w:val="24"/>
          <w:highlight w:val="none"/>
        </w:rPr>
      </w:pPr>
    </w:p>
    <w:p w14:paraId="61B324A0">
      <w:pPr>
        <w:pStyle w:val="2"/>
        <w:rPr>
          <w:rFonts w:ascii="宋体"/>
          <w:color w:val="auto"/>
          <w:szCs w:val="21"/>
          <w:highlight w:val="none"/>
        </w:rPr>
      </w:pPr>
    </w:p>
    <w:p w14:paraId="7BFAE174">
      <w:pPr>
        <w:pStyle w:val="12"/>
        <w:spacing w:line="480" w:lineRule="auto"/>
        <w:rPr>
          <w:rFonts w:ascii="Times New Roman"/>
          <w:color w:val="auto"/>
          <w:highlight w:val="none"/>
        </w:rPr>
      </w:pPr>
      <w:r>
        <w:rPr>
          <w:rFonts w:ascii="Times New Roman"/>
          <w:color w:val="auto"/>
          <w:highlight w:val="none"/>
        </w:rPr>
        <w:t>法定代表人</w:t>
      </w:r>
      <w:r>
        <w:rPr>
          <w:rFonts w:hint="eastAsia" w:ascii="Times New Roman"/>
          <w:color w:val="auto"/>
          <w:highlight w:val="none"/>
        </w:rPr>
        <w:t>（</w:t>
      </w:r>
      <w:r>
        <w:rPr>
          <w:rFonts w:hint="eastAsia" w:hAnsi="宋体"/>
          <w:color w:val="auto"/>
          <w:highlight w:val="none"/>
        </w:rPr>
        <w:t>电子签名/章</w:t>
      </w:r>
      <w:r>
        <w:rPr>
          <w:rFonts w:hint="eastAsia" w:ascii="Times New Roman"/>
          <w:color w:val="auto"/>
          <w:highlight w:val="none"/>
        </w:rPr>
        <w:t>）</w:t>
      </w:r>
      <w:r>
        <w:rPr>
          <w:rFonts w:ascii="Times New Roman"/>
          <w:color w:val="auto"/>
          <w:highlight w:val="none"/>
        </w:rPr>
        <w:t>：</w:t>
      </w:r>
      <w:r>
        <w:rPr>
          <w:rFonts w:hint="eastAsia" w:ascii="Times New Roman"/>
          <w:color w:val="auto"/>
          <w:highlight w:val="none"/>
        </w:rPr>
        <w:t xml:space="preserve"> </w:t>
      </w:r>
      <w:r>
        <w:rPr>
          <w:rFonts w:ascii="Times New Roman"/>
          <w:color w:val="auto"/>
          <w:highlight w:val="none"/>
          <w:u w:val="single"/>
        </w:rPr>
        <w:t xml:space="preserve">                </w:t>
      </w:r>
    </w:p>
    <w:p w14:paraId="24697659">
      <w:pPr>
        <w:pStyle w:val="12"/>
        <w:spacing w:line="480" w:lineRule="auto"/>
        <w:rPr>
          <w:rFonts w:ascii="Times New Roman"/>
          <w:color w:val="auto"/>
          <w:highlight w:val="none"/>
        </w:rPr>
      </w:pPr>
      <w:r>
        <w:rPr>
          <w:rFonts w:hint="eastAsia" w:ascii="Times New Roman"/>
          <w:color w:val="auto"/>
          <w:highlight w:val="none"/>
        </w:rPr>
        <w:t>供应商</w:t>
      </w:r>
      <w:r>
        <w:rPr>
          <w:rFonts w:ascii="Times New Roman"/>
          <w:color w:val="auto"/>
          <w:highlight w:val="none"/>
        </w:rPr>
        <w:t>（</w:t>
      </w:r>
      <w:r>
        <w:rPr>
          <w:color w:val="auto"/>
          <w:highlight w:val="none"/>
        </w:rPr>
        <w:t>盖企业电子公章</w:t>
      </w:r>
      <w:r>
        <w:rPr>
          <w:rFonts w:ascii="Times New Roman"/>
          <w:color w:val="auto"/>
          <w:highlight w:val="none"/>
        </w:rPr>
        <w:t>）：</w:t>
      </w:r>
      <w:r>
        <w:rPr>
          <w:rFonts w:ascii="Times New Roman"/>
          <w:color w:val="auto"/>
          <w:highlight w:val="none"/>
          <w:u w:val="single"/>
        </w:rPr>
        <w:t xml:space="preserve">                            </w:t>
      </w:r>
      <w:r>
        <w:rPr>
          <w:rFonts w:ascii="Times New Roman"/>
          <w:color w:val="auto"/>
          <w:highlight w:val="none"/>
        </w:rPr>
        <w:t xml:space="preserve">            </w:t>
      </w:r>
    </w:p>
    <w:p w14:paraId="3C8AB5BD">
      <w:pPr>
        <w:spacing w:line="360" w:lineRule="auto"/>
        <w:jc w:val="left"/>
        <w:rPr>
          <w:color w:val="auto"/>
          <w:sz w:val="24"/>
          <w:highlight w:val="none"/>
          <w:u w:val="single"/>
        </w:rPr>
      </w:pPr>
      <w:r>
        <w:rPr>
          <w:color w:val="auto"/>
          <w:szCs w:val="21"/>
          <w:highlight w:val="none"/>
        </w:rPr>
        <w:t>日 期：</w:t>
      </w:r>
      <w:r>
        <w:rPr>
          <w:rFonts w:hint="eastAsia"/>
          <w:color w:val="auto"/>
          <w:szCs w:val="21"/>
          <w:highlight w:val="none"/>
        </w:rPr>
        <w:t xml:space="preserve">  </w:t>
      </w:r>
      <w:r>
        <w:rPr>
          <w:color w:val="auto"/>
          <w:szCs w:val="21"/>
          <w:highlight w:val="none"/>
          <w:u w:val="single"/>
        </w:rPr>
        <w:t xml:space="preserve">                    </w:t>
      </w:r>
    </w:p>
    <w:p w14:paraId="2ADE48CB">
      <w:pPr>
        <w:spacing w:line="360" w:lineRule="auto"/>
        <w:jc w:val="left"/>
        <w:rPr>
          <w:color w:val="auto"/>
          <w:sz w:val="24"/>
          <w:highlight w:val="none"/>
          <w:u w:val="single"/>
        </w:rPr>
      </w:pPr>
    </w:p>
    <w:p w14:paraId="71B3B463">
      <w:pPr>
        <w:spacing w:line="360" w:lineRule="auto"/>
        <w:ind w:left="3541" w:leftChars="1686"/>
        <w:jc w:val="left"/>
        <w:rPr>
          <w:color w:val="auto"/>
          <w:sz w:val="24"/>
          <w:highlight w:val="none"/>
          <w:u w:val="single"/>
        </w:rPr>
      </w:pPr>
    </w:p>
    <w:p w14:paraId="42B1BBC4">
      <w:pPr>
        <w:spacing w:line="360" w:lineRule="auto"/>
        <w:jc w:val="center"/>
        <w:rPr>
          <w:rFonts w:ascii="宋体"/>
          <w:color w:val="auto"/>
          <w:sz w:val="22"/>
          <w:szCs w:val="22"/>
          <w:highlight w:val="none"/>
        </w:rPr>
      </w:pPr>
    </w:p>
    <w:p w14:paraId="614948E4">
      <w:pPr>
        <w:spacing w:line="360" w:lineRule="auto"/>
        <w:jc w:val="center"/>
        <w:rPr>
          <w:rFonts w:ascii="宋体"/>
          <w:color w:val="auto"/>
          <w:sz w:val="22"/>
          <w:szCs w:val="22"/>
          <w:highlight w:val="none"/>
        </w:rPr>
      </w:pPr>
    </w:p>
    <w:p w14:paraId="1CB6096A">
      <w:pPr>
        <w:spacing w:line="360" w:lineRule="auto"/>
        <w:jc w:val="left"/>
        <w:rPr>
          <w:rFonts w:ascii="宋体"/>
          <w:color w:val="auto"/>
          <w:szCs w:val="21"/>
          <w:highlight w:val="none"/>
        </w:rPr>
      </w:pPr>
      <w:r>
        <w:rPr>
          <w:rFonts w:hint="eastAsia" w:ascii="宋体"/>
          <w:color w:val="auto"/>
          <w:szCs w:val="21"/>
          <w:highlight w:val="none"/>
        </w:rPr>
        <w:t>注：</w:t>
      </w:r>
    </w:p>
    <w:p w14:paraId="638CAC6B">
      <w:pPr>
        <w:spacing w:line="360" w:lineRule="auto"/>
        <w:ind w:firstLine="422" w:firstLineChars="200"/>
        <w:jc w:val="left"/>
        <w:rPr>
          <w:rFonts w:ascii="宋体"/>
          <w:b/>
          <w:color w:val="auto"/>
          <w:szCs w:val="21"/>
          <w:highlight w:val="none"/>
        </w:rPr>
      </w:pPr>
      <w:r>
        <w:rPr>
          <w:rFonts w:hint="eastAsia" w:ascii="宋体"/>
          <w:b/>
          <w:color w:val="auto"/>
          <w:szCs w:val="21"/>
          <w:highlight w:val="none"/>
        </w:rPr>
        <w:t>1、供应商参加政府采购活动前3年内在经营活动中没有重大违法记录；</w:t>
      </w:r>
    </w:p>
    <w:p w14:paraId="7F2FFD1D">
      <w:pPr>
        <w:spacing w:line="360" w:lineRule="auto"/>
        <w:ind w:firstLine="422" w:firstLineChars="200"/>
        <w:rPr>
          <w:rFonts w:ascii="仿宋" w:hAnsi="仿宋" w:eastAsia="仿宋" w:cs="宋体"/>
          <w:b/>
          <w:bCs/>
          <w:color w:val="auto"/>
          <w:sz w:val="24"/>
          <w:highlight w:val="none"/>
        </w:rPr>
      </w:pPr>
      <w:r>
        <w:rPr>
          <w:rFonts w:hint="eastAsia" w:ascii="宋体"/>
          <w:b/>
          <w:color w:val="auto"/>
          <w:szCs w:val="21"/>
          <w:highlight w:val="none"/>
        </w:rPr>
        <w:t>2、重大违法记录，是指供应商因违法经营受到刑事处罚或者责令停产停业、吊销许可证或者执照、较大数额罚款等行政处罚</w:t>
      </w:r>
      <w:r>
        <w:rPr>
          <w:rFonts w:hint="eastAsia" w:ascii="宋体"/>
          <w:b/>
          <w:bCs/>
          <w:color w:val="auto"/>
          <w:szCs w:val="21"/>
          <w:highlight w:val="none"/>
        </w:rPr>
        <w:t>。</w:t>
      </w:r>
    </w:p>
    <w:p w14:paraId="6FA5A335">
      <w:pPr>
        <w:jc w:val="center"/>
        <w:outlineLvl w:val="2"/>
        <w:rPr>
          <w:rFonts w:hint="default" w:eastAsia="黑体"/>
          <w:szCs w:val="21"/>
          <w:highlight w:val="none"/>
          <w:lang w:val="en-US" w:eastAsia="zh-CN"/>
        </w:rPr>
      </w:pPr>
      <w:bookmarkStart w:id="1079" w:name="_Toc21408"/>
      <w:bookmarkStart w:id="1080" w:name="_Toc272421904"/>
      <w:bookmarkStart w:id="1081" w:name="_Toc51288993"/>
      <w:bookmarkStart w:id="1082" w:name="_Toc478978894"/>
      <w:bookmarkStart w:id="1083" w:name="_Toc4283"/>
      <w:bookmarkStart w:id="1084" w:name="_Toc213141112"/>
      <w:r>
        <w:rPr>
          <w:rFonts w:eastAsia="黑体"/>
          <w:color w:val="auto"/>
          <w:sz w:val="30"/>
          <w:szCs w:val="30"/>
          <w:highlight w:val="none"/>
        </w:rPr>
        <w:br w:type="page"/>
      </w:r>
      <w:bookmarkStart w:id="1085" w:name="_Toc6738"/>
      <w:bookmarkStart w:id="1086" w:name="_Toc4705"/>
      <w:bookmarkStart w:id="1087" w:name="_Toc8892"/>
      <w:bookmarkStart w:id="1088" w:name="_Toc23301"/>
      <w:bookmarkStart w:id="1089" w:name="_Toc19605"/>
      <w:bookmarkStart w:id="1090" w:name="_Toc6366"/>
      <w:bookmarkStart w:id="1091" w:name="_Toc3505"/>
      <w:bookmarkStart w:id="1092" w:name="_Toc26560"/>
      <w:bookmarkStart w:id="1093" w:name="_Toc16699"/>
      <w:r>
        <w:rPr>
          <w:rFonts w:hint="eastAsia" w:eastAsia="黑体"/>
          <w:sz w:val="30"/>
          <w:szCs w:val="30"/>
          <w:highlight w:val="none"/>
        </w:rPr>
        <w:t>未拖欠农民工工资</w:t>
      </w:r>
      <w:r>
        <w:rPr>
          <w:rFonts w:hint="eastAsia" w:eastAsia="黑体"/>
          <w:sz w:val="30"/>
          <w:szCs w:val="30"/>
          <w:highlight w:val="none"/>
          <w:lang w:val="en-US" w:eastAsia="zh-CN"/>
        </w:rPr>
        <w:t>承诺函</w:t>
      </w:r>
      <w:bookmarkEnd w:id="1085"/>
    </w:p>
    <w:p w14:paraId="3881402A">
      <w:pPr>
        <w:rPr>
          <w:highlight w:val="none"/>
        </w:rPr>
      </w:pPr>
    </w:p>
    <w:p w14:paraId="7633D762">
      <w:pPr>
        <w:spacing w:line="440" w:lineRule="exact"/>
        <w:rPr>
          <w:szCs w:val="21"/>
          <w:highlight w:val="none"/>
        </w:rPr>
      </w:pPr>
      <w:r>
        <w:rPr>
          <w:rFonts w:hint="eastAsia"/>
          <w:szCs w:val="21"/>
          <w:highlight w:val="none"/>
        </w:rPr>
        <w:t>致：</w:t>
      </w:r>
      <w:r>
        <w:rPr>
          <w:szCs w:val="21"/>
          <w:highlight w:val="none"/>
          <w:u w:val="single"/>
        </w:rPr>
        <w:t xml:space="preserve">                        </w:t>
      </w:r>
      <w:r>
        <w:rPr>
          <w:rFonts w:hint="eastAsia"/>
          <w:szCs w:val="21"/>
          <w:highlight w:val="none"/>
        </w:rPr>
        <w:t>（采购人名称）：</w:t>
      </w:r>
    </w:p>
    <w:p w14:paraId="3495E664">
      <w:pPr>
        <w:ind w:firstLine="4410" w:firstLineChars="2100"/>
        <w:rPr>
          <w:highlight w:val="none"/>
        </w:rPr>
      </w:pPr>
    </w:p>
    <w:p w14:paraId="1E79EAF9">
      <w:pPr>
        <w:ind w:firstLine="4410" w:firstLineChars="2100"/>
        <w:rPr>
          <w:highlight w:val="none"/>
        </w:rPr>
      </w:pPr>
    </w:p>
    <w:p w14:paraId="42E5795E">
      <w:pPr>
        <w:ind w:firstLine="735" w:firstLineChars="350"/>
        <w:rPr>
          <w:highlight w:val="none"/>
        </w:rPr>
      </w:pPr>
      <w:r>
        <w:rPr>
          <w:rFonts w:hint="eastAsia"/>
          <w:highlight w:val="none"/>
        </w:rPr>
        <w:t>（供应商自行承诺，内容自拟）</w:t>
      </w:r>
    </w:p>
    <w:p w14:paraId="3DA45599">
      <w:pPr>
        <w:pStyle w:val="12"/>
        <w:spacing w:line="480" w:lineRule="auto"/>
        <w:rPr>
          <w:rFonts w:ascii="Times New Roman"/>
          <w:sz w:val="24"/>
          <w:szCs w:val="24"/>
          <w:highlight w:val="none"/>
        </w:rPr>
      </w:pPr>
    </w:p>
    <w:p w14:paraId="7248CFC7">
      <w:pPr>
        <w:pStyle w:val="12"/>
        <w:spacing w:line="480" w:lineRule="auto"/>
        <w:rPr>
          <w:rFonts w:ascii="Times New Roman"/>
          <w:sz w:val="24"/>
          <w:szCs w:val="24"/>
          <w:highlight w:val="none"/>
        </w:rPr>
      </w:pPr>
    </w:p>
    <w:p w14:paraId="4A83B211">
      <w:pPr>
        <w:pStyle w:val="12"/>
        <w:spacing w:line="480" w:lineRule="auto"/>
        <w:rPr>
          <w:rFonts w:ascii="Times New Roman"/>
          <w:sz w:val="24"/>
          <w:szCs w:val="24"/>
          <w:highlight w:val="none"/>
        </w:rPr>
      </w:pPr>
    </w:p>
    <w:p w14:paraId="3904F404">
      <w:pPr>
        <w:pStyle w:val="2"/>
        <w:rPr>
          <w:rFonts w:ascii="宋体"/>
          <w:szCs w:val="21"/>
          <w:highlight w:val="none"/>
        </w:rPr>
      </w:pPr>
    </w:p>
    <w:p w14:paraId="1F914515">
      <w:pPr>
        <w:pStyle w:val="12"/>
        <w:spacing w:line="480" w:lineRule="auto"/>
        <w:rPr>
          <w:rFonts w:ascii="Times New Roman"/>
          <w:highlight w:val="none"/>
        </w:rPr>
      </w:pPr>
      <w:r>
        <w:rPr>
          <w:rFonts w:ascii="Times New Roman"/>
          <w:highlight w:val="none"/>
        </w:rPr>
        <w:t>法定代表人</w:t>
      </w:r>
      <w:r>
        <w:rPr>
          <w:rFonts w:hint="eastAsia" w:ascii="Times New Roman"/>
          <w:highlight w:val="none"/>
        </w:rPr>
        <w:t>（</w:t>
      </w:r>
      <w:r>
        <w:rPr>
          <w:rFonts w:hint="eastAsia" w:hAnsi="宋体"/>
          <w:highlight w:val="none"/>
        </w:rPr>
        <w:t>电子签名/章</w:t>
      </w:r>
      <w:r>
        <w:rPr>
          <w:rFonts w:hint="eastAsia" w:ascii="Times New Roman"/>
          <w:highlight w:val="none"/>
        </w:rPr>
        <w:t>）</w:t>
      </w:r>
      <w:r>
        <w:rPr>
          <w:rFonts w:ascii="Times New Roman"/>
          <w:highlight w:val="none"/>
        </w:rPr>
        <w:t>：</w:t>
      </w:r>
      <w:r>
        <w:rPr>
          <w:rFonts w:hint="eastAsia" w:ascii="Times New Roman"/>
          <w:highlight w:val="none"/>
        </w:rPr>
        <w:t xml:space="preserve"> </w:t>
      </w:r>
      <w:r>
        <w:rPr>
          <w:rFonts w:ascii="Times New Roman"/>
          <w:highlight w:val="none"/>
          <w:u w:val="single"/>
        </w:rPr>
        <w:t xml:space="preserve">                </w:t>
      </w:r>
    </w:p>
    <w:p w14:paraId="797F2011">
      <w:pPr>
        <w:pStyle w:val="12"/>
        <w:spacing w:line="480" w:lineRule="auto"/>
        <w:rPr>
          <w:rFonts w:ascii="Times New Roman"/>
          <w:highlight w:val="none"/>
        </w:rPr>
      </w:pPr>
      <w:r>
        <w:rPr>
          <w:rFonts w:hint="eastAsia" w:ascii="Times New Roman"/>
          <w:highlight w:val="none"/>
        </w:rPr>
        <w:t>供应商</w:t>
      </w:r>
      <w:r>
        <w:rPr>
          <w:rFonts w:ascii="Times New Roman"/>
          <w:highlight w:val="none"/>
        </w:rPr>
        <w:t>（</w:t>
      </w:r>
      <w:r>
        <w:rPr>
          <w:highlight w:val="none"/>
        </w:rPr>
        <w:t>盖企业电子公章</w:t>
      </w:r>
      <w:r>
        <w:rPr>
          <w:rFonts w:ascii="Times New Roman"/>
          <w:highlight w:val="none"/>
        </w:rPr>
        <w:t>）：</w:t>
      </w:r>
      <w:r>
        <w:rPr>
          <w:rFonts w:ascii="Times New Roman"/>
          <w:highlight w:val="none"/>
          <w:u w:val="single"/>
        </w:rPr>
        <w:t xml:space="preserve">                            </w:t>
      </w:r>
      <w:r>
        <w:rPr>
          <w:rFonts w:ascii="Times New Roman"/>
          <w:highlight w:val="none"/>
        </w:rPr>
        <w:t xml:space="preserve">            </w:t>
      </w:r>
    </w:p>
    <w:p w14:paraId="3B2D449C">
      <w:pPr>
        <w:spacing w:line="360" w:lineRule="auto"/>
        <w:jc w:val="left"/>
        <w:rPr>
          <w:sz w:val="24"/>
          <w:highlight w:val="none"/>
          <w:u w:val="single"/>
        </w:rPr>
      </w:pPr>
      <w:r>
        <w:rPr>
          <w:szCs w:val="21"/>
          <w:highlight w:val="none"/>
        </w:rPr>
        <w:t>日 期：</w:t>
      </w:r>
      <w:r>
        <w:rPr>
          <w:rFonts w:hint="eastAsia"/>
          <w:szCs w:val="21"/>
          <w:highlight w:val="none"/>
        </w:rPr>
        <w:t xml:space="preserve">  </w:t>
      </w:r>
      <w:r>
        <w:rPr>
          <w:szCs w:val="21"/>
          <w:highlight w:val="none"/>
          <w:u w:val="single"/>
        </w:rPr>
        <w:t xml:space="preserve">                    </w:t>
      </w:r>
    </w:p>
    <w:p w14:paraId="05F2CCC8">
      <w:pPr>
        <w:spacing w:line="360" w:lineRule="auto"/>
        <w:jc w:val="left"/>
        <w:rPr>
          <w:sz w:val="24"/>
          <w:highlight w:val="none"/>
          <w:u w:val="single"/>
        </w:rPr>
      </w:pPr>
    </w:p>
    <w:p w14:paraId="60B89013">
      <w:pPr>
        <w:spacing w:line="360" w:lineRule="auto"/>
        <w:ind w:left="3541" w:leftChars="1686"/>
        <w:jc w:val="left"/>
        <w:rPr>
          <w:sz w:val="24"/>
          <w:highlight w:val="none"/>
          <w:u w:val="single"/>
        </w:rPr>
      </w:pPr>
    </w:p>
    <w:p w14:paraId="0320AE14">
      <w:pPr>
        <w:spacing w:line="360" w:lineRule="auto"/>
        <w:jc w:val="center"/>
        <w:rPr>
          <w:rFonts w:ascii="宋体"/>
          <w:sz w:val="22"/>
          <w:szCs w:val="22"/>
          <w:highlight w:val="none"/>
        </w:rPr>
      </w:pPr>
    </w:p>
    <w:p w14:paraId="5932E77A">
      <w:pPr>
        <w:spacing w:line="360" w:lineRule="auto"/>
        <w:jc w:val="center"/>
        <w:rPr>
          <w:rFonts w:ascii="宋体"/>
          <w:sz w:val="22"/>
          <w:szCs w:val="22"/>
          <w:highlight w:val="none"/>
        </w:rPr>
      </w:pPr>
    </w:p>
    <w:p w14:paraId="0BA1F4AF">
      <w:pPr>
        <w:spacing w:line="360" w:lineRule="auto"/>
        <w:ind w:firstLine="0" w:firstLineChars="0"/>
        <w:jc w:val="left"/>
        <w:rPr>
          <w:rFonts w:hint="default" w:ascii="宋体"/>
          <w:b/>
          <w:bCs/>
          <w:szCs w:val="21"/>
          <w:highlight w:val="none"/>
          <w:lang w:val="en-US"/>
        </w:rPr>
      </w:pPr>
      <w:r>
        <w:rPr>
          <w:rFonts w:hint="eastAsia" w:ascii="宋体"/>
          <w:b/>
          <w:bCs/>
          <w:szCs w:val="21"/>
          <w:highlight w:val="none"/>
        </w:rPr>
        <w:t>注：</w:t>
      </w:r>
      <w:r>
        <w:rPr>
          <w:rFonts w:hint="eastAsia" w:ascii="宋体"/>
          <w:b/>
          <w:bCs/>
          <w:szCs w:val="21"/>
          <w:highlight w:val="none"/>
          <w:lang w:val="en-US" w:eastAsia="zh-CN"/>
        </w:rPr>
        <w:t>供应商自行承诺未出现拖欠农民工工资的情形</w:t>
      </w:r>
    </w:p>
    <w:p w14:paraId="6ABEA366">
      <w:pPr>
        <w:jc w:val="left"/>
        <w:outlineLvl w:val="9"/>
        <w:rPr>
          <w:rFonts w:eastAsia="黑体"/>
          <w:sz w:val="30"/>
          <w:szCs w:val="30"/>
          <w:highlight w:val="none"/>
        </w:rPr>
      </w:pPr>
      <w:r>
        <w:rPr>
          <w:rFonts w:eastAsia="黑体"/>
          <w:sz w:val="30"/>
          <w:szCs w:val="30"/>
          <w:highlight w:val="none"/>
        </w:rPr>
        <w:br w:type="page"/>
      </w:r>
    </w:p>
    <w:p w14:paraId="05D66F38">
      <w:pPr>
        <w:rPr>
          <w:rFonts w:eastAsia="黑体"/>
          <w:color w:val="auto"/>
          <w:sz w:val="30"/>
          <w:szCs w:val="30"/>
          <w:highlight w:val="none"/>
        </w:rPr>
      </w:pPr>
    </w:p>
    <w:p w14:paraId="507C0446">
      <w:pPr>
        <w:jc w:val="center"/>
        <w:outlineLvl w:val="2"/>
        <w:rPr>
          <w:rFonts w:eastAsia="黑体"/>
          <w:color w:val="auto"/>
          <w:sz w:val="30"/>
          <w:szCs w:val="30"/>
          <w:highlight w:val="none"/>
        </w:rPr>
      </w:pPr>
      <w:r>
        <w:rPr>
          <w:rFonts w:hint="eastAsia" w:eastAsia="黑体"/>
          <w:color w:val="auto"/>
          <w:sz w:val="30"/>
          <w:szCs w:val="30"/>
          <w:highlight w:val="none"/>
        </w:rPr>
        <w:t>中小企业声明函（工程）</w:t>
      </w:r>
      <w:bookmarkEnd w:id="1086"/>
      <w:bookmarkEnd w:id="1087"/>
      <w:bookmarkEnd w:id="1088"/>
      <w:bookmarkEnd w:id="1089"/>
      <w:bookmarkEnd w:id="1090"/>
      <w:bookmarkEnd w:id="1091"/>
    </w:p>
    <w:p w14:paraId="6D769FF1">
      <w:pPr>
        <w:pStyle w:val="24"/>
        <w:rPr>
          <w:color w:val="auto"/>
          <w:highlight w:val="none"/>
        </w:rPr>
      </w:pPr>
    </w:p>
    <w:p w14:paraId="09FB883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本公司（联合体）郑重声明，根据《政府采购促进中小企业发展管理办法》（财库﹝2020﹞46 号）的规定，本公司（联合体）参加</w:t>
      </w:r>
      <w:r>
        <w:rPr>
          <w:rFonts w:hint="eastAsia" w:ascii="宋体" w:hAnsi="宋体"/>
          <w:color w:val="auto"/>
          <w:szCs w:val="21"/>
          <w:highlight w:val="none"/>
          <w:u w:val="single"/>
        </w:rPr>
        <w:t>（单位名称）</w:t>
      </w:r>
      <w:r>
        <w:rPr>
          <w:rFonts w:hint="eastAsia" w:ascii="宋体" w:hAnsi="宋体"/>
          <w:color w:val="auto"/>
          <w:szCs w:val="21"/>
          <w:highlight w:val="none"/>
        </w:rPr>
        <w:t>的</w:t>
      </w:r>
      <w:r>
        <w:rPr>
          <w:rFonts w:hint="eastAsia" w:ascii="宋体" w:hAnsi="宋体"/>
          <w:color w:val="auto"/>
          <w:szCs w:val="21"/>
          <w:highlight w:val="none"/>
          <w:u w:val="single"/>
        </w:rPr>
        <w:t>（项目名称）</w:t>
      </w:r>
      <w:r>
        <w:rPr>
          <w:rFonts w:hint="eastAsia" w:ascii="宋体" w:hAnsi="宋体"/>
          <w:color w:val="auto"/>
          <w:szCs w:val="21"/>
          <w:highlight w:val="none"/>
        </w:rPr>
        <w:t>采购活动，工程的施工单位全部为符合政策要求的中小企业。相关企业（含联合体中的中小企业、签订分包意向协议的中小企业）的具体情况如下：</w:t>
      </w:r>
    </w:p>
    <w:p w14:paraId="6139C749">
      <w:pPr>
        <w:spacing w:line="360" w:lineRule="auto"/>
        <w:ind w:firstLine="420" w:firstLineChars="200"/>
        <w:rPr>
          <w:rFonts w:ascii="宋体" w:hAnsi="宋体"/>
          <w:color w:val="auto"/>
          <w:szCs w:val="21"/>
          <w:highlight w:val="none"/>
        </w:rPr>
      </w:pPr>
    </w:p>
    <w:p w14:paraId="6568FC65">
      <w:pPr>
        <w:numPr>
          <w:ilvl w:val="0"/>
          <w:numId w:val="2"/>
        </w:numPr>
        <w:spacing w:line="360" w:lineRule="auto"/>
        <w:ind w:firstLine="420" w:firstLineChars="200"/>
        <w:rPr>
          <w:color w:val="auto"/>
          <w:highlight w:val="none"/>
        </w:rPr>
      </w:pPr>
      <w:r>
        <w:rPr>
          <w:rFonts w:hint="eastAsia" w:ascii="宋体" w:hAnsi="宋体"/>
          <w:color w:val="auto"/>
          <w:szCs w:val="21"/>
          <w:highlight w:val="none"/>
          <w:u w:val="single"/>
        </w:rPr>
        <w:t>（标的名称）</w:t>
      </w:r>
      <w:r>
        <w:rPr>
          <w:rFonts w:hint="eastAsia" w:ascii="宋体" w:hAnsi="宋体"/>
          <w:color w:val="auto"/>
          <w:szCs w:val="21"/>
          <w:highlight w:val="none"/>
        </w:rPr>
        <w:t xml:space="preserve"> ，属于</w:t>
      </w:r>
      <w:r>
        <w:rPr>
          <w:rFonts w:hint="eastAsia" w:ascii="宋体" w:hAnsi="宋体"/>
          <w:color w:val="auto"/>
          <w:szCs w:val="21"/>
          <w:highlight w:val="none"/>
          <w:u w:val="single"/>
        </w:rPr>
        <w:t xml:space="preserve">  建筑业  </w:t>
      </w:r>
      <w:r>
        <w:rPr>
          <w:rFonts w:hint="eastAsia" w:ascii="宋体" w:hAnsi="宋体"/>
          <w:color w:val="auto"/>
          <w:szCs w:val="21"/>
          <w:highlight w:val="none"/>
        </w:rPr>
        <w:t>；承建（承接）企业为</w:t>
      </w:r>
      <w:r>
        <w:rPr>
          <w:rFonts w:hint="eastAsia" w:ascii="宋体" w:hAnsi="宋体"/>
          <w:color w:val="auto"/>
          <w:szCs w:val="21"/>
          <w:highlight w:val="none"/>
          <w:u w:val="single"/>
        </w:rPr>
        <w:t>（企业名称）</w:t>
      </w:r>
      <w:r>
        <w:rPr>
          <w:rFonts w:hint="eastAsia" w:ascii="宋体" w:hAnsi="宋体"/>
          <w:color w:val="auto"/>
          <w:szCs w:val="21"/>
          <w:highlight w:val="none"/>
        </w:rPr>
        <w:t>，从业人员</w:t>
      </w:r>
      <w:r>
        <w:rPr>
          <w:rFonts w:hint="eastAsia" w:ascii="宋体" w:hAnsi="宋体"/>
          <w:color w:val="auto"/>
          <w:szCs w:val="21"/>
          <w:highlight w:val="none"/>
          <w:u w:val="single"/>
        </w:rPr>
        <w:t xml:space="preserve">       </w:t>
      </w:r>
      <w:r>
        <w:rPr>
          <w:rFonts w:hint="eastAsia" w:ascii="宋体" w:hAnsi="宋体"/>
          <w:color w:val="auto"/>
          <w:szCs w:val="21"/>
          <w:highlight w:val="none"/>
        </w:rPr>
        <w:t>人，营业收入为</w:t>
      </w:r>
      <w:r>
        <w:rPr>
          <w:rFonts w:hint="eastAsia" w:ascii="宋体" w:hAnsi="宋体"/>
          <w:color w:val="auto"/>
          <w:szCs w:val="21"/>
          <w:highlight w:val="none"/>
          <w:u w:val="single"/>
        </w:rPr>
        <w:t xml:space="preserve">          </w:t>
      </w:r>
      <w:r>
        <w:rPr>
          <w:rFonts w:hint="eastAsia" w:ascii="宋体" w:hAnsi="宋体"/>
          <w:color w:val="auto"/>
          <w:szCs w:val="21"/>
          <w:highlight w:val="none"/>
        </w:rPr>
        <w:t>万元，资产总额为</w:t>
      </w:r>
      <w:r>
        <w:rPr>
          <w:rFonts w:hint="eastAsia" w:ascii="宋体" w:hAnsi="宋体"/>
          <w:color w:val="auto"/>
          <w:szCs w:val="21"/>
          <w:highlight w:val="none"/>
          <w:u w:val="single"/>
        </w:rPr>
        <w:t xml:space="preserve">          </w:t>
      </w:r>
      <w:r>
        <w:rPr>
          <w:rFonts w:hint="eastAsia" w:ascii="宋体" w:hAnsi="宋体"/>
          <w:color w:val="auto"/>
          <w:szCs w:val="21"/>
          <w:highlight w:val="none"/>
        </w:rPr>
        <w:t>万元，属于</w:t>
      </w:r>
      <w:r>
        <w:rPr>
          <w:rFonts w:hint="eastAsia" w:ascii="宋体" w:hAnsi="宋体"/>
          <w:color w:val="auto"/>
          <w:szCs w:val="21"/>
          <w:highlight w:val="none"/>
          <w:u w:val="single"/>
        </w:rPr>
        <w:t>（中型企业、小型企业、微型企业）</w:t>
      </w:r>
      <w:r>
        <w:rPr>
          <w:rFonts w:hint="eastAsia" w:ascii="宋体" w:hAnsi="宋体"/>
          <w:color w:val="auto"/>
          <w:szCs w:val="21"/>
          <w:highlight w:val="none"/>
        </w:rPr>
        <w:t>；</w:t>
      </w:r>
    </w:p>
    <w:p w14:paraId="1F253745">
      <w:pPr>
        <w:numPr>
          <w:ilvl w:val="0"/>
          <w:numId w:val="2"/>
        </w:numPr>
        <w:spacing w:line="360" w:lineRule="auto"/>
        <w:ind w:firstLine="420" w:firstLineChars="200"/>
        <w:rPr>
          <w:color w:val="auto"/>
          <w:highlight w:val="none"/>
        </w:rPr>
      </w:pPr>
      <w:r>
        <w:rPr>
          <w:rFonts w:hint="eastAsia" w:ascii="宋体" w:hAnsi="宋体"/>
          <w:color w:val="auto"/>
          <w:szCs w:val="21"/>
          <w:highlight w:val="none"/>
          <w:u w:val="single"/>
        </w:rPr>
        <w:t>（标的名称）</w:t>
      </w:r>
      <w:r>
        <w:rPr>
          <w:rFonts w:hint="eastAsia" w:ascii="宋体" w:hAnsi="宋体"/>
          <w:color w:val="auto"/>
          <w:szCs w:val="21"/>
          <w:highlight w:val="none"/>
        </w:rPr>
        <w:t xml:space="preserve"> ，属于</w:t>
      </w:r>
      <w:r>
        <w:rPr>
          <w:rFonts w:hint="eastAsia" w:ascii="宋体" w:hAnsi="宋体"/>
          <w:color w:val="auto"/>
          <w:szCs w:val="21"/>
          <w:highlight w:val="none"/>
          <w:u w:val="single"/>
        </w:rPr>
        <w:t xml:space="preserve">  建筑业  </w:t>
      </w:r>
      <w:r>
        <w:rPr>
          <w:rFonts w:hint="eastAsia" w:ascii="宋体" w:hAnsi="宋体"/>
          <w:color w:val="auto"/>
          <w:szCs w:val="21"/>
          <w:highlight w:val="none"/>
        </w:rPr>
        <w:t>；承建（承接）企业为</w:t>
      </w:r>
      <w:r>
        <w:rPr>
          <w:rFonts w:hint="eastAsia" w:ascii="宋体" w:hAnsi="宋体"/>
          <w:color w:val="auto"/>
          <w:szCs w:val="21"/>
          <w:highlight w:val="none"/>
          <w:u w:val="single"/>
        </w:rPr>
        <w:t>（企业名称）</w:t>
      </w:r>
      <w:r>
        <w:rPr>
          <w:rFonts w:hint="eastAsia" w:ascii="宋体" w:hAnsi="宋体"/>
          <w:color w:val="auto"/>
          <w:szCs w:val="21"/>
          <w:highlight w:val="none"/>
        </w:rPr>
        <w:t>，从业人员</w:t>
      </w:r>
      <w:r>
        <w:rPr>
          <w:rFonts w:hint="eastAsia" w:ascii="宋体" w:hAnsi="宋体"/>
          <w:color w:val="auto"/>
          <w:szCs w:val="21"/>
          <w:highlight w:val="none"/>
          <w:u w:val="single"/>
        </w:rPr>
        <w:t xml:space="preserve">       </w:t>
      </w:r>
      <w:r>
        <w:rPr>
          <w:rFonts w:hint="eastAsia" w:ascii="宋体" w:hAnsi="宋体"/>
          <w:color w:val="auto"/>
          <w:szCs w:val="21"/>
          <w:highlight w:val="none"/>
        </w:rPr>
        <w:t>人，营业收入为</w:t>
      </w:r>
      <w:r>
        <w:rPr>
          <w:rFonts w:hint="eastAsia" w:ascii="宋体" w:hAnsi="宋体"/>
          <w:color w:val="auto"/>
          <w:szCs w:val="21"/>
          <w:highlight w:val="none"/>
          <w:u w:val="single"/>
        </w:rPr>
        <w:t xml:space="preserve">          </w:t>
      </w:r>
      <w:r>
        <w:rPr>
          <w:rFonts w:hint="eastAsia" w:ascii="宋体" w:hAnsi="宋体"/>
          <w:color w:val="auto"/>
          <w:szCs w:val="21"/>
          <w:highlight w:val="none"/>
        </w:rPr>
        <w:t>万元，资产总额为</w:t>
      </w:r>
      <w:r>
        <w:rPr>
          <w:rFonts w:hint="eastAsia" w:ascii="宋体" w:hAnsi="宋体"/>
          <w:color w:val="auto"/>
          <w:szCs w:val="21"/>
          <w:highlight w:val="none"/>
          <w:u w:val="single"/>
        </w:rPr>
        <w:t xml:space="preserve">          </w:t>
      </w:r>
      <w:r>
        <w:rPr>
          <w:rFonts w:hint="eastAsia" w:ascii="宋体" w:hAnsi="宋体"/>
          <w:color w:val="auto"/>
          <w:szCs w:val="21"/>
          <w:highlight w:val="none"/>
        </w:rPr>
        <w:t>万元，属于</w:t>
      </w:r>
      <w:r>
        <w:rPr>
          <w:rFonts w:hint="eastAsia" w:ascii="宋体" w:hAnsi="宋体"/>
          <w:color w:val="auto"/>
          <w:szCs w:val="21"/>
          <w:highlight w:val="none"/>
          <w:u w:val="single"/>
        </w:rPr>
        <w:t>（中型企业、小型企业、微型企业）</w:t>
      </w:r>
      <w:r>
        <w:rPr>
          <w:rFonts w:hint="eastAsia" w:ascii="宋体" w:hAnsi="宋体"/>
          <w:color w:val="auto"/>
          <w:szCs w:val="21"/>
          <w:highlight w:val="none"/>
        </w:rPr>
        <w:t>；</w:t>
      </w:r>
    </w:p>
    <w:p w14:paraId="557298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p>
    <w:p w14:paraId="45A5A07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以上企业，不属于大企业的分支机构，不存在控股股东为大企业的情形，也不存在与大企业的负责人为同一人的情形。</w:t>
      </w:r>
    </w:p>
    <w:p w14:paraId="7C0358E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本企业对上述声明内容的真实性负责。如有虚假，将依法承担相应责任。 </w:t>
      </w:r>
    </w:p>
    <w:p w14:paraId="139EE966">
      <w:pPr>
        <w:spacing w:line="360" w:lineRule="auto"/>
        <w:ind w:firstLine="420" w:firstLineChars="200"/>
        <w:rPr>
          <w:rFonts w:ascii="宋体" w:hAnsi="宋体"/>
          <w:color w:val="auto"/>
          <w:szCs w:val="21"/>
          <w:highlight w:val="none"/>
        </w:rPr>
      </w:pPr>
    </w:p>
    <w:p w14:paraId="222B3B6D">
      <w:pPr>
        <w:spacing w:line="360" w:lineRule="auto"/>
        <w:ind w:firstLine="420" w:firstLineChars="200"/>
        <w:rPr>
          <w:rFonts w:ascii="宋体" w:hAnsi="宋体"/>
          <w:color w:val="auto"/>
          <w:szCs w:val="21"/>
          <w:highlight w:val="none"/>
        </w:rPr>
      </w:pPr>
    </w:p>
    <w:p w14:paraId="618A17C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企业名称（电子公章）： </w:t>
      </w:r>
    </w:p>
    <w:p w14:paraId="071949C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日 期：</w:t>
      </w:r>
    </w:p>
    <w:p w14:paraId="682364C4">
      <w:pPr>
        <w:spacing w:line="360" w:lineRule="auto"/>
        <w:ind w:firstLine="420" w:firstLineChars="200"/>
        <w:rPr>
          <w:rFonts w:ascii="宋体" w:hAnsi="宋体"/>
          <w:color w:val="auto"/>
          <w:szCs w:val="21"/>
          <w:highlight w:val="none"/>
        </w:rPr>
      </w:pPr>
    </w:p>
    <w:p w14:paraId="05C7ADE4">
      <w:pPr>
        <w:widowControl/>
        <w:jc w:val="left"/>
        <w:rPr>
          <w:color w:val="auto"/>
          <w:highlight w:val="none"/>
        </w:rPr>
      </w:pPr>
      <w:r>
        <w:rPr>
          <w:color w:val="auto"/>
          <w:kern w:val="0"/>
          <w:sz w:val="11"/>
          <w:szCs w:val="11"/>
          <w:highlight w:val="none"/>
        </w:rPr>
        <w:t xml:space="preserve"> </w:t>
      </w:r>
    </w:p>
    <w:p w14:paraId="568EB66A">
      <w:pPr>
        <w:widowControl/>
        <w:jc w:val="left"/>
        <w:rPr>
          <w:color w:val="auto"/>
          <w:highlight w:val="none"/>
        </w:rPr>
      </w:pPr>
      <w:r>
        <w:rPr>
          <w:rFonts w:hint="eastAsia" w:ascii="宋体" w:hAnsi="宋体" w:cs="宋体"/>
          <w:color w:val="auto"/>
          <w:kern w:val="0"/>
          <w:sz w:val="18"/>
          <w:szCs w:val="18"/>
          <w:highlight w:val="none"/>
        </w:rPr>
        <w:t>从业人员、营业收入、资产总额填报上一年度数据，无上一年度数据的新成立企业可不填报。</w:t>
      </w:r>
    </w:p>
    <w:p w14:paraId="463291E8">
      <w:pPr>
        <w:pStyle w:val="12"/>
        <w:spacing w:line="360" w:lineRule="auto"/>
        <w:rPr>
          <w:rFonts w:ascii="Times New Roman"/>
          <w:color w:val="auto"/>
          <w:highlight w:val="none"/>
        </w:rPr>
      </w:pPr>
    </w:p>
    <w:p w14:paraId="3B590BA7">
      <w:pPr>
        <w:rPr>
          <w:color w:val="auto"/>
          <w:highlight w:val="none"/>
        </w:rPr>
      </w:pPr>
    </w:p>
    <w:p w14:paraId="1540B4D3">
      <w:pPr>
        <w:spacing w:line="360" w:lineRule="auto"/>
        <w:jc w:val="center"/>
        <w:outlineLvl w:val="2"/>
        <w:rPr>
          <w:rFonts w:eastAsia="黑体"/>
          <w:color w:val="auto"/>
          <w:sz w:val="30"/>
          <w:szCs w:val="30"/>
          <w:highlight w:val="none"/>
        </w:rPr>
      </w:pPr>
      <w:r>
        <w:rPr>
          <w:rFonts w:hint="eastAsia" w:eastAsia="黑体"/>
          <w:color w:val="auto"/>
          <w:sz w:val="30"/>
          <w:szCs w:val="30"/>
          <w:highlight w:val="none"/>
        </w:rPr>
        <w:br w:type="page"/>
      </w:r>
      <w:bookmarkStart w:id="1094" w:name="_Toc3697"/>
      <w:bookmarkStart w:id="1095" w:name="_Toc9644"/>
      <w:bookmarkStart w:id="1096" w:name="_Toc14852"/>
      <w:bookmarkStart w:id="1097" w:name="_Toc6032"/>
      <w:r>
        <w:rPr>
          <w:rFonts w:hint="eastAsia" w:eastAsia="黑体"/>
          <w:color w:val="auto"/>
          <w:sz w:val="30"/>
          <w:szCs w:val="30"/>
          <w:highlight w:val="none"/>
        </w:rPr>
        <w:t>监</w:t>
      </w:r>
      <w:r>
        <w:rPr>
          <w:rFonts w:eastAsia="黑体"/>
          <w:color w:val="auto"/>
          <w:sz w:val="30"/>
          <w:szCs w:val="30"/>
          <w:highlight w:val="none"/>
        </w:rPr>
        <w:t>狱企业声明函</w:t>
      </w:r>
      <w:bookmarkEnd w:id="1094"/>
      <w:bookmarkEnd w:id="1095"/>
      <w:bookmarkEnd w:id="1096"/>
      <w:bookmarkEnd w:id="1097"/>
    </w:p>
    <w:p w14:paraId="2BEA7125">
      <w:pPr>
        <w:pStyle w:val="24"/>
        <w:rPr>
          <w:color w:val="auto"/>
          <w:highlight w:val="none"/>
        </w:rPr>
      </w:pPr>
    </w:p>
    <w:p w14:paraId="61059275">
      <w:pPr>
        <w:pStyle w:val="24"/>
        <w:rPr>
          <w:color w:val="auto"/>
          <w:sz w:val="21"/>
          <w:szCs w:val="21"/>
          <w:highlight w:val="none"/>
        </w:rPr>
      </w:pPr>
    </w:p>
    <w:p w14:paraId="67DE2D65">
      <w:pPr>
        <w:spacing w:line="360" w:lineRule="auto"/>
        <w:ind w:firstLine="420" w:firstLineChars="200"/>
        <w:rPr>
          <w:rFonts w:hint="eastAsia"/>
          <w:color w:val="auto"/>
          <w:szCs w:val="21"/>
          <w:highlight w:val="none"/>
        </w:rPr>
      </w:pPr>
      <w:r>
        <w:rPr>
          <w:rStyle w:val="33"/>
          <w:rFonts w:hint="default"/>
          <w:color w:val="auto"/>
          <w:sz w:val="21"/>
          <w:szCs w:val="21"/>
          <w:highlight w:val="none"/>
        </w:rPr>
        <w:t>公司郑重声明，根据《关于政府采购支持监狱企业发展有关问题的通知》 （财库[2014]68号）的规定，本公司为监狱企业。</w:t>
      </w:r>
    </w:p>
    <w:p w14:paraId="512CBBC9">
      <w:pPr>
        <w:spacing w:line="360" w:lineRule="auto"/>
        <w:ind w:firstLine="420" w:firstLineChars="200"/>
        <w:rPr>
          <w:rStyle w:val="33"/>
          <w:rFonts w:hint="default"/>
          <w:color w:val="auto"/>
          <w:sz w:val="21"/>
          <w:szCs w:val="21"/>
          <w:highlight w:val="none"/>
        </w:rPr>
      </w:pPr>
      <w:r>
        <w:rPr>
          <w:rStyle w:val="33"/>
          <w:rFonts w:hint="default"/>
          <w:color w:val="auto"/>
          <w:sz w:val="21"/>
          <w:szCs w:val="21"/>
          <w:highlight w:val="none"/>
        </w:rPr>
        <w:t xml:space="preserve">    根据上述标准，我公司属于监狱企业的理由为：</w:t>
      </w:r>
      <w:r>
        <w:rPr>
          <w:rStyle w:val="33"/>
          <w:rFonts w:hint="default"/>
          <w:color w:val="auto"/>
          <w:sz w:val="21"/>
          <w:szCs w:val="21"/>
          <w:highlight w:val="none"/>
          <w:u w:val="single"/>
        </w:rPr>
        <w:t xml:space="preserve">                 </w:t>
      </w:r>
      <w:r>
        <w:rPr>
          <w:rStyle w:val="33"/>
          <w:rFonts w:hint="default"/>
          <w:color w:val="auto"/>
          <w:sz w:val="21"/>
          <w:szCs w:val="21"/>
          <w:highlight w:val="none"/>
        </w:rPr>
        <w:t>。</w:t>
      </w:r>
    </w:p>
    <w:p w14:paraId="02B1396C">
      <w:pPr>
        <w:spacing w:line="360" w:lineRule="auto"/>
        <w:ind w:firstLine="420" w:firstLineChars="200"/>
        <w:rPr>
          <w:rFonts w:hint="eastAsia"/>
          <w:color w:val="auto"/>
          <w:szCs w:val="21"/>
          <w:highlight w:val="none"/>
        </w:rPr>
      </w:pPr>
      <w:r>
        <w:rPr>
          <w:rStyle w:val="33"/>
          <w:rFonts w:hint="default"/>
          <w:color w:val="auto"/>
          <w:sz w:val="21"/>
          <w:szCs w:val="21"/>
          <w:highlight w:val="none"/>
        </w:rPr>
        <w:t xml:space="preserve">本公司为参加 </w:t>
      </w:r>
      <w:r>
        <w:rPr>
          <w:rStyle w:val="33"/>
          <w:rFonts w:hint="default"/>
          <w:color w:val="auto"/>
          <w:sz w:val="21"/>
          <w:szCs w:val="21"/>
          <w:highlight w:val="none"/>
          <w:u w:val="single"/>
        </w:rPr>
        <w:t xml:space="preserve">           （项目名称） </w:t>
      </w:r>
      <w:r>
        <w:rPr>
          <w:rStyle w:val="33"/>
          <w:rFonts w:hint="default"/>
          <w:color w:val="auto"/>
          <w:sz w:val="21"/>
          <w:szCs w:val="21"/>
          <w:highlight w:val="none"/>
        </w:rPr>
        <w:t>（项目编号：</w:t>
      </w:r>
      <w:r>
        <w:rPr>
          <w:rStyle w:val="33"/>
          <w:rFonts w:hint="default"/>
          <w:color w:val="auto"/>
          <w:sz w:val="21"/>
          <w:szCs w:val="21"/>
          <w:highlight w:val="none"/>
          <w:u w:val="single"/>
        </w:rPr>
        <w:t xml:space="preserve">              </w:t>
      </w:r>
      <w:r>
        <w:rPr>
          <w:rStyle w:val="33"/>
          <w:rFonts w:hint="default"/>
          <w:color w:val="auto"/>
          <w:sz w:val="21"/>
          <w:szCs w:val="21"/>
          <w:highlight w:val="none"/>
        </w:rPr>
        <w:t>）采购活动提供本企业</w:t>
      </w:r>
      <w:r>
        <w:rPr>
          <w:rStyle w:val="33"/>
          <w:rFonts w:hint="default"/>
          <w:color w:val="auto"/>
          <w:sz w:val="21"/>
          <w:szCs w:val="21"/>
          <w:highlight w:val="none"/>
          <w:u w:val="single"/>
        </w:rPr>
        <w:t>（填写制造的货物，由本企业承担工程、提供服务）</w:t>
      </w:r>
      <w:r>
        <w:rPr>
          <w:rStyle w:val="33"/>
          <w:rFonts w:hint="default"/>
          <w:color w:val="auto"/>
          <w:sz w:val="21"/>
          <w:szCs w:val="21"/>
          <w:highlight w:val="none"/>
        </w:rPr>
        <w:t>。</w:t>
      </w:r>
    </w:p>
    <w:p w14:paraId="0A3E975D">
      <w:pPr>
        <w:spacing w:line="360" w:lineRule="auto"/>
        <w:ind w:firstLine="420" w:firstLineChars="200"/>
        <w:rPr>
          <w:rFonts w:hint="eastAsia"/>
          <w:color w:val="auto"/>
          <w:szCs w:val="21"/>
          <w:highlight w:val="none"/>
        </w:rPr>
      </w:pPr>
      <w:r>
        <w:rPr>
          <w:rStyle w:val="33"/>
          <w:rFonts w:hint="default"/>
          <w:color w:val="auto"/>
          <w:sz w:val="21"/>
          <w:szCs w:val="21"/>
          <w:highlight w:val="none"/>
        </w:rPr>
        <w:t xml:space="preserve">    本条所称货物不包括使用大型企业注册商标的货物和服务。</w:t>
      </w:r>
    </w:p>
    <w:p w14:paraId="6D36AA64">
      <w:pPr>
        <w:spacing w:line="360" w:lineRule="auto"/>
        <w:ind w:firstLine="420" w:firstLineChars="200"/>
        <w:rPr>
          <w:rStyle w:val="33"/>
          <w:rFonts w:hint="default"/>
          <w:color w:val="auto"/>
          <w:sz w:val="21"/>
          <w:szCs w:val="21"/>
          <w:highlight w:val="none"/>
        </w:rPr>
      </w:pPr>
      <w:r>
        <w:rPr>
          <w:rStyle w:val="33"/>
          <w:rFonts w:hint="default"/>
          <w:color w:val="auto"/>
          <w:sz w:val="21"/>
          <w:szCs w:val="21"/>
          <w:highlight w:val="none"/>
        </w:rPr>
        <w:t xml:space="preserve">    本公司对上述声明的真实性负责。如有虚假，将依法承担相应责任</w:t>
      </w:r>
    </w:p>
    <w:p w14:paraId="78BAE562">
      <w:pPr>
        <w:spacing w:line="360" w:lineRule="auto"/>
        <w:ind w:firstLine="420" w:firstLineChars="200"/>
        <w:rPr>
          <w:rStyle w:val="33"/>
          <w:rFonts w:hint="default"/>
          <w:color w:val="auto"/>
          <w:sz w:val="21"/>
          <w:szCs w:val="21"/>
          <w:highlight w:val="none"/>
        </w:rPr>
      </w:pPr>
    </w:p>
    <w:p w14:paraId="575653DA">
      <w:pPr>
        <w:spacing w:line="360" w:lineRule="auto"/>
        <w:rPr>
          <w:rStyle w:val="33"/>
          <w:rFonts w:hint="default"/>
          <w:color w:val="auto"/>
          <w:sz w:val="21"/>
          <w:szCs w:val="21"/>
          <w:highlight w:val="none"/>
        </w:rPr>
      </w:pPr>
    </w:p>
    <w:p w14:paraId="0E49F954">
      <w:pPr>
        <w:spacing w:line="360" w:lineRule="auto"/>
        <w:rPr>
          <w:color w:val="auto"/>
          <w:szCs w:val="21"/>
          <w:highlight w:val="none"/>
          <w:u w:val="single"/>
        </w:rPr>
      </w:pPr>
    </w:p>
    <w:p w14:paraId="06B2B039">
      <w:pPr>
        <w:pStyle w:val="12"/>
        <w:spacing w:line="600" w:lineRule="auto"/>
        <w:rPr>
          <w:rFonts w:ascii="Times New Roman"/>
          <w:color w:val="auto"/>
          <w:highlight w:val="none"/>
        </w:rPr>
      </w:pPr>
      <w:r>
        <w:rPr>
          <w:rFonts w:ascii="Times New Roman"/>
          <w:color w:val="auto"/>
          <w:highlight w:val="none"/>
        </w:rPr>
        <w:t>供应商：</w:t>
      </w:r>
      <w:r>
        <w:rPr>
          <w:rFonts w:ascii="Times New Roman"/>
          <w:color w:val="auto"/>
          <w:highlight w:val="none"/>
          <w:u w:val="single"/>
        </w:rPr>
        <w:t>（盖企业电子公章）</w:t>
      </w:r>
    </w:p>
    <w:p w14:paraId="552AEAAC">
      <w:pPr>
        <w:pStyle w:val="12"/>
        <w:spacing w:line="600" w:lineRule="auto"/>
        <w:rPr>
          <w:rFonts w:ascii="Times New Roman"/>
          <w:color w:val="auto"/>
          <w:highlight w:val="none"/>
        </w:rPr>
      </w:pPr>
      <w:r>
        <w:rPr>
          <w:rFonts w:ascii="Times New Roman"/>
          <w:color w:val="auto"/>
          <w:highlight w:val="none"/>
        </w:rPr>
        <w:t>法定代表人：</w:t>
      </w:r>
      <w:r>
        <w:rPr>
          <w:rFonts w:ascii="Times New Roman"/>
          <w:color w:val="auto"/>
          <w:highlight w:val="none"/>
          <w:u w:val="single"/>
        </w:rPr>
        <w:t>（</w:t>
      </w:r>
      <w:r>
        <w:rPr>
          <w:rFonts w:hint="eastAsia" w:ascii="Times New Roman"/>
          <w:color w:val="auto"/>
          <w:highlight w:val="none"/>
          <w:u w:val="single"/>
        </w:rPr>
        <w:t>电子签名/章</w:t>
      </w:r>
      <w:r>
        <w:rPr>
          <w:rFonts w:ascii="Times New Roman"/>
          <w:color w:val="auto"/>
          <w:highlight w:val="none"/>
          <w:u w:val="single"/>
        </w:rPr>
        <w:t>）</w:t>
      </w:r>
    </w:p>
    <w:p w14:paraId="7FCE62E7">
      <w:pPr>
        <w:spacing w:line="360" w:lineRule="auto"/>
        <w:rPr>
          <w:color w:val="auto"/>
          <w:szCs w:val="21"/>
          <w:highlight w:val="none"/>
          <w:u w:val="single"/>
        </w:rPr>
      </w:pPr>
      <w:r>
        <w:rPr>
          <w:color w:val="auto"/>
          <w:szCs w:val="21"/>
          <w:highlight w:val="none"/>
        </w:rPr>
        <w:t>日期：</w:t>
      </w:r>
    </w:p>
    <w:p w14:paraId="6194886D">
      <w:pPr>
        <w:spacing w:line="360" w:lineRule="auto"/>
        <w:rPr>
          <w:color w:val="auto"/>
          <w:szCs w:val="21"/>
          <w:highlight w:val="none"/>
          <w:u w:val="single"/>
        </w:rPr>
      </w:pPr>
    </w:p>
    <w:p w14:paraId="0E7ABF68">
      <w:pPr>
        <w:spacing w:line="360" w:lineRule="auto"/>
        <w:rPr>
          <w:color w:val="auto"/>
          <w:szCs w:val="21"/>
          <w:highlight w:val="none"/>
          <w:u w:val="single"/>
        </w:rPr>
      </w:pPr>
    </w:p>
    <w:p w14:paraId="4E20146A">
      <w:pPr>
        <w:spacing w:line="360" w:lineRule="auto"/>
        <w:rPr>
          <w:color w:val="auto"/>
          <w:szCs w:val="21"/>
          <w:highlight w:val="none"/>
          <w:u w:val="single"/>
        </w:rPr>
      </w:pPr>
    </w:p>
    <w:p w14:paraId="39DAA36D">
      <w:pPr>
        <w:spacing w:line="360" w:lineRule="auto"/>
        <w:rPr>
          <w:rStyle w:val="33"/>
          <w:rFonts w:hint="default"/>
          <w:color w:val="auto"/>
          <w:sz w:val="21"/>
          <w:szCs w:val="21"/>
          <w:highlight w:val="none"/>
        </w:rPr>
      </w:pPr>
      <w:r>
        <w:rPr>
          <w:rStyle w:val="33"/>
          <w:rFonts w:hint="default"/>
          <w:color w:val="auto"/>
          <w:sz w:val="21"/>
          <w:szCs w:val="21"/>
          <w:highlight w:val="none"/>
        </w:rPr>
        <w:t>注：</w:t>
      </w:r>
    </w:p>
    <w:p w14:paraId="3478635E">
      <w:pPr>
        <w:spacing w:line="360" w:lineRule="auto"/>
        <w:rPr>
          <w:rStyle w:val="33"/>
          <w:rFonts w:hint="default"/>
          <w:color w:val="auto"/>
          <w:sz w:val="21"/>
          <w:szCs w:val="21"/>
          <w:highlight w:val="none"/>
        </w:rPr>
      </w:pPr>
      <w:r>
        <w:rPr>
          <w:rStyle w:val="33"/>
          <w:rFonts w:hint="default"/>
          <w:color w:val="auto"/>
          <w:sz w:val="21"/>
          <w:szCs w:val="21"/>
          <w:highlight w:val="none"/>
        </w:rPr>
        <w:t>若产品出自符合国家规定的监狱企业，则该产品制造企业必须出具上述声明函，且供应商必须提供应当提供由省级以上监狱管理局、戒毒管理局（含新疆生产建设兵团）出具的属于监狱企业的证明文件，否则在评审时将不考虑对该监狱企业的相关优惠。</w:t>
      </w:r>
    </w:p>
    <w:p w14:paraId="2CC1BAE7">
      <w:pPr>
        <w:spacing w:line="360" w:lineRule="auto"/>
        <w:rPr>
          <w:rStyle w:val="33"/>
          <w:rFonts w:hint="default"/>
          <w:color w:val="auto"/>
          <w:sz w:val="21"/>
          <w:szCs w:val="21"/>
          <w:highlight w:val="none"/>
        </w:rPr>
      </w:pPr>
      <w:r>
        <w:rPr>
          <w:rStyle w:val="33"/>
          <w:rFonts w:hint="default"/>
          <w:color w:val="auto"/>
          <w:sz w:val="21"/>
          <w:szCs w:val="21"/>
          <w:highlight w:val="none"/>
        </w:rPr>
        <w:t>监狱企业视同小型、微型企业，享受评审中预留份额等政府采购促进中小企业发展的政府采购政策。</w:t>
      </w:r>
    </w:p>
    <w:p w14:paraId="3E5FB2FF">
      <w:pPr>
        <w:spacing w:line="588" w:lineRule="exact"/>
        <w:jc w:val="center"/>
        <w:outlineLvl w:val="2"/>
        <w:rPr>
          <w:rFonts w:eastAsia="黑体"/>
          <w:color w:val="auto"/>
          <w:sz w:val="30"/>
          <w:szCs w:val="30"/>
          <w:highlight w:val="none"/>
        </w:rPr>
      </w:pPr>
      <w:r>
        <w:rPr>
          <w:rFonts w:hint="eastAsia" w:eastAsia="黑体"/>
          <w:color w:val="auto"/>
          <w:sz w:val="30"/>
          <w:szCs w:val="30"/>
          <w:highlight w:val="none"/>
        </w:rPr>
        <w:br w:type="page"/>
      </w:r>
      <w:bookmarkStart w:id="1098" w:name="_Toc6849"/>
      <w:bookmarkStart w:id="1099" w:name="_Toc24041"/>
      <w:bookmarkStart w:id="1100" w:name="_Toc17696"/>
      <w:bookmarkStart w:id="1101" w:name="_Toc24074"/>
      <w:bookmarkStart w:id="1102" w:name="_Toc3402"/>
      <w:bookmarkStart w:id="1103" w:name="_Toc9834"/>
      <w:r>
        <w:rPr>
          <w:rFonts w:hint="eastAsia" w:eastAsia="黑体"/>
          <w:color w:val="auto"/>
          <w:sz w:val="30"/>
          <w:szCs w:val="30"/>
          <w:highlight w:val="none"/>
        </w:rPr>
        <w:t>残疾人福利性单位声明函</w:t>
      </w:r>
      <w:bookmarkEnd w:id="1098"/>
      <w:bookmarkEnd w:id="1099"/>
      <w:bookmarkEnd w:id="1100"/>
      <w:bookmarkEnd w:id="1101"/>
      <w:bookmarkEnd w:id="1102"/>
      <w:bookmarkEnd w:id="1103"/>
    </w:p>
    <w:p w14:paraId="5D04A188">
      <w:pPr>
        <w:spacing w:line="588" w:lineRule="exact"/>
        <w:rPr>
          <w:rFonts w:ascii="仿宋_GB2312" w:eastAsia="仿宋_GB2312"/>
          <w:b/>
          <w:color w:val="auto"/>
          <w:spacing w:val="6"/>
          <w:szCs w:val="21"/>
          <w:highlight w:val="none"/>
        </w:rPr>
      </w:pPr>
    </w:p>
    <w:p w14:paraId="072AC272">
      <w:pPr>
        <w:spacing w:line="360" w:lineRule="auto"/>
        <w:ind w:firstLine="420" w:firstLineChars="200"/>
        <w:rPr>
          <w:rStyle w:val="33"/>
          <w:rFonts w:hint="default"/>
          <w:color w:val="auto"/>
          <w:sz w:val="21"/>
          <w:szCs w:val="21"/>
          <w:highlight w:val="none"/>
        </w:rPr>
      </w:pPr>
      <w:r>
        <w:rPr>
          <w:rStyle w:val="33"/>
          <w:rFonts w:hint="default"/>
          <w:color w:val="auto"/>
          <w:sz w:val="21"/>
          <w:szCs w:val="21"/>
          <w:highlight w:val="none"/>
        </w:rPr>
        <w:t>本单位郑重声明，根据《财政部 民政部 中国残疾人联合会关于促进残疾人就业政府采购政策的通知》（财库〔2017〕 141号）的规定，本单位为符合条件的残疾人福利性单位，且本单位参加_____单位的_____项目采购活动提供本单位制造的货物（由本单位承担工程/提供服务），或者提供其他残疾人福利性单位制造的货物（不包括使用非残疾人福利性单位注册商标的货物）。</w:t>
      </w:r>
    </w:p>
    <w:p w14:paraId="7F33D532">
      <w:pPr>
        <w:spacing w:line="360" w:lineRule="auto"/>
        <w:ind w:firstLine="420" w:firstLineChars="200"/>
        <w:rPr>
          <w:rStyle w:val="33"/>
          <w:rFonts w:hint="default"/>
          <w:color w:val="auto"/>
          <w:sz w:val="21"/>
          <w:szCs w:val="21"/>
          <w:highlight w:val="none"/>
        </w:rPr>
      </w:pPr>
      <w:r>
        <w:rPr>
          <w:rStyle w:val="33"/>
          <w:rFonts w:hint="default"/>
          <w:color w:val="auto"/>
          <w:sz w:val="21"/>
          <w:szCs w:val="21"/>
          <w:highlight w:val="none"/>
        </w:rPr>
        <w:t>本单位对上述声明的真实性负责。如有虚假，将依法承担相应责任。</w:t>
      </w:r>
    </w:p>
    <w:p w14:paraId="221DB3EE">
      <w:pPr>
        <w:spacing w:line="360" w:lineRule="auto"/>
        <w:ind w:firstLine="420" w:firstLineChars="200"/>
        <w:rPr>
          <w:rStyle w:val="33"/>
          <w:rFonts w:hint="default"/>
          <w:color w:val="auto"/>
          <w:sz w:val="21"/>
          <w:szCs w:val="21"/>
          <w:highlight w:val="none"/>
        </w:rPr>
      </w:pPr>
    </w:p>
    <w:p w14:paraId="03D7E5A7">
      <w:pPr>
        <w:spacing w:line="360" w:lineRule="auto"/>
        <w:ind w:firstLine="420" w:firstLineChars="200"/>
        <w:rPr>
          <w:rStyle w:val="33"/>
          <w:rFonts w:hint="default"/>
          <w:color w:val="auto"/>
          <w:sz w:val="21"/>
          <w:szCs w:val="21"/>
          <w:highlight w:val="none"/>
        </w:rPr>
      </w:pPr>
      <w:r>
        <w:rPr>
          <w:rStyle w:val="33"/>
          <w:rFonts w:hint="default"/>
          <w:color w:val="auto"/>
          <w:sz w:val="21"/>
          <w:szCs w:val="21"/>
          <w:highlight w:val="none"/>
        </w:rPr>
        <w:t>注：</w:t>
      </w:r>
    </w:p>
    <w:p w14:paraId="772A4088">
      <w:pPr>
        <w:spacing w:line="360" w:lineRule="auto"/>
        <w:ind w:firstLine="420" w:firstLineChars="200"/>
        <w:rPr>
          <w:rFonts w:ascii="宋体" w:hAnsi="宋体"/>
          <w:b/>
          <w:color w:val="auto"/>
          <w:spacing w:val="6"/>
          <w:szCs w:val="21"/>
          <w:highlight w:val="none"/>
        </w:rPr>
      </w:pPr>
      <w:r>
        <w:rPr>
          <w:rStyle w:val="33"/>
          <w:rFonts w:hint="default"/>
          <w:color w:val="auto"/>
          <w:sz w:val="21"/>
          <w:szCs w:val="21"/>
          <w:highlight w:val="none"/>
        </w:rPr>
        <w:t xml:space="preserve">单独列出所供残疾人福利性单位制造的货物产品单价和总价。 </w:t>
      </w:r>
    </w:p>
    <w:p w14:paraId="460F1F06">
      <w:pPr>
        <w:tabs>
          <w:tab w:val="left" w:pos="4860"/>
        </w:tabs>
        <w:spacing w:line="360" w:lineRule="auto"/>
        <w:ind w:firstLine="446" w:firstLineChars="200"/>
        <w:rPr>
          <w:rFonts w:ascii="宋体" w:hAnsi="宋体"/>
          <w:b/>
          <w:color w:val="auto"/>
          <w:spacing w:val="6"/>
          <w:szCs w:val="21"/>
          <w:highlight w:val="none"/>
        </w:rPr>
      </w:pPr>
      <w:r>
        <w:rPr>
          <w:rFonts w:hint="eastAsia" w:ascii="宋体" w:hAnsi="宋体"/>
          <w:b/>
          <w:color w:val="auto"/>
          <w:spacing w:val="6"/>
          <w:szCs w:val="21"/>
          <w:highlight w:val="none"/>
        </w:rPr>
        <w:t>符合条件的残疾人福利性单位在参加政府采购活动时，应当提供本通知规定的《残疾人福利性单位声明函》，并对声明的真实性负责。采购代理机构在随中标、成交结果同时公告其《残疾人福利性单位声明函》，接受社会监督。供应商提供的《残疾人福利性单位声明函》与事实不符的，依照《政府采购法》第七十七条第一款的规定追究法律责任。</w:t>
      </w:r>
    </w:p>
    <w:p w14:paraId="371DDE32">
      <w:pPr>
        <w:pStyle w:val="12"/>
        <w:spacing w:line="600" w:lineRule="auto"/>
        <w:rPr>
          <w:rFonts w:ascii="Times New Roman"/>
          <w:color w:val="auto"/>
          <w:highlight w:val="none"/>
        </w:rPr>
      </w:pPr>
    </w:p>
    <w:p w14:paraId="70B2F7E9">
      <w:pPr>
        <w:pStyle w:val="12"/>
        <w:spacing w:line="600" w:lineRule="auto"/>
        <w:rPr>
          <w:rFonts w:ascii="Times New Roman"/>
          <w:color w:val="auto"/>
          <w:highlight w:val="none"/>
        </w:rPr>
      </w:pPr>
      <w:r>
        <w:rPr>
          <w:rFonts w:ascii="Times New Roman"/>
          <w:color w:val="auto"/>
          <w:highlight w:val="none"/>
        </w:rPr>
        <w:t>供应商：</w:t>
      </w:r>
      <w:r>
        <w:rPr>
          <w:rFonts w:ascii="Times New Roman"/>
          <w:color w:val="auto"/>
          <w:highlight w:val="none"/>
          <w:u w:val="single"/>
        </w:rPr>
        <w:t>（盖企业电子公章）</w:t>
      </w:r>
    </w:p>
    <w:p w14:paraId="624F9A87">
      <w:pPr>
        <w:pStyle w:val="12"/>
        <w:spacing w:line="600" w:lineRule="auto"/>
        <w:rPr>
          <w:rFonts w:ascii="Times New Roman"/>
          <w:color w:val="auto"/>
          <w:highlight w:val="none"/>
        </w:rPr>
      </w:pPr>
      <w:r>
        <w:rPr>
          <w:rFonts w:ascii="Times New Roman"/>
          <w:color w:val="auto"/>
          <w:highlight w:val="none"/>
        </w:rPr>
        <w:t>法定代表人：</w:t>
      </w:r>
      <w:r>
        <w:rPr>
          <w:rFonts w:ascii="Times New Roman"/>
          <w:color w:val="auto"/>
          <w:highlight w:val="none"/>
          <w:u w:val="single"/>
        </w:rPr>
        <w:t>（</w:t>
      </w:r>
      <w:r>
        <w:rPr>
          <w:rFonts w:hint="eastAsia" w:ascii="Times New Roman"/>
          <w:color w:val="auto"/>
          <w:highlight w:val="none"/>
          <w:u w:val="single"/>
        </w:rPr>
        <w:t>电子签名/章</w:t>
      </w:r>
      <w:r>
        <w:rPr>
          <w:rFonts w:ascii="Times New Roman"/>
          <w:color w:val="auto"/>
          <w:highlight w:val="none"/>
          <w:u w:val="single"/>
        </w:rPr>
        <w:t>）</w:t>
      </w:r>
    </w:p>
    <w:p w14:paraId="7E55105B">
      <w:pPr>
        <w:spacing w:line="360" w:lineRule="auto"/>
        <w:jc w:val="left"/>
        <w:rPr>
          <w:color w:val="auto"/>
          <w:szCs w:val="21"/>
          <w:highlight w:val="none"/>
        </w:rPr>
      </w:pPr>
      <w:r>
        <w:rPr>
          <w:color w:val="auto"/>
          <w:szCs w:val="21"/>
          <w:highlight w:val="none"/>
        </w:rPr>
        <w:t>日期：</w:t>
      </w:r>
    </w:p>
    <w:p w14:paraId="6F620B3A">
      <w:pPr>
        <w:tabs>
          <w:tab w:val="left" w:pos="3540"/>
          <w:tab w:val="center" w:pos="4213"/>
        </w:tabs>
        <w:spacing w:line="360" w:lineRule="auto"/>
        <w:jc w:val="left"/>
        <w:outlineLvl w:val="1"/>
        <w:rPr>
          <w:rFonts w:eastAsia="黑体"/>
          <w:color w:val="auto"/>
          <w:sz w:val="30"/>
          <w:szCs w:val="30"/>
          <w:highlight w:val="none"/>
        </w:rPr>
      </w:pPr>
      <w:r>
        <w:rPr>
          <w:color w:val="auto"/>
          <w:szCs w:val="21"/>
          <w:highlight w:val="none"/>
        </w:rPr>
        <w:br w:type="page"/>
      </w:r>
      <w:r>
        <w:rPr>
          <w:rFonts w:hint="eastAsia"/>
          <w:color w:val="auto"/>
          <w:szCs w:val="21"/>
          <w:highlight w:val="none"/>
        </w:rPr>
        <w:tab/>
      </w:r>
      <w:r>
        <w:rPr>
          <w:rFonts w:hint="eastAsia"/>
          <w:color w:val="auto"/>
          <w:szCs w:val="21"/>
          <w:highlight w:val="none"/>
        </w:rPr>
        <w:tab/>
      </w:r>
      <w:bookmarkStart w:id="1104" w:name="_Toc4965"/>
      <w:bookmarkStart w:id="1105" w:name="_Toc18606"/>
      <w:bookmarkStart w:id="1106" w:name="_Toc4132"/>
      <w:bookmarkStart w:id="1107" w:name="_Toc9589"/>
      <w:bookmarkStart w:id="1108" w:name="_Toc18408"/>
      <w:bookmarkStart w:id="1109" w:name="_Toc19794"/>
      <w:r>
        <w:rPr>
          <w:rFonts w:eastAsia="黑体"/>
          <w:color w:val="auto"/>
          <w:sz w:val="30"/>
          <w:szCs w:val="30"/>
          <w:highlight w:val="none"/>
        </w:rPr>
        <w:t>其它资料</w:t>
      </w:r>
      <w:bookmarkEnd w:id="1079"/>
      <w:bookmarkEnd w:id="1080"/>
      <w:bookmarkEnd w:id="1081"/>
      <w:bookmarkEnd w:id="1082"/>
      <w:bookmarkEnd w:id="1083"/>
      <w:bookmarkEnd w:id="1084"/>
      <w:bookmarkEnd w:id="1092"/>
      <w:bookmarkEnd w:id="1093"/>
      <w:bookmarkEnd w:id="1104"/>
      <w:bookmarkEnd w:id="1105"/>
      <w:bookmarkEnd w:id="1106"/>
      <w:bookmarkEnd w:id="1107"/>
      <w:bookmarkEnd w:id="1108"/>
      <w:bookmarkEnd w:id="1109"/>
    </w:p>
    <w:p w14:paraId="3FEC2D64">
      <w:pPr>
        <w:pStyle w:val="12"/>
        <w:spacing w:line="360" w:lineRule="auto"/>
        <w:ind w:firstLine="422" w:firstLineChars="200"/>
        <w:rPr>
          <w:rFonts w:ascii="Times New Roman"/>
          <w:b/>
          <w:color w:val="auto"/>
          <w:highlight w:val="none"/>
        </w:rPr>
      </w:pPr>
      <w:bookmarkStart w:id="1110" w:name="_Hlk478978544"/>
    </w:p>
    <w:p w14:paraId="531D722F">
      <w:pPr>
        <w:rPr>
          <w:b/>
          <w:bCs/>
          <w:color w:val="auto"/>
          <w:highlight w:val="none"/>
        </w:rPr>
      </w:pPr>
      <w:r>
        <w:rPr>
          <w:rFonts w:hint="eastAsia"/>
          <w:b/>
          <w:bCs/>
          <w:color w:val="auto"/>
          <w:highlight w:val="none"/>
        </w:rPr>
        <w:t>磋商文件要求及供应商认为有必要提供的其它资料。</w:t>
      </w:r>
      <w:bookmarkEnd w:id="1110"/>
    </w:p>
    <w:p w14:paraId="5548A4C5">
      <w:pPr>
        <w:pStyle w:val="4"/>
        <w:keepLines w:val="0"/>
        <w:tabs>
          <w:tab w:val="left" w:pos="420"/>
          <w:tab w:val="left" w:pos="6090"/>
        </w:tabs>
        <w:adjustRightInd w:val="0"/>
        <w:spacing w:after="0"/>
        <w:textAlignment w:val="baseline"/>
        <w:rPr>
          <w:rFonts w:hint="eastAsia" w:ascii="黑体" w:hAnsi="黑体" w:eastAsia="黑体"/>
          <w:bCs w:val="0"/>
          <w:color w:val="auto"/>
          <w:sz w:val="28"/>
          <w:szCs w:val="30"/>
          <w:highlight w:val="none"/>
        </w:rPr>
      </w:pPr>
      <w:r>
        <w:rPr>
          <w:rFonts w:ascii="宋体" w:hAnsi="宋体"/>
          <w:b w:val="0"/>
          <w:color w:val="auto"/>
          <w:sz w:val="24"/>
          <w:szCs w:val="21"/>
          <w:highlight w:val="none"/>
        </w:rPr>
        <w:br w:type="page"/>
      </w:r>
      <w:bookmarkEnd w:id="1008"/>
      <w:bookmarkEnd w:id="1037"/>
      <w:bookmarkEnd w:id="1038"/>
      <w:bookmarkEnd w:id="1039"/>
      <w:bookmarkEnd w:id="1040"/>
      <w:bookmarkEnd w:id="1041"/>
      <w:bookmarkStart w:id="1111" w:name="_Toc20147"/>
      <w:bookmarkStart w:id="1112" w:name="_Toc21932"/>
      <w:bookmarkStart w:id="1113" w:name="_Toc29483"/>
      <w:bookmarkStart w:id="1114" w:name="_Toc31862"/>
      <w:bookmarkStart w:id="1115" w:name="_Toc28728"/>
      <w:bookmarkStart w:id="1116" w:name="_Toc28931"/>
      <w:bookmarkStart w:id="1117" w:name="_Toc20886"/>
      <w:bookmarkStart w:id="1118" w:name="_Toc13625"/>
      <w:bookmarkStart w:id="1119" w:name="_Toc31923"/>
      <w:bookmarkStart w:id="1120" w:name="_Toc13822226"/>
      <w:bookmarkStart w:id="1121" w:name="_Toc15918"/>
      <w:r>
        <w:rPr>
          <w:rFonts w:hint="eastAsia" w:ascii="黑体" w:hAnsi="黑体" w:eastAsia="黑体"/>
          <w:bCs w:val="0"/>
          <w:color w:val="auto"/>
          <w:sz w:val="28"/>
          <w:szCs w:val="30"/>
          <w:highlight w:val="none"/>
        </w:rPr>
        <w:t>二、商务文件</w:t>
      </w:r>
      <w:bookmarkEnd w:id="1111"/>
      <w:bookmarkEnd w:id="1112"/>
      <w:bookmarkEnd w:id="1113"/>
      <w:bookmarkEnd w:id="1114"/>
      <w:bookmarkEnd w:id="1115"/>
      <w:bookmarkEnd w:id="1116"/>
      <w:bookmarkEnd w:id="1117"/>
      <w:bookmarkEnd w:id="1118"/>
      <w:bookmarkEnd w:id="1119"/>
    </w:p>
    <w:bookmarkEnd w:id="1120"/>
    <w:bookmarkEnd w:id="1121"/>
    <w:p w14:paraId="4CEF0835">
      <w:pPr>
        <w:spacing w:line="360" w:lineRule="auto"/>
        <w:jc w:val="center"/>
        <w:outlineLvl w:val="2"/>
        <w:rPr>
          <w:b/>
          <w:color w:val="auto"/>
          <w:sz w:val="28"/>
          <w:szCs w:val="28"/>
          <w:highlight w:val="none"/>
        </w:rPr>
      </w:pPr>
      <w:bookmarkStart w:id="1122" w:name="_Toc30238"/>
      <w:bookmarkStart w:id="1123" w:name="_Toc2633"/>
      <w:bookmarkStart w:id="1124" w:name="_Toc8893"/>
      <w:bookmarkStart w:id="1125" w:name="_Toc24384"/>
      <w:bookmarkStart w:id="1126" w:name="_Toc4952"/>
      <w:bookmarkStart w:id="1127" w:name="_Toc11571"/>
      <w:bookmarkStart w:id="1128" w:name="_Toc4833"/>
      <w:bookmarkStart w:id="1129" w:name="_Toc20885"/>
      <w:bookmarkStart w:id="1130" w:name="_Toc13822227"/>
      <w:bookmarkStart w:id="1131" w:name="_Toc14432"/>
      <w:bookmarkStart w:id="1132" w:name="_Toc26295"/>
      <w:bookmarkStart w:id="1133" w:name="_Toc482092697"/>
      <w:bookmarkStart w:id="1134" w:name="_Toc489972656"/>
      <w:r>
        <w:rPr>
          <w:rFonts w:hint="eastAsia" w:ascii="黑体" w:hAnsi="黑体" w:eastAsia="黑体"/>
          <w:bCs/>
          <w:color w:val="auto"/>
          <w:sz w:val="28"/>
          <w:szCs w:val="30"/>
          <w:highlight w:val="none"/>
        </w:rPr>
        <w:t>★</w:t>
      </w:r>
      <w:r>
        <w:rPr>
          <w:rFonts w:hint="eastAsia"/>
          <w:b/>
          <w:color w:val="auto"/>
          <w:sz w:val="28"/>
          <w:szCs w:val="28"/>
          <w:highlight w:val="none"/>
        </w:rPr>
        <w:t>法定代表人身份证明书</w:t>
      </w:r>
      <w:bookmarkEnd w:id="1122"/>
      <w:bookmarkEnd w:id="1123"/>
      <w:bookmarkEnd w:id="1124"/>
      <w:bookmarkEnd w:id="1125"/>
      <w:bookmarkEnd w:id="1126"/>
      <w:bookmarkEnd w:id="1127"/>
      <w:bookmarkEnd w:id="1128"/>
      <w:bookmarkEnd w:id="1129"/>
      <w:bookmarkEnd w:id="1130"/>
      <w:bookmarkEnd w:id="1131"/>
      <w:bookmarkEnd w:id="1132"/>
    </w:p>
    <w:p w14:paraId="42A0DD3E">
      <w:pPr>
        <w:spacing w:line="360" w:lineRule="auto"/>
        <w:jc w:val="center"/>
        <w:rPr>
          <w:b/>
          <w:color w:val="auto"/>
          <w:sz w:val="30"/>
          <w:szCs w:val="30"/>
          <w:highlight w:val="none"/>
        </w:rPr>
      </w:pPr>
    </w:p>
    <w:p w14:paraId="028442B7">
      <w:pPr>
        <w:spacing w:line="360" w:lineRule="auto"/>
        <w:rPr>
          <w:color w:val="auto"/>
          <w:szCs w:val="21"/>
          <w:highlight w:val="none"/>
        </w:rPr>
      </w:pPr>
      <w:r>
        <w:rPr>
          <w:rFonts w:hint="eastAsia"/>
          <w:color w:val="auto"/>
          <w:szCs w:val="21"/>
          <w:highlight w:val="none"/>
        </w:rPr>
        <w:t>供应商名称：</w:t>
      </w:r>
      <w:r>
        <w:rPr>
          <w:color w:val="auto"/>
          <w:szCs w:val="21"/>
          <w:highlight w:val="none"/>
          <w:u w:val="single"/>
        </w:rPr>
        <w:t xml:space="preserve">                        </w:t>
      </w:r>
    </w:p>
    <w:p w14:paraId="379C4BB1">
      <w:pPr>
        <w:spacing w:line="360" w:lineRule="auto"/>
        <w:rPr>
          <w:color w:val="auto"/>
          <w:szCs w:val="21"/>
          <w:highlight w:val="none"/>
        </w:rPr>
      </w:pPr>
      <w:r>
        <w:rPr>
          <w:rFonts w:hint="eastAsia"/>
          <w:color w:val="auto"/>
          <w:szCs w:val="21"/>
          <w:highlight w:val="none"/>
        </w:rPr>
        <w:t>单位性质：</w:t>
      </w:r>
      <w:r>
        <w:rPr>
          <w:color w:val="auto"/>
          <w:szCs w:val="21"/>
          <w:highlight w:val="none"/>
          <w:u w:val="single"/>
        </w:rPr>
        <w:t xml:space="preserve">                          </w:t>
      </w:r>
    </w:p>
    <w:p w14:paraId="62F52BCC">
      <w:pPr>
        <w:spacing w:line="360" w:lineRule="auto"/>
        <w:rPr>
          <w:color w:val="auto"/>
          <w:szCs w:val="21"/>
          <w:highlight w:val="none"/>
        </w:rPr>
      </w:pPr>
      <w:r>
        <w:rPr>
          <w:rFonts w:hint="eastAsia"/>
          <w:color w:val="auto"/>
          <w:szCs w:val="21"/>
          <w:highlight w:val="none"/>
        </w:rPr>
        <w:t>成立时间：</w:t>
      </w:r>
      <w:r>
        <w:rPr>
          <w:color w:val="auto"/>
          <w:szCs w:val="21"/>
          <w:highlight w:val="none"/>
          <w:u w:val="single"/>
        </w:rPr>
        <w:t xml:space="preserve">        </w:t>
      </w:r>
      <w:r>
        <w:rPr>
          <w:rFonts w:hint="eastAsia"/>
          <w:color w:val="auto"/>
          <w:szCs w:val="21"/>
          <w:highlight w:val="none"/>
        </w:rPr>
        <w:t>年</w:t>
      </w:r>
      <w:r>
        <w:rPr>
          <w:color w:val="auto"/>
          <w:szCs w:val="21"/>
          <w:highlight w:val="none"/>
          <w:u w:val="single"/>
        </w:rPr>
        <w:t xml:space="preserve">       </w:t>
      </w:r>
      <w:r>
        <w:rPr>
          <w:rFonts w:hint="eastAsia"/>
          <w:color w:val="auto"/>
          <w:szCs w:val="21"/>
          <w:highlight w:val="none"/>
        </w:rPr>
        <w:t>月</w:t>
      </w:r>
      <w:r>
        <w:rPr>
          <w:color w:val="auto"/>
          <w:szCs w:val="21"/>
          <w:highlight w:val="none"/>
          <w:u w:val="single"/>
        </w:rPr>
        <w:t xml:space="preserve">       </w:t>
      </w:r>
      <w:r>
        <w:rPr>
          <w:rFonts w:hint="eastAsia"/>
          <w:color w:val="auto"/>
          <w:szCs w:val="21"/>
          <w:highlight w:val="none"/>
        </w:rPr>
        <w:t>日</w:t>
      </w:r>
    </w:p>
    <w:p w14:paraId="17DDAEE1">
      <w:pPr>
        <w:spacing w:line="360" w:lineRule="auto"/>
        <w:rPr>
          <w:color w:val="auto"/>
          <w:szCs w:val="21"/>
          <w:highlight w:val="none"/>
        </w:rPr>
      </w:pPr>
      <w:r>
        <w:rPr>
          <w:rFonts w:hint="eastAsia"/>
          <w:color w:val="auto"/>
          <w:szCs w:val="21"/>
          <w:highlight w:val="none"/>
        </w:rPr>
        <w:t>经营期限：</w:t>
      </w:r>
      <w:r>
        <w:rPr>
          <w:color w:val="auto"/>
          <w:szCs w:val="21"/>
          <w:highlight w:val="none"/>
          <w:u w:val="single"/>
        </w:rPr>
        <w:t xml:space="preserve">                          </w:t>
      </w:r>
    </w:p>
    <w:p w14:paraId="4A638064">
      <w:pPr>
        <w:spacing w:line="360" w:lineRule="auto"/>
        <w:rPr>
          <w:color w:val="auto"/>
          <w:szCs w:val="21"/>
          <w:highlight w:val="none"/>
        </w:rPr>
      </w:pPr>
      <w:r>
        <w:rPr>
          <w:rFonts w:hint="eastAsia"/>
          <w:color w:val="auto"/>
          <w:szCs w:val="21"/>
          <w:highlight w:val="none"/>
        </w:rPr>
        <w:t>姓名：</w:t>
      </w:r>
      <w:r>
        <w:rPr>
          <w:color w:val="auto"/>
          <w:szCs w:val="21"/>
          <w:highlight w:val="none"/>
          <w:u w:val="single"/>
        </w:rPr>
        <w:t xml:space="preserve">            </w:t>
      </w:r>
      <w:r>
        <w:rPr>
          <w:rFonts w:hint="eastAsia"/>
          <w:color w:val="auto"/>
          <w:szCs w:val="21"/>
          <w:highlight w:val="none"/>
        </w:rPr>
        <w:t>性别：</w:t>
      </w:r>
      <w:r>
        <w:rPr>
          <w:color w:val="auto"/>
          <w:szCs w:val="21"/>
          <w:highlight w:val="none"/>
          <w:u w:val="single"/>
        </w:rPr>
        <w:t xml:space="preserve">            </w:t>
      </w:r>
      <w:r>
        <w:rPr>
          <w:rFonts w:hint="eastAsia"/>
          <w:color w:val="auto"/>
          <w:szCs w:val="21"/>
          <w:highlight w:val="none"/>
        </w:rPr>
        <w:t>年龄：</w:t>
      </w:r>
      <w:r>
        <w:rPr>
          <w:color w:val="auto"/>
          <w:szCs w:val="21"/>
          <w:highlight w:val="none"/>
          <w:u w:val="single"/>
        </w:rPr>
        <w:t xml:space="preserve">            </w:t>
      </w:r>
      <w:r>
        <w:rPr>
          <w:rFonts w:hint="eastAsia"/>
          <w:color w:val="auto"/>
          <w:szCs w:val="21"/>
          <w:highlight w:val="none"/>
        </w:rPr>
        <w:t>职务：</w:t>
      </w:r>
      <w:r>
        <w:rPr>
          <w:color w:val="auto"/>
          <w:szCs w:val="21"/>
          <w:highlight w:val="none"/>
          <w:u w:val="single"/>
        </w:rPr>
        <w:t xml:space="preserve">            </w:t>
      </w:r>
    </w:p>
    <w:p w14:paraId="5FA90CCB">
      <w:pPr>
        <w:spacing w:line="360" w:lineRule="auto"/>
        <w:rPr>
          <w:color w:val="auto"/>
          <w:szCs w:val="21"/>
          <w:highlight w:val="none"/>
        </w:rPr>
      </w:pPr>
      <w:r>
        <w:rPr>
          <w:rFonts w:hint="eastAsia"/>
          <w:color w:val="auto"/>
          <w:szCs w:val="21"/>
          <w:highlight w:val="none"/>
        </w:rPr>
        <w:t>系</w:t>
      </w:r>
      <w:r>
        <w:rPr>
          <w:color w:val="auto"/>
          <w:szCs w:val="21"/>
          <w:highlight w:val="none"/>
          <w:u w:val="single"/>
        </w:rPr>
        <w:t xml:space="preserve">                        </w:t>
      </w:r>
      <w:r>
        <w:rPr>
          <w:rFonts w:hint="eastAsia"/>
          <w:color w:val="auto"/>
          <w:szCs w:val="21"/>
          <w:highlight w:val="none"/>
        </w:rPr>
        <w:t>（供应商名称）的法定代表人。</w:t>
      </w:r>
    </w:p>
    <w:p w14:paraId="2FE00E78">
      <w:pPr>
        <w:spacing w:line="360" w:lineRule="auto"/>
        <w:ind w:firstLine="420" w:firstLineChars="200"/>
        <w:rPr>
          <w:color w:val="auto"/>
          <w:szCs w:val="21"/>
          <w:highlight w:val="none"/>
        </w:rPr>
      </w:pPr>
    </w:p>
    <w:p w14:paraId="1FE56560">
      <w:pPr>
        <w:spacing w:line="360" w:lineRule="auto"/>
        <w:ind w:firstLine="420" w:firstLineChars="200"/>
        <w:rPr>
          <w:color w:val="auto"/>
          <w:szCs w:val="21"/>
          <w:highlight w:val="none"/>
        </w:rPr>
      </w:pPr>
      <w:r>
        <w:rPr>
          <w:rFonts w:hint="eastAsia"/>
          <w:color w:val="auto"/>
          <w:szCs w:val="21"/>
          <w:highlight w:val="none"/>
        </w:rPr>
        <w:t>特此证明。</w:t>
      </w:r>
    </w:p>
    <w:p w14:paraId="6EEA336E">
      <w:pPr>
        <w:spacing w:line="360" w:lineRule="auto"/>
        <w:rPr>
          <w:b/>
          <w:bCs/>
          <w:color w:val="auto"/>
          <w:sz w:val="24"/>
          <w:highlight w:val="none"/>
        </w:rPr>
      </w:pPr>
    </w:p>
    <w:p w14:paraId="24150771">
      <w:pPr>
        <w:spacing w:line="360" w:lineRule="auto"/>
        <w:rPr>
          <w:b/>
          <w:bCs/>
          <w:color w:val="auto"/>
          <w:sz w:val="24"/>
          <w:highlight w:val="none"/>
        </w:rPr>
      </w:pPr>
      <w:r>
        <w:rPr>
          <w:rFonts w:hint="eastAsia"/>
          <w:b/>
          <w:bCs/>
          <w:color w:val="auto"/>
          <w:sz w:val="24"/>
          <w:highlight w:val="none"/>
        </w:rPr>
        <w:t>附：法定代表人有效的身份证复印件。</w:t>
      </w:r>
    </w:p>
    <w:p w14:paraId="49428B9D">
      <w:pPr>
        <w:spacing w:line="360" w:lineRule="auto"/>
        <w:rPr>
          <w:b/>
          <w:bCs/>
          <w:color w:val="auto"/>
          <w:sz w:val="24"/>
          <w:highlight w:val="none"/>
        </w:rPr>
      </w:pPr>
    </w:p>
    <w:p w14:paraId="076C220C">
      <w:pPr>
        <w:spacing w:line="360" w:lineRule="auto"/>
        <w:rPr>
          <w:b/>
          <w:bCs/>
          <w:color w:val="auto"/>
          <w:sz w:val="24"/>
          <w:highlight w:val="none"/>
        </w:rPr>
      </w:pPr>
    </w:p>
    <w:p w14:paraId="01CCF2F7">
      <w:pPr>
        <w:spacing w:line="360" w:lineRule="auto"/>
        <w:rPr>
          <w:b/>
          <w:bCs/>
          <w:color w:val="auto"/>
          <w:sz w:val="24"/>
          <w:highlight w:val="none"/>
        </w:rPr>
      </w:pPr>
    </w:p>
    <w:p w14:paraId="34C21D97">
      <w:pPr>
        <w:spacing w:line="360" w:lineRule="auto"/>
        <w:rPr>
          <w:color w:val="auto"/>
          <w:szCs w:val="21"/>
          <w:highlight w:val="none"/>
        </w:rPr>
      </w:pPr>
    </w:p>
    <w:p w14:paraId="2DCF5091">
      <w:pPr>
        <w:spacing w:line="360" w:lineRule="auto"/>
        <w:rPr>
          <w:color w:val="auto"/>
          <w:szCs w:val="21"/>
          <w:highlight w:val="none"/>
        </w:rPr>
      </w:pPr>
    </w:p>
    <w:p w14:paraId="6C432079">
      <w:pPr>
        <w:spacing w:line="360" w:lineRule="auto"/>
        <w:ind w:left="3780" w:leftChars="1800"/>
        <w:rPr>
          <w:color w:val="auto"/>
          <w:szCs w:val="21"/>
          <w:highlight w:val="none"/>
        </w:rPr>
      </w:pPr>
      <w:r>
        <w:rPr>
          <w:rFonts w:hint="eastAsia"/>
          <w:color w:val="auto"/>
          <w:szCs w:val="21"/>
          <w:highlight w:val="none"/>
        </w:rPr>
        <w:t>供应商：</w:t>
      </w:r>
      <w:r>
        <w:rPr>
          <w:color w:val="auto"/>
          <w:szCs w:val="21"/>
          <w:highlight w:val="none"/>
          <w:u w:val="single"/>
        </w:rPr>
        <w:t xml:space="preserve">                    </w:t>
      </w:r>
      <w:r>
        <w:rPr>
          <w:rFonts w:hint="eastAsia"/>
          <w:color w:val="auto"/>
          <w:szCs w:val="21"/>
          <w:highlight w:val="none"/>
        </w:rPr>
        <w:t>（盖企业电子公章）</w:t>
      </w:r>
    </w:p>
    <w:p w14:paraId="10D5D859">
      <w:pPr>
        <w:spacing w:line="360" w:lineRule="auto"/>
        <w:ind w:left="3780" w:leftChars="1800"/>
        <w:rPr>
          <w:color w:val="auto"/>
          <w:szCs w:val="21"/>
          <w:highlight w:val="none"/>
        </w:rPr>
      </w:pPr>
      <w:r>
        <w:rPr>
          <w:color w:val="auto"/>
          <w:szCs w:val="21"/>
          <w:highlight w:val="none"/>
          <w:u w:val="single"/>
        </w:rPr>
        <w:t xml:space="preserve">         </w:t>
      </w:r>
      <w:r>
        <w:rPr>
          <w:rFonts w:hint="eastAsia"/>
          <w:color w:val="auto"/>
          <w:szCs w:val="21"/>
          <w:highlight w:val="none"/>
        </w:rPr>
        <w:t>年</w:t>
      </w:r>
      <w:r>
        <w:rPr>
          <w:color w:val="auto"/>
          <w:szCs w:val="21"/>
          <w:highlight w:val="none"/>
          <w:u w:val="single"/>
        </w:rPr>
        <w:t xml:space="preserve">       </w:t>
      </w:r>
      <w:r>
        <w:rPr>
          <w:rFonts w:hint="eastAsia"/>
          <w:color w:val="auto"/>
          <w:szCs w:val="21"/>
          <w:highlight w:val="none"/>
        </w:rPr>
        <w:t>月</w:t>
      </w:r>
      <w:r>
        <w:rPr>
          <w:color w:val="auto"/>
          <w:szCs w:val="21"/>
          <w:highlight w:val="none"/>
          <w:u w:val="single"/>
        </w:rPr>
        <w:t xml:space="preserve">        </w:t>
      </w:r>
      <w:r>
        <w:rPr>
          <w:rFonts w:hint="eastAsia"/>
          <w:color w:val="auto"/>
          <w:szCs w:val="21"/>
          <w:highlight w:val="none"/>
        </w:rPr>
        <w:t>日</w:t>
      </w:r>
    </w:p>
    <w:p w14:paraId="2CD7490C">
      <w:pPr>
        <w:spacing w:line="360" w:lineRule="auto"/>
        <w:rPr>
          <w:color w:val="auto"/>
          <w:szCs w:val="21"/>
          <w:highlight w:val="none"/>
        </w:rPr>
      </w:pPr>
    </w:p>
    <w:p w14:paraId="329634CB">
      <w:pPr>
        <w:spacing w:line="360" w:lineRule="auto"/>
        <w:jc w:val="center"/>
        <w:outlineLvl w:val="2"/>
        <w:rPr>
          <w:b/>
          <w:color w:val="auto"/>
          <w:sz w:val="28"/>
          <w:szCs w:val="28"/>
          <w:highlight w:val="none"/>
        </w:rPr>
      </w:pPr>
      <w:r>
        <w:rPr>
          <w:rFonts w:ascii="宋体" w:hAnsi="宋体"/>
          <w:b/>
          <w:color w:val="auto"/>
          <w:kern w:val="0"/>
          <w:sz w:val="20"/>
          <w:highlight w:val="none"/>
        </w:rPr>
        <w:br w:type="page"/>
      </w:r>
      <w:bookmarkStart w:id="1135" w:name="_Toc14289"/>
      <w:bookmarkStart w:id="1136" w:name="_Toc8453"/>
      <w:bookmarkStart w:id="1137" w:name="_Toc6125"/>
      <w:bookmarkStart w:id="1138" w:name="_Toc13822228"/>
      <w:bookmarkStart w:id="1139" w:name="_Toc20533"/>
      <w:bookmarkStart w:id="1140" w:name="_Toc2120"/>
      <w:bookmarkStart w:id="1141" w:name="_Toc31648"/>
      <w:bookmarkStart w:id="1142" w:name="_Toc3872"/>
      <w:bookmarkStart w:id="1143" w:name="_Toc10076"/>
      <w:bookmarkStart w:id="1144" w:name="_Toc23507"/>
      <w:bookmarkStart w:id="1145" w:name="_Toc20234"/>
      <w:r>
        <w:rPr>
          <w:rFonts w:hint="eastAsia" w:ascii="黑体" w:hAnsi="黑体" w:eastAsia="黑体"/>
          <w:bCs/>
          <w:color w:val="auto"/>
          <w:sz w:val="28"/>
          <w:szCs w:val="30"/>
          <w:highlight w:val="none"/>
        </w:rPr>
        <w:t>★</w:t>
      </w:r>
      <w:r>
        <w:rPr>
          <w:rFonts w:hint="eastAsia"/>
          <w:b/>
          <w:color w:val="auto"/>
          <w:sz w:val="28"/>
          <w:szCs w:val="28"/>
          <w:highlight w:val="none"/>
        </w:rPr>
        <w:t>法定代表人授权委托书</w:t>
      </w:r>
      <w:bookmarkEnd w:id="1135"/>
      <w:bookmarkEnd w:id="1136"/>
      <w:bookmarkEnd w:id="1137"/>
      <w:bookmarkEnd w:id="1138"/>
      <w:bookmarkEnd w:id="1139"/>
      <w:bookmarkEnd w:id="1140"/>
      <w:bookmarkEnd w:id="1141"/>
      <w:bookmarkEnd w:id="1142"/>
      <w:bookmarkEnd w:id="1143"/>
      <w:bookmarkEnd w:id="1144"/>
      <w:bookmarkEnd w:id="1145"/>
    </w:p>
    <w:p w14:paraId="1C30DF07">
      <w:pPr>
        <w:spacing w:line="360" w:lineRule="auto"/>
        <w:rPr>
          <w:color w:val="auto"/>
          <w:szCs w:val="21"/>
          <w:highlight w:val="none"/>
        </w:rPr>
      </w:pPr>
    </w:p>
    <w:p w14:paraId="3B1CBC6C">
      <w:pPr>
        <w:spacing w:line="360" w:lineRule="auto"/>
        <w:ind w:firstLine="420" w:firstLineChars="200"/>
        <w:rPr>
          <w:color w:val="auto"/>
          <w:szCs w:val="21"/>
          <w:highlight w:val="none"/>
        </w:rPr>
      </w:pPr>
    </w:p>
    <w:p w14:paraId="183C5A1E">
      <w:pPr>
        <w:spacing w:line="360" w:lineRule="auto"/>
        <w:ind w:firstLine="420" w:firstLineChars="200"/>
        <w:rPr>
          <w:color w:val="auto"/>
          <w:szCs w:val="21"/>
          <w:highlight w:val="none"/>
        </w:rPr>
      </w:pPr>
      <w:r>
        <w:rPr>
          <w:rFonts w:hint="eastAsia"/>
          <w:color w:val="auto"/>
          <w:szCs w:val="21"/>
          <w:highlight w:val="none"/>
        </w:rPr>
        <w:t>本授权书声明：</w:t>
      </w:r>
      <w:r>
        <w:rPr>
          <w:color w:val="auto"/>
          <w:szCs w:val="21"/>
          <w:highlight w:val="none"/>
          <w:u w:val="single"/>
        </w:rPr>
        <w:t xml:space="preserve">       </w:t>
      </w:r>
      <w:r>
        <w:rPr>
          <w:rFonts w:hint="eastAsia"/>
          <w:color w:val="auto"/>
          <w:szCs w:val="21"/>
          <w:highlight w:val="none"/>
          <w:u w:val="single"/>
        </w:rPr>
        <w:t>（供应商全称）</w:t>
      </w:r>
      <w:r>
        <w:rPr>
          <w:color w:val="auto"/>
          <w:szCs w:val="21"/>
          <w:highlight w:val="none"/>
          <w:u w:val="single"/>
        </w:rPr>
        <w:t xml:space="preserve">     </w:t>
      </w:r>
      <w:r>
        <w:rPr>
          <w:rFonts w:hint="eastAsia"/>
          <w:color w:val="auto"/>
          <w:szCs w:val="21"/>
          <w:highlight w:val="none"/>
        </w:rPr>
        <w:t>的法定代表人代表本公司授权</w:t>
      </w:r>
      <w:r>
        <w:rPr>
          <w:color w:val="auto"/>
          <w:szCs w:val="21"/>
          <w:highlight w:val="none"/>
          <w:u w:val="single"/>
        </w:rPr>
        <w:t xml:space="preserve">   </w:t>
      </w:r>
      <w:r>
        <w:rPr>
          <w:rFonts w:hint="eastAsia"/>
          <w:color w:val="auto"/>
          <w:szCs w:val="21"/>
          <w:highlight w:val="none"/>
          <w:u w:val="single"/>
        </w:rPr>
        <w:t>（委托代理人姓名）</w:t>
      </w:r>
      <w:r>
        <w:rPr>
          <w:color w:val="auto"/>
          <w:szCs w:val="21"/>
          <w:highlight w:val="none"/>
          <w:u w:val="single"/>
        </w:rPr>
        <w:t xml:space="preserve">   </w:t>
      </w:r>
      <w:r>
        <w:rPr>
          <w:rFonts w:hint="eastAsia"/>
          <w:color w:val="auto"/>
          <w:szCs w:val="21"/>
          <w:highlight w:val="none"/>
        </w:rPr>
        <w:t>为本公司合法代理人，以本单位名义亲自出席参加贵方组织的</w:t>
      </w:r>
      <w:r>
        <w:rPr>
          <w:color w:val="auto"/>
          <w:szCs w:val="21"/>
          <w:highlight w:val="none"/>
          <w:u w:val="single"/>
        </w:rPr>
        <w:t xml:space="preserve">    </w:t>
      </w:r>
      <w:r>
        <w:rPr>
          <w:rFonts w:hint="eastAsia"/>
          <w:color w:val="auto"/>
          <w:szCs w:val="21"/>
          <w:highlight w:val="none"/>
          <w:u w:val="single"/>
        </w:rPr>
        <w:t>（采购项目名称）</w:t>
      </w:r>
      <w:r>
        <w:rPr>
          <w:color w:val="auto"/>
          <w:szCs w:val="21"/>
          <w:highlight w:val="none"/>
          <w:u w:val="single"/>
        </w:rPr>
        <w:t xml:space="preserve">    </w:t>
      </w:r>
      <w:r>
        <w:rPr>
          <w:rFonts w:hint="eastAsia"/>
          <w:color w:val="auto"/>
          <w:szCs w:val="21"/>
          <w:highlight w:val="none"/>
        </w:rPr>
        <w:t>项目（项目编号：</w:t>
      </w:r>
      <w:r>
        <w:rPr>
          <w:color w:val="auto"/>
          <w:szCs w:val="21"/>
          <w:highlight w:val="none"/>
          <w:u w:val="single"/>
        </w:rPr>
        <w:t xml:space="preserve">          </w:t>
      </w:r>
      <w:r>
        <w:rPr>
          <w:rFonts w:hint="eastAsia"/>
          <w:color w:val="auto"/>
          <w:szCs w:val="21"/>
          <w:highlight w:val="none"/>
        </w:rPr>
        <w:t>）的磋商采购。代理人在本项目磋商过程中所签署的一切文件和处理与之有关的一切事务，我方均予承认。</w:t>
      </w:r>
    </w:p>
    <w:p w14:paraId="4A68E66D">
      <w:pPr>
        <w:spacing w:line="360" w:lineRule="auto"/>
        <w:ind w:firstLine="420" w:firstLineChars="200"/>
        <w:rPr>
          <w:color w:val="auto"/>
          <w:szCs w:val="21"/>
          <w:highlight w:val="none"/>
        </w:rPr>
      </w:pPr>
      <w:r>
        <w:rPr>
          <w:rFonts w:hint="eastAsia"/>
          <w:color w:val="auto"/>
          <w:szCs w:val="21"/>
          <w:highlight w:val="none"/>
        </w:rPr>
        <w:t>代理人无转委托权。</w:t>
      </w:r>
    </w:p>
    <w:p w14:paraId="24E7AEEC">
      <w:pPr>
        <w:spacing w:line="360" w:lineRule="auto"/>
        <w:ind w:firstLine="420" w:firstLineChars="200"/>
        <w:rPr>
          <w:color w:val="auto"/>
          <w:szCs w:val="21"/>
          <w:highlight w:val="none"/>
        </w:rPr>
      </w:pPr>
    </w:p>
    <w:p w14:paraId="6873618A">
      <w:pPr>
        <w:spacing w:line="360" w:lineRule="auto"/>
        <w:ind w:firstLine="420" w:firstLineChars="200"/>
        <w:rPr>
          <w:color w:val="auto"/>
          <w:szCs w:val="21"/>
          <w:highlight w:val="none"/>
        </w:rPr>
      </w:pPr>
      <w:r>
        <w:rPr>
          <w:rFonts w:hint="eastAsia"/>
          <w:color w:val="auto"/>
          <w:szCs w:val="21"/>
          <w:highlight w:val="none"/>
        </w:rPr>
        <w:t>供</w:t>
      </w:r>
      <w:r>
        <w:rPr>
          <w:color w:val="auto"/>
          <w:szCs w:val="21"/>
          <w:highlight w:val="none"/>
        </w:rPr>
        <w:t xml:space="preserve">  </w:t>
      </w:r>
      <w:r>
        <w:rPr>
          <w:rFonts w:hint="eastAsia"/>
          <w:color w:val="auto"/>
          <w:szCs w:val="21"/>
          <w:highlight w:val="none"/>
        </w:rPr>
        <w:t>应</w:t>
      </w:r>
      <w:r>
        <w:rPr>
          <w:color w:val="auto"/>
          <w:szCs w:val="21"/>
          <w:highlight w:val="none"/>
        </w:rPr>
        <w:t xml:space="preserve">  </w:t>
      </w:r>
      <w:r>
        <w:rPr>
          <w:rFonts w:hint="eastAsia"/>
          <w:color w:val="auto"/>
          <w:szCs w:val="21"/>
          <w:highlight w:val="none"/>
        </w:rPr>
        <w:t>商：</w:t>
      </w:r>
      <w:r>
        <w:rPr>
          <w:color w:val="auto"/>
          <w:szCs w:val="21"/>
          <w:highlight w:val="none"/>
          <w:u w:val="single"/>
        </w:rPr>
        <w:t xml:space="preserve">        </w:t>
      </w:r>
      <w:r>
        <w:rPr>
          <w:rFonts w:hint="eastAsia"/>
          <w:color w:val="auto"/>
          <w:szCs w:val="21"/>
          <w:highlight w:val="none"/>
          <w:u w:val="single"/>
        </w:rPr>
        <w:t>（全称）</w:t>
      </w:r>
      <w:r>
        <w:rPr>
          <w:color w:val="auto"/>
          <w:szCs w:val="21"/>
          <w:highlight w:val="none"/>
          <w:u w:val="single"/>
        </w:rPr>
        <w:t xml:space="preserve">      </w:t>
      </w:r>
      <w:r>
        <w:rPr>
          <w:rFonts w:hint="eastAsia"/>
          <w:color w:val="auto"/>
          <w:szCs w:val="21"/>
          <w:highlight w:val="none"/>
        </w:rPr>
        <w:t>（盖企业电子公章）</w:t>
      </w:r>
    </w:p>
    <w:p w14:paraId="1291D046">
      <w:pPr>
        <w:spacing w:line="360" w:lineRule="auto"/>
        <w:ind w:firstLine="420" w:firstLineChars="200"/>
        <w:rPr>
          <w:color w:val="auto"/>
          <w:szCs w:val="21"/>
          <w:highlight w:val="none"/>
        </w:rPr>
      </w:pPr>
      <w:r>
        <w:rPr>
          <w:rFonts w:hint="eastAsia"/>
          <w:color w:val="auto"/>
          <w:szCs w:val="21"/>
          <w:highlight w:val="none"/>
        </w:rPr>
        <w:t>法定代表人：</w:t>
      </w:r>
      <w:r>
        <w:rPr>
          <w:color w:val="auto"/>
          <w:szCs w:val="21"/>
          <w:highlight w:val="none"/>
          <w:u w:val="single"/>
        </w:rPr>
        <w:t xml:space="preserve">                      </w:t>
      </w:r>
      <w:r>
        <w:rPr>
          <w:rFonts w:hint="eastAsia"/>
          <w:color w:val="auto"/>
          <w:szCs w:val="21"/>
          <w:highlight w:val="none"/>
        </w:rPr>
        <w:t>（</w:t>
      </w:r>
      <w:r>
        <w:rPr>
          <w:rFonts w:hint="eastAsia" w:ascii="宋体" w:hAnsi="宋体"/>
          <w:color w:val="auto"/>
          <w:szCs w:val="21"/>
          <w:highlight w:val="none"/>
        </w:rPr>
        <w:t>电子签名/章</w:t>
      </w:r>
      <w:r>
        <w:rPr>
          <w:rFonts w:hint="eastAsia"/>
          <w:color w:val="auto"/>
          <w:szCs w:val="21"/>
          <w:highlight w:val="none"/>
        </w:rPr>
        <w:t>）</w:t>
      </w:r>
    </w:p>
    <w:p w14:paraId="0101DB82">
      <w:pPr>
        <w:spacing w:line="360" w:lineRule="auto"/>
        <w:ind w:firstLine="420" w:firstLineChars="200"/>
        <w:rPr>
          <w:color w:val="auto"/>
          <w:szCs w:val="21"/>
          <w:highlight w:val="none"/>
        </w:rPr>
      </w:pPr>
      <w:r>
        <w:rPr>
          <w:rFonts w:hint="eastAsia"/>
          <w:color w:val="auto"/>
          <w:szCs w:val="21"/>
          <w:highlight w:val="none"/>
        </w:rPr>
        <w:t>法定代表人身份证号码：</w:t>
      </w:r>
      <w:r>
        <w:rPr>
          <w:color w:val="auto"/>
          <w:szCs w:val="21"/>
          <w:highlight w:val="none"/>
          <w:u w:val="single"/>
        </w:rPr>
        <w:t xml:space="preserve">                             </w:t>
      </w:r>
    </w:p>
    <w:p w14:paraId="2137D155">
      <w:pPr>
        <w:spacing w:line="360" w:lineRule="auto"/>
        <w:ind w:firstLine="420" w:firstLineChars="200"/>
        <w:rPr>
          <w:color w:val="auto"/>
          <w:szCs w:val="21"/>
          <w:highlight w:val="none"/>
          <w:u w:val="single"/>
        </w:rPr>
      </w:pPr>
      <w:r>
        <w:rPr>
          <w:rFonts w:hint="eastAsia"/>
          <w:color w:val="auto"/>
          <w:szCs w:val="21"/>
          <w:highlight w:val="none"/>
        </w:rPr>
        <w:t>委托代理人：</w:t>
      </w:r>
      <w:r>
        <w:rPr>
          <w:color w:val="auto"/>
          <w:szCs w:val="21"/>
          <w:highlight w:val="none"/>
          <w:u w:val="single"/>
        </w:rPr>
        <w:t xml:space="preserve">                      </w:t>
      </w:r>
    </w:p>
    <w:p w14:paraId="540B08D1">
      <w:pPr>
        <w:spacing w:line="360" w:lineRule="auto"/>
        <w:ind w:firstLine="420" w:firstLineChars="200"/>
        <w:rPr>
          <w:color w:val="auto"/>
          <w:szCs w:val="21"/>
          <w:highlight w:val="none"/>
        </w:rPr>
      </w:pPr>
      <w:r>
        <w:rPr>
          <w:rFonts w:hint="eastAsia"/>
          <w:color w:val="auto"/>
          <w:szCs w:val="21"/>
          <w:highlight w:val="none"/>
        </w:rPr>
        <w:t>职</w:t>
      </w:r>
      <w:r>
        <w:rPr>
          <w:color w:val="auto"/>
          <w:szCs w:val="21"/>
          <w:highlight w:val="none"/>
        </w:rPr>
        <w:t xml:space="preserve">      </w:t>
      </w:r>
      <w:r>
        <w:rPr>
          <w:rFonts w:hint="eastAsia"/>
          <w:color w:val="auto"/>
          <w:szCs w:val="21"/>
          <w:highlight w:val="none"/>
        </w:rPr>
        <w:t>务：</w:t>
      </w:r>
      <w:r>
        <w:rPr>
          <w:color w:val="auto"/>
          <w:szCs w:val="21"/>
          <w:highlight w:val="none"/>
          <w:u w:val="single"/>
        </w:rPr>
        <w:t xml:space="preserve">                             </w:t>
      </w:r>
    </w:p>
    <w:p w14:paraId="5C21E69D">
      <w:pPr>
        <w:spacing w:line="360" w:lineRule="auto"/>
        <w:ind w:firstLine="420" w:firstLineChars="200"/>
        <w:rPr>
          <w:color w:val="auto"/>
          <w:szCs w:val="21"/>
          <w:highlight w:val="none"/>
        </w:rPr>
      </w:pPr>
      <w:r>
        <w:rPr>
          <w:rFonts w:hint="eastAsia"/>
          <w:color w:val="auto"/>
          <w:szCs w:val="21"/>
          <w:highlight w:val="none"/>
        </w:rPr>
        <w:t>代理人身份证号码：</w:t>
      </w:r>
      <w:r>
        <w:rPr>
          <w:color w:val="auto"/>
          <w:szCs w:val="21"/>
          <w:highlight w:val="none"/>
          <w:u w:val="single"/>
        </w:rPr>
        <w:t xml:space="preserve">                             </w:t>
      </w:r>
    </w:p>
    <w:p w14:paraId="021843D3">
      <w:pPr>
        <w:spacing w:line="360" w:lineRule="auto"/>
        <w:ind w:firstLine="420" w:firstLineChars="200"/>
        <w:rPr>
          <w:color w:val="auto"/>
          <w:szCs w:val="21"/>
          <w:highlight w:val="none"/>
          <w:u w:val="single"/>
        </w:rPr>
      </w:pPr>
    </w:p>
    <w:p w14:paraId="5416510C">
      <w:pPr>
        <w:spacing w:line="360" w:lineRule="auto"/>
        <w:ind w:firstLine="420" w:firstLineChars="200"/>
        <w:rPr>
          <w:color w:val="auto"/>
          <w:szCs w:val="21"/>
          <w:highlight w:val="none"/>
        </w:rPr>
      </w:pPr>
      <w:r>
        <w:rPr>
          <w:color w:val="auto"/>
          <w:szCs w:val="21"/>
          <w:highlight w:val="none"/>
          <w:u w:val="single"/>
        </w:rPr>
        <w:t xml:space="preserve">          </w:t>
      </w:r>
      <w:r>
        <w:rPr>
          <w:rFonts w:hint="eastAsia"/>
          <w:color w:val="auto"/>
          <w:szCs w:val="21"/>
          <w:highlight w:val="none"/>
        </w:rPr>
        <w:t>年</w:t>
      </w:r>
      <w:r>
        <w:rPr>
          <w:color w:val="auto"/>
          <w:szCs w:val="21"/>
          <w:highlight w:val="none"/>
          <w:u w:val="single"/>
        </w:rPr>
        <w:t xml:space="preserve">       </w:t>
      </w:r>
      <w:r>
        <w:rPr>
          <w:rFonts w:hint="eastAsia"/>
          <w:color w:val="auto"/>
          <w:szCs w:val="21"/>
          <w:highlight w:val="none"/>
        </w:rPr>
        <w:t>月</w:t>
      </w:r>
      <w:r>
        <w:rPr>
          <w:color w:val="auto"/>
          <w:szCs w:val="21"/>
          <w:highlight w:val="none"/>
          <w:u w:val="single"/>
        </w:rPr>
        <w:t xml:space="preserve">        </w:t>
      </w:r>
      <w:r>
        <w:rPr>
          <w:rFonts w:hint="eastAsia"/>
          <w:color w:val="auto"/>
          <w:szCs w:val="21"/>
          <w:highlight w:val="none"/>
        </w:rPr>
        <w:t>日</w:t>
      </w:r>
    </w:p>
    <w:p w14:paraId="7D4287FD">
      <w:pPr>
        <w:spacing w:line="360" w:lineRule="auto"/>
        <w:ind w:firstLine="420" w:firstLineChars="200"/>
        <w:rPr>
          <w:color w:val="auto"/>
          <w:szCs w:val="21"/>
          <w:highlight w:val="none"/>
        </w:rPr>
      </w:pPr>
    </w:p>
    <w:p w14:paraId="4368256D">
      <w:pPr>
        <w:spacing w:line="360" w:lineRule="auto"/>
        <w:ind w:firstLine="420" w:firstLineChars="200"/>
        <w:rPr>
          <w:color w:val="auto"/>
          <w:szCs w:val="21"/>
          <w:highlight w:val="none"/>
        </w:rPr>
      </w:pPr>
      <w:r>
        <w:rPr>
          <w:rFonts w:hint="eastAsia"/>
          <w:color w:val="auto"/>
          <w:szCs w:val="21"/>
          <w:highlight w:val="none"/>
        </w:rPr>
        <w:t>附：</w:t>
      </w:r>
      <w:r>
        <w:rPr>
          <w:rFonts w:hint="eastAsia" w:ascii="宋体" w:hAnsi="宋体"/>
          <w:color w:val="auto"/>
          <w:szCs w:val="21"/>
          <w:highlight w:val="none"/>
        </w:rPr>
        <w:t>授权代理人有效的身份证复印件</w:t>
      </w:r>
    </w:p>
    <w:p w14:paraId="4F0126AD">
      <w:pPr>
        <w:spacing w:line="360" w:lineRule="auto"/>
        <w:ind w:firstLine="420" w:firstLineChars="200"/>
        <w:rPr>
          <w:color w:val="auto"/>
          <w:szCs w:val="21"/>
          <w:highlight w:val="none"/>
        </w:rPr>
      </w:pPr>
    </w:p>
    <w:p w14:paraId="47EE1854">
      <w:pPr>
        <w:spacing w:line="360" w:lineRule="auto"/>
        <w:ind w:firstLine="420" w:firstLineChars="200"/>
        <w:rPr>
          <w:color w:val="auto"/>
          <w:szCs w:val="21"/>
          <w:highlight w:val="none"/>
        </w:rPr>
      </w:pPr>
    </w:p>
    <w:p w14:paraId="17DF4389">
      <w:pPr>
        <w:spacing w:line="360" w:lineRule="auto"/>
        <w:ind w:firstLine="420" w:firstLineChars="200"/>
        <w:rPr>
          <w:color w:val="auto"/>
          <w:szCs w:val="21"/>
          <w:highlight w:val="none"/>
        </w:rPr>
      </w:pPr>
    </w:p>
    <w:p w14:paraId="5582C549">
      <w:pPr>
        <w:spacing w:line="360" w:lineRule="auto"/>
        <w:ind w:firstLine="420" w:firstLineChars="200"/>
        <w:rPr>
          <w:color w:val="auto"/>
          <w:szCs w:val="21"/>
          <w:highlight w:val="none"/>
        </w:rPr>
      </w:pPr>
    </w:p>
    <w:p w14:paraId="1573C827">
      <w:pPr>
        <w:spacing w:line="360" w:lineRule="auto"/>
        <w:ind w:firstLine="420" w:firstLineChars="200"/>
        <w:rPr>
          <w:color w:val="auto"/>
          <w:szCs w:val="21"/>
          <w:highlight w:val="none"/>
        </w:rPr>
      </w:pPr>
    </w:p>
    <w:p w14:paraId="0CD6128E">
      <w:pPr>
        <w:spacing w:line="360" w:lineRule="auto"/>
        <w:ind w:firstLine="422" w:firstLineChars="200"/>
        <w:rPr>
          <w:b/>
          <w:color w:val="auto"/>
          <w:szCs w:val="21"/>
          <w:highlight w:val="none"/>
        </w:rPr>
      </w:pPr>
      <w:r>
        <w:rPr>
          <w:rFonts w:hint="eastAsia"/>
          <w:b/>
          <w:color w:val="auto"/>
          <w:szCs w:val="21"/>
          <w:highlight w:val="none"/>
        </w:rPr>
        <w:t>注：代理人出席磋商会议时，应提供本人有效的身份证（如非中国国籍应提供护照）原件交由磋商小组核验。</w:t>
      </w:r>
    </w:p>
    <w:p w14:paraId="1B8C23EB">
      <w:pPr>
        <w:pStyle w:val="12"/>
        <w:spacing w:line="600" w:lineRule="exact"/>
        <w:rPr>
          <w:color w:val="auto"/>
          <w:highlight w:val="none"/>
        </w:rPr>
      </w:pPr>
      <w:r>
        <w:rPr>
          <w:rFonts w:hint="eastAsia"/>
          <w:color w:val="auto"/>
          <w:highlight w:val="none"/>
        </w:rPr>
        <w:t xml:space="preserve"> </w:t>
      </w:r>
    </w:p>
    <w:p w14:paraId="58EC611B">
      <w:pPr>
        <w:spacing w:line="360" w:lineRule="auto"/>
        <w:jc w:val="center"/>
        <w:outlineLvl w:val="2"/>
        <w:rPr>
          <w:rFonts w:ascii="黑体" w:hAnsi="黑体" w:eastAsia="黑体"/>
          <w:bCs/>
          <w:color w:val="auto"/>
          <w:sz w:val="28"/>
          <w:szCs w:val="30"/>
          <w:highlight w:val="none"/>
        </w:rPr>
      </w:pPr>
      <w:bookmarkStart w:id="1146" w:name="_Toc347849252"/>
      <w:bookmarkStart w:id="1147" w:name="_Toc13822229"/>
      <w:bookmarkStart w:id="1148" w:name="_Toc383175515"/>
      <w:r>
        <w:rPr>
          <w:rFonts w:hint="eastAsia" w:ascii="黑体" w:hAnsi="黑体" w:eastAsia="黑体"/>
          <w:bCs/>
          <w:color w:val="auto"/>
          <w:sz w:val="28"/>
          <w:szCs w:val="30"/>
          <w:highlight w:val="none"/>
        </w:rPr>
        <w:br w:type="page"/>
      </w:r>
      <w:bookmarkStart w:id="1149" w:name="_Toc24005"/>
      <w:bookmarkStart w:id="1150" w:name="_Toc16744"/>
      <w:bookmarkStart w:id="1151" w:name="_Toc27428"/>
      <w:bookmarkStart w:id="1152" w:name="_Toc6781"/>
      <w:bookmarkStart w:id="1153" w:name="_Toc12087"/>
      <w:bookmarkStart w:id="1154" w:name="_Toc12680"/>
      <w:bookmarkStart w:id="1155" w:name="_Toc2483"/>
      <w:bookmarkStart w:id="1156" w:name="_Toc7479"/>
      <w:bookmarkStart w:id="1157" w:name="_Toc11315"/>
      <w:bookmarkStart w:id="1158" w:name="_Toc30254"/>
      <w:r>
        <w:rPr>
          <w:rFonts w:hint="eastAsia" w:ascii="黑体" w:hAnsi="黑体" w:eastAsia="黑体"/>
          <w:bCs/>
          <w:color w:val="auto"/>
          <w:sz w:val="28"/>
          <w:szCs w:val="30"/>
          <w:highlight w:val="none"/>
        </w:rPr>
        <w:t>★磋商申请</w:t>
      </w:r>
      <w:bookmarkEnd w:id="1146"/>
      <w:r>
        <w:rPr>
          <w:rFonts w:hint="eastAsia" w:ascii="黑体" w:hAnsi="黑体" w:eastAsia="黑体"/>
          <w:bCs/>
          <w:color w:val="auto"/>
          <w:sz w:val="28"/>
          <w:szCs w:val="30"/>
          <w:highlight w:val="none"/>
        </w:rPr>
        <w:t>函</w:t>
      </w:r>
      <w:bookmarkEnd w:id="1147"/>
      <w:bookmarkEnd w:id="1148"/>
      <w:bookmarkEnd w:id="1149"/>
      <w:bookmarkEnd w:id="1150"/>
      <w:bookmarkEnd w:id="1151"/>
      <w:bookmarkEnd w:id="1152"/>
      <w:bookmarkEnd w:id="1153"/>
      <w:bookmarkEnd w:id="1154"/>
      <w:bookmarkEnd w:id="1155"/>
      <w:bookmarkEnd w:id="1156"/>
      <w:bookmarkEnd w:id="1157"/>
      <w:bookmarkEnd w:id="1158"/>
    </w:p>
    <w:p w14:paraId="00762B7D">
      <w:pPr>
        <w:spacing w:line="360" w:lineRule="auto"/>
        <w:jc w:val="left"/>
        <w:rPr>
          <w:rFonts w:ascii="宋体"/>
          <w:color w:val="auto"/>
          <w:szCs w:val="21"/>
          <w:highlight w:val="none"/>
        </w:rPr>
      </w:pPr>
      <w:r>
        <w:rPr>
          <w:rFonts w:hint="eastAsia" w:ascii="宋体" w:hAnsi="宋体"/>
          <w:color w:val="auto"/>
          <w:szCs w:val="21"/>
          <w:highlight w:val="none"/>
        </w:rPr>
        <w:t>致：</w:t>
      </w:r>
      <w:r>
        <w:rPr>
          <w:rFonts w:ascii="宋体" w:hAnsi="宋体"/>
          <w:color w:val="auto"/>
          <w:szCs w:val="21"/>
          <w:highlight w:val="none"/>
          <w:u w:val="single"/>
        </w:rPr>
        <w:t xml:space="preserve">               </w:t>
      </w:r>
      <w:r>
        <w:rPr>
          <w:rFonts w:hint="eastAsia" w:ascii="宋体" w:hAnsi="宋体"/>
          <w:color w:val="auto"/>
          <w:szCs w:val="21"/>
          <w:highlight w:val="none"/>
          <w:u w:val="single"/>
        </w:rPr>
        <w:t>（采购人名称）</w:t>
      </w:r>
    </w:p>
    <w:p w14:paraId="59C4667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1．我方已仔细研究了</w:t>
      </w:r>
      <w:r>
        <w:rPr>
          <w:rFonts w:hint="eastAsia" w:ascii="宋体" w:hAnsi="宋体" w:cs="宋体"/>
          <w:color w:val="auto"/>
          <w:highlight w:val="none"/>
          <w:u w:val="single"/>
        </w:rPr>
        <w:t xml:space="preserve">              </w:t>
      </w:r>
      <w:r>
        <w:rPr>
          <w:rFonts w:hint="eastAsia" w:ascii="宋体" w:hAnsi="宋体" w:cs="宋体"/>
          <w:color w:val="auto"/>
          <w:szCs w:val="21"/>
          <w:highlight w:val="none"/>
        </w:rPr>
        <w:t>（项目名称）施工竞争性磋商文件的全部内容，</w:t>
      </w:r>
      <w:r>
        <w:rPr>
          <w:rFonts w:hint="eastAsia" w:ascii="宋体" w:hAnsi="宋体" w:cs="宋体"/>
          <w:color w:val="auto"/>
          <w:kern w:val="0"/>
          <w:szCs w:val="21"/>
          <w:highlight w:val="none"/>
        </w:rPr>
        <w:t>愿意以人民币（大写）：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）的磋商总报价，其中人工费合计：</w:t>
      </w:r>
      <w:r>
        <w:rPr>
          <w:rFonts w:hint="eastAsia" w:ascii="宋体" w:hAnsi="宋体" w:cs="宋体"/>
          <w:color w:val="auto"/>
          <w:highlight w:val="none"/>
          <w:u w:val="single"/>
        </w:rPr>
        <w:t xml:space="preserve">   </w:t>
      </w:r>
      <w:r>
        <w:rPr>
          <w:rFonts w:hint="eastAsia" w:ascii="宋体" w:hAnsi="宋体" w:cs="宋体"/>
          <w:color w:val="auto"/>
          <w:highlight w:val="none"/>
        </w:rPr>
        <w:t>元，人工占比：</w:t>
      </w: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szCs w:val="21"/>
          <w:highlight w:val="none"/>
        </w:rPr>
        <w:t>，合同履行期限（工期）：</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szCs w:val="21"/>
          <w:highlight w:val="none"/>
        </w:rPr>
        <w:t>，按合同约定实施和完成承包工程，修补工程中的任何缺陷，工程质量达到</w:t>
      </w:r>
      <w:r>
        <w:rPr>
          <w:rFonts w:hint="eastAsia" w:ascii="宋体" w:hAnsi="宋体" w:cs="宋体"/>
          <w:color w:val="auto"/>
          <w:highlight w:val="none"/>
          <w:u w:val="single"/>
        </w:rPr>
        <w:t xml:space="preserve">       </w:t>
      </w:r>
      <w:r>
        <w:rPr>
          <w:rFonts w:hint="eastAsia" w:ascii="宋体" w:hAnsi="宋体" w:cs="宋体"/>
          <w:color w:val="auto"/>
          <w:szCs w:val="21"/>
          <w:highlight w:val="none"/>
        </w:rPr>
        <w:t>。</w:t>
      </w:r>
    </w:p>
    <w:p w14:paraId="47716657">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2．我方承诺在响应文件有效期内不修改、撤销响应文件。</w:t>
      </w:r>
    </w:p>
    <w:p w14:paraId="5D43BCCF">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olor w:val="auto"/>
          <w:szCs w:val="21"/>
          <w:highlight w:val="none"/>
        </w:rPr>
        <w:t>随同本函提交</w:t>
      </w:r>
      <w:r>
        <w:rPr>
          <w:rFonts w:hint="eastAsia"/>
          <w:color w:val="auto"/>
          <w:szCs w:val="21"/>
          <w:highlight w:val="none"/>
        </w:rPr>
        <w:t>磋商</w:t>
      </w:r>
      <w:r>
        <w:rPr>
          <w:rFonts w:hint="eastAsia" w:ascii="宋体" w:hAnsi="宋体"/>
          <w:color w:val="auto"/>
          <w:szCs w:val="21"/>
          <w:highlight w:val="none"/>
        </w:rPr>
        <w:t>保证金一份，金额为人民币（大写）</w:t>
      </w:r>
      <w:r>
        <w:rPr>
          <w:rFonts w:hint="eastAsia" w:ascii="宋体" w:hAnsi="宋体"/>
          <w:color w:val="auto"/>
          <w:highlight w:val="none"/>
          <w:u w:val="single"/>
        </w:rPr>
        <w:t xml:space="preserve">      </w:t>
      </w:r>
      <w:r>
        <w:rPr>
          <w:rFonts w:hint="eastAsia" w:ascii="宋体" w:hAnsi="宋体"/>
          <w:color w:val="auto"/>
          <w:szCs w:val="21"/>
          <w:highlight w:val="none"/>
        </w:rPr>
        <w:t>元（</w:t>
      </w:r>
      <w:r>
        <w:rPr>
          <w:rFonts w:hint="eastAsia" w:ascii="宋体" w:hAnsi="宋体" w:cs="宋体"/>
          <w:color w:val="auto"/>
          <w:kern w:val="0"/>
          <w:szCs w:val="21"/>
          <w:highlight w:val="none"/>
        </w:rPr>
        <w:t>￥</w:t>
      </w:r>
      <w:r>
        <w:rPr>
          <w:rFonts w:hint="eastAsia" w:ascii="宋体" w:hAnsi="宋体"/>
          <w:color w:val="auto"/>
          <w:highlight w:val="none"/>
          <w:u w:val="single"/>
        </w:rPr>
        <w:t xml:space="preserve">       </w:t>
      </w:r>
      <w:r>
        <w:rPr>
          <w:rFonts w:hint="eastAsia" w:ascii="宋体" w:hAnsi="宋体"/>
          <w:color w:val="auto"/>
          <w:szCs w:val="21"/>
          <w:highlight w:val="none"/>
        </w:rPr>
        <w:t>）</w:t>
      </w:r>
      <w:r>
        <w:rPr>
          <w:rFonts w:hint="eastAsia" w:ascii="宋体" w:hAnsi="宋体" w:cs="宋体"/>
          <w:color w:val="auto"/>
          <w:szCs w:val="21"/>
          <w:highlight w:val="none"/>
        </w:rPr>
        <w:t>。</w:t>
      </w:r>
    </w:p>
    <w:p w14:paraId="68A8164E">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4．如我方中标：</w:t>
      </w:r>
    </w:p>
    <w:p w14:paraId="02F562A7">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(1)我方承诺在收到中标（成交）通知书后，在中标（成交）通知书规定的期限内，与你方按照竞争性磋商文件和我方的响应文件签订合同。</w:t>
      </w:r>
    </w:p>
    <w:p w14:paraId="00BBB37E">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(2)随同本磋商申请函递交的磋商申请函附录属于合同文件的组成部分。</w:t>
      </w:r>
    </w:p>
    <w:p w14:paraId="34CB3F21">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(3)我方承诺按照竞争性磋商文件规定向你方递交履约担保。</w:t>
      </w:r>
    </w:p>
    <w:p w14:paraId="168C36C0">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(4)我方承诺在合同约定的期限内完成并移交全部合同工程。</w:t>
      </w:r>
    </w:p>
    <w:p w14:paraId="6ADA7C1F">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(5)我方承诺不因施工组织设计方案发生变更而增加工程造价。</w:t>
      </w:r>
    </w:p>
    <w:p w14:paraId="36B754A3">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highlight w:val="none"/>
          <w:u w:val="single"/>
        </w:rPr>
        <w:t xml:space="preserve">                 </w:t>
      </w:r>
      <w:r>
        <w:rPr>
          <w:rFonts w:hint="eastAsia" w:ascii="宋体" w:hAnsi="宋体" w:cs="宋体"/>
          <w:color w:val="auto"/>
          <w:szCs w:val="21"/>
          <w:highlight w:val="none"/>
        </w:rPr>
        <w:t>（其他补充说明）。</w:t>
      </w:r>
    </w:p>
    <w:p w14:paraId="2254AD25">
      <w:pPr>
        <w:spacing w:line="360" w:lineRule="auto"/>
        <w:ind w:firstLine="420" w:firstLineChars="200"/>
        <w:jc w:val="left"/>
        <w:rPr>
          <w:rFonts w:hint="eastAsia" w:ascii="宋体" w:hAnsi="宋体"/>
          <w:color w:val="auto"/>
          <w:szCs w:val="21"/>
          <w:highlight w:val="none"/>
        </w:rPr>
      </w:pPr>
    </w:p>
    <w:p w14:paraId="1D179F68">
      <w:pPr>
        <w:spacing w:line="360" w:lineRule="auto"/>
        <w:ind w:firstLine="420" w:firstLineChars="200"/>
        <w:jc w:val="left"/>
        <w:rPr>
          <w:rFonts w:ascii="宋体"/>
          <w:color w:val="auto"/>
          <w:szCs w:val="21"/>
          <w:highlight w:val="none"/>
        </w:rPr>
      </w:pPr>
      <w:r>
        <w:rPr>
          <w:rFonts w:hint="eastAsia" w:ascii="宋体" w:hAnsi="宋体"/>
          <w:color w:val="auto"/>
          <w:szCs w:val="21"/>
          <w:highlight w:val="none"/>
        </w:rPr>
        <w:t>与本次磋商有关的正式通讯地址为：</w:t>
      </w:r>
    </w:p>
    <w:p w14:paraId="6C7D2EF9">
      <w:pPr>
        <w:ind w:firstLine="420" w:firstLineChars="200"/>
        <w:jc w:val="left"/>
        <w:rPr>
          <w:rFonts w:ascii="宋体"/>
          <w:color w:val="auto"/>
          <w:szCs w:val="21"/>
          <w:highlight w:val="none"/>
        </w:rPr>
      </w:pP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邮政编码：</w:t>
      </w:r>
      <w:r>
        <w:rPr>
          <w:rFonts w:ascii="宋体" w:hAnsi="宋体"/>
          <w:color w:val="auto"/>
          <w:szCs w:val="21"/>
          <w:highlight w:val="none"/>
          <w:u w:val="single"/>
        </w:rPr>
        <w:t xml:space="preserve">                </w:t>
      </w:r>
    </w:p>
    <w:p w14:paraId="0E89E428">
      <w:pPr>
        <w:ind w:firstLine="420" w:firstLineChars="200"/>
        <w:jc w:val="left"/>
        <w:rPr>
          <w:rFonts w:ascii="宋体"/>
          <w:color w:val="auto"/>
          <w:szCs w:val="21"/>
          <w:highlight w:val="none"/>
        </w:rPr>
      </w:pPr>
      <w:r>
        <w:rPr>
          <w:rFonts w:hint="eastAsia" w:ascii="宋体" w:hAnsi="宋体"/>
          <w:color w:val="auto"/>
          <w:szCs w:val="21"/>
          <w:highlight w:val="none"/>
        </w:rPr>
        <w:t>电</w:t>
      </w:r>
      <w:r>
        <w:rPr>
          <w:rFonts w:ascii="宋体" w:hAnsi="宋体"/>
          <w:color w:val="auto"/>
          <w:szCs w:val="21"/>
          <w:highlight w:val="none"/>
        </w:rPr>
        <w:t xml:space="preserve">    </w:t>
      </w:r>
      <w:r>
        <w:rPr>
          <w:rFonts w:hint="eastAsia" w:ascii="宋体" w:hAnsi="宋体"/>
          <w:color w:val="auto"/>
          <w:szCs w:val="21"/>
          <w:highlight w:val="none"/>
        </w:rPr>
        <w:t>话：</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r>
        <w:rPr>
          <w:rFonts w:hint="eastAsia" w:ascii="宋体" w:hAnsi="宋体"/>
          <w:color w:val="auto"/>
          <w:szCs w:val="21"/>
          <w:highlight w:val="none"/>
          <w:u w:val="single"/>
        </w:rPr>
        <w:t>　　　　　　　　</w:t>
      </w:r>
    </w:p>
    <w:p w14:paraId="0572EFC4">
      <w:pPr>
        <w:ind w:firstLine="420" w:firstLineChars="200"/>
        <w:jc w:val="left"/>
        <w:rPr>
          <w:rFonts w:ascii="宋体" w:hAnsi="宋体"/>
          <w:color w:val="auto"/>
          <w:szCs w:val="21"/>
          <w:highlight w:val="none"/>
          <w:u w:val="single"/>
        </w:rPr>
      </w:pPr>
      <w:r>
        <w:rPr>
          <w:rFonts w:hint="eastAsia" w:ascii="宋体" w:hAnsi="宋体"/>
          <w:color w:val="auto"/>
          <w:szCs w:val="21"/>
          <w:highlight w:val="none"/>
        </w:rPr>
        <w:t>开户名称：</w:t>
      </w:r>
      <w:r>
        <w:rPr>
          <w:rFonts w:ascii="宋体" w:hAnsi="宋体"/>
          <w:color w:val="auto"/>
          <w:szCs w:val="21"/>
          <w:highlight w:val="none"/>
          <w:u w:val="single"/>
        </w:rPr>
        <w:t xml:space="preserve">                                                    </w:t>
      </w:r>
    </w:p>
    <w:p w14:paraId="6D966597">
      <w:pPr>
        <w:ind w:firstLine="420" w:firstLineChars="200"/>
        <w:jc w:val="left"/>
        <w:rPr>
          <w:rFonts w:ascii="宋体" w:hAnsi="宋体"/>
          <w:color w:val="auto"/>
          <w:szCs w:val="21"/>
          <w:highlight w:val="none"/>
          <w:u w:val="single"/>
        </w:rPr>
      </w:pPr>
      <w:r>
        <w:rPr>
          <w:rFonts w:hint="eastAsia" w:ascii="宋体" w:hAnsi="宋体"/>
          <w:color w:val="auto"/>
          <w:szCs w:val="21"/>
          <w:highlight w:val="none"/>
        </w:rPr>
        <w:t>开户银行：</w:t>
      </w:r>
      <w:r>
        <w:rPr>
          <w:rFonts w:ascii="宋体" w:hAnsi="宋体"/>
          <w:color w:val="auto"/>
          <w:szCs w:val="21"/>
          <w:highlight w:val="none"/>
          <w:u w:val="single"/>
        </w:rPr>
        <w:t xml:space="preserve">                                                    </w:t>
      </w:r>
    </w:p>
    <w:p w14:paraId="37603286">
      <w:pPr>
        <w:ind w:firstLine="420" w:firstLineChars="200"/>
        <w:jc w:val="left"/>
        <w:rPr>
          <w:rFonts w:ascii="宋体" w:hAnsi="宋体"/>
          <w:color w:val="auto"/>
          <w:szCs w:val="21"/>
          <w:highlight w:val="none"/>
          <w:u w:val="single"/>
        </w:rPr>
      </w:pPr>
      <w:r>
        <w:rPr>
          <w:rFonts w:hint="eastAsia" w:ascii="宋体" w:hAnsi="宋体"/>
          <w:color w:val="auto"/>
          <w:szCs w:val="21"/>
          <w:highlight w:val="none"/>
          <w:lang w:val="en-US" w:eastAsia="zh-CN"/>
        </w:rPr>
        <w:t>账</w:t>
      </w:r>
      <w:r>
        <w:rPr>
          <w:rFonts w:ascii="宋体" w:hAnsi="宋体"/>
          <w:color w:val="auto"/>
          <w:szCs w:val="21"/>
          <w:highlight w:val="none"/>
        </w:rPr>
        <w:t xml:space="preserve">    </w:t>
      </w:r>
      <w:r>
        <w:rPr>
          <w:rFonts w:hint="eastAsia" w:ascii="宋体" w:hAnsi="宋体"/>
          <w:color w:val="auto"/>
          <w:szCs w:val="21"/>
          <w:highlight w:val="none"/>
        </w:rPr>
        <w:t>号：</w:t>
      </w:r>
      <w:r>
        <w:rPr>
          <w:rFonts w:ascii="宋体" w:hAnsi="宋体"/>
          <w:color w:val="auto"/>
          <w:szCs w:val="21"/>
          <w:highlight w:val="none"/>
          <w:u w:val="single"/>
        </w:rPr>
        <w:t xml:space="preserve">                                                    </w:t>
      </w:r>
    </w:p>
    <w:p w14:paraId="2013558E">
      <w:pPr>
        <w:ind w:firstLine="420" w:firstLineChars="200"/>
        <w:jc w:val="left"/>
        <w:rPr>
          <w:rFonts w:ascii="宋体"/>
          <w:color w:val="auto"/>
          <w:szCs w:val="21"/>
          <w:highlight w:val="none"/>
        </w:rPr>
      </w:pPr>
      <w:r>
        <w:rPr>
          <w:rFonts w:hint="eastAsia" w:ascii="宋体" w:hAnsi="宋体"/>
          <w:color w:val="auto"/>
          <w:szCs w:val="21"/>
          <w:highlight w:val="none"/>
        </w:rPr>
        <w:t>供应商：</w:t>
      </w:r>
      <w:r>
        <w:rPr>
          <w:rFonts w:ascii="宋体" w:hAnsi="宋体"/>
          <w:color w:val="auto"/>
          <w:szCs w:val="21"/>
          <w:highlight w:val="none"/>
          <w:u w:val="single"/>
        </w:rPr>
        <w:t xml:space="preserve">              </w:t>
      </w:r>
      <w:r>
        <w:rPr>
          <w:rFonts w:hint="eastAsia" w:ascii="宋体" w:hAnsi="宋体"/>
          <w:color w:val="auto"/>
          <w:szCs w:val="21"/>
          <w:highlight w:val="none"/>
          <w:u w:val="single"/>
        </w:rPr>
        <w:t>（全称）</w:t>
      </w:r>
      <w:r>
        <w:rPr>
          <w:rFonts w:ascii="宋体" w:hAnsi="宋体"/>
          <w:color w:val="auto"/>
          <w:szCs w:val="21"/>
          <w:highlight w:val="none"/>
          <w:u w:val="single"/>
        </w:rPr>
        <w:t xml:space="preserve">                     </w:t>
      </w:r>
      <w:r>
        <w:rPr>
          <w:rFonts w:hint="eastAsia" w:ascii="宋体" w:hAnsi="宋体"/>
          <w:color w:val="auto"/>
          <w:szCs w:val="21"/>
          <w:highlight w:val="none"/>
        </w:rPr>
        <w:t>（盖企业电子公章）</w:t>
      </w:r>
    </w:p>
    <w:p w14:paraId="4497E16A">
      <w:pPr>
        <w:ind w:firstLine="420" w:firstLineChars="200"/>
        <w:jc w:val="left"/>
        <w:rPr>
          <w:rFonts w:ascii="宋体"/>
          <w:color w:val="auto"/>
          <w:szCs w:val="21"/>
          <w:highlight w:val="none"/>
        </w:rPr>
      </w:pPr>
      <w:r>
        <w:rPr>
          <w:rFonts w:hint="eastAsia" w:ascii="宋体" w:hAnsi="宋体"/>
          <w:color w:val="auto"/>
          <w:szCs w:val="21"/>
          <w:highlight w:val="none"/>
        </w:rPr>
        <w:t>法定代表人：</w:t>
      </w:r>
      <w:r>
        <w:rPr>
          <w:rFonts w:ascii="宋体" w:hAnsi="宋体"/>
          <w:color w:val="auto"/>
          <w:szCs w:val="21"/>
          <w:highlight w:val="none"/>
          <w:u w:val="single"/>
        </w:rPr>
        <w:t xml:space="preserve">                             </w:t>
      </w:r>
      <w:r>
        <w:rPr>
          <w:rFonts w:hint="eastAsia" w:ascii="宋体" w:hAnsi="宋体"/>
          <w:color w:val="auto"/>
          <w:szCs w:val="21"/>
          <w:highlight w:val="none"/>
        </w:rPr>
        <w:t>（电子签名、章）</w:t>
      </w:r>
    </w:p>
    <w:p w14:paraId="0FB81F1D">
      <w:pPr>
        <w:ind w:firstLine="420" w:firstLineChars="200"/>
        <w:jc w:val="left"/>
        <w:rPr>
          <w:rFonts w:ascii="宋体" w:hAns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u w:val="single"/>
        </w:rPr>
        <w:t xml:space="preserve">            </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rPr>
        <w:t>日</w:t>
      </w:r>
    </w:p>
    <w:p w14:paraId="395FB283">
      <w:pPr>
        <w:rPr>
          <w:rFonts w:hint="eastAsia" w:ascii="宋体" w:hAnsi="宋体"/>
          <w:color w:val="auto"/>
          <w:szCs w:val="21"/>
          <w:highlight w:val="none"/>
        </w:rPr>
      </w:pPr>
      <w:r>
        <w:rPr>
          <w:rFonts w:hint="eastAsia" w:ascii="宋体" w:hAnsi="宋体"/>
          <w:color w:val="auto"/>
          <w:szCs w:val="21"/>
          <w:highlight w:val="none"/>
        </w:rPr>
        <w:br w:type="page"/>
      </w:r>
      <w:bookmarkStart w:id="1159" w:name="_Toc23828"/>
      <w:bookmarkStart w:id="1160" w:name="_Toc27775"/>
      <w:bookmarkStart w:id="1161" w:name="_Toc13461"/>
      <w:bookmarkStart w:id="1162" w:name="_Toc3684"/>
      <w:bookmarkStart w:id="1163" w:name="_Toc13822230"/>
    </w:p>
    <w:p w14:paraId="7A9984E5">
      <w:pPr>
        <w:jc w:val="center"/>
        <w:rPr>
          <w:rFonts w:hint="eastAsia" w:eastAsia="黑体"/>
          <w:color w:val="auto"/>
          <w:sz w:val="30"/>
          <w:szCs w:val="30"/>
          <w:highlight w:val="none"/>
        </w:rPr>
      </w:pPr>
      <w:r>
        <w:rPr>
          <w:rFonts w:hint="eastAsia" w:eastAsia="黑体"/>
          <w:color w:val="auto"/>
          <w:sz w:val="30"/>
          <w:szCs w:val="30"/>
          <w:highlight w:val="none"/>
        </w:rPr>
        <w:t>磋商申请函附录</w:t>
      </w:r>
      <w:bookmarkEnd w:id="1159"/>
      <w:bookmarkEnd w:id="1160"/>
    </w:p>
    <w:p w14:paraId="38DD9E9B">
      <w:pPr>
        <w:jc w:val="left"/>
        <w:rPr>
          <w:rFonts w:ascii="宋体" w:hAnsi="宋体"/>
          <w:color w:val="auto"/>
          <w:szCs w:val="21"/>
          <w:highlight w:val="none"/>
        </w:rPr>
      </w:pPr>
      <w:r>
        <w:rPr>
          <w:rFonts w:hint="eastAsia" w:ascii="宋体" w:hAnsi="宋体"/>
          <w:b/>
          <w:color w:val="auto"/>
          <w:szCs w:val="21"/>
          <w:highlight w:val="none"/>
        </w:rPr>
        <w:t>工程名称：</w:t>
      </w:r>
      <w:r>
        <w:rPr>
          <w:rFonts w:hint="eastAsia" w:ascii="宋体" w:hAnsi="宋体"/>
          <w:color w:val="auto"/>
          <w:highlight w:val="none"/>
          <w:u w:val="single"/>
        </w:rPr>
        <w:t>_____________________</w:t>
      </w:r>
      <w:r>
        <w:rPr>
          <w:rFonts w:hint="eastAsia" w:ascii="宋体" w:hAnsi="宋体"/>
          <w:color w:val="auto"/>
          <w:szCs w:val="21"/>
          <w:highlight w:val="none"/>
        </w:rPr>
        <w:t>（项目名称）</w:t>
      </w:r>
    </w:p>
    <w:tbl>
      <w:tblPr>
        <w:tblStyle w:val="2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2940"/>
        <w:gridCol w:w="1549"/>
        <w:gridCol w:w="2082"/>
        <w:gridCol w:w="1787"/>
      </w:tblGrid>
      <w:tr w14:paraId="5D3A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0B0191C8">
            <w:pPr>
              <w:spacing w:line="360" w:lineRule="auto"/>
              <w:jc w:val="center"/>
              <w:rPr>
                <w:rFonts w:ascii="宋体" w:hAnsi="宋体"/>
                <w:color w:val="auto"/>
                <w:szCs w:val="21"/>
                <w:highlight w:val="none"/>
              </w:rPr>
            </w:pPr>
            <w:r>
              <w:rPr>
                <w:rFonts w:hint="eastAsia" w:ascii="宋体" w:hAnsi="宋体"/>
                <w:color w:val="auto"/>
                <w:szCs w:val="21"/>
                <w:highlight w:val="none"/>
              </w:rPr>
              <w:t>序 号</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79C617D0">
            <w:pPr>
              <w:spacing w:line="360" w:lineRule="auto"/>
              <w:jc w:val="center"/>
              <w:rPr>
                <w:rFonts w:ascii="宋体" w:hAnsi="宋体"/>
                <w:color w:val="auto"/>
                <w:szCs w:val="21"/>
                <w:highlight w:val="none"/>
              </w:rPr>
            </w:pPr>
            <w:r>
              <w:rPr>
                <w:rFonts w:hint="eastAsia" w:ascii="宋体" w:hAnsi="宋体"/>
                <w:color w:val="auto"/>
                <w:szCs w:val="21"/>
                <w:highlight w:val="none"/>
              </w:rPr>
              <w:t>条款内容</w:t>
            </w:r>
          </w:p>
        </w:tc>
        <w:tc>
          <w:tcPr>
            <w:tcW w:w="1549" w:type="dxa"/>
            <w:tcBorders>
              <w:top w:val="single" w:color="auto" w:sz="4" w:space="0"/>
              <w:left w:val="single" w:color="auto" w:sz="4" w:space="0"/>
              <w:bottom w:val="single" w:color="auto" w:sz="4" w:space="0"/>
              <w:right w:val="single" w:color="auto" w:sz="4" w:space="0"/>
            </w:tcBorders>
            <w:noWrap w:val="0"/>
            <w:vAlign w:val="center"/>
          </w:tcPr>
          <w:p w14:paraId="0A068E7A">
            <w:pPr>
              <w:spacing w:line="360" w:lineRule="auto"/>
              <w:jc w:val="center"/>
              <w:rPr>
                <w:rFonts w:ascii="宋体" w:hAnsi="宋体"/>
                <w:color w:val="auto"/>
                <w:szCs w:val="21"/>
                <w:highlight w:val="none"/>
              </w:rPr>
            </w:pPr>
            <w:r>
              <w:rPr>
                <w:rFonts w:hint="eastAsia" w:ascii="宋体" w:hAnsi="宋体"/>
                <w:color w:val="auto"/>
                <w:szCs w:val="21"/>
                <w:highlight w:val="none"/>
              </w:rPr>
              <w:t>合同条款号</w:t>
            </w:r>
          </w:p>
        </w:tc>
        <w:tc>
          <w:tcPr>
            <w:tcW w:w="2082" w:type="dxa"/>
            <w:tcBorders>
              <w:top w:val="single" w:color="auto" w:sz="4" w:space="0"/>
              <w:left w:val="single" w:color="auto" w:sz="4" w:space="0"/>
              <w:bottom w:val="single" w:color="auto" w:sz="4" w:space="0"/>
              <w:right w:val="single" w:color="auto" w:sz="4" w:space="0"/>
            </w:tcBorders>
            <w:noWrap w:val="0"/>
            <w:vAlign w:val="center"/>
          </w:tcPr>
          <w:p w14:paraId="5AB16B3E">
            <w:pPr>
              <w:spacing w:line="360" w:lineRule="auto"/>
              <w:jc w:val="center"/>
              <w:rPr>
                <w:rFonts w:ascii="宋体" w:hAnsi="宋体"/>
                <w:color w:val="auto"/>
                <w:szCs w:val="21"/>
                <w:highlight w:val="none"/>
              </w:rPr>
            </w:pPr>
            <w:r>
              <w:rPr>
                <w:rFonts w:hint="eastAsia" w:ascii="宋体" w:hAnsi="宋体"/>
                <w:color w:val="auto"/>
                <w:szCs w:val="21"/>
                <w:highlight w:val="none"/>
              </w:rPr>
              <w:t>约定内容</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304ED33">
            <w:pPr>
              <w:spacing w:line="360" w:lineRule="auto"/>
              <w:jc w:val="center"/>
              <w:rPr>
                <w:rFonts w:ascii="宋体" w:hAnsi="宋体"/>
                <w:color w:val="auto"/>
                <w:szCs w:val="21"/>
                <w:highlight w:val="none"/>
              </w:rPr>
            </w:pPr>
            <w:r>
              <w:rPr>
                <w:rFonts w:hint="eastAsia" w:ascii="宋体" w:hAnsi="宋体"/>
                <w:color w:val="auto"/>
                <w:szCs w:val="21"/>
                <w:highlight w:val="none"/>
              </w:rPr>
              <w:t>备注</w:t>
            </w:r>
          </w:p>
        </w:tc>
      </w:tr>
      <w:tr w14:paraId="3CE6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11B3119E">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408EA734">
            <w:pPr>
              <w:spacing w:line="360" w:lineRule="auto"/>
              <w:jc w:val="center"/>
              <w:rPr>
                <w:rFonts w:ascii="宋体" w:hAnsi="宋体"/>
                <w:color w:val="auto"/>
                <w:szCs w:val="21"/>
                <w:highlight w:val="none"/>
              </w:rPr>
            </w:pPr>
            <w:r>
              <w:rPr>
                <w:rFonts w:hint="eastAsia" w:ascii="宋体" w:hAnsi="宋体"/>
                <w:color w:val="auto"/>
                <w:szCs w:val="21"/>
                <w:highlight w:val="none"/>
              </w:rPr>
              <w:t>项目负责人</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456DF7D6">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353E6B12">
            <w:pPr>
              <w:spacing w:line="360" w:lineRule="auto"/>
              <w:jc w:val="left"/>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79452E3C">
            <w:pPr>
              <w:spacing w:line="360" w:lineRule="auto"/>
              <w:jc w:val="center"/>
              <w:rPr>
                <w:rFonts w:ascii="宋体" w:hAnsi="宋体"/>
                <w:color w:val="auto"/>
                <w:szCs w:val="21"/>
                <w:highlight w:val="none"/>
              </w:rPr>
            </w:pPr>
          </w:p>
        </w:tc>
      </w:tr>
      <w:tr w14:paraId="04DF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2972F6B0">
            <w:pPr>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47C0DA39">
            <w:pPr>
              <w:spacing w:line="360" w:lineRule="auto"/>
              <w:jc w:val="center"/>
              <w:rPr>
                <w:rFonts w:ascii="宋体" w:hAnsi="宋体"/>
                <w:color w:val="auto"/>
                <w:szCs w:val="21"/>
                <w:highlight w:val="none"/>
              </w:rPr>
            </w:pPr>
            <w:r>
              <w:rPr>
                <w:rFonts w:hint="eastAsia" w:ascii="宋体" w:hAnsi="宋体"/>
                <w:color w:val="auto"/>
                <w:szCs w:val="21"/>
                <w:highlight w:val="none"/>
              </w:rPr>
              <w:t>合同履行期限（工期）</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53604AB9">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380FAC4A">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38CC710E">
            <w:pPr>
              <w:spacing w:line="360" w:lineRule="auto"/>
              <w:jc w:val="center"/>
              <w:rPr>
                <w:rFonts w:ascii="宋体" w:hAnsi="宋体"/>
                <w:color w:val="auto"/>
                <w:szCs w:val="21"/>
                <w:highlight w:val="none"/>
              </w:rPr>
            </w:pPr>
          </w:p>
        </w:tc>
      </w:tr>
      <w:tr w14:paraId="06EF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6B5C503B">
            <w:pPr>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71C2A54A">
            <w:pPr>
              <w:spacing w:line="360" w:lineRule="auto"/>
              <w:jc w:val="center"/>
              <w:rPr>
                <w:rFonts w:hint="eastAsia" w:ascii="宋体" w:hAnsi="宋体"/>
                <w:color w:val="auto"/>
                <w:szCs w:val="21"/>
                <w:highlight w:val="none"/>
              </w:rPr>
            </w:pPr>
            <w:r>
              <w:rPr>
                <w:rFonts w:hint="eastAsia" w:ascii="宋体" w:hAnsi="宋体"/>
                <w:color w:val="auto"/>
                <w:szCs w:val="21"/>
                <w:highlight w:val="none"/>
              </w:rPr>
              <w:t>质量标准</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05D3C390">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7A70A856">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20512393">
            <w:pPr>
              <w:spacing w:line="360" w:lineRule="auto"/>
              <w:jc w:val="center"/>
              <w:rPr>
                <w:rFonts w:ascii="宋体" w:hAnsi="宋体"/>
                <w:color w:val="auto"/>
                <w:szCs w:val="21"/>
                <w:highlight w:val="none"/>
              </w:rPr>
            </w:pPr>
          </w:p>
        </w:tc>
      </w:tr>
      <w:tr w14:paraId="2623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40FB9E4C">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00ABBB69">
            <w:pPr>
              <w:spacing w:line="360" w:lineRule="auto"/>
              <w:jc w:val="center"/>
              <w:rPr>
                <w:rFonts w:ascii="宋体" w:hAnsi="宋体"/>
                <w:color w:val="auto"/>
                <w:szCs w:val="21"/>
                <w:highlight w:val="none"/>
              </w:rPr>
            </w:pPr>
            <w:r>
              <w:rPr>
                <w:rFonts w:ascii="宋体" w:hAnsi="宋体"/>
                <w:color w:val="auto"/>
                <w:szCs w:val="21"/>
                <w:highlight w:val="none"/>
              </w:rPr>
              <w:t>付款方式</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33EA0F3C">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3175A021">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09D21A04">
            <w:pPr>
              <w:spacing w:line="360" w:lineRule="auto"/>
              <w:jc w:val="center"/>
              <w:rPr>
                <w:rFonts w:ascii="宋体" w:hAnsi="宋体"/>
                <w:color w:val="auto"/>
                <w:szCs w:val="21"/>
                <w:highlight w:val="none"/>
              </w:rPr>
            </w:pPr>
          </w:p>
        </w:tc>
      </w:tr>
      <w:tr w14:paraId="1ECC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01DECB1B">
            <w:pPr>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556CF22D">
            <w:pPr>
              <w:spacing w:line="360" w:lineRule="auto"/>
              <w:jc w:val="center"/>
              <w:rPr>
                <w:rFonts w:ascii="宋体" w:hAnsi="宋体"/>
                <w:color w:val="auto"/>
                <w:szCs w:val="21"/>
                <w:highlight w:val="none"/>
              </w:rPr>
            </w:pPr>
            <w:r>
              <w:rPr>
                <w:rFonts w:hint="eastAsia" w:ascii="宋体" w:hAnsi="宋体"/>
                <w:color w:val="auto"/>
                <w:szCs w:val="21"/>
                <w:highlight w:val="none"/>
              </w:rPr>
              <w:t>结算方式</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2DCFE67D">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0BA1F109">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2F4D7071">
            <w:pPr>
              <w:spacing w:line="360" w:lineRule="auto"/>
              <w:jc w:val="center"/>
              <w:rPr>
                <w:rFonts w:ascii="宋体" w:hAnsi="宋体"/>
                <w:color w:val="auto"/>
                <w:szCs w:val="21"/>
                <w:highlight w:val="none"/>
              </w:rPr>
            </w:pPr>
          </w:p>
        </w:tc>
      </w:tr>
      <w:tr w14:paraId="78D0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1DF4AC63">
            <w:pPr>
              <w:spacing w:line="360" w:lineRule="auto"/>
              <w:jc w:val="center"/>
              <w:rPr>
                <w:rFonts w:ascii="宋体" w:hAnsi="宋体"/>
                <w:color w:val="auto"/>
                <w:szCs w:val="21"/>
                <w:highlight w:val="none"/>
              </w:rPr>
            </w:pPr>
            <w:r>
              <w:rPr>
                <w:rFonts w:hint="eastAsia" w:ascii="宋体" w:hAnsi="宋体"/>
                <w:color w:val="auto"/>
                <w:szCs w:val="21"/>
                <w:highlight w:val="none"/>
              </w:rPr>
              <w:t>6</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13461EA4">
            <w:pPr>
              <w:spacing w:line="360" w:lineRule="auto"/>
              <w:jc w:val="center"/>
              <w:rPr>
                <w:rFonts w:ascii="宋体" w:hAnsi="宋体"/>
                <w:color w:val="auto"/>
                <w:szCs w:val="21"/>
                <w:highlight w:val="none"/>
              </w:rPr>
            </w:pPr>
            <w:r>
              <w:rPr>
                <w:rFonts w:hint="eastAsia" w:ascii="宋体" w:hAnsi="宋体"/>
                <w:color w:val="auto"/>
                <w:szCs w:val="21"/>
                <w:highlight w:val="none"/>
              </w:rPr>
              <w:t>合同价格形式</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21B2C160">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64356399">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6D01978A">
            <w:pPr>
              <w:spacing w:line="360" w:lineRule="auto"/>
              <w:jc w:val="center"/>
              <w:rPr>
                <w:rFonts w:ascii="宋体" w:hAnsi="宋体"/>
                <w:color w:val="auto"/>
                <w:szCs w:val="21"/>
                <w:highlight w:val="none"/>
              </w:rPr>
            </w:pPr>
          </w:p>
        </w:tc>
      </w:tr>
      <w:tr w14:paraId="52F9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512D05F1">
            <w:pPr>
              <w:spacing w:line="360" w:lineRule="auto"/>
              <w:jc w:val="center"/>
              <w:rPr>
                <w:rFonts w:ascii="宋体" w:hAnsi="宋体"/>
                <w:color w:val="auto"/>
                <w:szCs w:val="21"/>
                <w:highlight w:val="none"/>
              </w:rPr>
            </w:pPr>
            <w:r>
              <w:rPr>
                <w:rFonts w:hint="eastAsia" w:ascii="宋体" w:hAnsi="宋体"/>
                <w:color w:val="auto"/>
                <w:szCs w:val="21"/>
                <w:highlight w:val="none"/>
              </w:rPr>
              <w:t>7</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4BC79D43">
            <w:pPr>
              <w:spacing w:line="360" w:lineRule="auto"/>
              <w:jc w:val="center"/>
              <w:rPr>
                <w:rFonts w:ascii="宋体" w:hAnsi="宋体"/>
                <w:color w:val="auto"/>
                <w:szCs w:val="21"/>
                <w:highlight w:val="none"/>
              </w:rPr>
            </w:pPr>
            <w:r>
              <w:rPr>
                <w:rFonts w:hint="eastAsia" w:ascii="宋体" w:hAnsi="宋体"/>
                <w:color w:val="auto"/>
                <w:szCs w:val="21"/>
                <w:highlight w:val="none"/>
              </w:rPr>
              <w:t>质量保证金</w:t>
            </w: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0ABA6820">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6B2994E6">
            <w:pPr>
              <w:spacing w:line="360" w:lineRule="auto"/>
              <w:jc w:val="left"/>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0BA2FE6B">
            <w:pPr>
              <w:spacing w:line="360" w:lineRule="auto"/>
              <w:jc w:val="center"/>
              <w:rPr>
                <w:rFonts w:ascii="宋体" w:hAnsi="宋体"/>
                <w:color w:val="auto"/>
                <w:szCs w:val="21"/>
                <w:highlight w:val="none"/>
              </w:rPr>
            </w:pPr>
          </w:p>
        </w:tc>
      </w:tr>
      <w:tr w14:paraId="3A35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5CAF6A1F">
            <w:pPr>
              <w:spacing w:line="360" w:lineRule="auto"/>
              <w:jc w:val="center"/>
              <w:rPr>
                <w:rFonts w:ascii="宋体" w:hAnsi="宋体"/>
                <w:color w:val="auto"/>
                <w:szCs w:val="21"/>
                <w:highlight w:val="none"/>
              </w:rPr>
            </w:pPr>
            <w:r>
              <w:rPr>
                <w:rFonts w:hint="eastAsia" w:ascii="宋体" w:hAnsi="宋体"/>
                <w:color w:val="auto"/>
                <w:szCs w:val="21"/>
                <w:highlight w:val="none"/>
              </w:rPr>
              <w:t>8</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46C7A5DE">
            <w:pPr>
              <w:spacing w:line="360" w:lineRule="auto"/>
              <w:jc w:val="left"/>
              <w:rPr>
                <w:rFonts w:ascii="宋体" w:hAnsi="宋体"/>
                <w:color w:val="auto"/>
                <w:szCs w:val="21"/>
                <w:highlight w:val="none"/>
              </w:rPr>
            </w:pP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0CD39D90">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4016F8F7">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2FF4428B">
            <w:pPr>
              <w:spacing w:line="360" w:lineRule="auto"/>
              <w:jc w:val="center"/>
              <w:rPr>
                <w:rFonts w:ascii="宋体" w:hAnsi="宋体"/>
                <w:color w:val="auto"/>
                <w:szCs w:val="21"/>
                <w:highlight w:val="none"/>
              </w:rPr>
            </w:pPr>
          </w:p>
        </w:tc>
      </w:tr>
      <w:tr w14:paraId="6F10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431BA22F">
            <w:pPr>
              <w:spacing w:line="360" w:lineRule="auto"/>
              <w:jc w:val="center"/>
              <w:rPr>
                <w:rFonts w:ascii="宋体" w:hAnsi="宋体"/>
                <w:color w:val="auto"/>
                <w:szCs w:val="21"/>
                <w:highlight w:val="none"/>
              </w:rPr>
            </w:pPr>
            <w:r>
              <w:rPr>
                <w:rFonts w:hint="eastAsia" w:ascii="宋体" w:hAnsi="宋体"/>
                <w:color w:val="auto"/>
                <w:szCs w:val="21"/>
                <w:highlight w:val="none"/>
              </w:rPr>
              <w:t>9</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075423CB">
            <w:pPr>
              <w:spacing w:line="360" w:lineRule="auto"/>
              <w:jc w:val="left"/>
              <w:rPr>
                <w:rFonts w:ascii="宋体" w:hAnsi="宋体"/>
                <w:color w:val="auto"/>
                <w:szCs w:val="21"/>
                <w:highlight w:val="none"/>
              </w:rPr>
            </w:pP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15E28964">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6E2829F9">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BF2DDD6">
            <w:pPr>
              <w:spacing w:line="360" w:lineRule="auto"/>
              <w:jc w:val="center"/>
              <w:rPr>
                <w:rFonts w:ascii="宋体" w:hAnsi="宋体"/>
                <w:color w:val="auto"/>
                <w:szCs w:val="21"/>
                <w:highlight w:val="none"/>
              </w:rPr>
            </w:pPr>
          </w:p>
        </w:tc>
      </w:tr>
      <w:tr w14:paraId="3186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73317250">
            <w:pPr>
              <w:spacing w:line="360" w:lineRule="auto"/>
              <w:jc w:val="center"/>
              <w:rPr>
                <w:rFonts w:ascii="宋体" w:hAnsi="宋体"/>
                <w:color w:val="auto"/>
                <w:szCs w:val="21"/>
                <w:highlight w:val="none"/>
              </w:rPr>
            </w:pPr>
            <w:r>
              <w:rPr>
                <w:rFonts w:hint="eastAsia" w:ascii="宋体" w:hAnsi="宋体"/>
                <w:color w:val="auto"/>
                <w:szCs w:val="21"/>
                <w:highlight w:val="none"/>
              </w:rPr>
              <w:t>10</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09317B3C">
            <w:pPr>
              <w:spacing w:line="360" w:lineRule="auto"/>
              <w:jc w:val="left"/>
              <w:rPr>
                <w:rFonts w:ascii="宋体" w:hAnsi="宋体"/>
                <w:color w:val="auto"/>
                <w:szCs w:val="21"/>
                <w:highlight w:val="none"/>
              </w:rPr>
            </w:pP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0A7CD281">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1D9A32B8">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62F728DD">
            <w:pPr>
              <w:spacing w:line="360" w:lineRule="auto"/>
              <w:jc w:val="center"/>
              <w:rPr>
                <w:rFonts w:ascii="宋体" w:hAnsi="宋体"/>
                <w:color w:val="auto"/>
                <w:szCs w:val="21"/>
                <w:highlight w:val="none"/>
              </w:rPr>
            </w:pPr>
          </w:p>
        </w:tc>
      </w:tr>
      <w:tr w14:paraId="4A60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69A71416">
            <w:pPr>
              <w:spacing w:line="360" w:lineRule="auto"/>
              <w:jc w:val="center"/>
              <w:rPr>
                <w:rFonts w:ascii="宋体" w:hAnsi="宋体"/>
                <w:color w:val="auto"/>
                <w:szCs w:val="21"/>
                <w:highlight w:val="none"/>
              </w:rPr>
            </w:pPr>
            <w:r>
              <w:rPr>
                <w:rFonts w:hint="eastAsia" w:ascii="宋体" w:hAnsi="宋体"/>
                <w:color w:val="auto"/>
                <w:szCs w:val="21"/>
                <w:highlight w:val="none"/>
              </w:rPr>
              <w:t>11</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0BAFA05D">
            <w:pPr>
              <w:spacing w:line="360" w:lineRule="auto"/>
              <w:jc w:val="left"/>
              <w:rPr>
                <w:rFonts w:ascii="宋体" w:hAnsi="宋体"/>
                <w:color w:val="auto"/>
                <w:szCs w:val="21"/>
                <w:highlight w:val="none"/>
              </w:rPr>
            </w:pP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69A7B13D">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190AF180">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6BD09BA4">
            <w:pPr>
              <w:spacing w:line="360" w:lineRule="auto"/>
              <w:jc w:val="center"/>
              <w:rPr>
                <w:rFonts w:ascii="宋体" w:hAnsi="宋体"/>
                <w:color w:val="auto"/>
                <w:szCs w:val="21"/>
                <w:highlight w:val="none"/>
              </w:rPr>
            </w:pPr>
          </w:p>
        </w:tc>
      </w:tr>
      <w:tr w14:paraId="70A6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2776A6F5">
            <w:pPr>
              <w:spacing w:line="360" w:lineRule="auto"/>
              <w:jc w:val="center"/>
              <w:rPr>
                <w:rFonts w:ascii="宋体" w:hAnsi="宋体"/>
                <w:color w:val="auto"/>
                <w:szCs w:val="21"/>
                <w:highlight w:val="none"/>
              </w:rPr>
            </w:pPr>
            <w:r>
              <w:rPr>
                <w:rFonts w:hint="eastAsia" w:ascii="宋体" w:hAnsi="宋体"/>
                <w:color w:val="auto"/>
                <w:szCs w:val="21"/>
                <w:highlight w:val="none"/>
              </w:rPr>
              <w:t>12</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171D74A8">
            <w:pPr>
              <w:spacing w:line="360" w:lineRule="auto"/>
              <w:jc w:val="left"/>
              <w:rPr>
                <w:rFonts w:ascii="宋体" w:hAnsi="宋体"/>
                <w:color w:val="auto"/>
                <w:szCs w:val="21"/>
                <w:highlight w:val="none"/>
              </w:rPr>
            </w:pP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602BD848">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1DD75A20">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338B7F71">
            <w:pPr>
              <w:spacing w:line="360" w:lineRule="auto"/>
              <w:jc w:val="center"/>
              <w:rPr>
                <w:rFonts w:ascii="宋体" w:hAnsi="宋体"/>
                <w:color w:val="auto"/>
                <w:szCs w:val="21"/>
                <w:highlight w:val="none"/>
              </w:rPr>
            </w:pPr>
          </w:p>
        </w:tc>
      </w:tr>
      <w:tr w14:paraId="795B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036967D9">
            <w:pPr>
              <w:spacing w:line="360" w:lineRule="auto"/>
              <w:jc w:val="center"/>
              <w:rPr>
                <w:rFonts w:ascii="宋体" w:hAnsi="宋体"/>
                <w:color w:val="auto"/>
                <w:szCs w:val="21"/>
                <w:highlight w:val="none"/>
              </w:rPr>
            </w:pPr>
          </w:p>
        </w:tc>
        <w:tc>
          <w:tcPr>
            <w:tcW w:w="2940" w:type="dxa"/>
            <w:tcBorders>
              <w:top w:val="single" w:color="auto" w:sz="4" w:space="0"/>
              <w:left w:val="single" w:color="auto" w:sz="4" w:space="0"/>
              <w:bottom w:val="single" w:color="auto" w:sz="4" w:space="0"/>
              <w:right w:val="single" w:color="auto" w:sz="4" w:space="0"/>
            </w:tcBorders>
            <w:noWrap w:val="0"/>
            <w:vAlign w:val="center"/>
          </w:tcPr>
          <w:p w14:paraId="54E42878">
            <w:pPr>
              <w:spacing w:line="360" w:lineRule="auto"/>
              <w:jc w:val="left"/>
              <w:rPr>
                <w:rFonts w:ascii="宋体" w:hAnsi="宋体"/>
                <w:color w:val="auto"/>
                <w:szCs w:val="21"/>
                <w:highlight w:val="none"/>
              </w:rPr>
            </w:pPr>
          </w:p>
        </w:tc>
        <w:tc>
          <w:tcPr>
            <w:tcW w:w="1549" w:type="dxa"/>
            <w:tcBorders>
              <w:top w:val="single" w:color="auto" w:sz="4" w:space="0"/>
              <w:left w:val="single" w:color="auto" w:sz="4" w:space="0"/>
              <w:bottom w:val="single" w:color="auto" w:sz="4" w:space="0"/>
              <w:right w:val="single" w:color="auto" w:sz="4" w:space="0"/>
            </w:tcBorders>
            <w:noWrap w:val="0"/>
            <w:tcMar>
              <w:top w:w="0" w:type="dxa"/>
              <w:left w:w="170" w:type="dxa"/>
              <w:bottom w:w="0" w:type="dxa"/>
              <w:right w:w="108" w:type="dxa"/>
            </w:tcMar>
            <w:vAlign w:val="center"/>
          </w:tcPr>
          <w:p w14:paraId="39A22F98">
            <w:pPr>
              <w:spacing w:line="360" w:lineRule="auto"/>
              <w:jc w:val="left"/>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26B66E1E">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759F945A">
            <w:pPr>
              <w:spacing w:line="360" w:lineRule="auto"/>
              <w:jc w:val="center"/>
              <w:rPr>
                <w:rFonts w:ascii="宋体" w:hAnsi="宋体"/>
                <w:color w:val="auto"/>
                <w:szCs w:val="21"/>
                <w:highlight w:val="none"/>
              </w:rPr>
            </w:pPr>
          </w:p>
        </w:tc>
      </w:tr>
      <w:tr w14:paraId="0995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 w:type="dxa"/>
            <w:tcBorders>
              <w:top w:val="single" w:color="auto" w:sz="4" w:space="0"/>
              <w:left w:val="single" w:color="auto" w:sz="4" w:space="0"/>
              <w:bottom w:val="single" w:color="auto" w:sz="4" w:space="0"/>
              <w:right w:val="single" w:color="auto" w:sz="4" w:space="0"/>
            </w:tcBorders>
            <w:noWrap w:val="0"/>
            <w:vAlign w:val="center"/>
          </w:tcPr>
          <w:p w14:paraId="218B1D22">
            <w:pPr>
              <w:spacing w:line="360" w:lineRule="auto"/>
              <w:jc w:val="center"/>
              <w:rPr>
                <w:rFonts w:ascii="宋体" w:hAnsi="宋体"/>
                <w:color w:val="auto"/>
                <w:szCs w:val="21"/>
                <w:highlight w:val="none"/>
              </w:rPr>
            </w:pPr>
            <w:r>
              <w:rPr>
                <w:rFonts w:hint="eastAsia" w:ascii="宋体" w:hAnsi="宋体"/>
                <w:color w:val="auto"/>
                <w:szCs w:val="21"/>
                <w:highlight w:val="none"/>
              </w:rPr>
              <w:t>……</w:t>
            </w:r>
          </w:p>
        </w:tc>
        <w:tc>
          <w:tcPr>
            <w:tcW w:w="2940" w:type="dxa"/>
            <w:tcBorders>
              <w:top w:val="single" w:color="auto" w:sz="4" w:space="0"/>
              <w:left w:val="single" w:color="auto" w:sz="4" w:space="0"/>
              <w:bottom w:val="single" w:color="auto" w:sz="4" w:space="0"/>
              <w:right w:val="single" w:color="auto" w:sz="4" w:space="0"/>
            </w:tcBorders>
            <w:noWrap w:val="0"/>
            <w:vAlign w:val="center"/>
          </w:tcPr>
          <w:p w14:paraId="1ABAD886">
            <w:pPr>
              <w:spacing w:line="360" w:lineRule="auto"/>
              <w:jc w:val="center"/>
              <w:rPr>
                <w:rFonts w:ascii="宋体" w:hAnsi="宋体"/>
                <w:color w:val="auto"/>
                <w:szCs w:val="21"/>
                <w:highlight w:val="none"/>
              </w:rPr>
            </w:pPr>
            <w:r>
              <w:rPr>
                <w:rFonts w:hint="eastAsia" w:ascii="宋体" w:hAnsi="宋体"/>
                <w:color w:val="auto"/>
                <w:szCs w:val="21"/>
                <w:highlight w:val="none"/>
              </w:rPr>
              <w:t>……</w:t>
            </w:r>
          </w:p>
        </w:tc>
        <w:tc>
          <w:tcPr>
            <w:tcW w:w="1549" w:type="dxa"/>
            <w:tcBorders>
              <w:top w:val="single" w:color="auto" w:sz="4" w:space="0"/>
              <w:left w:val="single" w:color="auto" w:sz="4" w:space="0"/>
              <w:bottom w:val="single" w:color="auto" w:sz="4" w:space="0"/>
              <w:right w:val="single" w:color="auto" w:sz="4" w:space="0"/>
            </w:tcBorders>
            <w:noWrap w:val="0"/>
            <w:vAlign w:val="center"/>
          </w:tcPr>
          <w:p w14:paraId="4EBCE3C1">
            <w:pPr>
              <w:spacing w:line="360" w:lineRule="auto"/>
              <w:jc w:val="center"/>
              <w:rPr>
                <w:rFonts w:ascii="宋体" w:hAnsi="宋体"/>
                <w:color w:val="auto"/>
                <w:szCs w:val="21"/>
                <w:highlight w:val="none"/>
              </w:rPr>
            </w:pPr>
          </w:p>
        </w:tc>
        <w:tc>
          <w:tcPr>
            <w:tcW w:w="2082" w:type="dxa"/>
            <w:tcBorders>
              <w:top w:val="single" w:color="auto" w:sz="4" w:space="0"/>
              <w:left w:val="single" w:color="auto" w:sz="4" w:space="0"/>
              <w:bottom w:val="single" w:color="auto" w:sz="4" w:space="0"/>
              <w:right w:val="single" w:color="auto" w:sz="4" w:space="0"/>
            </w:tcBorders>
            <w:noWrap w:val="0"/>
            <w:vAlign w:val="center"/>
          </w:tcPr>
          <w:p w14:paraId="043925C3">
            <w:pPr>
              <w:spacing w:line="360" w:lineRule="auto"/>
              <w:jc w:val="center"/>
              <w:rPr>
                <w:rFonts w:ascii="宋体" w:hAnsi="宋体"/>
                <w:color w:val="auto"/>
                <w:szCs w:val="21"/>
                <w:highlight w:val="none"/>
              </w:rPr>
            </w:pPr>
          </w:p>
        </w:tc>
        <w:tc>
          <w:tcPr>
            <w:tcW w:w="1787" w:type="dxa"/>
            <w:tcBorders>
              <w:top w:val="single" w:color="auto" w:sz="4" w:space="0"/>
              <w:left w:val="single" w:color="auto" w:sz="4" w:space="0"/>
              <w:bottom w:val="single" w:color="auto" w:sz="4" w:space="0"/>
              <w:right w:val="single" w:color="auto" w:sz="4" w:space="0"/>
            </w:tcBorders>
            <w:noWrap w:val="0"/>
            <w:vAlign w:val="center"/>
          </w:tcPr>
          <w:p w14:paraId="6F863F12">
            <w:pPr>
              <w:spacing w:line="360" w:lineRule="auto"/>
              <w:jc w:val="center"/>
              <w:rPr>
                <w:rFonts w:ascii="宋体" w:hAnsi="宋体"/>
                <w:color w:val="auto"/>
                <w:szCs w:val="21"/>
                <w:highlight w:val="none"/>
              </w:rPr>
            </w:pPr>
          </w:p>
        </w:tc>
      </w:tr>
      <w:tr w14:paraId="16275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86" w:type="dxa"/>
            <w:gridSpan w:val="5"/>
            <w:tcBorders>
              <w:top w:val="single" w:color="auto" w:sz="4" w:space="0"/>
              <w:left w:val="single" w:color="auto" w:sz="4" w:space="0"/>
              <w:bottom w:val="single" w:color="auto" w:sz="4" w:space="0"/>
              <w:right w:val="single" w:color="auto" w:sz="4" w:space="0"/>
            </w:tcBorders>
            <w:noWrap w:val="0"/>
            <w:vAlign w:val="center"/>
          </w:tcPr>
          <w:p w14:paraId="314CADCD">
            <w:pPr>
              <w:spacing w:line="360" w:lineRule="auto"/>
              <w:jc w:val="left"/>
              <w:rPr>
                <w:rFonts w:ascii="宋体" w:hAnsi="宋体"/>
                <w:color w:val="auto"/>
                <w:szCs w:val="21"/>
                <w:highlight w:val="none"/>
              </w:rPr>
            </w:pPr>
            <w:r>
              <w:rPr>
                <w:rFonts w:hint="eastAsia" w:ascii="宋体" w:hAnsi="宋体"/>
                <w:color w:val="auto"/>
                <w:szCs w:val="21"/>
                <w:highlight w:val="none"/>
              </w:rPr>
              <w:t>备注：</w:t>
            </w:r>
            <w:r>
              <w:rPr>
                <w:rFonts w:hint="eastAsia"/>
                <w:color w:val="auto"/>
                <w:szCs w:val="21"/>
                <w:highlight w:val="none"/>
              </w:rPr>
              <w:t>供应商</w:t>
            </w:r>
            <w:r>
              <w:rPr>
                <w:rFonts w:hint="eastAsia" w:ascii="宋体" w:hAnsi="宋体"/>
                <w:color w:val="auto"/>
                <w:szCs w:val="21"/>
                <w:highlight w:val="none"/>
              </w:rPr>
              <w:t>在响应</w:t>
            </w:r>
            <w:r>
              <w:rPr>
                <w:rFonts w:hint="eastAsia"/>
                <w:color w:val="auto"/>
                <w:szCs w:val="21"/>
                <w:highlight w:val="none"/>
              </w:rPr>
              <w:t>竞争性磋商文件</w:t>
            </w:r>
            <w:r>
              <w:rPr>
                <w:rFonts w:hint="eastAsia" w:ascii="宋体" w:hAnsi="宋体"/>
                <w:color w:val="auto"/>
                <w:szCs w:val="21"/>
                <w:highlight w:val="none"/>
              </w:rPr>
              <w:t>中规定的实质性要求和条件的基础上，可做出其他有利于</w:t>
            </w:r>
            <w:r>
              <w:rPr>
                <w:rFonts w:hint="eastAsia"/>
                <w:color w:val="auto"/>
                <w:szCs w:val="21"/>
                <w:highlight w:val="none"/>
              </w:rPr>
              <w:t>采购人</w:t>
            </w:r>
            <w:r>
              <w:rPr>
                <w:rFonts w:hint="eastAsia" w:ascii="宋体" w:hAnsi="宋体"/>
                <w:color w:val="auto"/>
                <w:szCs w:val="21"/>
                <w:highlight w:val="none"/>
              </w:rPr>
              <w:t>的承诺。此类承诺可在本表中予以补充填写。</w:t>
            </w:r>
          </w:p>
        </w:tc>
      </w:tr>
    </w:tbl>
    <w:p w14:paraId="20843E56">
      <w:pPr>
        <w:pStyle w:val="12"/>
        <w:spacing w:line="600" w:lineRule="auto"/>
        <w:rPr>
          <w:rFonts w:ascii="Times New Roman"/>
          <w:color w:val="auto"/>
          <w:highlight w:val="none"/>
        </w:rPr>
      </w:pPr>
      <w:r>
        <w:rPr>
          <w:rFonts w:ascii="Times New Roman"/>
          <w:color w:val="auto"/>
          <w:highlight w:val="none"/>
        </w:rPr>
        <w:t>供应商：</w:t>
      </w:r>
      <w:r>
        <w:rPr>
          <w:rFonts w:ascii="Times New Roman"/>
          <w:color w:val="auto"/>
          <w:highlight w:val="none"/>
          <w:u w:val="single"/>
        </w:rPr>
        <w:t>（盖企业电子公章）</w:t>
      </w:r>
    </w:p>
    <w:p w14:paraId="2789EA36">
      <w:pPr>
        <w:pStyle w:val="12"/>
        <w:spacing w:line="600" w:lineRule="auto"/>
        <w:rPr>
          <w:rFonts w:ascii="Times New Roman"/>
          <w:color w:val="auto"/>
          <w:highlight w:val="none"/>
        </w:rPr>
      </w:pPr>
      <w:r>
        <w:rPr>
          <w:rFonts w:ascii="Times New Roman"/>
          <w:color w:val="auto"/>
          <w:highlight w:val="none"/>
        </w:rPr>
        <w:t>法定代表人：</w:t>
      </w:r>
      <w:r>
        <w:rPr>
          <w:rFonts w:ascii="Times New Roman"/>
          <w:color w:val="auto"/>
          <w:highlight w:val="none"/>
          <w:u w:val="single"/>
        </w:rPr>
        <w:t>（</w:t>
      </w:r>
      <w:r>
        <w:rPr>
          <w:rFonts w:hint="eastAsia" w:ascii="Times New Roman"/>
          <w:color w:val="auto"/>
          <w:highlight w:val="none"/>
          <w:u w:val="single"/>
        </w:rPr>
        <w:t>电子签名/章</w:t>
      </w:r>
      <w:r>
        <w:rPr>
          <w:rFonts w:ascii="Times New Roman"/>
          <w:color w:val="auto"/>
          <w:highlight w:val="none"/>
          <w:u w:val="single"/>
        </w:rPr>
        <w:t>）</w:t>
      </w:r>
    </w:p>
    <w:p w14:paraId="76DD51D9">
      <w:pPr>
        <w:spacing w:line="360" w:lineRule="auto"/>
        <w:rPr>
          <w:color w:val="auto"/>
          <w:szCs w:val="21"/>
          <w:highlight w:val="none"/>
        </w:rPr>
      </w:pPr>
      <w:r>
        <w:rPr>
          <w:color w:val="auto"/>
          <w:szCs w:val="21"/>
          <w:highlight w:val="none"/>
        </w:rPr>
        <w:t>日期：</w:t>
      </w:r>
    </w:p>
    <w:p w14:paraId="5CA91FB8">
      <w:pPr>
        <w:rPr>
          <w:rFonts w:eastAsia="黑体"/>
          <w:color w:val="auto"/>
          <w:sz w:val="30"/>
          <w:szCs w:val="30"/>
          <w:highlight w:val="none"/>
        </w:rPr>
      </w:pPr>
      <w:r>
        <w:rPr>
          <w:rFonts w:eastAsia="黑体"/>
          <w:color w:val="auto"/>
          <w:sz w:val="30"/>
          <w:szCs w:val="30"/>
          <w:highlight w:val="none"/>
        </w:rPr>
        <w:br w:type="page"/>
      </w:r>
    </w:p>
    <w:p w14:paraId="457D2227">
      <w:pPr>
        <w:numPr>
          <w:ilvl w:val="0"/>
          <w:numId w:val="0"/>
        </w:numPr>
        <w:spacing w:line="360" w:lineRule="auto"/>
        <w:jc w:val="center"/>
        <w:outlineLvl w:val="2"/>
        <w:rPr>
          <w:rFonts w:hint="eastAsia" w:ascii="宋体" w:hAnsi="宋体" w:eastAsia="宋体" w:cs="宋体"/>
          <w:b/>
          <w:bCs/>
          <w:color w:val="auto"/>
          <w:kern w:val="2"/>
          <w:sz w:val="24"/>
          <w:szCs w:val="24"/>
          <w:highlight w:val="none"/>
          <w:lang w:val="en-US" w:eastAsia="zh-CN" w:bidi="ar-SA"/>
        </w:rPr>
      </w:pPr>
      <w:bookmarkStart w:id="1164" w:name="_Toc18790"/>
      <w:bookmarkStart w:id="1165" w:name="_Toc23978"/>
      <w:bookmarkStart w:id="1166" w:name="_Toc557"/>
      <w:bookmarkStart w:id="1167" w:name="_Toc20841"/>
      <w:bookmarkStart w:id="1168" w:name="_Toc4386"/>
      <w:bookmarkStart w:id="1169" w:name="_Toc30472"/>
      <w:bookmarkStart w:id="1170" w:name="_Toc32060"/>
      <w:bookmarkStart w:id="1171" w:name="_Toc28768"/>
      <w:bookmarkStart w:id="1172" w:name="_Toc12761"/>
      <w:bookmarkStart w:id="1173" w:name="_Toc31125"/>
      <w:bookmarkStart w:id="1174" w:name="_Toc30583"/>
      <w:bookmarkStart w:id="1175" w:name="_Toc26261"/>
      <w:bookmarkStart w:id="1176" w:name="_Toc2905"/>
      <w:bookmarkStart w:id="1177" w:name="_Toc4631"/>
      <w:bookmarkStart w:id="1178" w:name="_Toc24511"/>
      <w:bookmarkStart w:id="1179" w:name="_Toc25314"/>
      <w:bookmarkStart w:id="1180" w:name="_Toc8124"/>
      <w:bookmarkStart w:id="1181" w:name="_Toc31276"/>
      <w:bookmarkStart w:id="1182" w:name="_Toc14120"/>
      <w:bookmarkStart w:id="1183" w:name="_Toc4035"/>
      <w:bookmarkStart w:id="1184" w:name="_Toc6174"/>
      <w:r>
        <w:rPr>
          <w:rFonts w:hint="eastAsia" w:ascii="宋体" w:hAnsi="宋体" w:cs="宋体"/>
          <w:b/>
          <w:bCs/>
          <w:color w:val="auto"/>
          <w:sz w:val="32"/>
          <w:szCs w:val="32"/>
          <w:highlight w:val="none"/>
        </w:rPr>
        <w:t>★</w:t>
      </w:r>
      <w:r>
        <w:rPr>
          <w:rFonts w:hint="eastAsia" w:ascii="宋体" w:hAnsi="宋体" w:cs="宋体"/>
          <w:b/>
          <w:bCs/>
          <w:color w:val="auto"/>
          <w:sz w:val="32"/>
          <w:szCs w:val="32"/>
          <w:highlight w:val="none"/>
          <w:lang w:val="en-US" w:eastAsia="zh-CN"/>
        </w:rPr>
        <w:t>工程质量</w:t>
      </w:r>
      <w:r>
        <w:rPr>
          <w:rFonts w:hint="eastAsia" w:ascii="宋体" w:hAnsi="宋体" w:eastAsia="宋体" w:cs="宋体"/>
          <w:b/>
          <w:bCs/>
          <w:color w:val="auto"/>
          <w:kern w:val="2"/>
          <w:sz w:val="32"/>
          <w:szCs w:val="32"/>
          <w:highlight w:val="none"/>
          <w:lang w:val="en-US" w:eastAsia="zh-CN" w:bidi="ar-SA"/>
        </w:rPr>
        <w:t>承诺函</w:t>
      </w:r>
      <w:bookmarkEnd w:id="1164"/>
      <w:bookmarkEnd w:id="1165"/>
      <w:bookmarkEnd w:id="1166"/>
      <w:bookmarkEnd w:id="1167"/>
      <w:bookmarkEnd w:id="1168"/>
      <w:bookmarkEnd w:id="1169"/>
      <w:bookmarkEnd w:id="1170"/>
    </w:p>
    <w:p w14:paraId="11E29819">
      <w:pPr>
        <w:numPr>
          <w:ilvl w:val="0"/>
          <w:numId w:val="0"/>
        </w:numPr>
        <w:spacing w:line="360" w:lineRule="auto"/>
        <w:jc w:val="left"/>
        <w:rPr>
          <w:rFonts w:hint="eastAsia" w:ascii="宋体" w:hAnsi="宋体" w:eastAsia="宋体" w:cs="宋体"/>
          <w:b w:val="0"/>
          <w:bCs w:val="0"/>
          <w:color w:val="auto"/>
          <w:kern w:val="2"/>
          <w:sz w:val="24"/>
          <w:szCs w:val="24"/>
          <w:highlight w:val="none"/>
          <w:lang w:val="en-US" w:eastAsia="zh-CN" w:bidi="ar-SA"/>
        </w:rPr>
      </w:pPr>
    </w:p>
    <w:p w14:paraId="7444276D">
      <w:pPr>
        <w:numPr>
          <w:ilvl w:val="0"/>
          <w:numId w:val="0"/>
        </w:numPr>
        <w:spacing w:line="360" w:lineRule="auto"/>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致</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（采购人全称）</w:t>
      </w:r>
    </w:p>
    <w:p w14:paraId="4958D4B1">
      <w:pPr>
        <w:numPr>
          <w:ilvl w:val="0"/>
          <w:numId w:val="0"/>
        </w:numPr>
        <w:spacing w:line="360" w:lineRule="auto"/>
        <w:ind w:firstLine="0" w:firstLineChars="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我公司承诺，</w:t>
      </w:r>
      <w:r>
        <w:rPr>
          <w:rFonts w:hint="eastAsia" w:ascii="宋体" w:hAnsi="宋体" w:cs="宋体"/>
          <w:b w:val="0"/>
          <w:bCs w:val="0"/>
          <w:color w:val="auto"/>
          <w:kern w:val="2"/>
          <w:sz w:val="24"/>
          <w:szCs w:val="24"/>
          <w:highlight w:val="none"/>
          <w:lang w:val="en-US" w:eastAsia="zh-CN" w:bidi="ar-SA"/>
        </w:rPr>
        <w:t>成交后</w:t>
      </w:r>
      <w:r>
        <w:rPr>
          <w:rFonts w:hint="eastAsia" w:ascii="宋体" w:hAnsi="宋体" w:eastAsia="宋体" w:cs="宋体"/>
          <w:b w:val="0"/>
          <w:bCs w:val="0"/>
          <w:color w:val="auto"/>
          <w:kern w:val="2"/>
          <w:sz w:val="24"/>
          <w:szCs w:val="24"/>
          <w:highlight w:val="none"/>
          <w:lang w:val="en-US" w:eastAsia="zh-CN" w:bidi="ar-SA"/>
        </w:rPr>
        <w:t>满足以下要求：</w:t>
      </w:r>
    </w:p>
    <w:p w14:paraId="6D089656">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所有施工材料及设施设备质量符合国家相关质量标准，确保所有修缮工程质量达到优良标准，所有修缮工程质保</w:t>
      </w:r>
      <w:r>
        <w:rPr>
          <w:rFonts w:hint="eastAsia" w:ascii="宋体" w:hAnsi="宋体" w:cs="宋体"/>
          <w:b w:val="0"/>
          <w:bCs w:val="0"/>
          <w:color w:val="auto"/>
          <w:kern w:val="2"/>
          <w:sz w:val="24"/>
          <w:szCs w:val="24"/>
          <w:highlight w:val="none"/>
          <w:u w:val="single"/>
          <w:lang w:val="en-US" w:eastAsia="zh-CN" w:bidi="ar-SA"/>
        </w:rPr>
        <w:t xml:space="preserve">   </w:t>
      </w:r>
      <w:r>
        <w:rPr>
          <w:rFonts w:hint="eastAsia" w:ascii="宋体" w:hAnsi="宋体" w:cs="宋体"/>
          <w:b w:val="0"/>
          <w:bCs w:val="0"/>
          <w:color w:val="auto"/>
          <w:kern w:val="2"/>
          <w:sz w:val="24"/>
          <w:szCs w:val="24"/>
          <w:highlight w:val="none"/>
          <w:u w:val="none"/>
          <w:lang w:val="en-US" w:eastAsia="zh-CN" w:bidi="ar-SA"/>
        </w:rPr>
        <w:t>年</w:t>
      </w:r>
      <w:r>
        <w:rPr>
          <w:rFonts w:hint="eastAsia" w:ascii="宋体" w:hAnsi="宋体" w:cs="宋体"/>
          <w:b w:val="0"/>
          <w:bCs w:val="0"/>
          <w:color w:val="auto"/>
          <w:kern w:val="2"/>
          <w:sz w:val="24"/>
          <w:szCs w:val="24"/>
          <w:highlight w:val="none"/>
          <w:lang w:val="en-US" w:eastAsia="zh-CN" w:bidi="ar-SA"/>
        </w:rPr>
        <w:t>（至少两年）</w:t>
      </w:r>
      <w:r>
        <w:rPr>
          <w:rFonts w:hint="eastAsia" w:ascii="宋体" w:hAnsi="宋体" w:eastAsia="宋体" w:cs="宋体"/>
          <w:b w:val="0"/>
          <w:bCs w:val="0"/>
          <w:color w:val="auto"/>
          <w:kern w:val="2"/>
          <w:sz w:val="24"/>
          <w:szCs w:val="24"/>
          <w:highlight w:val="none"/>
          <w:lang w:val="en-US" w:eastAsia="zh-CN" w:bidi="ar-SA"/>
        </w:rPr>
        <w:t>（房屋防水工程、有防水要求的卫生间、房间和外墙面的防渗漏，质保期为</w:t>
      </w:r>
      <w:r>
        <w:rPr>
          <w:rFonts w:hint="eastAsia" w:ascii="宋体" w:hAnsi="宋体" w:cs="宋体"/>
          <w:b w:val="0"/>
          <w:bCs w:val="0"/>
          <w:color w:val="auto"/>
          <w:kern w:val="2"/>
          <w:sz w:val="24"/>
          <w:szCs w:val="24"/>
          <w:highlight w:val="none"/>
          <w:u w:val="single"/>
          <w:lang w:val="en-US" w:eastAsia="zh-CN" w:bidi="ar-SA"/>
        </w:rPr>
        <w:t xml:space="preserve">    </w:t>
      </w:r>
      <w:r>
        <w:rPr>
          <w:rFonts w:hint="eastAsia" w:ascii="宋体" w:hAnsi="宋体" w:cs="宋体"/>
          <w:b w:val="0"/>
          <w:bCs w:val="0"/>
          <w:color w:val="auto"/>
          <w:kern w:val="2"/>
          <w:sz w:val="24"/>
          <w:szCs w:val="24"/>
          <w:highlight w:val="none"/>
          <w:lang w:val="en-US" w:eastAsia="zh-CN" w:bidi="ar-SA"/>
        </w:rPr>
        <w:t>年（至少</w:t>
      </w:r>
      <w:r>
        <w:rPr>
          <w:rFonts w:hint="eastAsia" w:ascii="宋体" w:hAnsi="宋体" w:eastAsia="宋体" w:cs="宋体"/>
          <w:b w:val="0"/>
          <w:bCs w:val="0"/>
          <w:color w:val="auto"/>
          <w:kern w:val="2"/>
          <w:sz w:val="24"/>
          <w:szCs w:val="24"/>
          <w:highlight w:val="none"/>
          <w:lang w:val="en-US" w:eastAsia="zh-CN" w:bidi="ar-SA"/>
        </w:rPr>
        <w:t>5年</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p>
    <w:p w14:paraId="5F1BD1A2">
      <w:pPr>
        <w:numPr>
          <w:ilvl w:val="0"/>
          <w:numId w:val="0"/>
        </w:numPr>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（若有补充，其他内容自拟）</w:t>
      </w:r>
    </w:p>
    <w:p w14:paraId="58885347">
      <w:pPr>
        <w:numPr>
          <w:ilvl w:val="0"/>
          <w:numId w:val="0"/>
        </w:numPr>
        <w:spacing w:line="360" w:lineRule="auto"/>
        <w:jc w:val="left"/>
        <w:rPr>
          <w:rFonts w:hint="eastAsia" w:ascii="宋体" w:hAnsi="宋体" w:eastAsia="宋体" w:cs="宋体"/>
          <w:b/>
          <w:bCs/>
          <w:color w:val="auto"/>
          <w:kern w:val="2"/>
          <w:sz w:val="24"/>
          <w:szCs w:val="24"/>
          <w:highlight w:val="none"/>
          <w:lang w:val="en-US" w:eastAsia="zh-CN" w:bidi="ar-SA"/>
        </w:rPr>
      </w:pPr>
    </w:p>
    <w:p w14:paraId="4647363E">
      <w:pPr>
        <w:numPr>
          <w:ilvl w:val="0"/>
          <w:numId w:val="0"/>
        </w:numPr>
        <w:spacing w:line="360" w:lineRule="auto"/>
        <w:jc w:val="left"/>
        <w:rPr>
          <w:rFonts w:hint="eastAsia" w:ascii="宋体" w:hAnsi="宋体" w:eastAsia="宋体" w:cs="宋体"/>
          <w:b/>
          <w:bCs/>
          <w:color w:val="auto"/>
          <w:kern w:val="2"/>
          <w:sz w:val="24"/>
          <w:szCs w:val="24"/>
          <w:highlight w:val="none"/>
          <w:lang w:val="en-US" w:eastAsia="zh-CN" w:bidi="ar-SA"/>
        </w:rPr>
      </w:pPr>
    </w:p>
    <w:p w14:paraId="7F39DD29">
      <w:pPr>
        <w:numPr>
          <w:ilvl w:val="0"/>
          <w:numId w:val="0"/>
        </w:numPr>
        <w:spacing w:line="360" w:lineRule="auto"/>
        <w:jc w:val="left"/>
        <w:rPr>
          <w:rFonts w:hint="eastAsia" w:ascii="宋体" w:hAnsi="宋体" w:eastAsia="宋体" w:cs="宋体"/>
          <w:b/>
          <w:bCs/>
          <w:color w:val="auto"/>
          <w:kern w:val="2"/>
          <w:sz w:val="24"/>
          <w:szCs w:val="24"/>
          <w:highlight w:val="none"/>
          <w:lang w:val="en-US" w:eastAsia="zh-CN" w:bidi="ar-SA"/>
        </w:rPr>
      </w:pPr>
    </w:p>
    <w:p w14:paraId="21FA9DB6">
      <w:pPr>
        <w:numPr>
          <w:ilvl w:val="0"/>
          <w:numId w:val="0"/>
        </w:numPr>
        <w:spacing w:line="360" w:lineRule="auto"/>
        <w:jc w:val="left"/>
        <w:rPr>
          <w:rFonts w:hint="eastAsia" w:ascii="宋体" w:hAnsi="宋体" w:eastAsia="宋体" w:cs="宋体"/>
          <w:b/>
          <w:bCs/>
          <w:color w:val="auto"/>
          <w:kern w:val="2"/>
          <w:sz w:val="24"/>
          <w:szCs w:val="24"/>
          <w:highlight w:val="none"/>
          <w:lang w:val="en-US" w:eastAsia="zh-CN" w:bidi="ar-SA"/>
        </w:rPr>
      </w:pPr>
    </w:p>
    <w:p w14:paraId="621F1456">
      <w:pPr>
        <w:numPr>
          <w:ilvl w:val="0"/>
          <w:numId w:val="0"/>
        </w:numPr>
        <w:spacing w:line="360" w:lineRule="auto"/>
        <w:jc w:val="left"/>
        <w:rPr>
          <w:rFonts w:hint="eastAsia" w:ascii="宋体" w:hAnsi="宋体" w:eastAsia="宋体" w:cs="宋体"/>
          <w:b/>
          <w:bCs/>
          <w:color w:val="auto"/>
          <w:kern w:val="2"/>
          <w:sz w:val="24"/>
          <w:szCs w:val="24"/>
          <w:highlight w:val="none"/>
          <w:lang w:val="en-US" w:eastAsia="zh-CN" w:bidi="ar-SA"/>
        </w:rPr>
      </w:pPr>
    </w:p>
    <w:p w14:paraId="0E9349C4">
      <w:pPr>
        <w:pStyle w:val="12"/>
        <w:spacing w:line="600" w:lineRule="auto"/>
        <w:rPr>
          <w:rFonts w:ascii="Times New Roman"/>
          <w:color w:val="auto"/>
          <w:sz w:val="24"/>
          <w:szCs w:val="24"/>
          <w:highlight w:val="none"/>
        </w:rPr>
      </w:pPr>
      <w:r>
        <w:rPr>
          <w:rFonts w:ascii="Times New Roman"/>
          <w:color w:val="auto"/>
          <w:sz w:val="24"/>
          <w:szCs w:val="24"/>
          <w:highlight w:val="none"/>
        </w:rPr>
        <w:t>供应商：</w:t>
      </w:r>
      <w:r>
        <w:rPr>
          <w:rFonts w:ascii="Times New Roman"/>
          <w:color w:val="auto"/>
          <w:sz w:val="24"/>
          <w:szCs w:val="24"/>
          <w:highlight w:val="none"/>
          <w:u w:val="single"/>
        </w:rPr>
        <w:t>（盖企业电子公章）</w:t>
      </w:r>
    </w:p>
    <w:p w14:paraId="38F92AB3">
      <w:pPr>
        <w:pStyle w:val="12"/>
        <w:spacing w:line="600" w:lineRule="auto"/>
        <w:rPr>
          <w:rFonts w:ascii="Times New Roman"/>
          <w:color w:val="auto"/>
          <w:sz w:val="24"/>
          <w:szCs w:val="24"/>
          <w:highlight w:val="none"/>
        </w:rPr>
      </w:pPr>
      <w:r>
        <w:rPr>
          <w:rFonts w:ascii="Times New Roman"/>
          <w:color w:val="auto"/>
          <w:sz w:val="24"/>
          <w:szCs w:val="24"/>
          <w:highlight w:val="none"/>
        </w:rPr>
        <w:t>法定代表人：</w:t>
      </w:r>
      <w:r>
        <w:rPr>
          <w:rFonts w:ascii="Times New Roman"/>
          <w:color w:val="auto"/>
          <w:sz w:val="24"/>
          <w:szCs w:val="24"/>
          <w:highlight w:val="none"/>
          <w:u w:val="single"/>
        </w:rPr>
        <w:t>（</w:t>
      </w:r>
      <w:r>
        <w:rPr>
          <w:rFonts w:hint="eastAsia" w:ascii="Times New Roman"/>
          <w:color w:val="auto"/>
          <w:sz w:val="24"/>
          <w:szCs w:val="24"/>
          <w:highlight w:val="none"/>
          <w:u w:val="single"/>
        </w:rPr>
        <w:t>电子签名/章</w:t>
      </w:r>
      <w:r>
        <w:rPr>
          <w:rFonts w:ascii="Times New Roman"/>
          <w:color w:val="auto"/>
          <w:sz w:val="24"/>
          <w:szCs w:val="24"/>
          <w:highlight w:val="none"/>
          <w:u w:val="single"/>
        </w:rPr>
        <w:t>）</w:t>
      </w:r>
    </w:p>
    <w:p w14:paraId="65D7AD06">
      <w:pPr>
        <w:spacing w:line="360" w:lineRule="auto"/>
        <w:rPr>
          <w:color w:val="auto"/>
          <w:sz w:val="24"/>
          <w:szCs w:val="24"/>
          <w:highlight w:val="none"/>
        </w:rPr>
      </w:pPr>
      <w:r>
        <w:rPr>
          <w:color w:val="auto"/>
          <w:sz w:val="24"/>
          <w:szCs w:val="24"/>
          <w:highlight w:val="none"/>
        </w:rPr>
        <w:t>日期：</w:t>
      </w:r>
    </w:p>
    <w:p w14:paraId="0EAB2DED">
      <w:pPr>
        <w:rPr>
          <w:rFonts w:hint="eastAsia" w:ascii="黑体" w:hAnsi="黑体" w:eastAsia="黑体" w:cs="黑体"/>
          <w:b w:val="0"/>
          <w:bCs w:val="0"/>
          <w:color w:val="auto"/>
          <w:kern w:val="2"/>
          <w:sz w:val="30"/>
          <w:szCs w:val="30"/>
          <w:highlight w:val="none"/>
          <w:lang w:val="en-US" w:eastAsia="zh-CN" w:bidi="ar-SA"/>
        </w:rPr>
      </w:pPr>
    </w:p>
    <w:p w14:paraId="493AA00F">
      <w:pPr>
        <w:rPr>
          <w:rFonts w:hint="eastAsia" w:ascii="宋体" w:hAnsi="宋体" w:cs="宋体"/>
          <w:color w:val="auto"/>
          <w:sz w:val="30"/>
          <w:szCs w:val="30"/>
          <w:highlight w:val="none"/>
        </w:rPr>
      </w:pPr>
      <w:r>
        <w:rPr>
          <w:rFonts w:hint="eastAsia" w:ascii="宋体" w:hAnsi="宋体" w:cs="宋体"/>
          <w:color w:val="auto"/>
          <w:sz w:val="30"/>
          <w:szCs w:val="30"/>
          <w:highlight w:val="none"/>
        </w:rPr>
        <w:br w:type="page"/>
      </w:r>
    </w:p>
    <w:p w14:paraId="7793C65B">
      <w:pPr>
        <w:jc w:val="center"/>
        <w:rPr>
          <w:rFonts w:hint="eastAsia" w:ascii="宋体" w:hAnsi="宋体" w:cs="宋体"/>
          <w:color w:val="auto"/>
          <w:sz w:val="30"/>
          <w:szCs w:val="30"/>
          <w:highlight w:val="none"/>
        </w:rPr>
      </w:pPr>
      <w:bookmarkStart w:id="1185" w:name="_Toc562"/>
      <w:bookmarkStart w:id="1186" w:name="_Toc10013"/>
      <w:bookmarkStart w:id="1187" w:name="_Toc3036"/>
      <w:r>
        <w:rPr>
          <w:rFonts w:hint="eastAsia" w:ascii="宋体" w:hAnsi="宋体" w:cs="宋体"/>
          <w:b/>
          <w:bCs/>
          <w:color w:val="auto"/>
          <w:sz w:val="30"/>
          <w:szCs w:val="30"/>
          <w:highlight w:val="none"/>
        </w:rPr>
        <w:t>维保修承诺</w:t>
      </w:r>
    </w:p>
    <w:p w14:paraId="6B5C2AB5">
      <w:pPr>
        <w:pStyle w:val="2"/>
        <w:jc w:val="center"/>
        <w:rPr>
          <w:rFonts w:hint="eastAsia" w:eastAsia="宋体"/>
          <w:sz w:val="21"/>
          <w:szCs w:val="21"/>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根据“第五章 项目需求八、维保修承诺”中相应内容进行承诺，格式自拟</w:t>
      </w:r>
      <w:r>
        <w:rPr>
          <w:rFonts w:hint="eastAsia" w:ascii="宋体" w:hAnsi="宋体" w:cs="宋体"/>
          <w:color w:val="auto"/>
          <w:sz w:val="24"/>
          <w:szCs w:val="24"/>
          <w:highlight w:val="none"/>
          <w:lang w:eastAsia="zh-CN"/>
        </w:rPr>
        <w:t>）</w:t>
      </w:r>
    </w:p>
    <w:p w14:paraId="082B4D1F">
      <w:pPr>
        <w:rPr>
          <w:rFonts w:hint="eastAsia" w:ascii="宋体" w:hAnsi="宋体" w:cs="宋体"/>
          <w:color w:val="auto"/>
          <w:sz w:val="30"/>
          <w:szCs w:val="30"/>
          <w:highlight w:val="none"/>
        </w:rPr>
      </w:pPr>
      <w:r>
        <w:rPr>
          <w:rFonts w:hint="eastAsia" w:ascii="宋体" w:hAnsi="宋体" w:cs="宋体"/>
          <w:color w:val="auto"/>
          <w:sz w:val="30"/>
          <w:szCs w:val="30"/>
          <w:highlight w:val="none"/>
        </w:rPr>
        <w:br w:type="page"/>
      </w:r>
    </w:p>
    <w:p w14:paraId="39612611">
      <w:pPr>
        <w:spacing w:line="360" w:lineRule="auto"/>
        <w:jc w:val="center"/>
        <w:outlineLvl w:val="2"/>
        <w:rPr>
          <w:rFonts w:ascii="宋体" w:hAnsi="宋体" w:cs="宋体"/>
          <w:color w:val="auto"/>
          <w:sz w:val="30"/>
          <w:szCs w:val="30"/>
          <w:highlight w:val="none"/>
        </w:rPr>
      </w:pPr>
      <w:r>
        <w:rPr>
          <w:rFonts w:hint="eastAsia" w:ascii="宋体" w:hAnsi="宋体" w:cs="宋体"/>
          <w:color w:val="auto"/>
          <w:sz w:val="30"/>
          <w:szCs w:val="30"/>
          <w:highlight w:val="none"/>
        </w:rPr>
        <w:t>报价明细</w:t>
      </w:r>
      <w:r>
        <w:rPr>
          <w:rFonts w:hint="eastAsia" w:ascii="宋体" w:hAnsi="宋体" w:cs="宋体"/>
          <w:color w:val="auto"/>
          <w:sz w:val="30"/>
          <w:szCs w:val="30"/>
          <w:highlight w:val="none"/>
          <w:lang w:val="en-US" w:eastAsia="zh-CN"/>
        </w:rPr>
        <w:t>汇总</w:t>
      </w:r>
      <w:r>
        <w:rPr>
          <w:rFonts w:hint="eastAsia" w:ascii="宋体" w:hAnsi="宋体" w:cs="宋体"/>
          <w:color w:val="auto"/>
          <w:sz w:val="30"/>
          <w:szCs w:val="30"/>
          <w:highlight w:val="none"/>
        </w:rPr>
        <w:t>表</w:t>
      </w:r>
      <w:bookmarkEnd w:id="1171"/>
      <w:bookmarkEnd w:id="1172"/>
      <w:bookmarkEnd w:id="1173"/>
      <w:bookmarkEnd w:id="1174"/>
      <w:bookmarkEnd w:id="1175"/>
      <w:bookmarkEnd w:id="1176"/>
      <w:bookmarkEnd w:id="1177"/>
      <w:bookmarkEnd w:id="1178"/>
      <w:bookmarkEnd w:id="1179"/>
      <w:bookmarkEnd w:id="1180"/>
      <w:bookmarkEnd w:id="1181"/>
      <w:bookmarkEnd w:id="1182"/>
      <w:bookmarkEnd w:id="1185"/>
      <w:bookmarkEnd w:id="1186"/>
      <w:bookmarkEnd w:id="1187"/>
    </w:p>
    <w:p w14:paraId="4F797D11">
      <w:pPr>
        <w:spacing w:line="360" w:lineRule="auto"/>
        <w:rPr>
          <w:rFonts w:ascii="宋体" w:hAnsi="宋体" w:cs="宋体"/>
          <w:color w:val="auto"/>
          <w:szCs w:val="21"/>
          <w:highlight w:val="none"/>
        </w:rPr>
      </w:pPr>
      <w:r>
        <w:rPr>
          <w:rFonts w:hint="eastAsia" w:ascii="宋体" w:hAnsi="宋体" w:cs="宋体"/>
          <w:b/>
          <w:color w:val="auto"/>
          <w:szCs w:val="21"/>
          <w:highlight w:val="none"/>
        </w:rPr>
        <w:t>项目名称：</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 xml:space="preserve">                     项目编号：</w:t>
      </w:r>
      <w:r>
        <w:rPr>
          <w:rFonts w:hint="eastAsia" w:ascii="宋体" w:hAnsi="宋体" w:cs="宋体"/>
          <w:b/>
          <w:color w:val="auto"/>
          <w:szCs w:val="21"/>
          <w:highlight w:val="none"/>
          <w:u w:val="single"/>
        </w:rPr>
        <w:t xml:space="preserve">         </w:t>
      </w:r>
    </w:p>
    <w:tbl>
      <w:tblPr>
        <w:tblStyle w:val="21"/>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0"/>
        <w:gridCol w:w="2651"/>
        <w:gridCol w:w="784"/>
        <w:gridCol w:w="784"/>
        <w:gridCol w:w="1181"/>
        <w:gridCol w:w="1605"/>
        <w:gridCol w:w="842"/>
      </w:tblGrid>
      <w:tr w14:paraId="74131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76" w:hRule="atLeast"/>
        </w:trPr>
        <w:tc>
          <w:tcPr>
            <w:tcW w:w="393" w:type="pct"/>
            <w:noWrap w:val="0"/>
            <w:vAlign w:val="center"/>
          </w:tcPr>
          <w:p w14:paraId="741108BB">
            <w:pPr>
              <w:pStyle w:val="12"/>
              <w:jc w:val="center"/>
              <w:rPr>
                <w:rFonts w:hAnsi="宋体" w:cs="宋体"/>
                <w:b/>
                <w:color w:val="auto"/>
                <w:highlight w:val="none"/>
              </w:rPr>
            </w:pPr>
            <w:r>
              <w:rPr>
                <w:rFonts w:hint="eastAsia" w:hAnsi="宋体" w:cs="宋体"/>
                <w:b/>
                <w:color w:val="auto"/>
                <w:highlight w:val="none"/>
              </w:rPr>
              <w:t>序号</w:t>
            </w:r>
          </w:p>
        </w:tc>
        <w:tc>
          <w:tcPr>
            <w:tcW w:w="1556" w:type="pct"/>
            <w:noWrap w:val="0"/>
            <w:vAlign w:val="center"/>
          </w:tcPr>
          <w:p w14:paraId="688F0836">
            <w:pPr>
              <w:pStyle w:val="12"/>
              <w:jc w:val="center"/>
              <w:rPr>
                <w:rFonts w:hAnsi="宋体" w:cs="宋体"/>
                <w:b/>
                <w:color w:val="auto"/>
                <w:highlight w:val="none"/>
              </w:rPr>
            </w:pPr>
            <w:r>
              <w:rPr>
                <w:rFonts w:hint="eastAsia" w:hAnsi="宋体" w:cs="宋体"/>
                <w:b/>
                <w:color w:val="auto"/>
                <w:highlight w:val="none"/>
              </w:rPr>
              <w:t>项目名称</w:t>
            </w:r>
          </w:p>
        </w:tc>
        <w:tc>
          <w:tcPr>
            <w:tcW w:w="460" w:type="pct"/>
            <w:noWrap w:val="0"/>
            <w:vAlign w:val="center"/>
          </w:tcPr>
          <w:p w14:paraId="7F6A6376">
            <w:pPr>
              <w:pStyle w:val="12"/>
              <w:jc w:val="center"/>
              <w:rPr>
                <w:rFonts w:hint="default" w:hAnsi="宋体" w:eastAsia="宋体" w:cs="宋体"/>
                <w:b/>
                <w:color w:val="auto"/>
                <w:highlight w:val="none"/>
                <w:lang w:val="en-US" w:eastAsia="zh-CN"/>
              </w:rPr>
            </w:pPr>
            <w:r>
              <w:rPr>
                <w:rFonts w:hint="eastAsia" w:hAnsi="宋体" w:cs="宋体"/>
                <w:b/>
                <w:color w:val="auto"/>
                <w:highlight w:val="none"/>
                <w:lang w:val="en-US" w:eastAsia="zh-CN"/>
              </w:rPr>
              <w:t>所属行业</w:t>
            </w:r>
          </w:p>
        </w:tc>
        <w:tc>
          <w:tcPr>
            <w:tcW w:w="460" w:type="pct"/>
            <w:noWrap w:val="0"/>
            <w:vAlign w:val="center"/>
          </w:tcPr>
          <w:p w14:paraId="1B86CB54">
            <w:pPr>
              <w:pStyle w:val="12"/>
              <w:jc w:val="center"/>
              <w:rPr>
                <w:rFonts w:hAnsi="宋体" w:cs="宋体"/>
                <w:b/>
                <w:color w:val="auto"/>
                <w:highlight w:val="none"/>
              </w:rPr>
            </w:pPr>
            <w:r>
              <w:rPr>
                <w:rFonts w:hint="eastAsia" w:hAnsi="宋体" w:cs="宋体"/>
                <w:b/>
                <w:color w:val="auto"/>
                <w:highlight w:val="none"/>
              </w:rPr>
              <w:t>数量</w:t>
            </w:r>
          </w:p>
        </w:tc>
        <w:tc>
          <w:tcPr>
            <w:tcW w:w="693" w:type="pct"/>
            <w:noWrap w:val="0"/>
            <w:vAlign w:val="center"/>
          </w:tcPr>
          <w:p w14:paraId="5A922EC3">
            <w:pPr>
              <w:pStyle w:val="12"/>
              <w:jc w:val="center"/>
              <w:rPr>
                <w:rFonts w:hAnsi="宋体" w:cs="宋体"/>
                <w:b/>
                <w:color w:val="auto"/>
                <w:highlight w:val="none"/>
              </w:rPr>
            </w:pPr>
            <w:r>
              <w:rPr>
                <w:rFonts w:hint="eastAsia" w:hAnsi="宋体" w:cs="宋体"/>
                <w:b/>
                <w:color w:val="auto"/>
                <w:highlight w:val="none"/>
              </w:rPr>
              <w:t>单位</w:t>
            </w:r>
          </w:p>
        </w:tc>
        <w:tc>
          <w:tcPr>
            <w:tcW w:w="942" w:type="pct"/>
            <w:noWrap w:val="0"/>
            <w:vAlign w:val="center"/>
          </w:tcPr>
          <w:p w14:paraId="4E1D1DD6">
            <w:pPr>
              <w:pStyle w:val="12"/>
              <w:jc w:val="center"/>
              <w:rPr>
                <w:rFonts w:hAnsi="宋体" w:cs="宋体"/>
                <w:b/>
                <w:color w:val="auto"/>
                <w:highlight w:val="none"/>
              </w:rPr>
            </w:pPr>
            <w:r>
              <w:rPr>
                <w:rFonts w:hint="eastAsia" w:hAnsi="宋体" w:cs="宋体"/>
                <w:b/>
                <w:color w:val="auto"/>
                <w:highlight w:val="none"/>
              </w:rPr>
              <w:t>磋商总报价（元）</w:t>
            </w:r>
          </w:p>
        </w:tc>
        <w:tc>
          <w:tcPr>
            <w:tcW w:w="494" w:type="pct"/>
            <w:noWrap w:val="0"/>
            <w:vAlign w:val="center"/>
          </w:tcPr>
          <w:p w14:paraId="5281C3BA">
            <w:pPr>
              <w:pStyle w:val="12"/>
              <w:jc w:val="center"/>
              <w:rPr>
                <w:rFonts w:hAnsi="宋体" w:cs="宋体"/>
                <w:b/>
                <w:color w:val="auto"/>
                <w:highlight w:val="none"/>
              </w:rPr>
            </w:pPr>
            <w:r>
              <w:rPr>
                <w:rFonts w:hint="eastAsia" w:hAnsi="宋体" w:cs="宋体"/>
                <w:b/>
                <w:color w:val="auto"/>
                <w:highlight w:val="none"/>
              </w:rPr>
              <w:t>备注</w:t>
            </w:r>
          </w:p>
        </w:tc>
      </w:tr>
      <w:tr w14:paraId="2FBFB1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19" w:hRule="atLeast"/>
        </w:trPr>
        <w:tc>
          <w:tcPr>
            <w:tcW w:w="393" w:type="pct"/>
            <w:noWrap w:val="0"/>
            <w:vAlign w:val="center"/>
          </w:tcPr>
          <w:p w14:paraId="577F20FB">
            <w:pPr>
              <w:pStyle w:val="12"/>
              <w:jc w:val="center"/>
              <w:rPr>
                <w:rFonts w:hint="eastAsia" w:hAnsi="宋体" w:cs="宋体"/>
                <w:color w:val="auto"/>
                <w:highlight w:val="none"/>
              </w:rPr>
            </w:pPr>
            <w:r>
              <w:rPr>
                <w:rFonts w:hint="eastAsia" w:hAnsi="宋体" w:cs="宋体"/>
                <w:color w:val="auto"/>
                <w:highlight w:val="none"/>
              </w:rPr>
              <w:t>1</w:t>
            </w:r>
          </w:p>
        </w:tc>
        <w:tc>
          <w:tcPr>
            <w:tcW w:w="1556" w:type="pct"/>
            <w:noWrap w:val="0"/>
            <w:vAlign w:val="center"/>
          </w:tcPr>
          <w:p w14:paraId="11DED724">
            <w:pPr>
              <w:pStyle w:val="2"/>
              <w:jc w:val="center"/>
              <w:rPr>
                <w:rFonts w:hint="eastAsia" w:hAnsi="宋体" w:eastAsia="宋体" w:cs="宋体"/>
                <w:color w:val="auto"/>
                <w:highlight w:val="none"/>
                <w:lang w:eastAsia="zh-CN"/>
              </w:rPr>
            </w:pPr>
            <w:r>
              <w:rPr>
                <w:rFonts w:hint="eastAsia" w:ascii="宋体" w:hAnsi="宋体"/>
                <w:color w:val="auto"/>
                <w:sz w:val="21"/>
                <w:szCs w:val="21"/>
                <w:highlight w:val="none"/>
                <w:lang w:eastAsia="zh-CN"/>
              </w:rPr>
              <w:t>云南开放大学呈贡校区学生公寓B苑室内维修项目</w:t>
            </w:r>
          </w:p>
        </w:tc>
        <w:tc>
          <w:tcPr>
            <w:tcW w:w="460" w:type="pct"/>
            <w:noWrap w:val="0"/>
            <w:vAlign w:val="center"/>
          </w:tcPr>
          <w:p w14:paraId="00095AD6">
            <w:pPr>
              <w:pStyle w:val="2"/>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建筑业</w:t>
            </w:r>
          </w:p>
        </w:tc>
        <w:tc>
          <w:tcPr>
            <w:tcW w:w="460" w:type="pct"/>
            <w:noWrap w:val="0"/>
            <w:vAlign w:val="center"/>
          </w:tcPr>
          <w:p w14:paraId="305EE89D">
            <w:pPr>
              <w:pStyle w:val="2"/>
              <w:jc w:val="center"/>
              <w:rPr>
                <w:rFonts w:hint="eastAsia" w:ascii="宋体" w:hAnsi="宋体" w:cs="宋体"/>
                <w:color w:val="auto"/>
                <w:sz w:val="18"/>
                <w:szCs w:val="18"/>
                <w:highlight w:val="none"/>
              </w:rPr>
            </w:pPr>
            <w:r>
              <w:rPr>
                <w:rFonts w:hint="eastAsia" w:ascii="宋体" w:hAnsi="宋体"/>
                <w:color w:val="auto"/>
                <w:sz w:val="21"/>
                <w:szCs w:val="21"/>
                <w:highlight w:val="none"/>
              </w:rPr>
              <w:t>1</w:t>
            </w:r>
          </w:p>
        </w:tc>
        <w:tc>
          <w:tcPr>
            <w:tcW w:w="693" w:type="pct"/>
            <w:noWrap w:val="0"/>
            <w:vAlign w:val="center"/>
          </w:tcPr>
          <w:p w14:paraId="192D95F6">
            <w:pPr>
              <w:pStyle w:val="2"/>
              <w:jc w:val="center"/>
              <w:rPr>
                <w:rFonts w:hint="eastAsia" w:hAnsi="宋体" w:cs="宋体"/>
                <w:color w:val="auto"/>
                <w:highlight w:val="none"/>
              </w:rPr>
            </w:pPr>
            <w:r>
              <w:rPr>
                <w:rFonts w:hint="eastAsia" w:ascii="宋体" w:hAnsi="宋体"/>
                <w:color w:val="auto"/>
                <w:sz w:val="21"/>
                <w:szCs w:val="21"/>
                <w:highlight w:val="none"/>
              </w:rPr>
              <w:t>项</w:t>
            </w:r>
          </w:p>
        </w:tc>
        <w:tc>
          <w:tcPr>
            <w:tcW w:w="942" w:type="pct"/>
            <w:noWrap w:val="0"/>
            <w:vAlign w:val="center"/>
          </w:tcPr>
          <w:p w14:paraId="6C3480F9">
            <w:pPr>
              <w:pStyle w:val="12"/>
              <w:jc w:val="center"/>
              <w:rPr>
                <w:rFonts w:hAnsi="宋体" w:cs="宋体"/>
                <w:color w:val="auto"/>
                <w:spacing w:val="-6"/>
                <w:highlight w:val="none"/>
              </w:rPr>
            </w:pPr>
          </w:p>
        </w:tc>
        <w:tc>
          <w:tcPr>
            <w:tcW w:w="494" w:type="pct"/>
            <w:noWrap w:val="0"/>
            <w:vAlign w:val="center"/>
          </w:tcPr>
          <w:p w14:paraId="1175A5E2">
            <w:pPr>
              <w:pStyle w:val="12"/>
              <w:jc w:val="center"/>
              <w:rPr>
                <w:rFonts w:hAnsi="宋体" w:cs="宋体"/>
                <w:color w:val="auto"/>
                <w:spacing w:val="-6"/>
                <w:highlight w:val="none"/>
              </w:rPr>
            </w:pPr>
          </w:p>
        </w:tc>
      </w:tr>
    </w:tbl>
    <w:p w14:paraId="27FE1C48">
      <w:pPr>
        <w:spacing w:line="360" w:lineRule="auto"/>
        <w:rPr>
          <w:rFonts w:ascii="宋体" w:hAnsi="宋体" w:cs="宋体"/>
          <w:color w:val="auto"/>
          <w:szCs w:val="21"/>
          <w:highlight w:val="none"/>
        </w:rPr>
      </w:pPr>
    </w:p>
    <w:p w14:paraId="249A0159">
      <w:pPr>
        <w:pStyle w:val="7"/>
        <w:rPr>
          <w:color w:val="auto"/>
          <w:highlight w:val="none"/>
        </w:rPr>
      </w:pPr>
      <w:bookmarkStart w:id="1188" w:name="_Toc20040"/>
      <w:r>
        <w:rPr>
          <w:rFonts w:hint="eastAsia" w:ascii="宋体" w:hAnsi="宋体" w:cs="宋体"/>
          <w:color w:val="auto"/>
          <w:szCs w:val="15"/>
          <w:highlight w:val="none"/>
          <w:lang w:val="en-US" w:eastAsia="zh-CN"/>
        </w:rPr>
        <w:t>注：</w:t>
      </w:r>
      <w:r>
        <w:rPr>
          <w:rFonts w:hint="eastAsia" w:ascii="宋体" w:hAnsi="宋体" w:cs="宋体"/>
          <w:color w:val="auto"/>
          <w:szCs w:val="15"/>
          <w:highlight w:val="none"/>
        </w:rPr>
        <w:t>“报价明细表”中的“</w:t>
      </w:r>
      <w:r>
        <w:rPr>
          <w:rFonts w:hint="eastAsia" w:hAnsi="宋体" w:cs="宋体"/>
          <w:b/>
          <w:color w:val="auto"/>
          <w:szCs w:val="21"/>
          <w:highlight w:val="none"/>
        </w:rPr>
        <w:t>磋商总报价</w:t>
      </w:r>
      <w:r>
        <w:rPr>
          <w:rFonts w:hint="eastAsia" w:ascii="宋体" w:hAnsi="宋体" w:cs="宋体"/>
          <w:color w:val="auto"/>
          <w:szCs w:val="15"/>
          <w:highlight w:val="none"/>
        </w:rPr>
        <w:t>”与“报价一览表”和“</w:t>
      </w:r>
      <w:r>
        <w:rPr>
          <w:rFonts w:hint="eastAsia"/>
          <w:color w:val="auto"/>
          <w:szCs w:val="21"/>
          <w:highlight w:val="none"/>
        </w:rPr>
        <w:t>已标价工程量清单</w:t>
      </w:r>
      <w:r>
        <w:rPr>
          <w:rFonts w:hint="eastAsia" w:ascii="宋体" w:hAnsi="宋体" w:cs="宋体"/>
          <w:color w:val="auto"/>
          <w:szCs w:val="15"/>
          <w:highlight w:val="none"/>
        </w:rPr>
        <w:t>”中报价一致</w:t>
      </w:r>
    </w:p>
    <w:bookmarkEnd w:id="1188"/>
    <w:p w14:paraId="267679FB">
      <w:pPr>
        <w:jc w:val="left"/>
        <w:rPr>
          <w:rFonts w:ascii="宋体" w:hAnsi="宋体" w:cs="宋体"/>
          <w:color w:val="auto"/>
          <w:sz w:val="24"/>
          <w:highlight w:val="none"/>
        </w:rPr>
      </w:pPr>
    </w:p>
    <w:p w14:paraId="68A9153C">
      <w:pPr>
        <w:pStyle w:val="6"/>
        <w:spacing w:before="156"/>
        <w:ind w:firstLine="480"/>
        <w:jc w:val="left"/>
        <w:rPr>
          <w:rFonts w:hAnsi="宋体" w:cs="宋体"/>
          <w:color w:val="auto"/>
          <w:sz w:val="24"/>
          <w:highlight w:val="none"/>
        </w:rPr>
      </w:pPr>
    </w:p>
    <w:p w14:paraId="1DFB40A2">
      <w:pPr>
        <w:pStyle w:val="6"/>
        <w:spacing w:before="156"/>
        <w:ind w:firstLine="480"/>
        <w:jc w:val="left"/>
        <w:rPr>
          <w:rFonts w:hAnsi="宋体" w:cs="宋体"/>
          <w:color w:val="auto"/>
          <w:sz w:val="24"/>
          <w:highlight w:val="none"/>
        </w:rPr>
      </w:pPr>
    </w:p>
    <w:p w14:paraId="19E710E5">
      <w:pPr>
        <w:pStyle w:val="12"/>
        <w:adjustRightInd/>
        <w:rPr>
          <w:rFonts w:hAnsi="宋体" w:cs="宋体"/>
          <w:color w:val="auto"/>
          <w:highlight w:val="none"/>
        </w:rPr>
      </w:pPr>
    </w:p>
    <w:p w14:paraId="629EBF8F">
      <w:pPr>
        <w:pStyle w:val="12"/>
        <w:spacing w:line="600" w:lineRule="auto"/>
        <w:rPr>
          <w:rFonts w:ascii="Times New Roman"/>
          <w:color w:val="auto"/>
          <w:highlight w:val="none"/>
        </w:rPr>
      </w:pPr>
      <w:r>
        <w:rPr>
          <w:rFonts w:ascii="Times New Roman"/>
          <w:color w:val="auto"/>
          <w:highlight w:val="none"/>
        </w:rPr>
        <w:t>供应商：</w:t>
      </w:r>
      <w:r>
        <w:rPr>
          <w:rFonts w:ascii="Times New Roman"/>
          <w:color w:val="auto"/>
          <w:highlight w:val="none"/>
          <w:u w:val="single"/>
        </w:rPr>
        <w:t>（盖企业电子公章）</w:t>
      </w:r>
    </w:p>
    <w:p w14:paraId="4307E1D0">
      <w:pPr>
        <w:pStyle w:val="12"/>
        <w:spacing w:line="600" w:lineRule="auto"/>
        <w:rPr>
          <w:rFonts w:ascii="Times New Roman"/>
          <w:color w:val="auto"/>
          <w:highlight w:val="none"/>
        </w:rPr>
      </w:pPr>
      <w:r>
        <w:rPr>
          <w:rFonts w:ascii="Times New Roman"/>
          <w:color w:val="auto"/>
          <w:highlight w:val="none"/>
        </w:rPr>
        <w:t>法定代表人：</w:t>
      </w:r>
      <w:r>
        <w:rPr>
          <w:rFonts w:ascii="Times New Roman"/>
          <w:color w:val="auto"/>
          <w:highlight w:val="none"/>
          <w:u w:val="single"/>
        </w:rPr>
        <w:t>（</w:t>
      </w:r>
      <w:r>
        <w:rPr>
          <w:rFonts w:hint="eastAsia" w:ascii="Times New Roman"/>
          <w:color w:val="auto"/>
          <w:highlight w:val="none"/>
          <w:u w:val="single"/>
        </w:rPr>
        <w:t>电子签名/章</w:t>
      </w:r>
      <w:r>
        <w:rPr>
          <w:rFonts w:ascii="Times New Roman"/>
          <w:color w:val="auto"/>
          <w:highlight w:val="none"/>
          <w:u w:val="single"/>
        </w:rPr>
        <w:t>）</w:t>
      </w:r>
    </w:p>
    <w:p w14:paraId="49AFC9A9">
      <w:pPr>
        <w:pStyle w:val="12"/>
        <w:spacing w:line="600" w:lineRule="auto"/>
        <w:rPr>
          <w:rFonts w:hAnsi="宋体" w:cs="宋体"/>
          <w:color w:val="auto"/>
          <w:highlight w:val="none"/>
        </w:rPr>
      </w:pPr>
      <w:r>
        <w:rPr>
          <w:color w:val="auto"/>
          <w:highlight w:val="none"/>
        </w:rPr>
        <w:t>日期：</w:t>
      </w:r>
    </w:p>
    <w:p w14:paraId="1D22CE8D">
      <w:pPr>
        <w:pStyle w:val="5"/>
        <w:keepNext w:val="0"/>
        <w:keepLines w:val="0"/>
        <w:ind w:firstLine="643"/>
        <w:rPr>
          <w:color w:val="auto"/>
          <w:szCs w:val="20"/>
          <w:highlight w:val="none"/>
        </w:rPr>
      </w:pPr>
      <w:r>
        <w:rPr>
          <w:rFonts w:hint="eastAsia"/>
          <w:color w:val="auto"/>
          <w:highlight w:val="none"/>
        </w:rPr>
        <w:br w:type="page"/>
      </w:r>
      <w:bookmarkStart w:id="1189" w:name="_Toc25446"/>
      <w:bookmarkStart w:id="1190" w:name="_Toc4836"/>
      <w:bookmarkStart w:id="1191" w:name="_Toc16985"/>
      <w:bookmarkStart w:id="1192" w:name="_Toc6658"/>
      <w:bookmarkStart w:id="1193" w:name="_Toc5063"/>
      <w:bookmarkStart w:id="1194" w:name="_Toc13198"/>
      <w:bookmarkStart w:id="1195" w:name="_Toc14117"/>
      <w:bookmarkStart w:id="1196" w:name="_Toc7431"/>
      <w:r>
        <w:rPr>
          <w:rFonts w:hint="eastAsia"/>
          <w:color w:val="auto"/>
          <w:highlight w:val="none"/>
        </w:rPr>
        <w:t>已标价工程量清单</w:t>
      </w:r>
      <w:bookmarkEnd w:id="1183"/>
      <w:bookmarkEnd w:id="1184"/>
      <w:bookmarkEnd w:id="1189"/>
      <w:bookmarkEnd w:id="1190"/>
      <w:bookmarkEnd w:id="1191"/>
      <w:bookmarkEnd w:id="1192"/>
      <w:bookmarkEnd w:id="1193"/>
      <w:bookmarkEnd w:id="1194"/>
      <w:bookmarkEnd w:id="1195"/>
      <w:bookmarkEnd w:id="1196"/>
    </w:p>
    <w:p w14:paraId="1821B99A">
      <w:pPr>
        <w:jc w:val="center"/>
        <w:rPr>
          <w:rFonts w:ascii="宋体" w:hAnsi="宋体"/>
          <w:color w:val="auto"/>
          <w:szCs w:val="21"/>
          <w:highlight w:val="none"/>
        </w:rPr>
      </w:pPr>
    </w:p>
    <w:p w14:paraId="03C4B4A7">
      <w:pPr>
        <w:adjustRightInd w:val="0"/>
        <w:snapToGrid w:val="0"/>
        <w:ind w:firstLine="422" w:firstLineChars="200"/>
        <w:jc w:val="left"/>
        <w:rPr>
          <w:rFonts w:hAnsi="Courier New"/>
          <w:b/>
          <w:bCs/>
          <w:color w:val="auto"/>
          <w:szCs w:val="21"/>
          <w:highlight w:val="none"/>
        </w:rPr>
      </w:pPr>
      <w:r>
        <w:rPr>
          <w:rFonts w:hint="eastAsia" w:hAnsi="Courier New"/>
          <w:b/>
          <w:bCs/>
          <w:color w:val="auto"/>
          <w:szCs w:val="21"/>
          <w:highlight w:val="none"/>
        </w:rPr>
        <w:t>1.后附造价委托协议（若造价工程师非本单位人员的，须附委托协议并附于响应文件商务标部分中）；</w:t>
      </w:r>
    </w:p>
    <w:p w14:paraId="4A713104">
      <w:pPr>
        <w:adjustRightInd w:val="0"/>
        <w:snapToGrid w:val="0"/>
        <w:ind w:firstLine="422" w:firstLineChars="200"/>
        <w:jc w:val="left"/>
        <w:rPr>
          <w:rFonts w:hint="eastAsia" w:hAnsi="Courier New"/>
          <w:b/>
          <w:bCs/>
          <w:color w:val="auto"/>
          <w:szCs w:val="21"/>
          <w:highlight w:val="none"/>
        </w:rPr>
      </w:pPr>
      <w:r>
        <w:rPr>
          <w:rFonts w:hint="eastAsia" w:hAnsi="Courier New"/>
          <w:b/>
          <w:bCs/>
          <w:color w:val="auto"/>
          <w:szCs w:val="21"/>
          <w:highlight w:val="none"/>
        </w:rPr>
        <w:t>2.内容及格式自拟；</w:t>
      </w:r>
    </w:p>
    <w:p w14:paraId="608B50F8">
      <w:pPr>
        <w:ind w:firstLine="422" w:firstLineChars="200"/>
        <w:rPr>
          <w:b/>
          <w:color w:val="auto"/>
          <w:highlight w:val="none"/>
        </w:rPr>
      </w:pPr>
      <w:r>
        <w:rPr>
          <w:b/>
          <w:color w:val="auto"/>
          <w:highlight w:val="none"/>
        </w:rPr>
        <w:br w:type="page"/>
      </w:r>
      <w:bookmarkEnd w:id="1133"/>
      <w:bookmarkEnd w:id="1134"/>
      <w:bookmarkEnd w:id="1161"/>
      <w:bookmarkEnd w:id="1162"/>
      <w:bookmarkEnd w:id="1163"/>
      <w:bookmarkStart w:id="1197" w:name="_Toc482092700"/>
      <w:bookmarkStart w:id="1198" w:name="_Toc529550431"/>
      <w:bookmarkStart w:id="1199" w:name="_Toc489972658"/>
      <w:bookmarkStart w:id="1200" w:name="_Toc13933"/>
      <w:bookmarkStart w:id="1201" w:name="_Toc13822231"/>
      <w:bookmarkStart w:id="1202" w:name="_Toc478114551"/>
      <w:bookmarkStart w:id="1203" w:name="_Toc489972662"/>
    </w:p>
    <w:p w14:paraId="2F52E081">
      <w:pPr>
        <w:rPr>
          <w:color w:val="auto"/>
          <w:highlight w:val="none"/>
        </w:rPr>
      </w:pPr>
    </w:p>
    <w:p w14:paraId="3F9FA137">
      <w:pPr>
        <w:jc w:val="center"/>
        <w:rPr>
          <w:rFonts w:eastAsia="黑体"/>
          <w:color w:val="auto"/>
          <w:sz w:val="30"/>
          <w:szCs w:val="30"/>
          <w:highlight w:val="none"/>
        </w:rPr>
      </w:pPr>
      <w:r>
        <w:rPr>
          <w:rFonts w:eastAsia="黑体"/>
          <w:color w:val="auto"/>
          <w:sz w:val="30"/>
          <w:szCs w:val="30"/>
          <w:highlight w:val="none"/>
        </w:rPr>
        <w:t>供应商应提供及认为有必要提供的其他报价材料</w:t>
      </w:r>
      <w:bookmarkEnd w:id="1197"/>
      <w:bookmarkEnd w:id="1198"/>
      <w:bookmarkEnd w:id="1199"/>
      <w:bookmarkEnd w:id="1200"/>
      <w:bookmarkEnd w:id="1201"/>
    </w:p>
    <w:p w14:paraId="7E115402">
      <w:pPr>
        <w:pStyle w:val="12"/>
        <w:spacing w:line="360" w:lineRule="auto"/>
        <w:ind w:firstLine="1050" w:firstLineChars="500"/>
        <w:rPr>
          <w:rFonts w:ascii="Times New Roman"/>
          <w:color w:val="auto"/>
          <w:highlight w:val="none"/>
        </w:rPr>
      </w:pPr>
      <w:r>
        <w:rPr>
          <w:rFonts w:ascii="Times New Roman"/>
          <w:color w:val="auto"/>
          <w:highlight w:val="none"/>
        </w:rPr>
        <w:t>供应商认为有必要提供的其他报价材料（该费用不计入</w:t>
      </w:r>
      <w:r>
        <w:rPr>
          <w:rFonts w:hint="eastAsia" w:ascii="Times New Roman"/>
          <w:color w:val="auto"/>
          <w:highlight w:val="none"/>
        </w:rPr>
        <w:t>磋商报价</w:t>
      </w:r>
      <w:r>
        <w:rPr>
          <w:rFonts w:ascii="Times New Roman"/>
          <w:color w:val="auto"/>
          <w:highlight w:val="none"/>
        </w:rPr>
        <w:t>）</w:t>
      </w:r>
    </w:p>
    <w:p w14:paraId="664FA751">
      <w:pPr>
        <w:pStyle w:val="12"/>
        <w:spacing w:line="360" w:lineRule="auto"/>
        <w:jc w:val="center"/>
        <w:rPr>
          <w:rFonts w:ascii="Times New Roman"/>
          <w:color w:val="auto"/>
          <w:highlight w:val="none"/>
        </w:rPr>
      </w:pPr>
      <w:r>
        <w:rPr>
          <w:rFonts w:ascii="Times New Roman"/>
          <w:color w:val="auto"/>
          <w:highlight w:val="none"/>
        </w:rPr>
        <w:t>（此部分格式、内容自定）</w:t>
      </w:r>
    </w:p>
    <w:p w14:paraId="16F82814">
      <w:pPr>
        <w:rPr>
          <w:rFonts w:ascii="宋体" w:hAnsi="宋体"/>
          <w:color w:val="auto"/>
          <w:highlight w:val="none"/>
        </w:rPr>
      </w:pPr>
    </w:p>
    <w:p w14:paraId="3C0BF68F">
      <w:pPr>
        <w:rPr>
          <w:rFonts w:ascii="宋体" w:hAnsi="宋体"/>
          <w:color w:val="auto"/>
          <w:highlight w:val="none"/>
        </w:rPr>
      </w:pPr>
    </w:p>
    <w:p w14:paraId="46855B6B">
      <w:pPr>
        <w:rPr>
          <w:rFonts w:ascii="宋体" w:hAnsi="宋体"/>
          <w:color w:val="auto"/>
          <w:highlight w:val="none"/>
        </w:rPr>
      </w:pPr>
    </w:p>
    <w:p w14:paraId="79C91271">
      <w:pPr>
        <w:rPr>
          <w:rFonts w:ascii="宋体" w:hAnsi="宋体"/>
          <w:color w:val="auto"/>
          <w:highlight w:val="none"/>
        </w:rPr>
      </w:pPr>
    </w:p>
    <w:p w14:paraId="3DB1CEA2">
      <w:pPr>
        <w:rPr>
          <w:rFonts w:ascii="宋体" w:hAnsi="宋体"/>
          <w:color w:val="auto"/>
          <w:highlight w:val="none"/>
        </w:rPr>
      </w:pPr>
    </w:p>
    <w:p w14:paraId="1552C8BB">
      <w:pPr>
        <w:rPr>
          <w:rFonts w:ascii="宋体" w:hAnsi="宋体"/>
          <w:color w:val="auto"/>
          <w:highlight w:val="none"/>
        </w:rPr>
      </w:pPr>
    </w:p>
    <w:p w14:paraId="284744CD">
      <w:pPr>
        <w:rPr>
          <w:rFonts w:ascii="宋体" w:hAnsi="宋体"/>
          <w:color w:val="auto"/>
          <w:highlight w:val="none"/>
        </w:rPr>
      </w:pPr>
    </w:p>
    <w:p w14:paraId="271C36F1">
      <w:pPr>
        <w:rPr>
          <w:rFonts w:ascii="宋体" w:hAnsi="宋体"/>
          <w:color w:val="auto"/>
          <w:highlight w:val="none"/>
        </w:rPr>
      </w:pPr>
    </w:p>
    <w:p w14:paraId="7D399237">
      <w:pPr>
        <w:rPr>
          <w:rFonts w:ascii="宋体" w:hAnsi="宋体"/>
          <w:color w:val="auto"/>
          <w:highlight w:val="none"/>
        </w:rPr>
      </w:pPr>
    </w:p>
    <w:p w14:paraId="668D1E7C">
      <w:pPr>
        <w:rPr>
          <w:rFonts w:ascii="宋体" w:hAnsi="宋体"/>
          <w:color w:val="auto"/>
          <w:highlight w:val="none"/>
        </w:rPr>
      </w:pPr>
    </w:p>
    <w:p w14:paraId="02B8B889">
      <w:pPr>
        <w:rPr>
          <w:rFonts w:ascii="宋体" w:hAnsi="宋体"/>
          <w:color w:val="auto"/>
          <w:highlight w:val="none"/>
        </w:rPr>
      </w:pPr>
    </w:p>
    <w:p w14:paraId="004ACA6A">
      <w:pPr>
        <w:rPr>
          <w:rFonts w:ascii="宋体" w:hAnsi="宋体"/>
          <w:color w:val="auto"/>
          <w:highlight w:val="none"/>
        </w:rPr>
      </w:pPr>
    </w:p>
    <w:p w14:paraId="0047C660">
      <w:pPr>
        <w:rPr>
          <w:rFonts w:ascii="宋体" w:hAnsi="宋体"/>
          <w:color w:val="auto"/>
          <w:highlight w:val="none"/>
        </w:rPr>
      </w:pPr>
    </w:p>
    <w:p w14:paraId="631F1119">
      <w:pPr>
        <w:rPr>
          <w:rFonts w:ascii="宋体" w:hAnsi="宋体"/>
          <w:color w:val="auto"/>
          <w:highlight w:val="none"/>
        </w:rPr>
      </w:pPr>
    </w:p>
    <w:p w14:paraId="7B30C182">
      <w:pPr>
        <w:rPr>
          <w:rFonts w:ascii="宋体" w:hAnsi="宋体"/>
          <w:color w:val="auto"/>
          <w:highlight w:val="none"/>
        </w:rPr>
      </w:pPr>
    </w:p>
    <w:p w14:paraId="3FD5C969">
      <w:pPr>
        <w:rPr>
          <w:rFonts w:ascii="宋体" w:hAnsi="宋体"/>
          <w:color w:val="auto"/>
          <w:highlight w:val="none"/>
        </w:rPr>
      </w:pPr>
    </w:p>
    <w:p w14:paraId="274D9106">
      <w:pPr>
        <w:rPr>
          <w:rFonts w:ascii="宋体" w:hAnsi="宋体"/>
          <w:color w:val="auto"/>
          <w:highlight w:val="none"/>
        </w:rPr>
      </w:pPr>
    </w:p>
    <w:p w14:paraId="2437A195">
      <w:pPr>
        <w:rPr>
          <w:rFonts w:ascii="宋体" w:hAnsi="宋体"/>
          <w:color w:val="auto"/>
          <w:highlight w:val="none"/>
        </w:rPr>
      </w:pPr>
    </w:p>
    <w:p w14:paraId="38EE524C">
      <w:pPr>
        <w:rPr>
          <w:rFonts w:ascii="宋体" w:hAnsi="宋体"/>
          <w:color w:val="auto"/>
          <w:highlight w:val="none"/>
        </w:rPr>
      </w:pPr>
    </w:p>
    <w:p w14:paraId="105D3DB6">
      <w:pPr>
        <w:rPr>
          <w:rFonts w:ascii="宋体" w:hAnsi="宋体"/>
          <w:color w:val="auto"/>
          <w:highlight w:val="none"/>
        </w:rPr>
      </w:pPr>
    </w:p>
    <w:p w14:paraId="20928CBB">
      <w:pPr>
        <w:rPr>
          <w:rFonts w:ascii="宋体" w:hAnsi="宋体"/>
          <w:color w:val="auto"/>
          <w:highlight w:val="none"/>
        </w:rPr>
      </w:pPr>
    </w:p>
    <w:p w14:paraId="12F21CBA">
      <w:pPr>
        <w:rPr>
          <w:rFonts w:ascii="宋体" w:hAnsi="宋体"/>
          <w:color w:val="auto"/>
          <w:highlight w:val="none"/>
        </w:rPr>
      </w:pPr>
    </w:p>
    <w:p w14:paraId="2E29F832">
      <w:pPr>
        <w:rPr>
          <w:rFonts w:ascii="宋体" w:hAnsi="宋体"/>
          <w:color w:val="auto"/>
          <w:highlight w:val="none"/>
        </w:rPr>
      </w:pPr>
    </w:p>
    <w:p w14:paraId="40A80E90">
      <w:pPr>
        <w:rPr>
          <w:rFonts w:ascii="宋体" w:hAnsi="宋体"/>
          <w:color w:val="auto"/>
          <w:highlight w:val="none"/>
        </w:rPr>
      </w:pPr>
    </w:p>
    <w:p w14:paraId="3BBCAD7D">
      <w:pPr>
        <w:rPr>
          <w:rFonts w:ascii="宋体" w:hAnsi="宋体"/>
          <w:color w:val="auto"/>
          <w:highlight w:val="none"/>
        </w:rPr>
      </w:pPr>
    </w:p>
    <w:p w14:paraId="083A7CBA">
      <w:pPr>
        <w:rPr>
          <w:rFonts w:ascii="宋体" w:hAnsi="宋体"/>
          <w:color w:val="auto"/>
          <w:highlight w:val="none"/>
        </w:rPr>
      </w:pPr>
    </w:p>
    <w:p w14:paraId="68E51A89">
      <w:pPr>
        <w:rPr>
          <w:rFonts w:ascii="宋体" w:hAnsi="宋体"/>
          <w:color w:val="auto"/>
          <w:highlight w:val="none"/>
        </w:rPr>
      </w:pPr>
    </w:p>
    <w:p w14:paraId="0C14CB7F">
      <w:pPr>
        <w:rPr>
          <w:rFonts w:ascii="宋体" w:hAnsi="宋体"/>
          <w:color w:val="auto"/>
          <w:highlight w:val="none"/>
        </w:rPr>
      </w:pPr>
    </w:p>
    <w:p w14:paraId="621D51DC">
      <w:pPr>
        <w:rPr>
          <w:rFonts w:ascii="宋体" w:hAnsi="宋体"/>
          <w:color w:val="auto"/>
          <w:highlight w:val="none"/>
        </w:rPr>
      </w:pPr>
    </w:p>
    <w:p w14:paraId="4824C5BE">
      <w:pPr>
        <w:rPr>
          <w:rFonts w:ascii="宋体" w:hAnsi="宋体"/>
          <w:color w:val="auto"/>
          <w:highlight w:val="none"/>
        </w:rPr>
      </w:pPr>
    </w:p>
    <w:p w14:paraId="0316D327">
      <w:pPr>
        <w:rPr>
          <w:rFonts w:ascii="宋体" w:hAnsi="宋体"/>
          <w:color w:val="auto"/>
          <w:highlight w:val="none"/>
        </w:rPr>
      </w:pPr>
    </w:p>
    <w:p w14:paraId="6CE3C978">
      <w:pPr>
        <w:rPr>
          <w:rFonts w:ascii="宋体" w:hAnsi="宋体"/>
          <w:color w:val="auto"/>
          <w:highlight w:val="none"/>
        </w:rPr>
      </w:pPr>
    </w:p>
    <w:p w14:paraId="20F56E3D">
      <w:pPr>
        <w:rPr>
          <w:rFonts w:ascii="宋体" w:hAnsi="宋体"/>
          <w:color w:val="auto"/>
          <w:highlight w:val="none"/>
        </w:rPr>
      </w:pPr>
    </w:p>
    <w:p w14:paraId="517B45F0">
      <w:pPr>
        <w:rPr>
          <w:rFonts w:ascii="宋体" w:hAnsi="宋体"/>
          <w:color w:val="auto"/>
          <w:highlight w:val="none"/>
        </w:rPr>
      </w:pPr>
    </w:p>
    <w:p w14:paraId="705F9256">
      <w:pPr>
        <w:rPr>
          <w:rFonts w:ascii="宋体" w:hAnsi="宋体"/>
          <w:color w:val="auto"/>
          <w:highlight w:val="none"/>
        </w:rPr>
      </w:pPr>
    </w:p>
    <w:p w14:paraId="0B96D9B3">
      <w:pPr>
        <w:rPr>
          <w:rFonts w:ascii="宋体" w:hAnsi="宋体"/>
          <w:color w:val="auto"/>
          <w:highlight w:val="none"/>
        </w:rPr>
      </w:pPr>
    </w:p>
    <w:p w14:paraId="1DCA7398">
      <w:pPr>
        <w:pStyle w:val="12"/>
        <w:spacing w:line="500" w:lineRule="exact"/>
        <w:jc w:val="center"/>
        <w:outlineLvl w:val="2"/>
        <w:rPr>
          <w:color w:val="auto"/>
          <w:highlight w:val="none"/>
        </w:rPr>
      </w:pPr>
      <w:bookmarkStart w:id="1204" w:name="_Toc26367"/>
      <w:r>
        <w:rPr>
          <w:rFonts w:hint="eastAsia" w:ascii="黑体" w:hAnsi="黑体" w:eastAsia="黑体"/>
          <w:bCs/>
          <w:color w:val="auto"/>
          <w:sz w:val="28"/>
          <w:szCs w:val="30"/>
          <w:highlight w:val="none"/>
        </w:rPr>
        <w:br w:type="page"/>
      </w:r>
      <w:bookmarkStart w:id="1205" w:name="_Toc11494"/>
      <w:bookmarkStart w:id="1206" w:name="_Toc19231"/>
      <w:bookmarkStart w:id="1207" w:name="_Toc441"/>
      <w:bookmarkStart w:id="1208" w:name="_Toc26069"/>
      <w:bookmarkStart w:id="1209" w:name="_Toc3218"/>
      <w:bookmarkStart w:id="1210" w:name="_Toc17107"/>
      <w:bookmarkStart w:id="1211" w:name="_Toc806"/>
      <w:bookmarkStart w:id="1212" w:name="_Toc21599"/>
      <w:bookmarkStart w:id="1213" w:name="_Toc26127"/>
      <w:r>
        <w:rPr>
          <w:rFonts w:hint="eastAsia" w:ascii="黑体" w:hAnsi="黑体" w:eastAsia="黑体"/>
          <w:bCs/>
          <w:color w:val="auto"/>
          <w:sz w:val="28"/>
          <w:szCs w:val="30"/>
          <w:highlight w:val="none"/>
        </w:rPr>
        <w:t>★</w:t>
      </w:r>
      <w:r>
        <w:rPr>
          <w:rFonts w:ascii="黑体" w:hAnsi="黑体" w:eastAsia="黑体"/>
          <w:bCs/>
          <w:color w:val="auto"/>
          <w:sz w:val="30"/>
          <w:szCs w:val="30"/>
          <w:highlight w:val="none"/>
        </w:rPr>
        <w:t>商务条款偏离表</w:t>
      </w:r>
      <w:bookmarkEnd w:id="1202"/>
      <w:bookmarkEnd w:id="1203"/>
      <w:bookmarkEnd w:id="1204"/>
      <w:bookmarkEnd w:id="1205"/>
      <w:bookmarkEnd w:id="1206"/>
      <w:bookmarkEnd w:id="1207"/>
      <w:bookmarkEnd w:id="1208"/>
      <w:bookmarkEnd w:id="1209"/>
      <w:bookmarkEnd w:id="1210"/>
      <w:bookmarkEnd w:id="1211"/>
      <w:bookmarkEnd w:id="1212"/>
      <w:bookmarkEnd w:id="1213"/>
    </w:p>
    <w:p w14:paraId="75B4141E">
      <w:pPr>
        <w:pStyle w:val="12"/>
        <w:spacing w:line="360" w:lineRule="auto"/>
        <w:ind w:firstLine="420" w:firstLineChars="200"/>
        <w:rPr>
          <w:rFonts w:ascii="Times New Roman"/>
          <w:color w:val="auto"/>
          <w:highlight w:val="none"/>
        </w:rPr>
      </w:pPr>
      <w:bookmarkStart w:id="1214" w:name="_Hlk478972650"/>
      <w:r>
        <w:rPr>
          <w:rFonts w:ascii="Times New Roman"/>
          <w:color w:val="auto"/>
          <w:highlight w:val="none"/>
        </w:rPr>
        <w:t>请对应</w:t>
      </w:r>
      <w:r>
        <w:rPr>
          <w:rFonts w:hint="eastAsia" w:ascii="Times New Roman"/>
          <w:color w:val="auto"/>
          <w:highlight w:val="none"/>
        </w:rPr>
        <w:t>磋商</w:t>
      </w:r>
      <w:r>
        <w:rPr>
          <w:rFonts w:ascii="Times New Roman"/>
          <w:color w:val="auto"/>
          <w:highlight w:val="none"/>
        </w:rPr>
        <w:t>文件的</w:t>
      </w:r>
      <w:r>
        <w:rPr>
          <w:rFonts w:hint="eastAsia" w:ascii="Times New Roman"/>
          <w:b/>
          <w:bCs/>
          <w:color w:val="auto"/>
          <w:highlight w:val="none"/>
        </w:rPr>
        <w:t>第二章</w:t>
      </w:r>
      <w:r>
        <w:rPr>
          <w:rFonts w:ascii="Times New Roman"/>
          <w:color w:val="auto"/>
          <w:highlight w:val="none"/>
        </w:rPr>
        <w:t xml:space="preserve"> </w:t>
      </w:r>
      <w:r>
        <w:rPr>
          <w:rFonts w:ascii="Times New Roman"/>
          <w:b/>
          <w:color w:val="auto"/>
          <w:highlight w:val="none"/>
        </w:rPr>
        <w:t>“ 供应商须知前附表”、</w:t>
      </w:r>
      <w:r>
        <w:rPr>
          <w:rFonts w:hint="eastAsia" w:ascii="Times New Roman"/>
          <w:b/>
          <w:bCs/>
          <w:color w:val="auto"/>
          <w:highlight w:val="none"/>
        </w:rPr>
        <w:t>第四章</w:t>
      </w:r>
      <w:r>
        <w:rPr>
          <w:rFonts w:ascii="Times New Roman"/>
          <w:b/>
          <w:color w:val="auto"/>
          <w:highlight w:val="none"/>
        </w:rPr>
        <w:t>“合同条款前附表”</w:t>
      </w:r>
      <w:r>
        <w:rPr>
          <w:rFonts w:hint="eastAsia" w:ascii="Times New Roman"/>
          <w:b/>
          <w:color w:val="auto"/>
          <w:highlight w:val="none"/>
        </w:rPr>
        <w:t>和第五章</w:t>
      </w:r>
      <w:r>
        <w:rPr>
          <w:rFonts w:ascii="Times New Roman"/>
          <w:b/>
          <w:color w:val="auto"/>
          <w:highlight w:val="none"/>
        </w:rPr>
        <w:t>“</w:t>
      </w:r>
      <w:r>
        <w:rPr>
          <w:rFonts w:hint="eastAsia" w:ascii="Times New Roman"/>
          <w:b/>
          <w:color w:val="auto"/>
          <w:highlight w:val="none"/>
        </w:rPr>
        <w:t>项目需求</w:t>
      </w:r>
      <w:r>
        <w:rPr>
          <w:rFonts w:ascii="Times New Roman"/>
          <w:b/>
          <w:color w:val="auto"/>
          <w:highlight w:val="none"/>
        </w:rPr>
        <w:t>”</w:t>
      </w:r>
      <w:r>
        <w:rPr>
          <w:rFonts w:ascii="Times New Roman"/>
          <w:color w:val="auto"/>
          <w:highlight w:val="none"/>
        </w:rPr>
        <w:t>中要求的</w:t>
      </w:r>
      <w:r>
        <w:rPr>
          <w:rFonts w:hint="eastAsia" w:ascii="Times New Roman"/>
          <w:color w:val="auto"/>
          <w:highlight w:val="none"/>
        </w:rPr>
        <w:t>（</w:t>
      </w:r>
      <w:r>
        <w:rPr>
          <w:rFonts w:hint="eastAsia" w:ascii="Times New Roman"/>
          <w:b/>
          <w:color w:val="auto"/>
          <w:highlight w:val="none"/>
        </w:rPr>
        <w:t>主要</w:t>
      </w:r>
      <w:r>
        <w:rPr>
          <w:rFonts w:ascii="Times New Roman"/>
          <w:b/>
          <w:color w:val="auto"/>
          <w:highlight w:val="none"/>
        </w:rPr>
        <w:t>商务条件</w:t>
      </w:r>
      <w:r>
        <w:rPr>
          <w:rFonts w:hint="eastAsia" w:ascii="Times New Roman"/>
          <w:b/>
          <w:color w:val="auto"/>
          <w:highlight w:val="none"/>
        </w:rPr>
        <w:t>、合同履行期限（工期）、合同履行地点、质量标准、结算方式、</w:t>
      </w:r>
      <w:r>
        <w:rPr>
          <w:rFonts w:ascii="Times New Roman"/>
          <w:b/>
          <w:color w:val="auto"/>
          <w:highlight w:val="none"/>
        </w:rPr>
        <w:t>付款方式</w:t>
      </w:r>
      <w:r>
        <w:rPr>
          <w:rFonts w:hint="eastAsia" w:ascii="Times New Roman"/>
          <w:b/>
          <w:color w:val="auto"/>
          <w:highlight w:val="none"/>
        </w:rPr>
        <w:t>、质量保证金</w:t>
      </w:r>
      <w:r>
        <w:rPr>
          <w:rFonts w:hint="eastAsia" w:ascii="Times New Roman"/>
          <w:color w:val="auto"/>
          <w:highlight w:val="none"/>
        </w:rPr>
        <w:t>等要求）</w:t>
      </w:r>
      <w:r>
        <w:rPr>
          <w:rFonts w:ascii="Times New Roman"/>
          <w:color w:val="auto"/>
          <w:highlight w:val="none"/>
        </w:rPr>
        <w:t>，</w:t>
      </w:r>
      <w:r>
        <w:rPr>
          <w:rFonts w:hint="eastAsia" w:ascii="Times New Roman"/>
          <w:color w:val="auto"/>
          <w:highlight w:val="none"/>
        </w:rPr>
        <w:t>请</w:t>
      </w:r>
      <w:r>
        <w:rPr>
          <w:rFonts w:ascii="Times New Roman"/>
          <w:color w:val="auto"/>
          <w:highlight w:val="none"/>
        </w:rPr>
        <w:t>认真填写该表</w:t>
      </w:r>
      <w:bookmarkEnd w:id="1214"/>
      <w:r>
        <w:rPr>
          <w:rFonts w:ascii="Times New Roman"/>
          <w:color w:val="auto"/>
          <w:highlight w:val="none"/>
        </w:rPr>
        <w:t>。</w:t>
      </w:r>
    </w:p>
    <w:p w14:paraId="2FC15CC5">
      <w:pPr>
        <w:pStyle w:val="12"/>
        <w:rPr>
          <w:rFonts w:ascii="Times New Roman"/>
          <w:b/>
          <w:color w:val="auto"/>
          <w:highlight w:val="none"/>
        </w:rPr>
      </w:pPr>
    </w:p>
    <w:p w14:paraId="1C73D079">
      <w:pPr>
        <w:pStyle w:val="12"/>
        <w:spacing w:line="360" w:lineRule="auto"/>
        <w:rPr>
          <w:rFonts w:ascii="Times New Roman"/>
          <w:b/>
          <w:color w:val="auto"/>
          <w:highlight w:val="none"/>
          <w:u w:val="single"/>
        </w:rPr>
      </w:pPr>
      <w:r>
        <w:rPr>
          <w:rFonts w:ascii="Times New Roman"/>
          <w:b/>
          <w:color w:val="auto"/>
          <w:highlight w:val="none"/>
        </w:rPr>
        <w:t>项目名称：</w:t>
      </w:r>
      <w:r>
        <w:rPr>
          <w:rFonts w:ascii="Times New Roman"/>
          <w:b/>
          <w:color w:val="auto"/>
          <w:highlight w:val="none"/>
          <w:u w:val="single"/>
        </w:rPr>
        <w:t xml:space="preserve">     </w:t>
      </w:r>
      <w:r>
        <w:rPr>
          <w:rFonts w:hint="eastAsia" w:ascii="Times New Roman"/>
          <w:b/>
          <w:color w:val="auto"/>
          <w:highlight w:val="none"/>
          <w:u w:val="single"/>
        </w:rPr>
        <w:t xml:space="preserve">   </w:t>
      </w:r>
      <w:r>
        <w:rPr>
          <w:rFonts w:ascii="Times New Roman"/>
          <w:b/>
          <w:color w:val="auto"/>
          <w:highlight w:val="none"/>
          <w:u w:val="single"/>
        </w:rPr>
        <w:t xml:space="preserve">     </w:t>
      </w:r>
      <w:r>
        <w:rPr>
          <w:rFonts w:ascii="Times New Roman"/>
          <w:b/>
          <w:color w:val="auto"/>
          <w:highlight w:val="none"/>
        </w:rPr>
        <w:t xml:space="preserve">                            </w:t>
      </w:r>
      <w:r>
        <w:rPr>
          <w:rFonts w:hint="eastAsia" w:ascii="Times New Roman"/>
          <w:b/>
          <w:color w:val="auto"/>
          <w:highlight w:val="none"/>
        </w:rPr>
        <w:t>项目</w:t>
      </w:r>
      <w:r>
        <w:rPr>
          <w:rFonts w:ascii="Times New Roman"/>
          <w:b/>
          <w:color w:val="auto"/>
          <w:highlight w:val="none"/>
        </w:rPr>
        <w:t>编号：</w:t>
      </w:r>
      <w:r>
        <w:rPr>
          <w:rFonts w:ascii="Times New Roman"/>
          <w:b/>
          <w:color w:val="auto"/>
          <w:highlight w:val="none"/>
          <w:u w:val="single"/>
        </w:rPr>
        <w:t xml:space="preserve">  </w:t>
      </w:r>
      <w:r>
        <w:rPr>
          <w:rFonts w:hint="eastAsia" w:ascii="Times New Roman"/>
          <w:b/>
          <w:color w:val="auto"/>
          <w:highlight w:val="none"/>
          <w:u w:val="single"/>
        </w:rPr>
        <w:t xml:space="preserve">        </w:t>
      </w:r>
      <w:r>
        <w:rPr>
          <w:rFonts w:ascii="Times New Roman"/>
          <w:b/>
          <w:color w:val="auto"/>
          <w:highlight w:val="none"/>
          <w:u w:val="single"/>
        </w:rPr>
        <w:t xml:space="preserve">    </w:t>
      </w:r>
    </w:p>
    <w:tbl>
      <w:tblPr>
        <w:tblStyle w:val="21"/>
        <w:tblW w:w="8414"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8"/>
        <w:gridCol w:w="1770"/>
        <w:gridCol w:w="2127"/>
        <w:gridCol w:w="2126"/>
        <w:gridCol w:w="1893"/>
      </w:tblGrid>
      <w:tr w14:paraId="5CD4C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center"/>
          </w:tcPr>
          <w:p w14:paraId="52412155">
            <w:pPr>
              <w:pStyle w:val="12"/>
              <w:spacing w:line="600" w:lineRule="exact"/>
              <w:jc w:val="center"/>
              <w:rPr>
                <w:rFonts w:ascii="Times New Roman"/>
                <w:b/>
                <w:color w:val="auto"/>
                <w:highlight w:val="none"/>
              </w:rPr>
            </w:pPr>
            <w:r>
              <w:rPr>
                <w:rFonts w:ascii="Times New Roman"/>
                <w:b/>
                <w:color w:val="auto"/>
                <w:highlight w:val="none"/>
              </w:rPr>
              <w:t>序号</w:t>
            </w:r>
          </w:p>
        </w:tc>
        <w:tc>
          <w:tcPr>
            <w:tcW w:w="1770" w:type="dxa"/>
            <w:noWrap w:val="0"/>
            <w:vAlign w:val="center"/>
          </w:tcPr>
          <w:p w14:paraId="1A3FC918">
            <w:pPr>
              <w:pStyle w:val="12"/>
              <w:spacing w:line="600" w:lineRule="exact"/>
              <w:jc w:val="center"/>
              <w:rPr>
                <w:rFonts w:ascii="Times New Roman"/>
                <w:b/>
                <w:color w:val="auto"/>
                <w:highlight w:val="none"/>
              </w:rPr>
            </w:pPr>
            <w:r>
              <w:rPr>
                <w:rFonts w:hint="eastAsia" w:ascii="Times New Roman"/>
                <w:b/>
                <w:color w:val="auto"/>
                <w:highlight w:val="none"/>
              </w:rPr>
              <w:t>磋商</w:t>
            </w:r>
            <w:r>
              <w:rPr>
                <w:rFonts w:ascii="Times New Roman"/>
                <w:b/>
                <w:color w:val="auto"/>
                <w:highlight w:val="none"/>
              </w:rPr>
              <w:t>文件条目号</w:t>
            </w:r>
          </w:p>
        </w:tc>
        <w:tc>
          <w:tcPr>
            <w:tcW w:w="2127" w:type="dxa"/>
            <w:noWrap w:val="0"/>
            <w:vAlign w:val="center"/>
          </w:tcPr>
          <w:p w14:paraId="77F642FA">
            <w:pPr>
              <w:pStyle w:val="12"/>
              <w:spacing w:line="600" w:lineRule="exact"/>
              <w:jc w:val="center"/>
              <w:rPr>
                <w:rFonts w:ascii="Times New Roman"/>
                <w:b/>
                <w:color w:val="auto"/>
                <w:highlight w:val="none"/>
              </w:rPr>
            </w:pPr>
            <w:r>
              <w:rPr>
                <w:rFonts w:hint="eastAsia" w:ascii="Times New Roman"/>
                <w:b/>
                <w:color w:val="auto"/>
                <w:highlight w:val="none"/>
              </w:rPr>
              <w:t>磋商</w:t>
            </w:r>
            <w:r>
              <w:rPr>
                <w:rFonts w:ascii="Times New Roman"/>
                <w:b/>
                <w:color w:val="auto"/>
                <w:highlight w:val="none"/>
              </w:rPr>
              <w:t>文件的商务条款</w:t>
            </w:r>
          </w:p>
        </w:tc>
        <w:tc>
          <w:tcPr>
            <w:tcW w:w="2126" w:type="dxa"/>
            <w:noWrap w:val="0"/>
            <w:vAlign w:val="center"/>
          </w:tcPr>
          <w:p w14:paraId="2EFFC874">
            <w:pPr>
              <w:pStyle w:val="12"/>
              <w:spacing w:line="600" w:lineRule="exact"/>
              <w:jc w:val="center"/>
              <w:rPr>
                <w:rFonts w:ascii="Times New Roman"/>
                <w:b/>
                <w:color w:val="auto"/>
                <w:highlight w:val="none"/>
              </w:rPr>
            </w:pPr>
            <w:r>
              <w:rPr>
                <w:rFonts w:hint="eastAsia" w:ascii="Times New Roman"/>
                <w:b/>
                <w:color w:val="auto"/>
                <w:highlight w:val="none"/>
              </w:rPr>
              <w:t>响应</w:t>
            </w:r>
            <w:r>
              <w:rPr>
                <w:rFonts w:ascii="Times New Roman"/>
                <w:b/>
                <w:color w:val="auto"/>
                <w:highlight w:val="none"/>
              </w:rPr>
              <w:t>文件的商务条款</w:t>
            </w:r>
          </w:p>
        </w:tc>
        <w:tc>
          <w:tcPr>
            <w:tcW w:w="1893" w:type="dxa"/>
            <w:noWrap w:val="0"/>
            <w:vAlign w:val="center"/>
          </w:tcPr>
          <w:p w14:paraId="7AE40E31">
            <w:pPr>
              <w:pStyle w:val="12"/>
              <w:spacing w:line="600" w:lineRule="exact"/>
              <w:jc w:val="center"/>
              <w:rPr>
                <w:rFonts w:ascii="Times New Roman"/>
                <w:b/>
                <w:color w:val="auto"/>
                <w:highlight w:val="none"/>
              </w:rPr>
            </w:pPr>
            <w:r>
              <w:rPr>
                <w:rFonts w:ascii="Times New Roman"/>
                <w:b/>
                <w:color w:val="auto"/>
                <w:highlight w:val="none"/>
              </w:rPr>
              <w:t>偏离说明</w:t>
            </w:r>
          </w:p>
        </w:tc>
      </w:tr>
      <w:tr w14:paraId="11431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1E0306EA">
            <w:pPr>
              <w:pStyle w:val="12"/>
              <w:spacing w:line="600" w:lineRule="exact"/>
              <w:rPr>
                <w:rFonts w:ascii="Times New Roman"/>
                <w:color w:val="auto"/>
                <w:highlight w:val="none"/>
              </w:rPr>
            </w:pPr>
          </w:p>
        </w:tc>
        <w:tc>
          <w:tcPr>
            <w:tcW w:w="1770" w:type="dxa"/>
            <w:noWrap w:val="0"/>
            <w:vAlign w:val="top"/>
          </w:tcPr>
          <w:p w14:paraId="3B690C73">
            <w:pPr>
              <w:pStyle w:val="12"/>
              <w:spacing w:line="600" w:lineRule="exact"/>
              <w:rPr>
                <w:rFonts w:ascii="Times New Roman"/>
                <w:color w:val="auto"/>
                <w:highlight w:val="none"/>
              </w:rPr>
            </w:pPr>
          </w:p>
        </w:tc>
        <w:tc>
          <w:tcPr>
            <w:tcW w:w="2127" w:type="dxa"/>
            <w:noWrap w:val="0"/>
            <w:vAlign w:val="top"/>
          </w:tcPr>
          <w:p w14:paraId="720BC645">
            <w:pPr>
              <w:pStyle w:val="12"/>
              <w:spacing w:line="600" w:lineRule="exact"/>
              <w:rPr>
                <w:rFonts w:ascii="Times New Roman"/>
                <w:color w:val="auto"/>
                <w:highlight w:val="none"/>
              </w:rPr>
            </w:pPr>
          </w:p>
        </w:tc>
        <w:tc>
          <w:tcPr>
            <w:tcW w:w="2126" w:type="dxa"/>
            <w:noWrap w:val="0"/>
            <w:vAlign w:val="top"/>
          </w:tcPr>
          <w:p w14:paraId="6BE5F131">
            <w:pPr>
              <w:pStyle w:val="12"/>
              <w:spacing w:line="600" w:lineRule="exact"/>
              <w:rPr>
                <w:rFonts w:ascii="Times New Roman"/>
                <w:color w:val="auto"/>
                <w:highlight w:val="none"/>
              </w:rPr>
            </w:pPr>
          </w:p>
        </w:tc>
        <w:tc>
          <w:tcPr>
            <w:tcW w:w="1893" w:type="dxa"/>
            <w:noWrap w:val="0"/>
            <w:vAlign w:val="top"/>
          </w:tcPr>
          <w:p w14:paraId="03DF2B59">
            <w:pPr>
              <w:pStyle w:val="12"/>
              <w:spacing w:line="600" w:lineRule="exact"/>
              <w:rPr>
                <w:rFonts w:ascii="Times New Roman"/>
                <w:color w:val="auto"/>
                <w:highlight w:val="none"/>
              </w:rPr>
            </w:pPr>
          </w:p>
        </w:tc>
      </w:tr>
      <w:tr w14:paraId="23F35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58958B09">
            <w:pPr>
              <w:pStyle w:val="12"/>
              <w:spacing w:line="600" w:lineRule="exact"/>
              <w:rPr>
                <w:rFonts w:ascii="Times New Roman"/>
                <w:color w:val="auto"/>
                <w:highlight w:val="none"/>
              </w:rPr>
            </w:pPr>
          </w:p>
        </w:tc>
        <w:tc>
          <w:tcPr>
            <w:tcW w:w="1770" w:type="dxa"/>
            <w:noWrap w:val="0"/>
            <w:vAlign w:val="top"/>
          </w:tcPr>
          <w:p w14:paraId="3AA5B7D0">
            <w:pPr>
              <w:pStyle w:val="12"/>
              <w:spacing w:line="600" w:lineRule="exact"/>
              <w:rPr>
                <w:rFonts w:ascii="Times New Roman"/>
                <w:color w:val="auto"/>
                <w:highlight w:val="none"/>
              </w:rPr>
            </w:pPr>
          </w:p>
        </w:tc>
        <w:tc>
          <w:tcPr>
            <w:tcW w:w="2127" w:type="dxa"/>
            <w:noWrap w:val="0"/>
            <w:vAlign w:val="top"/>
          </w:tcPr>
          <w:p w14:paraId="10172C7F">
            <w:pPr>
              <w:pStyle w:val="12"/>
              <w:spacing w:line="600" w:lineRule="exact"/>
              <w:rPr>
                <w:rFonts w:ascii="Times New Roman"/>
                <w:color w:val="auto"/>
                <w:highlight w:val="none"/>
              </w:rPr>
            </w:pPr>
          </w:p>
        </w:tc>
        <w:tc>
          <w:tcPr>
            <w:tcW w:w="2126" w:type="dxa"/>
            <w:noWrap w:val="0"/>
            <w:vAlign w:val="top"/>
          </w:tcPr>
          <w:p w14:paraId="3A375133">
            <w:pPr>
              <w:pStyle w:val="12"/>
              <w:spacing w:line="600" w:lineRule="exact"/>
              <w:rPr>
                <w:rFonts w:ascii="Times New Roman"/>
                <w:color w:val="auto"/>
                <w:highlight w:val="none"/>
              </w:rPr>
            </w:pPr>
          </w:p>
        </w:tc>
        <w:tc>
          <w:tcPr>
            <w:tcW w:w="1893" w:type="dxa"/>
            <w:noWrap w:val="0"/>
            <w:vAlign w:val="top"/>
          </w:tcPr>
          <w:p w14:paraId="44EA3396">
            <w:pPr>
              <w:pStyle w:val="12"/>
              <w:spacing w:line="600" w:lineRule="exact"/>
              <w:rPr>
                <w:rFonts w:ascii="Times New Roman"/>
                <w:color w:val="auto"/>
                <w:highlight w:val="none"/>
              </w:rPr>
            </w:pPr>
          </w:p>
        </w:tc>
      </w:tr>
      <w:tr w14:paraId="7ADBCC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7130172D">
            <w:pPr>
              <w:pStyle w:val="12"/>
              <w:spacing w:line="600" w:lineRule="exact"/>
              <w:rPr>
                <w:rFonts w:ascii="Times New Roman"/>
                <w:color w:val="auto"/>
                <w:highlight w:val="none"/>
              </w:rPr>
            </w:pPr>
          </w:p>
        </w:tc>
        <w:tc>
          <w:tcPr>
            <w:tcW w:w="1770" w:type="dxa"/>
            <w:noWrap w:val="0"/>
            <w:vAlign w:val="top"/>
          </w:tcPr>
          <w:p w14:paraId="0C95819B">
            <w:pPr>
              <w:pStyle w:val="12"/>
              <w:spacing w:line="600" w:lineRule="exact"/>
              <w:rPr>
                <w:rFonts w:ascii="Times New Roman"/>
                <w:color w:val="auto"/>
                <w:highlight w:val="none"/>
              </w:rPr>
            </w:pPr>
          </w:p>
        </w:tc>
        <w:tc>
          <w:tcPr>
            <w:tcW w:w="2127" w:type="dxa"/>
            <w:noWrap w:val="0"/>
            <w:vAlign w:val="top"/>
          </w:tcPr>
          <w:p w14:paraId="1C272541">
            <w:pPr>
              <w:pStyle w:val="12"/>
              <w:spacing w:line="600" w:lineRule="exact"/>
              <w:rPr>
                <w:rFonts w:ascii="Times New Roman"/>
                <w:color w:val="auto"/>
                <w:highlight w:val="none"/>
              </w:rPr>
            </w:pPr>
          </w:p>
        </w:tc>
        <w:tc>
          <w:tcPr>
            <w:tcW w:w="2126" w:type="dxa"/>
            <w:noWrap w:val="0"/>
            <w:vAlign w:val="top"/>
          </w:tcPr>
          <w:p w14:paraId="22B1FF79">
            <w:pPr>
              <w:pStyle w:val="12"/>
              <w:spacing w:line="600" w:lineRule="exact"/>
              <w:rPr>
                <w:rFonts w:ascii="Times New Roman"/>
                <w:color w:val="auto"/>
                <w:highlight w:val="none"/>
              </w:rPr>
            </w:pPr>
          </w:p>
        </w:tc>
        <w:tc>
          <w:tcPr>
            <w:tcW w:w="1893" w:type="dxa"/>
            <w:noWrap w:val="0"/>
            <w:vAlign w:val="top"/>
          </w:tcPr>
          <w:p w14:paraId="7498625D">
            <w:pPr>
              <w:pStyle w:val="12"/>
              <w:spacing w:line="600" w:lineRule="exact"/>
              <w:rPr>
                <w:rFonts w:ascii="Times New Roman"/>
                <w:color w:val="auto"/>
                <w:highlight w:val="none"/>
              </w:rPr>
            </w:pPr>
          </w:p>
        </w:tc>
      </w:tr>
      <w:tr w14:paraId="4BF22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498" w:type="dxa"/>
            <w:noWrap w:val="0"/>
            <w:vAlign w:val="top"/>
          </w:tcPr>
          <w:p w14:paraId="60914BCF">
            <w:pPr>
              <w:pStyle w:val="12"/>
              <w:spacing w:line="600" w:lineRule="exact"/>
              <w:rPr>
                <w:rFonts w:ascii="Times New Roman"/>
                <w:color w:val="auto"/>
                <w:highlight w:val="none"/>
              </w:rPr>
            </w:pPr>
          </w:p>
        </w:tc>
        <w:tc>
          <w:tcPr>
            <w:tcW w:w="1770" w:type="dxa"/>
            <w:noWrap w:val="0"/>
            <w:vAlign w:val="top"/>
          </w:tcPr>
          <w:p w14:paraId="2F78CAF3">
            <w:pPr>
              <w:pStyle w:val="12"/>
              <w:spacing w:line="600" w:lineRule="exact"/>
              <w:rPr>
                <w:rFonts w:ascii="Times New Roman"/>
                <w:color w:val="auto"/>
                <w:highlight w:val="none"/>
              </w:rPr>
            </w:pPr>
          </w:p>
        </w:tc>
        <w:tc>
          <w:tcPr>
            <w:tcW w:w="2127" w:type="dxa"/>
            <w:noWrap w:val="0"/>
            <w:vAlign w:val="top"/>
          </w:tcPr>
          <w:p w14:paraId="33BEDB45">
            <w:pPr>
              <w:pStyle w:val="12"/>
              <w:spacing w:line="600" w:lineRule="exact"/>
              <w:rPr>
                <w:rFonts w:ascii="Times New Roman"/>
                <w:color w:val="auto"/>
                <w:highlight w:val="none"/>
              </w:rPr>
            </w:pPr>
          </w:p>
        </w:tc>
        <w:tc>
          <w:tcPr>
            <w:tcW w:w="2126" w:type="dxa"/>
            <w:noWrap w:val="0"/>
            <w:vAlign w:val="top"/>
          </w:tcPr>
          <w:p w14:paraId="176B5269">
            <w:pPr>
              <w:pStyle w:val="12"/>
              <w:spacing w:line="600" w:lineRule="exact"/>
              <w:rPr>
                <w:rFonts w:ascii="Times New Roman"/>
                <w:color w:val="auto"/>
                <w:highlight w:val="none"/>
              </w:rPr>
            </w:pPr>
          </w:p>
        </w:tc>
        <w:tc>
          <w:tcPr>
            <w:tcW w:w="1893" w:type="dxa"/>
            <w:noWrap w:val="0"/>
            <w:vAlign w:val="top"/>
          </w:tcPr>
          <w:p w14:paraId="03724658">
            <w:pPr>
              <w:pStyle w:val="12"/>
              <w:spacing w:line="600" w:lineRule="exact"/>
              <w:rPr>
                <w:rFonts w:ascii="Times New Roman"/>
                <w:color w:val="auto"/>
                <w:highlight w:val="none"/>
              </w:rPr>
            </w:pPr>
          </w:p>
        </w:tc>
      </w:tr>
      <w:tr w14:paraId="4741A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2D04E1C9">
            <w:pPr>
              <w:pStyle w:val="12"/>
              <w:spacing w:line="600" w:lineRule="exact"/>
              <w:rPr>
                <w:rFonts w:ascii="Times New Roman"/>
                <w:color w:val="auto"/>
                <w:highlight w:val="none"/>
              </w:rPr>
            </w:pPr>
          </w:p>
        </w:tc>
        <w:tc>
          <w:tcPr>
            <w:tcW w:w="1770" w:type="dxa"/>
            <w:noWrap w:val="0"/>
            <w:vAlign w:val="top"/>
          </w:tcPr>
          <w:p w14:paraId="14821A83">
            <w:pPr>
              <w:pStyle w:val="12"/>
              <w:spacing w:line="600" w:lineRule="exact"/>
              <w:rPr>
                <w:rFonts w:ascii="Times New Roman"/>
                <w:color w:val="auto"/>
                <w:highlight w:val="none"/>
              </w:rPr>
            </w:pPr>
          </w:p>
        </w:tc>
        <w:tc>
          <w:tcPr>
            <w:tcW w:w="2127" w:type="dxa"/>
            <w:noWrap w:val="0"/>
            <w:vAlign w:val="top"/>
          </w:tcPr>
          <w:p w14:paraId="09FF46FF">
            <w:pPr>
              <w:pStyle w:val="12"/>
              <w:spacing w:line="600" w:lineRule="exact"/>
              <w:rPr>
                <w:rFonts w:ascii="Times New Roman"/>
                <w:color w:val="auto"/>
                <w:highlight w:val="none"/>
              </w:rPr>
            </w:pPr>
          </w:p>
        </w:tc>
        <w:tc>
          <w:tcPr>
            <w:tcW w:w="2126" w:type="dxa"/>
            <w:noWrap w:val="0"/>
            <w:vAlign w:val="top"/>
          </w:tcPr>
          <w:p w14:paraId="6BC5E970">
            <w:pPr>
              <w:pStyle w:val="12"/>
              <w:spacing w:line="600" w:lineRule="exact"/>
              <w:rPr>
                <w:rFonts w:ascii="Times New Roman"/>
                <w:color w:val="auto"/>
                <w:highlight w:val="none"/>
              </w:rPr>
            </w:pPr>
          </w:p>
        </w:tc>
        <w:tc>
          <w:tcPr>
            <w:tcW w:w="1893" w:type="dxa"/>
            <w:noWrap w:val="0"/>
            <w:vAlign w:val="top"/>
          </w:tcPr>
          <w:p w14:paraId="1180D74A">
            <w:pPr>
              <w:pStyle w:val="12"/>
              <w:spacing w:line="600" w:lineRule="exact"/>
              <w:rPr>
                <w:rFonts w:ascii="Times New Roman"/>
                <w:color w:val="auto"/>
                <w:highlight w:val="none"/>
              </w:rPr>
            </w:pPr>
          </w:p>
        </w:tc>
      </w:tr>
      <w:tr w14:paraId="6B0DD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4C1A555A">
            <w:pPr>
              <w:pStyle w:val="12"/>
              <w:spacing w:line="600" w:lineRule="exact"/>
              <w:rPr>
                <w:rFonts w:ascii="Times New Roman"/>
                <w:color w:val="auto"/>
                <w:highlight w:val="none"/>
              </w:rPr>
            </w:pPr>
          </w:p>
        </w:tc>
        <w:tc>
          <w:tcPr>
            <w:tcW w:w="1770" w:type="dxa"/>
            <w:noWrap w:val="0"/>
            <w:vAlign w:val="top"/>
          </w:tcPr>
          <w:p w14:paraId="4AB29666">
            <w:pPr>
              <w:pStyle w:val="12"/>
              <w:spacing w:line="600" w:lineRule="exact"/>
              <w:rPr>
                <w:rFonts w:ascii="Times New Roman"/>
                <w:color w:val="auto"/>
                <w:highlight w:val="none"/>
              </w:rPr>
            </w:pPr>
          </w:p>
        </w:tc>
        <w:tc>
          <w:tcPr>
            <w:tcW w:w="2127" w:type="dxa"/>
            <w:noWrap w:val="0"/>
            <w:vAlign w:val="top"/>
          </w:tcPr>
          <w:p w14:paraId="0BA214C4">
            <w:pPr>
              <w:pStyle w:val="12"/>
              <w:spacing w:line="600" w:lineRule="exact"/>
              <w:rPr>
                <w:rFonts w:ascii="Times New Roman"/>
                <w:color w:val="auto"/>
                <w:highlight w:val="none"/>
              </w:rPr>
            </w:pPr>
          </w:p>
        </w:tc>
        <w:tc>
          <w:tcPr>
            <w:tcW w:w="2126" w:type="dxa"/>
            <w:noWrap w:val="0"/>
            <w:vAlign w:val="top"/>
          </w:tcPr>
          <w:p w14:paraId="6393B2C7">
            <w:pPr>
              <w:pStyle w:val="12"/>
              <w:spacing w:line="600" w:lineRule="exact"/>
              <w:rPr>
                <w:rFonts w:ascii="Times New Roman"/>
                <w:color w:val="auto"/>
                <w:highlight w:val="none"/>
              </w:rPr>
            </w:pPr>
          </w:p>
        </w:tc>
        <w:tc>
          <w:tcPr>
            <w:tcW w:w="1893" w:type="dxa"/>
            <w:noWrap w:val="0"/>
            <w:vAlign w:val="top"/>
          </w:tcPr>
          <w:p w14:paraId="68C5C2A2">
            <w:pPr>
              <w:pStyle w:val="12"/>
              <w:spacing w:line="600" w:lineRule="exact"/>
              <w:rPr>
                <w:rFonts w:ascii="Times New Roman"/>
                <w:color w:val="auto"/>
                <w:highlight w:val="none"/>
              </w:rPr>
            </w:pPr>
          </w:p>
        </w:tc>
      </w:tr>
      <w:tr w14:paraId="06F65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656E88B9">
            <w:pPr>
              <w:pStyle w:val="12"/>
              <w:spacing w:line="600" w:lineRule="exact"/>
              <w:rPr>
                <w:rFonts w:ascii="Times New Roman"/>
                <w:color w:val="auto"/>
                <w:highlight w:val="none"/>
              </w:rPr>
            </w:pPr>
          </w:p>
        </w:tc>
        <w:tc>
          <w:tcPr>
            <w:tcW w:w="1770" w:type="dxa"/>
            <w:noWrap w:val="0"/>
            <w:vAlign w:val="top"/>
          </w:tcPr>
          <w:p w14:paraId="65511E95">
            <w:pPr>
              <w:pStyle w:val="12"/>
              <w:spacing w:line="600" w:lineRule="exact"/>
              <w:rPr>
                <w:rFonts w:ascii="Times New Roman"/>
                <w:color w:val="auto"/>
                <w:highlight w:val="none"/>
              </w:rPr>
            </w:pPr>
          </w:p>
        </w:tc>
        <w:tc>
          <w:tcPr>
            <w:tcW w:w="2127" w:type="dxa"/>
            <w:noWrap w:val="0"/>
            <w:vAlign w:val="top"/>
          </w:tcPr>
          <w:p w14:paraId="5B4C8F4B">
            <w:pPr>
              <w:pStyle w:val="12"/>
              <w:spacing w:line="600" w:lineRule="exact"/>
              <w:rPr>
                <w:rFonts w:ascii="Times New Roman"/>
                <w:color w:val="auto"/>
                <w:highlight w:val="none"/>
              </w:rPr>
            </w:pPr>
          </w:p>
        </w:tc>
        <w:tc>
          <w:tcPr>
            <w:tcW w:w="2126" w:type="dxa"/>
            <w:noWrap w:val="0"/>
            <w:vAlign w:val="top"/>
          </w:tcPr>
          <w:p w14:paraId="3381326B">
            <w:pPr>
              <w:pStyle w:val="12"/>
              <w:spacing w:line="600" w:lineRule="exact"/>
              <w:rPr>
                <w:rFonts w:ascii="Times New Roman"/>
                <w:color w:val="auto"/>
                <w:highlight w:val="none"/>
              </w:rPr>
            </w:pPr>
          </w:p>
        </w:tc>
        <w:tc>
          <w:tcPr>
            <w:tcW w:w="1893" w:type="dxa"/>
            <w:noWrap w:val="0"/>
            <w:vAlign w:val="top"/>
          </w:tcPr>
          <w:p w14:paraId="28558B3E">
            <w:pPr>
              <w:pStyle w:val="12"/>
              <w:spacing w:line="600" w:lineRule="exact"/>
              <w:rPr>
                <w:rFonts w:ascii="Times New Roman"/>
                <w:color w:val="auto"/>
                <w:highlight w:val="none"/>
              </w:rPr>
            </w:pPr>
          </w:p>
        </w:tc>
      </w:tr>
      <w:tr w14:paraId="767276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8" w:type="dxa"/>
            <w:noWrap w:val="0"/>
            <w:vAlign w:val="top"/>
          </w:tcPr>
          <w:p w14:paraId="0F0F490A">
            <w:pPr>
              <w:pStyle w:val="12"/>
              <w:spacing w:line="600" w:lineRule="exact"/>
              <w:rPr>
                <w:rFonts w:ascii="Times New Roman"/>
                <w:color w:val="auto"/>
                <w:highlight w:val="none"/>
              </w:rPr>
            </w:pPr>
          </w:p>
        </w:tc>
        <w:tc>
          <w:tcPr>
            <w:tcW w:w="1770" w:type="dxa"/>
            <w:noWrap w:val="0"/>
            <w:vAlign w:val="top"/>
          </w:tcPr>
          <w:p w14:paraId="71811420">
            <w:pPr>
              <w:pStyle w:val="12"/>
              <w:spacing w:line="600" w:lineRule="exact"/>
              <w:rPr>
                <w:rFonts w:ascii="Times New Roman"/>
                <w:color w:val="auto"/>
                <w:highlight w:val="none"/>
              </w:rPr>
            </w:pPr>
          </w:p>
        </w:tc>
        <w:tc>
          <w:tcPr>
            <w:tcW w:w="2127" w:type="dxa"/>
            <w:noWrap w:val="0"/>
            <w:vAlign w:val="top"/>
          </w:tcPr>
          <w:p w14:paraId="1134F260">
            <w:pPr>
              <w:pStyle w:val="12"/>
              <w:spacing w:line="600" w:lineRule="exact"/>
              <w:rPr>
                <w:rFonts w:ascii="Times New Roman"/>
                <w:color w:val="auto"/>
                <w:highlight w:val="none"/>
              </w:rPr>
            </w:pPr>
          </w:p>
        </w:tc>
        <w:tc>
          <w:tcPr>
            <w:tcW w:w="2126" w:type="dxa"/>
            <w:noWrap w:val="0"/>
            <w:vAlign w:val="top"/>
          </w:tcPr>
          <w:p w14:paraId="20EE7722">
            <w:pPr>
              <w:pStyle w:val="12"/>
              <w:spacing w:line="600" w:lineRule="exact"/>
              <w:rPr>
                <w:rFonts w:ascii="Times New Roman"/>
                <w:color w:val="auto"/>
                <w:highlight w:val="none"/>
              </w:rPr>
            </w:pPr>
          </w:p>
        </w:tc>
        <w:tc>
          <w:tcPr>
            <w:tcW w:w="1893" w:type="dxa"/>
            <w:noWrap w:val="0"/>
            <w:vAlign w:val="top"/>
          </w:tcPr>
          <w:p w14:paraId="0B31682A">
            <w:pPr>
              <w:pStyle w:val="12"/>
              <w:spacing w:line="600" w:lineRule="exact"/>
              <w:rPr>
                <w:rFonts w:ascii="Times New Roman"/>
                <w:color w:val="auto"/>
                <w:highlight w:val="none"/>
              </w:rPr>
            </w:pPr>
          </w:p>
        </w:tc>
      </w:tr>
    </w:tbl>
    <w:p w14:paraId="10DCCB15">
      <w:pPr>
        <w:pStyle w:val="12"/>
        <w:spacing w:line="600" w:lineRule="exact"/>
        <w:ind w:firstLine="420" w:firstLineChars="200"/>
        <w:rPr>
          <w:rFonts w:ascii="Times New Roman"/>
          <w:color w:val="auto"/>
          <w:highlight w:val="none"/>
        </w:rPr>
      </w:pPr>
      <w:r>
        <w:rPr>
          <w:rFonts w:ascii="Times New Roman"/>
          <w:color w:val="auto"/>
          <w:highlight w:val="none"/>
        </w:rPr>
        <w:t>注：</w:t>
      </w:r>
      <w:r>
        <w:rPr>
          <w:rFonts w:hint="eastAsia" w:ascii="Times New Roman"/>
          <w:color w:val="auto"/>
          <w:highlight w:val="none"/>
        </w:rPr>
        <w:t>1.</w:t>
      </w:r>
      <w:r>
        <w:rPr>
          <w:rFonts w:ascii="Times New Roman"/>
          <w:color w:val="auto"/>
          <w:highlight w:val="none"/>
        </w:rPr>
        <w:t>“偏离”系指“正偏离”、“负偏离”或“无偏离”。</w:t>
      </w:r>
    </w:p>
    <w:p w14:paraId="6FFF56E5">
      <w:pPr>
        <w:pStyle w:val="12"/>
        <w:spacing w:line="600" w:lineRule="exact"/>
        <w:ind w:firstLine="422" w:firstLineChars="200"/>
        <w:rPr>
          <w:rFonts w:ascii="Times New Roman"/>
          <w:color w:val="auto"/>
          <w:highlight w:val="none"/>
        </w:rPr>
      </w:pPr>
      <w:r>
        <w:rPr>
          <w:rFonts w:hint="eastAsia" w:ascii="Times New Roman"/>
          <w:b/>
          <w:color w:val="auto"/>
          <w:highlight w:val="none"/>
        </w:rPr>
        <w:t>2.</w:t>
      </w:r>
      <w:r>
        <w:rPr>
          <w:rFonts w:ascii="Times New Roman"/>
          <w:b/>
          <w:color w:val="auto"/>
          <w:highlight w:val="none"/>
        </w:rPr>
        <w:t>如无偏差，供应商不需要填表，但应声明：“本</w:t>
      </w:r>
      <w:r>
        <w:rPr>
          <w:rFonts w:hint="eastAsia" w:ascii="Times New Roman"/>
          <w:b/>
          <w:color w:val="auto"/>
          <w:highlight w:val="none"/>
        </w:rPr>
        <w:t>响应</w:t>
      </w:r>
      <w:r>
        <w:rPr>
          <w:rFonts w:ascii="Times New Roman"/>
          <w:b/>
          <w:color w:val="auto"/>
          <w:highlight w:val="none"/>
        </w:rPr>
        <w:t>文件完全响应</w:t>
      </w:r>
      <w:r>
        <w:rPr>
          <w:rFonts w:hint="eastAsia" w:ascii="Times New Roman"/>
          <w:b/>
          <w:color w:val="auto"/>
          <w:highlight w:val="none"/>
        </w:rPr>
        <w:t>磋商</w:t>
      </w:r>
      <w:r>
        <w:rPr>
          <w:rFonts w:ascii="Times New Roman"/>
          <w:b/>
          <w:color w:val="auto"/>
          <w:highlight w:val="none"/>
        </w:rPr>
        <w:t>文件所有条款的要求，无偏差。</w:t>
      </w:r>
      <w:r>
        <w:rPr>
          <w:rFonts w:ascii="Times New Roman"/>
          <w:b/>
          <w:color w:val="auto"/>
          <w:sz w:val="24"/>
          <w:highlight w:val="none"/>
        </w:rPr>
        <w:t>”</w:t>
      </w:r>
    </w:p>
    <w:p w14:paraId="3A6FC2F5">
      <w:pPr>
        <w:pStyle w:val="12"/>
        <w:spacing w:line="600" w:lineRule="auto"/>
        <w:rPr>
          <w:rFonts w:ascii="Times New Roman"/>
          <w:color w:val="auto"/>
          <w:highlight w:val="none"/>
        </w:rPr>
      </w:pPr>
      <w:r>
        <w:rPr>
          <w:rFonts w:ascii="Times New Roman"/>
          <w:color w:val="auto"/>
          <w:highlight w:val="none"/>
        </w:rPr>
        <w:t>供应商：</w:t>
      </w:r>
      <w:r>
        <w:rPr>
          <w:rFonts w:ascii="Times New Roman"/>
          <w:color w:val="auto"/>
          <w:highlight w:val="none"/>
          <w:u w:val="single"/>
        </w:rPr>
        <w:t>（盖企业电子公章）</w:t>
      </w:r>
    </w:p>
    <w:p w14:paraId="1FDBAFEA">
      <w:pPr>
        <w:pStyle w:val="12"/>
        <w:spacing w:line="600" w:lineRule="auto"/>
        <w:rPr>
          <w:rFonts w:ascii="Times New Roman"/>
          <w:color w:val="auto"/>
          <w:highlight w:val="none"/>
        </w:rPr>
      </w:pPr>
      <w:r>
        <w:rPr>
          <w:rFonts w:ascii="Times New Roman"/>
          <w:color w:val="auto"/>
          <w:highlight w:val="none"/>
        </w:rPr>
        <w:t>法定代表人：</w:t>
      </w:r>
      <w:r>
        <w:rPr>
          <w:rFonts w:ascii="Times New Roman"/>
          <w:color w:val="auto"/>
          <w:highlight w:val="none"/>
          <w:u w:val="single"/>
        </w:rPr>
        <w:t>（</w:t>
      </w:r>
      <w:r>
        <w:rPr>
          <w:rFonts w:hint="eastAsia" w:ascii="Times New Roman"/>
          <w:color w:val="auto"/>
          <w:highlight w:val="none"/>
          <w:u w:val="single"/>
        </w:rPr>
        <w:t>电子签名/章</w:t>
      </w:r>
      <w:r>
        <w:rPr>
          <w:rFonts w:ascii="Times New Roman"/>
          <w:color w:val="auto"/>
          <w:highlight w:val="none"/>
          <w:u w:val="single"/>
        </w:rPr>
        <w:t>）</w:t>
      </w:r>
    </w:p>
    <w:p w14:paraId="3A9983E8">
      <w:pPr>
        <w:spacing w:line="360" w:lineRule="auto"/>
        <w:rPr>
          <w:color w:val="auto"/>
          <w:szCs w:val="21"/>
          <w:highlight w:val="none"/>
          <w:u w:val="single"/>
        </w:rPr>
      </w:pPr>
      <w:r>
        <w:rPr>
          <w:color w:val="auto"/>
          <w:szCs w:val="21"/>
          <w:highlight w:val="none"/>
        </w:rPr>
        <w:t>日期：</w:t>
      </w:r>
    </w:p>
    <w:p w14:paraId="079CD1E3">
      <w:pPr>
        <w:jc w:val="left"/>
        <w:rPr>
          <w:color w:val="auto"/>
          <w:highlight w:val="none"/>
        </w:rPr>
      </w:pPr>
      <w:r>
        <w:rPr>
          <w:color w:val="auto"/>
          <w:highlight w:val="none"/>
        </w:rPr>
        <w:t xml:space="preserve"> </w:t>
      </w:r>
    </w:p>
    <w:p w14:paraId="5A046D76">
      <w:pPr>
        <w:spacing w:line="360" w:lineRule="auto"/>
        <w:rPr>
          <w:color w:val="auto"/>
          <w:szCs w:val="21"/>
          <w:highlight w:val="none"/>
          <w:u w:val="single"/>
        </w:rPr>
      </w:pPr>
      <w:r>
        <w:rPr>
          <w:rFonts w:hint="eastAsia" w:eastAsia="黑体"/>
          <w:color w:val="auto"/>
          <w:sz w:val="30"/>
          <w:szCs w:val="30"/>
          <w:highlight w:val="none"/>
        </w:rPr>
        <w:br w:type="page"/>
      </w:r>
      <w:bookmarkStart w:id="1215" w:name="_Toc13822237"/>
    </w:p>
    <w:p w14:paraId="0BED6229">
      <w:pPr>
        <w:jc w:val="center"/>
        <w:outlineLvl w:val="2"/>
        <w:rPr>
          <w:rFonts w:hint="eastAsia" w:ascii="黑体" w:hAnsi="黑体" w:eastAsia="黑体"/>
          <w:bCs/>
          <w:color w:val="auto"/>
          <w:sz w:val="28"/>
          <w:szCs w:val="30"/>
          <w:highlight w:val="none"/>
        </w:rPr>
      </w:pPr>
      <w:bookmarkStart w:id="1216" w:name="_Toc4207"/>
      <w:bookmarkStart w:id="1217" w:name="_Toc17092"/>
      <w:bookmarkStart w:id="1218" w:name="_Toc14978"/>
      <w:bookmarkStart w:id="1219" w:name="_Toc16334"/>
      <w:bookmarkStart w:id="1220" w:name="_Toc31201"/>
      <w:bookmarkStart w:id="1221" w:name="_Toc534"/>
      <w:bookmarkStart w:id="1222" w:name="_Toc4399"/>
      <w:bookmarkStart w:id="1223" w:name="_Toc23665"/>
      <w:bookmarkStart w:id="1224" w:name="_Toc470"/>
      <w:bookmarkStart w:id="1225" w:name="_Toc17987501"/>
      <w:bookmarkStart w:id="1226" w:name="_Toc25468"/>
      <w:bookmarkStart w:id="1227" w:name="_Toc4819"/>
      <w:bookmarkStart w:id="1228" w:name="_Toc28097"/>
      <w:r>
        <w:rPr>
          <w:rFonts w:hint="eastAsia" w:ascii="黑体" w:hAnsi="黑体" w:eastAsia="黑体"/>
          <w:bCs/>
          <w:color w:val="auto"/>
          <w:sz w:val="28"/>
          <w:szCs w:val="30"/>
          <w:highlight w:val="none"/>
        </w:rPr>
        <w:t>工期承诺和保证措施</w:t>
      </w:r>
      <w:bookmarkEnd w:id="1216"/>
      <w:bookmarkEnd w:id="1217"/>
      <w:bookmarkEnd w:id="1218"/>
      <w:bookmarkEnd w:id="1219"/>
      <w:bookmarkEnd w:id="1220"/>
      <w:bookmarkEnd w:id="1221"/>
      <w:bookmarkEnd w:id="1222"/>
      <w:bookmarkEnd w:id="1223"/>
      <w:bookmarkEnd w:id="1224"/>
    </w:p>
    <w:p w14:paraId="47D8C553">
      <w:pPr>
        <w:jc w:val="center"/>
        <w:rPr>
          <w:rFonts w:hint="eastAsia" w:hAnsi="Courier New"/>
          <w:color w:val="auto"/>
          <w:szCs w:val="21"/>
          <w:highlight w:val="none"/>
        </w:rPr>
      </w:pPr>
      <w:r>
        <w:rPr>
          <w:rFonts w:hint="eastAsia" w:hAnsi="Courier New"/>
          <w:color w:val="auto"/>
          <w:szCs w:val="21"/>
          <w:highlight w:val="none"/>
        </w:rPr>
        <w:t>（格式内容自拟）</w:t>
      </w:r>
    </w:p>
    <w:p w14:paraId="2DF27ADB">
      <w:pPr>
        <w:rPr>
          <w:rFonts w:hint="eastAsia"/>
          <w:color w:val="auto"/>
          <w:highlight w:val="none"/>
        </w:rPr>
      </w:pPr>
    </w:p>
    <w:p w14:paraId="19FCA69A">
      <w:pPr>
        <w:rPr>
          <w:rFonts w:hint="eastAsia"/>
          <w:color w:val="auto"/>
          <w:highlight w:val="none"/>
        </w:rPr>
      </w:pPr>
    </w:p>
    <w:p w14:paraId="58811082">
      <w:pPr>
        <w:rPr>
          <w:rFonts w:hint="eastAsia"/>
          <w:color w:val="auto"/>
          <w:highlight w:val="none"/>
        </w:rPr>
      </w:pPr>
    </w:p>
    <w:p w14:paraId="1E029D38">
      <w:pPr>
        <w:rPr>
          <w:rFonts w:hint="eastAsia" w:ascii="黑体" w:hAnsi="黑体" w:eastAsia="黑体"/>
          <w:bCs/>
          <w:color w:val="auto"/>
          <w:sz w:val="28"/>
          <w:szCs w:val="30"/>
          <w:highlight w:val="none"/>
        </w:rPr>
      </w:pPr>
    </w:p>
    <w:p w14:paraId="7F1D4D51">
      <w:pPr>
        <w:spacing w:line="360" w:lineRule="auto"/>
        <w:jc w:val="center"/>
        <w:outlineLvl w:val="2"/>
        <w:rPr>
          <w:rFonts w:hint="default" w:ascii="黑体" w:hAnsi="黑体" w:eastAsia="黑体"/>
          <w:bCs/>
          <w:color w:val="auto"/>
          <w:sz w:val="28"/>
          <w:szCs w:val="30"/>
          <w:highlight w:val="none"/>
          <w:lang w:val="en-US" w:eastAsia="zh-CN"/>
        </w:rPr>
      </w:pPr>
      <w:r>
        <w:rPr>
          <w:rFonts w:hint="eastAsia" w:eastAsia="黑体"/>
          <w:color w:val="auto"/>
          <w:sz w:val="24"/>
          <w:highlight w:val="none"/>
        </w:rPr>
        <w:br w:type="page"/>
      </w:r>
      <w:bookmarkStart w:id="1229" w:name="_Toc23339"/>
      <w:bookmarkStart w:id="1230" w:name="_Toc20772"/>
      <w:bookmarkStart w:id="1231" w:name="_Toc11121"/>
      <w:bookmarkStart w:id="1232" w:name="_Toc16167"/>
      <w:bookmarkStart w:id="1233" w:name="_Toc21689"/>
      <w:bookmarkStart w:id="1234" w:name="_Toc12139"/>
      <w:r>
        <w:rPr>
          <w:rFonts w:hint="eastAsia" w:ascii="黑体" w:hAnsi="黑体" w:eastAsia="黑体"/>
          <w:bCs/>
          <w:color w:val="auto"/>
          <w:sz w:val="28"/>
          <w:szCs w:val="30"/>
          <w:highlight w:val="none"/>
        </w:rPr>
        <w:t>项目管理人员配置</w:t>
      </w:r>
      <w:bookmarkEnd w:id="1229"/>
      <w:bookmarkEnd w:id="1230"/>
      <w:bookmarkEnd w:id="1231"/>
      <w:r>
        <w:rPr>
          <w:rFonts w:hint="eastAsia" w:ascii="黑体" w:hAnsi="黑体" w:eastAsia="黑体"/>
          <w:bCs/>
          <w:color w:val="auto"/>
          <w:sz w:val="28"/>
          <w:szCs w:val="30"/>
          <w:highlight w:val="none"/>
          <w:lang w:val="en-US" w:eastAsia="zh-CN"/>
        </w:rPr>
        <w:t>及分工</w:t>
      </w:r>
      <w:bookmarkEnd w:id="1232"/>
      <w:bookmarkEnd w:id="1233"/>
      <w:bookmarkEnd w:id="1234"/>
    </w:p>
    <w:p w14:paraId="3573C1EC">
      <w:pPr>
        <w:ind w:firstLine="420"/>
        <w:jc w:val="center"/>
        <w:rPr>
          <w:rFonts w:hint="eastAsia" w:ascii="宋体" w:hAnsi="宋体"/>
          <w:color w:val="auto"/>
          <w:szCs w:val="21"/>
          <w:highlight w:val="none"/>
        </w:rPr>
      </w:pPr>
    </w:p>
    <w:p w14:paraId="248BFAC4">
      <w:pPr>
        <w:spacing w:line="360" w:lineRule="auto"/>
        <w:ind w:firstLine="632" w:firstLineChars="300"/>
        <w:jc w:val="left"/>
        <w:rPr>
          <w:rFonts w:hint="eastAsia" w:ascii="宋体" w:hAnsi="宋体" w:cs="宋体"/>
          <w:b/>
          <w:color w:val="auto"/>
          <w:szCs w:val="21"/>
          <w:highlight w:val="none"/>
        </w:rPr>
      </w:pPr>
      <w:r>
        <w:rPr>
          <w:rFonts w:hint="eastAsia" w:ascii="宋体" w:hAnsi="宋体" w:cs="宋体"/>
          <w:b/>
          <w:color w:val="auto"/>
          <w:szCs w:val="21"/>
          <w:highlight w:val="none"/>
        </w:rPr>
        <w:t>项目名称：</w:t>
      </w:r>
    </w:p>
    <w:p w14:paraId="1A9561F2">
      <w:pPr>
        <w:spacing w:line="360" w:lineRule="auto"/>
        <w:ind w:left="420" w:leftChars="200" w:firstLine="211" w:firstLineChars="100"/>
        <w:jc w:val="left"/>
        <w:rPr>
          <w:rFonts w:hint="eastAsia" w:ascii="宋体" w:hAnsi="宋体" w:cs="宋体"/>
          <w:b/>
          <w:color w:val="auto"/>
          <w:szCs w:val="21"/>
          <w:highlight w:val="none"/>
          <w:u w:val="single"/>
        </w:rPr>
      </w:pPr>
      <w:r>
        <w:rPr>
          <w:rFonts w:hint="eastAsia" w:ascii="宋体" w:hAnsi="宋体" w:cs="宋体"/>
          <w:b/>
          <w:color w:val="auto"/>
          <w:szCs w:val="21"/>
          <w:highlight w:val="none"/>
        </w:rPr>
        <w:t xml:space="preserve">项目编号：                    </w:t>
      </w:r>
    </w:p>
    <w:tbl>
      <w:tblPr>
        <w:tblStyle w:val="21"/>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373"/>
        <w:gridCol w:w="1373"/>
        <w:gridCol w:w="1429"/>
        <w:gridCol w:w="1467"/>
        <w:gridCol w:w="1793"/>
        <w:gridCol w:w="878"/>
      </w:tblGrid>
      <w:tr w14:paraId="139F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762" w:type="dxa"/>
            <w:noWrap w:val="0"/>
            <w:vAlign w:val="center"/>
          </w:tcPr>
          <w:p w14:paraId="7ED2FAF4">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373" w:type="dxa"/>
            <w:noWrap w:val="0"/>
            <w:vAlign w:val="center"/>
          </w:tcPr>
          <w:p w14:paraId="7ACF2FE6">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岗位</w:t>
            </w:r>
          </w:p>
        </w:tc>
        <w:tc>
          <w:tcPr>
            <w:tcW w:w="1373" w:type="dxa"/>
            <w:noWrap w:val="0"/>
            <w:vAlign w:val="center"/>
          </w:tcPr>
          <w:p w14:paraId="091A01F4">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429" w:type="dxa"/>
            <w:noWrap w:val="0"/>
            <w:vAlign w:val="center"/>
          </w:tcPr>
          <w:p w14:paraId="28CE4CB0">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年龄</w:t>
            </w:r>
          </w:p>
        </w:tc>
        <w:tc>
          <w:tcPr>
            <w:tcW w:w="1467" w:type="dxa"/>
            <w:noWrap w:val="0"/>
            <w:vAlign w:val="center"/>
          </w:tcPr>
          <w:p w14:paraId="1AD474FD">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岗位证书（资格证书）及编号</w:t>
            </w:r>
          </w:p>
        </w:tc>
        <w:tc>
          <w:tcPr>
            <w:tcW w:w="1793" w:type="dxa"/>
            <w:noWrap w:val="0"/>
            <w:vAlign w:val="center"/>
          </w:tcPr>
          <w:p w14:paraId="061D298A">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岗位要求</w:t>
            </w:r>
          </w:p>
        </w:tc>
        <w:tc>
          <w:tcPr>
            <w:tcW w:w="878" w:type="dxa"/>
            <w:noWrap w:val="0"/>
            <w:vAlign w:val="center"/>
          </w:tcPr>
          <w:p w14:paraId="642D0ADF">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职称</w:t>
            </w:r>
          </w:p>
        </w:tc>
      </w:tr>
      <w:tr w14:paraId="35B0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62" w:type="dxa"/>
            <w:noWrap w:val="0"/>
            <w:vAlign w:val="center"/>
          </w:tcPr>
          <w:p w14:paraId="25D50678">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373" w:type="dxa"/>
            <w:noWrap w:val="0"/>
            <w:vAlign w:val="center"/>
          </w:tcPr>
          <w:p w14:paraId="51C603E2">
            <w:pPr>
              <w:autoSpaceDE w:val="0"/>
              <w:autoSpaceDN w:val="0"/>
              <w:adjustRightInd w:val="0"/>
              <w:jc w:val="center"/>
              <w:rPr>
                <w:rFonts w:hint="eastAsia" w:ascii="宋体" w:hAnsi="宋体" w:cs="宋体"/>
                <w:color w:val="auto"/>
                <w:szCs w:val="21"/>
                <w:highlight w:val="none"/>
              </w:rPr>
            </w:pPr>
          </w:p>
        </w:tc>
        <w:tc>
          <w:tcPr>
            <w:tcW w:w="1373" w:type="dxa"/>
            <w:noWrap w:val="0"/>
            <w:vAlign w:val="center"/>
          </w:tcPr>
          <w:p w14:paraId="3449DA08">
            <w:pPr>
              <w:tabs>
                <w:tab w:val="left" w:pos="2520"/>
              </w:tabs>
              <w:jc w:val="center"/>
              <w:rPr>
                <w:rFonts w:hint="eastAsia" w:ascii="宋体" w:hAnsi="宋体" w:cs="宋体"/>
                <w:color w:val="auto"/>
                <w:szCs w:val="21"/>
                <w:highlight w:val="none"/>
              </w:rPr>
            </w:pPr>
          </w:p>
        </w:tc>
        <w:tc>
          <w:tcPr>
            <w:tcW w:w="1429" w:type="dxa"/>
            <w:noWrap w:val="0"/>
            <w:vAlign w:val="center"/>
          </w:tcPr>
          <w:p w14:paraId="1720A467">
            <w:pPr>
              <w:tabs>
                <w:tab w:val="left" w:pos="2520"/>
              </w:tabs>
              <w:jc w:val="center"/>
              <w:rPr>
                <w:rFonts w:hint="eastAsia" w:ascii="宋体" w:hAnsi="宋体" w:cs="宋体"/>
                <w:color w:val="auto"/>
                <w:szCs w:val="21"/>
                <w:highlight w:val="none"/>
              </w:rPr>
            </w:pPr>
          </w:p>
        </w:tc>
        <w:tc>
          <w:tcPr>
            <w:tcW w:w="1467" w:type="dxa"/>
            <w:noWrap w:val="0"/>
            <w:vAlign w:val="center"/>
          </w:tcPr>
          <w:p w14:paraId="0A5C36EA">
            <w:pPr>
              <w:tabs>
                <w:tab w:val="left" w:pos="2520"/>
              </w:tabs>
              <w:jc w:val="center"/>
              <w:rPr>
                <w:rFonts w:hint="eastAsia" w:ascii="宋体" w:hAnsi="宋体" w:cs="宋体"/>
                <w:color w:val="auto"/>
                <w:szCs w:val="21"/>
                <w:highlight w:val="none"/>
              </w:rPr>
            </w:pPr>
          </w:p>
        </w:tc>
        <w:tc>
          <w:tcPr>
            <w:tcW w:w="1793" w:type="dxa"/>
            <w:noWrap w:val="0"/>
            <w:vAlign w:val="center"/>
          </w:tcPr>
          <w:p w14:paraId="3175A33E">
            <w:pPr>
              <w:tabs>
                <w:tab w:val="left" w:pos="2520"/>
              </w:tabs>
              <w:jc w:val="center"/>
              <w:rPr>
                <w:rFonts w:hint="eastAsia" w:ascii="宋体" w:hAnsi="宋体" w:cs="宋体"/>
                <w:color w:val="auto"/>
                <w:szCs w:val="21"/>
                <w:highlight w:val="none"/>
              </w:rPr>
            </w:pPr>
          </w:p>
        </w:tc>
        <w:tc>
          <w:tcPr>
            <w:tcW w:w="878" w:type="dxa"/>
            <w:noWrap w:val="0"/>
            <w:vAlign w:val="center"/>
          </w:tcPr>
          <w:p w14:paraId="0A52ABF1">
            <w:pPr>
              <w:tabs>
                <w:tab w:val="left" w:pos="2520"/>
              </w:tabs>
              <w:jc w:val="center"/>
              <w:rPr>
                <w:rFonts w:hint="eastAsia" w:ascii="宋体" w:hAnsi="宋体" w:cs="宋体"/>
                <w:color w:val="auto"/>
                <w:szCs w:val="21"/>
                <w:highlight w:val="none"/>
              </w:rPr>
            </w:pPr>
          </w:p>
        </w:tc>
      </w:tr>
      <w:tr w14:paraId="7FC6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62" w:type="dxa"/>
            <w:noWrap w:val="0"/>
            <w:vAlign w:val="center"/>
          </w:tcPr>
          <w:p w14:paraId="42D3599E">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373" w:type="dxa"/>
            <w:noWrap w:val="0"/>
            <w:vAlign w:val="center"/>
          </w:tcPr>
          <w:p w14:paraId="0DEE8CD9">
            <w:pPr>
              <w:autoSpaceDE w:val="0"/>
              <w:autoSpaceDN w:val="0"/>
              <w:adjustRightInd w:val="0"/>
              <w:jc w:val="center"/>
              <w:rPr>
                <w:rFonts w:hint="eastAsia" w:ascii="宋体" w:hAnsi="宋体" w:cs="宋体"/>
                <w:color w:val="auto"/>
                <w:szCs w:val="21"/>
                <w:highlight w:val="none"/>
              </w:rPr>
            </w:pPr>
          </w:p>
        </w:tc>
        <w:tc>
          <w:tcPr>
            <w:tcW w:w="1373" w:type="dxa"/>
            <w:noWrap w:val="0"/>
            <w:vAlign w:val="center"/>
          </w:tcPr>
          <w:p w14:paraId="5258A349">
            <w:pPr>
              <w:tabs>
                <w:tab w:val="left" w:pos="2520"/>
              </w:tabs>
              <w:jc w:val="center"/>
              <w:rPr>
                <w:rFonts w:hint="eastAsia" w:ascii="宋体" w:hAnsi="宋体" w:cs="宋体"/>
                <w:color w:val="auto"/>
                <w:szCs w:val="21"/>
                <w:highlight w:val="none"/>
              </w:rPr>
            </w:pPr>
          </w:p>
        </w:tc>
        <w:tc>
          <w:tcPr>
            <w:tcW w:w="1429" w:type="dxa"/>
            <w:noWrap w:val="0"/>
            <w:vAlign w:val="center"/>
          </w:tcPr>
          <w:p w14:paraId="113941BD">
            <w:pPr>
              <w:tabs>
                <w:tab w:val="left" w:pos="2520"/>
              </w:tabs>
              <w:jc w:val="center"/>
              <w:rPr>
                <w:rFonts w:hint="eastAsia" w:ascii="宋体" w:hAnsi="宋体" w:cs="宋体"/>
                <w:color w:val="auto"/>
                <w:szCs w:val="21"/>
                <w:highlight w:val="none"/>
              </w:rPr>
            </w:pPr>
          </w:p>
        </w:tc>
        <w:tc>
          <w:tcPr>
            <w:tcW w:w="1467" w:type="dxa"/>
            <w:noWrap w:val="0"/>
            <w:vAlign w:val="center"/>
          </w:tcPr>
          <w:p w14:paraId="2981C7ED">
            <w:pPr>
              <w:tabs>
                <w:tab w:val="left" w:pos="2520"/>
              </w:tabs>
              <w:jc w:val="center"/>
              <w:rPr>
                <w:rFonts w:hint="eastAsia" w:ascii="宋体" w:hAnsi="宋体" w:cs="宋体"/>
                <w:color w:val="auto"/>
                <w:szCs w:val="21"/>
                <w:highlight w:val="none"/>
              </w:rPr>
            </w:pPr>
          </w:p>
        </w:tc>
        <w:tc>
          <w:tcPr>
            <w:tcW w:w="1793" w:type="dxa"/>
            <w:noWrap w:val="0"/>
            <w:vAlign w:val="center"/>
          </w:tcPr>
          <w:p w14:paraId="77129C82">
            <w:pPr>
              <w:tabs>
                <w:tab w:val="left" w:pos="2520"/>
              </w:tabs>
              <w:jc w:val="center"/>
              <w:rPr>
                <w:rFonts w:hint="eastAsia" w:ascii="宋体" w:hAnsi="宋体" w:cs="宋体"/>
                <w:color w:val="auto"/>
                <w:szCs w:val="21"/>
                <w:highlight w:val="none"/>
              </w:rPr>
            </w:pPr>
          </w:p>
        </w:tc>
        <w:tc>
          <w:tcPr>
            <w:tcW w:w="878" w:type="dxa"/>
            <w:noWrap w:val="0"/>
            <w:vAlign w:val="center"/>
          </w:tcPr>
          <w:p w14:paraId="358DB670">
            <w:pPr>
              <w:tabs>
                <w:tab w:val="left" w:pos="2520"/>
              </w:tabs>
              <w:jc w:val="center"/>
              <w:rPr>
                <w:rFonts w:hint="eastAsia" w:ascii="宋体" w:hAnsi="宋体" w:cs="宋体"/>
                <w:color w:val="auto"/>
                <w:szCs w:val="21"/>
                <w:highlight w:val="none"/>
              </w:rPr>
            </w:pPr>
          </w:p>
        </w:tc>
      </w:tr>
      <w:tr w14:paraId="2D30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62" w:type="dxa"/>
            <w:noWrap w:val="0"/>
            <w:vAlign w:val="center"/>
          </w:tcPr>
          <w:p w14:paraId="774C7021">
            <w:pPr>
              <w:tabs>
                <w:tab w:val="left" w:pos="2520"/>
              </w:tabs>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373" w:type="dxa"/>
            <w:noWrap w:val="0"/>
            <w:vAlign w:val="center"/>
          </w:tcPr>
          <w:p w14:paraId="044BAD9E">
            <w:pPr>
              <w:autoSpaceDE w:val="0"/>
              <w:autoSpaceDN w:val="0"/>
              <w:adjustRightInd w:val="0"/>
              <w:jc w:val="center"/>
              <w:rPr>
                <w:rFonts w:hint="eastAsia" w:ascii="宋体" w:hAnsi="宋体" w:cs="宋体"/>
                <w:color w:val="auto"/>
                <w:szCs w:val="21"/>
                <w:highlight w:val="none"/>
              </w:rPr>
            </w:pPr>
          </w:p>
        </w:tc>
        <w:tc>
          <w:tcPr>
            <w:tcW w:w="1373" w:type="dxa"/>
            <w:noWrap w:val="0"/>
            <w:vAlign w:val="center"/>
          </w:tcPr>
          <w:p w14:paraId="4D9539F4">
            <w:pPr>
              <w:tabs>
                <w:tab w:val="left" w:pos="2520"/>
              </w:tabs>
              <w:jc w:val="center"/>
              <w:rPr>
                <w:rFonts w:hint="eastAsia" w:ascii="宋体" w:hAnsi="宋体" w:cs="宋体"/>
                <w:color w:val="auto"/>
                <w:szCs w:val="21"/>
                <w:highlight w:val="none"/>
              </w:rPr>
            </w:pPr>
          </w:p>
        </w:tc>
        <w:tc>
          <w:tcPr>
            <w:tcW w:w="1429" w:type="dxa"/>
            <w:noWrap w:val="0"/>
            <w:vAlign w:val="center"/>
          </w:tcPr>
          <w:p w14:paraId="20FA7407">
            <w:pPr>
              <w:tabs>
                <w:tab w:val="left" w:pos="2520"/>
              </w:tabs>
              <w:jc w:val="center"/>
              <w:rPr>
                <w:rFonts w:hint="eastAsia" w:ascii="宋体" w:hAnsi="宋体" w:cs="宋体"/>
                <w:color w:val="auto"/>
                <w:szCs w:val="21"/>
                <w:highlight w:val="none"/>
              </w:rPr>
            </w:pPr>
          </w:p>
        </w:tc>
        <w:tc>
          <w:tcPr>
            <w:tcW w:w="1467" w:type="dxa"/>
            <w:noWrap w:val="0"/>
            <w:vAlign w:val="center"/>
          </w:tcPr>
          <w:p w14:paraId="2251F8B0">
            <w:pPr>
              <w:tabs>
                <w:tab w:val="left" w:pos="2520"/>
              </w:tabs>
              <w:jc w:val="center"/>
              <w:rPr>
                <w:rFonts w:hint="eastAsia" w:ascii="宋体" w:hAnsi="宋体" w:cs="宋体"/>
                <w:color w:val="auto"/>
                <w:szCs w:val="21"/>
                <w:highlight w:val="none"/>
              </w:rPr>
            </w:pPr>
          </w:p>
        </w:tc>
        <w:tc>
          <w:tcPr>
            <w:tcW w:w="1793" w:type="dxa"/>
            <w:noWrap w:val="0"/>
            <w:vAlign w:val="center"/>
          </w:tcPr>
          <w:p w14:paraId="4D34B3AF">
            <w:pPr>
              <w:tabs>
                <w:tab w:val="left" w:pos="2520"/>
              </w:tabs>
              <w:jc w:val="center"/>
              <w:rPr>
                <w:rFonts w:hint="eastAsia" w:ascii="宋体" w:hAnsi="宋体" w:cs="宋体"/>
                <w:color w:val="auto"/>
                <w:szCs w:val="21"/>
                <w:highlight w:val="none"/>
              </w:rPr>
            </w:pPr>
          </w:p>
        </w:tc>
        <w:tc>
          <w:tcPr>
            <w:tcW w:w="878" w:type="dxa"/>
            <w:noWrap w:val="0"/>
            <w:vAlign w:val="center"/>
          </w:tcPr>
          <w:p w14:paraId="0F3C6110">
            <w:pPr>
              <w:tabs>
                <w:tab w:val="left" w:pos="2520"/>
              </w:tabs>
              <w:jc w:val="center"/>
              <w:rPr>
                <w:rFonts w:hint="eastAsia" w:ascii="宋体" w:hAnsi="宋体" w:cs="宋体"/>
                <w:color w:val="auto"/>
                <w:szCs w:val="21"/>
                <w:highlight w:val="none"/>
              </w:rPr>
            </w:pPr>
          </w:p>
        </w:tc>
      </w:tr>
      <w:tr w14:paraId="29DF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62" w:type="dxa"/>
            <w:noWrap w:val="0"/>
            <w:vAlign w:val="center"/>
          </w:tcPr>
          <w:p w14:paraId="7F110A20">
            <w:pPr>
              <w:tabs>
                <w:tab w:val="left" w:pos="2520"/>
              </w:tabs>
              <w:ind w:right="34" w:rightChars="16"/>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373" w:type="dxa"/>
            <w:noWrap w:val="0"/>
            <w:vAlign w:val="center"/>
          </w:tcPr>
          <w:p w14:paraId="109F3E0E">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5AD56F02">
            <w:pPr>
              <w:tabs>
                <w:tab w:val="left" w:pos="2520"/>
              </w:tabs>
              <w:jc w:val="center"/>
              <w:rPr>
                <w:rFonts w:hint="eastAsia" w:ascii="宋体" w:hAnsi="宋体" w:cs="宋体"/>
                <w:color w:val="auto"/>
                <w:szCs w:val="21"/>
                <w:highlight w:val="none"/>
              </w:rPr>
            </w:pPr>
          </w:p>
        </w:tc>
        <w:tc>
          <w:tcPr>
            <w:tcW w:w="1429" w:type="dxa"/>
            <w:noWrap w:val="0"/>
            <w:vAlign w:val="top"/>
          </w:tcPr>
          <w:p w14:paraId="28E39EF4">
            <w:pPr>
              <w:tabs>
                <w:tab w:val="left" w:pos="2520"/>
              </w:tabs>
              <w:jc w:val="center"/>
              <w:rPr>
                <w:rFonts w:hint="eastAsia" w:ascii="宋体" w:hAnsi="宋体" w:cs="宋体"/>
                <w:color w:val="auto"/>
                <w:szCs w:val="21"/>
                <w:highlight w:val="none"/>
              </w:rPr>
            </w:pPr>
          </w:p>
        </w:tc>
        <w:tc>
          <w:tcPr>
            <w:tcW w:w="1467" w:type="dxa"/>
            <w:noWrap w:val="0"/>
            <w:vAlign w:val="top"/>
          </w:tcPr>
          <w:p w14:paraId="171A87FB">
            <w:pPr>
              <w:tabs>
                <w:tab w:val="left" w:pos="2520"/>
              </w:tabs>
              <w:jc w:val="center"/>
              <w:rPr>
                <w:rFonts w:hint="eastAsia" w:ascii="宋体" w:hAnsi="宋体" w:cs="宋体"/>
                <w:color w:val="auto"/>
                <w:szCs w:val="21"/>
                <w:highlight w:val="none"/>
              </w:rPr>
            </w:pPr>
          </w:p>
        </w:tc>
        <w:tc>
          <w:tcPr>
            <w:tcW w:w="1793" w:type="dxa"/>
            <w:noWrap w:val="0"/>
            <w:vAlign w:val="top"/>
          </w:tcPr>
          <w:p w14:paraId="1C4AB863">
            <w:pPr>
              <w:tabs>
                <w:tab w:val="left" w:pos="2520"/>
              </w:tabs>
              <w:jc w:val="center"/>
              <w:rPr>
                <w:rFonts w:hint="eastAsia" w:ascii="宋体" w:hAnsi="宋体" w:cs="宋体"/>
                <w:color w:val="auto"/>
                <w:szCs w:val="21"/>
                <w:highlight w:val="none"/>
              </w:rPr>
            </w:pPr>
          </w:p>
        </w:tc>
        <w:tc>
          <w:tcPr>
            <w:tcW w:w="878" w:type="dxa"/>
            <w:noWrap w:val="0"/>
            <w:vAlign w:val="top"/>
          </w:tcPr>
          <w:p w14:paraId="4BC4F61C">
            <w:pPr>
              <w:tabs>
                <w:tab w:val="left" w:pos="2520"/>
              </w:tabs>
              <w:jc w:val="center"/>
              <w:rPr>
                <w:rFonts w:hint="eastAsia" w:ascii="宋体" w:hAnsi="宋体" w:cs="宋体"/>
                <w:color w:val="auto"/>
                <w:szCs w:val="21"/>
                <w:highlight w:val="none"/>
              </w:rPr>
            </w:pPr>
          </w:p>
        </w:tc>
      </w:tr>
      <w:tr w14:paraId="5BCD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62" w:type="dxa"/>
            <w:noWrap w:val="0"/>
            <w:vAlign w:val="center"/>
          </w:tcPr>
          <w:p w14:paraId="4FD72B7A">
            <w:pPr>
              <w:tabs>
                <w:tab w:val="left" w:pos="2520"/>
              </w:tabs>
              <w:ind w:right="34" w:rightChars="16"/>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373" w:type="dxa"/>
            <w:noWrap w:val="0"/>
            <w:vAlign w:val="center"/>
          </w:tcPr>
          <w:p w14:paraId="33D8BCC1">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4BB915AA">
            <w:pPr>
              <w:tabs>
                <w:tab w:val="left" w:pos="2520"/>
              </w:tabs>
              <w:jc w:val="center"/>
              <w:rPr>
                <w:rFonts w:hint="eastAsia" w:ascii="宋体" w:hAnsi="宋体" w:cs="宋体"/>
                <w:color w:val="auto"/>
                <w:szCs w:val="21"/>
                <w:highlight w:val="none"/>
              </w:rPr>
            </w:pPr>
          </w:p>
        </w:tc>
        <w:tc>
          <w:tcPr>
            <w:tcW w:w="1429" w:type="dxa"/>
            <w:noWrap w:val="0"/>
            <w:vAlign w:val="top"/>
          </w:tcPr>
          <w:p w14:paraId="180266A8">
            <w:pPr>
              <w:tabs>
                <w:tab w:val="left" w:pos="2520"/>
              </w:tabs>
              <w:jc w:val="center"/>
              <w:rPr>
                <w:rFonts w:hint="eastAsia" w:ascii="宋体" w:hAnsi="宋体" w:cs="宋体"/>
                <w:color w:val="auto"/>
                <w:szCs w:val="21"/>
                <w:highlight w:val="none"/>
              </w:rPr>
            </w:pPr>
          </w:p>
        </w:tc>
        <w:tc>
          <w:tcPr>
            <w:tcW w:w="1467" w:type="dxa"/>
            <w:noWrap w:val="0"/>
            <w:vAlign w:val="top"/>
          </w:tcPr>
          <w:p w14:paraId="360F7B58">
            <w:pPr>
              <w:tabs>
                <w:tab w:val="left" w:pos="2520"/>
              </w:tabs>
              <w:jc w:val="center"/>
              <w:rPr>
                <w:rFonts w:hint="eastAsia" w:ascii="宋体" w:hAnsi="宋体" w:cs="宋体"/>
                <w:color w:val="auto"/>
                <w:szCs w:val="21"/>
                <w:highlight w:val="none"/>
              </w:rPr>
            </w:pPr>
          </w:p>
        </w:tc>
        <w:tc>
          <w:tcPr>
            <w:tcW w:w="1793" w:type="dxa"/>
            <w:noWrap w:val="0"/>
            <w:vAlign w:val="top"/>
          </w:tcPr>
          <w:p w14:paraId="0FC46A51">
            <w:pPr>
              <w:tabs>
                <w:tab w:val="left" w:pos="2520"/>
              </w:tabs>
              <w:jc w:val="center"/>
              <w:rPr>
                <w:rFonts w:hint="eastAsia" w:ascii="宋体" w:hAnsi="宋体" w:cs="宋体"/>
                <w:color w:val="auto"/>
                <w:szCs w:val="21"/>
                <w:highlight w:val="none"/>
              </w:rPr>
            </w:pPr>
          </w:p>
        </w:tc>
        <w:tc>
          <w:tcPr>
            <w:tcW w:w="878" w:type="dxa"/>
            <w:noWrap w:val="0"/>
            <w:vAlign w:val="top"/>
          </w:tcPr>
          <w:p w14:paraId="339EA07C">
            <w:pPr>
              <w:tabs>
                <w:tab w:val="left" w:pos="2520"/>
              </w:tabs>
              <w:jc w:val="center"/>
              <w:rPr>
                <w:rFonts w:hint="eastAsia" w:ascii="宋体" w:hAnsi="宋体" w:cs="宋体"/>
                <w:color w:val="auto"/>
                <w:szCs w:val="21"/>
                <w:highlight w:val="none"/>
              </w:rPr>
            </w:pPr>
          </w:p>
        </w:tc>
      </w:tr>
      <w:tr w14:paraId="2C32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62" w:type="dxa"/>
            <w:noWrap w:val="0"/>
            <w:vAlign w:val="center"/>
          </w:tcPr>
          <w:p w14:paraId="33B55DCE">
            <w:pPr>
              <w:tabs>
                <w:tab w:val="left" w:pos="2520"/>
              </w:tabs>
              <w:ind w:right="34" w:rightChars="16"/>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1373" w:type="dxa"/>
            <w:noWrap w:val="0"/>
            <w:vAlign w:val="center"/>
          </w:tcPr>
          <w:p w14:paraId="078C8C53">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71CE211C">
            <w:pPr>
              <w:tabs>
                <w:tab w:val="left" w:pos="2520"/>
              </w:tabs>
              <w:jc w:val="center"/>
              <w:rPr>
                <w:rFonts w:hint="eastAsia" w:ascii="宋体" w:hAnsi="宋体" w:cs="宋体"/>
                <w:color w:val="auto"/>
                <w:szCs w:val="21"/>
                <w:highlight w:val="none"/>
              </w:rPr>
            </w:pPr>
          </w:p>
        </w:tc>
        <w:tc>
          <w:tcPr>
            <w:tcW w:w="1429" w:type="dxa"/>
            <w:noWrap w:val="0"/>
            <w:vAlign w:val="top"/>
          </w:tcPr>
          <w:p w14:paraId="67B3E626">
            <w:pPr>
              <w:tabs>
                <w:tab w:val="left" w:pos="2520"/>
              </w:tabs>
              <w:jc w:val="center"/>
              <w:rPr>
                <w:rFonts w:hint="eastAsia" w:ascii="宋体" w:hAnsi="宋体" w:cs="宋体"/>
                <w:color w:val="auto"/>
                <w:szCs w:val="21"/>
                <w:highlight w:val="none"/>
              </w:rPr>
            </w:pPr>
          </w:p>
        </w:tc>
        <w:tc>
          <w:tcPr>
            <w:tcW w:w="1467" w:type="dxa"/>
            <w:noWrap w:val="0"/>
            <w:vAlign w:val="top"/>
          </w:tcPr>
          <w:p w14:paraId="433F74AE">
            <w:pPr>
              <w:tabs>
                <w:tab w:val="left" w:pos="2520"/>
              </w:tabs>
              <w:jc w:val="center"/>
              <w:rPr>
                <w:rFonts w:hint="eastAsia" w:ascii="宋体" w:hAnsi="宋体" w:cs="宋体"/>
                <w:color w:val="auto"/>
                <w:szCs w:val="21"/>
                <w:highlight w:val="none"/>
              </w:rPr>
            </w:pPr>
          </w:p>
        </w:tc>
        <w:tc>
          <w:tcPr>
            <w:tcW w:w="1793" w:type="dxa"/>
            <w:noWrap w:val="0"/>
            <w:vAlign w:val="top"/>
          </w:tcPr>
          <w:p w14:paraId="049037C6">
            <w:pPr>
              <w:tabs>
                <w:tab w:val="left" w:pos="2520"/>
              </w:tabs>
              <w:jc w:val="center"/>
              <w:rPr>
                <w:rFonts w:hint="eastAsia" w:ascii="宋体" w:hAnsi="宋体" w:cs="宋体"/>
                <w:color w:val="auto"/>
                <w:szCs w:val="21"/>
                <w:highlight w:val="none"/>
              </w:rPr>
            </w:pPr>
          </w:p>
        </w:tc>
        <w:tc>
          <w:tcPr>
            <w:tcW w:w="878" w:type="dxa"/>
            <w:noWrap w:val="0"/>
            <w:vAlign w:val="top"/>
          </w:tcPr>
          <w:p w14:paraId="3C5624C4">
            <w:pPr>
              <w:tabs>
                <w:tab w:val="left" w:pos="2520"/>
              </w:tabs>
              <w:jc w:val="center"/>
              <w:rPr>
                <w:rFonts w:hint="eastAsia" w:ascii="宋体" w:hAnsi="宋体" w:cs="宋体"/>
                <w:color w:val="auto"/>
                <w:szCs w:val="21"/>
                <w:highlight w:val="none"/>
              </w:rPr>
            </w:pPr>
          </w:p>
        </w:tc>
      </w:tr>
      <w:tr w14:paraId="64DD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62" w:type="dxa"/>
            <w:noWrap w:val="0"/>
            <w:vAlign w:val="center"/>
          </w:tcPr>
          <w:p w14:paraId="0C9525BB">
            <w:pPr>
              <w:tabs>
                <w:tab w:val="left" w:pos="2520"/>
              </w:tabs>
              <w:ind w:right="34" w:rightChars="16"/>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1373" w:type="dxa"/>
            <w:noWrap w:val="0"/>
            <w:vAlign w:val="center"/>
          </w:tcPr>
          <w:p w14:paraId="030FD9E4">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3F88C435">
            <w:pPr>
              <w:tabs>
                <w:tab w:val="left" w:pos="2520"/>
              </w:tabs>
              <w:jc w:val="center"/>
              <w:rPr>
                <w:rFonts w:hint="eastAsia" w:ascii="宋体" w:hAnsi="宋体" w:cs="宋体"/>
                <w:color w:val="auto"/>
                <w:szCs w:val="21"/>
                <w:highlight w:val="none"/>
              </w:rPr>
            </w:pPr>
          </w:p>
        </w:tc>
        <w:tc>
          <w:tcPr>
            <w:tcW w:w="1429" w:type="dxa"/>
            <w:noWrap w:val="0"/>
            <w:vAlign w:val="top"/>
          </w:tcPr>
          <w:p w14:paraId="7A5F0AC4">
            <w:pPr>
              <w:tabs>
                <w:tab w:val="left" w:pos="2520"/>
              </w:tabs>
              <w:jc w:val="center"/>
              <w:rPr>
                <w:rFonts w:hint="eastAsia" w:ascii="宋体" w:hAnsi="宋体" w:cs="宋体"/>
                <w:color w:val="auto"/>
                <w:szCs w:val="21"/>
                <w:highlight w:val="none"/>
              </w:rPr>
            </w:pPr>
          </w:p>
        </w:tc>
        <w:tc>
          <w:tcPr>
            <w:tcW w:w="1467" w:type="dxa"/>
            <w:noWrap w:val="0"/>
            <w:vAlign w:val="top"/>
          </w:tcPr>
          <w:p w14:paraId="64CE69B3">
            <w:pPr>
              <w:tabs>
                <w:tab w:val="left" w:pos="2520"/>
              </w:tabs>
              <w:jc w:val="center"/>
              <w:rPr>
                <w:rFonts w:hint="eastAsia" w:ascii="宋体" w:hAnsi="宋体" w:cs="宋体"/>
                <w:color w:val="auto"/>
                <w:szCs w:val="21"/>
                <w:highlight w:val="none"/>
              </w:rPr>
            </w:pPr>
          </w:p>
        </w:tc>
        <w:tc>
          <w:tcPr>
            <w:tcW w:w="1793" w:type="dxa"/>
            <w:noWrap w:val="0"/>
            <w:vAlign w:val="top"/>
          </w:tcPr>
          <w:p w14:paraId="1E1D0876">
            <w:pPr>
              <w:tabs>
                <w:tab w:val="left" w:pos="2520"/>
              </w:tabs>
              <w:jc w:val="center"/>
              <w:rPr>
                <w:rFonts w:hint="eastAsia" w:ascii="宋体" w:hAnsi="宋体" w:cs="宋体"/>
                <w:color w:val="auto"/>
                <w:szCs w:val="21"/>
                <w:highlight w:val="none"/>
              </w:rPr>
            </w:pPr>
          </w:p>
        </w:tc>
        <w:tc>
          <w:tcPr>
            <w:tcW w:w="878" w:type="dxa"/>
            <w:noWrap w:val="0"/>
            <w:vAlign w:val="top"/>
          </w:tcPr>
          <w:p w14:paraId="0C26E330">
            <w:pPr>
              <w:tabs>
                <w:tab w:val="left" w:pos="2520"/>
              </w:tabs>
              <w:jc w:val="center"/>
              <w:rPr>
                <w:rFonts w:hint="eastAsia" w:ascii="宋体" w:hAnsi="宋体" w:cs="宋体"/>
                <w:color w:val="auto"/>
                <w:szCs w:val="21"/>
                <w:highlight w:val="none"/>
              </w:rPr>
            </w:pPr>
          </w:p>
        </w:tc>
      </w:tr>
      <w:tr w14:paraId="7E90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762" w:type="dxa"/>
            <w:noWrap w:val="0"/>
            <w:vAlign w:val="center"/>
          </w:tcPr>
          <w:p w14:paraId="42268467">
            <w:pPr>
              <w:tabs>
                <w:tab w:val="left" w:pos="2520"/>
              </w:tabs>
              <w:ind w:right="34" w:rightChars="16"/>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1373" w:type="dxa"/>
            <w:noWrap w:val="0"/>
            <w:vAlign w:val="center"/>
          </w:tcPr>
          <w:p w14:paraId="0C0805B1">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1EE37F58">
            <w:pPr>
              <w:tabs>
                <w:tab w:val="left" w:pos="2520"/>
              </w:tabs>
              <w:jc w:val="center"/>
              <w:rPr>
                <w:rFonts w:hint="eastAsia" w:ascii="宋体" w:hAnsi="宋体" w:cs="宋体"/>
                <w:color w:val="auto"/>
                <w:szCs w:val="21"/>
                <w:highlight w:val="none"/>
              </w:rPr>
            </w:pPr>
          </w:p>
        </w:tc>
        <w:tc>
          <w:tcPr>
            <w:tcW w:w="1429" w:type="dxa"/>
            <w:noWrap w:val="0"/>
            <w:vAlign w:val="top"/>
          </w:tcPr>
          <w:p w14:paraId="5845AD2D">
            <w:pPr>
              <w:tabs>
                <w:tab w:val="left" w:pos="2520"/>
              </w:tabs>
              <w:jc w:val="center"/>
              <w:rPr>
                <w:rFonts w:hint="eastAsia" w:ascii="宋体" w:hAnsi="宋体" w:cs="宋体"/>
                <w:color w:val="auto"/>
                <w:szCs w:val="21"/>
                <w:highlight w:val="none"/>
              </w:rPr>
            </w:pPr>
          </w:p>
        </w:tc>
        <w:tc>
          <w:tcPr>
            <w:tcW w:w="1467" w:type="dxa"/>
            <w:noWrap w:val="0"/>
            <w:vAlign w:val="top"/>
          </w:tcPr>
          <w:p w14:paraId="128061E3">
            <w:pPr>
              <w:tabs>
                <w:tab w:val="left" w:pos="2520"/>
              </w:tabs>
              <w:jc w:val="center"/>
              <w:rPr>
                <w:rFonts w:hint="eastAsia" w:ascii="宋体" w:hAnsi="宋体" w:cs="宋体"/>
                <w:color w:val="auto"/>
                <w:szCs w:val="21"/>
                <w:highlight w:val="none"/>
              </w:rPr>
            </w:pPr>
          </w:p>
        </w:tc>
        <w:tc>
          <w:tcPr>
            <w:tcW w:w="1793" w:type="dxa"/>
            <w:noWrap w:val="0"/>
            <w:vAlign w:val="top"/>
          </w:tcPr>
          <w:p w14:paraId="318F8149">
            <w:pPr>
              <w:tabs>
                <w:tab w:val="left" w:pos="2520"/>
              </w:tabs>
              <w:jc w:val="center"/>
              <w:rPr>
                <w:rFonts w:hint="eastAsia" w:ascii="宋体" w:hAnsi="宋体" w:cs="宋体"/>
                <w:color w:val="auto"/>
                <w:szCs w:val="21"/>
                <w:highlight w:val="none"/>
              </w:rPr>
            </w:pPr>
          </w:p>
        </w:tc>
        <w:tc>
          <w:tcPr>
            <w:tcW w:w="878" w:type="dxa"/>
            <w:noWrap w:val="0"/>
            <w:vAlign w:val="top"/>
          </w:tcPr>
          <w:p w14:paraId="73BC669A">
            <w:pPr>
              <w:tabs>
                <w:tab w:val="left" w:pos="2520"/>
              </w:tabs>
              <w:jc w:val="center"/>
              <w:rPr>
                <w:rFonts w:hint="eastAsia" w:ascii="宋体" w:hAnsi="宋体" w:cs="宋体"/>
                <w:color w:val="auto"/>
                <w:szCs w:val="21"/>
                <w:highlight w:val="none"/>
              </w:rPr>
            </w:pPr>
          </w:p>
        </w:tc>
      </w:tr>
      <w:tr w14:paraId="7E18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62" w:type="dxa"/>
            <w:noWrap w:val="0"/>
            <w:vAlign w:val="center"/>
          </w:tcPr>
          <w:p w14:paraId="18E0D16D">
            <w:pPr>
              <w:tabs>
                <w:tab w:val="left" w:pos="2520"/>
              </w:tabs>
              <w:ind w:right="34" w:rightChars="16"/>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1373" w:type="dxa"/>
            <w:noWrap w:val="0"/>
            <w:vAlign w:val="center"/>
          </w:tcPr>
          <w:p w14:paraId="5CD284BA">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34313B00">
            <w:pPr>
              <w:tabs>
                <w:tab w:val="left" w:pos="2520"/>
              </w:tabs>
              <w:jc w:val="center"/>
              <w:rPr>
                <w:rFonts w:hint="eastAsia" w:ascii="宋体" w:hAnsi="宋体" w:cs="宋体"/>
                <w:color w:val="auto"/>
                <w:szCs w:val="21"/>
                <w:highlight w:val="none"/>
              </w:rPr>
            </w:pPr>
          </w:p>
        </w:tc>
        <w:tc>
          <w:tcPr>
            <w:tcW w:w="1429" w:type="dxa"/>
            <w:noWrap w:val="0"/>
            <w:vAlign w:val="top"/>
          </w:tcPr>
          <w:p w14:paraId="39417464">
            <w:pPr>
              <w:tabs>
                <w:tab w:val="left" w:pos="2520"/>
              </w:tabs>
              <w:jc w:val="center"/>
              <w:rPr>
                <w:rFonts w:hint="eastAsia" w:ascii="宋体" w:hAnsi="宋体" w:cs="宋体"/>
                <w:color w:val="auto"/>
                <w:szCs w:val="21"/>
                <w:highlight w:val="none"/>
              </w:rPr>
            </w:pPr>
          </w:p>
        </w:tc>
        <w:tc>
          <w:tcPr>
            <w:tcW w:w="1467" w:type="dxa"/>
            <w:noWrap w:val="0"/>
            <w:vAlign w:val="top"/>
          </w:tcPr>
          <w:p w14:paraId="112AB7BF">
            <w:pPr>
              <w:tabs>
                <w:tab w:val="left" w:pos="2520"/>
              </w:tabs>
              <w:jc w:val="center"/>
              <w:rPr>
                <w:rFonts w:hint="eastAsia" w:ascii="宋体" w:hAnsi="宋体" w:cs="宋体"/>
                <w:color w:val="auto"/>
                <w:szCs w:val="21"/>
                <w:highlight w:val="none"/>
              </w:rPr>
            </w:pPr>
          </w:p>
        </w:tc>
        <w:tc>
          <w:tcPr>
            <w:tcW w:w="1793" w:type="dxa"/>
            <w:noWrap w:val="0"/>
            <w:vAlign w:val="top"/>
          </w:tcPr>
          <w:p w14:paraId="001AD23E">
            <w:pPr>
              <w:tabs>
                <w:tab w:val="left" w:pos="2520"/>
              </w:tabs>
              <w:jc w:val="center"/>
              <w:rPr>
                <w:rFonts w:hint="eastAsia" w:ascii="宋体" w:hAnsi="宋体" w:cs="宋体"/>
                <w:color w:val="auto"/>
                <w:szCs w:val="21"/>
                <w:highlight w:val="none"/>
              </w:rPr>
            </w:pPr>
          </w:p>
        </w:tc>
        <w:tc>
          <w:tcPr>
            <w:tcW w:w="878" w:type="dxa"/>
            <w:noWrap w:val="0"/>
            <w:vAlign w:val="top"/>
          </w:tcPr>
          <w:p w14:paraId="75316268">
            <w:pPr>
              <w:tabs>
                <w:tab w:val="left" w:pos="2520"/>
              </w:tabs>
              <w:jc w:val="center"/>
              <w:rPr>
                <w:rFonts w:hint="eastAsia" w:ascii="宋体" w:hAnsi="宋体" w:cs="宋体"/>
                <w:color w:val="auto"/>
                <w:szCs w:val="21"/>
                <w:highlight w:val="none"/>
              </w:rPr>
            </w:pPr>
          </w:p>
        </w:tc>
      </w:tr>
      <w:tr w14:paraId="7D27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62" w:type="dxa"/>
            <w:noWrap w:val="0"/>
            <w:vAlign w:val="center"/>
          </w:tcPr>
          <w:p w14:paraId="3CE16D01">
            <w:pPr>
              <w:tabs>
                <w:tab w:val="left" w:pos="2520"/>
              </w:tabs>
              <w:ind w:right="34" w:rightChars="16"/>
              <w:jc w:val="center"/>
              <w:rPr>
                <w:rFonts w:ascii="宋体" w:hAnsi="宋体" w:cs="宋体"/>
                <w:color w:val="auto"/>
                <w:szCs w:val="21"/>
                <w:highlight w:val="none"/>
              </w:rPr>
            </w:pPr>
            <w:r>
              <w:rPr>
                <w:rFonts w:hint="eastAsia" w:ascii="宋体" w:hAnsi="宋体" w:cs="宋体"/>
                <w:color w:val="auto"/>
                <w:szCs w:val="21"/>
                <w:highlight w:val="none"/>
              </w:rPr>
              <w:t>10</w:t>
            </w:r>
          </w:p>
        </w:tc>
        <w:tc>
          <w:tcPr>
            <w:tcW w:w="1373" w:type="dxa"/>
            <w:noWrap w:val="0"/>
            <w:vAlign w:val="center"/>
          </w:tcPr>
          <w:p w14:paraId="4FCA5565">
            <w:pPr>
              <w:autoSpaceDE w:val="0"/>
              <w:autoSpaceDN w:val="0"/>
              <w:adjustRightInd w:val="0"/>
              <w:jc w:val="center"/>
              <w:rPr>
                <w:rFonts w:hint="eastAsia" w:ascii="宋体" w:hAnsi="宋体" w:cs="宋体"/>
                <w:color w:val="auto"/>
                <w:szCs w:val="21"/>
                <w:highlight w:val="none"/>
              </w:rPr>
            </w:pPr>
          </w:p>
        </w:tc>
        <w:tc>
          <w:tcPr>
            <w:tcW w:w="1373" w:type="dxa"/>
            <w:noWrap w:val="0"/>
            <w:vAlign w:val="top"/>
          </w:tcPr>
          <w:p w14:paraId="4703B640">
            <w:pPr>
              <w:tabs>
                <w:tab w:val="left" w:pos="2520"/>
              </w:tabs>
              <w:jc w:val="center"/>
              <w:rPr>
                <w:rFonts w:hint="eastAsia" w:ascii="宋体" w:hAnsi="宋体" w:cs="宋体"/>
                <w:color w:val="auto"/>
                <w:szCs w:val="21"/>
                <w:highlight w:val="none"/>
              </w:rPr>
            </w:pPr>
          </w:p>
        </w:tc>
        <w:tc>
          <w:tcPr>
            <w:tcW w:w="1429" w:type="dxa"/>
            <w:noWrap w:val="0"/>
            <w:vAlign w:val="top"/>
          </w:tcPr>
          <w:p w14:paraId="02C92F7A">
            <w:pPr>
              <w:tabs>
                <w:tab w:val="left" w:pos="2520"/>
              </w:tabs>
              <w:jc w:val="center"/>
              <w:rPr>
                <w:rFonts w:hint="eastAsia" w:ascii="宋体" w:hAnsi="宋体" w:cs="宋体"/>
                <w:color w:val="auto"/>
                <w:szCs w:val="21"/>
                <w:highlight w:val="none"/>
              </w:rPr>
            </w:pPr>
          </w:p>
        </w:tc>
        <w:tc>
          <w:tcPr>
            <w:tcW w:w="1467" w:type="dxa"/>
            <w:noWrap w:val="0"/>
            <w:vAlign w:val="top"/>
          </w:tcPr>
          <w:p w14:paraId="29A9C062">
            <w:pPr>
              <w:tabs>
                <w:tab w:val="left" w:pos="2520"/>
              </w:tabs>
              <w:jc w:val="center"/>
              <w:rPr>
                <w:rFonts w:hint="eastAsia" w:ascii="宋体" w:hAnsi="宋体" w:cs="宋体"/>
                <w:color w:val="auto"/>
                <w:szCs w:val="21"/>
                <w:highlight w:val="none"/>
              </w:rPr>
            </w:pPr>
          </w:p>
        </w:tc>
        <w:tc>
          <w:tcPr>
            <w:tcW w:w="1793" w:type="dxa"/>
            <w:noWrap w:val="0"/>
            <w:vAlign w:val="top"/>
          </w:tcPr>
          <w:p w14:paraId="139AF35C">
            <w:pPr>
              <w:tabs>
                <w:tab w:val="left" w:pos="2520"/>
              </w:tabs>
              <w:jc w:val="center"/>
              <w:rPr>
                <w:rFonts w:hint="eastAsia" w:ascii="宋体" w:hAnsi="宋体" w:cs="宋体"/>
                <w:color w:val="auto"/>
                <w:szCs w:val="21"/>
                <w:highlight w:val="none"/>
              </w:rPr>
            </w:pPr>
          </w:p>
        </w:tc>
        <w:tc>
          <w:tcPr>
            <w:tcW w:w="878" w:type="dxa"/>
            <w:noWrap w:val="0"/>
            <w:vAlign w:val="top"/>
          </w:tcPr>
          <w:p w14:paraId="099BEB9A">
            <w:pPr>
              <w:tabs>
                <w:tab w:val="left" w:pos="2520"/>
              </w:tabs>
              <w:jc w:val="center"/>
              <w:rPr>
                <w:rFonts w:hint="eastAsia" w:ascii="宋体" w:hAnsi="宋体" w:cs="宋体"/>
                <w:color w:val="auto"/>
                <w:szCs w:val="21"/>
                <w:highlight w:val="none"/>
              </w:rPr>
            </w:pPr>
          </w:p>
        </w:tc>
      </w:tr>
    </w:tbl>
    <w:p w14:paraId="10FDBCA7">
      <w:pPr>
        <w:jc w:val="center"/>
        <w:rPr>
          <w:rFonts w:hint="eastAsia" w:ascii="黑体" w:hAnsi="黑体" w:eastAsia="黑体"/>
          <w:bCs/>
          <w:color w:val="auto"/>
          <w:sz w:val="28"/>
          <w:szCs w:val="30"/>
          <w:highlight w:val="none"/>
        </w:rPr>
      </w:pPr>
      <w:r>
        <w:rPr>
          <w:rFonts w:hint="eastAsia" w:ascii="宋体" w:hAnsi="宋体" w:cs="宋体"/>
          <w:b/>
          <w:bCs/>
          <w:color w:val="auto"/>
          <w:szCs w:val="21"/>
          <w:highlight w:val="none"/>
        </w:rPr>
        <w:t>注：1.响应文件中须提供人员资料，包括身份证、学历证书、职称证（如有）、专业技术执业资格证书（如有）。无人员资料或人员资料不明确、无法体现对应内容的，不予认可。</w:t>
      </w:r>
    </w:p>
    <w:p w14:paraId="470D6166">
      <w:pPr>
        <w:jc w:val="center"/>
        <w:rPr>
          <w:rFonts w:hint="eastAsia" w:ascii="黑体" w:hAnsi="黑体" w:eastAsia="黑体"/>
          <w:bCs/>
          <w:color w:val="auto"/>
          <w:sz w:val="28"/>
          <w:szCs w:val="30"/>
          <w:highlight w:val="none"/>
        </w:rPr>
      </w:pPr>
    </w:p>
    <w:p w14:paraId="6DCD5D39">
      <w:pPr>
        <w:jc w:val="center"/>
        <w:rPr>
          <w:rFonts w:hint="eastAsia" w:ascii="黑体" w:hAnsi="黑体" w:eastAsia="黑体"/>
          <w:bCs/>
          <w:color w:val="auto"/>
          <w:sz w:val="28"/>
          <w:szCs w:val="30"/>
          <w:highlight w:val="none"/>
        </w:rPr>
      </w:pPr>
    </w:p>
    <w:p w14:paraId="39932528">
      <w:pPr>
        <w:jc w:val="center"/>
        <w:rPr>
          <w:rFonts w:hint="eastAsia" w:ascii="黑体" w:hAnsi="黑体" w:eastAsia="黑体"/>
          <w:bCs/>
          <w:color w:val="auto"/>
          <w:sz w:val="28"/>
          <w:szCs w:val="30"/>
          <w:highlight w:val="none"/>
        </w:rPr>
      </w:pPr>
    </w:p>
    <w:p w14:paraId="03D49094">
      <w:pPr>
        <w:pStyle w:val="6"/>
        <w:spacing w:before="156"/>
        <w:ind w:firstLine="0" w:firstLineChars="0"/>
        <w:rPr>
          <w:rFonts w:hint="eastAsia"/>
          <w:color w:val="auto"/>
          <w:highlight w:val="none"/>
        </w:rPr>
      </w:pPr>
    </w:p>
    <w:p w14:paraId="41B693D7">
      <w:pPr>
        <w:jc w:val="left"/>
        <w:outlineLvl w:val="9"/>
        <w:rPr>
          <w:rFonts w:hint="eastAsia" w:hAnsi="宋体" w:cs="Arial"/>
          <w:color w:val="000000"/>
          <w:sz w:val="32"/>
          <w:szCs w:val="40"/>
          <w:highlight w:val="none"/>
        </w:rPr>
      </w:pPr>
      <w:bookmarkStart w:id="1235" w:name="_Toc30330"/>
      <w:bookmarkStart w:id="1236" w:name="_Toc5533"/>
      <w:bookmarkStart w:id="1237" w:name="_Toc11635"/>
      <w:bookmarkStart w:id="1238" w:name="_Toc29979"/>
      <w:bookmarkStart w:id="1239" w:name="_Toc27439"/>
      <w:bookmarkStart w:id="1240" w:name="_Toc6579"/>
      <w:bookmarkStart w:id="1241" w:name="_Toc27339"/>
      <w:bookmarkStart w:id="1242" w:name="_Toc16190"/>
      <w:bookmarkStart w:id="1243" w:name="_Toc1880"/>
      <w:r>
        <w:rPr>
          <w:rFonts w:hint="eastAsia" w:hAnsi="宋体" w:cs="Arial"/>
          <w:color w:val="000000"/>
          <w:sz w:val="32"/>
          <w:szCs w:val="40"/>
          <w:highlight w:val="none"/>
        </w:rPr>
        <w:br w:type="page"/>
      </w:r>
    </w:p>
    <w:p w14:paraId="6A1F4246">
      <w:pPr>
        <w:jc w:val="center"/>
        <w:outlineLvl w:val="2"/>
        <w:rPr>
          <w:rFonts w:ascii="Times New Roman" w:eastAsia="黑体"/>
          <w:color w:val="000000"/>
          <w:sz w:val="30"/>
          <w:szCs w:val="30"/>
          <w:highlight w:val="none"/>
        </w:rPr>
      </w:pPr>
      <w:bookmarkStart w:id="1244" w:name="_Toc23861"/>
      <w:r>
        <w:rPr>
          <w:rFonts w:hint="eastAsia" w:hAnsi="宋体" w:cs="Arial"/>
          <w:color w:val="000000"/>
          <w:sz w:val="32"/>
          <w:szCs w:val="40"/>
          <w:highlight w:val="none"/>
        </w:rPr>
        <w:t>★</w:t>
      </w:r>
      <w:r>
        <w:rPr>
          <w:rFonts w:hint="eastAsia" w:ascii="Times New Roman" w:hAnsi="Courier New" w:eastAsia="黑体"/>
          <w:color w:val="000000"/>
          <w:sz w:val="30"/>
          <w:szCs w:val="30"/>
          <w:highlight w:val="none"/>
        </w:rPr>
        <w:t>政府</w:t>
      </w:r>
      <w:r>
        <w:rPr>
          <w:rFonts w:hint="eastAsia" w:ascii="Times New Roman" w:eastAsia="黑体"/>
          <w:color w:val="000000"/>
          <w:sz w:val="30"/>
          <w:szCs w:val="30"/>
          <w:highlight w:val="none"/>
        </w:rPr>
        <w:t>强制采购</w:t>
      </w:r>
      <w:r>
        <w:rPr>
          <w:rFonts w:ascii="Times New Roman" w:eastAsia="黑体"/>
          <w:color w:val="000000"/>
          <w:sz w:val="30"/>
          <w:szCs w:val="30"/>
          <w:highlight w:val="none"/>
        </w:rPr>
        <w:t>节</w:t>
      </w:r>
      <w:r>
        <w:rPr>
          <w:rFonts w:hint="eastAsia" w:ascii="Times New Roman" w:eastAsia="黑体"/>
          <w:color w:val="000000"/>
          <w:sz w:val="30"/>
          <w:szCs w:val="30"/>
          <w:highlight w:val="none"/>
          <w:lang w:val="en-US" w:eastAsia="zh-CN"/>
        </w:rPr>
        <w:t>能</w:t>
      </w:r>
      <w:r>
        <w:rPr>
          <w:rFonts w:hint="eastAsia" w:ascii="Times New Roman" w:eastAsia="黑体"/>
          <w:color w:val="000000"/>
          <w:sz w:val="30"/>
          <w:szCs w:val="30"/>
          <w:highlight w:val="none"/>
        </w:rPr>
        <w:t>产品</w:t>
      </w:r>
      <w:bookmarkEnd w:id="1235"/>
      <w:bookmarkEnd w:id="1244"/>
    </w:p>
    <w:tbl>
      <w:tblPr>
        <w:tblStyle w:val="21"/>
        <w:tblW w:w="8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6"/>
        <w:gridCol w:w="2563"/>
        <w:gridCol w:w="1942"/>
      </w:tblGrid>
      <w:tr w14:paraId="2375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3846" w:type="dxa"/>
            <w:tcBorders>
              <w:top w:val="single" w:color="auto" w:sz="4" w:space="0"/>
              <w:left w:val="single" w:color="auto" w:sz="4" w:space="0"/>
              <w:bottom w:val="single" w:color="auto" w:sz="4" w:space="0"/>
              <w:right w:val="single" w:color="auto" w:sz="4" w:space="0"/>
            </w:tcBorders>
            <w:noWrap w:val="0"/>
            <w:vAlign w:val="center"/>
          </w:tcPr>
          <w:p w14:paraId="64FD2397">
            <w:pPr>
              <w:pStyle w:val="12"/>
              <w:spacing w:line="360" w:lineRule="auto"/>
              <w:jc w:val="center"/>
              <w:rPr>
                <w:rFonts w:cs="宋体"/>
                <w:b/>
                <w:bCs/>
                <w:sz w:val="30"/>
                <w:szCs w:val="30"/>
                <w:highlight w:val="none"/>
              </w:rPr>
            </w:pPr>
            <w:r>
              <w:rPr>
                <w:rFonts w:hint="eastAsia" w:cs="宋体"/>
                <w:b/>
                <w:bCs/>
                <w:highlight w:val="none"/>
              </w:rPr>
              <w:t>产品名称</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4304EB6E">
            <w:pPr>
              <w:pStyle w:val="12"/>
              <w:spacing w:line="360" w:lineRule="auto"/>
              <w:jc w:val="center"/>
              <w:rPr>
                <w:rFonts w:cs="宋体"/>
                <w:b/>
                <w:bCs/>
                <w:sz w:val="30"/>
                <w:szCs w:val="30"/>
                <w:highlight w:val="none"/>
              </w:rPr>
            </w:pPr>
            <w:r>
              <w:rPr>
                <w:rFonts w:hint="eastAsia" w:cs="宋体"/>
                <w:b/>
                <w:bCs/>
                <w:highlight w:val="none"/>
              </w:rPr>
              <w:t>品牌型号</w:t>
            </w:r>
          </w:p>
        </w:tc>
        <w:tc>
          <w:tcPr>
            <w:tcW w:w="1942" w:type="dxa"/>
            <w:tcBorders>
              <w:top w:val="single" w:color="auto" w:sz="4" w:space="0"/>
              <w:left w:val="single" w:color="auto" w:sz="4" w:space="0"/>
              <w:bottom w:val="single" w:color="auto" w:sz="4" w:space="0"/>
              <w:right w:val="single" w:color="auto" w:sz="4" w:space="0"/>
            </w:tcBorders>
            <w:noWrap w:val="0"/>
            <w:vAlign w:val="center"/>
          </w:tcPr>
          <w:p w14:paraId="29B672C0">
            <w:pPr>
              <w:pStyle w:val="12"/>
              <w:spacing w:line="360" w:lineRule="auto"/>
              <w:jc w:val="center"/>
              <w:rPr>
                <w:rFonts w:cs="宋体"/>
                <w:b/>
                <w:bCs/>
                <w:sz w:val="30"/>
                <w:szCs w:val="30"/>
                <w:highlight w:val="none"/>
              </w:rPr>
            </w:pPr>
            <w:r>
              <w:rPr>
                <w:rFonts w:hint="eastAsia" w:cs="宋体"/>
                <w:b/>
                <w:bCs/>
                <w:highlight w:val="none"/>
              </w:rPr>
              <w:t>对应响应文件要求页码</w:t>
            </w:r>
          </w:p>
        </w:tc>
      </w:tr>
      <w:tr w14:paraId="0F35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3846" w:type="dxa"/>
            <w:tcBorders>
              <w:top w:val="single" w:color="auto" w:sz="4" w:space="0"/>
              <w:left w:val="single" w:color="auto" w:sz="4" w:space="0"/>
              <w:bottom w:val="single" w:color="auto" w:sz="4" w:space="0"/>
              <w:right w:val="single" w:color="auto" w:sz="4" w:space="0"/>
            </w:tcBorders>
            <w:noWrap w:val="0"/>
            <w:vAlign w:val="center"/>
          </w:tcPr>
          <w:p w14:paraId="435646C6">
            <w:pPr>
              <w:widowControl/>
              <w:jc w:val="center"/>
              <w:textAlignment w:val="center"/>
              <w:rPr>
                <w:rFonts w:hint="eastAsia" w:eastAsia="宋体" w:cs="宋体"/>
                <w:highlight w:val="none"/>
                <w:lang w:eastAsia="zh-CN"/>
              </w:rPr>
            </w:pPr>
            <w:r>
              <w:rPr>
                <w:rFonts w:hint="eastAsia" w:eastAsia="宋体" w:cs="宋体"/>
                <w:highlight w:val="none"/>
                <w:lang w:eastAsia="zh-CN"/>
              </w:rPr>
              <w:t>大便器</w:t>
            </w:r>
          </w:p>
        </w:tc>
        <w:tc>
          <w:tcPr>
            <w:tcW w:w="2563" w:type="dxa"/>
            <w:tcBorders>
              <w:top w:val="single" w:color="auto" w:sz="4" w:space="0"/>
              <w:left w:val="single" w:color="auto" w:sz="4" w:space="0"/>
              <w:bottom w:val="single" w:color="auto" w:sz="4" w:space="0"/>
              <w:right w:val="single" w:color="auto" w:sz="4" w:space="0"/>
            </w:tcBorders>
            <w:noWrap w:val="0"/>
            <w:vAlign w:val="top"/>
          </w:tcPr>
          <w:p w14:paraId="2FC7ED89">
            <w:pPr>
              <w:pStyle w:val="12"/>
              <w:spacing w:line="360" w:lineRule="auto"/>
              <w:jc w:val="center"/>
              <w:rPr>
                <w:rFonts w:cs="宋体"/>
                <w:highlight w:val="none"/>
              </w:rPr>
            </w:pPr>
          </w:p>
        </w:tc>
        <w:tc>
          <w:tcPr>
            <w:tcW w:w="1942" w:type="dxa"/>
            <w:tcBorders>
              <w:top w:val="single" w:color="auto" w:sz="4" w:space="0"/>
              <w:left w:val="single" w:color="auto" w:sz="4" w:space="0"/>
              <w:bottom w:val="single" w:color="auto" w:sz="4" w:space="0"/>
              <w:right w:val="single" w:color="auto" w:sz="4" w:space="0"/>
            </w:tcBorders>
            <w:noWrap w:val="0"/>
            <w:vAlign w:val="top"/>
          </w:tcPr>
          <w:p w14:paraId="66204CD8">
            <w:pPr>
              <w:pStyle w:val="12"/>
              <w:spacing w:line="360" w:lineRule="auto"/>
              <w:jc w:val="center"/>
              <w:rPr>
                <w:rFonts w:cs="宋体"/>
                <w:sz w:val="30"/>
                <w:szCs w:val="30"/>
                <w:highlight w:val="none"/>
              </w:rPr>
            </w:pPr>
          </w:p>
        </w:tc>
      </w:tr>
    </w:tbl>
    <w:p w14:paraId="45D9F6A4">
      <w:pPr>
        <w:pStyle w:val="12"/>
        <w:spacing w:line="360" w:lineRule="auto"/>
        <w:ind w:firstLine="440" w:firstLineChars="200"/>
        <w:rPr>
          <w:rFonts w:cs="宋体"/>
          <w:sz w:val="22"/>
        </w:rPr>
      </w:pPr>
    </w:p>
    <w:p w14:paraId="1EB5C017">
      <w:pPr>
        <w:rPr>
          <w:rFonts w:cs="宋体"/>
          <w:sz w:val="22"/>
        </w:rPr>
      </w:pPr>
    </w:p>
    <w:p w14:paraId="1497242E">
      <w:pPr>
        <w:pStyle w:val="2"/>
      </w:pPr>
    </w:p>
    <w:p w14:paraId="5AB8B2BB">
      <w:pPr>
        <w:pStyle w:val="12"/>
        <w:spacing w:line="360" w:lineRule="auto"/>
        <w:ind w:firstLine="440" w:firstLineChars="200"/>
        <w:rPr>
          <w:rFonts w:cs="宋体"/>
          <w:b/>
          <w:kern w:val="0"/>
          <w:sz w:val="22"/>
          <w:szCs w:val="22"/>
          <w:highlight w:val="yellow"/>
        </w:rPr>
      </w:pPr>
      <w:r>
        <w:rPr>
          <w:rFonts w:hint="eastAsia" w:cs="宋体"/>
          <w:sz w:val="22"/>
        </w:rPr>
        <w:t>★</w:t>
      </w:r>
      <w:r>
        <w:rPr>
          <w:rFonts w:hint="eastAsia" w:cs="宋体"/>
          <w:b/>
          <w:kern w:val="0"/>
          <w:sz w:val="22"/>
          <w:szCs w:val="22"/>
        </w:rPr>
        <w:t>本次招标范围</w:t>
      </w:r>
      <w:r>
        <w:rPr>
          <w:rFonts w:hint="eastAsia" w:cs="宋体"/>
          <w:b/>
          <w:kern w:val="0"/>
          <w:sz w:val="22"/>
          <w:szCs w:val="22"/>
          <w:lang w:val="en-US" w:eastAsia="zh-CN"/>
        </w:rPr>
        <w:t>工程量清单</w:t>
      </w:r>
      <w:r>
        <w:rPr>
          <w:rFonts w:hint="eastAsia" w:cs="宋体"/>
          <w:b/>
          <w:kern w:val="0"/>
          <w:sz w:val="22"/>
          <w:szCs w:val="22"/>
          <w:highlight w:val="none"/>
          <w:lang w:val="en-US" w:eastAsia="zh-CN"/>
        </w:rPr>
        <w:t>内“大便器”</w:t>
      </w:r>
      <w:r>
        <w:rPr>
          <w:rFonts w:hint="eastAsia" w:cs="宋体"/>
          <w:b/>
          <w:kern w:val="0"/>
          <w:sz w:val="22"/>
          <w:szCs w:val="22"/>
          <w:highlight w:val="none"/>
        </w:rPr>
        <w:t>只接受</w:t>
      </w:r>
      <w:r>
        <w:rPr>
          <w:rFonts w:hint="eastAsia" w:cs="宋体"/>
          <w:b/>
          <w:kern w:val="0"/>
          <w:sz w:val="22"/>
          <w:szCs w:val="22"/>
        </w:rPr>
        <w:t>获得节水产品认证的产品，</w:t>
      </w:r>
      <w:r>
        <w:rPr>
          <w:rFonts w:hint="eastAsia" w:cs="宋体"/>
          <w:b/>
          <w:kern w:val="0"/>
          <w:sz w:val="22"/>
          <w:szCs w:val="22"/>
          <w:lang w:eastAsia="zh-CN"/>
        </w:rPr>
        <w:t>投标人</w:t>
      </w:r>
      <w:r>
        <w:rPr>
          <w:rFonts w:hint="eastAsia" w:cs="宋体"/>
          <w:b/>
          <w:kern w:val="0"/>
          <w:sz w:val="22"/>
          <w:szCs w:val="22"/>
        </w:rPr>
        <w:t>必须提供相应证书，否则其响应文件按无效投标处理。证书的认证机构可通过中国政府采购网（http://www.ccgp.gov.cn/）下载的2019年第16号文《市场监管总局关于发布参与实施政府采购节能产品、环境标志产品认证机构名录的公告》查询。</w:t>
      </w:r>
    </w:p>
    <w:p w14:paraId="04EE06D9">
      <w:pPr>
        <w:pStyle w:val="12"/>
        <w:spacing w:line="360" w:lineRule="auto"/>
        <w:rPr>
          <w:rFonts w:cs="宋体"/>
          <w:kern w:val="0"/>
        </w:rPr>
      </w:pPr>
    </w:p>
    <w:p w14:paraId="736B1D89">
      <w:pPr>
        <w:pStyle w:val="12"/>
        <w:spacing w:line="360" w:lineRule="auto"/>
        <w:rPr>
          <w:rFonts w:cs="宋体"/>
          <w:kern w:val="0"/>
        </w:rPr>
      </w:pPr>
      <w:r>
        <w:rPr>
          <w:rFonts w:hint="eastAsia" w:cs="宋体"/>
          <w:kern w:val="0"/>
        </w:rPr>
        <w:t>（后附</w:t>
      </w:r>
      <w:r>
        <w:rPr>
          <w:rFonts w:hint="eastAsia" w:cs="宋体"/>
        </w:rPr>
        <w:t>有效期内的《中国节水产品认证证书》或《节水产品认证证书》扫描件一份</w:t>
      </w:r>
      <w:r>
        <w:rPr>
          <w:rFonts w:hint="eastAsia" w:cs="宋体"/>
          <w:kern w:val="0"/>
        </w:rPr>
        <w:t>）</w:t>
      </w:r>
    </w:p>
    <w:p w14:paraId="79E93DB3">
      <w:pPr>
        <w:pStyle w:val="12"/>
        <w:spacing w:line="360" w:lineRule="auto"/>
        <w:ind w:firstLine="442" w:firstLineChars="200"/>
        <w:rPr>
          <w:rFonts w:cs="宋体"/>
          <w:b/>
          <w:kern w:val="0"/>
          <w:sz w:val="22"/>
          <w:szCs w:val="22"/>
          <w:highlight w:val="none"/>
        </w:rPr>
      </w:pPr>
    </w:p>
    <w:p w14:paraId="0F456D3F">
      <w:pPr>
        <w:rPr>
          <w:rFonts w:hint="eastAsia" w:hAnsi="宋体" w:cs="宋体"/>
          <w:color w:val="auto"/>
          <w:sz w:val="30"/>
          <w:szCs w:val="30"/>
          <w:highlight w:val="none"/>
          <w:lang w:val="en-US" w:eastAsia="zh-CN"/>
        </w:rPr>
      </w:pPr>
      <w:r>
        <w:rPr>
          <w:rFonts w:hint="eastAsia" w:hAnsi="宋体" w:cs="宋体"/>
          <w:color w:val="auto"/>
          <w:sz w:val="30"/>
          <w:szCs w:val="30"/>
          <w:highlight w:val="none"/>
          <w:lang w:val="en-US" w:eastAsia="zh-CN"/>
        </w:rPr>
        <w:br w:type="page"/>
      </w:r>
    </w:p>
    <w:p w14:paraId="7707344D">
      <w:pPr>
        <w:pStyle w:val="12"/>
        <w:spacing w:line="360" w:lineRule="auto"/>
        <w:jc w:val="center"/>
        <w:outlineLvl w:val="2"/>
        <w:rPr>
          <w:rFonts w:hint="eastAsia" w:hAnsi="宋体" w:cs="宋体"/>
          <w:color w:val="auto"/>
          <w:sz w:val="30"/>
          <w:szCs w:val="30"/>
          <w:highlight w:val="none"/>
        </w:rPr>
      </w:pPr>
      <w:bookmarkStart w:id="1245" w:name="_Toc14997"/>
      <w:r>
        <w:rPr>
          <w:rFonts w:hint="eastAsia" w:hAnsi="宋体" w:cs="宋体"/>
          <w:color w:val="auto"/>
          <w:sz w:val="30"/>
          <w:szCs w:val="30"/>
          <w:highlight w:val="none"/>
          <w:lang w:val="en-US" w:eastAsia="zh-CN"/>
        </w:rPr>
        <w:t>优先采购的</w:t>
      </w:r>
      <w:r>
        <w:rPr>
          <w:rFonts w:hint="eastAsia" w:hAnsi="宋体" w:cs="宋体"/>
          <w:color w:val="auto"/>
          <w:sz w:val="30"/>
          <w:szCs w:val="30"/>
          <w:highlight w:val="none"/>
        </w:rPr>
        <w:t>节能</w:t>
      </w:r>
      <w:r>
        <w:rPr>
          <w:rFonts w:hint="eastAsia" w:hAnsi="宋体" w:cs="宋体"/>
          <w:color w:val="auto"/>
          <w:sz w:val="30"/>
          <w:szCs w:val="30"/>
          <w:highlight w:val="none"/>
          <w:lang w:val="en-US" w:eastAsia="zh-CN"/>
        </w:rPr>
        <w:t>产品</w:t>
      </w:r>
      <w:r>
        <w:rPr>
          <w:rFonts w:hint="eastAsia" w:hAnsi="宋体" w:cs="宋体"/>
          <w:color w:val="auto"/>
          <w:sz w:val="30"/>
          <w:szCs w:val="30"/>
          <w:highlight w:val="none"/>
        </w:rPr>
        <w:t>或环境标志产品</w:t>
      </w:r>
      <w:bookmarkEnd w:id="1236"/>
      <w:bookmarkEnd w:id="1237"/>
      <w:bookmarkEnd w:id="1245"/>
    </w:p>
    <w:p w14:paraId="1FEDA539">
      <w:pPr>
        <w:pStyle w:val="12"/>
        <w:spacing w:line="360" w:lineRule="auto"/>
        <w:jc w:val="center"/>
        <w:outlineLvl w:val="2"/>
        <w:rPr>
          <w:rFonts w:hAnsi="宋体" w:cs="宋体"/>
          <w:color w:val="auto"/>
          <w:sz w:val="30"/>
          <w:szCs w:val="30"/>
          <w:highlight w:val="none"/>
        </w:rPr>
      </w:pPr>
      <w:bookmarkStart w:id="1246" w:name="_Toc8961"/>
      <w:bookmarkStart w:id="1247" w:name="_Toc6476"/>
      <w:bookmarkStart w:id="1248" w:name="_Toc30262"/>
      <w:bookmarkStart w:id="1249" w:name="_Toc9113"/>
      <w:r>
        <w:rPr>
          <w:rFonts w:hint="eastAsia" w:ascii="宋体" w:hAnsi="宋体"/>
          <w:color w:val="auto"/>
          <w:highlight w:val="none"/>
        </w:rPr>
        <w:t>（如有则附）</w:t>
      </w:r>
      <w:bookmarkEnd w:id="1246"/>
      <w:bookmarkEnd w:id="1247"/>
      <w:bookmarkEnd w:id="1248"/>
      <w:bookmarkEnd w:id="1249"/>
    </w:p>
    <w:tbl>
      <w:tblPr>
        <w:tblStyle w:val="21"/>
        <w:tblW w:w="8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275"/>
        <w:gridCol w:w="2957"/>
        <w:gridCol w:w="1136"/>
        <w:gridCol w:w="910"/>
        <w:gridCol w:w="1570"/>
      </w:tblGrid>
      <w:tr w14:paraId="14B8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left w:val="single" w:color="auto" w:sz="4" w:space="0"/>
              <w:bottom w:val="single" w:color="auto" w:sz="4" w:space="0"/>
              <w:right w:val="single" w:color="auto" w:sz="4" w:space="0"/>
            </w:tcBorders>
            <w:noWrap w:val="0"/>
            <w:vAlign w:val="center"/>
          </w:tcPr>
          <w:p w14:paraId="77EB04C5">
            <w:pPr>
              <w:pStyle w:val="12"/>
              <w:spacing w:line="360" w:lineRule="auto"/>
              <w:jc w:val="center"/>
              <w:rPr>
                <w:rFonts w:hAnsi="宋体" w:cs="宋体"/>
                <w:color w:val="auto"/>
                <w:highlight w:val="none"/>
              </w:rPr>
            </w:pPr>
            <w:r>
              <w:rPr>
                <w:rFonts w:hint="eastAsia" w:hAnsi="宋体" w:cs="宋体"/>
                <w:color w:val="auto"/>
                <w:highlight w:val="none"/>
              </w:rPr>
              <w:t>序号</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0B0D46D">
            <w:pPr>
              <w:pStyle w:val="12"/>
              <w:spacing w:line="360" w:lineRule="auto"/>
              <w:jc w:val="center"/>
              <w:rPr>
                <w:rFonts w:hAnsi="宋体" w:cs="宋体"/>
                <w:color w:val="auto"/>
                <w:highlight w:val="none"/>
              </w:rPr>
            </w:pPr>
            <w:r>
              <w:rPr>
                <w:rFonts w:hint="eastAsia" w:hAnsi="宋体" w:cs="宋体"/>
                <w:color w:val="auto"/>
                <w:highlight w:val="none"/>
              </w:rPr>
              <w:t>产品名称</w:t>
            </w:r>
          </w:p>
        </w:tc>
        <w:tc>
          <w:tcPr>
            <w:tcW w:w="2957" w:type="dxa"/>
            <w:tcBorders>
              <w:top w:val="single" w:color="auto" w:sz="4" w:space="0"/>
              <w:left w:val="single" w:color="auto" w:sz="4" w:space="0"/>
              <w:bottom w:val="single" w:color="auto" w:sz="4" w:space="0"/>
              <w:right w:val="single" w:color="auto" w:sz="4" w:space="0"/>
            </w:tcBorders>
            <w:noWrap w:val="0"/>
            <w:vAlign w:val="center"/>
          </w:tcPr>
          <w:p w14:paraId="6384CFED">
            <w:pPr>
              <w:pStyle w:val="12"/>
              <w:spacing w:line="360" w:lineRule="auto"/>
              <w:jc w:val="center"/>
              <w:rPr>
                <w:rFonts w:hAnsi="宋体" w:cs="宋体"/>
                <w:color w:val="auto"/>
                <w:highlight w:val="none"/>
              </w:rPr>
            </w:pPr>
            <w:r>
              <w:rPr>
                <w:rFonts w:hint="eastAsia" w:hAnsi="宋体" w:cs="宋体"/>
                <w:color w:val="auto"/>
                <w:highlight w:val="none"/>
              </w:rPr>
              <w:t>节能产品/环境标志产品</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3F688D05">
            <w:pPr>
              <w:pStyle w:val="12"/>
              <w:spacing w:line="360" w:lineRule="auto"/>
              <w:jc w:val="center"/>
              <w:rPr>
                <w:rFonts w:hAnsi="宋体" w:cs="宋体"/>
                <w:color w:val="auto"/>
                <w:highlight w:val="none"/>
              </w:rPr>
            </w:pPr>
            <w:r>
              <w:rPr>
                <w:rFonts w:hint="eastAsia" w:hAnsi="宋体" w:cs="宋体"/>
                <w:color w:val="auto"/>
                <w:highlight w:val="none"/>
              </w:rPr>
              <w:t>品牌型号</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1E0632CC">
            <w:pPr>
              <w:pStyle w:val="12"/>
              <w:spacing w:line="360" w:lineRule="auto"/>
              <w:jc w:val="center"/>
              <w:rPr>
                <w:rFonts w:hAnsi="宋体" w:cs="宋体"/>
                <w:color w:val="auto"/>
                <w:highlight w:val="none"/>
              </w:rPr>
            </w:pPr>
            <w:r>
              <w:rPr>
                <w:rFonts w:hint="eastAsia" w:hAnsi="宋体" w:cs="宋体"/>
                <w:color w:val="auto"/>
                <w:highlight w:val="none"/>
              </w:rPr>
              <w:t>数量</w:t>
            </w:r>
          </w:p>
        </w:tc>
        <w:tc>
          <w:tcPr>
            <w:tcW w:w="1570" w:type="dxa"/>
            <w:tcBorders>
              <w:top w:val="single" w:color="auto" w:sz="4" w:space="0"/>
              <w:left w:val="single" w:color="auto" w:sz="4" w:space="0"/>
              <w:bottom w:val="single" w:color="auto" w:sz="4" w:space="0"/>
              <w:right w:val="single" w:color="auto" w:sz="4" w:space="0"/>
            </w:tcBorders>
            <w:noWrap w:val="0"/>
            <w:vAlign w:val="center"/>
          </w:tcPr>
          <w:p w14:paraId="5D6248EE">
            <w:pPr>
              <w:pStyle w:val="12"/>
              <w:spacing w:line="360" w:lineRule="auto"/>
              <w:jc w:val="center"/>
              <w:rPr>
                <w:rFonts w:hAnsi="宋体" w:cs="宋体"/>
                <w:color w:val="auto"/>
                <w:highlight w:val="none"/>
              </w:rPr>
            </w:pPr>
            <w:r>
              <w:rPr>
                <w:rFonts w:hint="eastAsia" w:hAnsi="宋体" w:cs="宋体"/>
                <w:color w:val="auto"/>
                <w:highlight w:val="none"/>
              </w:rPr>
              <w:t>对应响应文件要求页码</w:t>
            </w:r>
          </w:p>
        </w:tc>
      </w:tr>
      <w:tr w14:paraId="6C04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left w:val="single" w:color="auto" w:sz="4" w:space="0"/>
              <w:bottom w:val="single" w:color="auto" w:sz="4" w:space="0"/>
              <w:right w:val="single" w:color="auto" w:sz="4" w:space="0"/>
            </w:tcBorders>
            <w:noWrap w:val="0"/>
            <w:vAlign w:val="top"/>
          </w:tcPr>
          <w:p w14:paraId="4446E8E7">
            <w:pPr>
              <w:pStyle w:val="12"/>
              <w:spacing w:line="360" w:lineRule="auto"/>
              <w:jc w:val="center"/>
              <w:rPr>
                <w:rFonts w:hAnsi="宋体" w:cs="宋体"/>
                <w:color w:val="auto"/>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33E0EEE6">
            <w:pPr>
              <w:pStyle w:val="12"/>
              <w:spacing w:line="360" w:lineRule="auto"/>
              <w:jc w:val="center"/>
              <w:rPr>
                <w:rFonts w:hAnsi="宋体" w:cs="宋体"/>
                <w:color w:val="auto"/>
                <w:highlight w:val="none"/>
              </w:rPr>
            </w:pPr>
          </w:p>
        </w:tc>
        <w:tc>
          <w:tcPr>
            <w:tcW w:w="2957" w:type="dxa"/>
            <w:tcBorders>
              <w:top w:val="single" w:color="auto" w:sz="4" w:space="0"/>
              <w:left w:val="single" w:color="auto" w:sz="4" w:space="0"/>
              <w:bottom w:val="single" w:color="auto" w:sz="4" w:space="0"/>
              <w:right w:val="single" w:color="auto" w:sz="4" w:space="0"/>
            </w:tcBorders>
            <w:noWrap w:val="0"/>
            <w:vAlign w:val="top"/>
          </w:tcPr>
          <w:p w14:paraId="66251168">
            <w:pPr>
              <w:pStyle w:val="12"/>
              <w:spacing w:line="360" w:lineRule="auto"/>
              <w:jc w:val="center"/>
              <w:rPr>
                <w:rFonts w:hAnsi="宋体" w:cs="宋体"/>
                <w:color w:val="auto"/>
                <w:highlight w:val="none"/>
              </w:rPr>
            </w:pPr>
          </w:p>
        </w:tc>
        <w:tc>
          <w:tcPr>
            <w:tcW w:w="1136" w:type="dxa"/>
            <w:tcBorders>
              <w:top w:val="single" w:color="auto" w:sz="4" w:space="0"/>
              <w:left w:val="single" w:color="auto" w:sz="4" w:space="0"/>
              <w:bottom w:val="single" w:color="auto" w:sz="4" w:space="0"/>
              <w:right w:val="single" w:color="auto" w:sz="4" w:space="0"/>
            </w:tcBorders>
            <w:noWrap w:val="0"/>
            <w:vAlign w:val="top"/>
          </w:tcPr>
          <w:p w14:paraId="1A6AFCA3">
            <w:pPr>
              <w:pStyle w:val="12"/>
              <w:spacing w:line="360" w:lineRule="auto"/>
              <w:jc w:val="center"/>
              <w:rPr>
                <w:rFonts w:hAnsi="宋体" w:cs="宋体"/>
                <w:color w:val="auto"/>
                <w:highlight w:val="none"/>
              </w:rPr>
            </w:pPr>
          </w:p>
        </w:tc>
        <w:tc>
          <w:tcPr>
            <w:tcW w:w="910" w:type="dxa"/>
            <w:tcBorders>
              <w:top w:val="single" w:color="auto" w:sz="4" w:space="0"/>
              <w:left w:val="single" w:color="auto" w:sz="4" w:space="0"/>
              <w:bottom w:val="single" w:color="auto" w:sz="4" w:space="0"/>
              <w:right w:val="single" w:color="auto" w:sz="4" w:space="0"/>
            </w:tcBorders>
            <w:noWrap w:val="0"/>
            <w:vAlign w:val="top"/>
          </w:tcPr>
          <w:p w14:paraId="0B078ABA">
            <w:pPr>
              <w:pStyle w:val="12"/>
              <w:spacing w:line="360" w:lineRule="auto"/>
              <w:jc w:val="center"/>
              <w:rPr>
                <w:rFonts w:hAnsi="宋体" w:cs="宋体"/>
                <w:color w:val="auto"/>
                <w:highlight w:val="none"/>
              </w:rPr>
            </w:pPr>
          </w:p>
        </w:tc>
        <w:tc>
          <w:tcPr>
            <w:tcW w:w="1570" w:type="dxa"/>
            <w:tcBorders>
              <w:top w:val="single" w:color="auto" w:sz="4" w:space="0"/>
              <w:left w:val="single" w:color="auto" w:sz="4" w:space="0"/>
              <w:bottom w:val="single" w:color="auto" w:sz="4" w:space="0"/>
              <w:right w:val="single" w:color="auto" w:sz="4" w:space="0"/>
            </w:tcBorders>
            <w:noWrap w:val="0"/>
            <w:vAlign w:val="top"/>
          </w:tcPr>
          <w:p w14:paraId="45040922">
            <w:pPr>
              <w:pStyle w:val="12"/>
              <w:spacing w:line="360" w:lineRule="auto"/>
              <w:jc w:val="center"/>
              <w:rPr>
                <w:rFonts w:hAnsi="宋体" w:cs="宋体"/>
                <w:color w:val="auto"/>
                <w:highlight w:val="none"/>
              </w:rPr>
            </w:pPr>
          </w:p>
        </w:tc>
      </w:tr>
      <w:tr w14:paraId="207E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left w:val="single" w:color="auto" w:sz="4" w:space="0"/>
              <w:bottom w:val="single" w:color="auto" w:sz="4" w:space="0"/>
              <w:right w:val="single" w:color="auto" w:sz="4" w:space="0"/>
            </w:tcBorders>
            <w:noWrap w:val="0"/>
            <w:vAlign w:val="center"/>
          </w:tcPr>
          <w:p w14:paraId="72743396">
            <w:pPr>
              <w:widowControl/>
              <w:jc w:val="center"/>
              <w:textAlignment w:val="center"/>
              <w:rPr>
                <w:rFonts w:ascii="宋体" w:hAnsi="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3CAFB02">
            <w:pPr>
              <w:widowControl/>
              <w:jc w:val="center"/>
              <w:textAlignment w:val="center"/>
              <w:rPr>
                <w:rFonts w:ascii="宋体" w:hAnsi="宋体" w:cs="宋体"/>
                <w:color w:val="auto"/>
                <w:szCs w:val="21"/>
                <w:highlight w:val="none"/>
              </w:rPr>
            </w:pPr>
          </w:p>
        </w:tc>
        <w:tc>
          <w:tcPr>
            <w:tcW w:w="2957" w:type="dxa"/>
            <w:tcBorders>
              <w:top w:val="single" w:color="auto" w:sz="4" w:space="0"/>
              <w:left w:val="single" w:color="auto" w:sz="4" w:space="0"/>
              <w:bottom w:val="single" w:color="auto" w:sz="4" w:space="0"/>
              <w:right w:val="single" w:color="auto" w:sz="4" w:space="0"/>
            </w:tcBorders>
            <w:noWrap w:val="0"/>
            <w:vAlign w:val="top"/>
          </w:tcPr>
          <w:p w14:paraId="417B5AC3">
            <w:pPr>
              <w:widowControl/>
              <w:jc w:val="center"/>
              <w:textAlignment w:val="center"/>
              <w:rPr>
                <w:rFonts w:ascii="宋体" w:hAnsi="宋体" w:cs="宋体"/>
                <w:color w:val="auto"/>
                <w:szCs w:val="21"/>
                <w:highlight w:val="none"/>
              </w:rPr>
            </w:pPr>
          </w:p>
        </w:tc>
        <w:tc>
          <w:tcPr>
            <w:tcW w:w="1136" w:type="dxa"/>
            <w:tcBorders>
              <w:top w:val="single" w:color="auto" w:sz="4" w:space="0"/>
              <w:left w:val="single" w:color="auto" w:sz="4" w:space="0"/>
              <w:bottom w:val="single" w:color="auto" w:sz="4" w:space="0"/>
              <w:right w:val="single" w:color="auto" w:sz="4" w:space="0"/>
            </w:tcBorders>
            <w:noWrap w:val="0"/>
            <w:vAlign w:val="top"/>
          </w:tcPr>
          <w:p w14:paraId="59C4C71D">
            <w:pPr>
              <w:pStyle w:val="12"/>
              <w:spacing w:line="360" w:lineRule="auto"/>
              <w:jc w:val="center"/>
              <w:rPr>
                <w:rFonts w:hAnsi="宋体" w:cs="宋体"/>
                <w:color w:val="auto"/>
                <w:highlight w:val="none"/>
              </w:rPr>
            </w:pPr>
          </w:p>
        </w:tc>
        <w:tc>
          <w:tcPr>
            <w:tcW w:w="910" w:type="dxa"/>
            <w:tcBorders>
              <w:top w:val="single" w:color="auto" w:sz="4" w:space="0"/>
              <w:left w:val="single" w:color="auto" w:sz="4" w:space="0"/>
              <w:bottom w:val="single" w:color="auto" w:sz="4" w:space="0"/>
              <w:right w:val="single" w:color="auto" w:sz="4" w:space="0"/>
            </w:tcBorders>
            <w:noWrap w:val="0"/>
            <w:vAlign w:val="top"/>
          </w:tcPr>
          <w:p w14:paraId="4805EDCE">
            <w:pPr>
              <w:pStyle w:val="12"/>
              <w:spacing w:line="360" w:lineRule="auto"/>
              <w:jc w:val="center"/>
              <w:rPr>
                <w:rFonts w:hAnsi="宋体" w:cs="宋体"/>
                <w:color w:val="auto"/>
                <w:highlight w:val="none"/>
              </w:rPr>
            </w:pPr>
          </w:p>
        </w:tc>
        <w:tc>
          <w:tcPr>
            <w:tcW w:w="1570" w:type="dxa"/>
            <w:tcBorders>
              <w:top w:val="single" w:color="auto" w:sz="4" w:space="0"/>
              <w:left w:val="single" w:color="auto" w:sz="4" w:space="0"/>
              <w:bottom w:val="single" w:color="auto" w:sz="4" w:space="0"/>
              <w:right w:val="single" w:color="auto" w:sz="4" w:space="0"/>
            </w:tcBorders>
            <w:noWrap w:val="0"/>
            <w:vAlign w:val="top"/>
          </w:tcPr>
          <w:p w14:paraId="7E77AC02">
            <w:pPr>
              <w:pStyle w:val="12"/>
              <w:spacing w:line="360" w:lineRule="auto"/>
              <w:jc w:val="center"/>
              <w:rPr>
                <w:rFonts w:hAnsi="宋体" w:cs="宋体"/>
                <w:color w:val="auto"/>
                <w:highlight w:val="none"/>
              </w:rPr>
            </w:pPr>
          </w:p>
        </w:tc>
      </w:tr>
    </w:tbl>
    <w:p w14:paraId="49CB6E1A">
      <w:pPr>
        <w:pStyle w:val="12"/>
        <w:spacing w:line="360" w:lineRule="auto"/>
        <w:rPr>
          <w:rFonts w:hAnsi="宋体" w:cs="宋体"/>
          <w:color w:val="auto"/>
          <w:kern w:val="0"/>
          <w:highlight w:val="none"/>
        </w:rPr>
      </w:pPr>
    </w:p>
    <w:p w14:paraId="2A2BFE4A">
      <w:pPr>
        <w:rPr>
          <w:rFonts w:hint="eastAsia" w:hAnsi="宋体" w:cs="宋体"/>
          <w:color w:val="auto"/>
          <w:kern w:val="0"/>
          <w:highlight w:val="none"/>
        </w:rPr>
      </w:pPr>
      <w:r>
        <w:rPr>
          <w:rFonts w:hint="eastAsia" w:hAnsi="宋体" w:cs="宋体"/>
          <w:color w:val="auto"/>
          <w:kern w:val="0"/>
          <w:highlight w:val="none"/>
        </w:rPr>
        <w:t>注</w:t>
      </w:r>
      <w:r>
        <w:rPr>
          <w:rFonts w:hint="eastAsia" w:hAnsi="宋体" w:cs="宋体"/>
          <w:color w:val="auto"/>
          <w:kern w:val="0"/>
          <w:highlight w:val="none"/>
          <w:lang w:eastAsia="zh-CN"/>
        </w:rPr>
        <w:t>：</w:t>
      </w:r>
      <w:r>
        <w:rPr>
          <w:rFonts w:hint="eastAsia" w:hAnsi="宋体" w:cs="宋体"/>
          <w:color w:val="auto"/>
          <w:kern w:val="0"/>
          <w:highlight w:val="none"/>
        </w:rPr>
        <w:t>1）证明材料为有效期内的《中国节能产品认证证书》扫描件一份或《中国环境标志产品认证证书》扫描件一份。</w:t>
      </w:r>
    </w:p>
    <w:p w14:paraId="31D499C3">
      <w:pPr>
        <w:rPr>
          <w:rFonts w:hint="eastAsia" w:hAnsi="宋体" w:cs="宋体"/>
          <w:color w:val="auto"/>
          <w:kern w:val="0"/>
          <w:highlight w:val="none"/>
        </w:rPr>
      </w:pPr>
      <w:r>
        <w:rPr>
          <w:rFonts w:hint="eastAsia" w:hAnsi="宋体" w:cs="宋体"/>
          <w:color w:val="auto"/>
          <w:kern w:val="0"/>
          <w:highlight w:val="none"/>
        </w:rPr>
        <w:t>同一产品同时提供《中国节能产品认证证书》和《中国环境标志产品认证证书》，不累计加分。</w:t>
      </w:r>
    </w:p>
    <w:p w14:paraId="76C54C3E">
      <w:pPr>
        <w:rPr>
          <w:rFonts w:hint="eastAsia" w:hAnsi="宋体" w:cs="宋体"/>
          <w:color w:val="auto"/>
          <w:kern w:val="0"/>
          <w:highlight w:val="none"/>
          <w:lang w:val="en-US" w:eastAsia="zh-CN"/>
        </w:rPr>
      </w:pPr>
      <w:r>
        <w:rPr>
          <w:rFonts w:hint="eastAsia" w:hAnsi="宋体" w:cs="宋体"/>
          <w:color w:val="auto"/>
          <w:kern w:val="0"/>
          <w:highlight w:val="none"/>
          <w:lang w:val="en-US" w:eastAsia="zh-CN"/>
        </w:rPr>
        <w:t>3）政府强制采购节能产品是指“节能清单”中以“★”标注类别的产品，其余为优先采购的节能产品。</w:t>
      </w:r>
    </w:p>
    <w:p w14:paraId="1CED58C9">
      <w:pPr>
        <w:pStyle w:val="12"/>
        <w:spacing w:line="360" w:lineRule="auto"/>
        <w:jc w:val="center"/>
        <w:outlineLvl w:val="9"/>
        <w:rPr>
          <w:rFonts w:ascii="Times New Roman" w:eastAsia="黑体"/>
          <w:color w:val="auto"/>
          <w:sz w:val="30"/>
          <w:szCs w:val="30"/>
          <w:highlight w:val="none"/>
        </w:rPr>
      </w:pPr>
      <w:r>
        <w:rPr>
          <w:rFonts w:hint="eastAsia" w:ascii="宋体" w:hAnsi="宋体" w:cs="宋体"/>
          <w:color w:val="auto"/>
          <w:sz w:val="30"/>
          <w:szCs w:val="30"/>
          <w:highlight w:val="none"/>
        </w:rPr>
        <w:br w:type="page"/>
      </w:r>
      <w:r>
        <w:rPr>
          <w:rFonts w:hint="eastAsia" w:ascii="Times New Roman" w:eastAsia="黑体"/>
          <w:color w:val="auto"/>
          <w:sz w:val="30"/>
          <w:szCs w:val="30"/>
          <w:highlight w:val="none"/>
        </w:rPr>
        <w:t>节能产品和环境标志产品证明材料</w:t>
      </w:r>
    </w:p>
    <w:p w14:paraId="020E9B59">
      <w:pPr>
        <w:spacing w:line="360" w:lineRule="auto"/>
        <w:ind w:firstLine="420" w:firstLineChars="200"/>
        <w:jc w:val="center"/>
        <w:rPr>
          <w:rFonts w:ascii="宋体" w:hAnsi="宋体"/>
          <w:color w:val="auto"/>
          <w:highlight w:val="none"/>
        </w:rPr>
      </w:pPr>
      <w:r>
        <w:rPr>
          <w:rFonts w:hint="eastAsia" w:ascii="宋体" w:hAnsi="宋体"/>
          <w:color w:val="auto"/>
          <w:highlight w:val="none"/>
        </w:rPr>
        <w:t>（如有则附）</w:t>
      </w:r>
    </w:p>
    <w:p w14:paraId="1AFC476D">
      <w:pPr>
        <w:pStyle w:val="12"/>
        <w:spacing w:line="360" w:lineRule="auto"/>
        <w:ind w:firstLine="420" w:firstLineChars="200"/>
        <w:rPr>
          <w:rFonts w:ascii="Times New Roman"/>
          <w:color w:val="auto"/>
          <w:highlight w:val="none"/>
        </w:rPr>
      </w:pPr>
    </w:p>
    <w:p w14:paraId="6FA22BE0">
      <w:pPr>
        <w:pStyle w:val="12"/>
        <w:spacing w:line="360" w:lineRule="auto"/>
        <w:ind w:firstLine="420" w:firstLineChars="200"/>
        <w:rPr>
          <w:rFonts w:hint="eastAsia" w:ascii="Times New Roman"/>
          <w:color w:val="auto"/>
          <w:highlight w:val="none"/>
          <w:lang w:val="en-US" w:eastAsia="zh-CN"/>
        </w:rPr>
      </w:pPr>
    </w:p>
    <w:p w14:paraId="066970D5">
      <w:pPr>
        <w:pStyle w:val="12"/>
        <w:spacing w:line="360" w:lineRule="auto"/>
        <w:ind w:firstLine="420" w:firstLineChars="200"/>
        <w:rPr>
          <w:rFonts w:hint="eastAsia" w:ascii="Times New Roman"/>
          <w:color w:val="auto"/>
          <w:highlight w:val="none"/>
          <w:lang w:val="en-US" w:eastAsia="zh-CN"/>
        </w:rPr>
      </w:pPr>
    </w:p>
    <w:p w14:paraId="4A7D9E4D">
      <w:pPr>
        <w:pStyle w:val="12"/>
        <w:spacing w:line="360" w:lineRule="auto"/>
        <w:ind w:firstLine="420" w:firstLineChars="200"/>
        <w:rPr>
          <w:rFonts w:hint="eastAsia" w:ascii="Times New Roman"/>
          <w:color w:val="auto"/>
          <w:highlight w:val="none"/>
          <w:lang w:val="en-US" w:eastAsia="zh-CN"/>
        </w:rPr>
      </w:pPr>
    </w:p>
    <w:p w14:paraId="39DA91D5">
      <w:pPr>
        <w:pStyle w:val="12"/>
        <w:spacing w:line="360" w:lineRule="auto"/>
        <w:ind w:firstLine="420" w:firstLineChars="200"/>
        <w:rPr>
          <w:rFonts w:hint="eastAsia" w:ascii="Times New Roman"/>
          <w:color w:val="auto"/>
          <w:highlight w:val="none"/>
          <w:lang w:val="en-US" w:eastAsia="zh-CN"/>
        </w:rPr>
      </w:pPr>
    </w:p>
    <w:p w14:paraId="0D982DDD">
      <w:pPr>
        <w:pStyle w:val="12"/>
        <w:spacing w:line="360" w:lineRule="auto"/>
        <w:ind w:firstLine="420" w:firstLineChars="200"/>
        <w:rPr>
          <w:rFonts w:hint="eastAsia" w:ascii="Times New Roman"/>
          <w:color w:val="auto"/>
          <w:highlight w:val="none"/>
          <w:lang w:val="en-US" w:eastAsia="zh-CN"/>
        </w:rPr>
      </w:pPr>
    </w:p>
    <w:p w14:paraId="0E6B5574">
      <w:pPr>
        <w:pStyle w:val="12"/>
        <w:spacing w:line="360" w:lineRule="auto"/>
        <w:ind w:firstLine="420" w:firstLineChars="200"/>
        <w:rPr>
          <w:rFonts w:hint="eastAsia" w:ascii="Times New Roman"/>
          <w:color w:val="auto"/>
          <w:highlight w:val="none"/>
          <w:lang w:val="en-US" w:eastAsia="zh-CN"/>
        </w:rPr>
      </w:pPr>
    </w:p>
    <w:p w14:paraId="408EC80C">
      <w:pPr>
        <w:pStyle w:val="12"/>
        <w:spacing w:line="360" w:lineRule="auto"/>
        <w:rPr>
          <w:rFonts w:hint="eastAsia" w:ascii="Times New Roman"/>
          <w:color w:val="auto"/>
          <w:highlight w:val="none"/>
          <w:lang w:val="en-US" w:eastAsia="zh-CN"/>
        </w:rPr>
      </w:pPr>
    </w:p>
    <w:p w14:paraId="0F7C2810">
      <w:pPr>
        <w:pStyle w:val="12"/>
        <w:spacing w:line="360" w:lineRule="auto"/>
        <w:ind w:firstLine="420" w:firstLineChars="200"/>
        <w:rPr>
          <w:rFonts w:hint="eastAsia" w:ascii="Times New Roman"/>
          <w:color w:val="auto"/>
          <w:highlight w:val="none"/>
          <w:lang w:val="en-US" w:eastAsia="zh-CN"/>
        </w:rPr>
      </w:pPr>
    </w:p>
    <w:p w14:paraId="1013049B">
      <w:pPr>
        <w:pStyle w:val="12"/>
        <w:spacing w:line="360" w:lineRule="auto"/>
        <w:ind w:firstLine="420" w:firstLineChars="200"/>
        <w:rPr>
          <w:rFonts w:hint="eastAsia" w:ascii="Times New Roman"/>
          <w:color w:val="auto"/>
          <w:highlight w:val="none"/>
          <w:lang w:val="en-US" w:eastAsia="zh-CN"/>
        </w:rPr>
      </w:pPr>
    </w:p>
    <w:p w14:paraId="3E677B3B">
      <w:pPr>
        <w:pStyle w:val="12"/>
        <w:spacing w:line="360" w:lineRule="auto"/>
        <w:ind w:firstLine="420" w:firstLineChars="200"/>
        <w:rPr>
          <w:rFonts w:ascii="Times New Roman"/>
          <w:color w:val="auto"/>
          <w:highlight w:val="none"/>
        </w:rPr>
      </w:pPr>
      <w:r>
        <w:rPr>
          <w:rFonts w:hint="eastAsia" w:ascii="Times New Roman"/>
          <w:color w:val="auto"/>
          <w:highlight w:val="none"/>
          <w:lang w:val="en-US" w:eastAsia="zh-CN"/>
        </w:rPr>
        <w:t>注：</w:t>
      </w:r>
      <w:r>
        <w:rPr>
          <w:rFonts w:hint="eastAsia" w:ascii="Times New Roman"/>
          <w:color w:val="auto"/>
          <w:highlight w:val="none"/>
        </w:rPr>
        <w:t>1、节能产品是指列入财政部和国家发改委公布的《节能产品政府采购品目清单》中的内容。政府强制采购节能产品是指“节能清单”中以“★”标注类别的产品，其余为优先采购产品。</w:t>
      </w:r>
    </w:p>
    <w:p w14:paraId="75801DEB">
      <w:pPr>
        <w:pStyle w:val="12"/>
        <w:spacing w:line="360" w:lineRule="auto"/>
        <w:ind w:firstLine="420" w:firstLineChars="200"/>
        <w:rPr>
          <w:rFonts w:ascii="Times New Roman"/>
          <w:color w:val="auto"/>
          <w:highlight w:val="none"/>
        </w:rPr>
      </w:pPr>
      <w:r>
        <w:rPr>
          <w:rFonts w:hint="eastAsia" w:ascii="Times New Roman"/>
          <w:color w:val="auto"/>
          <w:highlight w:val="none"/>
        </w:rPr>
        <w:t>2、环境产品是指列入财政部和国家发改委公布的《环境标志产品政府采购品目清单》中的内容。</w:t>
      </w:r>
    </w:p>
    <w:p w14:paraId="14CD4B52">
      <w:pPr>
        <w:pStyle w:val="12"/>
        <w:spacing w:line="360" w:lineRule="auto"/>
        <w:ind w:firstLine="420" w:firstLineChars="200"/>
        <w:rPr>
          <w:rFonts w:ascii="Times New Roman"/>
          <w:color w:val="auto"/>
          <w:highlight w:val="none"/>
        </w:rPr>
      </w:pPr>
      <w:r>
        <w:rPr>
          <w:rFonts w:hint="eastAsia" w:ascii="Times New Roman"/>
          <w:color w:val="auto"/>
          <w:highlight w:val="none"/>
        </w:rPr>
        <w:t>3、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节能产品政府采购品目清单、环境标志产品政府采购品目清单可通过中国政府采购网（http://www.ccgp.gov.cn/）查阅。</w:t>
      </w:r>
    </w:p>
    <w:p w14:paraId="66759286">
      <w:pPr>
        <w:pStyle w:val="12"/>
        <w:spacing w:line="360" w:lineRule="auto"/>
        <w:ind w:firstLine="420" w:firstLineChars="200"/>
        <w:rPr>
          <w:rFonts w:ascii="Times New Roman"/>
          <w:color w:val="auto"/>
          <w:highlight w:val="none"/>
        </w:rPr>
      </w:pPr>
      <w:r>
        <w:rPr>
          <w:rFonts w:hint="eastAsia" w:ascii="Times New Roman"/>
          <w:color w:val="auto"/>
          <w:highlight w:val="none"/>
        </w:rPr>
        <w:t>4、优先采购的节能产品或环境产品须提供认证机构所颁发的有效期内的证书，认证机构可通过中国政府采购网（http://www.ccgp.gov.cn/）下载的 2019 年第 16 号文《市场监管总局关于发布参与实施政府采购节能产品、环境标志产品认证机构名录的公告》查询；</w:t>
      </w:r>
    </w:p>
    <w:p w14:paraId="10C03F0F">
      <w:pPr>
        <w:rPr>
          <w:rFonts w:hint="eastAsia" w:ascii="黑体" w:hAnsi="黑体" w:eastAsia="黑体"/>
          <w:bCs/>
          <w:color w:val="auto"/>
          <w:sz w:val="28"/>
          <w:szCs w:val="30"/>
          <w:highlight w:val="none"/>
        </w:rPr>
      </w:pPr>
      <w:r>
        <w:rPr>
          <w:rFonts w:hint="eastAsia" w:ascii="黑体" w:hAnsi="黑体" w:eastAsia="黑体"/>
          <w:bCs/>
          <w:color w:val="auto"/>
          <w:sz w:val="28"/>
          <w:szCs w:val="30"/>
          <w:highlight w:val="none"/>
        </w:rPr>
        <w:br w:type="page"/>
      </w:r>
    </w:p>
    <w:p w14:paraId="49E19CA6">
      <w:pPr>
        <w:pStyle w:val="12"/>
        <w:spacing w:line="500" w:lineRule="exact"/>
        <w:jc w:val="center"/>
        <w:outlineLvl w:val="2"/>
        <w:rPr>
          <w:rFonts w:ascii="黑体" w:hAnsi="黑体" w:eastAsia="黑体"/>
          <w:bCs/>
          <w:color w:val="auto"/>
          <w:sz w:val="28"/>
          <w:szCs w:val="30"/>
          <w:highlight w:val="none"/>
        </w:rPr>
      </w:pPr>
      <w:bookmarkStart w:id="1250" w:name="_Toc12433"/>
      <w:bookmarkStart w:id="1251" w:name="_Toc83"/>
      <w:bookmarkStart w:id="1252" w:name="_Toc24090"/>
      <w:r>
        <w:rPr>
          <w:rFonts w:hint="eastAsia" w:ascii="黑体" w:hAnsi="黑体" w:eastAsia="黑体"/>
          <w:bCs/>
          <w:color w:val="auto"/>
          <w:sz w:val="28"/>
          <w:szCs w:val="30"/>
          <w:highlight w:val="none"/>
        </w:rPr>
        <w:t>业绩</w:t>
      </w:r>
      <w:bookmarkEnd w:id="1238"/>
      <w:bookmarkEnd w:id="1239"/>
      <w:bookmarkEnd w:id="1240"/>
      <w:bookmarkEnd w:id="1241"/>
      <w:bookmarkEnd w:id="1242"/>
      <w:bookmarkEnd w:id="1243"/>
      <w:bookmarkEnd w:id="1250"/>
      <w:bookmarkEnd w:id="1251"/>
      <w:bookmarkEnd w:id="1252"/>
    </w:p>
    <w:tbl>
      <w:tblPr>
        <w:tblStyle w:val="21"/>
        <w:tblW w:w="91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8"/>
        <w:gridCol w:w="1580"/>
        <w:gridCol w:w="1129"/>
        <w:gridCol w:w="1636"/>
        <w:gridCol w:w="1180"/>
        <w:gridCol w:w="1275"/>
        <w:gridCol w:w="1520"/>
      </w:tblGrid>
      <w:tr w14:paraId="5BEC0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845" w:hRule="atLeast"/>
          <w:jc w:val="center"/>
        </w:trPr>
        <w:tc>
          <w:tcPr>
            <w:tcW w:w="878" w:type="dxa"/>
            <w:noWrap w:val="0"/>
            <w:vAlign w:val="center"/>
          </w:tcPr>
          <w:p w14:paraId="3F497144">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序号</w:t>
            </w:r>
          </w:p>
        </w:tc>
        <w:tc>
          <w:tcPr>
            <w:tcW w:w="1580" w:type="dxa"/>
            <w:noWrap w:val="0"/>
            <w:vAlign w:val="center"/>
          </w:tcPr>
          <w:p w14:paraId="325B2F65">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项目名称</w:t>
            </w:r>
          </w:p>
        </w:tc>
        <w:tc>
          <w:tcPr>
            <w:tcW w:w="1129" w:type="dxa"/>
            <w:noWrap w:val="0"/>
            <w:vAlign w:val="center"/>
          </w:tcPr>
          <w:p w14:paraId="11EAB4E5">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用户单位</w:t>
            </w:r>
          </w:p>
        </w:tc>
        <w:tc>
          <w:tcPr>
            <w:tcW w:w="1636" w:type="dxa"/>
            <w:noWrap w:val="0"/>
            <w:vAlign w:val="center"/>
          </w:tcPr>
          <w:p w14:paraId="1DF42F7B">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用户单位联系人</w:t>
            </w:r>
          </w:p>
        </w:tc>
        <w:tc>
          <w:tcPr>
            <w:tcW w:w="1180" w:type="dxa"/>
            <w:noWrap w:val="0"/>
            <w:vAlign w:val="center"/>
          </w:tcPr>
          <w:p w14:paraId="6702BD51">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联系电话</w:t>
            </w:r>
          </w:p>
        </w:tc>
        <w:tc>
          <w:tcPr>
            <w:tcW w:w="1275" w:type="dxa"/>
            <w:noWrap w:val="0"/>
            <w:vAlign w:val="center"/>
          </w:tcPr>
          <w:p w14:paraId="3C378F86">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合同金额(万元)</w:t>
            </w:r>
          </w:p>
        </w:tc>
        <w:tc>
          <w:tcPr>
            <w:tcW w:w="1520" w:type="dxa"/>
            <w:noWrap w:val="0"/>
            <w:vAlign w:val="center"/>
          </w:tcPr>
          <w:p w14:paraId="758CC383">
            <w:pPr>
              <w:autoSpaceDE w:val="0"/>
              <w:autoSpaceDN w:val="0"/>
              <w:adjustRightInd w:val="0"/>
              <w:spacing w:line="0" w:lineRule="atLeast"/>
              <w:ind w:left="102"/>
              <w:jc w:val="center"/>
              <w:rPr>
                <w:rFonts w:ascii="宋体" w:hAnsi="宋体"/>
                <w:b/>
                <w:color w:val="auto"/>
                <w:kern w:val="0"/>
                <w:highlight w:val="none"/>
              </w:rPr>
            </w:pPr>
            <w:r>
              <w:rPr>
                <w:rFonts w:hint="eastAsia" w:ascii="宋体" w:hAnsi="宋体"/>
                <w:b/>
                <w:color w:val="auto"/>
                <w:kern w:val="0"/>
                <w:highlight w:val="none"/>
              </w:rPr>
              <w:t>合同签订时间</w:t>
            </w:r>
          </w:p>
        </w:tc>
      </w:tr>
      <w:tr w14:paraId="021E8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28" w:hRule="atLeast"/>
          <w:jc w:val="center"/>
        </w:trPr>
        <w:tc>
          <w:tcPr>
            <w:tcW w:w="878" w:type="dxa"/>
            <w:noWrap w:val="0"/>
            <w:vAlign w:val="center"/>
          </w:tcPr>
          <w:p w14:paraId="25A0865C">
            <w:pPr>
              <w:autoSpaceDE w:val="0"/>
              <w:autoSpaceDN w:val="0"/>
              <w:adjustRightInd w:val="0"/>
              <w:spacing w:line="0" w:lineRule="atLeast"/>
              <w:ind w:left="102"/>
              <w:jc w:val="center"/>
              <w:rPr>
                <w:rFonts w:ascii="宋体" w:hAnsi="宋体"/>
                <w:color w:val="auto"/>
                <w:kern w:val="0"/>
                <w:highlight w:val="none"/>
              </w:rPr>
            </w:pPr>
            <w:r>
              <w:rPr>
                <w:rFonts w:ascii="宋体" w:hAnsi="宋体"/>
                <w:color w:val="auto"/>
                <w:kern w:val="0"/>
                <w:highlight w:val="none"/>
              </w:rPr>
              <w:t>1</w:t>
            </w:r>
          </w:p>
        </w:tc>
        <w:tc>
          <w:tcPr>
            <w:tcW w:w="1580" w:type="dxa"/>
            <w:noWrap w:val="0"/>
            <w:vAlign w:val="center"/>
          </w:tcPr>
          <w:p w14:paraId="68962B53">
            <w:pPr>
              <w:autoSpaceDE w:val="0"/>
              <w:autoSpaceDN w:val="0"/>
              <w:adjustRightInd w:val="0"/>
              <w:spacing w:line="0" w:lineRule="atLeast"/>
              <w:ind w:left="102"/>
              <w:jc w:val="left"/>
              <w:rPr>
                <w:rFonts w:ascii="宋体" w:hAnsi="宋体"/>
                <w:color w:val="auto"/>
                <w:kern w:val="0"/>
                <w:highlight w:val="none"/>
              </w:rPr>
            </w:pPr>
          </w:p>
        </w:tc>
        <w:tc>
          <w:tcPr>
            <w:tcW w:w="1129" w:type="dxa"/>
            <w:noWrap w:val="0"/>
            <w:vAlign w:val="center"/>
          </w:tcPr>
          <w:p w14:paraId="6A8566D4">
            <w:pPr>
              <w:autoSpaceDE w:val="0"/>
              <w:autoSpaceDN w:val="0"/>
              <w:adjustRightInd w:val="0"/>
              <w:spacing w:line="0" w:lineRule="atLeast"/>
              <w:ind w:left="102"/>
              <w:jc w:val="left"/>
              <w:rPr>
                <w:rFonts w:ascii="宋体" w:hAnsi="宋体"/>
                <w:color w:val="auto"/>
                <w:kern w:val="0"/>
                <w:highlight w:val="none"/>
              </w:rPr>
            </w:pPr>
          </w:p>
        </w:tc>
        <w:tc>
          <w:tcPr>
            <w:tcW w:w="1636" w:type="dxa"/>
            <w:noWrap w:val="0"/>
            <w:vAlign w:val="top"/>
          </w:tcPr>
          <w:p w14:paraId="46AE8EC0">
            <w:pPr>
              <w:autoSpaceDE w:val="0"/>
              <w:autoSpaceDN w:val="0"/>
              <w:adjustRightInd w:val="0"/>
              <w:spacing w:line="0" w:lineRule="atLeast"/>
              <w:ind w:left="102"/>
              <w:jc w:val="left"/>
              <w:rPr>
                <w:rFonts w:ascii="宋体" w:hAnsi="宋体"/>
                <w:color w:val="auto"/>
                <w:kern w:val="0"/>
                <w:highlight w:val="none"/>
              </w:rPr>
            </w:pPr>
          </w:p>
        </w:tc>
        <w:tc>
          <w:tcPr>
            <w:tcW w:w="1180" w:type="dxa"/>
            <w:noWrap w:val="0"/>
            <w:vAlign w:val="center"/>
          </w:tcPr>
          <w:p w14:paraId="2AFA815E">
            <w:pPr>
              <w:autoSpaceDE w:val="0"/>
              <w:autoSpaceDN w:val="0"/>
              <w:adjustRightInd w:val="0"/>
              <w:spacing w:line="0" w:lineRule="atLeast"/>
              <w:ind w:left="102"/>
              <w:jc w:val="left"/>
              <w:rPr>
                <w:rFonts w:ascii="宋体" w:hAnsi="宋体"/>
                <w:color w:val="auto"/>
                <w:kern w:val="0"/>
                <w:highlight w:val="none"/>
              </w:rPr>
            </w:pPr>
          </w:p>
        </w:tc>
        <w:tc>
          <w:tcPr>
            <w:tcW w:w="1275" w:type="dxa"/>
            <w:noWrap w:val="0"/>
            <w:vAlign w:val="center"/>
          </w:tcPr>
          <w:p w14:paraId="59C541FE">
            <w:pPr>
              <w:autoSpaceDE w:val="0"/>
              <w:autoSpaceDN w:val="0"/>
              <w:adjustRightInd w:val="0"/>
              <w:spacing w:line="0" w:lineRule="atLeast"/>
              <w:ind w:left="102"/>
              <w:jc w:val="left"/>
              <w:rPr>
                <w:rFonts w:ascii="宋体" w:hAnsi="宋体"/>
                <w:color w:val="auto"/>
                <w:kern w:val="0"/>
                <w:highlight w:val="none"/>
              </w:rPr>
            </w:pPr>
          </w:p>
        </w:tc>
        <w:tc>
          <w:tcPr>
            <w:tcW w:w="1520" w:type="dxa"/>
            <w:noWrap w:val="0"/>
            <w:vAlign w:val="center"/>
          </w:tcPr>
          <w:p w14:paraId="323430C7">
            <w:pPr>
              <w:autoSpaceDE w:val="0"/>
              <w:autoSpaceDN w:val="0"/>
              <w:adjustRightInd w:val="0"/>
              <w:spacing w:line="0" w:lineRule="atLeast"/>
              <w:ind w:left="102"/>
              <w:jc w:val="left"/>
              <w:rPr>
                <w:rFonts w:ascii="宋体" w:hAnsi="宋体"/>
                <w:color w:val="auto"/>
                <w:kern w:val="0"/>
                <w:highlight w:val="none"/>
              </w:rPr>
            </w:pPr>
          </w:p>
        </w:tc>
      </w:tr>
      <w:tr w14:paraId="0194D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28" w:hRule="atLeast"/>
          <w:jc w:val="center"/>
        </w:trPr>
        <w:tc>
          <w:tcPr>
            <w:tcW w:w="878" w:type="dxa"/>
            <w:noWrap w:val="0"/>
            <w:vAlign w:val="center"/>
          </w:tcPr>
          <w:p w14:paraId="11A73631">
            <w:pPr>
              <w:autoSpaceDE w:val="0"/>
              <w:autoSpaceDN w:val="0"/>
              <w:adjustRightInd w:val="0"/>
              <w:spacing w:line="0" w:lineRule="atLeast"/>
              <w:ind w:left="102"/>
              <w:jc w:val="center"/>
              <w:rPr>
                <w:rFonts w:ascii="宋体" w:hAnsi="宋体"/>
                <w:color w:val="auto"/>
                <w:kern w:val="0"/>
                <w:highlight w:val="none"/>
              </w:rPr>
            </w:pPr>
            <w:r>
              <w:rPr>
                <w:rFonts w:ascii="宋体" w:hAnsi="宋体"/>
                <w:color w:val="auto"/>
                <w:kern w:val="0"/>
                <w:highlight w:val="none"/>
              </w:rPr>
              <w:t>2</w:t>
            </w:r>
          </w:p>
        </w:tc>
        <w:tc>
          <w:tcPr>
            <w:tcW w:w="1580" w:type="dxa"/>
            <w:noWrap w:val="0"/>
            <w:vAlign w:val="center"/>
          </w:tcPr>
          <w:p w14:paraId="7C8806BE">
            <w:pPr>
              <w:autoSpaceDE w:val="0"/>
              <w:autoSpaceDN w:val="0"/>
              <w:adjustRightInd w:val="0"/>
              <w:spacing w:line="0" w:lineRule="atLeast"/>
              <w:ind w:left="102"/>
              <w:jc w:val="left"/>
              <w:rPr>
                <w:rFonts w:ascii="宋体" w:hAnsi="宋体"/>
                <w:color w:val="auto"/>
                <w:kern w:val="0"/>
                <w:highlight w:val="none"/>
              </w:rPr>
            </w:pPr>
          </w:p>
        </w:tc>
        <w:tc>
          <w:tcPr>
            <w:tcW w:w="1129" w:type="dxa"/>
            <w:noWrap w:val="0"/>
            <w:vAlign w:val="center"/>
          </w:tcPr>
          <w:p w14:paraId="0EFC6C20">
            <w:pPr>
              <w:autoSpaceDE w:val="0"/>
              <w:autoSpaceDN w:val="0"/>
              <w:adjustRightInd w:val="0"/>
              <w:spacing w:line="0" w:lineRule="atLeast"/>
              <w:ind w:left="102"/>
              <w:jc w:val="left"/>
              <w:rPr>
                <w:rFonts w:ascii="宋体" w:hAnsi="宋体"/>
                <w:color w:val="auto"/>
                <w:kern w:val="0"/>
                <w:highlight w:val="none"/>
              </w:rPr>
            </w:pPr>
          </w:p>
        </w:tc>
        <w:tc>
          <w:tcPr>
            <w:tcW w:w="1636" w:type="dxa"/>
            <w:noWrap w:val="0"/>
            <w:vAlign w:val="top"/>
          </w:tcPr>
          <w:p w14:paraId="4EB33315">
            <w:pPr>
              <w:autoSpaceDE w:val="0"/>
              <w:autoSpaceDN w:val="0"/>
              <w:adjustRightInd w:val="0"/>
              <w:spacing w:line="0" w:lineRule="atLeast"/>
              <w:ind w:left="102"/>
              <w:jc w:val="left"/>
              <w:rPr>
                <w:rFonts w:ascii="宋体" w:hAnsi="宋体"/>
                <w:color w:val="auto"/>
                <w:kern w:val="0"/>
                <w:highlight w:val="none"/>
              </w:rPr>
            </w:pPr>
          </w:p>
        </w:tc>
        <w:tc>
          <w:tcPr>
            <w:tcW w:w="1180" w:type="dxa"/>
            <w:noWrap w:val="0"/>
            <w:vAlign w:val="center"/>
          </w:tcPr>
          <w:p w14:paraId="1FDD4AE9">
            <w:pPr>
              <w:autoSpaceDE w:val="0"/>
              <w:autoSpaceDN w:val="0"/>
              <w:adjustRightInd w:val="0"/>
              <w:spacing w:line="0" w:lineRule="atLeast"/>
              <w:ind w:left="102"/>
              <w:jc w:val="left"/>
              <w:rPr>
                <w:rFonts w:ascii="宋体" w:hAnsi="宋体"/>
                <w:color w:val="auto"/>
                <w:kern w:val="0"/>
                <w:highlight w:val="none"/>
              </w:rPr>
            </w:pPr>
          </w:p>
        </w:tc>
        <w:tc>
          <w:tcPr>
            <w:tcW w:w="1275" w:type="dxa"/>
            <w:noWrap w:val="0"/>
            <w:vAlign w:val="center"/>
          </w:tcPr>
          <w:p w14:paraId="4C494F08">
            <w:pPr>
              <w:autoSpaceDE w:val="0"/>
              <w:autoSpaceDN w:val="0"/>
              <w:adjustRightInd w:val="0"/>
              <w:spacing w:line="0" w:lineRule="atLeast"/>
              <w:ind w:left="102"/>
              <w:jc w:val="left"/>
              <w:rPr>
                <w:rFonts w:ascii="宋体" w:hAnsi="宋体"/>
                <w:color w:val="auto"/>
                <w:kern w:val="0"/>
                <w:highlight w:val="none"/>
              </w:rPr>
            </w:pPr>
          </w:p>
        </w:tc>
        <w:tc>
          <w:tcPr>
            <w:tcW w:w="1520" w:type="dxa"/>
            <w:noWrap w:val="0"/>
            <w:vAlign w:val="center"/>
          </w:tcPr>
          <w:p w14:paraId="2B9FAB86">
            <w:pPr>
              <w:autoSpaceDE w:val="0"/>
              <w:autoSpaceDN w:val="0"/>
              <w:adjustRightInd w:val="0"/>
              <w:spacing w:line="0" w:lineRule="atLeast"/>
              <w:ind w:left="102"/>
              <w:jc w:val="left"/>
              <w:rPr>
                <w:rFonts w:ascii="宋体" w:hAnsi="宋体"/>
                <w:color w:val="auto"/>
                <w:kern w:val="0"/>
                <w:highlight w:val="none"/>
              </w:rPr>
            </w:pPr>
          </w:p>
        </w:tc>
      </w:tr>
      <w:tr w14:paraId="75C4D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61" w:hRule="atLeast"/>
          <w:jc w:val="center"/>
        </w:trPr>
        <w:tc>
          <w:tcPr>
            <w:tcW w:w="878" w:type="dxa"/>
            <w:noWrap w:val="0"/>
            <w:vAlign w:val="center"/>
          </w:tcPr>
          <w:p w14:paraId="0A525674">
            <w:pPr>
              <w:autoSpaceDE w:val="0"/>
              <w:autoSpaceDN w:val="0"/>
              <w:adjustRightInd w:val="0"/>
              <w:spacing w:line="0" w:lineRule="atLeast"/>
              <w:ind w:left="102"/>
              <w:jc w:val="center"/>
              <w:rPr>
                <w:rFonts w:ascii="宋体" w:hAnsi="宋体"/>
                <w:color w:val="auto"/>
                <w:kern w:val="0"/>
                <w:highlight w:val="none"/>
              </w:rPr>
            </w:pPr>
            <w:r>
              <w:rPr>
                <w:rFonts w:ascii="宋体" w:hAnsi="宋体"/>
                <w:color w:val="auto"/>
                <w:kern w:val="0"/>
                <w:highlight w:val="none"/>
              </w:rPr>
              <w:t>…</w:t>
            </w:r>
          </w:p>
        </w:tc>
        <w:tc>
          <w:tcPr>
            <w:tcW w:w="1580" w:type="dxa"/>
            <w:noWrap w:val="0"/>
            <w:vAlign w:val="center"/>
          </w:tcPr>
          <w:p w14:paraId="16366027">
            <w:pPr>
              <w:autoSpaceDE w:val="0"/>
              <w:autoSpaceDN w:val="0"/>
              <w:adjustRightInd w:val="0"/>
              <w:spacing w:line="0" w:lineRule="atLeast"/>
              <w:ind w:left="102"/>
              <w:jc w:val="left"/>
              <w:rPr>
                <w:rFonts w:ascii="宋体" w:hAnsi="宋体"/>
                <w:color w:val="auto"/>
                <w:kern w:val="0"/>
                <w:highlight w:val="none"/>
              </w:rPr>
            </w:pPr>
          </w:p>
        </w:tc>
        <w:tc>
          <w:tcPr>
            <w:tcW w:w="1129" w:type="dxa"/>
            <w:noWrap w:val="0"/>
            <w:vAlign w:val="center"/>
          </w:tcPr>
          <w:p w14:paraId="78DABD76">
            <w:pPr>
              <w:autoSpaceDE w:val="0"/>
              <w:autoSpaceDN w:val="0"/>
              <w:adjustRightInd w:val="0"/>
              <w:spacing w:line="0" w:lineRule="atLeast"/>
              <w:ind w:left="102"/>
              <w:jc w:val="left"/>
              <w:rPr>
                <w:rFonts w:ascii="宋体" w:hAnsi="宋体"/>
                <w:color w:val="auto"/>
                <w:kern w:val="0"/>
                <w:highlight w:val="none"/>
              </w:rPr>
            </w:pPr>
          </w:p>
        </w:tc>
        <w:tc>
          <w:tcPr>
            <w:tcW w:w="1636" w:type="dxa"/>
            <w:noWrap w:val="0"/>
            <w:vAlign w:val="top"/>
          </w:tcPr>
          <w:p w14:paraId="0820E008">
            <w:pPr>
              <w:autoSpaceDE w:val="0"/>
              <w:autoSpaceDN w:val="0"/>
              <w:adjustRightInd w:val="0"/>
              <w:spacing w:line="0" w:lineRule="atLeast"/>
              <w:ind w:left="102"/>
              <w:jc w:val="left"/>
              <w:rPr>
                <w:rFonts w:ascii="宋体" w:hAnsi="宋体"/>
                <w:color w:val="auto"/>
                <w:kern w:val="0"/>
                <w:highlight w:val="none"/>
              </w:rPr>
            </w:pPr>
          </w:p>
        </w:tc>
        <w:tc>
          <w:tcPr>
            <w:tcW w:w="1180" w:type="dxa"/>
            <w:noWrap w:val="0"/>
            <w:vAlign w:val="center"/>
          </w:tcPr>
          <w:p w14:paraId="5C4B5F8E">
            <w:pPr>
              <w:autoSpaceDE w:val="0"/>
              <w:autoSpaceDN w:val="0"/>
              <w:adjustRightInd w:val="0"/>
              <w:spacing w:line="0" w:lineRule="atLeast"/>
              <w:ind w:left="102"/>
              <w:jc w:val="left"/>
              <w:rPr>
                <w:rFonts w:ascii="宋体" w:hAnsi="宋体"/>
                <w:color w:val="auto"/>
                <w:kern w:val="0"/>
                <w:highlight w:val="none"/>
              </w:rPr>
            </w:pPr>
          </w:p>
        </w:tc>
        <w:tc>
          <w:tcPr>
            <w:tcW w:w="1275" w:type="dxa"/>
            <w:noWrap w:val="0"/>
            <w:vAlign w:val="center"/>
          </w:tcPr>
          <w:p w14:paraId="05DFE43E">
            <w:pPr>
              <w:autoSpaceDE w:val="0"/>
              <w:autoSpaceDN w:val="0"/>
              <w:adjustRightInd w:val="0"/>
              <w:spacing w:line="0" w:lineRule="atLeast"/>
              <w:ind w:left="102"/>
              <w:jc w:val="left"/>
              <w:rPr>
                <w:rFonts w:ascii="宋体" w:hAnsi="宋体"/>
                <w:color w:val="auto"/>
                <w:kern w:val="0"/>
                <w:highlight w:val="none"/>
              </w:rPr>
            </w:pPr>
          </w:p>
        </w:tc>
        <w:tc>
          <w:tcPr>
            <w:tcW w:w="1520" w:type="dxa"/>
            <w:noWrap w:val="0"/>
            <w:vAlign w:val="center"/>
          </w:tcPr>
          <w:p w14:paraId="6774010F">
            <w:pPr>
              <w:autoSpaceDE w:val="0"/>
              <w:autoSpaceDN w:val="0"/>
              <w:adjustRightInd w:val="0"/>
              <w:spacing w:line="0" w:lineRule="atLeast"/>
              <w:ind w:left="102"/>
              <w:jc w:val="left"/>
              <w:rPr>
                <w:rFonts w:ascii="宋体" w:hAnsi="宋体"/>
                <w:color w:val="auto"/>
                <w:kern w:val="0"/>
                <w:highlight w:val="none"/>
              </w:rPr>
            </w:pPr>
          </w:p>
        </w:tc>
      </w:tr>
    </w:tbl>
    <w:p w14:paraId="7C743F9B">
      <w:pPr>
        <w:spacing w:line="360" w:lineRule="auto"/>
        <w:rPr>
          <w:color w:val="auto"/>
          <w:highlight w:val="none"/>
        </w:rPr>
      </w:pPr>
    </w:p>
    <w:p w14:paraId="645362A6">
      <w:pPr>
        <w:rPr>
          <w:rFonts w:eastAsia="黑体"/>
          <w:color w:val="auto"/>
          <w:sz w:val="30"/>
          <w:szCs w:val="30"/>
          <w:highlight w:val="none"/>
        </w:rPr>
      </w:pPr>
      <w:r>
        <w:rPr>
          <w:rFonts w:hint="eastAsia" w:hAnsi="宋体" w:cs="宋体"/>
          <w:b/>
          <w:bCs/>
          <w:color w:val="auto"/>
          <w:szCs w:val="21"/>
          <w:highlight w:val="none"/>
        </w:rPr>
        <w:t>注：</w:t>
      </w:r>
      <w:r>
        <w:rPr>
          <w:rFonts w:hint="eastAsia" w:ascii="宋体" w:hAnsi="宋体" w:cs="宋体"/>
          <w:b/>
          <w:bCs/>
          <w:color w:val="auto"/>
          <w:highlight w:val="none"/>
        </w:rPr>
        <w:t>响应文件中须提供业绩列表及相对应的业绩证明材料，业绩证明材料为合同（合同包括：合同首页、标的及金额所在页及合同签字盖章页）和竣工验收证明材料。无证明材料或证明材料不明确、无法体现业绩内容的，不予认可。</w:t>
      </w:r>
    </w:p>
    <w:p w14:paraId="21D219F4">
      <w:pPr>
        <w:rPr>
          <w:rFonts w:hint="eastAsia" w:eastAsia="黑体"/>
          <w:color w:val="auto"/>
          <w:sz w:val="30"/>
          <w:szCs w:val="30"/>
          <w:highlight w:val="none"/>
        </w:rPr>
      </w:pPr>
      <w:r>
        <w:rPr>
          <w:rFonts w:hint="eastAsia" w:eastAsia="黑体"/>
          <w:color w:val="auto"/>
          <w:sz w:val="30"/>
          <w:szCs w:val="30"/>
          <w:highlight w:val="none"/>
        </w:rPr>
        <w:br w:type="page"/>
      </w:r>
    </w:p>
    <w:p w14:paraId="5E60DACD">
      <w:pPr>
        <w:spacing w:line="360" w:lineRule="auto"/>
        <w:jc w:val="center"/>
        <w:outlineLvl w:val="2"/>
        <w:rPr>
          <w:rFonts w:eastAsia="黑体"/>
          <w:color w:val="auto"/>
          <w:sz w:val="30"/>
          <w:szCs w:val="30"/>
          <w:highlight w:val="none"/>
        </w:rPr>
      </w:pPr>
      <w:bookmarkStart w:id="1253" w:name="_Toc20138"/>
      <w:bookmarkStart w:id="1254" w:name="_Toc25704"/>
      <w:bookmarkStart w:id="1255" w:name="_Toc31266"/>
      <w:bookmarkStart w:id="1256" w:name="_Toc27877"/>
      <w:bookmarkStart w:id="1257" w:name="_Toc31194"/>
      <w:bookmarkStart w:id="1258" w:name="_Toc19110"/>
      <w:bookmarkStart w:id="1259" w:name="_Toc28384"/>
      <w:bookmarkStart w:id="1260" w:name="_Toc26287"/>
      <w:bookmarkStart w:id="1261" w:name="_Toc18043"/>
      <w:r>
        <w:rPr>
          <w:rFonts w:hint="eastAsia" w:eastAsia="黑体"/>
          <w:color w:val="auto"/>
          <w:sz w:val="30"/>
          <w:szCs w:val="30"/>
          <w:highlight w:val="none"/>
        </w:rPr>
        <w:t>其它商务资料</w:t>
      </w:r>
      <w:bookmarkEnd w:id="1225"/>
      <w:bookmarkEnd w:id="1226"/>
      <w:bookmarkEnd w:id="1253"/>
      <w:bookmarkEnd w:id="1254"/>
      <w:bookmarkEnd w:id="1255"/>
      <w:bookmarkEnd w:id="1256"/>
      <w:bookmarkEnd w:id="1257"/>
      <w:bookmarkEnd w:id="1258"/>
      <w:bookmarkEnd w:id="1259"/>
      <w:bookmarkEnd w:id="1260"/>
      <w:bookmarkEnd w:id="1261"/>
    </w:p>
    <w:p w14:paraId="5E541EA6">
      <w:pPr>
        <w:pStyle w:val="12"/>
        <w:rPr>
          <w:rFonts w:ascii="Times New Roman"/>
          <w:color w:val="auto"/>
          <w:highlight w:val="none"/>
        </w:rPr>
      </w:pPr>
    </w:p>
    <w:p w14:paraId="3A527703">
      <w:pPr>
        <w:pStyle w:val="12"/>
        <w:spacing w:line="360" w:lineRule="auto"/>
        <w:rPr>
          <w:rFonts w:ascii="Times New Roman"/>
          <w:color w:val="auto"/>
          <w:highlight w:val="none"/>
        </w:rPr>
      </w:pPr>
      <w:r>
        <w:rPr>
          <w:rFonts w:hint="eastAsia" w:ascii="Times New Roman"/>
          <w:color w:val="auto"/>
          <w:highlight w:val="none"/>
        </w:rPr>
        <w:t>（1）保证金缴纳凭证；</w:t>
      </w:r>
    </w:p>
    <w:p w14:paraId="0856AA0A">
      <w:pPr>
        <w:rPr>
          <w:rFonts w:hint="eastAsia" w:ascii="黑体" w:hAnsi="黑体" w:eastAsia="黑体"/>
          <w:bCs/>
          <w:color w:val="auto"/>
          <w:sz w:val="28"/>
          <w:szCs w:val="30"/>
          <w:highlight w:val="none"/>
        </w:rPr>
      </w:pPr>
      <w:r>
        <w:rPr>
          <w:rFonts w:hint="eastAsia"/>
          <w:color w:val="auto"/>
          <w:highlight w:val="none"/>
        </w:rPr>
        <w:t>（2）磋商文件要求及供应商认为有必要提供的其它商务资料。</w:t>
      </w:r>
      <w:r>
        <w:rPr>
          <w:rFonts w:hint="eastAsia" w:ascii="黑体" w:hAnsi="黑体" w:eastAsia="黑体"/>
          <w:bCs/>
          <w:color w:val="auto"/>
          <w:sz w:val="28"/>
          <w:szCs w:val="30"/>
          <w:highlight w:val="none"/>
        </w:rPr>
        <w:br w:type="page"/>
      </w:r>
    </w:p>
    <w:p w14:paraId="219BBFA1">
      <w:pPr>
        <w:pStyle w:val="12"/>
        <w:spacing w:line="500" w:lineRule="exact"/>
        <w:jc w:val="center"/>
        <w:outlineLvl w:val="1"/>
        <w:rPr>
          <w:rFonts w:hint="eastAsia" w:ascii="黑体" w:hAnsi="黑体" w:eastAsia="黑体"/>
          <w:bCs/>
          <w:color w:val="auto"/>
          <w:sz w:val="28"/>
          <w:szCs w:val="30"/>
          <w:highlight w:val="none"/>
        </w:rPr>
      </w:pPr>
      <w:bookmarkStart w:id="1262" w:name="_Toc12630"/>
      <w:bookmarkStart w:id="1263" w:name="_Toc27234"/>
      <w:bookmarkStart w:id="1264" w:name="_Toc8474"/>
      <w:bookmarkStart w:id="1265" w:name="_Toc4774"/>
      <w:bookmarkStart w:id="1266" w:name="_Toc18885"/>
      <w:bookmarkStart w:id="1267" w:name="_Toc6088"/>
      <w:bookmarkStart w:id="1268" w:name="_Toc24413"/>
      <w:bookmarkStart w:id="1269" w:name="_Toc5010"/>
      <w:bookmarkStart w:id="1270" w:name="_Toc29811"/>
      <w:r>
        <w:rPr>
          <w:rFonts w:hint="eastAsia" w:ascii="黑体" w:hAnsi="黑体" w:eastAsia="黑体"/>
          <w:bCs/>
          <w:color w:val="auto"/>
          <w:sz w:val="28"/>
          <w:szCs w:val="30"/>
          <w:highlight w:val="none"/>
        </w:rPr>
        <w:t>三、技术文件</w:t>
      </w:r>
      <w:bookmarkEnd w:id="1227"/>
      <w:bookmarkEnd w:id="1228"/>
      <w:bookmarkEnd w:id="1262"/>
      <w:bookmarkEnd w:id="1263"/>
      <w:bookmarkEnd w:id="1264"/>
      <w:bookmarkEnd w:id="1265"/>
      <w:bookmarkEnd w:id="1266"/>
      <w:bookmarkEnd w:id="1267"/>
      <w:bookmarkEnd w:id="1268"/>
      <w:bookmarkEnd w:id="1269"/>
      <w:bookmarkEnd w:id="1270"/>
      <w:bookmarkStart w:id="1271" w:name="_Toc31012"/>
    </w:p>
    <w:bookmarkEnd w:id="1271"/>
    <w:p w14:paraId="42A5642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供应商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7B0C52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施工组织设计应包括以下内容：</w:t>
      </w:r>
    </w:p>
    <w:p w14:paraId="60F44D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（一）工程技术相对复杂、施工技术要求相对较高的</w:t>
      </w:r>
    </w:p>
    <w:p w14:paraId="5FD24278">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（1） 施工组织设计大纲</w:t>
      </w:r>
    </w:p>
    <w:p w14:paraId="1FE5586D">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（2） 施工技术方案</w:t>
      </w:r>
    </w:p>
    <w:p w14:paraId="4D822B6B">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（3） 质量承诺及保证措施</w:t>
      </w:r>
    </w:p>
    <w:p w14:paraId="10C4955C">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（4） 施工进度计划</w:t>
      </w:r>
    </w:p>
    <w:p w14:paraId="23920947">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（5） 劳动力安排</w:t>
      </w:r>
    </w:p>
    <w:p w14:paraId="1534BF6E">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 xml:space="preserve">） </w:t>
      </w:r>
      <w:r>
        <w:rPr>
          <w:rFonts w:hint="eastAsia" w:ascii="宋体" w:hAnsi="宋体" w:eastAsia="宋体" w:cs="宋体"/>
          <w:color w:val="auto"/>
          <w:spacing w:val="12"/>
          <w:szCs w:val="21"/>
          <w:highlight w:val="none"/>
        </w:rPr>
        <w:t>主要材料投入计划</w:t>
      </w:r>
    </w:p>
    <w:p w14:paraId="7C07901F">
      <w:pPr>
        <w:spacing w:line="360" w:lineRule="auto"/>
        <w:ind w:firstLine="735" w:firstLineChars="350"/>
        <w:jc w:val="left"/>
        <w:rPr>
          <w:rFonts w:hint="eastAsia" w:ascii="宋体" w:hAnsi="宋体"/>
          <w:color w:val="auto"/>
          <w:szCs w:val="21"/>
          <w:highlight w:val="none"/>
        </w:rPr>
      </w:pPr>
      <w:r>
        <w:rPr>
          <w:rFonts w:hint="eastAsia" w:ascii="宋体" w:hAnsi="宋体"/>
          <w:color w:val="auto"/>
          <w:szCs w:val="21"/>
          <w:highlight w:val="none"/>
        </w:rPr>
        <w:t xml:space="preserve"> 其他需说明的内容</w:t>
      </w:r>
    </w:p>
    <w:p w14:paraId="15DFA5AF">
      <w:pPr>
        <w:ind w:firstLine="843" w:firstLineChars="400"/>
        <w:rPr>
          <w:rFonts w:cs="宋体"/>
          <w:b/>
          <w:bCs/>
          <w:color w:val="auto"/>
          <w:szCs w:val="21"/>
          <w:highlight w:val="none"/>
        </w:rPr>
      </w:pPr>
    </w:p>
    <w:p w14:paraId="6808B985">
      <w:pPr>
        <w:pStyle w:val="2"/>
        <w:rPr>
          <w:rFonts w:ascii="宋体" w:hAnsi="宋体"/>
          <w:color w:val="auto"/>
          <w:szCs w:val="21"/>
          <w:highlight w:val="none"/>
        </w:rPr>
      </w:pPr>
    </w:p>
    <w:p w14:paraId="1B4028EA">
      <w:pPr>
        <w:rPr>
          <w:rFonts w:hint="eastAsia"/>
          <w:color w:val="auto"/>
          <w:highlight w:val="none"/>
        </w:rPr>
      </w:pPr>
      <w:r>
        <w:rPr>
          <w:rFonts w:hint="eastAsia" w:ascii="黑体" w:hAnsi="宋体" w:eastAsia="黑体"/>
          <w:color w:val="auto"/>
          <w:sz w:val="27"/>
          <w:szCs w:val="21"/>
          <w:highlight w:val="none"/>
        </w:rPr>
        <w:br w:type="page"/>
      </w:r>
    </w:p>
    <w:p w14:paraId="6FDA3AF5">
      <w:pPr>
        <w:spacing w:line="360" w:lineRule="auto"/>
        <w:jc w:val="center"/>
        <w:outlineLvl w:val="2"/>
        <w:rPr>
          <w:rFonts w:hint="eastAsia" w:eastAsia="黑体"/>
          <w:color w:val="auto"/>
          <w:sz w:val="28"/>
          <w:szCs w:val="28"/>
          <w:highlight w:val="none"/>
        </w:rPr>
      </w:pPr>
      <w:bookmarkStart w:id="1272" w:name="_Toc28130"/>
      <w:bookmarkStart w:id="1273" w:name="_Toc31472"/>
      <w:bookmarkStart w:id="1274" w:name="_Toc21916"/>
      <w:bookmarkStart w:id="1275" w:name="_Toc10939"/>
      <w:bookmarkStart w:id="1276" w:name="_Toc17623"/>
      <w:bookmarkStart w:id="1277" w:name="_Toc20087"/>
      <w:bookmarkStart w:id="1278" w:name="_Toc5676"/>
      <w:bookmarkStart w:id="1279" w:name="_Toc18200"/>
      <w:bookmarkStart w:id="1280" w:name="_Toc7864"/>
      <w:bookmarkStart w:id="1281" w:name="_Toc26381"/>
      <w:bookmarkStart w:id="1282" w:name="_Toc32034"/>
      <w:bookmarkStart w:id="1283" w:name="_Toc24788"/>
      <w:bookmarkStart w:id="1284" w:name="_Toc19939"/>
      <w:r>
        <w:rPr>
          <w:rFonts w:hint="eastAsia" w:eastAsia="黑体"/>
          <w:color w:val="auto"/>
          <w:sz w:val="28"/>
          <w:szCs w:val="28"/>
          <w:highlight w:val="none"/>
        </w:rPr>
        <w:t>施工技术方案</w:t>
      </w:r>
      <w:bookmarkEnd w:id="1272"/>
      <w:bookmarkEnd w:id="1273"/>
      <w:bookmarkEnd w:id="1274"/>
      <w:bookmarkEnd w:id="1275"/>
      <w:bookmarkEnd w:id="1276"/>
      <w:bookmarkEnd w:id="1277"/>
      <w:bookmarkEnd w:id="1278"/>
      <w:bookmarkEnd w:id="1279"/>
      <w:bookmarkEnd w:id="1280"/>
      <w:bookmarkEnd w:id="1281"/>
      <w:bookmarkEnd w:id="1282"/>
    </w:p>
    <w:p w14:paraId="228E81BF">
      <w:pPr>
        <w:ind w:firstLine="420"/>
        <w:jc w:val="center"/>
        <w:rPr>
          <w:rFonts w:hint="eastAsia" w:ascii="宋体" w:hAnsi="宋体"/>
          <w:color w:val="auto"/>
          <w:szCs w:val="21"/>
          <w:highlight w:val="none"/>
        </w:rPr>
      </w:pPr>
      <w:r>
        <w:rPr>
          <w:rFonts w:hint="eastAsia" w:ascii="宋体" w:hAnsi="宋体"/>
          <w:color w:val="auto"/>
          <w:szCs w:val="21"/>
          <w:highlight w:val="none"/>
        </w:rPr>
        <w:t>（格式内容自拟）</w:t>
      </w:r>
    </w:p>
    <w:p w14:paraId="22BD9024">
      <w:pPr>
        <w:rPr>
          <w:rFonts w:hint="eastAsia"/>
          <w:color w:val="auto"/>
          <w:szCs w:val="21"/>
          <w:highlight w:val="none"/>
        </w:rPr>
      </w:pPr>
    </w:p>
    <w:p w14:paraId="0A28DD85">
      <w:pPr>
        <w:rPr>
          <w:rFonts w:hint="eastAsia"/>
          <w:color w:val="auto"/>
          <w:szCs w:val="21"/>
          <w:highlight w:val="none"/>
        </w:rPr>
      </w:pPr>
    </w:p>
    <w:p w14:paraId="6D2FED71">
      <w:pPr>
        <w:rPr>
          <w:rFonts w:hint="eastAsia"/>
          <w:color w:val="auto"/>
          <w:szCs w:val="21"/>
          <w:highlight w:val="none"/>
        </w:rPr>
      </w:pPr>
    </w:p>
    <w:p w14:paraId="1CAEADC7">
      <w:pPr>
        <w:rPr>
          <w:rFonts w:hint="eastAsia"/>
          <w:color w:val="auto"/>
          <w:szCs w:val="21"/>
          <w:highlight w:val="none"/>
        </w:rPr>
      </w:pPr>
    </w:p>
    <w:p w14:paraId="5A547E3E">
      <w:pPr>
        <w:rPr>
          <w:rFonts w:hint="eastAsia"/>
          <w:color w:val="auto"/>
          <w:highlight w:val="none"/>
        </w:rPr>
      </w:pPr>
    </w:p>
    <w:p w14:paraId="41E4773B">
      <w:pPr>
        <w:spacing w:line="360" w:lineRule="auto"/>
        <w:ind w:firstLine="420" w:firstLineChars="200"/>
        <w:rPr>
          <w:rFonts w:hint="default" w:ascii="Times New Roman" w:hAnsi="Times New Roman" w:eastAsia="宋体" w:cs="Times New Roman"/>
          <w:color w:val="auto"/>
          <w:szCs w:val="21"/>
          <w:highlight w:val="none"/>
          <w:u w:val="single"/>
        </w:rPr>
      </w:pPr>
    </w:p>
    <w:p w14:paraId="0FD214A2">
      <w:pPr>
        <w:spacing w:line="360" w:lineRule="auto"/>
        <w:ind w:firstLine="420" w:firstLineChars="200"/>
        <w:rPr>
          <w:rFonts w:hint="default" w:ascii="Times New Roman" w:hAnsi="Times New Roman" w:eastAsia="宋体" w:cs="Times New Roman"/>
          <w:color w:val="auto"/>
          <w:szCs w:val="21"/>
          <w:highlight w:val="none"/>
          <w:u w:val="single"/>
        </w:rPr>
      </w:pPr>
    </w:p>
    <w:p w14:paraId="36ED51EF">
      <w:pPr>
        <w:spacing w:line="360" w:lineRule="auto"/>
        <w:ind w:firstLine="420" w:firstLineChars="200"/>
        <w:jc w:val="left"/>
        <w:outlineLvl w:val="9"/>
        <w:rPr>
          <w:rFonts w:hint="default" w:ascii="Times New Roman" w:hAnsi="Times New Roman" w:eastAsia="宋体" w:cs="Times New Roman"/>
          <w:bCs w:val="0"/>
          <w:color w:val="auto"/>
          <w:sz w:val="21"/>
          <w:szCs w:val="21"/>
          <w:highlight w:val="none"/>
          <w:u w:val="single"/>
        </w:rPr>
      </w:pPr>
      <w:bookmarkStart w:id="1285" w:name="_Toc13713"/>
      <w:bookmarkStart w:id="1286" w:name="_Toc18178"/>
    </w:p>
    <w:p w14:paraId="32BEC46B">
      <w:pPr>
        <w:spacing w:line="360" w:lineRule="auto"/>
        <w:ind w:firstLine="420" w:firstLineChars="200"/>
        <w:jc w:val="left"/>
        <w:outlineLvl w:val="9"/>
        <w:rPr>
          <w:rFonts w:hint="default" w:ascii="Times New Roman" w:hAnsi="Times New Roman" w:eastAsia="宋体" w:cs="Times New Roman"/>
          <w:bCs w:val="0"/>
          <w:color w:val="auto"/>
          <w:sz w:val="21"/>
          <w:szCs w:val="21"/>
          <w:highlight w:val="none"/>
          <w:u w:val="single"/>
        </w:rPr>
      </w:pPr>
    </w:p>
    <w:p w14:paraId="42AB8B2B">
      <w:pPr>
        <w:spacing w:line="360" w:lineRule="auto"/>
        <w:ind w:firstLine="420" w:firstLineChars="200"/>
        <w:jc w:val="left"/>
        <w:outlineLvl w:val="9"/>
        <w:rPr>
          <w:rFonts w:hint="default" w:ascii="Times New Roman" w:hAnsi="Times New Roman" w:eastAsia="宋体" w:cs="Times New Roman"/>
          <w:bCs w:val="0"/>
          <w:color w:val="auto"/>
          <w:sz w:val="21"/>
          <w:szCs w:val="21"/>
          <w:highlight w:val="none"/>
          <w:u w:val="single"/>
        </w:rPr>
      </w:pPr>
    </w:p>
    <w:p w14:paraId="1D1248C5">
      <w:pPr>
        <w:spacing w:line="360" w:lineRule="auto"/>
        <w:ind w:firstLine="420" w:firstLineChars="200"/>
        <w:jc w:val="left"/>
        <w:outlineLvl w:val="9"/>
        <w:rPr>
          <w:rFonts w:hint="default" w:ascii="Times New Roman" w:hAnsi="Times New Roman" w:eastAsia="宋体" w:cs="Times New Roman"/>
          <w:bCs w:val="0"/>
          <w:color w:val="auto"/>
          <w:sz w:val="21"/>
          <w:szCs w:val="21"/>
          <w:highlight w:val="none"/>
          <w:u w:val="single"/>
        </w:rPr>
      </w:pPr>
    </w:p>
    <w:p w14:paraId="719BACA3">
      <w:pPr>
        <w:spacing w:line="360" w:lineRule="auto"/>
        <w:ind w:firstLine="420" w:firstLineChars="200"/>
        <w:jc w:val="left"/>
        <w:outlineLvl w:val="9"/>
        <w:rPr>
          <w:rFonts w:hint="default" w:ascii="Times New Roman" w:hAnsi="Times New Roman" w:eastAsia="宋体" w:cs="Times New Roman"/>
          <w:bCs w:val="0"/>
          <w:color w:val="auto"/>
          <w:sz w:val="21"/>
          <w:szCs w:val="21"/>
          <w:highlight w:val="none"/>
          <w:u w:val="single"/>
        </w:rPr>
      </w:pPr>
    </w:p>
    <w:p w14:paraId="7E1E2202">
      <w:pPr>
        <w:jc w:val="center"/>
        <w:outlineLvl w:val="2"/>
        <w:rPr>
          <w:rFonts w:hint="eastAsia" w:ascii="黑体" w:hAnsi="黑体" w:eastAsia="黑体"/>
          <w:bCs/>
          <w:color w:val="auto"/>
          <w:sz w:val="28"/>
          <w:szCs w:val="30"/>
          <w:highlight w:val="none"/>
        </w:rPr>
      </w:pPr>
      <w:bookmarkStart w:id="1287" w:name="_Toc20422"/>
      <w:bookmarkStart w:id="1288" w:name="_Toc18366"/>
      <w:bookmarkStart w:id="1289" w:name="_Toc383"/>
      <w:bookmarkStart w:id="1290" w:name="_Toc18415"/>
      <w:r>
        <w:rPr>
          <w:rFonts w:hint="eastAsia" w:ascii="黑体" w:hAnsi="黑体" w:eastAsia="黑体"/>
          <w:bCs/>
          <w:color w:val="auto"/>
          <w:sz w:val="28"/>
          <w:szCs w:val="30"/>
          <w:highlight w:val="none"/>
        </w:rPr>
        <w:t>质量承诺及保证措施</w:t>
      </w:r>
      <w:bookmarkEnd w:id="1285"/>
      <w:bookmarkEnd w:id="1286"/>
      <w:bookmarkEnd w:id="1287"/>
      <w:bookmarkEnd w:id="1288"/>
      <w:bookmarkEnd w:id="1289"/>
      <w:bookmarkEnd w:id="1290"/>
    </w:p>
    <w:p w14:paraId="2604F102">
      <w:pPr>
        <w:jc w:val="center"/>
        <w:rPr>
          <w:rFonts w:hint="eastAsia" w:hAnsi="Courier New"/>
          <w:color w:val="auto"/>
          <w:szCs w:val="21"/>
          <w:highlight w:val="none"/>
        </w:rPr>
      </w:pPr>
      <w:r>
        <w:rPr>
          <w:rFonts w:hint="eastAsia" w:hAnsi="Courier New"/>
          <w:color w:val="auto"/>
          <w:szCs w:val="21"/>
          <w:highlight w:val="none"/>
        </w:rPr>
        <w:t>（格式内容自拟）</w:t>
      </w:r>
    </w:p>
    <w:p w14:paraId="373E5D1F">
      <w:pPr>
        <w:rPr>
          <w:rFonts w:hint="eastAsia"/>
          <w:color w:val="auto"/>
          <w:highlight w:val="none"/>
        </w:rPr>
      </w:pPr>
    </w:p>
    <w:p w14:paraId="08C70E68">
      <w:pPr>
        <w:rPr>
          <w:rFonts w:hint="eastAsia"/>
          <w:color w:val="auto"/>
          <w:highlight w:val="none"/>
        </w:rPr>
      </w:pPr>
    </w:p>
    <w:p w14:paraId="4E1BDB0E">
      <w:pPr>
        <w:rPr>
          <w:rFonts w:hint="eastAsia"/>
          <w:color w:val="auto"/>
          <w:highlight w:val="none"/>
        </w:rPr>
      </w:pPr>
    </w:p>
    <w:p w14:paraId="71318320">
      <w:pPr>
        <w:rPr>
          <w:rFonts w:hint="eastAsia"/>
          <w:color w:val="auto"/>
          <w:highlight w:val="none"/>
        </w:rPr>
      </w:pPr>
    </w:p>
    <w:p w14:paraId="56E6F898">
      <w:pPr>
        <w:rPr>
          <w:rFonts w:hint="eastAsia"/>
          <w:color w:val="auto"/>
          <w:highlight w:val="none"/>
        </w:rPr>
      </w:pPr>
    </w:p>
    <w:p w14:paraId="4C9E7F7C">
      <w:pPr>
        <w:rPr>
          <w:rFonts w:hint="eastAsia"/>
          <w:color w:val="auto"/>
          <w:highlight w:val="none"/>
        </w:rPr>
      </w:pPr>
    </w:p>
    <w:p w14:paraId="5D48F3AD">
      <w:pPr>
        <w:rPr>
          <w:rFonts w:hint="eastAsia"/>
          <w:color w:val="auto"/>
          <w:highlight w:val="none"/>
        </w:rPr>
      </w:pPr>
    </w:p>
    <w:p w14:paraId="292C373F">
      <w:pPr>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bookmarkStart w:id="1291" w:name="_Toc9018"/>
      <w:bookmarkStart w:id="1292" w:name="_Toc31853"/>
      <w:r>
        <w:rPr>
          <w:rFonts w:hint="eastAsia" w:ascii="宋体" w:hAnsi="宋体" w:cs="宋体"/>
          <w:b/>
          <w:bCs/>
          <w:color w:val="auto"/>
          <w:sz w:val="28"/>
          <w:szCs w:val="28"/>
          <w:highlight w:val="none"/>
        </w:rPr>
        <w:t>施工进度计划</w:t>
      </w:r>
    </w:p>
    <w:p w14:paraId="51ED0DCC">
      <w:pPr>
        <w:jc w:val="left"/>
        <w:rPr>
          <w:rFonts w:hint="eastAsia" w:eastAsia="黑体"/>
          <w:color w:val="auto"/>
          <w:sz w:val="24"/>
          <w:highlight w:val="none"/>
        </w:rPr>
      </w:pPr>
      <w:r>
        <w:rPr>
          <w:rFonts w:hint="eastAsia" w:ascii="宋体" w:hAnsi="宋体" w:cs="宋体"/>
          <w:b/>
          <w:bCs/>
          <w:color w:val="auto"/>
          <w:sz w:val="22"/>
          <w:szCs w:val="22"/>
          <w:highlight w:val="none"/>
        </w:rPr>
        <w:t>计划开、竣工日期和施工进度网络图：1.供应商应递交施工进度网络图或施工进度表，说明按招标文件要求的计划工期进行施工的各个关键日期。2.施工进度表可采用网络图（或横道图）表示。</w:t>
      </w:r>
      <w:r>
        <w:rPr>
          <w:rFonts w:hint="eastAsia" w:eastAsia="黑体"/>
          <w:color w:val="auto"/>
          <w:sz w:val="24"/>
          <w:highlight w:val="none"/>
        </w:rPr>
        <w:br w:type="page"/>
      </w:r>
    </w:p>
    <w:p w14:paraId="21CA2E05">
      <w:pPr>
        <w:spacing w:line="360" w:lineRule="auto"/>
        <w:jc w:val="center"/>
        <w:outlineLvl w:val="2"/>
        <w:rPr>
          <w:rFonts w:hint="eastAsia" w:ascii="宋体" w:hAnsi="宋体" w:cs="宋体"/>
          <w:b/>
          <w:bCs/>
          <w:color w:val="auto"/>
          <w:sz w:val="28"/>
          <w:szCs w:val="28"/>
          <w:highlight w:val="none"/>
        </w:rPr>
      </w:pPr>
      <w:bookmarkStart w:id="1293" w:name="_Toc20618"/>
      <w:bookmarkStart w:id="1294" w:name="_Toc23262"/>
      <w:bookmarkStart w:id="1295" w:name="_Toc21130"/>
      <w:bookmarkStart w:id="1296" w:name="_Toc26906"/>
      <w:bookmarkStart w:id="1297" w:name="_Toc4669"/>
      <w:bookmarkStart w:id="1298" w:name="_Toc2248"/>
      <w:r>
        <w:rPr>
          <w:rFonts w:hint="eastAsia" w:ascii="宋体" w:hAnsi="宋体" w:cs="宋体"/>
          <w:b/>
          <w:bCs/>
          <w:color w:val="auto"/>
          <w:sz w:val="28"/>
          <w:szCs w:val="28"/>
          <w:highlight w:val="none"/>
        </w:rPr>
        <w:t>劳动力安排</w:t>
      </w:r>
      <w:bookmarkEnd w:id="1293"/>
      <w:bookmarkEnd w:id="1294"/>
      <w:bookmarkEnd w:id="1295"/>
      <w:bookmarkEnd w:id="1296"/>
      <w:bookmarkEnd w:id="1297"/>
      <w:bookmarkEnd w:id="1298"/>
    </w:p>
    <w:p w14:paraId="7B76196D">
      <w:pPr>
        <w:ind w:firstLine="420"/>
        <w:jc w:val="center"/>
        <w:rPr>
          <w:rFonts w:hint="eastAsia" w:ascii="宋体" w:hAnsi="宋体"/>
          <w:color w:val="auto"/>
          <w:szCs w:val="21"/>
          <w:highlight w:val="none"/>
        </w:rPr>
      </w:pPr>
      <w:r>
        <w:rPr>
          <w:rFonts w:hint="eastAsia" w:ascii="宋体" w:hAnsi="宋体"/>
          <w:color w:val="auto"/>
          <w:szCs w:val="21"/>
          <w:highlight w:val="none"/>
        </w:rPr>
        <w:t>（格式自拟）</w:t>
      </w:r>
    </w:p>
    <w:p w14:paraId="535C5DCB">
      <w:pPr>
        <w:spacing w:line="360" w:lineRule="auto"/>
        <w:jc w:val="center"/>
        <w:rPr>
          <w:rFonts w:hint="eastAsia" w:ascii="宋体" w:hAnsi="宋体" w:cs="宋体"/>
          <w:b/>
          <w:bCs/>
          <w:color w:val="auto"/>
          <w:sz w:val="24"/>
          <w:highlight w:val="none"/>
        </w:rPr>
      </w:pPr>
    </w:p>
    <w:p w14:paraId="50A45621">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4"/>
          <w:highlight w:val="none"/>
        </w:rPr>
        <w:br w:type="page"/>
      </w:r>
      <w:r>
        <w:rPr>
          <w:rFonts w:hint="eastAsia" w:ascii="宋体" w:hAnsi="宋体" w:cs="宋体"/>
          <w:b/>
          <w:bCs/>
          <w:color w:val="auto"/>
          <w:sz w:val="28"/>
          <w:szCs w:val="28"/>
          <w:highlight w:val="none"/>
        </w:rPr>
        <w:t>主要材料投入计划表</w:t>
      </w:r>
      <w:bookmarkEnd w:id="1283"/>
      <w:bookmarkEnd w:id="1284"/>
      <w:bookmarkEnd w:id="1291"/>
      <w:bookmarkEnd w:id="1292"/>
    </w:p>
    <w:p w14:paraId="3A0194BA">
      <w:pPr>
        <w:autoSpaceDE w:val="0"/>
        <w:autoSpaceDN w:val="0"/>
        <w:adjustRightInd w:val="0"/>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项目名称：</w:t>
      </w:r>
    </w:p>
    <w:p w14:paraId="57D8E58F">
      <w:pPr>
        <w:autoSpaceDE w:val="0"/>
        <w:autoSpaceDN w:val="0"/>
        <w:adjustRightInd w:val="0"/>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项目编号：</w:t>
      </w:r>
    </w:p>
    <w:p w14:paraId="41C8BB31">
      <w:pPr>
        <w:autoSpaceDE w:val="0"/>
        <w:autoSpaceDN w:val="0"/>
        <w:adjustRightInd w:val="0"/>
        <w:ind w:firstLine="422" w:firstLineChars="200"/>
        <w:jc w:val="left"/>
        <w:rPr>
          <w:rFonts w:hint="eastAsia" w:ascii="宋体" w:hAnsi="宋体" w:cs="宋体"/>
          <w:b/>
          <w:color w:val="auto"/>
          <w:kern w:val="0"/>
          <w:szCs w:val="21"/>
          <w:highlight w:val="none"/>
        </w:rPr>
      </w:pPr>
    </w:p>
    <w:tbl>
      <w:tblPr>
        <w:tblStyle w:val="21"/>
        <w:tblpPr w:leftFromText="180" w:rightFromText="180" w:vertAnchor="text" w:horzAnchor="page" w:tblpX="1569" w:tblpY="117"/>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908"/>
        <w:gridCol w:w="908"/>
        <w:gridCol w:w="1947"/>
        <w:gridCol w:w="562"/>
        <w:gridCol w:w="908"/>
        <w:gridCol w:w="908"/>
        <w:gridCol w:w="1256"/>
        <w:gridCol w:w="563"/>
      </w:tblGrid>
      <w:tr w14:paraId="035E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330" w:type="pct"/>
            <w:noWrap/>
            <w:vAlign w:val="center"/>
          </w:tcPr>
          <w:p w14:paraId="1A1DCC72">
            <w:pPr>
              <w:spacing w:afterLines="50" w:line="180" w:lineRule="auto"/>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序号</w:t>
            </w:r>
          </w:p>
        </w:tc>
        <w:tc>
          <w:tcPr>
            <w:tcW w:w="659" w:type="pct"/>
            <w:noWrap/>
            <w:vAlign w:val="center"/>
          </w:tcPr>
          <w:p w14:paraId="355D75E3">
            <w:pPr>
              <w:spacing w:afterLines="50"/>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材料编码</w:t>
            </w:r>
          </w:p>
        </w:tc>
        <w:tc>
          <w:tcPr>
            <w:tcW w:w="686" w:type="pct"/>
            <w:noWrap/>
            <w:vAlign w:val="center"/>
          </w:tcPr>
          <w:p w14:paraId="0847D2E8">
            <w:pPr>
              <w:spacing w:afterLines="50"/>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材料名称</w:t>
            </w:r>
          </w:p>
        </w:tc>
        <w:tc>
          <w:tcPr>
            <w:tcW w:w="520" w:type="pct"/>
            <w:noWrap/>
            <w:vAlign w:val="center"/>
          </w:tcPr>
          <w:p w14:paraId="166587D2">
            <w:pPr>
              <w:spacing w:afterLines="50"/>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规格、型号等特殊要求</w:t>
            </w:r>
          </w:p>
        </w:tc>
        <w:tc>
          <w:tcPr>
            <w:tcW w:w="577" w:type="pct"/>
            <w:noWrap/>
            <w:vAlign w:val="center"/>
          </w:tcPr>
          <w:p w14:paraId="7C89287B">
            <w:pPr>
              <w:spacing w:afterLines="50"/>
              <w:jc w:val="center"/>
              <w:rPr>
                <w:rStyle w:val="23"/>
                <w:rFonts w:ascii="宋体" w:hAnsi="宋体" w:cs="宋体"/>
                <w:b w:val="0"/>
                <w:bCs w:val="0"/>
                <w:color w:val="auto"/>
                <w:szCs w:val="21"/>
                <w:highlight w:val="none"/>
              </w:rPr>
            </w:pPr>
            <w:r>
              <w:rPr>
                <w:rStyle w:val="23"/>
                <w:rFonts w:hint="eastAsia" w:ascii="宋体" w:hAnsi="宋体" w:cs="宋体"/>
                <w:b w:val="0"/>
                <w:bCs w:val="0"/>
                <w:color w:val="auto"/>
                <w:szCs w:val="21"/>
                <w:highlight w:val="none"/>
              </w:rPr>
              <w:t>单位</w:t>
            </w:r>
          </w:p>
        </w:tc>
        <w:tc>
          <w:tcPr>
            <w:tcW w:w="577" w:type="pct"/>
            <w:noWrap/>
            <w:vAlign w:val="center"/>
          </w:tcPr>
          <w:p w14:paraId="28937224">
            <w:pPr>
              <w:spacing w:afterLines="50"/>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选用品牌</w:t>
            </w:r>
          </w:p>
        </w:tc>
        <w:tc>
          <w:tcPr>
            <w:tcW w:w="548" w:type="pct"/>
            <w:noWrap/>
            <w:vAlign w:val="center"/>
          </w:tcPr>
          <w:p w14:paraId="6F5CC88E">
            <w:pPr>
              <w:spacing w:afterLines="50"/>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选用厂家</w:t>
            </w:r>
          </w:p>
        </w:tc>
        <w:tc>
          <w:tcPr>
            <w:tcW w:w="767" w:type="pct"/>
            <w:noWrap/>
            <w:vAlign w:val="center"/>
          </w:tcPr>
          <w:p w14:paraId="4FF52253">
            <w:pPr>
              <w:spacing w:afterLines="50"/>
              <w:jc w:val="center"/>
              <w:rPr>
                <w:rStyle w:val="23"/>
                <w:rFonts w:ascii="宋体" w:hAnsi="宋体" w:cs="宋体"/>
                <w:b w:val="0"/>
                <w:bCs w:val="0"/>
                <w:color w:val="auto"/>
                <w:szCs w:val="21"/>
                <w:highlight w:val="none"/>
              </w:rPr>
            </w:pPr>
            <w:r>
              <w:rPr>
                <w:rStyle w:val="23"/>
                <w:rFonts w:hint="eastAsia" w:ascii="宋体" w:hAnsi="宋体" w:cs="宋体"/>
                <w:b w:val="0"/>
                <w:bCs w:val="0"/>
                <w:color w:val="auto"/>
                <w:szCs w:val="21"/>
                <w:highlight w:val="none"/>
              </w:rPr>
              <w:t>厂家联系电话</w:t>
            </w:r>
          </w:p>
        </w:tc>
        <w:tc>
          <w:tcPr>
            <w:tcW w:w="329" w:type="pct"/>
            <w:noWrap/>
            <w:vAlign w:val="center"/>
          </w:tcPr>
          <w:p w14:paraId="2295E90F">
            <w:pPr>
              <w:spacing w:afterLines="50"/>
              <w:jc w:val="center"/>
              <w:rPr>
                <w:rStyle w:val="23"/>
                <w:rFonts w:hint="eastAsia" w:ascii="宋体" w:hAnsi="宋体" w:cs="宋体"/>
                <w:b w:val="0"/>
                <w:bCs w:val="0"/>
                <w:color w:val="auto"/>
                <w:szCs w:val="21"/>
                <w:highlight w:val="none"/>
              </w:rPr>
            </w:pPr>
            <w:r>
              <w:rPr>
                <w:rStyle w:val="23"/>
                <w:rFonts w:hint="eastAsia" w:ascii="宋体" w:hAnsi="宋体" w:cs="宋体"/>
                <w:b w:val="0"/>
                <w:bCs w:val="0"/>
                <w:color w:val="auto"/>
                <w:szCs w:val="21"/>
                <w:highlight w:val="none"/>
              </w:rPr>
              <w:t>备注</w:t>
            </w:r>
          </w:p>
        </w:tc>
      </w:tr>
      <w:tr w14:paraId="65F3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2C20AECA">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 w:val="18"/>
                <w:szCs w:val="18"/>
                <w:highlight w:val="none"/>
              </w:rPr>
              <w:t>1</w:t>
            </w:r>
          </w:p>
        </w:tc>
        <w:tc>
          <w:tcPr>
            <w:tcW w:w="659" w:type="pct"/>
            <w:noWrap/>
            <w:vAlign w:val="center"/>
          </w:tcPr>
          <w:p w14:paraId="4CF450E6">
            <w:pPr>
              <w:widowControl/>
              <w:jc w:val="left"/>
              <w:textAlignment w:val="center"/>
              <w:rPr>
                <w:rFonts w:hint="eastAsia" w:ascii="宋体" w:hAnsi="宋体" w:cs="宋体"/>
                <w:color w:val="auto"/>
                <w:szCs w:val="21"/>
                <w:highlight w:val="none"/>
              </w:rPr>
            </w:pPr>
          </w:p>
        </w:tc>
        <w:tc>
          <w:tcPr>
            <w:tcW w:w="686" w:type="pct"/>
            <w:noWrap/>
            <w:vAlign w:val="center"/>
          </w:tcPr>
          <w:p w14:paraId="6675ABE3">
            <w:pPr>
              <w:widowControl/>
              <w:jc w:val="left"/>
              <w:textAlignment w:val="center"/>
              <w:rPr>
                <w:rFonts w:hint="eastAsia" w:ascii="宋体" w:hAnsi="宋体" w:cs="宋体"/>
                <w:snapToGrid w:val="0"/>
                <w:color w:val="auto"/>
                <w:kern w:val="21"/>
                <w:sz w:val="22"/>
                <w:szCs w:val="22"/>
                <w:highlight w:val="none"/>
              </w:rPr>
            </w:pPr>
          </w:p>
        </w:tc>
        <w:tc>
          <w:tcPr>
            <w:tcW w:w="520" w:type="pct"/>
            <w:noWrap/>
            <w:vAlign w:val="center"/>
          </w:tcPr>
          <w:p w14:paraId="31B622C4">
            <w:pPr>
              <w:jc w:val="left"/>
              <w:rPr>
                <w:rFonts w:hint="eastAsia" w:ascii="宋体" w:hAnsi="宋体" w:cs="宋体"/>
                <w:snapToGrid w:val="0"/>
                <w:color w:val="auto"/>
                <w:kern w:val="21"/>
                <w:sz w:val="22"/>
                <w:szCs w:val="22"/>
                <w:highlight w:val="none"/>
              </w:rPr>
            </w:pPr>
          </w:p>
        </w:tc>
        <w:tc>
          <w:tcPr>
            <w:tcW w:w="577" w:type="pct"/>
            <w:noWrap/>
            <w:vAlign w:val="center"/>
          </w:tcPr>
          <w:p w14:paraId="3396F075">
            <w:pPr>
              <w:widowControl/>
              <w:jc w:val="center"/>
              <w:textAlignment w:val="center"/>
              <w:rPr>
                <w:rFonts w:hint="eastAsia" w:ascii="宋体" w:hAnsi="宋体" w:cs="宋体"/>
                <w:snapToGrid w:val="0"/>
                <w:color w:val="auto"/>
                <w:kern w:val="21"/>
                <w:sz w:val="22"/>
                <w:szCs w:val="22"/>
                <w:highlight w:val="none"/>
              </w:rPr>
            </w:pPr>
          </w:p>
        </w:tc>
        <w:tc>
          <w:tcPr>
            <w:tcW w:w="577" w:type="pct"/>
            <w:noWrap/>
            <w:vAlign w:val="center"/>
          </w:tcPr>
          <w:p w14:paraId="4B274DA6">
            <w:pPr>
              <w:spacing w:afterLines="50"/>
              <w:jc w:val="center"/>
              <w:rPr>
                <w:rFonts w:hint="eastAsia" w:ascii="宋体" w:hAnsi="宋体" w:cs="宋体"/>
                <w:color w:val="auto"/>
                <w:szCs w:val="21"/>
                <w:highlight w:val="none"/>
              </w:rPr>
            </w:pPr>
          </w:p>
        </w:tc>
        <w:tc>
          <w:tcPr>
            <w:tcW w:w="548" w:type="pct"/>
            <w:noWrap/>
            <w:vAlign w:val="center"/>
          </w:tcPr>
          <w:p w14:paraId="0C744223">
            <w:pPr>
              <w:spacing w:afterLines="50"/>
              <w:jc w:val="center"/>
              <w:rPr>
                <w:rFonts w:hint="eastAsia" w:ascii="宋体" w:hAnsi="宋体" w:cs="宋体"/>
                <w:color w:val="auto"/>
                <w:szCs w:val="21"/>
                <w:highlight w:val="none"/>
              </w:rPr>
            </w:pPr>
          </w:p>
        </w:tc>
        <w:tc>
          <w:tcPr>
            <w:tcW w:w="767" w:type="pct"/>
            <w:noWrap/>
            <w:vAlign w:val="center"/>
          </w:tcPr>
          <w:p w14:paraId="764BF9D7">
            <w:pPr>
              <w:spacing w:afterLines="50"/>
              <w:jc w:val="center"/>
              <w:rPr>
                <w:rFonts w:hint="eastAsia" w:ascii="宋体" w:hAnsi="宋体" w:cs="宋体"/>
                <w:color w:val="auto"/>
                <w:szCs w:val="21"/>
                <w:highlight w:val="none"/>
              </w:rPr>
            </w:pPr>
          </w:p>
        </w:tc>
        <w:tc>
          <w:tcPr>
            <w:tcW w:w="329" w:type="pct"/>
            <w:noWrap/>
            <w:vAlign w:val="center"/>
          </w:tcPr>
          <w:p w14:paraId="766F650E">
            <w:pPr>
              <w:spacing w:afterLines="50"/>
              <w:jc w:val="center"/>
              <w:rPr>
                <w:rFonts w:hint="eastAsia" w:ascii="宋体" w:hAnsi="宋体" w:cs="宋体"/>
                <w:color w:val="auto"/>
                <w:szCs w:val="21"/>
                <w:highlight w:val="none"/>
              </w:rPr>
            </w:pPr>
          </w:p>
        </w:tc>
      </w:tr>
      <w:tr w14:paraId="7625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4B058CE7">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659" w:type="pct"/>
            <w:noWrap/>
            <w:vAlign w:val="center"/>
          </w:tcPr>
          <w:p w14:paraId="7B09B883">
            <w:pPr>
              <w:widowControl/>
              <w:jc w:val="left"/>
              <w:textAlignment w:val="center"/>
              <w:rPr>
                <w:rFonts w:hint="eastAsia" w:ascii="宋体" w:hAnsi="宋体" w:cs="宋体"/>
                <w:color w:val="auto"/>
                <w:kern w:val="0"/>
                <w:sz w:val="18"/>
                <w:szCs w:val="18"/>
                <w:highlight w:val="none"/>
              </w:rPr>
            </w:pPr>
          </w:p>
        </w:tc>
        <w:tc>
          <w:tcPr>
            <w:tcW w:w="686" w:type="pct"/>
            <w:noWrap/>
            <w:vAlign w:val="center"/>
          </w:tcPr>
          <w:p w14:paraId="042E58C8">
            <w:pPr>
              <w:widowControl/>
              <w:jc w:val="left"/>
              <w:textAlignment w:val="center"/>
              <w:rPr>
                <w:rFonts w:hint="eastAsia" w:ascii="宋体" w:hAnsi="宋体" w:cs="宋体"/>
                <w:color w:val="auto"/>
                <w:kern w:val="0"/>
                <w:sz w:val="18"/>
                <w:szCs w:val="18"/>
                <w:highlight w:val="none"/>
              </w:rPr>
            </w:pPr>
          </w:p>
        </w:tc>
        <w:tc>
          <w:tcPr>
            <w:tcW w:w="520" w:type="pct"/>
            <w:noWrap/>
            <w:vAlign w:val="center"/>
          </w:tcPr>
          <w:p w14:paraId="494941AA">
            <w:pPr>
              <w:jc w:val="left"/>
              <w:rPr>
                <w:rFonts w:hint="eastAsia" w:ascii="宋体" w:hAnsi="宋体" w:cs="宋体"/>
                <w:snapToGrid w:val="0"/>
                <w:color w:val="auto"/>
                <w:kern w:val="21"/>
                <w:sz w:val="22"/>
                <w:szCs w:val="22"/>
                <w:highlight w:val="none"/>
              </w:rPr>
            </w:pPr>
          </w:p>
        </w:tc>
        <w:tc>
          <w:tcPr>
            <w:tcW w:w="577" w:type="pct"/>
            <w:noWrap/>
            <w:vAlign w:val="center"/>
          </w:tcPr>
          <w:p w14:paraId="4F265411">
            <w:pPr>
              <w:widowControl/>
              <w:jc w:val="center"/>
              <w:textAlignment w:val="center"/>
              <w:rPr>
                <w:rFonts w:hint="eastAsia" w:ascii="宋体" w:hAnsi="宋体" w:cs="宋体"/>
                <w:color w:val="auto"/>
                <w:kern w:val="0"/>
                <w:sz w:val="18"/>
                <w:szCs w:val="18"/>
                <w:highlight w:val="none"/>
              </w:rPr>
            </w:pPr>
          </w:p>
        </w:tc>
        <w:tc>
          <w:tcPr>
            <w:tcW w:w="577" w:type="pct"/>
            <w:noWrap/>
            <w:vAlign w:val="center"/>
          </w:tcPr>
          <w:p w14:paraId="52A177E0">
            <w:pPr>
              <w:spacing w:afterLines="50"/>
              <w:jc w:val="center"/>
              <w:rPr>
                <w:rFonts w:hint="eastAsia" w:ascii="宋体" w:hAnsi="宋体" w:cs="宋体"/>
                <w:color w:val="auto"/>
                <w:szCs w:val="21"/>
                <w:highlight w:val="none"/>
              </w:rPr>
            </w:pPr>
          </w:p>
        </w:tc>
        <w:tc>
          <w:tcPr>
            <w:tcW w:w="548" w:type="pct"/>
            <w:noWrap/>
            <w:vAlign w:val="center"/>
          </w:tcPr>
          <w:p w14:paraId="310581C2">
            <w:pPr>
              <w:spacing w:afterLines="50"/>
              <w:jc w:val="center"/>
              <w:rPr>
                <w:rFonts w:hint="eastAsia" w:ascii="宋体" w:hAnsi="宋体" w:cs="宋体"/>
                <w:color w:val="auto"/>
                <w:szCs w:val="21"/>
                <w:highlight w:val="none"/>
              </w:rPr>
            </w:pPr>
          </w:p>
        </w:tc>
        <w:tc>
          <w:tcPr>
            <w:tcW w:w="767" w:type="pct"/>
            <w:noWrap/>
            <w:vAlign w:val="center"/>
          </w:tcPr>
          <w:p w14:paraId="20C2DB33">
            <w:pPr>
              <w:spacing w:afterLines="50"/>
              <w:jc w:val="center"/>
              <w:rPr>
                <w:rFonts w:hint="eastAsia" w:ascii="宋体" w:hAnsi="宋体" w:cs="宋体"/>
                <w:color w:val="auto"/>
                <w:szCs w:val="21"/>
                <w:highlight w:val="none"/>
              </w:rPr>
            </w:pPr>
          </w:p>
        </w:tc>
        <w:tc>
          <w:tcPr>
            <w:tcW w:w="329" w:type="pct"/>
            <w:noWrap/>
            <w:vAlign w:val="center"/>
          </w:tcPr>
          <w:p w14:paraId="26559B96">
            <w:pPr>
              <w:spacing w:afterLines="50"/>
              <w:jc w:val="center"/>
              <w:rPr>
                <w:rFonts w:hint="eastAsia" w:ascii="宋体" w:hAnsi="宋体" w:cs="宋体"/>
                <w:color w:val="auto"/>
                <w:szCs w:val="21"/>
                <w:highlight w:val="none"/>
              </w:rPr>
            </w:pPr>
          </w:p>
        </w:tc>
      </w:tr>
      <w:tr w14:paraId="2332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3FC58656">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659" w:type="pct"/>
            <w:noWrap/>
            <w:vAlign w:val="center"/>
          </w:tcPr>
          <w:p w14:paraId="403AFCBC">
            <w:pPr>
              <w:widowControl/>
              <w:jc w:val="left"/>
              <w:textAlignment w:val="center"/>
              <w:rPr>
                <w:rFonts w:hint="eastAsia" w:ascii="宋体" w:hAnsi="宋体" w:cs="宋体"/>
                <w:color w:val="auto"/>
                <w:kern w:val="0"/>
                <w:sz w:val="18"/>
                <w:szCs w:val="18"/>
                <w:highlight w:val="none"/>
              </w:rPr>
            </w:pPr>
          </w:p>
        </w:tc>
        <w:tc>
          <w:tcPr>
            <w:tcW w:w="686" w:type="pct"/>
            <w:noWrap/>
            <w:vAlign w:val="center"/>
          </w:tcPr>
          <w:p w14:paraId="6E40F000">
            <w:pPr>
              <w:widowControl/>
              <w:jc w:val="left"/>
              <w:textAlignment w:val="center"/>
              <w:rPr>
                <w:rFonts w:hint="eastAsia" w:ascii="宋体" w:hAnsi="宋体" w:cs="宋体"/>
                <w:color w:val="auto"/>
                <w:kern w:val="0"/>
                <w:sz w:val="18"/>
                <w:szCs w:val="18"/>
                <w:highlight w:val="none"/>
              </w:rPr>
            </w:pPr>
          </w:p>
        </w:tc>
        <w:tc>
          <w:tcPr>
            <w:tcW w:w="520" w:type="pct"/>
            <w:noWrap/>
            <w:vAlign w:val="center"/>
          </w:tcPr>
          <w:p w14:paraId="1F78F570">
            <w:pPr>
              <w:jc w:val="left"/>
              <w:rPr>
                <w:rFonts w:hint="eastAsia" w:ascii="宋体" w:hAnsi="宋体" w:cs="宋体"/>
                <w:snapToGrid w:val="0"/>
                <w:color w:val="auto"/>
                <w:kern w:val="21"/>
                <w:sz w:val="22"/>
                <w:szCs w:val="22"/>
                <w:highlight w:val="none"/>
              </w:rPr>
            </w:pPr>
          </w:p>
        </w:tc>
        <w:tc>
          <w:tcPr>
            <w:tcW w:w="577" w:type="pct"/>
            <w:noWrap/>
            <w:vAlign w:val="center"/>
          </w:tcPr>
          <w:p w14:paraId="53D8958C">
            <w:pPr>
              <w:widowControl/>
              <w:jc w:val="center"/>
              <w:textAlignment w:val="center"/>
              <w:rPr>
                <w:rFonts w:hint="eastAsia" w:ascii="宋体" w:hAnsi="宋体" w:cs="宋体"/>
                <w:color w:val="auto"/>
                <w:kern w:val="0"/>
                <w:sz w:val="18"/>
                <w:szCs w:val="18"/>
                <w:highlight w:val="none"/>
              </w:rPr>
            </w:pPr>
          </w:p>
        </w:tc>
        <w:tc>
          <w:tcPr>
            <w:tcW w:w="577" w:type="pct"/>
            <w:noWrap/>
            <w:vAlign w:val="center"/>
          </w:tcPr>
          <w:p w14:paraId="04AAF921">
            <w:pPr>
              <w:spacing w:afterLines="50"/>
              <w:jc w:val="center"/>
              <w:rPr>
                <w:rFonts w:hint="eastAsia" w:ascii="宋体" w:hAnsi="宋体" w:cs="宋体"/>
                <w:color w:val="auto"/>
                <w:szCs w:val="21"/>
                <w:highlight w:val="none"/>
              </w:rPr>
            </w:pPr>
          </w:p>
        </w:tc>
        <w:tc>
          <w:tcPr>
            <w:tcW w:w="548" w:type="pct"/>
            <w:noWrap/>
            <w:vAlign w:val="center"/>
          </w:tcPr>
          <w:p w14:paraId="31FA381D">
            <w:pPr>
              <w:spacing w:afterLines="50"/>
              <w:jc w:val="center"/>
              <w:rPr>
                <w:rFonts w:hint="eastAsia" w:ascii="宋体" w:hAnsi="宋体" w:cs="宋体"/>
                <w:color w:val="auto"/>
                <w:szCs w:val="21"/>
                <w:highlight w:val="none"/>
              </w:rPr>
            </w:pPr>
          </w:p>
        </w:tc>
        <w:tc>
          <w:tcPr>
            <w:tcW w:w="767" w:type="pct"/>
            <w:noWrap/>
            <w:vAlign w:val="center"/>
          </w:tcPr>
          <w:p w14:paraId="4164B3F1">
            <w:pPr>
              <w:spacing w:afterLines="50"/>
              <w:jc w:val="center"/>
              <w:rPr>
                <w:rFonts w:hint="eastAsia" w:ascii="宋体" w:hAnsi="宋体" w:cs="宋体"/>
                <w:color w:val="auto"/>
                <w:szCs w:val="21"/>
                <w:highlight w:val="none"/>
              </w:rPr>
            </w:pPr>
          </w:p>
        </w:tc>
        <w:tc>
          <w:tcPr>
            <w:tcW w:w="329" w:type="pct"/>
            <w:noWrap/>
            <w:vAlign w:val="center"/>
          </w:tcPr>
          <w:p w14:paraId="610D23AA">
            <w:pPr>
              <w:spacing w:afterLines="50"/>
              <w:jc w:val="center"/>
              <w:rPr>
                <w:rFonts w:hint="eastAsia" w:ascii="宋体" w:hAnsi="宋体" w:cs="宋体"/>
                <w:color w:val="auto"/>
                <w:szCs w:val="21"/>
                <w:highlight w:val="none"/>
              </w:rPr>
            </w:pPr>
          </w:p>
        </w:tc>
      </w:tr>
      <w:tr w14:paraId="41A8F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743E6E3F">
            <w:pPr>
              <w:widowControl/>
              <w:jc w:val="center"/>
              <w:textAlignment w:val="center"/>
              <w:rPr>
                <w:rFonts w:hint="eastAsia" w:ascii="宋体" w:hAnsi="宋体" w:cs="宋体"/>
                <w:color w:val="auto"/>
                <w:kern w:val="0"/>
                <w:sz w:val="18"/>
                <w:szCs w:val="18"/>
                <w:highlight w:val="none"/>
              </w:rPr>
            </w:pPr>
          </w:p>
        </w:tc>
        <w:tc>
          <w:tcPr>
            <w:tcW w:w="659" w:type="pct"/>
            <w:noWrap/>
            <w:vAlign w:val="center"/>
          </w:tcPr>
          <w:p w14:paraId="7B088FBF">
            <w:pPr>
              <w:widowControl/>
              <w:jc w:val="left"/>
              <w:textAlignment w:val="center"/>
              <w:rPr>
                <w:rFonts w:hint="eastAsia" w:ascii="宋体" w:hAnsi="宋体" w:cs="宋体"/>
                <w:color w:val="auto"/>
                <w:kern w:val="0"/>
                <w:sz w:val="18"/>
                <w:szCs w:val="18"/>
                <w:highlight w:val="none"/>
              </w:rPr>
            </w:pPr>
          </w:p>
        </w:tc>
        <w:tc>
          <w:tcPr>
            <w:tcW w:w="686" w:type="pct"/>
            <w:noWrap/>
            <w:vAlign w:val="center"/>
          </w:tcPr>
          <w:p w14:paraId="1219062C">
            <w:pPr>
              <w:widowControl/>
              <w:jc w:val="left"/>
              <w:textAlignment w:val="center"/>
              <w:rPr>
                <w:rFonts w:hint="eastAsia" w:ascii="宋体" w:hAnsi="宋体" w:cs="宋体"/>
                <w:color w:val="auto"/>
                <w:kern w:val="0"/>
                <w:sz w:val="18"/>
                <w:szCs w:val="18"/>
                <w:highlight w:val="none"/>
              </w:rPr>
            </w:pPr>
          </w:p>
        </w:tc>
        <w:tc>
          <w:tcPr>
            <w:tcW w:w="520" w:type="pct"/>
            <w:noWrap/>
            <w:vAlign w:val="center"/>
          </w:tcPr>
          <w:p w14:paraId="4269FF52">
            <w:pPr>
              <w:jc w:val="left"/>
              <w:rPr>
                <w:rFonts w:hint="eastAsia" w:ascii="宋体" w:hAnsi="宋体" w:cs="宋体"/>
                <w:snapToGrid w:val="0"/>
                <w:color w:val="auto"/>
                <w:kern w:val="21"/>
                <w:sz w:val="22"/>
                <w:szCs w:val="22"/>
                <w:highlight w:val="none"/>
              </w:rPr>
            </w:pPr>
          </w:p>
        </w:tc>
        <w:tc>
          <w:tcPr>
            <w:tcW w:w="577" w:type="pct"/>
            <w:noWrap/>
            <w:vAlign w:val="center"/>
          </w:tcPr>
          <w:p w14:paraId="7E2DF486">
            <w:pPr>
              <w:widowControl/>
              <w:jc w:val="center"/>
              <w:textAlignment w:val="center"/>
              <w:rPr>
                <w:rFonts w:hint="eastAsia" w:ascii="宋体" w:hAnsi="宋体" w:cs="宋体"/>
                <w:color w:val="auto"/>
                <w:kern w:val="0"/>
                <w:sz w:val="18"/>
                <w:szCs w:val="18"/>
                <w:highlight w:val="none"/>
              </w:rPr>
            </w:pPr>
          </w:p>
        </w:tc>
        <w:tc>
          <w:tcPr>
            <w:tcW w:w="577" w:type="pct"/>
            <w:noWrap/>
            <w:vAlign w:val="center"/>
          </w:tcPr>
          <w:p w14:paraId="2BAD164C">
            <w:pPr>
              <w:spacing w:afterLines="50"/>
              <w:jc w:val="center"/>
              <w:rPr>
                <w:rFonts w:hint="eastAsia" w:ascii="宋体" w:hAnsi="宋体" w:cs="宋体"/>
                <w:color w:val="auto"/>
                <w:szCs w:val="21"/>
                <w:highlight w:val="none"/>
              </w:rPr>
            </w:pPr>
          </w:p>
        </w:tc>
        <w:tc>
          <w:tcPr>
            <w:tcW w:w="548" w:type="pct"/>
            <w:noWrap/>
            <w:vAlign w:val="center"/>
          </w:tcPr>
          <w:p w14:paraId="01E7235B">
            <w:pPr>
              <w:spacing w:afterLines="50"/>
              <w:jc w:val="center"/>
              <w:rPr>
                <w:rFonts w:hint="eastAsia" w:ascii="宋体" w:hAnsi="宋体" w:cs="宋体"/>
                <w:color w:val="auto"/>
                <w:szCs w:val="21"/>
                <w:highlight w:val="none"/>
              </w:rPr>
            </w:pPr>
          </w:p>
        </w:tc>
        <w:tc>
          <w:tcPr>
            <w:tcW w:w="767" w:type="pct"/>
            <w:noWrap/>
            <w:vAlign w:val="center"/>
          </w:tcPr>
          <w:p w14:paraId="67CFBE1C">
            <w:pPr>
              <w:spacing w:afterLines="50"/>
              <w:jc w:val="center"/>
              <w:rPr>
                <w:rFonts w:hint="eastAsia" w:ascii="宋体" w:hAnsi="宋体" w:cs="宋体"/>
                <w:color w:val="auto"/>
                <w:szCs w:val="21"/>
                <w:highlight w:val="none"/>
              </w:rPr>
            </w:pPr>
          </w:p>
        </w:tc>
        <w:tc>
          <w:tcPr>
            <w:tcW w:w="329" w:type="pct"/>
            <w:noWrap/>
            <w:vAlign w:val="center"/>
          </w:tcPr>
          <w:p w14:paraId="4426A828">
            <w:pPr>
              <w:spacing w:afterLines="50"/>
              <w:jc w:val="center"/>
              <w:rPr>
                <w:rFonts w:hint="eastAsia" w:ascii="宋体" w:hAnsi="宋体" w:cs="宋体"/>
                <w:color w:val="auto"/>
                <w:szCs w:val="21"/>
                <w:highlight w:val="none"/>
              </w:rPr>
            </w:pPr>
          </w:p>
        </w:tc>
      </w:tr>
      <w:tr w14:paraId="2137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6EEBD2D2">
            <w:pPr>
              <w:widowControl/>
              <w:jc w:val="center"/>
              <w:textAlignment w:val="center"/>
              <w:rPr>
                <w:rFonts w:hint="eastAsia" w:ascii="宋体" w:hAnsi="宋体" w:cs="宋体"/>
                <w:color w:val="auto"/>
                <w:kern w:val="0"/>
                <w:sz w:val="18"/>
                <w:szCs w:val="18"/>
                <w:highlight w:val="none"/>
              </w:rPr>
            </w:pPr>
          </w:p>
        </w:tc>
        <w:tc>
          <w:tcPr>
            <w:tcW w:w="659" w:type="pct"/>
            <w:noWrap/>
            <w:vAlign w:val="center"/>
          </w:tcPr>
          <w:p w14:paraId="258AF8B5">
            <w:pPr>
              <w:widowControl/>
              <w:jc w:val="left"/>
              <w:textAlignment w:val="center"/>
              <w:rPr>
                <w:rFonts w:hint="eastAsia" w:ascii="宋体" w:hAnsi="宋体" w:cs="宋体"/>
                <w:color w:val="auto"/>
                <w:kern w:val="0"/>
                <w:sz w:val="18"/>
                <w:szCs w:val="18"/>
                <w:highlight w:val="none"/>
              </w:rPr>
            </w:pPr>
          </w:p>
        </w:tc>
        <w:tc>
          <w:tcPr>
            <w:tcW w:w="686" w:type="pct"/>
            <w:noWrap/>
            <w:vAlign w:val="center"/>
          </w:tcPr>
          <w:p w14:paraId="0E037909">
            <w:pPr>
              <w:widowControl/>
              <w:jc w:val="left"/>
              <w:textAlignment w:val="center"/>
              <w:rPr>
                <w:rFonts w:hint="eastAsia" w:ascii="宋体" w:hAnsi="宋体" w:cs="宋体"/>
                <w:color w:val="auto"/>
                <w:kern w:val="0"/>
                <w:sz w:val="18"/>
                <w:szCs w:val="18"/>
                <w:highlight w:val="none"/>
              </w:rPr>
            </w:pPr>
          </w:p>
        </w:tc>
        <w:tc>
          <w:tcPr>
            <w:tcW w:w="520" w:type="pct"/>
            <w:noWrap/>
            <w:vAlign w:val="center"/>
          </w:tcPr>
          <w:p w14:paraId="259091BD">
            <w:pPr>
              <w:jc w:val="left"/>
              <w:rPr>
                <w:rFonts w:hint="eastAsia" w:ascii="宋体" w:hAnsi="宋体" w:cs="宋体"/>
                <w:snapToGrid w:val="0"/>
                <w:color w:val="auto"/>
                <w:kern w:val="21"/>
                <w:sz w:val="22"/>
                <w:szCs w:val="22"/>
                <w:highlight w:val="none"/>
              </w:rPr>
            </w:pPr>
          </w:p>
        </w:tc>
        <w:tc>
          <w:tcPr>
            <w:tcW w:w="577" w:type="pct"/>
            <w:noWrap/>
            <w:vAlign w:val="center"/>
          </w:tcPr>
          <w:p w14:paraId="7BB5B4AD">
            <w:pPr>
              <w:widowControl/>
              <w:jc w:val="center"/>
              <w:textAlignment w:val="center"/>
              <w:rPr>
                <w:rFonts w:hint="eastAsia" w:ascii="宋体" w:hAnsi="宋体" w:cs="宋体"/>
                <w:color w:val="auto"/>
                <w:kern w:val="0"/>
                <w:sz w:val="18"/>
                <w:szCs w:val="18"/>
                <w:highlight w:val="none"/>
              </w:rPr>
            </w:pPr>
          </w:p>
        </w:tc>
        <w:tc>
          <w:tcPr>
            <w:tcW w:w="577" w:type="pct"/>
            <w:noWrap/>
            <w:vAlign w:val="center"/>
          </w:tcPr>
          <w:p w14:paraId="0A5F33D4">
            <w:pPr>
              <w:spacing w:afterLines="50"/>
              <w:jc w:val="center"/>
              <w:rPr>
                <w:rFonts w:hint="eastAsia" w:ascii="宋体" w:hAnsi="宋体" w:cs="宋体"/>
                <w:color w:val="auto"/>
                <w:szCs w:val="21"/>
                <w:highlight w:val="none"/>
              </w:rPr>
            </w:pPr>
          </w:p>
        </w:tc>
        <w:tc>
          <w:tcPr>
            <w:tcW w:w="548" w:type="pct"/>
            <w:noWrap/>
            <w:vAlign w:val="center"/>
          </w:tcPr>
          <w:p w14:paraId="59D740C0">
            <w:pPr>
              <w:spacing w:afterLines="50"/>
              <w:jc w:val="center"/>
              <w:rPr>
                <w:rFonts w:hint="eastAsia" w:ascii="宋体" w:hAnsi="宋体" w:cs="宋体"/>
                <w:color w:val="auto"/>
                <w:szCs w:val="21"/>
                <w:highlight w:val="none"/>
              </w:rPr>
            </w:pPr>
          </w:p>
        </w:tc>
        <w:tc>
          <w:tcPr>
            <w:tcW w:w="767" w:type="pct"/>
            <w:noWrap/>
            <w:vAlign w:val="center"/>
          </w:tcPr>
          <w:p w14:paraId="5F213A54">
            <w:pPr>
              <w:spacing w:afterLines="50"/>
              <w:jc w:val="center"/>
              <w:rPr>
                <w:rFonts w:hint="eastAsia" w:ascii="宋体" w:hAnsi="宋体" w:cs="宋体"/>
                <w:color w:val="auto"/>
                <w:szCs w:val="21"/>
                <w:highlight w:val="none"/>
              </w:rPr>
            </w:pPr>
          </w:p>
        </w:tc>
        <w:tc>
          <w:tcPr>
            <w:tcW w:w="329" w:type="pct"/>
            <w:noWrap/>
            <w:vAlign w:val="center"/>
          </w:tcPr>
          <w:p w14:paraId="72B47241">
            <w:pPr>
              <w:spacing w:afterLines="50"/>
              <w:jc w:val="center"/>
              <w:rPr>
                <w:rFonts w:hint="eastAsia" w:ascii="宋体" w:hAnsi="宋体" w:cs="宋体"/>
                <w:color w:val="auto"/>
                <w:szCs w:val="21"/>
                <w:highlight w:val="none"/>
              </w:rPr>
            </w:pPr>
          </w:p>
        </w:tc>
      </w:tr>
      <w:tr w14:paraId="106B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5F1D07E3">
            <w:pPr>
              <w:widowControl/>
              <w:jc w:val="center"/>
              <w:textAlignment w:val="center"/>
              <w:rPr>
                <w:rFonts w:hint="eastAsia" w:ascii="宋体" w:hAnsi="宋体" w:cs="宋体"/>
                <w:color w:val="auto"/>
                <w:kern w:val="0"/>
                <w:sz w:val="18"/>
                <w:szCs w:val="18"/>
                <w:highlight w:val="none"/>
              </w:rPr>
            </w:pPr>
          </w:p>
        </w:tc>
        <w:tc>
          <w:tcPr>
            <w:tcW w:w="659" w:type="pct"/>
            <w:noWrap/>
            <w:vAlign w:val="center"/>
          </w:tcPr>
          <w:p w14:paraId="4EC962EF">
            <w:pPr>
              <w:widowControl/>
              <w:jc w:val="left"/>
              <w:textAlignment w:val="center"/>
              <w:rPr>
                <w:rFonts w:hint="eastAsia" w:ascii="宋体" w:hAnsi="宋体" w:cs="宋体"/>
                <w:color w:val="auto"/>
                <w:kern w:val="0"/>
                <w:sz w:val="18"/>
                <w:szCs w:val="18"/>
                <w:highlight w:val="none"/>
              </w:rPr>
            </w:pPr>
          </w:p>
        </w:tc>
        <w:tc>
          <w:tcPr>
            <w:tcW w:w="686" w:type="pct"/>
            <w:noWrap/>
            <w:vAlign w:val="center"/>
          </w:tcPr>
          <w:p w14:paraId="14B32254">
            <w:pPr>
              <w:widowControl/>
              <w:jc w:val="left"/>
              <w:textAlignment w:val="center"/>
              <w:rPr>
                <w:rFonts w:hint="eastAsia" w:ascii="宋体" w:hAnsi="宋体" w:cs="宋体"/>
                <w:color w:val="auto"/>
                <w:kern w:val="0"/>
                <w:sz w:val="18"/>
                <w:szCs w:val="18"/>
                <w:highlight w:val="none"/>
              </w:rPr>
            </w:pPr>
          </w:p>
        </w:tc>
        <w:tc>
          <w:tcPr>
            <w:tcW w:w="520" w:type="pct"/>
            <w:noWrap/>
            <w:vAlign w:val="center"/>
          </w:tcPr>
          <w:p w14:paraId="2F2C0BDD">
            <w:pPr>
              <w:jc w:val="left"/>
              <w:rPr>
                <w:rFonts w:hint="eastAsia" w:ascii="宋体" w:hAnsi="宋体" w:cs="宋体"/>
                <w:snapToGrid w:val="0"/>
                <w:color w:val="auto"/>
                <w:kern w:val="21"/>
                <w:sz w:val="22"/>
                <w:szCs w:val="22"/>
                <w:highlight w:val="none"/>
              </w:rPr>
            </w:pPr>
          </w:p>
        </w:tc>
        <w:tc>
          <w:tcPr>
            <w:tcW w:w="577" w:type="pct"/>
            <w:noWrap/>
            <w:vAlign w:val="center"/>
          </w:tcPr>
          <w:p w14:paraId="55D18A08">
            <w:pPr>
              <w:widowControl/>
              <w:jc w:val="center"/>
              <w:textAlignment w:val="center"/>
              <w:rPr>
                <w:rFonts w:hint="eastAsia" w:ascii="宋体" w:hAnsi="宋体" w:cs="宋体"/>
                <w:color w:val="auto"/>
                <w:kern w:val="0"/>
                <w:sz w:val="18"/>
                <w:szCs w:val="18"/>
                <w:highlight w:val="none"/>
              </w:rPr>
            </w:pPr>
          </w:p>
        </w:tc>
        <w:tc>
          <w:tcPr>
            <w:tcW w:w="577" w:type="pct"/>
            <w:noWrap/>
            <w:vAlign w:val="center"/>
          </w:tcPr>
          <w:p w14:paraId="22382D21">
            <w:pPr>
              <w:spacing w:afterLines="50"/>
              <w:jc w:val="center"/>
              <w:rPr>
                <w:rFonts w:hint="eastAsia" w:ascii="宋体" w:hAnsi="宋体" w:cs="宋体"/>
                <w:color w:val="auto"/>
                <w:szCs w:val="21"/>
                <w:highlight w:val="none"/>
              </w:rPr>
            </w:pPr>
          </w:p>
        </w:tc>
        <w:tc>
          <w:tcPr>
            <w:tcW w:w="548" w:type="pct"/>
            <w:noWrap/>
            <w:vAlign w:val="center"/>
          </w:tcPr>
          <w:p w14:paraId="698A5A35">
            <w:pPr>
              <w:spacing w:afterLines="50"/>
              <w:jc w:val="center"/>
              <w:rPr>
                <w:rFonts w:hint="eastAsia" w:ascii="宋体" w:hAnsi="宋体" w:cs="宋体"/>
                <w:color w:val="auto"/>
                <w:szCs w:val="21"/>
                <w:highlight w:val="none"/>
              </w:rPr>
            </w:pPr>
          </w:p>
        </w:tc>
        <w:tc>
          <w:tcPr>
            <w:tcW w:w="767" w:type="pct"/>
            <w:noWrap/>
            <w:vAlign w:val="center"/>
          </w:tcPr>
          <w:p w14:paraId="29277BF8">
            <w:pPr>
              <w:spacing w:afterLines="50"/>
              <w:jc w:val="center"/>
              <w:rPr>
                <w:rFonts w:hint="eastAsia" w:ascii="宋体" w:hAnsi="宋体" w:cs="宋体"/>
                <w:color w:val="auto"/>
                <w:szCs w:val="21"/>
                <w:highlight w:val="none"/>
              </w:rPr>
            </w:pPr>
          </w:p>
        </w:tc>
        <w:tc>
          <w:tcPr>
            <w:tcW w:w="329" w:type="pct"/>
            <w:noWrap/>
            <w:vAlign w:val="center"/>
          </w:tcPr>
          <w:p w14:paraId="5371EE82">
            <w:pPr>
              <w:spacing w:afterLines="50"/>
              <w:jc w:val="center"/>
              <w:rPr>
                <w:rFonts w:hint="eastAsia" w:ascii="宋体" w:hAnsi="宋体" w:cs="宋体"/>
                <w:color w:val="auto"/>
                <w:szCs w:val="21"/>
                <w:highlight w:val="none"/>
              </w:rPr>
            </w:pPr>
          </w:p>
        </w:tc>
      </w:tr>
      <w:tr w14:paraId="3E58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33CEEACD">
            <w:pPr>
              <w:widowControl/>
              <w:jc w:val="center"/>
              <w:textAlignment w:val="center"/>
              <w:rPr>
                <w:rFonts w:hint="eastAsia" w:ascii="宋体" w:hAnsi="宋体" w:cs="宋体"/>
                <w:color w:val="auto"/>
                <w:kern w:val="0"/>
                <w:sz w:val="18"/>
                <w:szCs w:val="18"/>
                <w:highlight w:val="none"/>
              </w:rPr>
            </w:pPr>
          </w:p>
        </w:tc>
        <w:tc>
          <w:tcPr>
            <w:tcW w:w="659" w:type="pct"/>
            <w:noWrap/>
            <w:vAlign w:val="center"/>
          </w:tcPr>
          <w:p w14:paraId="0D8EE6B4">
            <w:pPr>
              <w:widowControl/>
              <w:jc w:val="left"/>
              <w:textAlignment w:val="center"/>
              <w:rPr>
                <w:rFonts w:hint="eastAsia" w:ascii="宋体" w:hAnsi="宋体" w:cs="宋体"/>
                <w:color w:val="auto"/>
                <w:kern w:val="0"/>
                <w:sz w:val="18"/>
                <w:szCs w:val="18"/>
                <w:highlight w:val="none"/>
              </w:rPr>
            </w:pPr>
          </w:p>
        </w:tc>
        <w:tc>
          <w:tcPr>
            <w:tcW w:w="686" w:type="pct"/>
            <w:noWrap/>
            <w:vAlign w:val="center"/>
          </w:tcPr>
          <w:p w14:paraId="79593516">
            <w:pPr>
              <w:widowControl/>
              <w:jc w:val="left"/>
              <w:textAlignment w:val="center"/>
              <w:rPr>
                <w:rFonts w:hint="eastAsia" w:ascii="宋体" w:hAnsi="宋体" w:cs="宋体"/>
                <w:color w:val="auto"/>
                <w:kern w:val="0"/>
                <w:sz w:val="18"/>
                <w:szCs w:val="18"/>
                <w:highlight w:val="none"/>
              </w:rPr>
            </w:pPr>
          </w:p>
        </w:tc>
        <w:tc>
          <w:tcPr>
            <w:tcW w:w="520" w:type="pct"/>
            <w:noWrap/>
            <w:vAlign w:val="center"/>
          </w:tcPr>
          <w:p w14:paraId="3B5F62AE">
            <w:pPr>
              <w:jc w:val="left"/>
              <w:rPr>
                <w:rFonts w:hint="eastAsia" w:ascii="宋体" w:hAnsi="宋体" w:cs="宋体"/>
                <w:snapToGrid w:val="0"/>
                <w:color w:val="auto"/>
                <w:kern w:val="21"/>
                <w:sz w:val="22"/>
                <w:szCs w:val="22"/>
                <w:highlight w:val="none"/>
              </w:rPr>
            </w:pPr>
          </w:p>
        </w:tc>
        <w:tc>
          <w:tcPr>
            <w:tcW w:w="577" w:type="pct"/>
            <w:noWrap/>
            <w:vAlign w:val="center"/>
          </w:tcPr>
          <w:p w14:paraId="567FF5F7">
            <w:pPr>
              <w:widowControl/>
              <w:jc w:val="center"/>
              <w:textAlignment w:val="center"/>
              <w:rPr>
                <w:rFonts w:hint="eastAsia" w:ascii="宋体" w:hAnsi="宋体" w:cs="宋体"/>
                <w:color w:val="auto"/>
                <w:kern w:val="0"/>
                <w:sz w:val="18"/>
                <w:szCs w:val="18"/>
                <w:highlight w:val="none"/>
              </w:rPr>
            </w:pPr>
          </w:p>
        </w:tc>
        <w:tc>
          <w:tcPr>
            <w:tcW w:w="577" w:type="pct"/>
            <w:noWrap/>
            <w:vAlign w:val="center"/>
          </w:tcPr>
          <w:p w14:paraId="5D8F9621">
            <w:pPr>
              <w:spacing w:afterLines="50"/>
              <w:jc w:val="center"/>
              <w:rPr>
                <w:rFonts w:hint="eastAsia" w:ascii="宋体" w:hAnsi="宋体" w:cs="宋体"/>
                <w:color w:val="auto"/>
                <w:szCs w:val="21"/>
                <w:highlight w:val="none"/>
              </w:rPr>
            </w:pPr>
          </w:p>
        </w:tc>
        <w:tc>
          <w:tcPr>
            <w:tcW w:w="548" w:type="pct"/>
            <w:noWrap/>
            <w:vAlign w:val="center"/>
          </w:tcPr>
          <w:p w14:paraId="15FADFE3">
            <w:pPr>
              <w:spacing w:afterLines="50"/>
              <w:jc w:val="center"/>
              <w:rPr>
                <w:rFonts w:hint="eastAsia" w:ascii="宋体" w:hAnsi="宋体" w:cs="宋体"/>
                <w:color w:val="auto"/>
                <w:szCs w:val="21"/>
                <w:highlight w:val="none"/>
              </w:rPr>
            </w:pPr>
          </w:p>
        </w:tc>
        <w:tc>
          <w:tcPr>
            <w:tcW w:w="767" w:type="pct"/>
            <w:noWrap/>
            <w:vAlign w:val="center"/>
          </w:tcPr>
          <w:p w14:paraId="09D2A769">
            <w:pPr>
              <w:spacing w:afterLines="50"/>
              <w:jc w:val="center"/>
              <w:rPr>
                <w:rFonts w:hint="eastAsia" w:ascii="宋体" w:hAnsi="宋体" w:cs="宋体"/>
                <w:color w:val="auto"/>
                <w:szCs w:val="21"/>
                <w:highlight w:val="none"/>
              </w:rPr>
            </w:pPr>
          </w:p>
        </w:tc>
        <w:tc>
          <w:tcPr>
            <w:tcW w:w="329" w:type="pct"/>
            <w:noWrap/>
            <w:vAlign w:val="center"/>
          </w:tcPr>
          <w:p w14:paraId="6AB60F4A">
            <w:pPr>
              <w:spacing w:afterLines="50"/>
              <w:jc w:val="center"/>
              <w:rPr>
                <w:rFonts w:hint="eastAsia" w:ascii="宋体" w:hAnsi="宋体" w:cs="宋体"/>
                <w:color w:val="auto"/>
                <w:szCs w:val="21"/>
                <w:highlight w:val="none"/>
              </w:rPr>
            </w:pPr>
          </w:p>
        </w:tc>
      </w:tr>
      <w:tr w14:paraId="2B95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30" w:type="pct"/>
            <w:noWrap/>
            <w:vAlign w:val="center"/>
          </w:tcPr>
          <w:p w14:paraId="05FEC40D">
            <w:pPr>
              <w:widowControl/>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59" w:type="pct"/>
            <w:noWrap/>
            <w:vAlign w:val="center"/>
          </w:tcPr>
          <w:p w14:paraId="27394B6D">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86" w:type="pct"/>
            <w:noWrap/>
            <w:vAlign w:val="center"/>
          </w:tcPr>
          <w:p w14:paraId="2B563E57">
            <w:pPr>
              <w:widowControl/>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520" w:type="pct"/>
            <w:noWrap/>
            <w:vAlign w:val="center"/>
          </w:tcPr>
          <w:p w14:paraId="135AB464">
            <w:pPr>
              <w:jc w:val="left"/>
              <w:rPr>
                <w:rFonts w:hint="eastAsia" w:ascii="宋体" w:hAnsi="宋体" w:cs="宋体"/>
                <w:snapToGrid w:val="0"/>
                <w:color w:val="auto"/>
                <w:kern w:val="21"/>
                <w:sz w:val="22"/>
                <w:szCs w:val="22"/>
                <w:highlight w:val="none"/>
              </w:rPr>
            </w:pPr>
            <w:r>
              <w:rPr>
                <w:rFonts w:hint="eastAsia" w:ascii="宋体" w:hAnsi="宋体" w:cs="宋体"/>
                <w:color w:val="auto"/>
                <w:kern w:val="0"/>
                <w:sz w:val="18"/>
                <w:szCs w:val="18"/>
                <w:highlight w:val="none"/>
              </w:rPr>
              <w:t>...</w:t>
            </w:r>
          </w:p>
        </w:tc>
        <w:tc>
          <w:tcPr>
            <w:tcW w:w="577" w:type="pct"/>
            <w:noWrap/>
            <w:vAlign w:val="center"/>
          </w:tcPr>
          <w:p w14:paraId="16388EEB">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577" w:type="pct"/>
            <w:noWrap/>
            <w:vAlign w:val="center"/>
          </w:tcPr>
          <w:p w14:paraId="2BD3639B">
            <w:pPr>
              <w:spacing w:afterLines="50"/>
              <w:jc w:val="center"/>
              <w:rPr>
                <w:rFonts w:hint="eastAsia" w:ascii="宋体" w:hAnsi="宋体" w:cs="宋体"/>
                <w:color w:val="auto"/>
                <w:szCs w:val="21"/>
                <w:highlight w:val="none"/>
              </w:rPr>
            </w:pPr>
            <w:r>
              <w:rPr>
                <w:rFonts w:hint="eastAsia" w:ascii="宋体" w:hAnsi="宋体" w:cs="宋体"/>
                <w:color w:val="auto"/>
                <w:kern w:val="0"/>
                <w:sz w:val="18"/>
                <w:szCs w:val="18"/>
                <w:highlight w:val="none"/>
              </w:rPr>
              <w:t>...</w:t>
            </w:r>
          </w:p>
        </w:tc>
        <w:tc>
          <w:tcPr>
            <w:tcW w:w="548" w:type="pct"/>
            <w:noWrap/>
            <w:vAlign w:val="center"/>
          </w:tcPr>
          <w:p w14:paraId="0C4BAD41">
            <w:pPr>
              <w:spacing w:afterLines="50"/>
              <w:jc w:val="center"/>
              <w:rPr>
                <w:rFonts w:hint="eastAsia" w:ascii="宋体" w:hAnsi="宋体" w:cs="宋体"/>
                <w:color w:val="auto"/>
                <w:szCs w:val="21"/>
                <w:highlight w:val="none"/>
              </w:rPr>
            </w:pPr>
            <w:r>
              <w:rPr>
                <w:rFonts w:hint="eastAsia" w:ascii="宋体" w:hAnsi="宋体" w:cs="宋体"/>
                <w:color w:val="auto"/>
                <w:kern w:val="0"/>
                <w:sz w:val="18"/>
                <w:szCs w:val="18"/>
                <w:highlight w:val="none"/>
              </w:rPr>
              <w:t>...</w:t>
            </w:r>
          </w:p>
        </w:tc>
        <w:tc>
          <w:tcPr>
            <w:tcW w:w="767" w:type="pct"/>
            <w:noWrap/>
            <w:vAlign w:val="center"/>
          </w:tcPr>
          <w:p w14:paraId="693AE90A">
            <w:pPr>
              <w:spacing w:afterLines="50"/>
              <w:jc w:val="center"/>
              <w:rPr>
                <w:rFonts w:hint="eastAsia" w:ascii="宋体" w:hAnsi="宋体" w:cs="宋体"/>
                <w:color w:val="auto"/>
                <w:szCs w:val="21"/>
                <w:highlight w:val="none"/>
              </w:rPr>
            </w:pPr>
            <w:r>
              <w:rPr>
                <w:rFonts w:hint="eastAsia" w:ascii="宋体" w:hAnsi="宋体" w:cs="宋体"/>
                <w:color w:val="auto"/>
                <w:kern w:val="0"/>
                <w:sz w:val="18"/>
                <w:szCs w:val="18"/>
                <w:highlight w:val="none"/>
              </w:rPr>
              <w:t>...</w:t>
            </w:r>
          </w:p>
        </w:tc>
        <w:tc>
          <w:tcPr>
            <w:tcW w:w="329" w:type="pct"/>
            <w:noWrap/>
            <w:vAlign w:val="center"/>
          </w:tcPr>
          <w:p w14:paraId="7969CBE6">
            <w:pPr>
              <w:spacing w:afterLines="50"/>
              <w:jc w:val="center"/>
              <w:rPr>
                <w:rFonts w:hint="eastAsia" w:ascii="宋体" w:hAnsi="宋体" w:cs="宋体"/>
                <w:color w:val="auto"/>
                <w:szCs w:val="21"/>
                <w:highlight w:val="none"/>
              </w:rPr>
            </w:pPr>
            <w:r>
              <w:rPr>
                <w:rFonts w:hint="eastAsia" w:ascii="宋体" w:hAnsi="宋体" w:cs="宋体"/>
                <w:color w:val="auto"/>
                <w:kern w:val="0"/>
                <w:sz w:val="18"/>
                <w:szCs w:val="18"/>
                <w:highlight w:val="none"/>
              </w:rPr>
              <w:t>...</w:t>
            </w:r>
          </w:p>
        </w:tc>
      </w:tr>
    </w:tbl>
    <w:p w14:paraId="6DDACE8D">
      <w:pPr>
        <w:pStyle w:val="2"/>
        <w:rPr>
          <w:color w:val="auto"/>
          <w:sz w:val="22"/>
          <w:szCs w:val="22"/>
          <w:highlight w:val="none"/>
        </w:rPr>
      </w:pPr>
      <w:r>
        <w:rPr>
          <w:rFonts w:hint="eastAsia" w:ascii="宋体" w:hAnsi="宋体" w:cs="宋体"/>
          <w:b/>
          <w:bCs/>
          <w:color w:val="auto"/>
          <w:sz w:val="22"/>
          <w:szCs w:val="22"/>
          <w:highlight w:val="none"/>
        </w:rPr>
        <w:t>注：拟投入本项目的主要材料需提供来源依据（产地、厂家）等信息，证明材料包含但不限于生产厂家出具的授权书或生产厂家出具的证明材料等。</w:t>
      </w:r>
    </w:p>
    <w:p w14:paraId="02EF26C2">
      <w:pPr>
        <w:pStyle w:val="34"/>
        <w:rPr>
          <w:color w:val="auto"/>
          <w:highlight w:val="none"/>
        </w:rPr>
      </w:pPr>
      <w:bookmarkStart w:id="1299" w:name="_Toc480"/>
      <w:bookmarkStart w:id="1300" w:name="_Toc23994"/>
      <w:bookmarkStart w:id="1301" w:name="_Toc8977"/>
      <w:r>
        <w:rPr>
          <w:rFonts w:hint="eastAsia" w:eastAsia="黑体"/>
          <w:color w:val="auto"/>
          <w:sz w:val="30"/>
          <w:szCs w:val="30"/>
          <w:highlight w:val="none"/>
        </w:rPr>
        <w:br w:type="page"/>
      </w:r>
    </w:p>
    <w:p w14:paraId="1E49A14B">
      <w:pPr>
        <w:pStyle w:val="12"/>
        <w:jc w:val="center"/>
        <w:outlineLvl w:val="2"/>
        <w:rPr>
          <w:rFonts w:hint="eastAsia" w:ascii="Times New Roman"/>
          <w:b/>
          <w:color w:val="auto"/>
          <w:highlight w:val="none"/>
        </w:rPr>
      </w:pPr>
      <w:bookmarkStart w:id="1302" w:name="_Toc2689"/>
      <w:bookmarkStart w:id="1303" w:name="_Toc8572"/>
      <w:bookmarkStart w:id="1304" w:name="_Toc31183"/>
      <w:bookmarkStart w:id="1305" w:name="_Toc21772"/>
      <w:bookmarkStart w:id="1306" w:name="_Toc17908"/>
      <w:bookmarkStart w:id="1307" w:name="_Toc14285"/>
      <w:bookmarkStart w:id="1308" w:name="_Toc2883"/>
      <w:bookmarkStart w:id="1309" w:name="_Toc16311"/>
      <w:bookmarkStart w:id="1310" w:name="_Toc4546"/>
      <w:bookmarkStart w:id="1311" w:name="_Toc11883"/>
      <w:r>
        <w:rPr>
          <w:rFonts w:eastAsia="黑体"/>
          <w:color w:val="auto"/>
          <w:sz w:val="30"/>
          <w:szCs w:val="30"/>
          <w:highlight w:val="none"/>
        </w:rPr>
        <w:t>其它</w:t>
      </w:r>
      <w:r>
        <w:rPr>
          <w:rFonts w:hint="eastAsia" w:eastAsia="黑体"/>
          <w:color w:val="auto"/>
          <w:sz w:val="30"/>
          <w:szCs w:val="30"/>
          <w:highlight w:val="none"/>
        </w:rPr>
        <w:t>技术</w:t>
      </w:r>
      <w:r>
        <w:rPr>
          <w:rFonts w:eastAsia="黑体"/>
          <w:color w:val="auto"/>
          <w:sz w:val="30"/>
          <w:szCs w:val="30"/>
          <w:highlight w:val="none"/>
        </w:rPr>
        <w:t>资料</w:t>
      </w:r>
      <w:bookmarkEnd w:id="1302"/>
      <w:bookmarkEnd w:id="1303"/>
      <w:bookmarkEnd w:id="1304"/>
      <w:bookmarkEnd w:id="1305"/>
      <w:bookmarkEnd w:id="1306"/>
      <w:bookmarkEnd w:id="1307"/>
      <w:bookmarkEnd w:id="1308"/>
      <w:bookmarkEnd w:id="1309"/>
      <w:bookmarkEnd w:id="1310"/>
      <w:bookmarkEnd w:id="1311"/>
    </w:p>
    <w:p w14:paraId="67EE6AC9">
      <w:pPr>
        <w:pStyle w:val="12"/>
        <w:rPr>
          <w:rFonts w:ascii="Times New Roman"/>
          <w:color w:val="auto"/>
          <w:highlight w:val="none"/>
        </w:rPr>
      </w:pPr>
    </w:p>
    <w:p w14:paraId="2D370873">
      <w:pPr>
        <w:pStyle w:val="12"/>
        <w:spacing w:line="500" w:lineRule="exact"/>
        <w:jc w:val="center"/>
        <w:outlineLvl w:val="2"/>
        <w:rPr>
          <w:rFonts w:hint="eastAsia" w:ascii="Times New Roman"/>
          <w:color w:val="auto"/>
          <w:highlight w:val="none"/>
        </w:rPr>
      </w:pPr>
      <w:bookmarkStart w:id="1312" w:name="_Toc25691"/>
      <w:bookmarkStart w:id="1313" w:name="_Toc7014"/>
      <w:bookmarkStart w:id="1314" w:name="_Toc11180"/>
      <w:bookmarkStart w:id="1315" w:name="_Toc20636"/>
      <w:bookmarkStart w:id="1316" w:name="_Toc11919"/>
      <w:bookmarkStart w:id="1317" w:name="_Toc25972"/>
      <w:bookmarkStart w:id="1318" w:name="_Toc12366"/>
      <w:bookmarkStart w:id="1319" w:name="_Toc29715"/>
      <w:bookmarkStart w:id="1320" w:name="_Toc413"/>
      <w:r>
        <w:rPr>
          <w:rFonts w:hint="eastAsia" w:ascii="Times New Roman"/>
          <w:color w:val="auto"/>
          <w:highlight w:val="none"/>
        </w:rPr>
        <w:t>磋商</w:t>
      </w:r>
      <w:r>
        <w:rPr>
          <w:rFonts w:hint="eastAsia" w:hAnsi="宋体"/>
          <w:color w:val="auto"/>
          <w:highlight w:val="none"/>
        </w:rPr>
        <w:t>文件要求及供应商认为有必要提供的其它技术资料</w:t>
      </w:r>
      <w:r>
        <w:rPr>
          <w:rFonts w:hint="eastAsia" w:ascii="Times New Roman"/>
          <w:color w:val="auto"/>
          <w:highlight w:val="none"/>
        </w:rPr>
        <w:t>。</w:t>
      </w:r>
      <w:bookmarkEnd w:id="1312"/>
      <w:bookmarkEnd w:id="1313"/>
      <w:bookmarkEnd w:id="1314"/>
      <w:bookmarkEnd w:id="1315"/>
      <w:bookmarkEnd w:id="1316"/>
      <w:bookmarkEnd w:id="1317"/>
      <w:bookmarkEnd w:id="1318"/>
      <w:bookmarkEnd w:id="1319"/>
      <w:bookmarkEnd w:id="1320"/>
    </w:p>
    <w:bookmarkEnd w:id="1299"/>
    <w:bookmarkEnd w:id="1300"/>
    <w:bookmarkEnd w:id="1301"/>
    <w:p w14:paraId="7C15C3EB">
      <w:pPr>
        <w:rPr>
          <w:rFonts w:eastAsia="黑体"/>
          <w:color w:val="auto"/>
          <w:sz w:val="30"/>
          <w:szCs w:val="30"/>
          <w:highlight w:val="none"/>
        </w:rPr>
      </w:pPr>
    </w:p>
    <w:bookmarkEnd w:id="1215"/>
    <w:p w14:paraId="129092EF">
      <w:pPr>
        <w:pStyle w:val="12"/>
        <w:rPr>
          <w:color w:val="auto"/>
          <w:highlight w:val="none"/>
        </w:rPr>
      </w:pPr>
    </w:p>
    <w:p w14:paraId="79627F09">
      <w:pPr>
        <w:rPr>
          <w:color w:val="auto"/>
          <w:highlight w:val="none"/>
        </w:rPr>
      </w:pPr>
    </w:p>
    <w:p w14:paraId="60570923">
      <w:pPr>
        <w:rPr>
          <w:color w:val="auto"/>
          <w:highlight w:val="none"/>
        </w:rPr>
      </w:pPr>
    </w:p>
    <w:p w14:paraId="344A2C34">
      <w:pPr>
        <w:rPr>
          <w:color w:val="auto"/>
          <w:highlight w:val="none"/>
        </w:rPr>
      </w:pPr>
    </w:p>
    <w:sectPr>
      <w:footerReference r:id="rId10" w:type="first"/>
      <w:footerReference r:id="rId9" w:type="default"/>
      <w:pgSz w:w="11906" w:h="16838"/>
      <w:pgMar w:top="1440" w:right="1800" w:bottom="1440" w:left="1800" w:header="851" w:footer="1134"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宋体-18030">
    <w:altName w:val="宋体"/>
    <w:panose1 w:val="00000000000000000000"/>
    <w:charset w:val="86"/>
    <w:family w:val="modern"/>
    <w:pitch w:val="default"/>
    <w:sig w:usb0="00000000" w:usb1="00000000" w:usb2="000A005E" w:usb3="00000000" w:csb0="00040001" w:csb1="00000000"/>
  </w:font>
  <w:font w:name="新宋体">
    <w:panose1 w:val="02010609030101010101"/>
    <w:charset w:val="86"/>
    <w:family w:val="modern"/>
    <w:pitch w:val="default"/>
    <w:sig w:usb0="00000283" w:usb1="288F0000" w:usb2="00000006" w:usb3="00000000" w:csb0="00040001"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51B14">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71818D">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2671818D">
                    <w:pPr>
                      <w:pStyle w:val="1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7C0F8">
    <w:pPr>
      <w:pStyle w:val="1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D0585">
    <w:pPr>
      <w:pStyle w:val="1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260C9">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3458B">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B3458B">
                    <w:pPr>
                      <w:pStyle w:val="14"/>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B43FB">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C2442">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62C2442">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47BCB">
    <w:pPr>
      <w:pStyle w:val="15"/>
    </w:pPr>
    <w:r>
      <w:rPr>
        <w:rFonts w:hint="eastAsia"/>
      </w:rPr>
      <w:drawing>
        <wp:inline distT="0" distB="0" distL="114300" distR="114300">
          <wp:extent cx="5247640" cy="492760"/>
          <wp:effectExtent l="0" t="0" r="10160" b="1905"/>
          <wp:docPr id="8" name="图片 6" descr="招标文件彩色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招标文件彩色页眉"/>
                  <pic:cNvPicPr>
                    <a:picLocks noChangeAspect="1"/>
                  </pic:cNvPicPr>
                </pic:nvPicPr>
                <pic:blipFill>
                  <a:blip r:embed="rId1"/>
                  <a:stretch>
                    <a:fillRect/>
                  </a:stretch>
                </pic:blipFill>
                <pic:spPr>
                  <a:xfrm>
                    <a:off x="0" y="0"/>
                    <a:ext cx="5247640" cy="49276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0101E">
    <w:pPr>
      <w:pStyle w:val="15"/>
    </w:pPr>
    <w:r>
      <w:rPr>
        <w:rFonts w:hint="eastAsia"/>
      </w:rPr>
      <w:drawing>
        <wp:inline distT="0" distB="0" distL="114300" distR="114300">
          <wp:extent cx="5756910" cy="540385"/>
          <wp:effectExtent l="0" t="0" r="15240" b="13335"/>
          <wp:docPr id="3" name="图片 3" descr="招标文件彩色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招标文件彩色页眉"/>
                  <pic:cNvPicPr>
                    <a:picLocks noChangeAspect="1"/>
                  </pic:cNvPicPr>
                </pic:nvPicPr>
                <pic:blipFill>
                  <a:blip r:embed="rId1"/>
                  <a:stretch>
                    <a:fillRect/>
                  </a:stretch>
                </pic:blipFill>
                <pic:spPr>
                  <a:xfrm>
                    <a:off x="0" y="0"/>
                    <a:ext cx="5756910" cy="5403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0A076">
    <w:pPr>
      <w:pStyle w:val="15"/>
    </w:pPr>
    <w:r>
      <w:rPr>
        <w:rFonts w:hint="eastAsia"/>
      </w:rPr>
      <w:drawing>
        <wp:inline distT="0" distB="0" distL="114300" distR="114300">
          <wp:extent cx="5756910" cy="540385"/>
          <wp:effectExtent l="0" t="0" r="15240" b="13335"/>
          <wp:docPr id="4" name="图片 2" descr="招标文件彩色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招标文件彩色页眉"/>
                  <pic:cNvPicPr>
                    <a:picLocks noChangeAspect="1"/>
                  </pic:cNvPicPr>
                </pic:nvPicPr>
                <pic:blipFill>
                  <a:blip r:embed="rId1"/>
                  <a:stretch>
                    <a:fillRect/>
                  </a:stretch>
                </pic:blipFill>
                <pic:spPr>
                  <a:xfrm>
                    <a:off x="0" y="0"/>
                    <a:ext cx="5756910" cy="5403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C1DE2"/>
    <w:multiLevelType w:val="singleLevel"/>
    <w:tmpl w:val="169C1DE2"/>
    <w:lvl w:ilvl="0" w:tentative="0">
      <w:start w:val="1"/>
      <w:numFmt w:val="decimal"/>
      <w:suff w:val="nothing"/>
      <w:lvlText w:val="（%1）"/>
      <w:lvlJc w:val="left"/>
    </w:lvl>
  </w:abstractNum>
  <w:abstractNum w:abstractNumId="1">
    <w:nsid w:val="5EFB7E12"/>
    <w:multiLevelType w:val="singleLevel"/>
    <w:tmpl w:val="5EFB7E1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86BF0"/>
    <w:rsid w:val="005714C6"/>
    <w:rsid w:val="00FC6745"/>
    <w:rsid w:val="01233A9E"/>
    <w:rsid w:val="01BD47AD"/>
    <w:rsid w:val="02250D14"/>
    <w:rsid w:val="02774C0E"/>
    <w:rsid w:val="03127926"/>
    <w:rsid w:val="031C7BCD"/>
    <w:rsid w:val="037D56E7"/>
    <w:rsid w:val="03F718CF"/>
    <w:rsid w:val="057449CC"/>
    <w:rsid w:val="060F45F1"/>
    <w:rsid w:val="08332819"/>
    <w:rsid w:val="0891753F"/>
    <w:rsid w:val="08EA61ED"/>
    <w:rsid w:val="0B626F71"/>
    <w:rsid w:val="0BF57DE5"/>
    <w:rsid w:val="0C063DA0"/>
    <w:rsid w:val="0CA463E0"/>
    <w:rsid w:val="0D16564C"/>
    <w:rsid w:val="0D9755F8"/>
    <w:rsid w:val="0E3E5A73"/>
    <w:rsid w:val="0E8015C3"/>
    <w:rsid w:val="0E9E1FA3"/>
    <w:rsid w:val="0F1F6DF6"/>
    <w:rsid w:val="108A4FA0"/>
    <w:rsid w:val="10920C44"/>
    <w:rsid w:val="10AA5642"/>
    <w:rsid w:val="11F90D09"/>
    <w:rsid w:val="127617C3"/>
    <w:rsid w:val="12AC282E"/>
    <w:rsid w:val="14486823"/>
    <w:rsid w:val="14771CDF"/>
    <w:rsid w:val="14D64C58"/>
    <w:rsid w:val="151715EF"/>
    <w:rsid w:val="153D4CD7"/>
    <w:rsid w:val="159B19FD"/>
    <w:rsid w:val="15FD4466"/>
    <w:rsid w:val="17531EB0"/>
    <w:rsid w:val="182B0BAD"/>
    <w:rsid w:val="184C71CB"/>
    <w:rsid w:val="18521614"/>
    <w:rsid w:val="19240F9F"/>
    <w:rsid w:val="1B300E3A"/>
    <w:rsid w:val="1B3C77DE"/>
    <w:rsid w:val="1B8E2835"/>
    <w:rsid w:val="1BA51953"/>
    <w:rsid w:val="1C5A240A"/>
    <w:rsid w:val="1E6F1C79"/>
    <w:rsid w:val="1EC47680"/>
    <w:rsid w:val="1FF123B7"/>
    <w:rsid w:val="21F93D33"/>
    <w:rsid w:val="235B4E67"/>
    <w:rsid w:val="237C0EE4"/>
    <w:rsid w:val="24881292"/>
    <w:rsid w:val="24AA7567"/>
    <w:rsid w:val="250A6257"/>
    <w:rsid w:val="25B5389F"/>
    <w:rsid w:val="267E0CAB"/>
    <w:rsid w:val="2A6F2B64"/>
    <w:rsid w:val="2AC60C75"/>
    <w:rsid w:val="2B193698"/>
    <w:rsid w:val="2DC54DF5"/>
    <w:rsid w:val="2ED93DB8"/>
    <w:rsid w:val="2F733637"/>
    <w:rsid w:val="2FA71273"/>
    <w:rsid w:val="2FD951A4"/>
    <w:rsid w:val="30C40342"/>
    <w:rsid w:val="3244724D"/>
    <w:rsid w:val="32580DA5"/>
    <w:rsid w:val="34D66156"/>
    <w:rsid w:val="34E73EBF"/>
    <w:rsid w:val="364C2B74"/>
    <w:rsid w:val="36B17BFA"/>
    <w:rsid w:val="36E44B5A"/>
    <w:rsid w:val="36FB00F6"/>
    <w:rsid w:val="37D50947"/>
    <w:rsid w:val="3904150E"/>
    <w:rsid w:val="398E5251"/>
    <w:rsid w:val="3BCE2CA4"/>
    <w:rsid w:val="3BF36D14"/>
    <w:rsid w:val="3C1C08F2"/>
    <w:rsid w:val="3D202664"/>
    <w:rsid w:val="3E642A25"/>
    <w:rsid w:val="3EFE0783"/>
    <w:rsid w:val="40EA5463"/>
    <w:rsid w:val="41755A6E"/>
    <w:rsid w:val="41856F3A"/>
    <w:rsid w:val="41C079E9"/>
    <w:rsid w:val="42B25551"/>
    <w:rsid w:val="42ED2FE9"/>
    <w:rsid w:val="430A1B48"/>
    <w:rsid w:val="43704F7D"/>
    <w:rsid w:val="45470F96"/>
    <w:rsid w:val="45534BBC"/>
    <w:rsid w:val="456E4FF7"/>
    <w:rsid w:val="45AA40BA"/>
    <w:rsid w:val="45E97594"/>
    <w:rsid w:val="46102182"/>
    <w:rsid w:val="466E61EE"/>
    <w:rsid w:val="4772551A"/>
    <w:rsid w:val="47B57E4D"/>
    <w:rsid w:val="47C91F5C"/>
    <w:rsid w:val="480B26D0"/>
    <w:rsid w:val="48C4659A"/>
    <w:rsid w:val="48DF1625"/>
    <w:rsid w:val="48FD1AAC"/>
    <w:rsid w:val="49325BF9"/>
    <w:rsid w:val="4AA20993"/>
    <w:rsid w:val="4AAC3789"/>
    <w:rsid w:val="4ADD015D"/>
    <w:rsid w:val="4E415331"/>
    <w:rsid w:val="4E640BAD"/>
    <w:rsid w:val="4F440434"/>
    <w:rsid w:val="4FEF3088"/>
    <w:rsid w:val="50A84624"/>
    <w:rsid w:val="53552CD1"/>
    <w:rsid w:val="5362532D"/>
    <w:rsid w:val="547C41CC"/>
    <w:rsid w:val="54E63D3C"/>
    <w:rsid w:val="54E67898"/>
    <w:rsid w:val="56C03C10"/>
    <w:rsid w:val="56D7393C"/>
    <w:rsid w:val="56E202EF"/>
    <w:rsid w:val="58F22855"/>
    <w:rsid w:val="5983027F"/>
    <w:rsid w:val="5A3523E1"/>
    <w:rsid w:val="5C25339C"/>
    <w:rsid w:val="5E541D16"/>
    <w:rsid w:val="5F8D3732"/>
    <w:rsid w:val="60200102"/>
    <w:rsid w:val="6119662F"/>
    <w:rsid w:val="61314591"/>
    <w:rsid w:val="61AC2E11"/>
    <w:rsid w:val="626369CC"/>
    <w:rsid w:val="62D90A3C"/>
    <w:rsid w:val="639D5F0D"/>
    <w:rsid w:val="64842F4D"/>
    <w:rsid w:val="651B27F7"/>
    <w:rsid w:val="682833D2"/>
    <w:rsid w:val="6900432A"/>
    <w:rsid w:val="69270753"/>
    <w:rsid w:val="69851D59"/>
    <w:rsid w:val="6AF77499"/>
    <w:rsid w:val="6BE639DF"/>
    <w:rsid w:val="6C156F89"/>
    <w:rsid w:val="6D45564C"/>
    <w:rsid w:val="6DE03C1F"/>
    <w:rsid w:val="6E455B98"/>
    <w:rsid w:val="6FD66A2F"/>
    <w:rsid w:val="705362D1"/>
    <w:rsid w:val="727D5888"/>
    <w:rsid w:val="729D3834"/>
    <w:rsid w:val="73D6524F"/>
    <w:rsid w:val="758331B5"/>
    <w:rsid w:val="76116A13"/>
    <w:rsid w:val="770025E3"/>
    <w:rsid w:val="77193AD4"/>
    <w:rsid w:val="77E141C3"/>
    <w:rsid w:val="78153E6C"/>
    <w:rsid w:val="78753F4B"/>
    <w:rsid w:val="7C5238E1"/>
    <w:rsid w:val="7D3C316B"/>
    <w:rsid w:val="7D407BDD"/>
    <w:rsid w:val="7D761851"/>
    <w:rsid w:val="7DB72BED"/>
    <w:rsid w:val="7DBB7264"/>
    <w:rsid w:val="7E6D5C35"/>
    <w:rsid w:val="7F5160D2"/>
    <w:rsid w:val="7F74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autoSpaceDE w:val="0"/>
      <w:autoSpaceDN w:val="0"/>
      <w:adjustRightInd w:val="0"/>
      <w:jc w:val="left"/>
      <w:outlineLvl w:val="0"/>
    </w:pPr>
    <w:rPr>
      <w:rFonts w:ascii="仿宋_GB2312" w:eastAsia="仿宋_GB2312"/>
      <w:b/>
      <w:bCs/>
      <w:color w:val="000000"/>
      <w:kern w:val="0"/>
      <w:sz w:val="36"/>
      <w:szCs w:val="20"/>
    </w:rPr>
  </w:style>
  <w:style w:type="paragraph" w:styleId="4">
    <w:name w:val="heading 2"/>
    <w:basedOn w:val="1"/>
    <w:next w:val="1"/>
    <w:qFormat/>
    <w:uiPriority w:val="0"/>
    <w:pPr>
      <w:keepNext/>
      <w:keepLines/>
      <w:spacing w:before="120" w:after="120" w:line="360" w:lineRule="auto"/>
      <w:jc w:val="center"/>
      <w:outlineLvl w:val="1"/>
    </w:pPr>
    <w:rPr>
      <w:rFonts w:ascii="Arial" w:hAnsi="Arial"/>
      <w:b/>
      <w:bCs/>
      <w:kern w:val="0"/>
      <w:sz w:val="32"/>
      <w:szCs w:val="32"/>
    </w:rPr>
  </w:style>
  <w:style w:type="paragraph" w:styleId="5">
    <w:name w:val="heading 3"/>
    <w:basedOn w:val="1"/>
    <w:next w:val="1"/>
    <w:qFormat/>
    <w:uiPriority w:val="9"/>
    <w:pPr>
      <w:keepNext/>
      <w:keepLines/>
      <w:spacing w:before="120" w:after="120" w:line="360" w:lineRule="auto"/>
      <w:ind w:firstLine="200" w:firstLineChars="200"/>
      <w:jc w:val="center"/>
      <w:outlineLvl w:val="2"/>
    </w:pPr>
    <w:rPr>
      <w:rFonts w:ascii="宋体"/>
      <w:b/>
      <w:bCs/>
      <w:kern w:val="0"/>
      <w:sz w:val="32"/>
      <w:szCs w:val="32"/>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sz w:val="24"/>
    </w:rPr>
  </w:style>
  <w:style w:type="paragraph" w:styleId="6">
    <w:name w:val="Normal Indent"/>
    <w:basedOn w:val="1"/>
    <w:next w:val="2"/>
    <w:qFormat/>
    <w:uiPriority w:val="0"/>
    <w:pPr>
      <w:tabs>
        <w:tab w:val="left" w:pos="750"/>
      </w:tabs>
      <w:spacing w:beforeLines="50" w:line="300" w:lineRule="auto"/>
      <w:ind w:firstLine="200" w:firstLineChars="200"/>
    </w:pPr>
    <w:rPr>
      <w:rFonts w:ascii="宋体"/>
      <w:szCs w:val="20"/>
    </w:rPr>
  </w:style>
  <w:style w:type="paragraph" w:styleId="7">
    <w:name w:val="annotation text"/>
    <w:basedOn w:val="1"/>
    <w:qFormat/>
    <w:uiPriority w:val="0"/>
    <w:pPr>
      <w:jc w:val="left"/>
    </w:pPr>
  </w:style>
  <w:style w:type="paragraph" w:styleId="8">
    <w:name w:val="Body Text Indent"/>
    <w:basedOn w:val="1"/>
    <w:next w:val="9"/>
    <w:qFormat/>
    <w:uiPriority w:val="99"/>
    <w:pPr>
      <w:ind w:firstLine="200" w:firstLineChars="200"/>
      <w:jc w:val="left"/>
    </w:pPr>
    <w:rPr>
      <w:rFonts w:ascii="仿宋_GB2312" w:eastAsia="仿宋_GB2312"/>
      <w:kern w:val="0"/>
      <w:sz w:val="24"/>
    </w:rPr>
  </w:style>
  <w:style w:type="paragraph" w:customStyle="1" w:styleId="9">
    <w:name w:val="样式 正文文字缩进 + 小四 首行缩进:  2 字符"/>
    <w:basedOn w:val="1"/>
    <w:qFormat/>
    <w:uiPriority w:val="0"/>
    <w:pPr>
      <w:spacing w:line="600" w:lineRule="exact"/>
      <w:jc w:val="center"/>
    </w:pPr>
    <w:rPr>
      <w:rFonts w:ascii="宋体"/>
      <w:b/>
      <w:u w:val="double"/>
    </w:rPr>
  </w:style>
  <w:style w:type="paragraph" w:styleId="10">
    <w:name w:val="toc 5"/>
    <w:basedOn w:val="1"/>
    <w:next w:val="1"/>
    <w:qFormat/>
    <w:uiPriority w:val="39"/>
    <w:pPr>
      <w:ind w:left="800" w:leftChars="800"/>
    </w:pPr>
  </w:style>
  <w:style w:type="paragraph" w:styleId="11">
    <w:name w:val="toc 3"/>
    <w:basedOn w:val="1"/>
    <w:next w:val="1"/>
    <w:qFormat/>
    <w:uiPriority w:val="39"/>
    <w:pPr>
      <w:tabs>
        <w:tab w:val="left" w:pos="1400"/>
        <w:tab w:val="right" w:leader="dot" w:pos="8931"/>
      </w:tabs>
      <w:spacing w:line="360" w:lineRule="auto"/>
      <w:ind w:left="840" w:leftChars="400" w:right="80" w:rightChars="38"/>
    </w:pPr>
  </w:style>
  <w:style w:type="paragraph" w:styleId="12">
    <w:name w:val="Plain Text"/>
    <w:basedOn w:val="1"/>
    <w:next w:val="1"/>
    <w:qFormat/>
    <w:uiPriority w:val="0"/>
    <w:pPr>
      <w:autoSpaceDE w:val="0"/>
      <w:autoSpaceDN w:val="0"/>
      <w:adjustRightInd w:val="0"/>
      <w:jc w:val="left"/>
    </w:pPr>
    <w:rPr>
      <w:rFonts w:ascii="宋体" w:hAnsi="Courier New"/>
      <w:szCs w:val="21"/>
    </w:rPr>
  </w:style>
  <w:style w:type="paragraph" w:styleId="13">
    <w:name w:val="Body Text Indent 2"/>
    <w:basedOn w:val="1"/>
    <w:qFormat/>
    <w:uiPriority w:val="99"/>
    <w:pPr>
      <w:spacing w:line="60" w:lineRule="auto"/>
      <w:ind w:firstLine="128" w:firstLineChars="128"/>
    </w:pPr>
    <w:rPr>
      <w:rFonts w:ascii="仿宋_GB2312" w:eastAsia="仿宋_GB2312"/>
      <w:kern w:val="0"/>
      <w:sz w:val="24"/>
    </w:rPr>
  </w:style>
  <w:style w:type="paragraph" w:styleId="14">
    <w:name w:val="footer"/>
    <w:basedOn w:val="1"/>
    <w:unhideWhenUsed/>
    <w:qFormat/>
    <w:uiPriority w:val="99"/>
    <w:pPr>
      <w:tabs>
        <w:tab w:val="center" w:pos="4153"/>
        <w:tab w:val="right" w:pos="8306"/>
      </w:tabs>
      <w:snapToGrid w:val="0"/>
      <w:jc w:val="left"/>
    </w:pPr>
    <w:rPr>
      <w:kern w:val="0"/>
      <w:sz w:val="18"/>
      <w:szCs w:val="18"/>
    </w:rPr>
  </w:style>
  <w:style w:type="paragraph" w:styleId="15">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6">
    <w:name w:val="toc 1"/>
    <w:basedOn w:val="1"/>
    <w:next w:val="1"/>
    <w:qFormat/>
    <w:uiPriority w:val="39"/>
    <w:pPr>
      <w:tabs>
        <w:tab w:val="right" w:leader="dot" w:pos="8931"/>
      </w:tabs>
      <w:spacing w:line="360" w:lineRule="auto"/>
    </w:pPr>
    <w:rPr>
      <w:rFonts w:hAnsi="宋体"/>
      <w:b/>
      <w:sz w:val="24"/>
    </w:rPr>
  </w:style>
  <w:style w:type="paragraph" w:styleId="17">
    <w:name w:val="toc 2"/>
    <w:basedOn w:val="1"/>
    <w:next w:val="1"/>
    <w:qFormat/>
    <w:uiPriority w:val="39"/>
    <w:pPr>
      <w:tabs>
        <w:tab w:val="right" w:leader="dot" w:pos="8931"/>
      </w:tabs>
      <w:spacing w:line="360" w:lineRule="auto"/>
      <w:ind w:left="270" w:leftChars="100" w:right="80" w:rightChars="38" w:hanging="60"/>
    </w:pPr>
  </w:style>
  <w:style w:type="paragraph" w:styleId="18">
    <w:name w:val="Body Text 2"/>
    <w:basedOn w:val="1"/>
    <w:qFormat/>
    <w:uiPriority w:val="99"/>
    <w:rPr>
      <w:rFonts w:ascii="宋体"/>
      <w:kern w:val="0"/>
      <w:sz w:val="20"/>
      <w:szCs w:val="20"/>
    </w:rPr>
  </w:style>
  <w:style w:type="paragraph" w:styleId="19">
    <w:name w:val="Normal (Web)"/>
    <w:basedOn w:val="1"/>
    <w:qFormat/>
    <w:uiPriority w:val="0"/>
    <w:pPr>
      <w:widowControl/>
      <w:spacing w:before="100" w:beforeAutospacing="1" w:after="100" w:afterAutospacing="1"/>
      <w:jc w:val="left"/>
    </w:pPr>
    <w:rPr>
      <w:rFonts w:hAnsi="宋体"/>
      <w:kern w:val="0"/>
      <w:sz w:val="24"/>
    </w:rPr>
  </w:style>
  <w:style w:type="paragraph" w:styleId="20">
    <w:name w:val="Body Text First Indent 2"/>
    <w:basedOn w:val="8"/>
    <w:unhideWhenUsed/>
    <w:qFormat/>
    <w:uiPriority w:val="0"/>
    <w:pPr>
      <w:spacing w:after="120"/>
      <w:ind w:left="420" w:leftChars="200" w:firstLine="420"/>
    </w:pPr>
    <w:rPr>
      <w:rFonts w:ascii="Times New Roman"/>
      <w:sz w:val="21"/>
    </w:rPr>
  </w:style>
  <w:style w:type="character" w:styleId="23">
    <w:name w:val="Strong"/>
    <w:basedOn w:val="22"/>
    <w:qFormat/>
    <w:uiPriority w:val="22"/>
    <w:rPr>
      <w:b/>
      <w:bCs/>
    </w:rPr>
  </w:style>
  <w:style w:type="paragraph" w:customStyle="1" w:styleId="24">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25">
    <w:name w:val="List Paragraph"/>
    <w:basedOn w:val="1"/>
    <w:qFormat/>
    <w:uiPriority w:val="99"/>
    <w:pPr>
      <w:ind w:firstLine="420" w:firstLineChars="200"/>
    </w:pPr>
  </w:style>
  <w:style w:type="paragraph" w:customStyle="1" w:styleId="26">
    <w:name w:val="Heading 3_0"/>
    <w:basedOn w:val="27"/>
    <w:next w:val="27"/>
    <w:qFormat/>
    <w:uiPriority w:val="9"/>
    <w:pPr>
      <w:keepNext/>
      <w:keepLines/>
      <w:spacing w:before="260" w:after="260" w:line="415" w:lineRule="auto"/>
      <w:outlineLvl w:val="2"/>
    </w:pPr>
    <w:rPr>
      <w:b/>
      <w:bCs/>
      <w:sz w:val="32"/>
      <w:szCs w:val="32"/>
    </w:rPr>
  </w:style>
  <w:style w:type="paragraph" w:customStyle="1" w:styleId="27">
    <w:name w:val="Normal_0_0"/>
    <w:qFormat/>
    <w:uiPriority w:val="0"/>
    <w:pPr>
      <w:widowControl w:val="0"/>
      <w:jc w:val="both"/>
    </w:pPr>
    <w:rPr>
      <w:rFonts w:ascii="Times New Roman" w:hAnsi="Times New Roman" w:eastAsia="宋体" w:cs="Times New Roman"/>
      <w:szCs w:val="21"/>
      <w:lang w:val="en-US" w:eastAsia="zh-CN" w:bidi="ar-SA"/>
    </w:rPr>
  </w:style>
  <w:style w:type="paragraph" w:customStyle="1" w:styleId="28">
    <w:name w:val="Heading 4_0"/>
    <w:basedOn w:val="29"/>
    <w:next w:val="27"/>
    <w:qFormat/>
    <w:uiPriority w:val="0"/>
    <w:pPr>
      <w:keepNext/>
      <w:keepLines/>
      <w:spacing w:before="280" w:after="290" w:line="372" w:lineRule="auto"/>
      <w:outlineLvl w:val="3"/>
    </w:pPr>
    <w:rPr>
      <w:rFonts w:ascii="Cambria" w:hAnsi="Cambria"/>
      <w:b/>
      <w:bCs/>
      <w:sz w:val="28"/>
      <w:szCs w:val="28"/>
    </w:rPr>
  </w:style>
  <w:style w:type="paragraph" w:customStyle="1" w:styleId="29">
    <w:name w:val="Normal_0_1"/>
    <w:qFormat/>
    <w:uiPriority w:val="0"/>
    <w:pPr>
      <w:widowControl w:val="0"/>
      <w:jc w:val="both"/>
    </w:pPr>
    <w:rPr>
      <w:rFonts w:ascii="Times New Roman" w:hAnsi="Times New Roman" w:eastAsia="宋体" w:cs="Times New Roman"/>
      <w:szCs w:val="21"/>
      <w:lang w:val="en-US" w:eastAsia="zh-CN" w:bidi="ar-SA"/>
    </w:rPr>
  </w:style>
  <w:style w:type="paragraph" w:customStyle="1" w:styleId="30">
    <w:name w:val="Normal_0_0_0"/>
    <w:qFormat/>
    <w:uiPriority w:val="0"/>
    <w:pPr>
      <w:widowControl w:val="0"/>
      <w:jc w:val="both"/>
    </w:pPr>
    <w:rPr>
      <w:rFonts w:ascii="Times New Roman" w:hAnsi="Times New Roman" w:eastAsia="宋体" w:cs="Times New Roman"/>
      <w:szCs w:val="21"/>
      <w:lang w:val="en-US" w:eastAsia="zh-CN" w:bidi="ar-SA"/>
    </w:rPr>
  </w:style>
  <w:style w:type="paragraph" w:customStyle="1" w:styleId="31">
    <w:name w:val="Heading 5_0_0"/>
    <w:basedOn w:val="30"/>
    <w:next w:val="30"/>
    <w:qFormat/>
    <w:uiPriority w:val="0"/>
    <w:pPr>
      <w:keepNext/>
      <w:keepLines/>
      <w:spacing w:before="280" w:after="290" w:line="372" w:lineRule="auto"/>
      <w:outlineLvl w:val="4"/>
    </w:pPr>
    <w:rPr>
      <w:rFonts w:ascii="Calibri" w:hAnsi="Calibri"/>
      <w:b/>
      <w:bCs/>
      <w:sz w:val="28"/>
      <w:szCs w:val="28"/>
    </w:rPr>
  </w:style>
  <w:style w:type="paragraph" w:customStyle="1" w:styleId="32">
    <w:name w:val="Normal_2"/>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character" w:customStyle="1" w:styleId="33">
    <w:name w:val="fontstyle01"/>
    <w:qFormat/>
    <w:uiPriority w:val="0"/>
    <w:rPr>
      <w:rFonts w:hint="eastAsia" w:ascii="宋体" w:hAnsi="宋体" w:eastAsia="宋体"/>
      <w:color w:val="000000"/>
      <w:sz w:val="24"/>
      <w:szCs w:val="24"/>
    </w:rPr>
  </w:style>
  <w:style w:type="paragraph" w:customStyle="1" w:styleId="34">
    <w:name w:val="Document Map1"/>
    <w:basedOn w:val="1"/>
    <w:qFormat/>
    <w:uiPriority w:val="0"/>
  </w:style>
  <w:style w:type="character" w:customStyle="1" w:styleId="35">
    <w:name w:val="contractReviewCommentRevision_2a6fc47c574a407d890b530511e80714"/>
    <w:basedOn w:val="22"/>
    <w:qFormat/>
    <w:uiPriority w:val="0"/>
  </w:style>
  <w:style w:type="paragraph" w:customStyle="1" w:styleId="36">
    <w:name w:val="合同正文"/>
    <w:basedOn w:val="37"/>
    <w:qFormat/>
    <w:uiPriority w:val="0"/>
    <w:rPr>
      <w:rFonts w:ascii="Times New Roman" w:hAnsi="Times New Roman" w:eastAsia="宋体" w:cs="Times New Roman"/>
      <w:sz w:val="21"/>
    </w:rPr>
  </w:style>
  <w:style w:type="paragraph" w:customStyle="1" w:styleId="37">
    <w:name w:val="样式 仿宋 小四 左 图案: 清除 (白色) 行距: 1.5 倍行距"/>
    <w:basedOn w:val="1"/>
    <w:qFormat/>
    <w:uiPriority w:val="0"/>
    <w:pPr>
      <w:spacing w:line="360" w:lineRule="auto"/>
      <w:ind w:firstLine="200" w:firstLineChars="200"/>
      <w:jc w:val="left"/>
    </w:pPr>
    <w:rPr>
      <w:rFonts w:ascii="仿宋" w:hAnsi="仿宋" w:eastAsia="仿宋" w:cs="宋体"/>
      <w:sz w:val="24"/>
      <w:szCs w:val="20"/>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408e54b1-3b92-461c-b4d6-16e11ca40373</errorID>
      <errorWord>-</errorWord>
      <group>L1_Format</group>
      <groupName>格式问题</groupName>
      <ability>L2_HalfPunc_CN</ability>
      <abilityName>全半角问题</abilityName>
      <candidateList>
        <item>－</item>
      </candidateList>
      <explain>文本全半角错误。</explain>
      <paraID> 4E06F3F</paraID>
      <start>82</start>
      <end>83</end>
      <status>unmodified</status>
      <modifiedWord/>
      <trackRevisions>false</trackRevisions>
    </reviewItem>
    <reviewItem>
      <errorID>4b68373b-8e92-42ab-a0f5-72921d17e4de</errorID>
      <errorWord>-</errorWord>
      <group>L1_Format</group>
      <groupName>格式问题</groupName>
      <ability>L2_HalfPunc_CN</ability>
      <abilityName>全半角问题</abilityName>
      <candidateList>
        <item>－</item>
      </candidateList>
      <explain>文本全半角错误。</explain>
      <paraID> 4E06F3F</paraID>
      <start>87</start>
      <end>88</end>
      <status>unmodified</status>
      <modifiedWord/>
      <trackRevisions>false</trackRevisions>
    </reviewItem>
    <reviewItem>
      <errorID>30419f24-80f9-4789-be22-9313158e598d</errorID>
      <errorWord>-</errorWord>
      <group>L1_Format</group>
      <groupName>格式问题</groupName>
      <ability>L2_HalfPunc_CN</ability>
      <abilityName>全半角问题</abilityName>
      <candidateList>
        <item>－</item>
      </candidateList>
      <explain>文本全半角错误。</explain>
      <paraID> 4E06F3F</paraID>
      <start>95</start>
      <end>96</end>
      <status>unmodified</status>
      <modifiedWord/>
      <trackRevisions>false</trackRevisions>
    </reviewItem>
    <reviewItem>
      <errorID>91b484f7-cd4e-458b-8761-704e99180917</errorID>
      <errorWord>-</errorWord>
      <group>L1_Format</group>
      <groupName>格式问题</groupName>
      <ability>L2_HalfPunc_CN</ability>
      <abilityName>全半角问题</abilityName>
      <candidateList>
        <item>－</item>
      </candidateList>
      <explain>文本全半角错误。</explain>
      <paraID> 4E06F3F</paraID>
      <start>101</start>
      <end>102</end>
      <status>unmodified</status>
      <modifiedWord/>
      <trackRevisions>false</trackRevisions>
    </reviewItem>
    <reviewItem>
      <errorID>4b96e829-899f-41b2-8966-96afdc9336b6</errorID>
      <errorWord>)</errorWord>
      <group>L1_Format</group>
      <groupName>格式问题</groupName>
      <ability>L2_HalfPunc_CN</ability>
      <abilityName>全半角问题</abilityName>
      <candidateList>
        <item>）</item>
      </candidateList>
      <explain>文本全半角错误。</explain>
      <paraID> 79DC89D</paraID>
      <start>3</start>
      <end>4</end>
      <status>unmodified</status>
      <modifiedWord/>
      <trackRevisions>false</trackRevisions>
    </reviewItem>
    <reviewItem>
      <errorID>e70b678f-d36a-4f29-a9c8-25697c7ad765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36CEC322</paraID>
      <start>0</start>
      <end>2</end>
      <status>unmodified</status>
      <modifiedWord/>
      <trackRevisions>false</trackRevisions>
    </reviewItem>
    <reviewItem>
      <errorID>faf086c1-2770-42e2-be24-8bf9ef0d2a7e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3A9460D2</paraID>
      <start>22</start>
      <end>25</end>
      <status>unmodified</status>
      <modifiedWord/>
      <trackRevisions>false</trackRevisions>
    </reviewItem>
    <reviewItem>
      <errorID>d9c9a3be-f81f-4bbc-9bf7-b97b0983f504</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3A9460D2</paraID>
      <start>37</start>
      <end>40</end>
      <status>unmodified</status>
      <modifiedWord/>
      <trackRevisions>false</trackRevisions>
    </reviewItem>
    <reviewItem>
      <errorID>d5ba066e-3910-40ad-a66e-7cc4f977e328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3A9460D2</paraID>
      <start>56</start>
      <end>59</end>
      <status>unmodified</status>
      <modifiedWord/>
      <trackRevisions>false</trackRevisions>
    </reviewItem>
    <reviewItem>
      <errorID>772846b2-b708-4569-b6e1-f61ca5755ab8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3A9460D2</paraID>
      <start>71</start>
      <end>74</end>
      <status>unmodified</status>
      <modifiedWord/>
      <trackRevisions>false</trackRevisions>
    </reviewItem>
    <reviewItem>
      <errorID>0620a93b-384f-4765-a3c7-378196a424eb</errorID>
      <errorWord>,</errorWord>
      <group>L1_Format</group>
      <groupName>格式问题</groupName>
      <ability>L2_HalfPunc_CN</ability>
      <abilityName>全半角问题</abilityName>
      <candidateList>
        <item>，</item>
      </candidateList>
      <explain>文本全半角错误。</explain>
      <paraID>3BF6166A</paraID>
      <start>36</start>
      <end>37</end>
      <status>unmodified</status>
      <modifiedWord/>
      <trackRevisions>false</trackRevisions>
    </reviewItem>
    <reviewItem>
      <errorID>fc89b478-0e11-4c7b-80f6-302d24aff7ff</errorID>
      <errorWord>《</errorWord>
      <group>L1_Punc</group>
      <groupName>标点问题</groupName>
      <ability>L2_Punc_CN</ability>
      <abilityName>标点符号问题</abilityName>
      <candidateList/>
      <explain>同一形式括号套用。</explain>
      <paraID>3BF6166A</paraID>
      <start>71</start>
      <end>72</end>
      <status>unmodified</status>
      <modifiedWord/>
      <trackRevisions>false</trackRevisions>
    </reviewItem>
    <reviewItem>
      <errorID>4879aa0c-8b03-44fd-937f-a8c19eba7f32</errorID>
      <errorWord>》</errorWord>
      <group>L1_Punc</group>
      <groupName>标点问题</groupName>
      <ability>L2_Punc_CN</ability>
      <abilityName>标点符号问题</abilityName>
      <candidateList/>
      <explain>同一形式括号套用。</explain>
      <paraID>3BF6166A</paraID>
      <start>88</start>
      <end>89</end>
      <status>unmodified</status>
      <modifiedWord/>
      <trackRevisions>false</trackRevisions>
    </reviewItem>
    <reviewItem>
      <errorID>30980c64-38b7-48f5-b123-a44f1287dc45</errorID>
      <errorWord>[2011]300号</errorWord>
      <group>L1_Knowledge</group>
      <groupName>知识性问题</groupName>
      <ability>L2_Knowledge</ability>
      <abilityName>其他知识</abilityName>
      <candidateList>
        <item>〔2011〕300号</item>
      </candidateList>
      <explain>发文字号格式错误。</explain>
      <paraID>3BF6166A</paraID>
      <start>161</start>
      <end>171</end>
      <status>unmodified</status>
      <modifiedWord/>
      <trackRevisions>false</trackRevisions>
    </reviewItem>
    <reviewItem>
      <errorID>f041ab35-1541-40c2-8d0a-6bc5a642493c</errorID>
      <errorWord>[2011]300号</errorWord>
      <group>L1_Knowledge</group>
      <groupName>知识性问题</groupName>
      <ability>L2_Knowledge</ability>
      <abilityName>其他知识</abilityName>
      <candidateList>
        <item>〔2011〕300号</item>
      </candidateList>
      <explain>发文字号格式错误。</explain>
      <paraID>3BF6166A</paraID>
      <start>259</start>
      <end>269</end>
      <status>unmodified</status>
      <modifiedWord/>
      <trackRevisions>false</trackRevisions>
    </reviewItem>
    <reviewItem>
      <errorID>e4dbfd8f-f104-4f31-b08d-be9e13f1892a</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3BF6166A</paraID>
      <start>270</start>
      <end>271</end>
      <status>unmodified</status>
      <modifiedWord/>
      <trackRevisions>false</trackRevisions>
    </reviewItem>
    <reviewItem>
      <errorID>e1df036a-fa75-4917-98ed-c3b75834e2a1</errorID>
      <errorWord>：</errorWord>
      <group>L1_Format</group>
      <groupName>格式问题</groupName>
      <ability>L2_HalfPunc_CN</ability>
      <abilityName>全半角问题</abilityName>
      <candidateList>
        <item>:</item>
      </candidateList>
      <explain>文本全半角错误。</explain>
      <paraID>6F2FB4F6</paraID>
      <start>12</start>
      <end>13</end>
      <status>unmodified</status>
      <modifiedWord/>
      <trackRevisions>false</trackRevisions>
    </reviewItem>
    <reviewItem>
      <errorID>54d6af87-ca76-43d5-8173-31332facb787</errorID>
      <errorWord>：</errorWord>
      <group>L1_Format</group>
      <groupName>格式问题</groupName>
      <ability>L2_HalfPunc_CN</ability>
      <abilityName>全半角问题</abilityName>
      <candidateList>
        <item>:</item>
      </candidateList>
      <explain>文本全半角错误。</explain>
      <paraID>6F2FB4F6</paraID>
      <start>25</start>
      <end>26</end>
      <status>unmodified</status>
      <modifiedWord/>
      <trackRevisions>false</trackRevisions>
    </reviewItem>
    <reviewItem>
      <errorID>03b8a38a-8169-4f35-9ef0-270eaf3a2477</errorID>
      <errorWord>-</errorWord>
      <group>L1_Format</group>
      <groupName>格式问题</groupName>
      <ability>L2_HalfPunc_CN</ability>
      <abilityName>全半角问题</abilityName>
      <candidateList>
        <item>－</item>
      </candidateList>
      <explain>文本全半角错误。</explain>
      <paraID>1BD8D817</paraID>
      <start>47</start>
      <end>48</end>
      <status>unmodified</status>
      <modifiedWord/>
      <trackRevisions>false</trackRevisions>
    </reviewItem>
    <reviewItem>
      <errorID>afaab0f0-3f21-49c2-bbe6-2001f5d0ecef</errorID>
      <errorWord>-</errorWord>
      <group>L1_Format</group>
      <groupName>格式问题</groupName>
      <ability>L2_HalfPunc_CN</ability>
      <abilityName>全半角问题</abilityName>
      <candidateList>
        <item>－</item>
      </candidateList>
      <explain>文本全半角错误。</explain>
      <paraID>1BD8D817</paraID>
      <start>52</start>
      <end>53</end>
      <status>unmodified</status>
      <modifiedWord/>
      <trackRevisions>false</trackRevisions>
    </reviewItem>
    <reviewItem>
      <errorID>ddc5176a-b813-4023-b7b2-697c55f6f289</errorID>
      <errorWord>-</errorWord>
      <group>L1_Format</group>
      <groupName>格式问题</groupName>
      <ability>L2_HalfPunc_CN</ability>
      <abilityName>全半角问题</abilityName>
      <candidateList>
        <item>－</item>
      </candidateList>
      <explain>文本全半角错误。</explain>
      <paraID>1BD8D817</paraID>
      <start>60</start>
      <end>61</end>
      <status>unmodified</status>
      <modifiedWord/>
      <trackRevisions>false</trackRevisions>
    </reviewItem>
    <reviewItem>
      <errorID>0d7f28b5-622b-4dc8-9c25-e893cab6314f</errorID>
      <errorWord>-</errorWord>
      <group>L1_Format</group>
      <groupName>格式问题</groupName>
      <ability>L2_HalfPunc_CN</ability>
      <abilityName>全半角问题</abilityName>
      <candidateList>
        <item>－</item>
      </candidateList>
      <explain>文本全半角错误。</explain>
      <paraID>1BD8D817</paraID>
      <start>66</start>
      <end>67</end>
      <status>unmodified</status>
      <modifiedWord/>
      <trackRevisions>false</trackRevisions>
    </reviewItem>
    <reviewItem>
      <errorID>fbf1691b-421d-40f3-bc75-8a89952b77c8</errorID>
      <errorWord>应要</errorWord>
      <group>L1_Word</group>
      <groupName>字词问题</groupName>
      <ability>L2_Typo</ability>
      <abilityName>字词错误</abilityName>
      <candidateList>
        <item>应</item>
      </candidateList>
      <explain/>
      <paraID>13234E66</paraID>
      <start>48</start>
      <end>50</end>
      <status>unmodified</status>
      <modifiedWord/>
      <trackRevisions>false</trackRevisions>
    </reviewItem>
    <reviewItem>
      <errorID>d03863f9-e4c9-4189-af4a-7aeb8f8659b4</errorID>
      <errorWord>操作合</errorWord>
      <group>L1_Word</group>
      <groupName>字词问题</groupName>
      <ability>L2_Typo</ability>
      <abilityName>字词错误</abilityName>
      <candidateList>
        <item>操作台</item>
      </candidateList>
      <explain/>
      <paraID>4DD9F71C</paraID>
      <start>8</start>
      <end>11</end>
      <status>unmodified</status>
      <modifiedWord/>
      <trackRevisions>false</trackRevisions>
    </reviewItem>
    <reviewItem>
      <errorID>117a1e31-7274-448a-8710-683789e31b6f</errorID>
      <errorWord>，</errorWord>
      <group>L1_Word</group>
      <groupName>字词问题</groupName>
      <ability>L2_Typo</ability>
      <abilityName>字词错误</abilityName>
      <candidateList>
        <item>，在</item>
      </candidateList>
      <explain/>
      <paraID>4050E3A8</paraID>
      <start>35</start>
      <end>36</end>
      <status>unmodified</status>
      <modifiedWord/>
      <trackRevisions>false</trackRevisions>
    </reviewItem>
    <reviewItem>
      <errorID>2ca847bf-d64d-459b-9982-2b579867c8ae</errorID>
      <errorWord>间</errorWord>
      <group>L1_Word</group>
      <groupName>字词问题</groupName>
      <ability>L2_Typo</ability>
      <abilityName>字词错误</abilityName>
      <candidateList>
        <item>间之</item>
      </candidateList>
      <explain/>
      <paraID>4050E3A8</paraID>
      <start>104</start>
      <end>105</end>
      <status>unmodified</status>
      <modifiedWord/>
      <trackRevisions>false</trackRevisions>
    </reviewItem>
    <reviewItem>
      <errorID>c3f66f5f-d177-436d-822f-c1def52e8d54</errorID>
      <errorWord>须要</errorWord>
      <group>L1_Word</group>
      <groupName>字词问题</groupName>
      <ability>L2_Typo</ability>
      <abilityName>字词错误</abilityName>
      <candidateList>
        <item>需要</item>
      </candidateList>
      <explain>存在发音相同字词的误用。</explain>
      <paraID>46475D40</paraID>
      <start>20</start>
      <end>22</end>
      <status>unmodified</status>
      <modifiedWord/>
      <trackRevisions>false</trackRevisions>
    </reviewItem>
    <reviewItem>
      <errorID>db9692e2-b609-4489-a222-d1684bb71b5e</errorID>
      <errorWord>具备有</errorWord>
      <group>L1_Word</group>
      <groupName>字词问题</groupName>
      <ability>L2_Typo</ability>
      <abilityName>字词错误</abilityName>
      <candidateList>
        <item>具备</item>
      </candidateList>
      <explain/>
      <paraID>46FFE64B</paraID>
      <start>6</start>
      <end>9</end>
      <status>unmodified</status>
      <modifiedWord/>
      <trackRevisions>false</trackRevisions>
    </reviewItem>
    <reviewItem>
      <errorID>96704569-17fa-47c3-990a-68bf45e3eec4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71162B24</paraID>
      <start>0</start>
      <end>2</end>
      <status>unmodified</status>
      <modifiedWord/>
      <trackRevisions>false</trackRevisions>
    </reviewItem>
    <reviewItem>
      <errorID>8dec603f-6fd6-4658-9a8e-322f465dca57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253B358F</paraID>
      <start>0</start>
      <end>2</end>
      <status>unmodified</status>
      <modifiedWord/>
      <trackRevisions>false</trackRevisions>
    </reviewItem>
    <reviewItem>
      <errorID>f94664d6-d02e-45b6-a9f8-efd40d9b7514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16804B76</paraID>
      <start>0</start>
      <end>2</end>
      <status>unmodified</status>
      <modifiedWord/>
      <trackRevisions>false</trackRevisions>
    </reviewItem>
    <reviewItem>
      <errorID>bd854f31-fbd3-4662-a2d5-85386be6fad5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79C8D9AD</paraID>
      <start>0</start>
      <end>2</end>
      <status>unmodified</status>
      <modifiedWord/>
      <trackRevisions>false</trackRevisions>
    </reviewItem>
    <reviewItem>
      <errorID>7ad7ed04-a710-4db3-8e85-5cb37094b18e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39988791</paraID>
      <start>0</start>
      <end>2</end>
      <status>unmodified</status>
      <modifiedWord/>
      <trackRevisions>false</trackRevisions>
    </reviewItem>
    <reviewItem>
      <errorID>ac7622f5-edfe-4adf-beb2-3383d572855f</errorID>
      <errorWord>应要</errorWord>
      <group>L1_Word</group>
      <groupName>字词问题</groupName>
      <ability>L2_Typo</ability>
      <abilityName>字词错误</abilityName>
      <candidateList>
        <item>应</item>
      </candidateList>
      <explain/>
      <paraID>5AB6E58D</paraID>
      <start>48</start>
      <end>50</end>
      <status>unmodified</status>
      <modifiedWord/>
      <trackRevisions>false</trackRevisions>
    </reviewItem>
    <reviewItem>
      <errorID>4bf66e59-0050-4b7c-9030-742dd980a107</errorID>
      <errorWord>操作合</errorWord>
      <group>L1_Word</group>
      <groupName>字词问题</groupName>
      <ability>L2_Typo</ability>
      <abilityName>字词错误</abilityName>
      <candidateList>
        <item>操作台</item>
      </candidateList>
      <explain/>
      <paraID>444AF16D</paraID>
      <start>8</start>
      <end>11</end>
      <status>unmodified</status>
      <modifiedWord/>
      <trackRevisions>false</trackRevisions>
    </reviewItem>
    <reviewItem>
      <errorID>7570d68e-b2d8-4304-995a-e0e775d001c6</errorID>
      <errorWord>，</errorWord>
      <group>L1_Word</group>
      <groupName>字词问题</groupName>
      <ability>L2_Typo</ability>
      <abilityName>字词错误</abilityName>
      <candidateList>
        <item>，在</item>
      </candidateList>
      <explain/>
      <paraID>2CA4FB02</paraID>
      <start>35</start>
      <end>36</end>
      <status>unmodified</status>
      <modifiedWord/>
      <trackRevisions>false</trackRevisions>
    </reviewItem>
    <reviewItem>
      <errorID>a2ff3926-5501-4999-a42a-8c1ecc1fe138</errorID>
      <errorWord>间</errorWord>
      <group>L1_Word</group>
      <groupName>字词问题</groupName>
      <ability>L2_Typo</ability>
      <abilityName>字词错误</abilityName>
      <candidateList>
        <item>间之</item>
      </candidateList>
      <explain/>
      <paraID>2CA4FB02</paraID>
      <start>104</start>
      <end>105</end>
      <status>unmodified</status>
      <modifiedWord/>
      <trackRevisions>false</trackRevisions>
    </reviewItem>
    <reviewItem>
      <errorID>f8ddb003-fa4e-4378-9918-d5466bda2c27</errorID>
      <errorWord>须要</errorWord>
      <group>L1_Word</group>
      <groupName>字词问题</groupName>
      <ability>L2_Typo</ability>
      <abilityName>字词错误</abilityName>
      <candidateList>
        <item>需要</item>
      </candidateList>
      <explain>存在发音相同字词的误用。</explain>
      <paraID> 8950322</paraID>
      <start>22</start>
      <end>24</end>
      <status>unmodified</status>
      <modifiedWord/>
      <trackRevisions>false</trackRevisions>
    </reviewItem>
    <reviewItem>
      <errorID>98297829-097b-4938-8153-49b5695f992c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16387460</paraID>
      <start>0</start>
      <end>2</end>
      <status>unmodified</status>
      <modifiedWord/>
      <trackRevisions>false</trackRevisions>
    </reviewItem>
    <reviewItem>
      <errorID>6aac0301-ee8c-4275-a887-a9e670869977</errorID>
      <errorWord>具备有</errorWord>
      <group>L1_Word</group>
      <groupName>字词问题</groupName>
      <ability>L2_Typo</ability>
      <abilityName>字词错误</abilityName>
      <candidateList>
        <item>具备</item>
      </candidateList>
      <explain/>
      <paraID>16387460</paraID>
      <start>8</start>
      <end>11</end>
      <status>unmodified</status>
      <modifiedWord/>
      <trackRevisions>false</trackRevisions>
    </reviewItem>
    <reviewItem>
      <errorID>1d384f9d-7c7d-4823-80ed-543daf49ca6d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7DFAD115</paraID>
      <start>0</start>
      <end>2</end>
      <status>unmodified</status>
      <modifiedWord/>
      <trackRevisions>false</trackRevisions>
    </reviewItem>
    <reviewItem>
      <errorID>001dba6b-2fe7-41a9-85ad-ac3232ce43fa</errorID>
      <errorWord>必须严格按</errorWord>
      <group>L1_Word</group>
      <groupName>字词问题</groupName>
      <ability>L2_Typo</ability>
      <abilityName>字词错误</abilityName>
      <candidateList>
        <item>必须严格按照</item>
      </candidateList>
      <explain/>
      <paraID>7DFAD115</paraID>
      <start>10</start>
      <end>15</end>
      <status>unmodified</status>
      <modifiedWord/>
      <trackRevisions>false</trackRevisions>
    </reviewItem>
    <reviewItem>
      <errorID>404249be-85df-4093-a310-f02d025ae282</errorID>
      <errorWord>保证农民工工资支付</errorWord>
      <group>L1_Political</group>
      <groupName>政治性问题</groupName>
      <ability>L2_Keyword</ability>
      <abilityName>固定表述</abilityName>
      <candidateList>
        <item>保障农民工工资支付</item>
      </candidateList>
      <explain>词汇“保障农民工工资支付”在特定场景下为固定表述形式，请确认此处的“保证农民工工资支付”是否存在不当。</explain>
      <paraID>7DFAD115</paraID>
      <start>35</start>
      <end>44</end>
      <status>unmodified</status>
      <modifiedWord/>
      <trackRevisions>false</trackRevisions>
    </reviewItem>
    <reviewItem>
      <errorID>011f8320-1b63-43d1-a1a2-bff3092a77b6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3ACADE20</paraID>
      <start>0</start>
      <end>2</end>
      <status>unmodified</status>
      <modifiedWord/>
      <trackRevisions>false</trackRevisions>
    </reviewItem>
    <reviewItem>
      <errorID>cf9f5094-728f-4321-8f34-4fa8c78c5945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35326402</paraID>
      <start>0</start>
      <end>2</end>
      <status>unmodified</status>
      <modifiedWord/>
      <trackRevisions>false</trackRevisions>
    </reviewItem>
    <reviewItem>
      <errorID>93da5dce-bd5b-4ebc-9099-dcc6786a430d</errorID>
      <errorWord>法律、法规</errorWord>
      <group>L1_Word</group>
      <groupName>字词问题</groupName>
      <ability>L2_Typo</ability>
      <abilityName>字词错误</abilityName>
      <candidateList>
        <item>法律法规</item>
      </candidateList>
      <explain/>
      <paraID>39EE733E</paraID>
      <start>22</start>
      <end>27</end>
      <status>unmodified</status>
      <modifiedWord/>
      <trackRevisions>false</trackRevisions>
    </reviewItem>
    <reviewItem>
      <errorID>ce9ce994-9466-404d-97c0-8c5391834e80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566613D</paraID>
      <start>0</start>
      <end>2</end>
      <status>unmodified</status>
      <modifiedWord/>
      <trackRevisions>false</trackRevisions>
    </reviewItem>
    <reviewItem>
      <errorID>3c50b2d8-7c2c-4d21-b302-c89df6e62f58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61365545</paraID>
      <start>0</start>
      <end>2</end>
      <status>unmodified</status>
      <modifiedWord/>
      <trackRevisions>false</trackRevisions>
    </reviewItem>
    <reviewItem>
      <errorID>82191775-4be4-4dd3-afff-e94b18edaa74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49C650A6</paraID>
      <start>0</start>
      <end>2</end>
      <status>unmodified</status>
      <modifiedWord/>
      <trackRevisions>false</trackRevisions>
    </reviewItem>
    <reviewItem>
      <errorID>4f401398-84f5-41b9-ae2a-ae768a8c96f1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37455DBB</paraID>
      <start>0</start>
      <end>2</end>
      <status>unmodified</status>
      <modifiedWord/>
      <trackRevisions>false</trackRevisions>
    </reviewItem>
    <reviewItem>
      <errorID>6a93ea9c-c0f6-4620-aa89-4602073d4471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68B1635C</paraID>
      <start>0</start>
      <end>2</end>
      <status>unmodified</status>
      <modifiedWord/>
      <trackRevisions>false</trackRevisions>
    </reviewItem>
    <reviewItem>
      <errorID>994d80b6-b5fe-4c63-b881-9f6d7db83649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586F7A2C</paraID>
      <start>0</start>
      <end>2</end>
      <status>unmodified</status>
      <modifiedWord/>
      <trackRevisions>false</trackRevisions>
    </reviewItem>
    <reviewItem>
      <errorID>fcc6650a-b36d-4355-9871-69d31d481d3f</errorID>
      <errorWord>平台中</errorWord>
      <group>L1_Word</group>
      <groupName>字词问题</groupName>
      <ability>L2_Typo</ability>
      <abilityName>字词错误</abilityName>
      <candidateList>
        <item>平台</item>
      </candidateList>
      <explain>〈名〉❶晒台。❷生产和施工过程中，为操作方便而设置的工作台，有的能移动和升降。❸指计算机硬件或软件的操作环境。❹泛指进行某项工作所需要的环境或条件：科技推广站为农民学习科学知识、获取市场信息提供了～。</explain>
      <paraID>7BD3D9E1</paraID>
      <start>28</start>
      <end>31</end>
      <status>unmodified</status>
      <modifiedWord/>
      <trackRevisions>false</trackRevisions>
    </reviewItem>
    <reviewItem>
      <errorID>e164f6f9-6c4f-4c34-8635-6b08893e3ef7</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1CC89069</paraID>
      <start>58</start>
      <end>61</end>
      <status>unmodified</status>
      <modifiedWord/>
      <trackRevisions>false</trackRevisions>
    </reviewItem>
    <reviewItem>
      <errorID>5617bd81-0aed-4be7-a99f-2b3e3f5dc590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7CD43559</paraID>
      <start>0</start>
      <end>2</end>
      <status>unmodified</status>
      <modifiedWord/>
      <trackRevisions>false</trackRevisions>
    </reviewItem>
    <reviewItem>
      <errorID>41f1745a-5e33-487c-bc61-5277e53fc73f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BF33031</paraID>
      <start>0</start>
      <end>2</end>
      <status>unmodified</status>
      <modifiedWord/>
      <trackRevisions>false</trackRevisions>
    </reviewItem>
    <reviewItem>
      <errorID>cb33416d-3c9c-4e85-a360-50826d9958b6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339E5685</paraID>
      <start>0</start>
      <end>3</end>
      <status>unmodified</status>
      <modifiedWord/>
      <trackRevisions>false</trackRevisions>
    </reviewItem>
    <reviewItem>
      <errorID>4ebcd795-d7ef-4c03-bfc4-900dfd473d0b</errorID>
      <errorWord>其它</errorWord>
      <group>L1_Word</group>
      <groupName>字词问题</groupName>
      <ability>L2_Alias</ability>
      <abilityName>也作/曾用词</abilityName>
      <candidateList>
        <item>其他</item>
      </candidateList>
      <explain>词汇[其它]为不规范表述或旧称，其规范书面表述为[其他]。</explain>
      <paraID>2A3BE46A</paraID>
      <start>187</start>
      <end>189</end>
      <status>unmodified</status>
      <modifiedWord/>
      <trackRevisions>false</trackRevisions>
    </reviewItem>
    <reviewItem>
      <errorID>0a505187-f0d9-4478-8a03-b35afcc60618</errorID>
      <errorWord>-</errorWord>
      <group>L1_Format</group>
      <groupName>格式问题</groupName>
      <ability>L2_HalfPunc_CN</ability>
      <abilityName>全半角问题</abilityName>
      <candidateList>
        <item>－</item>
      </candidateList>
      <explain>文本全半角错误。</explain>
      <paraID>1911FDA7</paraID>
      <start>80</start>
      <end>81</end>
      <status>unmodified</status>
      <modifiedWord/>
      <trackRevisions>false</trackRevisions>
    </reviewItem>
    <reviewItem>
      <errorID>a8d45fd0-25c3-4957-852b-430d3b05f258</errorID>
      <errorWord>&lt;</errorWord>
      <group>L1_Format</group>
      <groupName>格式问题</groupName>
      <ability>L2_HalfPunc_CN</ability>
      <abilityName>全半角问题</abilityName>
      <candidateList>
        <item>〈</item>
      </candidateList>
      <explain>文本全半角错误。</explain>
      <paraID>64FE8C88</paraID>
      <start>36</start>
      <end>37</end>
      <status>unmodified</status>
      <modifiedWord/>
      <trackRevisions>false</trackRevisions>
    </reviewItem>
    <reviewItem>
      <errorID>600ef4dd-b677-422e-835c-4a0cbe033cd5</errorID>
      <errorWord>&lt;</errorWord>
      <group>L1_Format</group>
      <groupName>格式问题</groupName>
      <ability>L2_HalfPunc_CN</ability>
      <abilityName>全半角问题</abilityName>
      <candidateList>
        <item>〈</item>
      </candidateList>
      <explain>文本全半角错误。</explain>
      <paraID> DAF95E2</paraID>
      <start>36</start>
      <end>37</end>
      <status>unmodified</status>
      <modifiedWord/>
      <trackRevisions>false</trackRevisions>
    </reviewItem>
    <reviewItem>
      <errorID>50d9b94e-1c34-4fbc-81fb-990d7a9c806b</errorID>
      <errorWord>&lt;</errorWord>
      <group>L1_Format</group>
      <groupName>格式问题</groupName>
      <ability>L2_HalfPunc_CN</ability>
      <abilityName>全半角问题</abilityName>
      <candidateList>
        <item>〈</item>
      </candidateList>
      <explain>文本全半角错误。</explain>
      <paraID>5D3D1E6E</paraID>
      <start>25</start>
      <end>26</end>
      <status>unmodified</status>
      <modifiedWord/>
      <trackRevisions>false</trackRevisions>
    </reviewItem>
    <reviewItem>
      <errorID>c909937f-f5cb-4a42-8e8c-3e101ee4e3bf</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6A4CB36A</paraID>
      <start>0</start>
      <end>3</end>
      <status>unmodified</status>
      <modifiedWord/>
      <trackRevisions>false</trackRevisions>
    </reviewItem>
    <reviewItem>
      <errorID>3f2a5c3d-13fa-4089-b0b2-be255f940358</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22CA8DF5</paraID>
      <start>0</start>
      <end>3</end>
      <status>unmodified</status>
      <modifiedWord/>
      <trackRevisions>false</trackRevisions>
    </reviewItem>
    <reviewItem>
      <errorID>491970dc-b893-488f-9572-d76aa7878ebc</errorID>
      <errorWord>位</errorWord>
      <group>L1_Word</group>
      <groupName>字词问题</groupName>
      <ability>L2_Typo</ability>
      <abilityName>字词错误</abilityName>
      <candidateList>
        <item>位公</item>
      </candidateList>
      <explain/>
      <paraID>7FD66AB3</paraID>
      <start>41</start>
      <end>42</end>
      <status>unmodified</status>
      <modifiedWord/>
      <trackRevisions>false</trackRevisions>
    </reviewItem>
    <reviewItem>
      <errorID>61e6a0ad-8a97-4c39-8838-fea86d848352</errorID>
      <errorWord>在凡</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122B8DA5</paraID>
      <start>22</start>
      <end>24</end>
      <status>unmodified</status>
      <modifiedWord/>
      <trackRevisions>false</trackRevisions>
    </reviewItem>
    <reviewItem>
      <errorID>0c23cbf2-adbc-4d1c-8202-10015e7bb929</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438FF5F1</paraID>
      <start>0</start>
      <end>3</end>
      <status>unmodified</status>
      <modifiedWord/>
      <trackRevisions>false</trackRevisions>
    </reviewItem>
    <reviewItem>
      <errorID>9dd0e939-5ca2-40ec-8977-1a6f746e9f50</errorID>
      <errorWord>以前</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5FCFBCB3</paraID>
      <start>29</start>
      <end>31</end>
      <status>unmodified</status>
      <modifiedWord/>
      <trackRevisions>false</trackRevisions>
    </reviewItem>
    <reviewItem>
      <errorID>e9f4314f-b9d9-4997-bd2f-a89b90be3883</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6651349F</paraID>
      <start>0</start>
      <end>3</end>
      <status>unmodified</status>
      <modifiedWord/>
      <trackRevisions>false</trackRevisions>
    </reviewItem>
    <reviewItem>
      <errorID>fc1fc980-72da-4c39-87e2-f80caea4e98a</errorID>
      <errorWord>操作合</errorWord>
      <group>L1_Word</group>
      <groupName>字词问题</groupName>
      <ability>L2_Typo</ability>
      <abilityName>字词错误</abilityName>
      <candidateList>
        <item>操作台</item>
      </candidateList>
      <explain/>
      <paraID>67300959</paraID>
      <start>10</start>
      <end>13</end>
      <status>unmodified</status>
      <modifiedWord/>
      <trackRevisions>false</trackRevisions>
    </reviewItem>
    <reviewItem>
      <errorID>1b7a1935-a3cc-479b-ab06-3f230359dd00</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72D295ED</paraID>
      <start>0</start>
      <end>3</end>
      <status>unmodified</status>
      <modifiedWord/>
      <trackRevisions>false</trackRevisions>
    </reviewItem>
    <reviewItem>
      <errorID>a7522593-5a20-4ebf-bceb-3f7617928b47</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5D965862</paraID>
      <start>0</start>
      <end>3</end>
      <status>unmodified</status>
      <modifiedWord/>
      <trackRevisions>false</trackRevisions>
    </reviewItem>
    <reviewItem>
      <errorID>a4fa992d-a6e8-4bb5-8829-3b564049f4ac</errorID>
      <errorWord>间</errorWord>
      <group>L1_Word</group>
      <groupName>字词问题</groupName>
      <ability>L2_Typo</ability>
      <abilityName>字词错误</abilityName>
      <candidateList>
        <item>间内</item>
      </candidateList>
      <explain/>
      <paraID>1CB8974B</paraID>
      <start>24</start>
      <end>25</end>
      <status>unmodified</status>
      <modifiedWord/>
      <trackRevisions>false</trackRevisions>
    </reviewItem>
    <reviewItem>
      <errorID>c0e54090-bf3d-43b5-9d4c-42c0e3ba0316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575D1D20</paraID>
      <start>0</start>
      <end>3</end>
      <status>unmodified</status>
      <modifiedWord/>
      <trackRevisions>false</trackRevisions>
    </reviewItem>
    <reviewItem>
      <errorID>1f802c41-e809-42e7-901d-5911c8d40eae</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60CE50DE</paraID>
      <start>0</start>
      <end>3</end>
      <status>unmodified</status>
      <modifiedWord/>
      <trackRevisions>false</trackRevisions>
    </reviewItem>
    <reviewItem>
      <errorID>0db7201e-f0da-421d-8217-99c1566322dd</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7636A818</paraID>
      <start>0</start>
      <end>3</end>
      <status>unmodified</status>
      <modifiedWord/>
      <trackRevisions>false</trackRevisions>
    </reviewItem>
    <reviewItem>
      <errorID>94f10611-c5d3-464c-bcb0-d42dfce39198</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3370CD3C</paraID>
      <start>0</start>
      <end>3</end>
      <status>unmodified</status>
      <modifiedWord/>
      <trackRevisions>false</trackRevisions>
    </reviewItem>
    <reviewItem>
      <errorID>4f9f5d77-8e9d-4043-9739-c75a4747f0e2</errorID>
      <errorWord>,</errorWord>
      <group>L1_Format</group>
      <groupName>格式问题</groupName>
      <ability>L2_HalfPunc_CN</ability>
      <abilityName>全半角问题</abilityName>
      <candidateList>
        <item>，</item>
      </candidateList>
      <explain>文本全半角错误。</explain>
      <paraID>65B1F4B0</paraID>
      <start>43</start>
      <end>44</end>
      <status>unmodified</status>
      <modifiedWord/>
      <trackRevisions>false</trackRevisions>
    </reviewItem>
    <reviewItem>
      <errorID>81efa730-7459-4a9b-b1c4-b8469ec0adbc</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1A58989E</paraID>
      <start>0</start>
      <end>3</end>
      <status>unmodified</status>
      <modifiedWord/>
      <trackRevisions>false</trackRevisions>
    </reviewItem>
    <reviewItem>
      <errorID>e474e896-c430-4268-8a87-de290f2ed111</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51FB8FA8</paraID>
      <start>0</start>
      <end>3</end>
      <status>unmodified</status>
      <modifiedWord/>
      <trackRevisions>false</trackRevisions>
    </reviewItem>
    <reviewItem>
      <errorID>9d298b09-36eb-4466-a623-251c948ad294</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C452D8D</paraID>
      <start>0</start>
      <end>3</end>
      <status>unmodified</status>
      <modifiedWord/>
      <trackRevisions>false</trackRevisions>
    </reviewItem>
    <reviewItem>
      <errorID>6d50feab-2988-4be9-9c09-21e6c36b7d0c</errorID>
      <errorWord>做出</errorWord>
      <group>L1_Word</group>
      <groupName>字词问题</groupName>
      <ability>L2_Typo</ability>
      <abilityName>字词错误</abilityName>
      <candidateList>
        <item>作出</item>
      </candidateList>
      <explain/>
      <paraID>4C1C2256</paraID>
      <start>35</start>
      <end>37</end>
      <status>unmodified</status>
      <modifiedWord/>
      <trackRevisions>false</trackRevisions>
    </reviewItem>
    <reviewItem>
      <errorID>6d19e359-e397-41d0-b002-3023d1d2bf0a</errorID>
      <errorWord>做出</errorWord>
      <group>L1_Word</group>
      <groupName>字词问题</groupName>
      <ability>L2_Typo</ability>
      <abilityName>字词错误</abilityName>
      <candidateList>
        <item>作出</item>
      </candidateList>
      <explain/>
      <paraID>4B944236</paraID>
      <start>62</start>
      <end>64</end>
      <status>unmodified</status>
      <modifiedWord/>
      <trackRevisions>false</trackRevisions>
    </reviewItem>
    <reviewItem>
      <errorID>01fc71b8-f9fb-4749-bffc-e955819f5016</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2356B499</paraID>
      <start>0</start>
      <end>3</end>
      <status>unmodified</status>
      <modifiedWord/>
      <trackRevisions>false</trackRevisions>
    </reviewItem>
    <reviewItem>
      <errorID>690ae552-1a3b-44ff-b0e6-aea106eadd84</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53259180</paraID>
      <start>0</start>
      <end>3</end>
      <status>unmodified</status>
      <modifiedWord/>
      <trackRevisions>false</trackRevisions>
    </reviewItem>
    <reviewItem>
      <errorID>df630781-0df2-46ed-8bfa-7e385fef5931</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2FF30FE3</paraID>
      <start>0</start>
      <end>3</end>
      <status>unmodified</status>
      <modifiedWord/>
      <trackRevisions>false</trackRevisions>
    </reviewItem>
    <reviewItem>
      <errorID>db047e56-ae78-4426-96e6-20eca40f2130</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5EF58E17</paraID>
      <start>0</start>
      <end>3</end>
      <status>unmodified</status>
      <modifiedWord/>
      <trackRevisions>false</trackRevisions>
    </reviewItem>
    <reviewItem>
      <errorID>1c346ab9-19c6-45ee-9adf-0fb02b2bcaaf</errorID>
      <errorWord>前</errorWord>
      <group>L1_Word</group>
      <groupName>字词问题</groupName>
      <ability>L2_Typo</ability>
      <abilityName>字词错误</abilityName>
      <candidateList>
        <item>见</item>
      </candidateList>
      <explain/>
      <paraID> 7724DB6</paraID>
      <start>4</start>
      <end>5</end>
      <status>unmodified</status>
      <modifiedWord/>
      <trackRevisions>false</trackRevisions>
    </reviewItem>
    <reviewItem>
      <errorID>29781ab9-419e-41cf-9b2e-1c5b1c55d387</errorID>
      <errorWord>、</errorWord>
      <group>L1_Word</group>
      <groupName>字词问题</groupName>
      <ability>L2_Typo</ability>
      <abilityName>字词错误</abilityName>
      <candidateList>
        <item>、加</item>
      </candidateList>
      <explain/>
      <paraID>55B35565</paraID>
      <start>5</start>
      <end>6</end>
      <status>unmodified</status>
      <modifiedWord/>
      <trackRevisions>false</trackRevisions>
    </reviewItem>
    <reviewItem>
      <errorID>ecf1f4c3-e96e-45df-ad70-802d53728c06</errorID>
      <errorWord>并</errorWord>
      <group>L1_Word</group>
      <groupName>字词问题</groupName>
      <ability>L2_Typo</ability>
      <abilityName>字词错误</abilityName>
      <candidateList>
        <item>并加</item>
      </candidateList>
      <explain/>
      <paraID>147335BE</paraID>
      <start>15</start>
      <end>16</end>
      <status>unmodified</status>
      <modifiedWord/>
      <trackRevisions>false</trackRevisions>
    </reviewItem>
    <reviewItem>
      <errorID>e90d123d-50de-480a-8e8a-c36337cc23d3</errorID>
      <errorWord>法律、法规</errorWord>
      <group>L1_Word</group>
      <groupName>字词问题</groupName>
      <ability>L2_Typo</ability>
      <abilityName>字词错误</abilityName>
      <candidateList>
        <item>法律法规</item>
      </candidateList>
      <explain/>
      <paraID>422D209A</paraID>
      <start>2</start>
      <end>7</end>
      <status>unmodified</status>
      <modifiedWord/>
      <trackRevisions>false</trackRevisions>
    </reviewItem>
    <reviewItem>
      <errorID>05bb8386-f321-474a-9d07-af0abdac9250</errorID>
      <errorWord>）</errorWord>
      <group>L1_Format</group>
      <groupName>格式问题</groupName>
      <ability>L2_HalfPunc_CN</ability>
      <abilityName>全半角问题</abilityName>
      <candidateList>
        <item>)</item>
      </candidateList>
      <explain>文本全半角错误。</explain>
      <paraID> C7C5010</paraID>
      <start>1</start>
      <end>2</end>
      <status>unmodified</status>
      <modifiedWord/>
      <trackRevisions>false</trackRevisions>
    </reviewItem>
    <reviewItem>
      <errorID>d0d1ed81-f9e2-4e71-8f11-272af7079d6e</errorID>
      <errorWord>）</errorWord>
      <group>L1_Format</group>
      <groupName>格式问题</groupName>
      <ability>L2_HalfPunc_CN</ability>
      <abilityName>全半角问题</abilityName>
      <candidateList>
        <item>)</item>
      </candidateList>
      <explain>文本全半角错误。</explain>
      <paraID>1153C541</paraID>
      <start>1</start>
      <end>2</end>
      <status>unmodified</status>
      <modifiedWord/>
      <trackRevisions>false</trackRevisions>
    </reviewItem>
    <reviewItem>
      <errorID>ab8070d3-3572-4e0d-9396-aff82dd52368</errorID>
      <errorWord>）</errorWord>
      <group>L1_Format</group>
      <groupName>格式问题</groupName>
      <ability>L2_HalfPunc_CN</ability>
      <abilityName>全半角问题</abilityName>
      <candidateList>
        <item>)</item>
      </candidateList>
      <explain>文本全半角错误。</explain>
      <paraID>1CA79D9E</paraID>
      <start>1</start>
      <end>2</end>
      <status>unmodified</status>
      <modifiedWord/>
      <trackRevisions>false</trackRevisions>
    </reviewItem>
    <reviewItem>
      <errorID>0d56c81a-2f93-43fc-87d3-fa9210b874dc</errorID>
      <errorWord>１</errorWord>
      <group>L1_Format</group>
      <groupName>格式问题</groupName>
      <ability>L2_HalfPunc_CN</ability>
      <abilityName>全半角问题</abilityName>
      <candidateList>
        <item>1</item>
      </candidateList>
      <explain>文本全半角错误。</explain>
      <paraID>13642E08</paraID>
      <start>6</start>
      <end>7</end>
      <status>unmodified</status>
      <modifiedWord/>
      <trackRevisions>false</trackRevisions>
    </reviewItem>
    <reviewItem>
      <errorID>8b8b8f64-a0ca-4ed8-b31f-50b59b61b723</errorID>
      <errorWord>）</errorWord>
      <group>L1_Format</group>
      <groupName>格式问题</groupName>
      <ability>L2_HalfPunc_CN</ability>
      <abilityName>全半角问题</abilityName>
      <candidateList>
        <item>)</item>
      </candidateList>
      <explain>文本全半角错误。</explain>
      <paraID>2BBFB077</paraID>
      <start>1</start>
      <end>2</end>
      <status>unmodified</status>
      <modifiedWord/>
      <trackRevisions>false</trackRevisions>
    </reviewItem>
    <reviewItem>
      <errorID>40a12f2b-ca7b-4b72-b4a0-ca6edbf56fb0</errorID>
      <errorWord>好</errorWord>
      <group>L1_Word</group>
      <groupName>字词问题</groupName>
      <ability>L2_Typo</ability>
      <abilityName>字词错误</abilityName>
      <candidateList>
        <item>好地</item>
      </candidateList>
      <explain/>
      <paraID>388BC0A1</paraID>
      <start>27</start>
      <end>28</end>
      <status>unmodified</status>
      <modifiedWord/>
      <trackRevisions>false</trackRevisions>
    </reviewItem>
    <reviewItem>
      <errorID>931348bd-4be0-4bd1-93cc-edb0bab828e9</errorID>
      <errorWord>）</errorWord>
      <group>L1_Format</group>
      <groupName>格式问题</groupName>
      <ability>L2_HalfPunc_CN</ability>
      <abilityName>全半角问题</abilityName>
      <candidateList>
        <item>)</item>
      </candidateList>
      <explain>文本全半角错误。</explain>
      <paraID>2654BC72</paraID>
      <start>1</start>
      <end>2</end>
      <status>unmodified</status>
      <modifiedWord/>
      <trackRevisions>false</trackRevisions>
    </reviewItem>
    <reviewItem>
      <errorID>1bf25a9f-eaae-43aa-9681-4cc54a3caaed</errorID>
      <errorWord>）</errorWord>
      <group>L1_Format</group>
      <groupName>格式问题</groupName>
      <ability>L2_HalfPunc_CN</ability>
      <abilityName>全半角问题</abilityName>
      <candidateList>
        <item>)</item>
      </candidateList>
      <explain>文本全半角错误。</explain>
      <paraID>5C52875E</paraID>
      <start>1</start>
      <end>2</end>
      <status>unmodified</status>
      <modifiedWord/>
      <trackRevisions>false</trackRevisions>
    </reviewItem>
    <reviewItem>
      <errorID>45b6654f-9550-4a41-b9f4-cdb9580fe98c</errorID>
      <errorWord>好</errorWord>
      <group>L1_Word</group>
      <groupName>字词问题</groupName>
      <ability>L2_Typo</ability>
      <abilityName>字词错误</abilityName>
      <candidateList>
        <item>好地</item>
      </candidateList>
      <explain/>
      <paraID> 4126EB1</paraID>
      <start>27</start>
      <end>28</end>
      <status>unmodified</status>
      <modifiedWord/>
      <trackRevisions>false</trackRevisions>
    </reviewItem>
    <reviewItem>
      <errorID>a867ec1a-6fa1-413e-917d-725ba22976e9</errorID>
      <errorWord>）</errorWord>
      <group>L1_Format</group>
      <groupName>格式问题</groupName>
      <ability>L2_HalfPunc_CN</ability>
      <abilityName>全半角问题</abilityName>
      <candidateList>
        <item>)</item>
      </candidateList>
      <explain>文本全半角错误。</explain>
      <paraID>21DF2C74</paraID>
      <start>1</start>
      <end>2</end>
      <status>unmodified</status>
      <modifiedWord/>
      <trackRevisions>false</trackRevisions>
    </reviewItem>
    <reviewItem>
      <errorID>a06dc1ad-f450-435e-b46c-04760a95e28c</errorID>
      <errorWord>）</errorWord>
      <group>L1_Format</group>
      <groupName>格式问题</groupName>
      <ability>L2_HalfPunc_CN</ability>
      <abilityName>全半角问题</abilityName>
      <candidateList>
        <item>)</item>
      </candidateList>
      <explain>文本全半角错误。</explain>
      <paraID>54A1FFB6</paraID>
      <start>1</start>
      <end>2</end>
      <status>unmodified</status>
      <modifiedWord/>
      <trackRevisions>false</trackRevisions>
    </reviewItem>
    <reviewItem>
      <errorID>1488cad9-59fd-48a2-b45b-bd0e62682a9b</errorID>
      <errorWord>原则做出结论</errorWord>
      <group>L1_Word</group>
      <groupName>字词问题</groupName>
      <ability>L2_Typo</ability>
      <abilityName>字词错误</abilityName>
      <candidateList>
        <item>原则作出结论</item>
      </candidateList>
      <explain/>
      <paraID>376951CF</paraID>
      <start>61</start>
      <end>67</end>
      <status>unmodified</status>
      <modifiedWord/>
      <trackRevisions>false</trackRevisions>
    </reviewItem>
    <reviewItem>
      <errorID>52a7a90c-5576-496f-b3c5-98c34de37891</errorID>
      <errorWord>有助于对</errorWord>
      <group>L1_Grammar</group>
      <groupName>语法问题</groupName>
      <ability>L2_Grammar</ability>
      <abilityName>语法错误</abilityName>
      <candidateList>
        <item>有助于</item>
      </candidateList>
      <explain>该表达中的“有助于对”存在语义重复。【词汇解析】有助于：对做某事有帮助的意思。包含了“对”的意思。</explain>
      <paraID>7DCE0F93</paraID>
      <start>4</start>
      <end>8</end>
      <status>unmodified</status>
      <modifiedWord/>
      <trackRevisions>false</trackRevisions>
    </reviewItem>
    <reviewItem>
      <errorID>5dc664b2-28ab-4bce-8309-40962897bc76</errorID>
      <errorWord>均</errorWord>
      <group>L1_Word</group>
      <groupName>字词问题</groupName>
      <ability>L2_Typo</ability>
      <abilityName>字词错误</abilityName>
      <candidateList>
        <item>均在</item>
      </candidateList>
      <explain/>
      <paraID>7DCE0F93</paraID>
      <start>54</start>
      <end>55</end>
      <status>unmodified</status>
      <modifiedWord/>
      <trackRevisions>false</trackRevisions>
    </reviewItem>
    <reviewItem>
      <errorID>b10be335-50ab-49ee-a396-b51e1669c333</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2A4150C1</paraID>
      <start>19</start>
      <end>21</end>
      <status>unmodified</status>
      <modifiedWord/>
      <trackRevisions>false</trackRevisions>
    </reviewItem>
    <reviewItem>
      <errorID>3793ade1-ff02-4ed0-b58d-931968e06eb1</errorID>
      <errorWord>原则做出结论</errorWord>
      <group>L1_Word</group>
      <groupName>字词问题</groupName>
      <ability>L2_Typo</ability>
      <abilityName>字词错误</abilityName>
      <candidateList>
        <item>原则作出结论</item>
      </candidateList>
      <explain/>
      <paraID>42B0F316</paraID>
      <start>61</start>
      <end>67</end>
      <status>unmodified</status>
      <modifiedWord/>
      <trackRevisions>false</trackRevisions>
    </reviewItem>
    <reviewItem>
      <errorID>02811a9a-cd20-455c-9e3b-afed68a52ad2</errorID>
      <errorWord>其它</errorWord>
      <group>L1_Word</group>
      <groupName>字词问题</groupName>
      <ability>L2_Alias</ability>
      <abilityName>也作/曾用词</abilityName>
      <candidateList>
        <item>其他</item>
      </candidateList>
      <explain>词汇[其它]为不规范表述或旧称，其规范书面表述为[其他]。</explain>
      <paraID>73F2B8C5</paraID>
      <start>2</start>
      <end>4</end>
      <status>unmodified</status>
      <modifiedWord/>
      <trackRevisions>false</trackRevisions>
    </reviewItem>
    <reviewItem>
      <errorID>99684afa-3fee-4294-a977-f0c82c16b3cd</errorID>
      <errorWord>【2020】46号</errorWord>
      <group>L1_Knowledge</group>
      <groupName>知识性问题</groupName>
      <ability>L2_Knowledge</ability>
      <abilityName>其他知识</abilityName>
      <candidateList>
        <item>〔2020〕46号</item>
      </candidateList>
      <explain>发文字号格式错误。</explain>
      <paraID>31769520</paraID>
      <start>45</start>
      <end>54</end>
      <status>unmodified</status>
      <modifiedWord/>
      <trackRevisions>false</trackRevisions>
    </reviewItem>
    <reviewItem>
      <errorID>93fd3fcf-7d98-43ca-acc5-5096211360c1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5FF17996</paraID>
      <start>0</start>
      <end>2</end>
      <status>unmodified</status>
      <modifiedWord/>
      <trackRevisions>false</trackRevisions>
    </reviewItem>
    <reviewItem>
      <errorID>fbcceb41-832d-46a4-ab8c-e1fabd8b8490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3E41B855</paraID>
      <start>0</start>
      <end>2</end>
      <status>unmodified</status>
      <modifiedWord/>
      <trackRevisions>false</trackRevisions>
    </reviewItem>
    <reviewItem>
      <errorID>d2bfb885-6f03-4f4c-abe0-9ae7925d0afa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15A344FD</paraID>
      <start>0</start>
      <end>2</end>
      <status>unmodified</status>
      <modifiedWord/>
      <trackRevisions>false</trackRevisions>
    </reviewItem>
    <reviewItem>
      <errorID>ed96bf5b-b948-4084-ba48-bf4b5f5c8e8a</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7F32B95C</paraID>
      <start>15</start>
      <end>18</end>
      <status>unmodified</status>
      <modifiedWord/>
      <trackRevisions>false</trackRevisions>
    </reviewItem>
    <reviewItem>
      <errorID>67244674-f17a-4f69-86a6-92a927a8cb87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7F32B95C</paraID>
      <start>30</start>
      <end>33</end>
      <status>unmodified</status>
      <modifiedWord/>
      <trackRevisions>false</trackRevisions>
    </reviewItem>
    <reviewItem>
      <errorID>e5a675b5-00ed-47d4-99cb-195f81bbf993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7F32B95C</paraID>
      <start>49</start>
      <end>52</end>
      <status>unmodified</status>
      <modifiedWord/>
      <trackRevisions>false</trackRevisions>
    </reviewItem>
    <reviewItem>
      <errorID>26fd2486-e7e6-4985-8da1-3fefa0176ece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7F32B95C</paraID>
      <start>64</start>
      <end>67</end>
      <status>unmodified</status>
      <modifiedWord/>
      <trackRevisions>false</trackRevisions>
    </reviewItem>
    <reviewItem>
      <errorID>9747983f-0209-4756-a0b4-8278eb52b317</errorID>
      <errorWord>-</errorWord>
      <group>L1_Format</group>
      <groupName>格式问题</groupName>
      <ability>L2_HalfPunc_CN</ability>
      <abilityName>全半角问题</abilityName>
      <candidateList>
        <item>－</item>
      </candidateList>
      <explain>文本全半角错误。</explain>
      <paraID>23B7C61B</paraID>
      <start>86</start>
      <end>87</end>
      <status>unmodified</status>
      <modifiedWord/>
      <trackRevisions>false</trackRevisions>
    </reviewItem>
    <reviewItem>
      <errorID>dac384ad-c662-44a3-a245-1341d7839a86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420DF1BF</paraID>
      <start>0</start>
      <end>2</end>
      <status>unmodified</status>
      <modifiedWord/>
      <trackRevisions>false</trackRevisions>
    </reviewItem>
    <reviewItem>
      <errorID>5e96fc95-83f2-4270-87b0-e37264c0f0f9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673E0F23</paraID>
      <start>0</start>
      <end>2</end>
      <status>unmodified</status>
      <modifiedWord/>
      <trackRevisions>false</trackRevisions>
    </reviewItem>
    <reviewItem>
      <errorID>93b9538b-e7c2-4c62-a09f-890621c13964</errorID>
      <errorWord>:</errorWord>
      <group>L1_Format</group>
      <groupName>格式问题</groupName>
      <ability>L2_HalfPunc_CN</ability>
      <abilityName>全半角问题</abilityName>
      <candidateList>
        <item>：</item>
      </candidateList>
      <explain>文本全半角错误。</explain>
      <paraID>70F79523</paraID>
      <start>4</start>
      <end>5</end>
      <status>unmodified</status>
      <modifiedWord/>
      <trackRevisions>false</trackRevisions>
    </reviewItem>
    <reviewItem>
      <errorID>5f0f2400-de33-4f2e-af4c-f0f6ac17d9ee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73BDA51E</paraID>
      <start>22</start>
      <end>25</end>
      <status>unmodified</status>
      <modifiedWord/>
      <trackRevisions>false</trackRevisions>
    </reviewItem>
    <reviewItem>
      <errorID>e7a4f8f6-a7fb-4bdf-ab4d-a9498fb54413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73BDA51E</paraID>
      <start>37</start>
      <end>40</end>
      <status>unmodified</status>
      <modifiedWord/>
      <trackRevisions>false</trackRevisions>
    </reviewItem>
    <reviewItem>
      <errorID>bca0e050-1770-488d-8e5a-d82191dfdbdc</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73BDA51E</paraID>
      <start>56</start>
      <end>59</end>
      <status>unmodified</status>
      <modifiedWord/>
      <trackRevisions>false</trackRevisions>
    </reviewItem>
    <reviewItem>
      <errorID>0977cbbf-4ee8-4b64-8a8c-e96a1c13d295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73BDA51E</paraID>
      <start>71</start>
      <end>74</end>
      <status>unmodified</status>
      <modifiedWord/>
      <trackRevisions>false</trackRevisions>
    </reviewItem>
    <reviewItem>
      <errorID>c8172fa9-3cb8-4605-b683-c4b03e1cf056</errorID>
      <errorWord>必须严格按</errorWord>
      <group>L1_Word</group>
      <groupName>字词问题</groupName>
      <ability>L2_Typo</ability>
      <abilityName>字词错误</abilityName>
      <candidateList>
        <item>必须严格按照</item>
      </candidateList>
      <explain/>
      <paraID>67EE86AE</paraID>
      <start>13</start>
      <end>18</end>
      <status>unmodified</status>
      <modifiedWord/>
      <trackRevisions>false</trackRevisions>
    </reviewItem>
    <reviewItem>
      <errorID>c9073d06-bc8b-49cf-9ecd-fed1a1058204</errorID>
      <errorWord>之外，还应配备有足够</errorWord>
      <group>L1_Word</group>
      <groupName>字词问题</groupName>
      <ability>L2_Typo</ability>
      <abilityName>字词错误</abilityName>
      <candidateList>
        <item>之外，还应配备足够</item>
      </candidateList>
      <explain/>
      <paraID>2A37382E</paraID>
      <start>19</start>
      <end>29</end>
      <status>unmodified</status>
      <modifiedWord/>
      <trackRevisions>false</trackRevisions>
    </reviewItem>
    <reviewItem>
      <errorID>55956e02-e711-40b8-a7c8-b0e762afcc65</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19DC808A</paraID>
      <start>18</start>
      <end>28</end>
      <status>unmodified</status>
      <modifiedWord/>
      <trackRevisions>false</trackRevisions>
    </reviewItem>
    <reviewItem>
      <errorID>2467c79b-20d4-462a-8b0f-7ece46318533</errorID>
      <errorWord>至少有2人以上</errorWord>
      <group>L1_Grammar</group>
      <groupName>语法问题</groupName>
      <ability>L2_Grammar</ability>
      <abilityName>语法错误</abilityName>
      <candidateList>
        <item>至少有2人</item>
      </candidateList>
      <explain>该表达中的“至少有2人以上”存在语义重复。</explain>
      <paraID> B1685E6</paraID>
      <start>53</start>
      <end>60</end>
      <status>unmodified</status>
      <modifiedWord/>
      <trackRevisions>false</trackRevisions>
    </reviewItem>
    <reviewItem>
      <errorID>d7703282-c6eb-4518-9873-c86adcb56646</errorID>
      <errorWord>需</errorWord>
      <group>L1_Word</group>
      <groupName>字词问题</groupName>
      <ability>L2_Typo</ability>
      <abilityName>字词错误</abilityName>
      <candidateList>
        <item>须</item>
      </candidateList>
      <explain>存在发音相同字词的误用。</explain>
      <paraID> B1685E6</paraID>
      <start>70</start>
      <end>71</end>
      <status>unmodified</status>
      <modifiedWord/>
      <trackRevisions>false</trackRevisions>
    </reviewItem>
    <reviewItem>
      <errorID>72aac1ab-01c6-4850-b8d0-4e2c0af23396</errorID>
      <errorWord>害</errorWord>
      <group>L1_Word</group>
      <groupName>字词问题</groupName>
      <ability>L2_Typo</ability>
      <abilityName>字词错误</abilityName>
      <candidateList>
        <item>害保</item>
      </candidateList>
      <explain/>
      <paraID> B1685E6</paraID>
      <start>97</start>
      <end>98</end>
      <status>unmodified</status>
      <modifiedWord/>
      <trackRevisions>false</trackRevisions>
    </reviewItem>
    <reviewItem>
      <errorID>179753e7-0034-450d-900c-27a29ee6600b</errorID>
      <errorWord>将</errorWord>
      <group>L1_Word</group>
      <groupName>字词问题</groupName>
      <ability>L2_Typo</ability>
      <abilityName>字词错误</abilityName>
      <candidateList>
        <item>将在</item>
      </candidateList>
      <explain/>
      <paraID> ABC5A3A</paraID>
      <start>22</start>
      <end>23</end>
      <status>unmodified</status>
      <modifiedWord/>
      <trackRevisions>false</trackRevisions>
    </reviewItem>
    <reviewItem>
      <errorID>eb1bd740-8f70-46f6-80c6-f0cd3796bfd0</errorID>
      <errorWord>（</errorWord>
      <group>L1_Punc</group>
      <groupName>标点问题</groupName>
      <ability>L2_Punc_CN</ability>
      <abilityName>标点符号问题</abilityName>
      <candidateList/>
      <explain>同一形式括号套用。</explain>
      <paraID>6B232877</paraID>
      <start>133</start>
      <end>134</end>
      <status>unmodified</status>
      <modifiedWord/>
      <trackRevisions>false</trackRevisions>
    </reviewItem>
    <reviewItem>
      <errorID>2790db33-1924-41c4-98de-0e20e9af469e</errorID>
      <errorWord>）</errorWord>
      <group>L1_Punc</group>
      <groupName>标点问题</groupName>
      <ability>L2_Punc_CN</ability>
      <abilityName>标点符号问题</abilityName>
      <candidateList/>
      <explain>同一形式括号套用。</explain>
      <paraID>6B232877</paraID>
      <start>156</start>
      <end>157</end>
      <status>unmodified</status>
      <modifiedWord/>
      <trackRevisions>false</trackRevisions>
    </reviewItem>
    <reviewItem>
      <errorID>9a016d9d-f2ef-400c-8b6a-72ecc7dd9f00</errorID>
      <errorWord>（</errorWord>
      <group>L1_Punc</group>
      <groupName>标点问题</groupName>
      <ability>L2_Punc_CN</ability>
      <abilityName>标点符号问题</abilityName>
      <candidateList/>
      <explain>同一形式括号套用。</explain>
      <paraID>6B232877</paraID>
      <start>165</start>
      <end>166</end>
      <status>unmodified</status>
      <modifiedWord/>
      <trackRevisions>false</trackRevisions>
    </reviewItem>
    <reviewItem>
      <errorID>bb1be50f-9892-4770-96f5-de5330fd2540</errorID>
      <errorWord>）</errorWord>
      <group>L1_Punc</group>
      <groupName>标点问题</groupName>
      <ability>L2_Punc_CN</ability>
      <abilityName>标点符号问题</abilityName>
      <candidateList/>
      <explain>同一形式括号套用。</explain>
      <paraID>6B232877</paraID>
      <start>182</start>
      <end>183</end>
      <status>unmodified</status>
      <modifiedWord/>
      <trackRevisions>false</trackRevisions>
    </reviewItem>
    <reviewItem>
      <errorID>566aded8-142e-4cae-b090-87078d583497</errorID>
      <errorWord>,</errorWord>
      <group>L1_Format</group>
      <groupName>格式问题</groupName>
      <ability>L2_HalfPunc_CN</ability>
      <abilityName>全半角问题</abilityName>
      <candidateList>
        <item>，</item>
      </candidateList>
      <explain>文本全半角错误。</explain>
      <paraID>39987EF3</paraID>
      <start>36</start>
      <end>37</end>
      <status>unmodified</status>
      <modifiedWord/>
      <trackRevisions>false</trackRevisions>
    </reviewItem>
    <reviewItem>
      <errorID>26b84eeb-c8d4-499f-b311-803bd8cce9c0</errorID>
      <errorWord>《</errorWord>
      <group>L1_Punc</group>
      <groupName>标点问题</groupName>
      <ability>L2_Punc_CN</ability>
      <abilityName>标点符号问题</abilityName>
      <candidateList/>
      <explain>同一形式括号套用。</explain>
      <paraID>39987EF3</paraID>
      <start>71</start>
      <end>72</end>
      <status>unmodified</status>
      <modifiedWord/>
      <trackRevisions>false</trackRevisions>
    </reviewItem>
    <reviewItem>
      <errorID>46fe624c-aef4-44b2-bf0d-e351961074a6</errorID>
      <errorWord>》</errorWord>
      <group>L1_Punc</group>
      <groupName>标点问题</groupName>
      <ability>L2_Punc_CN</ability>
      <abilityName>标点符号问题</abilityName>
      <candidateList/>
      <explain>同一形式括号套用。</explain>
      <paraID>39987EF3</paraID>
      <start>88</start>
      <end>89</end>
      <status>unmodified</status>
      <modifiedWord/>
      <trackRevisions>false</trackRevisions>
    </reviewItem>
    <reviewItem>
      <errorID>bfeffd39-68df-4388-a023-de7cc9a44136</errorID>
      <errorWord>[2011]300号</errorWord>
      <group>L1_Knowledge</group>
      <groupName>知识性问题</groupName>
      <ability>L2_Knowledge</ability>
      <abilityName>其他知识</abilityName>
      <candidateList>
        <item>〔2011〕300号</item>
      </candidateList>
      <explain>发文字号格式错误。</explain>
      <paraID>39987EF3</paraID>
      <start>161</start>
      <end>171</end>
      <status>unmodified</status>
      <modifiedWord/>
      <trackRevisions>false</trackRevisions>
    </reviewItem>
    <reviewItem>
      <errorID>2a4b7f17-ebad-4cb2-80e3-183518fe20b4</errorID>
      <errorWord>[2011]300号</errorWord>
      <group>L1_Knowledge</group>
      <groupName>知识性问题</groupName>
      <ability>L2_Knowledge</ability>
      <abilityName>其他知识</abilityName>
      <candidateList>
        <item>〔2011〕300号</item>
      </candidateList>
      <explain>发文字号格式错误。</explain>
      <paraID>39987EF3</paraID>
      <start>259</start>
      <end>269</end>
      <status>unmodified</status>
      <modifiedWord/>
      <trackRevisions>false</trackRevisions>
    </reviewItem>
    <reviewItem>
      <errorID>80db8d12-6a00-4300-99cf-9de7e698a136</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39987EF3</paraID>
      <start>270</start>
      <end>271</end>
      <status>unmodified</status>
      <modifiedWord/>
      <trackRevisions>false</trackRevisions>
    </reviewItem>
    <reviewItem>
      <errorID>73781e1d-c900-4a06-aa7c-c2e1ed634627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22E2F4B9</paraID>
      <start>0</start>
      <end>2</end>
      <status>unmodified</status>
      <modifiedWord/>
      <trackRevisions>false</trackRevisions>
    </reviewItem>
    <reviewItem>
      <errorID>041bb2ed-dee0-4db9-8692-0af6e59a682b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452C4993</paraID>
      <start>0</start>
      <end>2</end>
      <status>unmodified</status>
      <modifiedWord/>
      <trackRevisions>false</trackRevisions>
    </reviewItem>
    <reviewItem>
      <errorID>5ce730c7-8c7d-4327-8949-b34478ea8cae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638CAC6B</paraID>
      <start>0</start>
      <end>2</end>
      <status>unmodified</status>
      <modifiedWord/>
      <trackRevisions>false</trackRevisions>
    </reviewItem>
    <reviewItem>
      <errorID>ea1fa3b9-4041-4d55-b5ff-ec42a6c5545b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7F2FFD1D</paraID>
      <start>0</start>
      <end>2</end>
      <status>unmodified</status>
      <modifiedWord/>
      <trackRevisions>false</trackRevisions>
    </reviewItem>
    <reviewItem>
      <errorID>ecd84e23-3e1b-4dbd-9bb4-7f1994a6e5ab</errorID>
      <errorWord>[2014]68号</errorWord>
      <group>L1_Knowledge</group>
      <groupName>知识性问题</groupName>
      <ability>L2_Knowledge</ability>
      <abilityName>其他知识</abilityName>
      <candidateList>
        <item>〔2014〕68号</item>
      </candidateList>
      <explain>发文字号格式错误。</explain>
      <paraID>67DE2D65</paraID>
      <start>36</start>
      <end>45</end>
      <status>unmodified</status>
      <modifiedWord/>
      <trackRevisions>false</trackRevisions>
    </reviewItem>
    <reviewItem>
      <errorID>c0a47e70-5891-4069-acba-c76883509a38</errorID>
      <errorWord>〔2017〕 141号</errorWord>
      <group>L1_Knowledge</group>
      <groupName>知识性问题</groupName>
      <ability>L2_Knowledge</ability>
      <abilityName>其他知识</abilityName>
      <candidateList>
        <item>〔2017〕141号</item>
      </candidateList>
      <explain>发文字号格式错误。</explain>
      <paraID> 72AC272</paraID>
      <start>49</start>
      <end>60</end>
      <status>unmodified</status>
      <modifiedWord/>
      <trackRevisions>false</trackRevisions>
    </reviewItem>
    <reviewItem>
      <errorID>39e347f6-62e7-46de-a3a9-78c4d45fd233</errorID>
      <errorWord>《政府采购法》</errorWord>
      <group>L1_Word</group>
      <groupName>字词问题</groupName>
      <ability>L2_Typo</ability>
      <abilityName>字词错误</abilityName>
      <candidateList>
        <item>《中华人民共和国政府采购法》</item>
      </candidateList>
      <explain/>
      <paraID>460F1F06</paraID>
      <start>128</start>
      <end>135</end>
      <status>unmodified</status>
      <modifiedWord/>
      <trackRevisions>false</trackRevisions>
    </reviewItem>
    <reviewItem>
      <errorID>b9e0031c-44ea-4ee8-b28b-3eb6c37e26f0</errorID>
      <errorWord>其它</errorWord>
      <group>L1_Word</group>
      <groupName>字词问题</groupName>
      <ability>L2_Alias</ability>
      <abilityName>也作/曾用词</abilityName>
      <candidateList>
        <item>其他</item>
      </candidateList>
      <explain>词汇[其它]为不规范表述或旧称，其规范书面表述为[其他]。</explain>
      <paraID>6F620B3A</paraID>
      <start>3</start>
      <end>5</end>
      <status>unmodified</status>
      <modifiedWord/>
      <trackRevisions>false</trackRevisions>
    </reviewItem>
    <reviewItem>
      <errorID>6154c609-0afa-44a5-9643-8499a8aa1daf</errorID>
      <errorWord>其它</errorWord>
      <group>L1_Word</group>
      <groupName>字词问题</groupName>
      <ability>L2_Alias</ability>
      <abilityName>也作/曾用词</abilityName>
      <candidateList>
        <item>其他</item>
      </candidateList>
      <explain>词汇[其它]为不规范表述或旧称，其规范书面表述为[其他]。</explain>
      <paraID>531D722F</paraID>
      <start>18</start>
      <end>20</end>
      <status>unmodified</status>
      <modifiedWord/>
      <trackRevisions>false</trackRevisions>
    </reviewItem>
    <reviewItem>
      <errorID>4bdb1b28-bdff-4e87-987d-b0fa0d2d9542</errorID>
      <errorWord>予</errorWord>
      <group>L1_Word</group>
      <groupName>字词问题</groupName>
      <ability>L2_Typo</ability>
      <abilityName>字词错误</abilityName>
      <candidateList>
        <item>予以</item>
      </candidateList>
      <explain>〈动〉给以：～支持｜～警告｜～表扬｜～批评。</explain>
      <paraID>183C5A1E</paraID>
      <start>158</start>
      <end>159</end>
      <status>unmodified</status>
      <modifiedWord/>
      <trackRevisions>false</trackRevisions>
    </reviewItem>
    <reviewItem>
      <errorID>51659267-8c80-4c94-9378-8590bc9aa726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59C46675</paraID>
      <start>0</start>
      <end>2</end>
      <status>unmodified</status>
      <modifiedWord/>
      <trackRevisions>false</trackRevisions>
    </reviewItem>
    <reviewItem>
      <errorID>c498e6a0-a464-4142-bd8f-3de6037a12bd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47716657</paraID>
      <start>0</start>
      <end>2</end>
      <status>unmodified</status>
      <modifiedWord/>
      <trackRevisions>false</trackRevisions>
    </reviewItem>
    <reviewItem>
      <errorID>61f60d6b-8eb3-49d4-ac8c-97e6337e4605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5D43BCCF</paraID>
      <start>0</start>
      <end>2</end>
      <status>unmodified</status>
      <modifiedWord/>
      <trackRevisions>false</trackRevisions>
    </reviewItem>
    <reviewItem>
      <errorID>4a7a4d36-80f7-40ed-8e2b-51385516da71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68A8164E</paraID>
      <start>0</start>
      <end>2</end>
      <status>unmodified</status>
      <modifiedWord/>
      <trackRevisions>false</trackRevisions>
    </reviewItem>
    <reviewItem>
      <errorID>a4e8c8f0-693b-47ae-aded-cc1abd11159c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2F562A7</paraID>
      <start>0</start>
      <end>3</end>
      <status>unmodified</status>
      <modifiedWord/>
      <trackRevisions>false</trackRevisions>
    </reviewItem>
    <reviewItem>
      <errorID>6903e180-87d5-4763-8d9d-d3b6df8e017d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BBB37E</paraID>
      <start>0</start>
      <end>3</end>
      <status>unmodified</status>
      <modifiedWord/>
      <trackRevisions>false</trackRevisions>
    </reviewItem>
    <reviewItem>
      <errorID>409a94b4-aab1-45ff-bbca-9d76c50f2bee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34CB3F21</paraID>
      <start>0</start>
      <end>3</end>
      <status>unmodified</status>
      <modifiedWord/>
      <trackRevisions>false</trackRevisions>
    </reviewItem>
    <reviewItem>
      <errorID>8ac868ed-6feb-41cc-9422-3d718e5b3efd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168C36C0</paraID>
      <start>0</start>
      <end>3</end>
      <status>unmodified</status>
      <modifiedWord/>
      <trackRevisions>false</trackRevisions>
    </reviewItem>
    <reviewItem>
      <errorID>8b5f9ea9-f1c2-4e30-979b-5efd2c65c121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6ADA7C1F</paraID>
      <start>0</start>
      <end>3</end>
      <status>unmodified</status>
      <modifiedWord/>
      <trackRevisions>false</trackRevisions>
    </reviewItem>
    <reviewItem>
      <errorID>c70d8234-f608-4d07-ab87-239a7f94ec93</errorID>
      <errorWord>（</errorWord>
      <group>L1_Punc</group>
      <groupName>标点问题</groupName>
      <ability>L2_Punc_CN</ability>
      <abilityName>标点符号问题</abilityName>
      <candidateList/>
      <explain>同一形式括号套用。</explain>
      <paraID>6D089656</paraID>
      <start>97</start>
      <end>98</end>
      <status>unmodified</status>
      <modifiedWord/>
      <trackRevisions>false</trackRevisions>
    </reviewItem>
    <reviewItem>
      <errorID>780570ca-33e0-40b2-9fad-9eed92246fda</errorID>
      <errorWord>）</errorWord>
      <group>L1_Punc</group>
      <groupName>标点问题</groupName>
      <ability>L2_Punc_CN</ability>
      <abilityName>标点符号问题</abilityName>
      <candidateList/>
      <explain>同一形式括号套用。</explain>
      <paraID>6D089656</paraID>
      <start>102</start>
      <end>103</end>
      <status>unmodified</status>
      <modifiedWord/>
      <trackRevisions>false</trackRevisions>
    </reviewItem>
    <reviewItem>
      <errorID>1e0b7ba0-b1de-497f-9998-4a0dbdbfb1fe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10DCCB15</paraID>
      <start>14</start>
      <end>17</end>
      <status>unmodified</status>
      <modifiedWord/>
      <trackRevisions>false</trackRevisions>
    </reviewItem>
    <reviewItem>
      <errorID>10221032-a90b-4bc9-b5d3-c3aa14617332</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5AB8B2BB</paraID>
      <start>17</start>
      <end>20</end>
      <status>unmodified</status>
      <modifiedWord/>
      <trackRevisions>false</trackRevisions>
    </reviewItem>
    <reviewItem>
      <errorID>3b23d3fb-a54b-4c44-bb5c-1d632bf05fca</errorID>
      <errorWord>(</errorWord>
      <group>L1_Format</group>
      <groupName>格式问题</groupName>
      <ability>L2_HalfPunc_CN</ability>
      <abilityName>全半角问题</abilityName>
      <candidateList>
        <item>（</item>
      </candidateList>
      <explain>文本全半角错误。</explain>
      <paraID>5AB8B2BB</paraID>
      <start>38</start>
      <end>39</end>
      <status>unmodified</status>
      <modifiedWord/>
      <trackRevisions>false</trackRevisions>
    </reviewItem>
    <reviewItem>
      <errorID>93353f29-fb5b-4ff4-9fec-02fef380e6ef</errorID>
      <errorWord>)</errorWord>
      <group>L1_Format</group>
      <groupName>格式问题</groupName>
      <ability>L2_HalfPunc_CN</ability>
      <abilityName>全半角问题</abilityName>
      <candidateList>
        <item>）</item>
      </candidateList>
      <explain>文本全半角错误。</explain>
      <paraID>5AB8B2BB</paraID>
      <start>41</start>
      <end>42</end>
      <status>unmodified</status>
      <modifiedWord/>
      <trackRevisions>false</trackRevisions>
    </reviewItem>
    <reviewItem>
      <errorID>6870881f-e4bd-4628-a39f-a39b861ec3d6</errorID>
      <errorWord>国家发改委</errorWord>
      <group>L1_Knowledge</group>
      <groupName>知识性问题</groupName>
      <ability>L2_Knowledge</ability>
      <abilityName>其他知识</abilityName>
      <candidateList>
        <item>国家发展改革委</item>
      </candidateList>
      <explain/>
      <paraID>3E677B3B</paraID>
      <start>16</start>
      <end>21</end>
      <status>unmodified</status>
      <modifiedWord/>
      <trackRevisions>false</trackRevisions>
    </reviewItem>
    <reviewItem>
      <errorID>1b70b5ff-0e11-4f22-86ed-a9bcf053b6bd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75801DEB</paraID>
      <start>0</start>
      <end>2</end>
      <status>unmodified</status>
      <modifiedWord/>
      <trackRevisions>false</trackRevisions>
    </reviewItem>
    <reviewItem>
      <errorID>841163c2-193c-43be-86d2-273a713ff303</errorID>
      <errorWord>国家发改委</errorWord>
      <group>L1_Knowledge</group>
      <groupName>知识性问题</groupName>
      <ability>L2_Knowledge</ability>
      <abilityName>其他知识</abilityName>
      <candidateList>
        <item>国家发展改革委</item>
      </candidateList>
      <explain/>
      <paraID>75801DEB</paraID>
      <start>14</start>
      <end>19</end>
      <status>unmodified</status>
      <modifiedWord/>
      <trackRevisions>false</trackRevisions>
    </reviewItem>
    <reviewItem>
      <errorID>d87b9c33-3359-4b36-ba9b-5a3f29d5ec37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3629EDEA</paraID>
      <start>0</start>
      <end>2</end>
      <status>unmodified</status>
      <modifiedWord/>
      <trackRevisions>false</trackRevisions>
    </reviewItem>
    <reviewItem>
      <errorID>3270ed8c-06e5-4324-9474-e0ceefe0e70e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66759286</paraID>
      <start>0</start>
      <end>2</end>
      <status>unmodified</status>
      <modifiedWord/>
      <trackRevisions>false</trackRevisions>
    </reviewItem>
    <reviewItem>
      <errorID>5b6536a2-5d26-4938-8c8e-05df0126c9fe</errorID>
      <errorWord>(</errorWord>
      <group>L1_Format</group>
      <groupName>格式问题</groupName>
      <ability>L2_HalfPunc_CN</ability>
      <abilityName>全半角问题</abilityName>
      <candidateList>
        <item>（</item>
      </candidateList>
      <explain>文本全半角错误。</explain>
      <paraID>3C378F86</paraID>
      <start>4</start>
      <end>5</end>
      <status>unmodified</status>
      <modifiedWord/>
      <trackRevisions>false</trackRevisions>
    </reviewItem>
    <reviewItem>
      <errorID>cc1bf43d-f55e-409d-92d6-fc07b1097445</errorID>
      <errorWord>)</errorWord>
      <group>L1_Format</group>
      <groupName>格式问题</groupName>
      <ability>L2_HalfPunc_CN</ability>
      <abilityName>全半角问题</abilityName>
      <candidateList>
        <item>）</item>
      </candidateList>
      <explain>文本全半角错误。</explain>
      <paraID>3C378F86</paraID>
      <start>7</start>
      <end>8</end>
      <status>unmodified</status>
      <modifiedWord/>
      <trackRevisions>false</trackRevisions>
    </reviewItem>
    <reviewItem>
      <errorID>0544b0da-7fa6-4ee1-ab8e-83b60f650210</errorID>
      <errorWord>噪音</errorWord>
      <group>L1_Word</group>
      <groupName>字词问题</groupName>
      <ability>L2_Alias</ability>
      <abilityName>也作/曾用词</abilityName>
      <candidateList>
        <item>噪声</item>
      </candidateList>
      <explain>词汇[噪音]为不规范表述或旧称，其规范书面表述为[噪声]。</explain>
      <paraID>42A56421</paraID>
      <start>156</start>
      <end>158</end>
      <status>unmodified</status>
      <modifiedWord/>
      <trackRevisions>false</trackRevisions>
    </reviewItem>
    <reviewItem>
      <errorID>0249acd0-4b8a-4fa3-b6e9-61033910f6d9</errorID>
      <errorWord>KW</errorWord>
      <group>L1_Word</group>
      <groupName>字词问题</groupName>
      <ability>L2_Typo</ability>
      <abilityName>字词错误</abilityName>
      <candidateList>
        <item>kW</item>
      </candidateList>
      <explain/>
      <paraID>66B4A514</paraID>
      <start>5</start>
      <end>7</end>
      <status>unmodified</status>
      <modifiedWord/>
      <trackRevisions>false</trackRevisions>
    </reviewItem>
    <reviewItem>
      <errorID>cabd11ef-ed19-4ac5-a94b-a1a5240f81b8</errorID>
      <errorWord>其它</errorWord>
      <group>L1_Word</group>
      <groupName>字词问题</groupName>
      <ability>L2_Alias</ability>
      <abilityName>也作/曾用词</abilityName>
      <candidateList>
        <item>其他</item>
      </candidateList>
      <explain>词汇[其它]为不规范表述或旧称，其规范书面表述为[其他]。</explain>
      <paraID>1E49A14B</paraID>
      <start>0</start>
      <end>2</end>
      <status>unmodified</status>
      <modifiedWord/>
      <trackRevisions>false</trackRevisions>
    </reviewItem>
    <reviewItem>
      <errorID>7d849f4f-ddcc-4aec-b72b-22f3b1051d04</errorID>
      <errorWord>其它</errorWord>
      <group>L1_Word</group>
      <groupName>字词问题</groupName>
      <ability>L2_Alias</ability>
      <abilityName>也作/曾用词</abilityName>
      <candidateList>
        <item>其他</item>
      </candidateList>
      <explain>词汇[其它]为不规范表述或旧称，其规范书面表述为[其他]。</explain>
      <paraID>2D370873</paraID>
      <start>18</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258f3e-3f85-438e-aabf-2b4883a60151}">
  <ds:schemaRefs/>
</ds:datastoreItem>
</file>

<file path=docProps/app.xml><?xml version="1.0" encoding="utf-8"?>
<Properties xmlns="http://schemas.openxmlformats.org/officeDocument/2006/extended-properties" xmlns:vt="http://schemas.openxmlformats.org/officeDocument/2006/docPropsVTypes">
  <Template>Normal.dotm</Template>
  <Pages>90</Pages>
  <Words>7111</Words>
  <Characters>8067</Characters>
  <Lines>0</Lines>
  <Paragraphs>0</Paragraphs>
  <TotalTime>132</TotalTime>
  <ScaleCrop>false</ScaleCrop>
  <LinksUpToDate>false</LinksUpToDate>
  <CharactersWithSpaces>8283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2023-02-22T01:54:00Z</dcterms:created>
  <dc:creator>Administrator</dc:creator>
  <cp:lastModifiedBy>兰子</cp:lastModifiedBy>
  <cp:lastPrinted>2025-12-15T03:22:00Z</cp:lastPrinted>
  <dcterms:modified xsi:type="dcterms:W3CDTF">2026-07-14T03:35:01Z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5E48F5CF82F34435966FACD09584F3E2</vt:lpwstr>
  </property>
  <property fmtid="{D5CDD505-2E9C-101B-9397-08002B2CF9AE}" pid="4" name="KSOTemplateDocerSaveRecord">
    <vt:lpwstr>eyJoZGlkIjoiZjhmMzk0ZGU3YzQ4NTNkY2NjNWJkYzEzYTRlYjhlMDUiLCJ1c2VySWQiOiI2MDg1NzQ5NTAifQ==</vt:lpwstr>
  </property>
</Properties>
</file>