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jc w:val="center"/>
        <w:rPr>
          <w:rFonts w:hint="eastAsia" w:ascii="宋体" w:hAnsi="宋体"/>
          <w:b/>
          <w:color w:val="auto"/>
          <w:sz w:val="24"/>
          <w:highlight w:val="none"/>
        </w:rPr>
      </w:pPr>
    </w:p>
    <w:p>
      <w:pPr>
        <w:adjustRightInd w:val="0"/>
        <w:snapToGrid w:val="0"/>
        <w:jc w:val="center"/>
        <w:rPr>
          <w:rFonts w:hint="eastAsia" w:ascii="宋体" w:hAnsi="宋体"/>
          <w:b/>
          <w:color w:val="auto"/>
          <w:sz w:val="24"/>
          <w:highlight w:val="none"/>
        </w:rPr>
      </w:pPr>
    </w:p>
    <w:p>
      <w:pPr>
        <w:adjustRightInd w:val="0"/>
        <w:snapToGrid w:val="0"/>
        <w:jc w:val="center"/>
        <w:rPr>
          <w:rFonts w:hint="eastAsia" w:ascii="宋体" w:hAnsi="宋体"/>
          <w:b/>
          <w:color w:val="auto"/>
          <w:sz w:val="24"/>
          <w:highlight w:val="none"/>
        </w:rPr>
      </w:pPr>
    </w:p>
    <w:p>
      <w:pPr>
        <w:adjustRightInd w:val="0"/>
        <w:snapToGrid w:val="0"/>
        <w:jc w:val="center"/>
        <w:rPr>
          <w:rFonts w:hint="eastAsia" w:ascii="宋体" w:hAnsi="宋体"/>
          <w:b/>
          <w:color w:val="auto"/>
          <w:sz w:val="24"/>
          <w:highlight w:val="none"/>
        </w:rPr>
      </w:pPr>
    </w:p>
    <w:p>
      <w:pPr>
        <w:adjustRightInd w:val="0"/>
        <w:snapToGrid w:val="0"/>
        <w:jc w:val="center"/>
        <w:rPr>
          <w:rFonts w:hint="eastAsia" w:ascii="宋体" w:hAnsi="宋体"/>
          <w:b/>
          <w:color w:val="auto"/>
          <w:sz w:val="24"/>
          <w:highlight w:val="none"/>
        </w:rPr>
      </w:pPr>
    </w:p>
    <w:p>
      <w:pPr>
        <w:adjustRightInd w:val="0"/>
        <w:snapToGrid w:val="0"/>
        <w:jc w:val="center"/>
        <w:rPr>
          <w:rFonts w:hint="eastAsia" w:ascii="宋体" w:hAnsi="宋体"/>
          <w:b/>
          <w:color w:val="auto"/>
          <w:sz w:val="24"/>
          <w:highlight w:val="none"/>
        </w:rPr>
      </w:pPr>
    </w:p>
    <w:p>
      <w:pPr>
        <w:adjustRightInd w:val="0"/>
        <w:snapToGrid w:val="0"/>
        <w:jc w:val="center"/>
        <w:rPr>
          <w:rFonts w:hint="eastAsia" w:ascii="宋体" w:hAnsi="宋体"/>
          <w:b/>
          <w:color w:val="auto"/>
          <w:sz w:val="24"/>
          <w:highlight w:val="none"/>
        </w:rPr>
      </w:pPr>
    </w:p>
    <w:p>
      <w:pPr>
        <w:adjustRightInd w:val="0"/>
        <w:snapToGrid w:val="0"/>
        <w:jc w:val="center"/>
        <w:rPr>
          <w:rFonts w:hint="eastAsia" w:ascii="宋体" w:hAnsi="宋体"/>
          <w:b/>
          <w:color w:val="auto"/>
          <w:sz w:val="24"/>
          <w:highlight w:val="none"/>
        </w:rPr>
      </w:pPr>
    </w:p>
    <w:p>
      <w:pPr>
        <w:adjustRightInd w:val="0"/>
        <w:snapToGrid w:val="0"/>
        <w:jc w:val="center"/>
        <w:rPr>
          <w:rFonts w:hint="eastAsia" w:ascii="宋体" w:hAnsi="宋体"/>
          <w:b/>
          <w:color w:val="auto"/>
          <w:sz w:val="24"/>
          <w:highlight w:val="none"/>
        </w:rPr>
      </w:pPr>
    </w:p>
    <w:p>
      <w:pPr>
        <w:adjustRightInd w:val="0"/>
        <w:snapToGrid w:val="0"/>
        <w:jc w:val="center"/>
        <w:rPr>
          <w:rFonts w:hint="eastAsia" w:ascii="宋体" w:hAnsi="宋体"/>
          <w:b/>
          <w:color w:val="auto"/>
          <w:sz w:val="24"/>
          <w:highlight w:val="none"/>
        </w:rPr>
      </w:pPr>
    </w:p>
    <w:p>
      <w:pPr>
        <w:adjustRightInd w:val="0"/>
        <w:snapToGrid w:val="0"/>
        <w:jc w:val="center"/>
        <w:rPr>
          <w:rFonts w:hint="eastAsia" w:ascii="宋体" w:hAnsi="宋体"/>
          <w:b/>
          <w:color w:val="auto"/>
          <w:sz w:val="24"/>
          <w:highlight w:val="none"/>
        </w:rPr>
      </w:pPr>
    </w:p>
    <w:p>
      <w:pPr>
        <w:adjustRightInd w:val="0"/>
        <w:snapToGrid w:val="0"/>
        <w:jc w:val="center"/>
        <w:rPr>
          <w:rFonts w:hint="eastAsia" w:ascii="宋体" w:hAnsi="宋体"/>
          <w:b/>
          <w:color w:val="auto"/>
          <w:sz w:val="24"/>
          <w:highlight w:val="none"/>
        </w:rPr>
      </w:pPr>
    </w:p>
    <w:p>
      <w:pPr>
        <w:adjustRightInd w:val="0"/>
        <w:snapToGrid w:val="0"/>
        <w:spacing w:before="936" w:beforeLines="300"/>
        <w:jc w:val="center"/>
        <w:rPr>
          <w:rFonts w:hint="eastAsia" w:ascii="黑体" w:eastAsia="黑体"/>
          <w:b/>
          <w:color w:val="auto"/>
          <w:kern w:val="44"/>
          <w:sz w:val="48"/>
          <w:szCs w:val="20"/>
          <w:highlight w:val="none"/>
        </w:rPr>
      </w:pPr>
      <w:r>
        <w:rPr>
          <w:rFonts w:hint="eastAsia" w:ascii="黑体" w:eastAsia="黑体"/>
          <w:b/>
          <w:color w:val="auto"/>
          <w:kern w:val="44"/>
          <w:sz w:val="48"/>
          <w:szCs w:val="20"/>
          <w:highlight w:val="none"/>
        </w:rPr>
        <w:t>第八部分  采购需求</w:t>
      </w:r>
      <w:r>
        <w:rPr>
          <w:rFonts w:ascii="黑体" w:eastAsia="黑体"/>
          <w:b/>
          <w:color w:val="auto"/>
          <w:kern w:val="44"/>
          <w:sz w:val="48"/>
          <w:szCs w:val="20"/>
          <w:highlight w:val="none"/>
        </w:rPr>
        <w:br w:type="page"/>
      </w:r>
    </w:p>
    <w:p>
      <w:pPr>
        <w:numPr>
          <w:ilvl w:val="2"/>
          <w:numId w:val="1"/>
        </w:numPr>
        <w:adjustRightInd w:val="0"/>
        <w:snapToGrid w:val="0"/>
        <w:jc w:val="center"/>
        <w:rPr>
          <w:rFonts w:hint="eastAsia" w:ascii="宋体" w:hAnsi="宋体"/>
          <w:b/>
          <w:color w:val="auto"/>
          <w:sz w:val="30"/>
          <w:szCs w:val="30"/>
          <w:highlight w:val="none"/>
        </w:rPr>
      </w:pPr>
      <w:r>
        <w:rPr>
          <w:rFonts w:hint="eastAsia" w:ascii="宋体" w:hAnsi="宋体"/>
          <w:b/>
          <w:color w:val="auto"/>
          <w:sz w:val="30"/>
          <w:szCs w:val="30"/>
          <w:highlight w:val="none"/>
        </w:rPr>
        <w:t>货物需求一览表</w:t>
      </w:r>
    </w:p>
    <w:p>
      <w:pPr>
        <w:adjustRightInd w:val="0"/>
        <w:snapToGrid w:val="0"/>
        <w:jc w:val="center"/>
        <w:rPr>
          <w:rFonts w:hint="eastAsia" w:ascii="宋体" w:hAnsi="宋体"/>
          <w:b/>
          <w:color w:val="auto"/>
          <w:sz w:val="30"/>
          <w:szCs w:val="30"/>
          <w:highlight w:val="none"/>
        </w:rPr>
      </w:pPr>
    </w:p>
    <w:tbl>
      <w:tblPr>
        <w:tblStyle w:val="4"/>
        <w:tblW w:w="96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62"/>
        <w:gridCol w:w="2640"/>
        <w:gridCol w:w="635"/>
        <w:gridCol w:w="1320"/>
        <w:gridCol w:w="1765"/>
        <w:gridCol w:w="252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62" w:type="dxa"/>
            <w:noWrap w:val="0"/>
            <w:vAlign w:val="center"/>
          </w:tcPr>
          <w:p>
            <w:pPr>
              <w:jc w:val="center"/>
              <w:rPr>
                <w:rFonts w:ascii="宋体" w:hAnsi="Bookman Old Style"/>
                <w:color w:val="auto"/>
                <w:sz w:val="24"/>
                <w:highlight w:val="none"/>
              </w:rPr>
            </w:pPr>
            <w:r>
              <w:rPr>
                <w:rFonts w:hint="eastAsia" w:ascii="宋体" w:hAnsi="Bookman Old Style"/>
                <w:color w:val="auto"/>
                <w:sz w:val="24"/>
                <w:highlight w:val="none"/>
              </w:rPr>
              <w:t>包号</w:t>
            </w:r>
          </w:p>
        </w:tc>
        <w:tc>
          <w:tcPr>
            <w:tcW w:w="2640" w:type="dxa"/>
            <w:noWrap w:val="0"/>
            <w:vAlign w:val="center"/>
          </w:tcPr>
          <w:p>
            <w:pPr>
              <w:jc w:val="center"/>
              <w:rPr>
                <w:rFonts w:ascii="宋体" w:hAnsi="Bookman Old Style"/>
                <w:color w:val="auto"/>
                <w:sz w:val="24"/>
                <w:highlight w:val="none"/>
              </w:rPr>
            </w:pPr>
            <w:r>
              <w:rPr>
                <w:rFonts w:hint="eastAsia" w:ascii="宋体" w:hAnsi="Bookman Old Style"/>
                <w:color w:val="auto"/>
                <w:sz w:val="24"/>
                <w:highlight w:val="none"/>
              </w:rPr>
              <w:t>货物名称</w:t>
            </w:r>
          </w:p>
        </w:tc>
        <w:tc>
          <w:tcPr>
            <w:tcW w:w="635" w:type="dxa"/>
            <w:noWrap w:val="0"/>
            <w:vAlign w:val="center"/>
          </w:tcPr>
          <w:p>
            <w:pPr>
              <w:jc w:val="center"/>
              <w:rPr>
                <w:rFonts w:ascii="宋体" w:hAnsi="Bookman Old Style"/>
                <w:color w:val="auto"/>
                <w:sz w:val="24"/>
                <w:highlight w:val="none"/>
              </w:rPr>
            </w:pPr>
            <w:r>
              <w:rPr>
                <w:rFonts w:hint="eastAsia" w:ascii="宋体" w:hAnsi="Bookman Old Style"/>
                <w:color w:val="auto"/>
                <w:sz w:val="24"/>
                <w:highlight w:val="none"/>
              </w:rPr>
              <w:t>数量</w:t>
            </w:r>
          </w:p>
        </w:tc>
        <w:tc>
          <w:tcPr>
            <w:tcW w:w="1320" w:type="dxa"/>
            <w:noWrap w:val="0"/>
            <w:vAlign w:val="center"/>
          </w:tcPr>
          <w:p>
            <w:pPr>
              <w:jc w:val="center"/>
              <w:rPr>
                <w:rFonts w:ascii="宋体" w:hAnsi="Bookman Old Style"/>
                <w:color w:val="auto"/>
                <w:sz w:val="24"/>
                <w:highlight w:val="none"/>
              </w:rPr>
            </w:pPr>
            <w:r>
              <w:rPr>
                <w:rFonts w:hint="eastAsia" w:ascii="宋体" w:hAnsi="Bookman Old Style"/>
                <w:color w:val="auto"/>
                <w:sz w:val="24"/>
                <w:highlight w:val="none"/>
              </w:rPr>
              <w:t>交货期</w:t>
            </w:r>
          </w:p>
        </w:tc>
        <w:tc>
          <w:tcPr>
            <w:tcW w:w="1765" w:type="dxa"/>
            <w:noWrap w:val="0"/>
            <w:vAlign w:val="center"/>
          </w:tcPr>
          <w:p>
            <w:pPr>
              <w:jc w:val="center"/>
              <w:rPr>
                <w:rFonts w:hint="eastAsia" w:ascii="宋体" w:hAnsi="Bookman Old Style"/>
                <w:color w:val="auto"/>
                <w:sz w:val="24"/>
                <w:highlight w:val="none"/>
              </w:rPr>
            </w:pPr>
            <w:r>
              <w:rPr>
                <w:rFonts w:hint="eastAsia" w:ascii="宋体" w:hAnsi="Bookman Old Style"/>
                <w:color w:val="auto"/>
                <w:sz w:val="24"/>
                <w:highlight w:val="none"/>
              </w:rPr>
              <w:t>指定到货港</w:t>
            </w:r>
          </w:p>
        </w:tc>
        <w:tc>
          <w:tcPr>
            <w:tcW w:w="2520" w:type="dxa"/>
            <w:noWrap w:val="0"/>
            <w:vAlign w:val="center"/>
          </w:tcPr>
          <w:p>
            <w:pPr>
              <w:jc w:val="center"/>
              <w:rPr>
                <w:rFonts w:ascii="宋体" w:hAnsi="Bookman Old Style"/>
                <w:color w:val="auto"/>
                <w:sz w:val="24"/>
                <w:highlight w:val="none"/>
                <w:shd w:val="pct10" w:color="auto" w:fill="FFFFFF"/>
              </w:rPr>
            </w:pPr>
            <w:r>
              <w:rPr>
                <w:rFonts w:hint="eastAsia" w:ascii="宋体" w:hAnsi="Bookman Old Style"/>
                <w:color w:val="auto"/>
                <w:sz w:val="24"/>
                <w:highlight w:val="none"/>
              </w:rPr>
              <w:t>项目现场（交货地点）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62" w:type="dxa"/>
            <w:noWrap w:val="0"/>
            <w:vAlign w:val="center"/>
          </w:tcPr>
          <w:p>
            <w:pPr>
              <w:jc w:val="center"/>
              <w:rPr>
                <w:rFonts w:hint="eastAsia" w:ascii="宋体"/>
                <w:color w:val="auto"/>
                <w:sz w:val="24"/>
                <w:highlight w:val="none"/>
              </w:rPr>
            </w:pPr>
            <w:r>
              <w:rPr>
                <w:rFonts w:hint="eastAsia" w:ascii="宋体"/>
                <w:color w:val="auto"/>
                <w:sz w:val="24"/>
                <w:highlight w:val="none"/>
              </w:rPr>
              <w:t>1</w:t>
            </w:r>
          </w:p>
        </w:tc>
        <w:tc>
          <w:tcPr>
            <w:tcW w:w="2640" w:type="dxa"/>
            <w:noWrap w:val="0"/>
            <w:vAlign w:val="center"/>
          </w:tcPr>
          <w:p>
            <w:pPr>
              <w:jc w:val="center"/>
              <w:rPr>
                <w:rFonts w:hint="eastAsia" w:ascii="Bookman Old Style" w:hAnsi="Bookman Old Style"/>
                <w:color w:val="auto"/>
                <w:sz w:val="24"/>
                <w:highlight w:val="none"/>
              </w:rPr>
            </w:pPr>
            <w:r>
              <w:rPr>
                <w:rFonts w:hint="eastAsia" w:ascii="宋体" w:hAnsi="宋体"/>
                <w:color w:val="auto"/>
                <w:sz w:val="24"/>
                <w:highlight w:val="none"/>
              </w:rPr>
              <w:t>桌上型扫描电子显微镜</w:t>
            </w:r>
          </w:p>
        </w:tc>
        <w:tc>
          <w:tcPr>
            <w:tcW w:w="635" w:type="dxa"/>
            <w:noWrap w:val="0"/>
            <w:vAlign w:val="center"/>
          </w:tcPr>
          <w:p>
            <w:pPr>
              <w:jc w:val="center"/>
              <w:rPr>
                <w:rFonts w:hint="eastAsia" w:ascii="宋体" w:hAnsi="Bookman Old Style"/>
                <w:color w:val="auto"/>
                <w:sz w:val="24"/>
                <w:highlight w:val="none"/>
              </w:rPr>
            </w:pPr>
            <w:r>
              <w:rPr>
                <w:rFonts w:hint="eastAsia" w:ascii="宋体" w:hAnsi="宋体"/>
                <w:color w:val="auto"/>
                <w:sz w:val="24"/>
                <w:highlight w:val="none"/>
              </w:rPr>
              <w:t>1套</w:t>
            </w:r>
          </w:p>
        </w:tc>
        <w:tc>
          <w:tcPr>
            <w:tcW w:w="5605" w:type="dxa"/>
            <w:gridSpan w:val="3"/>
            <w:noWrap w:val="0"/>
            <w:vAlign w:val="center"/>
          </w:tcPr>
          <w:p>
            <w:pPr>
              <w:jc w:val="center"/>
              <w:rPr>
                <w:rFonts w:ascii="宋体" w:hAnsi="Bookman Old Style"/>
                <w:color w:val="auto"/>
                <w:sz w:val="24"/>
                <w:highlight w:val="none"/>
              </w:rPr>
            </w:pPr>
            <w:r>
              <w:rPr>
                <w:rFonts w:hint="eastAsia" w:ascii="宋体" w:hAnsi="Bookman Old Style"/>
                <w:color w:val="auto"/>
                <w:sz w:val="24"/>
                <w:highlight w:val="none"/>
              </w:rPr>
              <w:t>详见具体技术规格</w:t>
            </w:r>
          </w:p>
        </w:tc>
      </w:tr>
    </w:tbl>
    <w:p>
      <w:pPr>
        <w:adjustRightInd w:val="0"/>
        <w:snapToGrid w:val="0"/>
        <w:jc w:val="center"/>
        <w:rPr>
          <w:rFonts w:hint="eastAsia" w:ascii="宋体" w:hAnsi="宋体"/>
          <w:b/>
          <w:color w:val="auto"/>
          <w:sz w:val="30"/>
          <w:szCs w:val="30"/>
          <w:highlight w:val="none"/>
        </w:rPr>
      </w:pPr>
    </w:p>
    <w:p>
      <w:pPr>
        <w:adjustRightInd w:val="0"/>
        <w:snapToGrid w:val="0"/>
        <w:jc w:val="center"/>
        <w:rPr>
          <w:rFonts w:hint="eastAsia" w:ascii="宋体" w:hAnsi="宋体"/>
          <w:b/>
          <w:color w:val="auto"/>
          <w:sz w:val="30"/>
          <w:szCs w:val="30"/>
          <w:highlight w:val="none"/>
        </w:rPr>
      </w:pPr>
    </w:p>
    <w:p>
      <w:pPr>
        <w:adjustRightInd w:val="0"/>
        <w:snapToGrid w:val="0"/>
        <w:jc w:val="center"/>
        <w:rPr>
          <w:rFonts w:hint="eastAsia" w:ascii="宋体" w:hAnsi="宋体"/>
          <w:b/>
          <w:color w:val="auto"/>
          <w:sz w:val="30"/>
          <w:szCs w:val="30"/>
          <w:highlight w:val="none"/>
        </w:rPr>
      </w:pPr>
    </w:p>
    <w:p>
      <w:pPr>
        <w:rPr>
          <w:rFonts w:hint="eastAsia" w:ascii="Bookman Old Style" w:hAnsi="Bookman Old Style"/>
          <w:color w:val="auto"/>
          <w:sz w:val="24"/>
          <w:highlight w:val="none"/>
        </w:rPr>
      </w:pPr>
      <w:r>
        <w:rPr>
          <w:rFonts w:hint="eastAsia"/>
          <w:color w:val="auto"/>
          <w:sz w:val="24"/>
          <w:highlight w:val="none"/>
        </w:rPr>
        <w:t>注：投标人须对上述投标内容中完整的一包或几包进行投标，</w:t>
      </w:r>
      <w:r>
        <w:rPr>
          <w:rFonts w:hint="eastAsia" w:ascii="Bookman Old Style" w:hAnsi="Bookman Old Style"/>
          <w:color w:val="auto"/>
          <w:sz w:val="24"/>
          <w:highlight w:val="none"/>
        </w:rPr>
        <w:t>不完整的投标将视为非响应性投标予以拒绝。</w:t>
      </w: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b/>
          <w:color w:val="auto"/>
          <w:sz w:val="30"/>
          <w:szCs w:val="30"/>
          <w:highlight w:val="none"/>
        </w:rPr>
      </w:pPr>
      <w:r>
        <w:rPr>
          <w:rFonts w:ascii="宋体" w:hAnsi="宋体"/>
          <w:b/>
          <w:color w:val="auto"/>
          <w:sz w:val="30"/>
          <w:szCs w:val="30"/>
          <w:highlight w:val="none"/>
        </w:rPr>
        <w:br w:type="page"/>
      </w:r>
    </w:p>
    <w:p>
      <w:pPr>
        <w:numPr>
          <w:ilvl w:val="2"/>
          <w:numId w:val="1"/>
        </w:numPr>
        <w:tabs>
          <w:tab w:val="left" w:pos="720"/>
          <w:tab w:val="clear" w:pos="1560"/>
        </w:tabs>
        <w:adjustRightInd w:val="0"/>
        <w:snapToGrid w:val="0"/>
        <w:ind w:hanging="1560"/>
        <w:jc w:val="center"/>
        <w:rPr>
          <w:rFonts w:ascii="宋体" w:hAnsi="宋体"/>
          <w:b/>
          <w:color w:val="auto"/>
          <w:sz w:val="30"/>
          <w:szCs w:val="30"/>
          <w:highlight w:val="none"/>
        </w:rPr>
      </w:pPr>
      <w:r>
        <w:rPr>
          <w:rFonts w:hint="eastAsia" w:ascii="宋体" w:hAnsi="宋体"/>
          <w:b/>
          <w:color w:val="auto"/>
          <w:sz w:val="30"/>
          <w:szCs w:val="30"/>
          <w:highlight w:val="none"/>
        </w:rPr>
        <w:t>总则</w:t>
      </w:r>
    </w:p>
    <w:p>
      <w:pPr>
        <w:spacing w:before="156" w:beforeLines="50" w:after="156" w:afterLines="50" w:line="360" w:lineRule="auto"/>
        <w:ind w:left="601" w:hanging="601"/>
        <w:rPr>
          <w:rFonts w:ascii="宋体" w:hAnsi="宋体"/>
          <w:b/>
          <w:color w:val="auto"/>
          <w:sz w:val="28"/>
          <w:highlight w:val="none"/>
        </w:rPr>
      </w:pPr>
      <w:r>
        <w:rPr>
          <w:rFonts w:ascii="宋体" w:hAnsi="宋体"/>
          <w:b/>
          <w:color w:val="auto"/>
          <w:sz w:val="28"/>
          <w:highlight w:val="none"/>
        </w:rPr>
        <w:t>1</w:t>
      </w:r>
      <w:r>
        <w:rPr>
          <w:rFonts w:hint="eastAsia" w:ascii="宋体" w:hAnsi="宋体"/>
          <w:b/>
          <w:color w:val="auto"/>
          <w:sz w:val="28"/>
          <w:highlight w:val="none"/>
        </w:rPr>
        <w:t>、投标要求</w:t>
      </w:r>
    </w:p>
    <w:p>
      <w:pPr>
        <w:spacing w:line="360" w:lineRule="auto"/>
        <w:ind w:left="554" w:hanging="554" w:hangingChars="231"/>
        <w:rPr>
          <w:rFonts w:hint="eastAsia" w:ascii="宋体" w:hAnsi="宋体"/>
          <w:color w:val="auto"/>
          <w:sz w:val="24"/>
          <w:highlight w:val="none"/>
        </w:rPr>
      </w:pPr>
      <w:r>
        <w:rPr>
          <w:rFonts w:ascii="宋体" w:hAnsi="宋体"/>
          <w:color w:val="auto"/>
          <w:sz w:val="24"/>
          <w:highlight w:val="none"/>
        </w:rPr>
        <w:t xml:space="preserve">1.1 </w:t>
      </w:r>
      <w:r>
        <w:rPr>
          <w:rFonts w:hint="eastAsia" w:ascii="宋体" w:hAnsi="宋体"/>
          <w:color w:val="auto"/>
          <w:sz w:val="24"/>
          <w:highlight w:val="none"/>
        </w:rPr>
        <w:t xml:space="preserve"> 投标人在准备投标书时，务必在所提供的商品的技术规格文件中，标明型号、商标名称、目录号。</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pPr>
        <w:spacing w:line="360" w:lineRule="auto"/>
        <w:ind w:left="554" w:hanging="554" w:hangingChars="231"/>
        <w:rPr>
          <w:rFonts w:hint="eastAsia" w:ascii="宋体"/>
          <w:color w:val="auto"/>
          <w:sz w:val="24"/>
          <w:highlight w:val="none"/>
        </w:rPr>
      </w:pPr>
      <w:r>
        <w:rPr>
          <w:rFonts w:hint="eastAsia" w:ascii="宋体" w:hAnsi="宋体"/>
          <w:color w:val="auto"/>
          <w:sz w:val="24"/>
          <w:highlight w:val="none"/>
        </w:rPr>
        <w:t xml:space="preserve">1.3  </w:t>
      </w:r>
      <w:r>
        <w:rPr>
          <w:rFonts w:hint="eastAsia"/>
          <w:color w:val="auto"/>
          <w:sz w:val="24"/>
          <w:highlight w:val="none"/>
        </w:rPr>
        <w:t>投标人提供的</w:t>
      </w:r>
      <w:r>
        <w:rPr>
          <w:rFonts w:hint="eastAsia" w:ascii="宋体"/>
          <w:color w:val="auto"/>
          <w:sz w:val="24"/>
          <w:highlight w:val="none"/>
        </w:rPr>
        <w:t>产品</w:t>
      </w:r>
      <w:r>
        <w:rPr>
          <w:rFonts w:hint="eastAsia"/>
          <w:color w:val="auto"/>
          <w:sz w:val="24"/>
          <w:highlight w:val="none"/>
        </w:rPr>
        <w:t>样本，必须是“原件”而非复印件，</w:t>
      </w:r>
      <w:r>
        <w:rPr>
          <w:rFonts w:hint="eastAsia" w:ascii="宋体"/>
          <w:color w:val="auto"/>
          <w:sz w:val="24"/>
          <w:highlight w:val="none"/>
        </w:rPr>
        <w:t>图表、简图、电路图以及印刷电路板图等都应</w:t>
      </w:r>
      <w:r>
        <w:rPr>
          <w:rFonts w:hint="eastAsia"/>
          <w:color w:val="auto"/>
          <w:sz w:val="24"/>
          <w:highlight w:val="none"/>
        </w:rPr>
        <w:t>清晰易读。买方有权</w:t>
      </w:r>
      <w:r>
        <w:rPr>
          <w:rFonts w:hint="eastAsia" w:ascii="宋体"/>
          <w:color w:val="auto"/>
          <w:sz w:val="24"/>
          <w:highlight w:val="none"/>
        </w:rPr>
        <w:t>不付任何附加费用</w:t>
      </w:r>
      <w:r>
        <w:rPr>
          <w:rFonts w:hint="eastAsia"/>
          <w:color w:val="auto"/>
          <w:sz w:val="24"/>
          <w:highlight w:val="none"/>
        </w:rPr>
        <w:t>复制这些资料</w:t>
      </w:r>
      <w:r>
        <w:rPr>
          <w:rFonts w:hint="eastAsia" w:ascii="宋体"/>
          <w:color w:val="auto"/>
          <w:sz w:val="24"/>
          <w:highlight w:val="none"/>
        </w:rPr>
        <w:t>以供参考。</w:t>
      </w:r>
    </w:p>
    <w:p>
      <w:pPr>
        <w:spacing w:line="360" w:lineRule="auto"/>
        <w:ind w:left="554" w:hanging="554" w:hangingChars="231"/>
        <w:rPr>
          <w:rFonts w:hint="eastAsia" w:ascii="宋体"/>
          <w:color w:val="auto"/>
          <w:sz w:val="24"/>
          <w:highlight w:val="none"/>
        </w:rPr>
      </w:pPr>
      <w:r>
        <w:rPr>
          <w:rFonts w:hint="eastAsia" w:ascii="宋体"/>
          <w:color w:val="auto"/>
          <w:sz w:val="24"/>
          <w:highlight w:val="none"/>
        </w:rPr>
        <w:t>1.4  投标人的投标产品应符合国家有关部门规定的相应技术、节能、安全和环保标准；如国家有关部门对投标人的投标产品有强制性规定或要求的，则投标人的投标产品必须符合相应规定或要求。</w:t>
      </w:r>
    </w:p>
    <w:p>
      <w:pPr>
        <w:spacing w:before="156" w:beforeLines="50" w:after="156" w:afterLines="50" w:line="360" w:lineRule="auto"/>
        <w:ind w:left="601" w:hanging="601"/>
        <w:rPr>
          <w:rFonts w:ascii="宋体" w:hAnsi="宋体"/>
          <w:b/>
          <w:color w:val="auto"/>
          <w:sz w:val="28"/>
          <w:highlight w:val="none"/>
        </w:rPr>
      </w:pPr>
      <w:r>
        <w:rPr>
          <w:rFonts w:hint="eastAsia" w:ascii="宋体" w:hAnsi="宋体"/>
          <w:b/>
          <w:color w:val="auto"/>
          <w:sz w:val="28"/>
          <w:highlight w:val="none"/>
        </w:rPr>
        <w:t>2、评标标准</w:t>
      </w:r>
    </w:p>
    <w:p>
      <w:pPr>
        <w:spacing w:line="360" w:lineRule="auto"/>
        <w:ind w:left="554" w:hanging="554" w:hangingChars="231"/>
        <w:rPr>
          <w:rFonts w:hint="eastAsia" w:ascii="宋体"/>
          <w:color w:val="auto"/>
          <w:sz w:val="24"/>
          <w:highlight w:val="none"/>
        </w:rPr>
      </w:pPr>
      <w:r>
        <w:rPr>
          <w:rFonts w:ascii="宋体" w:hAnsi="宋体"/>
          <w:color w:val="auto"/>
          <w:sz w:val="24"/>
          <w:highlight w:val="none"/>
        </w:rPr>
        <w:t>2.</w:t>
      </w:r>
      <w:r>
        <w:rPr>
          <w:rFonts w:hint="eastAsia" w:ascii="宋体" w:hAnsi="宋体"/>
          <w:color w:val="auto"/>
          <w:sz w:val="24"/>
          <w:highlight w:val="none"/>
        </w:rPr>
        <w:t xml:space="preserve">1  </w:t>
      </w:r>
      <w:r>
        <w:rPr>
          <w:rFonts w:hint="eastAsia"/>
          <w:color w:val="auto"/>
          <w:sz w:val="24"/>
          <w:highlight w:val="none"/>
        </w:rPr>
        <w:t>除招标文件中指定的附件和专用工具外，</w:t>
      </w:r>
      <w:r>
        <w:rPr>
          <w:rFonts w:hint="eastAsia" w:ascii="宋体"/>
          <w:color w:val="auto"/>
          <w:sz w:val="24"/>
          <w:highlight w:val="none"/>
        </w:rPr>
        <w:t>投标人应提供仪器设备的正常运行和常规保养所需的全套标准附件、专用工具</w:t>
      </w:r>
      <w:r>
        <w:rPr>
          <w:rFonts w:hint="eastAsia"/>
          <w:color w:val="auto"/>
          <w:sz w:val="24"/>
          <w:highlight w:val="none"/>
        </w:rPr>
        <w:t>和消耗品</w:t>
      </w:r>
      <w:r>
        <w:rPr>
          <w:rFonts w:hint="eastAsia" w:ascii="宋体"/>
          <w:color w:val="auto"/>
          <w:sz w:val="24"/>
          <w:highlight w:val="none"/>
        </w:rPr>
        <w:t>。投标人在投标书中需列出这些附件和工具的数量和单价的清单，这些附件和工具的报价的总值需计入投标价中。</w:t>
      </w:r>
    </w:p>
    <w:p>
      <w:pPr>
        <w:spacing w:line="360" w:lineRule="auto"/>
        <w:ind w:left="554" w:hanging="554" w:hangingChars="231"/>
        <w:rPr>
          <w:rFonts w:hint="eastAsia"/>
          <w:color w:val="auto"/>
          <w:sz w:val="24"/>
          <w:highlight w:val="none"/>
        </w:rPr>
      </w:pPr>
      <w:r>
        <w:rPr>
          <w:rFonts w:hint="eastAsia" w:ascii="宋体" w:hAnsi="宋体"/>
          <w:color w:val="auto"/>
          <w:sz w:val="24"/>
          <w:highlight w:val="none"/>
        </w:rPr>
        <w:t xml:space="preserve">2.2  </w:t>
      </w:r>
      <w:r>
        <w:rPr>
          <w:rFonts w:hint="eastAsia"/>
          <w:color w:val="auto"/>
          <w:sz w:val="24"/>
          <w:highlight w:val="none"/>
        </w:rPr>
        <w:t>对于标书</w:t>
      </w:r>
      <w:r>
        <w:rPr>
          <w:rFonts w:hint="eastAsia" w:ascii="宋体"/>
          <w:color w:val="auto"/>
          <w:sz w:val="24"/>
          <w:highlight w:val="none"/>
        </w:rPr>
        <w:t>技术规范中已列</w:t>
      </w:r>
      <w:r>
        <w:rPr>
          <w:rFonts w:hint="eastAsia"/>
          <w:color w:val="auto"/>
          <w:sz w:val="24"/>
          <w:highlight w:val="none"/>
        </w:rPr>
        <w:t>出的作为查询选件的附件、零配件、专用工具和消耗品，投标书中</w:t>
      </w:r>
      <w:r>
        <w:rPr>
          <w:rFonts w:hint="eastAsia" w:ascii="宋体"/>
          <w:color w:val="auto"/>
          <w:sz w:val="24"/>
          <w:highlight w:val="none"/>
        </w:rPr>
        <w:t>应列明其数量、单价、总价供买方参考。投标人也可推荐买方没有要求的附件或专用工具作为选件，并列明其数量、单价、总价供买方参考。选件价格不计入评标价中。</w:t>
      </w:r>
      <w:r>
        <w:rPr>
          <w:rFonts w:hint="eastAsia"/>
          <w:color w:val="auto"/>
          <w:sz w:val="24"/>
          <w:highlight w:val="none"/>
        </w:rPr>
        <w:t>选件一旦为用户接受，其费用将加入合同价中。</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2.3  为便于用户进行接收仪器的准备工作，卖方应在合同生效后</w:t>
      </w:r>
      <w:r>
        <w:rPr>
          <w:rFonts w:hint="eastAsia" w:ascii="宋体" w:hAnsi="宋体"/>
          <w:b/>
          <w:color w:val="auto"/>
          <w:sz w:val="24"/>
          <w:highlight w:val="none"/>
        </w:rPr>
        <w:t>60</w:t>
      </w:r>
      <w:r>
        <w:rPr>
          <w:rFonts w:hint="eastAsia" w:ascii="宋体" w:hAnsi="宋体"/>
          <w:color w:val="auto"/>
          <w:sz w:val="24"/>
          <w:highlight w:val="none"/>
        </w:rPr>
        <w:t>天内向用户提供一套完整的使用说明书、操作手册、维修及安装说明等文件。另一套完整上述资料应在交货时随货包装提供给用户，这些费用应计入投标价中。</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w:t>
      </w:r>
      <w:r>
        <w:rPr>
          <w:rFonts w:hint="eastAsia" w:ascii="宋体" w:hAnsi="宋体"/>
          <w:color w:val="auto"/>
          <w:sz w:val="24"/>
          <w:highlight w:val="none"/>
        </w:rPr>
        <w:t>4</w:t>
      </w:r>
      <w:r>
        <w:rPr>
          <w:rFonts w:ascii="宋体" w:hAnsi="宋体"/>
          <w:color w:val="auto"/>
          <w:sz w:val="24"/>
          <w:highlight w:val="none"/>
        </w:rPr>
        <w:t xml:space="preserve"> </w:t>
      </w:r>
      <w:r>
        <w:rPr>
          <w:rFonts w:hint="eastAsia" w:ascii="宋体" w:hAnsi="宋体"/>
          <w:color w:val="auto"/>
          <w:sz w:val="24"/>
          <w:highlight w:val="none"/>
        </w:rPr>
        <w:t xml:space="preserve"> 关于设备的安装调试，如果有必要的安装准备条件，卖方应在合同生效后一个月内向买方提出详细的要求或计划。安装调试的费用应计入投标价中，并应单独列出，供评标使用。</w:t>
      </w:r>
    </w:p>
    <w:p>
      <w:pPr>
        <w:spacing w:line="360" w:lineRule="auto"/>
        <w:ind w:left="554" w:hanging="554" w:hangingChars="231"/>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5  制造厂家提供的培训指的是涉及货物的基本原理、操作使用和保养维修等有关内容的培训。培训教员的培训费、旅费、食宿费等费用和培训场地费及培训资料费均应由卖方支付。</w:t>
      </w:r>
    </w:p>
    <w:p>
      <w:pPr>
        <w:spacing w:before="156" w:beforeLines="50" w:after="156" w:afterLines="50" w:line="360" w:lineRule="auto"/>
        <w:ind w:left="601" w:hanging="601"/>
        <w:rPr>
          <w:rFonts w:hint="eastAsia" w:ascii="宋体" w:hAnsi="宋体"/>
          <w:b/>
          <w:color w:val="auto"/>
          <w:sz w:val="28"/>
          <w:highlight w:val="none"/>
        </w:rPr>
      </w:pPr>
      <w:r>
        <w:rPr>
          <w:rFonts w:hint="eastAsia" w:ascii="宋体" w:hAnsi="宋体"/>
          <w:b/>
          <w:color w:val="auto"/>
          <w:sz w:val="28"/>
          <w:highlight w:val="none"/>
        </w:rPr>
        <w:t>3、工作条件</w:t>
      </w:r>
    </w:p>
    <w:p>
      <w:pPr>
        <w:spacing w:after="312" w:afterLines="100" w:line="360" w:lineRule="auto"/>
        <w:rPr>
          <w:rFonts w:hint="eastAsia" w:ascii="宋体" w:hAnsi="宋体"/>
          <w:color w:val="auto"/>
          <w:sz w:val="24"/>
          <w:highlight w:val="none"/>
        </w:rPr>
      </w:pPr>
      <w:r>
        <w:rPr>
          <w:rFonts w:hint="eastAsia" w:ascii="宋体" w:hAnsi="宋体"/>
          <w:color w:val="auto"/>
          <w:sz w:val="24"/>
          <w:highlight w:val="none"/>
        </w:rPr>
        <w:t>除非在技术规格中另有说明，所有仪器、设备和系统都应符合下列要求：</w:t>
      </w:r>
      <w:r>
        <w:rPr>
          <w:rFonts w:ascii="宋体" w:hAnsi="宋体"/>
          <w:color w:val="auto"/>
          <w:sz w:val="24"/>
          <w:highlight w:val="none"/>
        </w:rPr>
        <w:t xml:space="preserve"> </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3.1  适于在气温为摄氏</w:t>
      </w:r>
      <w:r>
        <w:rPr>
          <w:rFonts w:ascii="宋体" w:hAnsi="宋体"/>
          <w:b/>
          <w:color w:val="auto"/>
          <w:sz w:val="24"/>
          <w:highlight w:val="none"/>
        </w:rPr>
        <w:t>-40</w:t>
      </w:r>
      <w:r>
        <w:rPr>
          <w:rFonts w:hint="eastAsia" w:ascii="宋体" w:hAnsi="宋体"/>
          <w:b/>
          <w:color w:val="auto"/>
          <w:sz w:val="24"/>
          <w:highlight w:val="none"/>
        </w:rPr>
        <w:t>℃～＋</w:t>
      </w:r>
      <w:r>
        <w:rPr>
          <w:rFonts w:ascii="宋体" w:hAnsi="宋体"/>
          <w:b/>
          <w:color w:val="auto"/>
          <w:sz w:val="24"/>
          <w:highlight w:val="none"/>
        </w:rPr>
        <w:t>50</w:t>
      </w:r>
      <w:r>
        <w:rPr>
          <w:rFonts w:hint="eastAsia" w:ascii="宋体" w:hAnsi="宋体"/>
          <w:b/>
          <w:color w:val="auto"/>
          <w:sz w:val="24"/>
          <w:highlight w:val="none"/>
        </w:rPr>
        <w:t>℃</w:t>
      </w:r>
      <w:r>
        <w:rPr>
          <w:rFonts w:hint="eastAsia" w:ascii="宋体" w:hAnsi="宋体"/>
          <w:color w:val="auto"/>
          <w:sz w:val="24"/>
          <w:highlight w:val="none"/>
        </w:rPr>
        <w:t>和相对湿度为</w:t>
      </w:r>
      <w:r>
        <w:rPr>
          <w:rFonts w:ascii="宋体" w:hAnsi="宋体"/>
          <w:b/>
          <w:color w:val="auto"/>
          <w:sz w:val="24"/>
          <w:highlight w:val="none"/>
        </w:rPr>
        <w:t>90</w:t>
      </w:r>
      <w:r>
        <w:rPr>
          <w:rFonts w:hint="eastAsia" w:ascii="宋体" w:hAnsi="宋体"/>
          <w:b/>
          <w:color w:val="auto"/>
          <w:sz w:val="24"/>
          <w:highlight w:val="none"/>
        </w:rPr>
        <w:t>％</w:t>
      </w:r>
      <w:r>
        <w:rPr>
          <w:rFonts w:hint="eastAsia" w:ascii="宋体" w:hAnsi="宋体"/>
          <w:color w:val="auto"/>
          <w:sz w:val="24"/>
          <w:highlight w:val="none"/>
        </w:rPr>
        <w:t>的环境条件下运输和贮存。</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3.2  适于在电源</w:t>
      </w:r>
      <w:r>
        <w:rPr>
          <w:rFonts w:ascii="宋体" w:hAnsi="宋体"/>
          <w:b/>
          <w:color w:val="auto"/>
          <w:sz w:val="24"/>
          <w:highlight w:val="none"/>
        </w:rPr>
        <w:t>220V</w:t>
      </w:r>
      <w:r>
        <w:rPr>
          <w:rFonts w:hint="eastAsia" w:ascii="宋体" w:hAnsi="宋体"/>
          <w:b/>
          <w:color w:val="auto"/>
          <w:sz w:val="24"/>
          <w:highlight w:val="none"/>
        </w:rPr>
        <w:t>（</w:t>
      </w:r>
      <w:r>
        <w:rPr>
          <w:rFonts w:ascii="宋体" w:hAnsi="宋体"/>
          <w:b/>
          <w:color w:val="auto"/>
          <w:sz w:val="24"/>
          <w:highlight w:val="none"/>
        </w:rPr>
        <w:sym w:font="Symbol" w:char="F0B1"/>
      </w:r>
      <w:r>
        <w:rPr>
          <w:rFonts w:ascii="宋体" w:hAnsi="宋体"/>
          <w:b/>
          <w:color w:val="auto"/>
          <w:sz w:val="24"/>
          <w:highlight w:val="none"/>
        </w:rPr>
        <w:t>10</w:t>
      </w:r>
      <w:r>
        <w:rPr>
          <w:rFonts w:hint="eastAsia" w:ascii="宋体" w:hAnsi="宋体"/>
          <w:b/>
          <w:color w:val="auto"/>
          <w:sz w:val="24"/>
          <w:highlight w:val="none"/>
        </w:rPr>
        <w:t>％）</w:t>
      </w:r>
      <w:r>
        <w:rPr>
          <w:rFonts w:ascii="宋体" w:hAnsi="宋体"/>
          <w:b/>
          <w:color w:val="auto"/>
          <w:sz w:val="24"/>
          <w:highlight w:val="none"/>
        </w:rPr>
        <w:t>/50Hz</w:t>
      </w:r>
      <w:r>
        <w:rPr>
          <w:rFonts w:hint="eastAsia" w:ascii="宋体" w:hAnsi="宋体"/>
          <w:color w:val="auto"/>
          <w:sz w:val="24"/>
          <w:highlight w:val="none"/>
        </w:rPr>
        <w:t>、气温摄氏</w:t>
      </w:r>
      <w:r>
        <w:rPr>
          <w:rFonts w:hint="eastAsia" w:ascii="宋体" w:hAnsi="宋体"/>
          <w:b/>
          <w:color w:val="auto"/>
          <w:sz w:val="24"/>
          <w:highlight w:val="none"/>
        </w:rPr>
        <w:t>+1</w:t>
      </w:r>
      <w:r>
        <w:rPr>
          <w:rFonts w:ascii="宋体" w:hAnsi="宋体"/>
          <w:b/>
          <w:color w:val="auto"/>
          <w:sz w:val="24"/>
          <w:highlight w:val="none"/>
        </w:rPr>
        <w:t>5</w:t>
      </w:r>
      <w:r>
        <w:rPr>
          <w:rFonts w:hint="eastAsia" w:ascii="宋体" w:hAnsi="宋体"/>
          <w:b/>
          <w:color w:val="auto"/>
          <w:sz w:val="24"/>
          <w:highlight w:val="none"/>
        </w:rPr>
        <w:t>℃～＋3</w:t>
      </w:r>
      <w:r>
        <w:rPr>
          <w:rFonts w:ascii="宋体" w:hAnsi="宋体"/>
          <w:b/>
          <w:color w:val="auto"/>
          <w:sz w:val="24"/>
          <w:highlight w:val="none"/>
        </w:rPr>
        <w:t>0</w:t>
      </w:r>
      <w:r>
        <w:rPr>
          <w:rFonts w:hint="eastAsia" w:ascii="宋体" w:hAnsi="宋体"/>
          <w:b/>
          <w:color w:val="auto"/>
          <w:sz w:val="24"/>
          <w:highlight w:val="none"/>
        </w:rPr>
        <w:t>℃</w:t>
      </w:r>
      <w:r>
        <w:rPr>
          <w:rFonts w:hint="eastAsia" w:ascii="宋体" w:hAnsi="宋体"/>
          <w:color w:val="auto"/>
          <w:sz w:val="24"/>
          <w:highlight w:val="none"/>
        </w:rPr>
        <w:t>和相对湿度小于</w:t>
      </w:r>
      <w:r>
        <w:rPr>
          <w:rFonts w:ascii="宋体" w:hAnsi="宋体"/>
          <w:b/>
          <w:color w:val="auto"/>
          <w:sz w:val="24"/>
          <w:highlight w:val="none"/>
        </w:rPr>
        <w:t>8</w:t>
      </w:r>
      <w:r>
        <w:rPr>
          <w:rFonts w:hint="eastAsia" w:ascii="宋体" w:hAnsi="宋体"/>
          <w:b/>
          <w:color w:val="auto"/>
          <w:sz w:val="24"/>
          <w:highlight w:val="none"/>
        </w:rPr>
        <w:t>0％</w:t>
      </w:r>
      <w:r>
        <w:rPr>
          <w:rFonts w:hint="eastAsia" w:ascii="宋体" w:hAnsi="宋体"/>
          <w:color w:val="auto"/>
          <w:sz w:val="24"/>
          <w:highlight w:val="none"/>
        </w:rPr>
        <w:t>的环境条件下运行。</w:t>
      </w:r>
      <w:r>
        <w:rPr>
          <w:rFonts w:hint="eastAsia" w:ascii="宋体" w:hAnsi="宋体"/>
          <w:b/>
          <w:color w:val="auto"/>
          <w:sz w:val="24"/>
          <w:highlight w:val="none"/>
        </w:rPr>
        <w:t>能够连续正常工作。</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3.3  配置符合中国有关标准要求的插头，如果没有这样的插头，则需</w:t>
      </w:r>
      <w:r>
        <w:rPr>
          <w:rFonts w:hint="eastAsia" w:ascii="宋体"/>
          <w:color w:val="auto"/>
          <w:sz w:val="24"/>
          <w:highlight w:val="none"/>
        </w:rPr>
        <w:t>提供适当的转</w:t>
      </w:r>
      <w:r>
        <w:rPr>
          <w:rFonts w:hint="eastAsia" w:ascii="宋体" w:hAnsi="宋体"/>
          <w:color w:val="auto"/>
          <w:sz w:val="24"/>
          <w:highlight w:val="none"/>
        </w:rPr>
        <w:t>换插座。</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3.4  如产品达不到上述要求，投标人应注明其偏差。如仪器设备需要特殊工作条件（如水、电源、磁场强度、温度、湿度、动强度等）投标人应在投标书中加以说明。</w:t>
      </w:r>
    </w:p>
    <w:p>
      <w:pPr>
        <w:rPr>
          <w:rFonts w:hint="eastAsia" w:eastAsia="黑体"/>
          <w:b/>
          <w:bCs/>
          <w:color w:val="auto"/>
          <w:kern w:val="44"/>
          <w:sz w:val="24"/>
          <w:highlight w:val="none"/>
        </w:rPr>
      </w:pPr>
    </w:p>
    <w:p>
      <w:pPr>
        <w:spacing w:before="156" w:beforeLines="50" w:after="156" w:afterLines="50" w:line="360" w:lineRule="auto"/>
        <w:ind w:left="601" w:hanging="601"/>
        <w:rPr>
          <w:rFonts w:hint="eastAsia" w:ascii="宋体" w:hAnsi="宋体"/>
          <w:b/>
          <w:color w:val="auto"/>
          <w:sz w:val="28"/>
          <w:highlight w:val="none"/>
        </w:rPr>
      </w:pPr>
      <w:r>
        <w:rPr>
          <w:rFonts w:hint="eastAsia" w:ascii="宋体" w:hAnsi="宋体"/>
          <w:b/>
          <w:color w:val="auto"/>
          <w:sz w:val="28"/>
          <w:highlight w:val="none"/>
        </w:rPr>
        <w:t>4、验收标准</w:t>
      </w:r>
    </w:p>
    <w:p>
      <w:pPr>
        <w:spacing w:after="312" w:afterLines="100" w:line="360" w:lineRule="auto"/>
        <w:rPr>
          <w:rFonts w:hint="eastAsia" w:ascii="宋体" w:hAnsi="宋体"/>
          <w:color w:val="auto"/>
          <w:sz w:val="24"/>
          <w:highlight w:val="none"/>
        </w:rPr>
      </w:pPr>
      <w:r>
        <w:rPr>
          <w:rFonts w:hint="eastAsia" w:ascii="宋体" w:hAnsi="宋体"/>
          <w:color w:val="auto"/>
          <w:sz w:val="24"/>
          <w:highlight w:val="none"/>
        </w:rPr>
        <w:t>除非在技术规格中另有说明，所有仪器、设备和系统按下列要求进行验收：</w:t>
      </w:r>
      <w:r>
        <w:rPr>
          <w:rFonts w:ascii="宋体" w:hAnsi="宋体"/>
          <w:color w:val="auto"/>
          <w:sz w:val="24"/>
          <w:highlight w:val="none"/>
        </w:rPr>
        <w:t xml:space="preserve"> </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4.1  仪器设备运抵安装现场后，买方将与卖方共同开箱验收</w:t>
      </w:r>
      <w:r>
        <w:rPr>
          <w:rFonts w:ascii="宋体" w:hAnsi="宋体"/>
          <w:color w:val="auto"/>
          <w:sz w:val="24"/>
          <w:highlight w:val="none"/>
        </w:rPr>
        <w:t xml:space="preserve">, </w:t>
      </w:r>
      <w:r>
        <w:rPr>
          <w:rFonts w:hint="eastAsia" w:ascii="宋体" w:hAnsi="宋体"/>
          <w:color w:val="auto"/>
          <w:sz w:val="24"/>
          <w:highlight w:val="none"/>
        </w:rPr>
        <w:t>如卖方届时不派人来</w:t>
      </w:r>
      <w:r>
        <w:rPr>
          <w:rFonts w:ascii="宋体" w:hAnsi="宋体"/>
          <w:color w:val="auto"/>
          <w:sz w:val="24"/>
          <w:highlight w:val="none"/>
        </w:rPr>
        <w:t xml:space="preserve">, </w:t>
      </w:r>
      <w:r>
        <w:rPr>
          <w:rFonts w:hint="eastAsia" w:ascii="宋体" w:hAnsi="宋体"/>
          <w:color w:val="auto"/>
          <w:sz w:val="24"/>
          <w:highlight w:val="none"/>
        </w:rPr>
        <w:t>则验收结果应以买方的验收报告为最终验收结果。验收时发现短缺、破损</w:t>
      </w:r>
      <w:r>
        <w:rPr>
          <w:rFonts w:ascii="宋体" w:hAnsi="宋体"/>
          <w:color w:val="auto"/>
          <w:sz w:val="24"/>
          <w:highlight w:val="none"/>
        </w:rPr>
        <w:t xml:space="preserve">, </w:t>
      </w:r>
      <w:r>
        <w:rPr>
          <w:rFonts w:hint="eastAsia" w:ascii="宋体" w:hAnsi="宋体"/>
          <w:color w:val="auto"/>
          <w:sz w:val="24"/>
          <w:highlight w:val="none"/>
        </w:rPr>
        <w:t>买方有权要求卖方负责更换。</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 xml:space="preserve">4.2  </w:t>
      </w:r>
      <w:r>
        <w:rPr>
          <w:rFonts w:hint="eastAsia"/>
          <w:color w:val="auto"/>
          <w:sz w:val="24"/>
          <w:highlight w:val="none"/>
        </w:rPr>
        <w:t>验收标准以中标人提供的投标文件中所列的指标为准（该指标应不低于招标文件所要求的指标）。任何虚假指标响应一经发现即作废标，卖方必须承担由此给买方带来的一切经济损失和其它相关责任。</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 xml:space="preserve">4.3  </w:t>
      </w:r>
      <w:r>
        <w:rPr>
          <w:rFonts w:ascii="宋体" w:hAnsi="宋体"/>
          <w:color w:val="auto"/>
          <w:sz w:val="24"/>
          <w:highlight w:val="none"/>
        </w:rPr>
        <w:t>验收由采购人、中标人及相关人员依国家有关标准、合同及有关附件要求进行，验收完毕由采购人及中标人在验收报告上签名。</w:t>
      </w:r>
    </w:p>
    <w:p>
      <w:pPr>
        <w:pStyle w:val="2"/>
        <w:spacing w:line="360" w:lineRule="auto"/>
        <w:ind w:left="410" w:hanging="410" w:hangingChars="170"/>
        <w:rPr>
          <w:rFonts w:hint="eastAsia" w:hAnsi="宋体"/>
          <w:b/>
          <w:color w:val="auto"/>
          <w:sz w:val="24"/>
          <w:szCs w:val="24"/>
          <w:highlight w:val="none"/>
        </w:rPr>
      </w:pPr>
    </w:p>
    <w:p>
      <w:pPr>
        <w:pStyle w:val="2"/>
        <w:spacing w:line="360" w:lineRule="auto"/>
        <w:ind w:left="410" w:hanging="410" w:hangingChars="170"/>
        <w:rPr>
          <w:rFonts w:hint="eastAsia" w:hAnsi="宋体"/>
          <w:b/>
          <w:color w:val="auto"/>
          <w:sz w:val="24"/>
          <w:szCs w:val="24"/>
          <w:highlight w:val="none"/>
        </w:rPr>
      </w:pPr>
      <w:r>
        <w:rPr>
          <w:rFonts w:hint="eastAsia" w:hAnsi="宋体"/>
          <w:b/>
          <w:color w:val="auto"/>
          <w:sz w:val="24"/>
          <w:szCs w:val="24"/>
          <w:highlight w:val="none"/>
        </w:rPr>
        <w:t>5、本技术规格书中标注“*”号的为实质性要求，不满足其投标将被拒绝。</w:t>
      </w:r>
    </w:p>
    <w:p>
      <w:pPr>
        <w:pStyle w:val="2"/>
        <w:spacing w:line="360" w:lineRule="auto"/>
        <w:rPr>
          <w:rFonts w:hint="eastAsia" w:hAnsi="宋体"/>
          <w:b/>
          <w:color w:val="auto"/>
          <w:sz w:val="24"/>
          <w:szCs w:val="24"/>
          <w:highlight w:val="none"/>
        </w:rPr>
      </w:pPr>
    </w:p>
    <w:p>
      <w:pPr>
        <w:pStyle w:val="2"/>
        <w:spacing w:line="360" w:lineRule="auto"/>
        <w:rPr>
          <w:rFonts w:hint="eastAsia" w:hAnsi="宋体"/>
          <w:b/>
          <w:color w:val="auto"/>
          <w:sz w:val="24"/>
          <w:szCs w:val="24"/>
          <w:highlight w:val="none"/>
        </w:rPr>
      </w:pPr>
      <w:r>
        <w:rPr>
          <w:rFonts w:hint="eastAsia" w:hAnsi="宋体"/>
          <w:b/>
          <w:color w:val="auto"/>
          <w:sz w:val="24"/>
          <w:szCs w:val="24"/>
          <w:highlight w:val="none"/>
        </w:rPr>
        <w:t>6、如在具体技术规格中有本总则不一致之处，以具体技术规格中的要求为准。</w:t>
      </w:r>
    </w:p>
    <w:p>
      <w:pPr>
        <w:spacing w:after="156" w:afterLines="50"/>
        <w:ind w:left="601" w:hanging="601"/>
        <w:rPr>
          <w:rFonts w:hint="eastAsia" w:ascii="宋体" w:hAnsi="宋体"/>
          <w:b/>
          <w:color w:val="auto"/>
          <w:sz w:val="28"/>
          <w:highlight w:val="none"/>
        </w:rPr>
      </w:pPr>
      <w:r>
        <w:rPr>
          <w:rFonts w:ascii="宋体" w:hAnsi="宋体"/>
          <w:b/>
          <w:color w:val="auto"/>
          <w:sz w:val="28"/>
          <w:highlight w:val="none"/>
        </w:rPr>
        <w:br w:type="page"/>
      </w:r>
      <w:r>
        <w:rPr>
          <w:rFonts w:hint="eastAsia" w:ascii="宋体" w:hAnsi="宋体"/>
          <w:b/>
          <w:color w:val="auto"/>
          <w:sz w:val="28"/>
          <w:highlight w:val="none"/>
        </w:rPr>
        <w:t>三、具体技术规格</w:t>
      </w:r>
    </w:p>
    <w:p>
      <w:pPr>
        <w:rPr>
          <w:rFonts w:hint="eastAsia"/>
          <w:color w:val="auto"/>
          <w:sz w:val="24"/>
          <w:highlight w:val="none"/>
        </w:rPr>
      </w:pPr>
    </w:p>
    <w:p>
      <w:pPr>
        <w:ind w:left="601" w:hanging="601"/>
        <w:jc w:val="center"/>
        <w:rPr>
          <w:rFonts w:hint="eastAsia"/>
          <w:b/>
          <w:color w:val="auto"/>
          <w:sz w:val="24"/>
          <w:highlight w:val="none"/>
        </w:rPr>
      </w:pPr>
      <w:r>
        <w:rPr>
          <w:rFonts w:hint="eastAsia"/>
          <w:b/>
          <w:color w:val="auto"/>
          <w:sz w:val="24"/>
          <w:highlight w:val="none"/>
        </w:rPr>
        <w:t>第1包 桌上型扫描电子显微镜</w:t>
      </w:r>
    </w:p>
    <w:p>
      <w:pPr>
        <w:spacing w:line="360" w:lineRule="auto"/>
        <w:rPr>
          <w:b/>
          <w:color w:val="auto"/>
          <w:sz w:val="24"/>
          <w:highlight w:val="none"/>
        </w:rPr>
      </w:pPr>
      <w:r>
        <w:rPr>
          <w:rFonts w:hint="eastAsia"/>
          <w:b/>
          <w:color w:val="auto"/>
          <w:sz w:val="24"/>
          <w:highlight w:val="none"/>
        </w:rPr>
        <w:t>（一）技术要求：</w:t>
      </w:r>
    </w:p>
    <w:p>
      <w:pPr>
        <w:numPr>
          <w:ilvl w:val="0"/>
          <w:numId w:val="2"/>
        </w:numPr>
        <w:spacing w:line="360" w:lineRule="auto"/>
        <w:rPr>
          <w:b/>
          <w:color w:val="auto"/>
          <w:sz w:val="24"/>
          <w:highlight w:val="none"/>
        </w:rPr>
      </w:pPr>
      <w:r>
        <w:rPr>
          <w:b/>
          <w:color w:val="auto"/>
          <w:sz w:val="24"/>
          <w:highlight w:val="none"/>
        </w:rPr>
        <w:t>工作条件：</w:t>
      </w:r>
    </w:p>
    <w:p>
      <w:pPr>
        <w:spacing w:line="360" w:lineRule="auto"/>
        <w:rPr>
          <w:color w:val="auto"/>
          <w:sz w:val="24"/>
          <w:highlight w:val="none"/>
        </w:rPr>
      </w:pPr>
      <w:r>
        <w:rPr>
          <w:color w:val="auto"/>
          <w:sz w:val="24"/>
          <w:highlight w:val="none"/>
        </w:rPr>
        <w:t>1.1 见总则第</w:t>
      </w:r>
      <w:r>
        <w:rPr>
          <w:rFonts w:hint="eastAsia"/>
          <w:color w:val="auto"/>
          <w:sz w:val="24"/>
          <w:highlight w:val="none"/>
        </w:rPr>
        <w:t>3</w:t>
      </w:r>
      <w:r>
        <w:rPr>
          <w:color w:val="auto"/>
          <w:sz w:val="24"/>
          <w:highlight w:val="none"/>
        </w:rPr>
        <w:t>条。</w:t>
      </w:r>
    </w:p>
    <w:p>
      <w:pPr>
        <w:spacing w:line="360" w:lineRule="auto"/>
        <w:rPr>
          <w:color w:val="auto"/>
          <w:position w:val="-14"/>
          <w:sz w:val="24"/>
          <w:highlight w:val="none"/>
        </w:rPr>
      </w:pPr>
    </w:p>
    <w:p>
      <w:pPr>
        <w:numPr>
          <w:ilvl w:val="0"/>
          <w:numId w:val="2"/>
        </w:numPr>
        <w:spacing w:line="360" w:lineRule="auto"/>
        <w:rPr>
          <w:b/>
          <w:color w:val="auto"/>
          <w:sz w:val="24"/>
          <w:highlight w:val="none"/>
        </w:rPr>
      </w:pPr>
      <w:r>
        <w:rPr>
          <w:b/>
          <w:color w:val="auto"/>
          <w:sz w:val="24"/>
          <w:highlight w:val="none"/>
        </w:rPr>
        <w:t>设备用途：</w:t>
      </w:r>
    </w:p>
    <w:p>
      <w:pPr>
        <w:pStyle w:val="3"/>
        <w:spacing w:line="360" w:lineRule="auto"/>
        <w:rPr>
          <w:color w:val="auto"/>
          <w:position w:val="-20"/>
          <w:sz w:val="24"/>
          <w:highlight w:val="none"/>
        </w:rPr>
      </w:pPr>
      <w:r>
        <w:rPr>
          <w:rFonts w:hint="eastAsia"/>
          <w:color w:val="auto"/>
          <w:position w:val="-20"/>
          <w:sz w:val="24"/>
          <w:highlight w:val="none"/>
        </w:rPr>
        <w:t>2</w:t>
      </w:r>
      <w:r>
        <w:rPr>
          <w:color w:val="auto"/>
          <w:position w:val="-20"/>
          <w:sz w:val="24"/>
          <w:highlight w:val="none"/>
        </w:rPr>
        <w:t>.1</w:t>
      </w:r>
      <w:r>
        <w:rPr>
          <w:rFonts w:hint="eastAsia"/>
          <w:color w:val="auto"/>
          <w:position w:val="-20"/>
          <w:sz w:val="24"/>
          <w:highlight w:val="none"/>
        </w:rPr>
        <w:t>设备用途：通过检测电子束激发样品产生的二次电子和背散射电子等信号对材料的微观形貌、结构等进行表征分析。设备体积小巧，可直接放置于桌面，系统更灵活、更方便使用，样品测试时间短，同时可避免复杂的系统维护。</w:t>
      </w:r>
    </w:p>
    <w:p>
      <w:pPr>
        <w:pStyle w:val="3"/>
        <w:spacing w:line="360" w:lineRule="auto"/>
        <w:rPr>
          <w:color w:val="auto"/>
          <w:position w:val="-20"/>
          <w:sz w:val="24"/>
          <w:highlight w:val="none"/>
        </w:rPr>
      </w:pPr>
      <w:r>
        <w:rPr>
          <w:color w:val="auto"/>
          <w:position w:val="-20"/>
          <w:sz w:val="24"/>
          <w:highlight w:val="none"/>
        </w:rPr>
        <w:t xml:space="preserve">2.2 </w:t>
      </w:r>
      <w:r>
        <w:rPr>
          <w:rFonts w:hint="eastAsia"/>
          <w:color w:val="auto"/>
          <w:position w:val="-20"/>
          <w:sz w:val="24"/>
          <w:highlight w:val="none"/>
        </w:rPr>
        <w:t>设备组成：该设备由主机（包含真空系统、电子光学系统、电子镜筒和透镜和光阑等）、二次电子及背散射电子探测器及控制附件、样品台、专用工作站等组成。</w:t>
      </w:r>
    </w:p>
    <w:p>
      <w:pPr>
        <w:spacing w:line="360" w:lineRule="auto"/>
        <w:rPr>
          <w:b/>
          <w:color w:val="auto"/>
          <w:sz w:val="24"/>
          <w:highlight w:val="none"/>
        </w:rPr>
      </w:pPr>
    </w:p>
    <w:p>
      <w:pPr>
        <w:numPr>
          <w:ilvl w:val="0"/>
          <w:numId w:val="2"/>
        </w:numPr>
        <w:spacing w:line="360" w:lineRule="auto"/>
        <w:rPr>
          <w:b/>
          <w:color w:val="auto"/>
          <w:sz w:val="24"/>
          <w:highlight w:val="none"/>
        </w:rPr>
      </w:pPr>
      <w:r>
        <w:rPr>
          <w:b/>
          <w:color w:val="auto"/>
          <w:sz w:val="24"/>
          <w:highlight w:val="none"/>
        </w:rPr>
        <w:t>技术规格：</w:t>
      </w:r>
    </w:p>
    <w:p>
      <w:pPr>
        <w:spacing w:line="360" w:lineRule="auto"/>
        <w:rPr>
          <w:rFonts w:hint="eastAsia"/>
          <w:color w:val="auto"/>
          <w:sz w:val="24"/>
          <w:highlight w:val="none"/>
        </w:rPr>
      </w:pPr>
      <w:r>
        <w:rPr>
          <w:rFonts w:hint="eastAsia"/>
          <w:color w:val="auto"/>
          <w:sz w:val="24"/>
          <w:highlight w:val="none"/>
        </w:rPr>
        <w:t>3.1整体技术性规定</w:t>
      </w:r>
    </w:p>
    <w:p>
      <w:pPr>
        <w:spacing w:line="360" w:lineRule="auto"/>
        <w:rPr>
          <w:rFonts w:hint="eastAsia"/>
          <w:color w:val="auto"/>
          <w:sz w:val="24"/>
          <w:highlight w:val="none"/>
        </w:rPr>
      </w:pPr>
      <w:r>
        <w:rPr>
          <w:rFonts w:hint="eastAsia" w:ascii="宋体" w:hAnsi="宋体"/>
          <w:color w:val="auto"/>
          <w:sz w:val="24"/>
          <w:highlight w:val="none"/>
        </w:rPr>
        <w:t xml:space="preserve">#3.1.1 </w:t>
      </w:r>
      <w:r>
        <w:rPr>
          <w:rFonts w:hint="eastAsia"/>
          <w:color w:val="auto"/>
          <w:sz w:val="24"/>
          <w:highlight w:val="none"/>
        </w:rPr>
        <w:t>最高放大倍数达200,000X，分辨率达10nm</w:t>
      </w:r>
    </w:p>
    <w:p>
      <w:pPr>
        <w:spacing w:line="360" w:lineRule="auto"/>
        <w:rPr>
          <w:rFonts w:hint="eastAsia"/>
          <w:color w:val="auto"/>
          <w:sz w:val="24"/>
          <w:highlight w:val="none"/>
        </w:rPr>
      </w:pPr>
      <w:r>
        <w:rPr>
          <w:rFonts w:hint="eastAsia"/>
          <w:color w:val="auto"/>
          <w:sz w:val="24"/>
          <w:highlight w:val="none"/>
        </w:rPr>
        <w:t xml:space="preserve">* </w:t>
      </w:r>
      <w:r>
        <w:rPr>
          <w:rFonts w:hint="eastAsia" w:ascii="宋体" w:hAnsi="宋体"/>
          <w:color w:val="auto"/>
          <w:sz w:val="24"/>
          <w:highlight w:val="none"/>
        </w:rPr>
        <w:t>3.1.</w:t>
      </w:r>
      <w:r>
        <w:rPr>
          <w:rFonts w:hint="eastAsia"/>
          <w:color w:val="auto"/>
          <w:sz w:val="24"/>
          <w:highlight w:val="none"/>
        </w:rPr>
        <w:t>2</w:t>
      </w:r>
      <w:r>
        <w:rPr>
          <w:rFonts w:hint="eastAsia" w:ascii="宋体" w:hAnsi="宋体" w:cs="宋体"/>
          <w:color w:val="auto"/>
          <w:sz w:val="24"/>
          <w:highlight w:val="none"/>
        </w:rPr>
        <w:t xml:space="preserve"> </w:t>
      </w:r>
      <w:r>
        <w:rPr>
          <w:rFonts w:hint="eastAsia"/>
          <w:color w:val="auto"/>
          <w:sz w:val="24"/>
          <w:highlight w:val="none"/>
        </w:rPr>
        <w:t>BSE探测器、SED探测器</w:t>
      </w:r>
    </w:p>
    <w:p>
      <w:pPr>
        <w:spacing w:line="360" w:lineRule="auto"/>
        <w:rPr>
          <w:rFonts w:hint="eastAsia"/>
          <w:color w:val="auto"/>
          <w:sz w:val="24"/>
          <w:highlight w:val="none"/>
        </w:rPr>
      </w:pPr>
      <w:r>
        <w:rPr>
          <w:rFonts w:hint="eastAsia" w:ascii="宋体" w:hAnsi="宋体"/>
          <w:color w:val="auto"/>
          <w:sz w:val="24"/>
          <w:highlight w:val="none"/>
        </w:rPr>
        <w:t>3.1.</w:t>
      </w:r>
      <w:r>
        <w:rPr>
          <w:rFonts w:hint="eastAsia"/>
          <w:color w:val="auto"/>
          <w:sz w:val="24"/>
          <w:highlight w:val="none"/>
        </w:rPr>
        <w:t>3 加速电压5 kV~30 kV范围可调</w:t>
      </w:r>
    </w:p>
    <w:p>
      <w:pPr>
        <w:spacing w:line="360" w:lineRule="auto"/>
        <w:rPr>
          <w:rFonts w:hint="eastAsia"/>
          <w:color w:val="auto"/>
          <w:sz w:val="24"/>
          <w:highlight w:val="none"/>
        </w:rPr>
      </w:pPr>
      <w:r>
        <w:rPr>
          <w:rFonts w:hint="eastAsia"/>
          <w:color w:val="auto"/>
          <w:sz w:val="24"/>
          <w:highlight w:val="none"/>
        </w:rPr>
        <w:t>*</w:t>
      </w:r>
      <w:r>
        <w:rPr>
          <w:rFonts w:hint="eastAsia" w:ascii="宋体" w:hAnsi="宋体"/>
          <w:color w:val="auto"/>
          <w:sz w:val="24"/>
          <w:highlight w:val="none"/>
        </w:rPr>
        <w:t>3.1.</w:t>
      </w:r>
      <w:r>
        <w:rPr>
          <w:rFonts w:hint="eastAsia"/>
          <w:color w:val="auto"/>
          <w:sz w:val="24"/>
          <w:highlight w:val="none"/>
        </w:rPr>
        <w:t>4 低-中-高多种真空模式</w:t>
      </w:r>
    </w:p>
    <w:p>
      <w:pPr>
        <w:spacing w:line="360" w:lineRule="auto"/>
        <w:rPr>
          <w:rFonts w:hint="eastAsia"/>
          <w:color w:val="auto"/>
          <w:sz w:val="24"/>
          <w:highlight w:val="none"/>
        </w:rPr>
      </w:pPr>
      <w:r>
        <w:rPr>
          <w:rFonts w:hint="eastAsia"/>
          <w:color w:val="auto"/>
          <w:sz w:val="24"/>
          <w:highlight w:val="none"/>
        </w:rPr>
        <w:t>*</w:t>
      </w:r>
      <w:r>
        <w:rPr>
          <w:rFonts w:hint="eastAsia" w:ascii="宋体" w:hAnsi="宋体"/>
          <w:color w:val="auto"/>
          <w:sz w:val="24"/>
          <w:highlight w:val="none"/>
        </w:rPr>
        <w:t>3.1.</w:t>
      </w:r>
      <w:r>
        <w:rPr>
          <w:rFonts w:hint="eastAsia"/>
          <w:color w:val="auto"/>
          <w:sz w:val="24"/>
          <w:highlight w:val="none"/>
        </w:rPr>
        <w:t>5 光学导航可实现快速准确样品定位与追溯</w:t>
      </w:r>
    </w:p>
    <w:p>
      <w:pPr>
        <w:spacing w:line="360" w:lineRule="auto"/>
        <w:rPr>
          <w:rFonts w:hint="eastAsia"/>
          <w:color w:val="auto"/>
          <w:sz w:val="24"/>
          <w:highlight w:val="none"/>
        </w:rPr>
      </w:pPr>
      <w:r>
        <w:rPr>
          <w:rFonts w:hint="eastAsia" w:ascii="宋体" w:hAnsi="宋体"/>
          <w:color w:val="auto"/>
          <w:sz w:val="24"/>
          <w:highlight w:val="none"/>
        </w:rPr>
        <w:t xml:space="preserve">#3.1.6 </w:t>
      </w:r>
      <w:r>
        <w:rPr>
          <w:rFonts w:hint="eastAsia"/>
          <w:color w:val="auto"/>
          <w:sz w:val="24"/>
          <w:highlight w:val="none"/>
        </w:rPr>
        <w:t>可选配加载EDX系统</w:t>
      </w:r>
    </w:p>
    <w:p>
      <w:pPr>
        <w:spacing w:line="360" w:lineRule="auto"/>
        <w:rPr>
          <w:rFonts w:hint="eastAsia"/>
          <w:color w:val="auto"/>
          <w:sz w:val="24"/>
          <w:highlight w:val="none"/>
        </w:rPr>
      </w:pPr>
      <w:r>
        <w:rPr>
          <w:rFonts w:hint="eastAsia"/>
          <w:color w:val="auto"/>
          <w:sz w:val="24"/>
          <w:highlight w:val="none"/>
        </w:rPr>
        <w:t>3.2 显微基本指标</w:t>
      </w:r>
    </w:p>
    <w:p>
      <w:pPr>
        <w:spacing w:line="360" w:lineRule="auto"/>
        <w:rPr>
          <w:rFonts w:hint="eastAsia"/>
          <w:color w:val="auto"/>
          <w:sz w:val="24"/>
          <w:highlight w:val="none"/>
        </w:rPr>
      </w:pPr>
      <w:r>
        <w:rPr>
          <w:rFonts w:hint="eastAsia"/>
          <w:color w:val="auto"/>
          <w:sz w:val="24"/>
          <w:highlight w:val="none"/>
        </w:rPr>
        <w:t>3.2.1 光学放大倍率：3-16倍</w:t>
      </w:r>
    </w:p>
    <w:p>
      <w:pPr>
        <w:spacing w:line="360" w:lineRule="auto"/>
        <w:rPr>
          <w:rFonts w:hint="eastAsia"/>
          <w:color w:val="auto"/>
          <w:sz w:val="24"/>
          <w:highlight w:val="none"/>
        </w:rPr>
      </w:pPr>
      <w:r>
        <w:rPr>
          <w:rFonts w:hint="eastAsia"/>
          <w:color w:val="auto"/>
          <w:sz w:val="24"/>
          <w:highlight w:val="none"/>
        </w:rPr>
        <w:t>3.2.2 电子放大80-200,000倍</w:t>
      </w:r>
    </w:p>
    <w:p>
      <w:pPr>
        <w:spacing w:line="360" w:lineRule="auto"/>
        <w:rPr>
          <w:rFonts w:hint="eastAsia"/>
          <w:color w:val="auto"/>
          <w:sz w:val="24"/>
          <w:highlight w:val="none"/>
        </w:rPr>
      </w:pPr>
      <w:r>
        <w:rPr>
          <w:rFonts w:hint="eastAsia"/>
          <w:color w:val="auto"/>
          <w:sz w:val="24"/>
          <w:highlight w:val="none"/>
        </w:rPr>
        <w:t>3.2.3 电子光学分辨率：≤7nm</w:t>
      </w:r>
    </w:p>
    <w:p>
      <w:pPr>
        <w:spacing w:line="360" w:lineRule="auto"/>
        <w:rPr>
          <w:rFonts w:hint="eastAsia"/>
          <w:color w:val="auto"/>
          <w:sz w:val="24"/>
          <w:highlight w:val="none"/>
        </w:rPr>
      </w:pPr>
      <w:r>
        <w:rPr>
          <w:rFonts w:hint="eastAsia"/>
          <w:color w:val="auto"/>
          <w:sz w:val="24"/>
          <w:highlight w:val="none"/>
        </w:rPr>
        <w:t>3.3 照明系统指标</w:t>
      </w:r>
    </w:p>
    <w:p>
      <w:pPr>
        <w:spacing w:line="360" w:lineRule="auto"/>
        <w:rPr>
          <w:rFonts w:hint="eastAsia"/>
          <w:color w:val="auto"/>
          <w:sz w:val="24"/>
          <w:highlight w:val="none"/>
        </w:rPr>
      </w:pPr>
      <w:r>
        <w:rPr>
          <w:rFonts w:hint="eastAsia"/>
          <w:color w:val="auto"/>
          <w:sz w:val="24"/>
          <w:highlight w:val="none"/>
        </w:rPr>
        <w:t>*3.3.1 光学照明：内部集成彩色光学显微镜</w:t>
      </w:r>
    </w:p>
    <w:p>
      <w:pPr>
        <w:spacing w:line="360" w:lineRule="auto"/>
        <w:rPr>
          <w:rFonts w:hint="eastAsia"/>
          <w:color w:val="auto"/>
          <w:sz w:val="24"/>
          <w:highlight w:val="none"/>
        </w:rPr>
      </w:pPr>
      <w:r>
        <w:rPr>
          <w:rFonts w:hint="eastAsia"/>
          <w:color w:val="auto"/>
          <w:sz w:val="24"/>
          <w:highlight w:val="none"/>
        </w:rPr>
        <w:t>3.3.2 电子光学照明：CeB6灯丝</w:t>
      </w:r>
    </w:p>
    <w:p>
      <w:pPr>
        <w:spacing w:line="360" w:lineRule="auto"/>
        <w:rPr>
          <w:rFonts w:hint="eastAsia"/>
          <w:color w:val="auto"/>
          <w:sz w:val="24"/>
          <w:highlight w:val="none"/>
        </w:rPr>
      </w:pPr>
      <w:r>
        <w:rPr>
          <w:rFonts w:hint="eastAsia"/>
          <w:color w:val="auto"/>
          <w:sz w:val="24"/>
          <w:highlight w:val="none"/>
        </w:rPr>
        <w:t>*3.3.3 电子枪灯丝寿命：单根灯丝寿命≥1500小时</w:t>
      </w:r>
    </w:p>
    <w:p>
      <w:pPr>
        <w:spacing w:line="360" w:lineRule="auto"/>
        <w:rPr>
          <w:rFonts w:hint="eastAsia"/>
          <w:color w:val="auto"/>
          <w:sz w:val="24"/>
          <w:highlight w:val="none"/>
        </w:rPr>
      </w:pPr>
      <w:r>
        <w:rPr>
          <w:rFonts w:hint="eastAsia"/>
          <w:color w:val="auto"/>
          <w:sz w:val="24"/>
          <w:highlight w:val="none"/>
        </w:rPr>
        <w:t>3.3.4 电子枪加速电压： 5kV-20kV连续可调</w:t>
      </w:r>
    </w:p>
    <w:p>
      <w:pPr>
        <w:spacing w:line="360" w:lineRule="auto"/>
        <w:rPr>
          <w:rFonts w:hint="eastAsia"/>
          <w:color w:val="auto"/>
          <w:sz w:val="24"/>
          <w:highlight w:val="none"/>
        </w:rPr>
      </w:pPr>
      <w:r>
        <w:rPr>
          <w:rFonts w:hint="eastAsia"/>
          <w:color w:val="auto"/>
          <w:sz w:val="24"/>
          <w:highlight w:val="none"/>
        </w:rPr>
        <w:t>3.3.5 电子枪灯丝更换对中方式：软件自动对中</w:t>
      </w:r>
    </w:p>
    <w:p>
      <w:pPr>
        <w:spacing w:line="360" w:lineRule="auto"/>
        <w:rPr>
          <w:rFonts w:hint="eastAsia"/>
          <w:color w:val="auto"/>
          <w:sz w:val="24"/>
          <w:highlight w:val="none"/>
        </w:rPr>
      </w:pPr>
      <w:r>
        <w:rPr>
          <w:rFonts w:hint="eastAsia"/>
          <w:color w:val="auto"/>
          <w:sz w:val="24"/>
          <w:highlight w:val="none"/>
        </w:rPr>
        <w:t>3.4 探测器系统</w:t>
      </w:r>
    </w:p>
    <w:p>
      <w:pPr>
        <w:spacing w:line="360" w:lineRule="auto"/>
        <w:rPr>
          <w:rFonts w:hint="eastAsia"/>
          <w:color w:val="auto"/>
          <w:sz w:val="24"/>
          <w:highlight w:val="none"/>
        </w:rPr>
      </w:pPr>
      <w:r>
        <w:rPr>
          <w:rFonts w:hint="eastAsia"/>
          <w:color w:val="auto"/>
          <w:sz w:val="24"/>
          <w:highlight w:val="none"/>
        </w:rPr>
        <w:t>3.4.1 光学探测器类型：内部集成彩色光学显微镜</w:t>
      </w:r>
    </w:p>
    <w:p>
      <w:pPr>
        <w:spacing w:line="360" w:lineRule="auto"/>
        <w:rPr>
          <w:rFonts w:hint="eastAsia"/>
          <w:color w:val="auto"/>
          <w:sz w:val="24"/>
          <w:highlight w:val="none"/>
        </w:rPr>
      </w:pPr>
      <w:r>
        <w:rPr>
          <w:rFonts w:hint="eastAsia"/>
          <w:color w:val="auto"/>
          <w:sz w:val="24"/>
          <w:highlight w:val="none"/>
        </w:rPr>
        <w:t>*3.4.2 电子光学探测器类型：高灵敏四分割背散射电子探测器，高灵敏低真空度二次电子探测器</w:t>
      </w:r>
    </w:p>
    <w:p>
      <w:pPr>
        <w:spacing w:line="360" w:lineRule="auto"/>
        <w:rPr>
          <w:rFonts w:hint="eastAsia"/>
          <w:color w:val="auto"/>
          <w:sz w:val="24"/>
          <w:highlight w:val="none"/>
        </w:rPr>
      </w:pPr>
      <w:r>
        <w:rPr>
          <w:rFonts w:hint="eastAsia"/>
          <w:color w:val="auto"/>
          <w:sz w:val="24"/>
          <w:highlight w:val="none"/>
        </w:rPr>
        <w:t>3.5 真空系统</w:t>
      </w:r>
    </w:p>
    <w:p>
      <w:pPr>
        <w:spacing w:line="360" w:lineRule="auto"/>
        <w:rPr>
          <w:rFonts w:hint="eastAsia"/>
          <w:color w:val="auto"/>
          <w:sz w:val="24"/>
          <w:highlight w:val="none"/>
        </w:rPr>
      </w:pPr>
      <w:r>
        <w:rPr>
          <w:rFonts w:hint="eastAsia" w:ascii="宋体" w:hAnsi="宋体"/>
          <w:color w:val="auto"/>
          <w:sz w:val="24"/>
          <w:highlight w:val="none"/>
        </w:rPr>
        <w:t>#</w:t>
      </w:r>
      <w:r>
        <w:rPr>
          <w:rFonts w:hint="eastAsia"/>
          <w:color w:val="auto"/>
          <w:sz w:val="24"/>
          <w:highlight w:val="none"/>
        </w:rPr>
        <w:t>3.5.1 真空系统：低噪音无油隔膜泵，涡轮分子泵</w:t>
      </w:r>
    </w:p>
    <w:p>
      <w:pPr>
        <w:spacing w:line="360" w:lineRule="auto"/>
        <w:rPr>
          <w:rFonts w:hint="eastAsia"/>
          <w:color w:val="auto"/>
          <w:sz w:val="24"/>
          <w:highlight w:val="none"/>
        </w:rPr>
      </w:pPr>
      <w:r>
        <w:rPr>
          <w:rFonts w:hint="eastAsia"/>
          <w:color w:val="auto"/>
          <w:sz w:val="24"/>
          <w:highlight w:val="none"/>
        </w:rPr>
        <w:t>3.5.2 载样抽真空时间：不大于30 秒</w:t>
      </w:r>
    </w:p>
    <w:p>
      <w:pPr>
        <w:spacing w:line="360" w:lineRule="auto"/>
        <w:rPr>
          <w:rFonts w:hint="eastAsia"/>
          <w:color w:val="auto"/>
          <w:sz w:val="24"/>
          <w:highlight w:val="none"/>
        </w:rPr>
      </w:pPr>
      <w:r>
        <w:rPr>
          <w:rFonts w:hint="eastAsia"/>
          <w:color w:val="auto"/>
          <w:sz w:val="24"/>
          <w:highlight w:val="none"/>
        </w:rPr>
        <w:t>3.6 自动样品台系统</w:t>
      </w:r>
    </w:p>
    <w:p>
      <w:pPr>
        <w:spacing w:line="360" w:lineRule="auto"/>
        <w:rPr>
          <w:rFonts w:hint="eastAsia"/>
          <w:color w:val="auto"/>
          <w:sz w:val="24"/>
          <w:highlight w:val="none"/>
        </w:rPr>
      </w:pPr>
      <w:r>
        <w:rPr>
          <w:rFonts w:hint="eastAsia" w:ascii="宋体" w:hAnsi="宋体"/>
          <w:color w:val="auto"/>
          <w:sz w:val="24"/>
          <w:highlight w:val="none"/>
        </w:rPr>
        <w:t>#</w:t>
      </w:r>
      <w:r>
        <w:rPr>
          <w:rFonts w:hint="eastAsia"/>
          <w:color w:val="auto"/>
          <w:sz w:val="24"/>
          <w:highlight w:val="none"/>
        </w:rPr>
        <w:t>3.6.1 样品台移动方式：软件控制的马达驱动，通过鼠标点击目标区域后，样品台自动移动至目标区域画面居中，可实现电镜图像即点即得功能</w:t>
      </w:r>
    </w:p>
    <w:p>
      <w:pPr>
        <w:spacing w:line="360" w:lineRule="auto"/>
        <w:rPr>
          <w:rFonts w:hint="eastAsia"/>
          <w:color w:val="auto"/>
          <w:sz w:val="24"/>
          <w:highlight w:val="none"/>
        </w:rPr>
      </w:pPr>
      <w:r>
        <w:rPr>
          <w:rFonts w:hint="eastAsia"/>
          <w:color w:val="auto"/>
          <w:sz w:val="24"/>
          <w:highlight w:val="none"/>
        </w:rPr>
        <w:t>3.6.2 XY坐标定位还原：通过在保存的图片中记录该位置的X、Y坐标信息，选中保存的图片，即可一键还原到原来的位置</w:t>
      </w:r>
    </w:p>
    <w:p>
      <w:pPr>
        <w:spacing w:line="360" w:lineRule="auto"/>
        <w:rPr>
          <w:rFonts w:hint="eastAsia"/>
          <w:color w:val="auto"/>
          <w:sz w:val="24"/>
          <w:highlight w:val="none"/>
        </w:rPr>
      </w:pPr>
      <w:r>
        <w:rPr>
          <w:rFonts w:hint="eastAsia"/>
          <w:color w:val="auto"/>
          <w:sz w:val="24"/>
          <w:highlight w:val="none"/>
        </w:rPr>
        <w:t>3.6.3 样品台尺寸：不小于100mm×100mm</w:t>
      </w:r>
    </w:p>
    <w:p>
      <w:pPr>
        <w:spacing w:line="360" w:lineRule="auto"/>
        <w:rPr>
          <w:rFonts w:hint="eastAsia"/>
          <w:color w:val="auto"/>
          <w:sz w:val="24"/>
          <w:highlight w:val="none"/>
        </w:rPr>
      </w:pPr>
      <w:r>
        <w:rPr>
          <w:rFonts w:hint="eastAsia"/>
          <w:color w:val="auto"/>
          <w:sz w:val="24"/>
          <w:highlight w:val="none"/>
        </w:rPr>
        <w:t>3.7 操作软件和图像处理系统</w:t>
      </w:r>
    </w:p>
    <w:p>
      <w:pPr>
        <w:spacing w:line="360" w:lineRule="auto"/>
        <w:rPr>
          <w:rFonts w:hint="eastAsia"/>
          <w:color w:val="auto"/>
          <w:sz w:val="24"/>
          <w:highlight w:val="none"/>
        </w:rPr>
      </w:pPr>
      <w:r>
        <w:rPr>
          <w:rFonts w:hint="eastAsia"/>
          <w:color w:val="auto"/>
          <w:sz w:val="24"/>
          <w:highlight w:val="none"/>
        </w:rPr>
        <w:t>*3.7.1 软件平台：应具有样品台图像导航功能、数据显示功能（加速电压、放大倍数、微标尺、日期、时间、探头种类等）</w:t>
      </w:r>
    </w:p>
    <w:p>
      <w:pPr>
        <w:spacing w:line="360" w:lineRule="auto"/>
        <w:rPr>
          <w:rFonts w:hint="eastAsia"/>
          <w:color w:val="auto"/>
          <w:sz w:val="24"/>
          <w:highlight w:val="none"/>
        </w:rPr>
      </w:pPr>
      <w:r>
        <w:rPr>
          <w:rFonts w:hint="eastAsia"/>
          <w:color w:val="auto"/>
          <w:sz w:val="24"/>
          <w:highlight w:val="none"/>
        </w:rPr>
        <w:t>3.7.2 图像观测导航界面：彩色光学全景导航和电子图像局部导航同时显示</w:t>
      </w:r>
    </w:p>
    <w:p>
      <w:pPr>
        <w:spacing w:line="360" w:lineRule="auto"/>
        <w:rPr>
          <w:rFonts w:hint="eastAsia"/>
          <w:color w:val="auto"/>
          <w:sz w:val="24"/>
          <w:highlight w:val="none"/>
        </w:rPr>
      </w:pPr>
      <w:r>
        <w:rPr>
          <w:rFonts w:hint="eastAsia"/>
          <w:color w:val="auto"/>
          <w:sz w:val="24"/>
          <w:highlight w:val="none"/>
        </w:rPr>
        <w:t>3.7.3 图像格式：jpg，tiff，bmp</w:t>
      </w:r>
    </w:p>
    <w:p>
      <w:pPr>
        <w:spacing w:line="360" w:lineRule="auto"/>
        <w:rPr>
          <w:rFonts w:hint="eastAsia"/>
          <w:color w:val="auto"/>
          <w:sz w:val="24"/>
          <w:highlight w:val="none"/>
        </w:rPr>
      </w:pPr>
      <w:r>
        <w:rPr>
          <w:rFonts w:hint="eastAsia" w:ascii="宋体" w:hAnsi="宋体"/>
          <w:color w:val="auto"/>
          <w:sz w:val="24"/>
          <w:highlight w:val="none"/>
        </w:rPr>
        <w:t>#</w:t>
      </w:r>
      <w:r>
        <w:rPr>
          <w:rFonts w:hint="eastAsia"/>
          <w:color w:val="auto"/>
          <w:sz w:val="24"/>
          <w:highlight w:val="none"/>
        </w:rPr>
        <w:t>3.7.4 图像分辨率： 960×600，1920×1200，3840×2400和7680×4800</w:t>
      </w:r>
    </w:p>
    <w:p>
      <w:pPr>
        <w:spacing w:line="360" w:lineRule="auto"/>
        <w:rPr>
          <w:rFonts w:hint="eastAsia"/>
          <w:color w:val="auto"/>
          <w:sz w:val="24"/>
          <w:highlight w:val="none"/>
        </w:rPr>
      </w:pPr>
      <w:r>
        <w:rPr>
          <w:rFonts w:hint="eastAsia"/>
          <w:color w:val="auto"/>
          <w:sz w:val="24"/>
          <w:highlight w:val="none"/>
        </w:rPr>
        <w:t>*3.7.5 自动图像调整功能：自动对焦、自动调节对比度和亮度</w:t>
      </w:r>
    </w:p>
    <w:p>
      <w:pPr>
        <w:spacing w:line="360" w:lineRule="auto"/>
        <w:rPr>
          <w:rFonts w:hint="eastAsia"/>
          <w:color w:val="auto"/>
          <w:sz w:val="24"/>
          <w:highlight w:val="none"/>
        </w:rPr>
      </w:pPr>
      <w:r>
        <w:rPr>
          <w:rFonts w:hint="eastAsia" w:ascii="宋体" w:hAnsi="宋体"/>
          <w:color w:val="auto"/>
          <w:sz w:val="24"/>
          <w:highlight w:val="none"/>
        </w:rPr>
        <w:t>#</w:t>
      </w:r>
      <w:r>
        <w:rPr>
          <w:rFonts w:hint="eastAsia"/>
          <w:color w:val="auto"/>
          <w:sz w:val="24"/>
          <w:highlight w:val="none"/>
        </w:rPr>
        <w:t>3.7.6 观察模式：全面模式(形貌和成份)、形貌模式</w:t>
      </w:r>
    </w:p>
    <w:p>
      <w:pPr>
        <w:spacing w:line="360" w:lineRule="auto"/>
        <w:rPr>
          <w:rFonts w:hint="eastAsia"/>
          <w:color w:val="auto"/>
          <w:sz w:val="24"/>
          <w:highlight w:val="none"/>
        </w:rPr>
      </w:pPr>
    </w:p>
    <w:p>
      <w:pPr>
        <w:numPr>
          <w:ilvl w:val="0"/>
          <w:numId w:val="2"/>
        </w:numPr>
        <w:spacing w:line="360" w:lineRule="auto"/>
        <w:rPr>
          <w:b/>
          <w:color w:val="auto"/>
          <w:sz w:val="24"/>
          <w:highlight w:val="none"/>
        </w:rPr>
      </w:pPr>
      <w:r>
        <w:rPr>
          <w:b/>
          <w:color w:val="auto"/>
          <w:sz w:val="24"/>
          <w:highlight w:val="none"/>
        </w:rPr>
        <w:t>产品配置要求</w:t>
      </w:r>
    </w:p>
    <w:p>
      <w:pPr>
        <w:tabs>
          <w:tab w:val="right" w:pos="839"/>
          <w:tab w:val="left" w:pos="1021"/>
          <w:tab w:val="left" w:pos="2552"/>
        </w:tabs>
        <w:adjustRightInd w:val="0"/>
        <w:spacing w:line="360" w:lineRule="auto"/>
        <w:jc w:val="left"/>
        <w:textAlignment w:val="baseline"/>
        <w:rPr>
          <w:color w:val="auto"/>
          <w:kern w:val="0"/>
          <w:sz w:val="24"/>
          <w:highlight w:val="none"/>
        </w:rPr>
      </w:pPr>
      <w:r>
        <w:rPr>
          <w:color w:val="auto"/>
          <w:kern w:val="0"/>
          <w:sz w:val="24"/>
          <w:highlight w:val="none"/>
        </w:rPr>
        <w:t>4.1 主机系统</w:t>
      </w:r>
      <w:r>
        <w:rPr>
          <w:color w:val="auto"/>
          <w:kern w:val="0"/>
          <w:sz w:val="24"/>
          <w:highlight w:val="none"/>
        </w:rPr>
        <w:tab/>
      </w:r>
      <w:r>
        <w:rPr>
          <w:color w:val="auto"/>
          <w:kern w:val="0"/>
          <w:sz w:val="24"/>
          <w:highlight w:val="none"/>
        </w:rPr>
        <w:tab/>
      </w:r>
      <w:r>
        <w:rPr>
          <w:color w:val="auto"/>
          <w:kern w:val="0"/>
          <w:sz w:val="24"/>
          <w:highlight w:val="none"/>
        </w:rPr>
        <w:tab/>
      </w:r>
      <w:r>
        <w:rPr>
          <w:color w:val="auto"/>
          <w:kern w:val="0"/>
          <w:sz w:val="24"/>
          <w:highlight w:val="none"/>
        </w:rPr>
        <w:tab/>
      </w:r>
      <w:r>
        <w:rPr>
          <w:color w:val="auto"/>
          <w:kern w:val="0"/>
          <w:sz w:val="24"/>
          <w:highlight w:val="none"/>
        </w:rPr>
        <w:tab/>
      </w:r>
      <w:r>
        <w:rPr>
          <w:color w:val="auto"/>
          <w:kern w:val="0"/>
          <w:sz w:val="24"/>
          <w:highlight w:val="none"/>
        </w:rPr>
        <w:tab/>
      </w:r>
      <w:r>
        <w:rPr>
          <w:color w:val="auto"/>
          <w:kern w:val="0"/>
          <w:sz w:val="24"/>
          <w:highlight w:val="none"/>
        </w:rPr>
        <w:tab/>
      </w:r>
      <w:r>
        <w:rPr>
          <w:color w:val="auto"/>
          <w:kern w:val="0"/>
          <w:sz w:val="24"/>
          <w:highlight w:val="none"/>
        </w:rPr>
        <w:tab/>
      </w:r>
      <w:r>
        <w:rPr>
          <w:color w:val="auto"/>
          <w:kern w:val="0"/>
          <w:sz w:val="24"/>
          <w:highlight w:val="none"/>
        </w:rPr>
        <w:tab/>
      </w:r>
      <w:r>
        <w:rPr>
          <w:color w:val="auto"/>
          <w:kern w:val="0"/>
          <w:sz w:val="24"/>
          <w:highlight w:val="none"/>
        </w:rPr>
        <w:tab/>
      </w:r>
      <w:r>
        <w:rPr>
          <w:color w:val="auto"/>
          <w:kern w:val="0"/>
          <w:sz w:val="24"/>
          <w:highlight w:val="none"/>
        </w:rPr>
        <w:tab/>
      </w:r>
      <w:r>
        <w:rPr>
          <w:color w:val="auto"/>
          <w:kern w:val="0"/>
          <w:sz w:val="24"/>
          <w:highlight w:val="none"/>
        </w:rPr>
        <w:t xml:space="preserve"> 1套</w:t>
      </w:r>
    </w:p>
    <w:p>
      <w:pPr>
        <w:tabs>
          <w:tab w:val="left" w:pos="0"/>
          <w:tab w:val="right" w:pos="839"/>
          <w:tab w:val="left" w:pos="1021"/>
          <w:tab w:val="left" w:pos="2552"/>
        </w:tabs>
        <w:adjustRightInd w:val="0"/>
        <w:spacing w:line="360" w:lineRule="auto"/>
        <w:jc w:val="left"/>
        <w:textAlignment w:val="baseline"/>
        <w:rPr>
          <w:color w:val="auto"/>
          <w:kern w:val="0"/>
          <w:sz w:val="24"/>
          <w:highlight w:val="none"/>
        </w:rPr>
      </w:pPr>
      <w:r>
        <w:rPr>
          <w:color w:val="auto"/>
          <w:kern w:val="0"/>
          <w:sz w:val="24"/>
          <w:highlight w:val="none"/>
        </w:rPr>
        <w:t>4.2 电镜控制计算机工作站</w:t>
      </w:r>
      <w:r>
        <w:rPr>
          <w:color w:val="auto"/>
          <w:kern w:val="0"/>
          <w:sz w:val="24"/>
          <w:highlight w:val="none"/>
        </w:rPr>
        <w:tab/>
      </w:r>
      <w:r>
        <w:rPr>
          <w:color w:val="auto"/>
          <w:kern w:val="0"/>
          <w:sz w:val="24"/>
          <w:highlight w:val="none"/>
        </w:rPr>
        <w:tab/>
      </w:r>
      <w:r>
        <w:rPr>
          <w:color w:val="auto"/>
          <w:kern w:val="0"/>
          <w:sz w:val="24"/>
          <w:highlight w:val="none"/>
        </w:rPr>
        <w:tab/>
      </w:r>
      <w:r>
        <w:rPr>
          <w:color w:val="auto"/>
          <w:kern w:val="0"/>
          <w:sz w:val="24"/>
          <w:highlight w:val="none"/>
        </w:rPr>
        <w:tab/>
      </w:r>
      <w:r>
        <w:rPr>
          <w:color w:val="auto"/>
          <w:kern w:val="0"/>
          <w:sz w:val="24"/>
          <w:highlight w:val="none"/>
        </w:rPr>
        <w:tab/>
      </w:r>
      <w:r>
        <w:rPr>
          <w:color w:val="auto"/>
          <w:kern w:val="0"/>
          <w:sz w:val="24"/>
          <w:highlight w:val="none"/>
        </w:rPr>
        <w:tab/>
      </w:r>
      <w:r>
        <w:rPr>
          <w:color w:val="auto"/>
          <w:kern w:val="0"/>
          <w:sz w:val="24"/>
          <w:highlight w:val="none"/>
        </w:rPr>
        <w:tab/>
      </w:r>
      <w:r>
        <w:rPr>
          <w:color w:val="auto"/>
          <w:kern w:val="0"/>
          <w:sz w:val="24"/>
          <w:highlight w:val="none"/>
        </w:rPr>
        <w:tab/>
      </w:r>
      <w:r>
        <w:rPr>
          <w:color w:val="auto"/>
          <w:kern w:val="0"/>
          <w:sz w:val="24"/>
          <w:highlight w:val="none"/>
        </w:rPr>
        <w:t xml:space="preserve">    </w:t>
      </w:r>
      <w:r>
        <w:rPr>
          <w:rFonts w:hint="eastAsia"/>
          <w:color w:val="auto"/>
          <w:kern w:val="0"/>
          <w:sz w:val="24"/>
          <w:highlight w:val="none"/>
        </w:rPr>
        <w:t xml:space="preserve">   </w:t>
      </w:r>
      <w:r>
        <w:rPr>
          <w:color w:val="auto"/>
          <w:kern w:val="0"/>
          <w:sz w:val="24"/>
          <w:highlight w:val="none"/>
        </w:rPr>
        <w:t xml:space="preserve"> 1套</w:t>
      </w:r>
    </w:p>
    <w:p>
      <w:pPr>
        <w:tabs>
          <w:tab w:val="right" w:pos="839"/>
          <w:tab w:val="left" w:pos="1021"/>
          <w:tab w:val="left" w:pos="2552"/>
        </w:tabs>
        <w:adjustRightInd w:val="0"/>
        <w:spacing w:line="360" w:lineRule="auto"/>
        <w:jc w:val="left"/>
        <w:textAlignment w:val="baseline"/>
        <w:rPr>
          <w:color w:val="auto"/>
          <w:kern w:val="0"/>
          <w:sz w:val="24"/>
          <w:highlight w:val="none"/>
        </w:rPr>
      </w:pPr>
      <w:r>
        <w:rPr>
          <w:color w:val="auto"/>
          <w:kern w:val="0"/>
          <w:sz w:val="24"/>
          <w:highlight w:val="none"/>
        </w:rPr>
        <w:t>4.3 电镜专用显示器</w:t>
      </w:r>
      <w:r>
        <w:rPr>
          <w:color w:val="auto"/>
          <w:kern w:val="0"/>
          <w:sz w:val="24"/>
          <w:highlight w:val="none"/>
        </w:rPr>
        <w:tab/>
      </w:r>
      <w:r>
        <w:rPr>
          <w:color w:val="auto"/>
          <w:kern w:val="0"/>
          <w:sz w:val="24"/>
          <w:highlight w:val="none"/>
        </w:rPr>
        <w:tab/>
      </w:r>
      <w:r>
        <w:rPr>
          <w:color w:val="auto"/>
          <w:kern w:val="0"/>
          <w:sz w:val="24"/>
          <w:highlight w:val="none"/>
        </w:rPr>
        <w:tab/>
      </w:r>
      <w:r>
        <w:rPr>
          <w:color w:val="auto"/>
          <w:kern w:val="0"/>
          <w:sz w:val="24"/>
          <w:highlight w:val="none"/>
        </w:rPr>
        <w:tab/>
      </w:r>
      <w:r>
        <w:rPr>
          <w:color w:val="auto"/>
          <w:kern w:val="0"/>
          <w:sz w:val="24"/>
          <w:highlight w:val="none"/>
        </w:rPr>
        <w:tab/>
      </w:r>
      <w:r>
        <w:rPr>
          <w:color w:val="auto"/>
          <w:kern w:val="0"/>
          <w:sz w:val="24"/>
          <w:highlight w:val="none"/>
        </w:rPr>
        <w:tab/>
      </w:r>
      <w:r>
        <w:rPr>
          <w:color w:val="auto"/>
          <w:kern w:val="0"/>
          <w:sz w:val="24"/>
          <w:highlight w:val="none"/>
        </w:rPr>
        <w:tab/>
      </w:r>
      <w:r>
        <w:rPr>
          <w:color w:val="auto"/>
          <w:kern w:val="0"/>
          <w:sz w:val="24"/>
          <w:highlight w:val="none"/>
        </w:rPr>
        <w:t xml:space="preserve">               1套</w:t>
      </w:r>
    </w:p>
    <w:p>
      <w:pPr>
        <w:tabs>
          <w:tab w:val="right" w:pos="839"/>
          <w:tab w:val="left" w:pos="1021"/>
          <w:tab w:val="left" w:pos="2552"/>
        </w:tabs>
        <w:adjustRightInd w:val="0"/>
        <w:spacing w:line="360" w:lineRule="auto"/>
        <w:jc w:val="left"/>
        <w:textAlignment w:val="baseline"/>
        <w:rPr>
          <w:color w:val="auto"/>
          <w:kern w:val="0"/>
          <w:sz w:val="24"/>
          <w:highlight w:val="none"/>
        </w:rPr>
      </w:pPr>
      <w:r>
        <w:rPr>
          <w:color w:val="auto"/>
          <w:kern w:val="0"/>
          <w:sz w:val="24"/>
          <w:highlight w:val="none"/>
        </w:rPr>
        <w:t>4.4 样品室低真空二次电子检测器</w:t>
      </w:r>
      <w:r>
        <w:rPr>
          <w:color w:val="auto"/>
          <w:kern w:val="0"/>
          <w:sz w:val="24"/>
          <w:highlight w:val="none"/>
        </w:rPr>
        <w:tab/>
      </w:r>
      <w:r>
        <w:rPr>
          <w:color w:val="auto"/>
          <w:kern w:val="0"/>
          <w:sz w:val="24"/>
          <w:highlight w:val="none"/>
        </w:rPr>
        <w:tab/>
      </w:r>
      <w:r>
        <w:rPr>
          <w:color w:val="auto"/>
          <w:kern w:val="0"/>
          <w:sz w:val="24"/>
          <w:highlight w:val="none"/>
        </w:rPr>
        <w:tab/>
      </w:r>
      <w:r>
        <w:rPr>
          <w:color w:val="auto"/>
          <w:kern w:val="0"/>
          <w:sz w:val="24"/>
          <w:highlight w:val="none"/>
        </w:rPr>
        <w:tab/>
      </w:r>
      <w:r>
        <w:rPr>
          <w:color w:val="auto"/>
          <w:kern w:val="0"/>
          <w:sz w:val="24"/>
          <w:highlight w:val="none"/>
        </w:rPr>
        <w:tab/>
      </w:r>
      <w:r>
        <w:rPr>
          <w:color w:val="auto"/>
          <w:kern w:val="0"/>
          <w:sz w:val="24"/>
          <w:highlight w:val="none"/>
        </w:rPr>
        <w:tab/>
      </w:r>
      <w:r>
        <w:rPr>
          <w:color w:val="auto"/>
          <w:kern w:val="0"/>
          <w:sz w:val="24"/>
          <w:highlight w:val="none"/>
        </w:rPr>
        <w:t xml:space="preserve">    </w:t>
      </w:r>
      <w:r>
        <w:rPr>
          <w:rFonts w:hint="eastAsia"/>
          <w:color w:val="auto"/>
          <w:kern w:val="0"/>
          <w:sz w:val="24"/>
          <w:highlight w:val="none"/>
        </w:rPr>
        <w:t xml:space="preserve">    </w:t>
      </w:r>
      <w:r>
        <w:rPr>
          <w:color w:val="auto"/>
          <w:kern w:val="0"/>
          <w:sz w:val="24"/>
          <w:highlight w:val="none"/>
        </w:rPr>
        <w:t>1个</w:t>
      </w:r>
    </w:p>
    <w:p>
      <w:pPr>
        <w:tabs>
          <w:tab w:val="right" w:pos="839"/>
          <w:tab w:val="left" w:pos="1021"/>
          <w:tab w:val="left" w:pos="2552"/>
        </w:tabs>
        <w:adjustRightInd w:val="0"/>
        <w:spacing w:line="360" w:lineRule="auto"/>
        <w:jc w:val="left"/>
        <w:textAlignment w:val="baseline"/>
        <w:rPr>
          <w:color w:val="auto"/>
          <w:kern w:val="0"/>
          <w:sz w:val="24"/>
          <w:highlight w:val="none"/>
        </w:rPr>
      </w:pPr>
      <w:r>
        <w:rPr>
          <w:color w:val="auto"/>
          <w:kern w:val="0"/>
          <w:sz w:val="24"/>
          <w:highlight w:val="none"/>
        </w:rPr>
        <w:t>4.5 样品室背散射电子检测器</w:t>
      </w:r>
      <w:r>
        <w:rPr>
          <w:color w:val="auto"/>
          <w:kern w:val="0"/>
          <w:sz w:val="24"/>
          <w:highlight w:val="none"/>
        </w:rPr>
        <w:tab/>
      </w:r>
      <w:r>
        <w:rPr>
          <w:color w:val="auto"/>
          <w:kern w:val="0"/>
          <w:sz w:val="24"/>
          <w:highlight w:val="none"/>
        </w:rPr>
        <w:tab/>
      </w:r>
      <w:r>
        <w:rPr>
          <w:color w:val="auto"/>
          <w:kern w:val="0"/>
          <w:sz w:val="24"/>
          <w:highlight w:val="none"/>
        </w:rPr>
        <w:tab/>
      </w:r>
      <w:r>
        <w:rPr>
          <w:color w:val="auto"/>
          <w:kern w:val="0"/>
          <w:sz w:val="24"/>
          <w:highlight w:val="none"/>
        </w:rPr>
        <w:tab/>
      </w:r>
      <w:r>
        <w:rPr>
          <w:color w:val="auto"/>
          <w:kern w:val="0"/>
          <w:sz w:val="24"/>
          <w:highlight w:val="none"/>
        </w:rPr>
        <w:tab/>
      </w:r>
      <w:r>
        <w:rPr>
          <w:color w:val="auto"/>
          <w:kern w:val="0"/>
          <w:sz w:val="24"/>
          <w:highlight w:val="none"/>
        </w:rPr>
        <w:tab/>
      </w:r>
      <w:r>
        <w:rPr>
          <w:color w:val="auto"/>
          <w:kern w:val="0"/>
          <w:sz w:val="24"/>
          <w:highlight w:val="none"/>
        </w:rPr>
        <w:tab/>
      </w:r>
      <w:r>
        <w:rPr>
          <w:color w:val="auto"/>
          <w:kern w:val="0"/>
          <w:sz w:val="24"/>
          <w:highlight w:val="none"/>
        </w:rPr>
        <w:t xml:space="preserve">    </w:t>
      </w:r>
      <w:r>
        <w:rPr>
          <w:rFonts w:hint="eastAsia"/>
          <w:color w:val="auto"/>
          <w:kern w:val="0"/>
          <w:sz w:val="24"/>
          <w:highlight w:val="none"/>
        </w:rPr>
        <w:t xml:space="preserve">   </w:t>
      </w:r>
      <w:r>
        <w:rPr>
          <w:color w:val="auto"/>
          <w:kern w:val="0"/>
          <w:sz w:val="24"/>
          <w:highlight w:val="none"/>
        </w:rPr>
        <w:t xml:space="preserve"> 1个</w:t>
      </w:r>
    </w:p>
    <w:p>
      <w:pPr>
        <w:tabs>
          <w:tab w:val="right" w:pos="839"/>
          <w:tab w:val="left" w:pos="1021"/>
          <w:tab w:val="left" w:pos="2552"/>
        </w:tabs>
        <w:adjustRightInd w:val="0"/>
        <w:spacing w:line="360" w:lineRule="auto"/>
        <w:jc w:val="left"/>
        <w:textAlignment w:val="baseline"/>
        <w:rPr>
          <w:color w:val="auto"/>
          <w:kern w:val="0"/>
          <w:sz w:val="24"/>
          <w:highlight w:val="none"/>
        </w:rPr>
      </w:pPr>
      <w:r>
        <w:rPr>
          <w:color w:val="auto"/>
          <w:kern w:val="0"/>
          <w:sz w:val="24"/>
          <w:highlight w:val="none"/>
        </w:rPr>
        <w:t>4.6 样品室光学导航相机</w:t>
      </w:r>
      <w:r>
        <w:rPr>
          <w:color w:val="auto"/>
          <w:kern w:val="0"/>
          <w:sz w:val="24"/>
          <w:highlight w:val="none"/>
        </w:rPr>
        <w:tab/>
      </w:r>
      <w:r>
        <w:rPr>
          <w:color w:val="auto"/>
          <w:kern w:val="0"/>
          <w:sz w:val="24"/>
          <w:highlight w:val="none"/>
        </w:rPr>
        <w:tab/>
      </w:r>
      <w:r>
        <w:rPr>
          <w:color w:val="auto"/>
          <w:kern w:val="0"/>
          <w:sz w:val="24"/>
          <w:highlight w:val="none"/>
        </w:rPr>
        <w:tab/>
      </w:r>
      <w:r>
        <w:rPr>
          <w:color w:val="auto"/>
          <w:kern w:val="0"/>
          <w:sz w:val="24"/>
          <w:highlight w:val="none"/>
        </w:rPr>
        <w:tab/>
      </w:r>
      <w:r>
        <w:rPr>
          <w:color w:val="auto"/>
          <w:kern w:val="0"/>
          <w:sz w:val="24"/>
          <w:highlight w:val="none"/>
        </w:rPr>
        <w:tab/>
      </w:r>
      <w:r>
        <w:rPr>
          <w:color w:val="auto"/>
          <w:kern w:val="0"/>
          <w:sz w:val="24"/>
          <w:highlight w:val="none"/>
        </w:rPr>
        <w:tab/>
      </w:r>
      <w:r>
        <w:rPr>
          <w:color w:val="auto"/>
          <w:kern w:val="0"/>
          <w:sz w:val="24"/>
          <w:highlight w:val="none"/>
        </w:rPr>
        <w:tab/>
      </w:r>
      <w:r>
        <w:rPr>
          <w:color w:val="auto"/>
          <w:kern w:val="0"/>
          <w:sz w:val="24"/>
          <w:highlight w:val="none"/>
        </w:rPr>
        <w:tab/>
      </w:r>
      <w:r>
        <w:rPr>
          <w:color w:val="auto"/>
          <w:kern w:val="0"/>
          <w:sz w:val="24"/>
          <w:highlight w:val="none"/>
        </w:rPr>
        <w:t xml:space="preserve">     </w:t>
      </w:r>
      <w:r>
        <w:rPr>
          <w:rFonts w:hint="eastAsia"/>
          <w:color w:val="auto"/>
          <w:kern w:val="0"/>
          <w:sz w:val="24"/>
          <w:highlight w:val="none"/>
        </w:rPr>
        <w:t xml:space="preserve">   </w:t>
      </w:r>
      <w:r>
        <w:rPr>
          <w:color w:val="auto"/>
          <w:kern w:val="0"/>
          <w:sz w:val="24"/>
          <w:highlight w:val="none"/>
        </w:rPr>
        <w:t>1个</w:t>
      </w:r>
    </w:p>
    <w:p>
      <w:pPr>
        <w:tabs>
          <w:tab w:val="right" w:pos="839"/>
          <w:tab w:val="left" w:pos="1021"/>
          <w:tab w:val="left" w:pos="2552"/>
        </w:tabs>
        <w:adjustRightInd w:val="0"/>
        <w:spacing w:line="360" w:lineRule="auto"/>
        <w:jc w:val="left"/>
        <w:textAlignment w:val="baseline"/>
        <w:rPr>
          <w:color w:val="auto"/>
          <w:kern w:val="0"/>
          <w:sz w:val="24"/>
          <w:highlight w:val="none"/>
        </w:rPr>
      </w:pPr>
      <w:r>
        <w:rPr>
          <w:color w:val="auto"/>
          <w:kern w:val="0"/>
          <w:sz w:val="24"/>
          <w:highlight w:val="none"/>
        </w:rPr>
        <w:t>4.7多功能样品台</w:t>
      </w:r>
      <w:r>
        <w:rPr>
          <w:color w:val="auto"/>
          <w:kern w:val="0"/>
          <w:sz w:val="24"/>
          <w:highlight w:val="none"/>
        </w:rPr>
        <w:tab/>
      </w:r>
      <w:r>
        <w:rPr>
          <w:color w:val="auto"/>
          <w:kern w:val="0"/>
          <w:sz w:val="24"/>
          <w:highlight w:val="none"/>
        </w:rPr>
        <w:tab/>
      </w:r>
      <w:r>
        <w:rPr>
          <w:color w:val="auto"/>
          <w:kern w:val="0"/>
          <w:sz w:val="24"/>
          <w:highlight w:val="none"/>
        </w:rPr>
        <w:tab/>
      </w:r>
      <w:r>
        <w:rPr>
          <w:color w:val="auto"/>
          <w:kern w:val="0"/>
          <w:sz w:val="24"/>
          <w:highlight w:val="none"/>
        </w:rPr>
        <w:tab/>
      </w:r>
      <w:r>
        <w:rPr>
          <w:color w:val="auto"/>
          <w:kern w:val="0"/>
          <w:sz w:val="24"/>
          <w:highlight w:val="none"/>
        </w:rPr>
        <w:tab/>
      </w:r>
      <w:r>
        <w:rPr>
          <w:color w:val="auto"/>
          <w:kern w:val="0"/>
          <w:sz w:val="24"/>
          <w:highlight w:val="none"/>
        </w:rPr>
        <w:tab/>
      </w:r>
      <w:r>
        <w:rPr>
          <w:color w:val="auto"/>
          <w:kern w:val="0"/>
          <w:sz w:val="24"/>
          <w:highlight w:val="none"/>
        </w:rPr>
        <w:tab/>
      </w:r>
      <w:r>
        <w:rPr>
          <w:color w:val="auto"/>
          <w:kern w:val="0"/>
          <w:sz w:val="24"/>
          <w:highlight w:val="none"/>
        </w:rPr>
        <w:tab/>
      </w:r>
      <w:r>
        <w:rPr>
          <w:color w:val="auto"/>
          <w:kern w:val="0"/>
          <w:sz w:val="24"/>
          <w:highlight w:val="none"/>
        </w:rPr>
        <w:tab/>
      </w:r>
      <w:r>
        <w:rPr>
          <w:color w:val="auto"/>
          <w:kern w:val="0"/>
          <w:sz w:val="24"/>
          <w:highlight w:val="none"/>
        </w:rPr>
        <w:tab/>
      </w:r>
      <w:r>
        <w:rPr>
          <w:color w:val="auto"/>
          <w:kern w:val="0"/>
          <w:sz w:val="24"/>
          <w:highlight w:val="none"/>
        </w:rPr>
        <w:t xml:space="preserve">  </w:t>
      </w:r>
      <w:r>
        <w:rPr>
          <w:rFonts w:hint="eastAsia"/>
          <w:color w:val="auto"/>
          <w:kern w:val="0"/>
          <w:sz w:val="24"/>
          <w:highlight w:val="none"/>
        </w:rPr>
        <w:t xml:space="preserve">  </w:t>
      </w:r>
      <w:r>
        <w:rPr>
          <w:color w:val="auto"/>
          <w:kern w:val="0"/>
          <w:sz w:val="24"/>
          <w:highlight w:val="none"/>
        </w:rPr>
        <w:t>1个</w:t>
      </w:r>
    </w:p>
    <w:p>
      <w:pPr>
        <w:spacing w:line="360" w:lineRule="auto"/>
        <w:rPr>
          <w:color w:val="auto"/>
          <w:sz w:val="24"/>
          <w:highlight w:val="none"/>
        </w:rPr>
      </w:pPr>
      <w:r>
        <w:rPr>
          <w:color w:val="auto"/>
          <w:kern w:val="0"/>
          <w:sz w:val="24"/>
          <w:highlight w:val="none"/>
        </w:rPr>
        <w:t>4.8</w:t>
      </w:r>
      <w:r>
        <w:rPr>
          <w:rFonts w:hint="eastAsia"/>
          <w:color w:val="auto"/>
          <w:kern w:val="0"/>
          <w:sz w:val="24"/>
          <w:highlight w:val="none"/>
        </w:rPr>
        <w:t>真空系统</w:t>
      </w:r>
      <w:r>
        <w:rPr>
          <w:color w:val="auto"/>
          <w:kern w:val="0"/>
          <w:sz w:val="24"/>
          <w:highlight w:val="none"/>
        </w:rPr>
        <w:tab/>
      </w:r>
      <w:r>
        <w:rPr>
          <w:color w:val="auto"/>
          <w:kern w:val="0"/>
          <w:sz w:val="24"/>
          <w:highlight w:val="none"/>
        </w:rPr>
        <w:tab/>
      </w:r>
      <w:r>
        <w:rPr>
          <w:color w:val="auto"/>
          <w:kern w:val="0"/>
          <w:sz w:val="24"/>
          <w:highlight w:val="none"/>
        </w:rPr>
        <w:tab/>
      </w:r>
      <w:r>
        <w:rPr>
          <w:color w:val="auto"/>
          <w:kern w:val="0"/>
          <w:sz w:val="24"/>
          <w:highlight w:val="none"/>
        </w:rPr>
        <w:tab/>
      </w:r>
      <w:r>
        <w:rPr>
          <w:color w:val="auto"/>
          <w:kern w:val="0"/>
          <w:sz w:val="24"/>
          <w:highlight w:val="none"/>
        </w:rPr>
        <w:tab/>
      </w:r>
      <w:r>
        <w:rPr>
          <w:color w:val="auto"/>
          <w:kern w:val="0"/>
          <w:sz w:val="24"/>
          <w:highlight w:val="none"/>
        </w:rPr>
        <w:tab/>
      </w:r>
      <w:r>
        <w:rPr>
          <w:color w:val="auto"/>
          <w:kern w:val="0"/>
          <w:sz w:val="24"/>
          <w:highlight w:val="none"/>
        </w:rPr>
        <w:tab/>
      </w:r>
      <w:r>
        <w:rPr>
          <w:color w:val="auto"/>
          <w:kern w:val="0"/>
          <w:sz w:val="24"/>
          <w:highlight w:val="none"/>
        </w:rPr>
        <w:t xml:space="preserve">               </w:t>
      </w:r>
      <w:r>
        <w:rPr>
          <w:rFonts w:hint="eastAsia"/>
          <w:color w:val="auto"/>
          <w:kern w:val="0"/>
          <w:sz w:val="24"/>
          <w:highlight w:val="none"/>
        </w:rPr>
        <w:t xml:space="preserve">       </w:t>
      </w:r>
      <w:r>
        <w:rPr>
          <w:color w:val="auto"/>
          <w:kern w:val="0"/>
          <w:sz w:val="24"/>
          <w:highlight w:val="none"/>
        </w:rPr>
        <w:t>1</w:t>
      </w:r>
      <w:r>
        <w:rPr>
          <w:rFonts w:hint="eastAsia"/>
          <w:color w:val="auto"/>
          <w:kern w:val="0"/>
          <w:sz w:val="24"/>
          <w:highlight w:val="none"/>
        </w:rPr>
        <w:t>套</w:t>
      </w:r>
    </w:p>
    <w:p>
      <w:pPr>
        <w:spacing w:line="360" w:lineRule="auto"/>
        <w:rPr>
          <w:color w:val="auto"/>
          <w:sz w:val="24"/>
          <w:highlight w:val="none"/>
        </w:rPr>
      </w:pPr>
    </w:p>
    <w:p>
      <w:pPr>
        <w:numPr>
          <w:ilvl w:val="0"/>
          <w:numId w:val="3"/>
        </w:numPr>
        <w:spacing w:line="360" w:lineRule="auto"/>
        <w:rPr>
          <w:rFonts w:hint="eastAsia"/>
          <w:b/>
          <w:color w:val="auto"/>
          <w:sz w:val="24"/>
          <w:highlight w:val="none"/>
        </w:rPr>
      </w:pPr>
      <w:r>
        <w:rPr>
          <w:rFonts w:hint="eastAsia"/>
          <w:b/>
          <w:color w:val="auto"/>
          <w:sz w:val="24"/>
          <w:highlight w:val="none"/>
        </w:rPr>
        <w:t>质保及售后服务：</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1.1 设备安装调试</w:t>
      </w:r>
    </w:p>
    <w:p>
      <w:pPr>
        <w:spacing w:line="360" w:lineRule="auto"/>
        <w:ind w:firstLine="420"/>
        <w:rPr>
          <w:rFonts w:hint="eastAsia" w:ascii="宋体" w:hAnsi="宋体" w:cs="宋体"/>
          <w:color w:val="auto"/>
          <w:sz w:val="24"/>
          <w:highlight w:val="none"/>
        </w:rPr>
      </w:pPr>
      <w:r>
        <w:rPr>
          <w:rFonts w:hint="eastAsia" w:ascii="宋体" w:hAnsi="宋体" w:cs="宋体"/>
          <w:color w:val="auto"/>
          <w:kern w:val="0"/>
          <w:sz w:val="24"/>
          <w:highlight w:val="none"/>
        </w:rPr>
        <w:t>设备在制造厂制造完成、检验合格并经当地监检部门确认后运至甲方指定的项目现场，在收到甲方安装调试通知后，乙方应于72小时内到达指定的安装调试点，直至安装调试合格格。</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1.2 技术培训：</w:t>
      </w:r>
      <w:r>
        <w:rPr>
          <w:rFonts w:hint="eastAsia" w:ascii="宋体" w:hAnsi="宋体" w:cs="宋体"/>
          <w:color w:val="auto"/>
          <w:kern w:val="0"/>
          <w:sz w:val="24"/>
          <w:highlight w:val="none"/>
        </w:rPr>
        <w:t>乙方需要提供用户所在地现场培训。</w:t>
      </w:r>
    </w:p>
    <w:p>
      <w:pPr>
        <w:spacing w:line="360" w:lineRule="auto"/>
        <w:rPr>
          <w:rFonts w:hint="eastAsia" w:ascii="宋体" w:hAnsi="宋体" w:cs="宋体"/>
          <w:color w:val="auto"/>
          <w:kern w:val="0"/>
          <w:sz w:val="24"/>
          <w:highlight w:val="none"/>
        </w:rPr>
      </w:pPr>
      <w:r>
        <w:rPr>
          <w:rFonts w:hint="eastAsia" w:ascii="宋体" w:hAnsi="宋体" w:cs="宋体"/>
          <w:color w:val="auto"/>
          <w:sz w:val="24"/>
          <w:highlight w:val="none"/>
        </w:rPr>
        <w:t>1.3 保修期：</w:t>
      </w:r>
      <w:r>
        <w:rPr>
          <w:rFonts w:hint="eastAsia" w:ascii="宋体" w:hAnsi="宋体" w:cs="宋体"/>
          <w:color w:val="auto"/>
          <w:kern w:val="0"/>
          <w:sz w:val="24"/>
          <w:highlight w:val="none"/>
        </w:rPr>
        <w:t>质保期2年，自验收合格双方签字之日起计算。</w:t>
      </w:r>
    </w:p>
    <w:p>
      <w:pPr>
        <w:spacing w:line="360" w:lineRule="auto"/>
        <w:ind w:firstLine="420"/>
        <w:rPr>
          <w:rFonts w:hint="eastAsia" w:ascii="宋体" w:hAnsi="宋体" w:cs="宋体"/>
          <w:color w:val="auto"/>
          <w:sz w:val="24"/>
          <w:highlight w:val="none"/>
        </w:rPr>
      </w:pPr>
      <w:r>
        <w:rPr>
          <w:rFonts w:hint="eastAsia" w:ascii="宋体" w:hAnsi="宋体" w:cs="宋体"/>
          <w:color w:val="auto"/>
          <w:kern w:val="0"/>
          <w:sz w:val="24"/>
          <w:highlight w:val="none"/>
        </w:rPr>
        <w:t>在正常操作条件下，系统设备的使用寿命应满足设备工程图纸上要求的设计使用年限，并且系统在正常情况下至少连续运转2年。</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1.4 维修响应时间</w:t>
      </w:r>
    </w:p>
    <w:p>
      <w:pPr>
        <w:widowControl/>
        <w:spacing w:line="360" w:lineRule="auto"/>
        <w:ind w:firstLine="420"/>
        <w:jc w:val="left"/>
        <w:rPr>
          <w:rFonts w:hint="eastAsia" w:ascii="宋体" w:hAnsi="宋体" w:cs="宋体"/>
          <w:color w:val="auto"/>
          <w:sz w:val="24"/>
          <w:highlight w:val="none"/>
        </w:rPr>
      </w:pPr>
      <w:r>
        <w:rPr>
          <w:rFonts w:hint="eastAsia" w:ascii="宋体" w:hAnsi="宋体" w:cs="宋体"/>
          <w:color w:val="auto"/>
          <w:kern w:val="0"/>
          <w:sz w:val="24"/>
          <w:highlight w:val="none"/>
        </w:rPr>
        <w:t>乙方应在收到甲方维修通知后24小时内做出响应，需要到现场维修的，应在72小时内到达甲方指定的现场。由此产生的差旅等费用有乙方承担，因乙方原因照成的维修费用由乙方自行承担，由甲方原因照成的维修费用由甲方承担，乙方收取成本费，或有双方协商解决。</w:t>
      </w:r>
    </w:p>
    <w:p>
      <w:pPr>
        <w:spacing w:line="360" w:lineRule="auto"/>
        <w:rPr>
          <w:color w:val="auto"/>
          <w:sz w:val="24"/>
          <w:highlight w:val="none"/>
        </w:rPr>
      </w:pPr>
    </w:p>
    <w:p>
      <w:pPr>
        <w:spacing w:line="360" w:lineRule="auto"/>
        <w:rPr>
          <w:b/>
          <w:color w:val="auto"/>
          <w:sz w:val="24"/>
          <w:highlight w:val="none"/>
        </w:rPr>
      </w:pPr>
      <w:r>
        <w:rPr>
          <w:rFonts w:hint="eastAsia"/>
          <w:b/>
          <w:color w:val="auto"/>
          <w:sz w:val="24"/>
          <w:highlight w:val="none"/>
        </w:rPr>
        <w:t>（三）订货数量：</w:t>
      </w:r>
    </w:p>
    <w:p>
      <w:pPr>
        <w:spacing w:line="360" w:lineRule="auto"/>
        <w:ind w:firstLine="240" w:firstLineChars="100"/>
        <w:rPr>
          <w:rFonts w:hint="eastAsia"/>
          <w:color w:val="auto"/>
          <w:sz w:val="24"/>
          <w:highlight w:val="none"/>
        </w:rPr>
      </w:pPr>
      <w:r>
        <w:rPr>
          <w:rFonts w:hint="eastAsia"/>
          <w:color w:val="auto"/>
          <w:sz w:val="24"/>
          <w:highlight w:val="none"/>
        </w:rPr>
        <w:t xml:space="preserve"> </w:t>
      </w:r>
      <w:r>
        <w:rPr>
          <w:rFonts w:hint="eastAsia" w:ascii="宋体" w:hAnsi="宋体"/>
          <w:color w:val="auto"/>
          <w:sz w:val="24"/>
          <w:highlight w:val="none"/>
        </w:rPr>
        <w:t>桌上型扫描电子显微镜1台套</w:t>
      </w:r>
      <w:r>
        <w:rPr>
          <w:rFonts w:hint="eastAsia"/>
          <w:color w:val="auto"/>
          <w:sz w:val="24"/>
          <w:highlight w:val="none"/>
        </w:rPr>
        <w:t>。</w:t>
      </w:r>
    </w:p>
    <w:p>
      <w:pPr>
        <w:spacing w:line="360" w:lineRule="auto"/>
        <w:ind w:firstLine="240" w:firstLineChars="100"/>
        <w:rPr>
          <w:rFonts w:hint="eastAsia"/>
          <w:color w:val="auto"/>
          <w:sz w:val="24"/>
          <w:highlight w:val="none"/>
        </w:rPr>
      </w:pPr>
    </w:p>
    <w:p>
      <w:pPr>
        <w:spacing w:line="360" w:lineRule="auto"/>
        <w:rPr>
          <w:rFonts w:hint="eastAsia"/>
          <w:b/>
          <w:color w:val="auto"/>
          <w:sz w:val="24"/>
          <w:highlight w:val="none"/>
        </w:rPr>
      </w:pPr>
      <w:r>
        <w:rPr>
          <w:rFonts w:hint="eastAsia"/>
          <w:b/>
          <w:color w:val="auto"/>
          <w:sz w:val="24"/>
          <w:highlight w:val="none"/>
        </w:rPr>
        <w:t>（四）交货地点：</w:t>
      </w:r>
    </w:p>
    <w:p>
      <w:pPr>
        <w:spacing w:line="360" w:lineRule="auto"/>
        <w:ind w:firstLine="240"/>
        <w:rPr>
          <w:rFonts w:hint="eastAsia"/>
          <w:color w:val="auto"/>
          <w:sz w:val="24"/>
          <w:highlight w:val="none"/>
        </w:rPr>
      </w:pPr>
      <w:r>
        <w:rPr>
          <w:rFonts w:hint="eastAsia" w:ascii="宋体" w:hAnsi="宋体" w:cs="宋体"/>
          <w:color w:val="auto"/>
          <w:sz w:val="24"/>
          <w:highlight w:val="none"/>
        </w:rPr>
        <w:t>北京市昌平区府学路18号中国石油大学（北京）</w:t>
      </w:r>
    </w:p>
    <w:p>
      <w:pPr>
        <w:spacing w:line="360" w:lineRule="auto"/>
        <w:rPr>
          <w:rFonts w:hint="eastAsia"/>
          <w:b/>
          <w:color w:val="auto"/>
          <w:sz w:val="24"/>
          <w:highlight w:val="none"/>
        </w:rPr>
      </w:pPr>
    </w:p>
    <w:p>
      <w:pPr>
        <w:spacing w:line="360" w:lineRule="auto"/>
        <w:rPr>
          <w:b/>
          <w:color w:val="auto"/>
          <w:sz w:val="24"/>
          <w:highlight w:val="none"/>
        </w:rPr>
      </w:pPr>
      <w:r>
        <w:rPr>
          <w:rFonts w:hint="eastAsia"/>
          <w:b/>
          <w:color w:val="auto"/>
          <w:sz w:val="24"/>
          <w:highlight w:val="none"/>
        </w:rPr>
        <w:t>（五）交货日期：</w:t>
      </w:r>
    </w:p>
    <w:p>
      <w:pPr>
        <w:spacing w:line="360" w:lineRule="auto"/>
        <w:rPr>
          <w:rFonts w:hint="eastAsia"/>
          <w:color w:val="auto"/>
          <w:sz w:val="24"/>
          <w:highlight w:val="none"/>
        </w:rPr>
      </w:pPr>
      <w:r>
        <w:rPr>
          <w:rFonts w:hint="eastAsia"/>
          <w:color w:val="auto"/>
          <w:sz w:val="24"/>
          <w:highlight w:val="none"/>
        </w:rPr>
        <w:t xml:space="preserve">   </w:t>
      </w:r>
      <w:r>
        <w:rPr>
          <w:rFonts w:hint="eastAsia"/>
          <w:color w:val="auto"/>
          <w:highlight w:val="none"/>
        </w:rPr>
        <w:t>合同</w:t>
      </w:r>
      <w:r>
        <w:rPr>
          <w:color w:val="auto"/>
          <w:highlight w:val="none"/>
        </w:rPr>
        <w:t>签订之日起</w:t>
      </w:r>
      <w:r>
        <w:rPr>
          <w:rFonts w:hint="eastAsia"/>
          <w:color w:val="auto"/>
          <w:highlight w:val="none"/>
        </w:rPr>
        <w:t>90天内</w:t>
      </w:r>
      <w:r>
        <w:rPr>
          <w:rFonts w:hint="eastAsia"/>
          <w:color w:val="auto"/>
          <w:sz w:val="24"/>
          <w:highlight w:val="none"/>
        </w:rPr>
        <w:t>。</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Bookman Old Style">
    <w:altName w:val="Segoe Print"/>
    <w:panose1 w:val="02050604050505020204"/>
    <w:charset w:val="00"/>
    <w:family w:val="roman"/>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4"/>
      <w:numFmt w:val="decimal"/>
      <w:lvlText w:val="%3．"/>
      <w:lvlJc w:val="left"/>
      <w:pPr>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60813391"/>
    <w:multiLevelType w:val="singleLevel"/>
    <w:tmpl w:val="60813391"/>
    <w:lvl w:ilvl="0" w:tentative="0">
      <w:start w:val="2"/>
      <w:numFmt w:val="chineseCounting"/>
      <w:suff w:val="nothing"/>
      <w:lvlText w:val="（%1）"/>
      <w:lvlJc w:val="left"/>
      <w:rPr>
        <w:rFonts w:hint="eastAsia"/>
      </w:rPr>
    </w:lvl>
  </w:abstractNum>
  <w:abstractNum w:abstractNumId="2">
    <w:nsid w:val="68F84946"/>
    <w:multiLevelType w:val="multilevel"/>
    <w:tmpl w:val="68F84946"/>
    <w:lvl w:ilvl="0" w:tentative="0">
      <w:start w:val="1"/>
      <w:numFmt w:val="decimal"/>
      <w:lvlText w:val="%1）"/>
      <w:lvlJc w:val="left"/>
      <w:pPr>
        <w:tabs>
          <w:tab w:val="left" w:pos="1896"/>
        </w:tabs>
        <w:ind w:left="1896" w:hanging="396"/>
      </w:pPr>
      <w:rPr>
        <w:rFonts w:hint="eastAsia" w:eastAsia="仿宋_GB2312"/>
        <w:b w:val="0"/>
        <w:i w:val="0"/>
        <w:color w:val="auto"/>
      </w:rPr>
    </w:lvl>
    <w:lvl w:ilvl="1" w:tentative="0">
      <w:start w:val="8"/>
      <w:numFmt w:val="japaneseCounting"/>
      <w:lvlText w:val="第%2章"/>
      <w:lvlJc w:val="left"/>
      <w:pPr>
        <w:tabs>
          <w:tab w:val="left" w:pos="1935"/>
        </w:tabs>
        <w:ind w:left="1935" w:hanging="1515"/>
      </w:pPr>
      <w:rPr>
        <w:rFonts w:hint="default"/>
      </w:rPr>
    </w:lvl>
    <w:lvl w:ilvl="2" w:tentative="0">
      <w:start w:val="1"/>
      <w:numFmt w:val="japaneseCounting"/>
      <w:lvlText w:val="%3、"/>
      <w:lvlJc w:val="left"/>
      <w:pPr>
        <w:tabs>
          <w:tab w:val="left" w:pos="1560"/>
        </w:tabs>
        <w:ind w:left="1560" w:hanging="72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hmODAwMjU3MDZiMTA1ZGNlMWIzYzVhOTM2YjUwNTgifQ=="/>
  </w:docVars>
  <w:rsids>
    <w:rsidRoot w:val="7A5D7386"/>
    <w:rsid w:val="4FFE21D9"/>
    <w:rsid w:val="7A5D73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Plain Text"/>
    <w:basedOn w:val="1"/>
    <w:uiPriority w:val="0"/>
    <w:rPr>
      <w:rFonts w:ascii="宋体" w:hAnsi="Courier New"/>
      <w:szCs w:val="20"/>
    </w:rPr>
  </w:style>
  <w:style w:type="paragraph" w:styleId="3">
    <w:name w:val="Date"/>
    <w:basedOn w:val="1"/>
    <w:next w:val="1"/>
    <w:qFormat/>
    <w:uiPriority w:val="0"/>
    <w:rPr>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Office_11.1.0.15319_F1E327BC-269C-435d-A152-05C5408002CA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2023-10-17T05:50:00Z</dcterms:created>
  <dc:creator>godjiao</dc:creator>
  <cp:lastModifiedBy>godjiao</cp:lastModifiedBy>
  <dcterms:modified xsi:type="dcterms:W3CDTF">2023-10-17T05:50:28Z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D58A3F1FEA914C03BE6C863347D506CB_11</vt:lpwstr>
  </property>
</Properties>
</file>