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numPr>
          <w:ilvl w:val="0"/>
          <w:numId w:val="0"/>
        </w:numPr>
        <w:rPr>
          <w:rFonts w:cs="宋体"/>
          <w:kern w:val="0"/>
          <w:sz w:val="36"/>
          <w:szCs w:val="36"/>
          <w:highlight w:val="none"/>
        </w:rPr>
      </w:pPr>
    </w:p>
    <w:p>
      <w:pPr>
        <w:rPr>
          <w:rFonts w:cs="宋体"/>
          <w:b/>
          <w:bCs/>
          <w:kern w:val="0"/>
          <w:sz w:val="36"/>
          <w:szCs w:val="36"/>
          <w:highlight w:val="none"/>
        </w:rPr>
      </w:pPr>
    </w:p>
    <w:p>
      <w:pPr>
        <w:pStyle w:val="22"/>
        <w:rPr>
          <w:highlight w:val="none"/>
        </w:rPr>
      </w:pPr>
    </w:p>
    <w:p>
      <w:pPr>
        <w:spacing w:line="360" w:lineRule="auto"/>
        <w:ind w:left="2"/>
        <w:jc w:val="center"/>
        <w:rPr>
          <w:rFonts w:hint="default" w:ascii="宋体" w:hAnsi="宋体" w:eastAsia="宋体" w:cs="宋体"/>
          <w:b/>
          <w:bCs/>
          <w:kern w:val="0"/>
          <w:sz w:val="36"/>
          <w:szCs w:val="36"/>
          <w:highlight w:val="none"/>
          <w:lang w:val="en-US" w:eastAsia="zh-CN"/>
        </w:rPr>
      </w:pPr>
      <w:r>
        <w:rPr>
          <w:rFonts w:hint="eastAsia" w:ascii="宋体" w:hAnsi="宋体" w:cs="宋体"/>
          <w:b/>
          <w:bCs/>
          <w:kern w:val="0"/>
          <w:sz w:val="36"/>
          <w:szCs w:val="36"/>
          <w:highlight w:val="none"/>
        </w:rPr>
        <w:t>新疆消防救援总队阿勒泰支队“自然灾害应急能力提升工程”装备配备项目（消防装备</w:t>
      </w:r>
      <w:r>
        <w:rPr>
          <w:rFonts w:hint="eastAsia" w:ascii="宋体" w:hAnsi="宋体" w:cs="宋体"/>
          <w:b/>
          <w:bCs/>
          <w:kern w:val="0"/>
          <w:sz w:val="36"/>
          <w:szCs w:val="36"/>
          <w:highlight w:val="none"/>
          <w:lang w:val="en-US" w:eastAsia="zh-CN"/>
        </w:rPr>
        <w:t>三标段</w:t>
      </w:r>
      <w:r>
        <w:rPr>
          <w:rFonts w:hint="eastAsia" w:ascii="宋体" w:hAnsi="宋体" w:cs="宋体"/>
          <w:b/>
          <w:bCs/>
          <w:kern w:val="0"/>
          <w:sz w:val="36"/>
          <w:szCs w:val="36"/>
          <w:highlight w:val="none"/>
        </w:rPr>
        <w:t>）</w:t>
      </w:r>
      <w:r>
        <w:rPr>
          <w:rFonts w:hint="eastAsia" w:ascii="宋体" w:hAnsi="宋体" w:cs="宋体"/>
          <w:b/>
          <w:bCs/>
          <w:kern w:val="0"/>
          <w:sz w:val="36"/>
          <w:szCs w:val="36"/>
          <w:highlight w:val="none"/>
          <w:lang w:val="en-US" w:eastAsia="zh-CN"/>
        </w:rPr>
        <w:t>第三包二次</w:t>
      </w:r>
    </w:p>
    <w:p>
      <w:pPr>
        <w:spacing w:line="360" w:lineRule="atLeast"/>
        <w:ind w:left="1446" w:hanging="1446" w:hangingChars="450"/>
        <w:jc w:val="center"/>
        <w:rPr>
          <w:rFonts w:hint="default" w:eastAsia="宋体"/>
          <w:sz w:val="30"/>
          <w:szCs w:val="30"/>
          <w:highlight w:val="none"/>
          <w:lang w:val="en-US" w:eastAsia="zh-CN"/>
        </w:rPr>
      </w:pPr>
      <w:r>
        <w:rPr>
          <w:rFonts w:hint="eastAsia" w:hAnsi="宋体" w:cs="宋体"/>
          <w:b/>
          <w:bCs/>
          <w:kern w:val="0"/>
          <w:sz w:val="32"/>
          <w:szCs w:val="32"/>
          <w:highlight w:val="none"/>
          <w:lang w:val="en-US" w:eastAsia="zh-CN"/>
        </w:rPr>
        <w:t>项目</w:t>
      </w:r>
      <w:r>
        <w:rPr>
          <w:rFonts w:hint="eastAsia" w:hAnsi="宋体" w:cs="宋体"/>
          <w:b/>
          <w:bCs/>
          <w:kern w:val="0"/>
          <w:sz w:val="32"/>
          <w:szCs w:val="32"/>
          <w:highlight w:val="none"/>
        </w:rPr>
        <w:t>编号：</w:t>
      </w:r>
      <w:r>
        <w:rPr>
          <w:rFonts w:hAnsi="宋体" w:cs="宋体"/>
          <w:b/>
          <w:bCs/>
          <w:kern w:val="0"/>
          <w:sz w:val="32"/>
          <w:szCs w:val="32"/>
          <w:highlight w:val="none"/>
        </w:rPr>
        <w:t>XJRD-ZFCG-013-</w:t>
      </w:r>
      <w:r>
        <w:rPr>
          <w:rFonts w:hint="eastAsia" w:hAnsi="宋体" w:cs="宋体"/>
          <w:b/>
          <w:bCs/>
          <w:kern w:val="0"/>
          <w:sz w:val="32"/>
          <w:szCs w:val="32"/>
          <w:highlight w:val="none"/>
          <w:lang w:val="en-US" w:eastAsia="zh-CN"/>
        </w:rPr>
        <w:t>3-3</w:t>
      </w:r>
    </w:p>
    <w:p>
      <w:pPr>
        <w:spacing w:line="360" w:lineRule="auto"/>
        <w:jc w:val="center"/>
        <w:rPr>
          <w:rFonts w:hint="eastAsia" w:ascii="宋体" w:hAnsi="宋体" w:cs="宋体"/>
          <w:b/>
          <w:bCs/>
          <w:sz w:val="44"/>
          <w:szCs w:val="44"/>
          <w:highlight w:val="none"/>
        </w:rPr>
      </w:pPr>
    </w:p>
    <w:p>
      <w:pPr>
        <w:spacing w:line="360" w:lineRule="auto"/>
        <w:jc w:val="center"/>
        <w:rPr>
          <w:rFonts w:ascii="宋体" w:hAnsi="宋体" w:cs="宋体"/>
          <w:b/>
          <w:bCs/>
          <w:sz w:val="44"/>
          <w:szCs w:val="44"/>
          <w:highlight w:val="none"/>
        </w:rPr>
      </w:pPr>
      <w:r>
        <w:rPr>
          <w:rFonts w:hint="eastAsia" w:ascii="宋体" w:hAnsi="宋体" w:cs="宋体"/>
          <w:b/>
          <w:bCs/>
          <w:sz w:val="44"/>
          <w:szCs w:val="44"/>
          <w:highlight w:val="none"/>
        </w:rPr>
        <w:t>招  标  文  件</w:t>
      </w:r>
    </w:p>
    <w:p>
      <w:pPr>
        <w:spacing w:line="360" w:lineRule="auto"/>
        <w:rPr>
          <w:rFonts w:ascii="宋体" w:hAnsi="宋体" w:cs="宋体"/>
          <w:sz w:val="30"/>
          <w:szCs w:val="30"/>
          <w:highlight w:val="none"/>
        </w:rPr>
      </w:pPr>
    </w:p>
    <w:p>
      <w:pPr>
        <w:spacing w:line="360" w:lineRule="auto"/>
        <w:rPr>
          <w:rFonts w:ascii="宋体" w:hAnsi="宋体" w:cs="宋体"/>
          <w:sz w:val="30"/>
          <w:szCs w:val="30"/>
          <w:highlight w:val="none"/>
        </w:rPr>
      </w:pPr>
    </w:p>
    <w:p>
      <w:pPr>
        <w:spacing w:line="360" w:lineRule="auto"/>
        <w:rPr>
          <w:rFonts w:ascii="宋体" w:hAnsi="宋体" w:cs="宋体"/>
          <w:sz w:val="30"/>
          <w:szCs w:val="30"/>
          <w:highlight w:val="none"/>
        </w:rPr>
      </w:pPr>
    </w:p>
    <w:p>
      <w:pPr>
        <w:spacing w:line="360" w:lineRule="auto"/>
        <w:rPr>
          <w:rFonts w:ascii="宋体" w:hAnsi="宋体" w:cs="宋体"/>
          <w:sz w:val="30"/>
          <w:szCs w:val="30"/>
          <w:highlight w:val="none"/>
        </w:rPr>
      </w:pPr>
    </w:p>
    <w:p>
      <w:pPr>
        <w:pStyle w:val="3"/>
        <w:rPr>
          <w:rFonts w:ascii="宋体" w:hAnsi="宋体" w:cs="宋体"/>
          <w:sz w:val="30"/>
          <w:szCs w:val="30"/>
          <w:highlight w:val="none"/>
        </w:rPr>
      </w:pPr>
    </w:p>
    <w:p>
      <w:pPr>
        <w:rPr>
          <w:rFonts w:ascii="宋体" w:hAnsi="宋体" w:cs="宋体"/>
          <w:sz w:val="30"/>
          <w:szCs w:val="30"/>
          <w:highlight w:val="none"/>
        </w:rPr>
      </w:pPr>
    </w:p>
    <w:p>
      <w:pPr>
        <w:pStyle w:val="3"/>
        <w:rPr>
          <w:highlight w:val="none"/>
        </w:rPr>
      </w:pPr>
    </w:p>
    <w:p>
      <w:pPr>
        <w:spacing w:line="360" w:lineRule="auto"/>
        <w:rPr>
          <w:rFonts w:ascii="宋体" w:hAnsi="宋体" w:cs="宋体"/>
          <w:b/>
          <w:bCs/>
          <w:sz w:val="30"/>
          <w:szCs w:val="30"/>
          <w:highlight w:val="none"/>
        </w:rPr>
      </w:pPr>
      <w:r>
        <w:rPr>
          <w:rFonts w:hint="eastAsia" w:ascii="宋体" w:hAnsi="宋体" w:cs="宋体"/>
          <w:b/>
          <w:bCs/>
          <w:kern w:val="0"/>
          <w:sz w:val="30"/>
          <w:szCs w:val="30"/>
          <w:highlight w:val="none"/>
        </w:rPr>
        <w:t>招标人（盖章）</w:t>
      </w:r>
      <w:r>
        <w:rPr>
          <w:rFonts w:hint="eastAsia" w:ascii="宋体" w:hAnsi="宋体" w:cs="宋体"/>
          <w:b/>
          <w:bCs/>
          <w:sz w:val="30"/>
          <w:szCs w:val="30"/>
          <w:highlight w:val="none"/>
        </w:rPr>
        <w:t>：阿勒泰地区消防救援支队</w:t>
      </w:r>
    </w:p>
    <w:p>
      <w:pPr>
        <w:spacing w:line="360" w:lineRule="auto"/>
        <w:rPr>
          <w:rFonts w:ascii="宋体" w:hAnsi="宋体" w:cs="宋体"/>
          <w:b/>
          <w:bCs/>
          <w:sz w:val="30"/>
          <w:szCs w:val="30"/>
          <w:highlight w:val="none"/>
        </w:rPr>
      </w:pPr>
      <w:r>
        <w:rPr>
          <w:rFonts w:hint="eastAsia" w:ascii="宋体" w:hAnsi="宋体" w:cs="宋体"/>
          <w:b/>
          <w:bCs/>
          <w:sz w:val="30"/>
          <w:szCs w:val="30"/>
          <w:highlight w:val="none"/>
        </w:rPr>
        <w:t>联系人：何增涛、蒲和平</w:t>
      </w:r>
    </w:p>
    <w:p>
      <w:pPr>
        <w:spacing w:line="360" w:lineRule="auto"/>
        <w:rPr>
          <w:rFonts w:ascii="宋体" w:hAnsi="宋体" w:cs="宋体"/>
          <w:b/>
          <w:bCs/>
          <w:color w:val="FF0000"/>
          <w:sz w:val="30"/>
          <w:szCs w:val="30"/>
          <w:highlight w:val="none"/>
        </w:rPr>
      </w:pPr>
      <w:r>
        <w:rPr>
          <w:rFonts w:ascii="宋体" w:hAnsi="宋体" w:cs="宋体"/>
          <w:b/>
          <w:bCs/>
          <w:sz w:val="30"/>
          <w:szCs w:val="30"/>
          <w:highlight w:val="none"/>
        </w:rPr>
        <w:pict>
          <v:line id="_x0000_s2050" o:spid="_x0000_s2050" o:spt="20" style="position:absolute;left:0pt;margin-left:-9pt;margin-top:27.2pt;height:0pt;width:474pt;z-index:251659264;mso-width-relative:page;mso-height-relative:page;"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path arrowok="t"/>
            <v:fill focussize="0,0"/>
            <v:stroke weight="1pt" dashstyle="1 1"/>
            <v:imagedata o:title=""/>
            <o:lock v:ext="edit"/>
          </v:line>
        </w:pict>
      </w:r>
      <w:r>
        <w:rPr>
          <w:rFonts w:hint="eastAsia" w:ascii="宋体" w:hAnsi="宋体" w:cs="宋体"/>
          <w:b/>
          <w:bCs/>
          <w:sz w:val="30"/>
          <w:szCs w:val="30"/>
          <w:highlight w:val="none"/>
        </w:rPr>
        <w:t>联系电话：17767617807，15809069339</w:t>
      </w:r>
    </w:p>
    <w:p>
      <w:pPr>
        <w:spacing w:line="360" w:lineRule="auto"/>
        <w:rPr>
          <w:rFonts w:ascii="宋体" w:hAnsi="宋体" w:cs="宋体"/>
          <w:b/>
          <w:bCs/>
          <w:sz w:val="30"/>
          <w:szCs w:val="30"/>
          <w:highlight w:val="none"/>
        </w:rPr>
      </w:pPr>
    </w:p>
    <w:p>
      <w:pPr>
        <w:spacing w:line="360" w:lineRule="auto"/>
        <w:rPr>
          <w:rFonts w:ascii="宋体" w:hAnsi="宋体" w:cs="宋体"/>
          <w:b/>
          <w:bCs/>
          <w:kern w:val="0"/>
          <w:sz w:val="30"/>
          <w:szCs w:val="30"/>
          <w:highlight w:val="none"/>
        </w:rPr>
      </w:pPr>
      <w:r>
        <w:rPr>
          <w:rFonts w:hint="eastAsia" w:ascii="宋体" w:hAnsi="宋体" w:cs="宋体"/>
          <w:b/>
          <w:bCs/>
          <w:kern w:val="0"/>
          <w:sz w:val="30"/>
          <w:szCs w:val="30"/>
          <w:highlight w:val="none"/>
        </w:rPr>
        <w:t>招标代理机构（盖章）：新疆润达工程项目管理有限公司</w:t>
      </w:r>
    </w:p>
    <w:p>
      <w:pPr>
        <w:spacing w:line="360" w:lineRule="auto"/>
        <w:rPr>
          <w:rFonts w:ascii="宋体" w:hAnsi="宋体" w:cs="宋体"/>
          <w:b/>
          <w:bCs/>
          <w:kern w:val="0"/>
          <w:sz w:val="30"/>
          <w:szCs w:val="30"/>
          <w:highlight w:val="none"/>
        </w:rPr>
      </w:pPr>
      <w:r>
        <w:rPr>
          <w:rFonts w:hint="eastAsia" w:ascii="宋体" w:hAnsi="宋体" w:cs="宋体"/>
          <w:b/>
          <w:bCs/>
          <w:kern w:val="0"/>
          <w:sz w:val="30"/>
          <w:szCs w:val="30"/>
          <w:highlight w:val="none"/>
        </w:rPr>
        <w:t>法人代表（盖章）：</w:t>
      </w:r>
    </w:p>
    <w:p>
      <w:pPr>
        <w:spacing w:line="360" w:lineRule="auto"/>
        <w:rPr>
          <w:rFonts w:hint="default" w:ascii="宋体" w:hAnsi="宋体" w:eastAsia="宋体" w:cs="宋体"/>
          <w:b/>
          <w:bCs/>
          <w:kern w:val="0"/>
          <w:sz w:val="30"/>
          <w:szCs w:val="30"/>
          <w:highlight w:val="none"/>
          <w:lang w:val="en-US" w:eastAsia="zh-CN"/>
        </w:rPr>
      </w:pPr>
      <w:r>
        <w:rPr>
          <w:rFonts w:hint="eastAsia" w:ascii="宋体" w:hAnsi="宋体" w:cs="宋体"/>
          <w:b/>
          <w:bCs/>
          <w:kern w:val="0"/>
          <w:sz w:val="30"/>
          <w:szCs w:val="30"/>
          <w:highlight w:val="none"/>
        </w:rPr>
        <w:t>联系人：雷晓强</w:t>
      </w:r>
      <w:r>
        <w:rPr>
          <w:rFonts w:hint="eastAsia" w:ascii="宋体" w:hAnsi="宋体" w:cs="宋体"/>
          <w:b/>
          <w:bCs/>
          <w:kern w:val="0"/>
          <w:sz w:val="30"/>
          <w:szCs w:val="30"/>
          <w:highlight w:val="none"/>
          <w:lang w:eastAsia="zh-CN"/>
        </w:rPr>
        <w:t>、</w:t>
      </w:r>
      <w:r>
        <w:rPr>
          <w:rFonts w:hint="eastAsia" w:ascii="宋体" w:hAnsi="宋体" w:cs="宋体"/>
          <w:b/>
          <w:bCs/>
          <w:kern w:val="0"/>
          <w:sz w:val="30"/>
          <w:szCs w:val="30"/>
          <w:highlight w:val="none"/>
          <w:lang w:val="en-US" w:eastAsia="zh-CN"/>
        </w:rPr>
        <w:t>牛静竹</w:t>
      </w:r>
    </w:p>
    <w:p>
      <w:pPr>
        <w:spacing w:line="360" w:lineRule="auto"/>
        <w:rPr>
          <w:rFonts w:hint="default" w:ascii="宋体" w:hAnsi="宋体" w:eastAsia="宋体" w:cs="宋体"/>
          <w:b/>
          <w:bCs/>
          <w:kern w:val="0"/>
          <w:sz w:val="30"/>
          <w:szCs w:val="30"/>
          <w:highlight w:val="none"/>
          <w:lang w:val="en-US" w:eastAsia="zh-CN"/>
        </w:rPr>
        <w:sectPr>
          <w:footerReference r:id="rId4" w:type="default"/>
          <w:headerReference r:id="rId3" w:type="even"/>
          <w:footerReference r:id="rId5" w:type="even"/>
          <w:pgSz w:w="11906" w:h="16838"/>
          <w:pgMar w:top="1418" w:right="1417" w:bottom="1418" w:left="1417" w:header="851" w:footer="907" w:gutter="0"/>
          <w:pgNumType w:start="1"/>
          <w:cols w:space="720" w:num="1"/>
          <w:titlePg/>
          <w:docGrid w:type="lines" w:linePitch="290" w:charSpace="0"/>
        </w:sectPr>
      </w:pPr>
      <w:r>
        <w:rPr>
          <w:rFonts w:hint="eastAsia" w:ascii="宋体" w:hAnsi="宋体" w:cs="宋体"/>
          <w:b/>
          <w:bCs/>
          <w:kern w:val="0"/>
          <w:sz w:val="30"/>
          <w:szCs w:val="30"/>
          <w:highlight w:val="none"/>
        </w:rPr>
        <w:t>联系电话雷晓强</w:t>
      </w:r>
      <w:r>
        <w:rPr>
          <w:rFonts w:hint="eastAsia" w:ascii="宋体" w:hAnsi="宋体" w:cs="宋体"/>
          <w:b/>
          <w:bCs/>
          <w:kern w:val="0"/>
          <w:sz w:val="30"/>
          <w:szCs w:val="30"/>
          <w:highlight w:val="none"/>
          <w:lang w:eastAsia="zh-CN"/>
        </w:rPr>
        <w:t>、</w:t>
      </w:r>
      <w:r>
        <w:rPr>
          <w:rFonts w:hint="eastAsia" w:ascii="宋体" w:hAnsi="宋体" w:cs="宋体"/>
          <w:b/>
          <w:bCs/>
          <w:kern w:val="0"/>
          <w:sz w:val="30"/>
          <w:szCs w:val="30"/>
          <w:highlight w:val="none"/>
          <w:lang w:val="en-US" w:eastAsia="zh-CN"/>
        </w:rPr>
        <w:t>牛静竹</w:t>
      </w:r>
      <w:r>
        <w:rPr>
          <w:rFonts w:hint="eastAsia" w:ascii="宋体" w:hAnsi="宋体" w:cs="宋体"/>
          <w:b/>
          <w:bCs/>
          <w:kern w:val="0"/>
          <w:sz w:val="30"/>
          <w:szCs w:val="30"/>
          <w:highlight w:val="none"/>
        </w:rPr>
        <w:t>：</w:t>
      </w:r>
      <w:r>
        <w:rPr>
          <w:rFonts w:ascii="宋体" w:hAnsi="宋体" w:cs="宋体"/>
          <w:b/>
          <w:bCs/>
          <w:kern w:val="0"/>
          <w:sz w:val="30"/>
          <w:szCs w:val="30"/>
          <w:highlight w:val="none"/>
        </w:rPr>
        <w:t>18709061155</w:t>
      </w:r>
      <w:r>
        <w:rPr>
          <w:rFonts w:hint="eastAsia" w:ascii="宋体" w:hAnsi="宋体" w:cs="宋体"/>
          <w:b/>
          <w:bCs/>
          <w:kern w:val="0"/>
          <w:sz w:val="30"/>
          <w:szCs w:val="30"/>
          <w:highlight w:val="none"/>
          <w:lang w:eastAsia="zh-CN"/>
        </w:rPr>
        <w:t>，</w:t>
      </w:r>
      <w:r>
        <w:rPr>
          <w:rFonts w:hint="eastAsia" w:ascii="宋体" w:hAnsi="宋体" w:cs="宋体"/>
          <w:b/>
          <w:bCs/>
          <w:kern w:val="0"/>
          <w:sz w:val="30"/>
          <w:szCs w:val="30"/>
          <w:highlight w:val="none"/>
          <w:lang w:val="en-US" w:eastAsia="zh-CN"/>
        </w:rPr>
        <w:t>18799019901</w:t>
      </w:r>
    </w:p>
    <w:p>
      <w:pPr>
        <w:pStyle w:val="130"/>
        <w:jc w:val="both"/>
        <w:rPr>
          <w:color w:val="auto"/>
          <w:sz w:val="44"/>
          <w:szCs w:val="44"/>
          <w:highlight w:val="none"/>
          <w:lang w:val="zh-CN"/>
        </w:rPr>
        <w:sectPr>
          <w:headerReference r:id="rId6" w:type="default"/>
          <w:footerReference r:id="rId7" w:type="default"/>
          <w:pgSz w:w="11906" w:h="16838"/>
          <w:pgMar w:top="1440" w:right="1800" w:bottom="1440" w:left="1800" w:header="851" w:footer="992" w:gutter="0"/>
          <w:cols w:space="720" w:num="1"/>
          <w:docGrid w:type="lines" w:linePitch="312" w:charSpace="0"/>
        </w:sectPr>
      </w:pPr>
      <w:bookmarkStart w:id="0" w:name="_Toc494375077"/>
      <w:bookmarkStart w:id="1" w:name="_Toc120614210"/>
      <w:bookmarkStart w:id="2" w:name="_Toc479757206"/>
      <w:bookmarkStart w:id="3" w:name="_Toc523127445"/>
      <w:bookmarkStart w:id="4" w:name="_Toc16938516"/>
      <w:bookmarkStart w:id="5" w:name="_Toc513029200"/>
      <w:bookmarkStart w:id="6" w:name="_Toc20823272"/>
    </w:p>
    <w:p>
      <w:pPr>
        <w:pStyle w:val="130"/>
        <w:jc w:val="center"/>
        <w:rPr>
          <w:color w:val="auto"/>
          <w:sz w:val="44"/>
          <w:szCs w:val="44"/>
          <w:highlight w:val="none"/>
          <w:lang w:val="zh-CN"/>
        </w:rPr>
      </w:pPr>
      <w:bookmarkStart w:id="128" w:name="_GoBack"/>
      <w:bookmarkEnd w:id="128"/>
      <w:r>
        <w:rPr>
          <w:color w:val="auto"/>
          <w:sz w:val="44"/>
          <w:szCs w:val="44"/>
          <w:highlight w:val="none"/>
          <w:lang w:val="zh-CN"/>
        </w:rPr>
        <w:t>目录</w:t>
      </w:r>
    </w:p>
    <w:p>
      <w:pPr>
        <w:rPr>
          <w:color w:val="auto"/>
          <w:sz w:val="44"/>
          <w:szCs w:val="44"/>
          <w:highlight w:val="none"/>
          <w:lang w:val="zh-CN"/>
        </w:rPr>
      </w:pPr>
    </w:p>
    <w:p>
      <w:pPr>
        <w:pStyle w:val="21"/>
        <w:tabs>
          <w:tab w:val="right" w:leader="dot" w:pos="8296"/>
        </w:tabs>
        <w:rPr>
          <w:rFonts w:asciiTheme="minorEastAsia" w:hAnsiTheme="minorEastAsia" w:eastAsiaTheme="minorEastAsia" w:cstheme="minorBidi"/>
          <w:color w:val="auto"/>
          <w:kern w:val="2"/>
          <w:sz w:val="28"/>
          <w:szCs w:val="28"/>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TOC \o "1-1" \h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"_Toc161525858" </w:instrText>
      </w:r>
      <w:r>
        <w:rPr>
          <w:color w:val="auto"/>
          <w:highlight w:val="none"/>
        </w:rPr>
        <w:fldChar w:fldCharType="separate"/>
      </w:r>
      <w:r>
        <w:rPr>
          <w:rStyle w:val="49"/>
          <w:rFonts w:asciiTheme="minorEastAsia" w:hAnsiTheme="minorEastAsia" w:eastAsiaTheme="minorEastAsia"/>
          <w:color w:val="auto"/>
          <w:sz w:val="28"/>
          <w:szCs w:val="28"/>
          <w:highlight w:val="none"/>
        </w:rPr>
        <w:t>须知前附表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_Toc161525858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1"/>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"_Toc161525859" </w:instrText>
      </w:r>
      <w:r>
        <w:rPr>
          <w:color w:val="auto"/>
          <w:highlight w:val="none"/>
        </w:rPr>
        <w:fldChar w:fldCharType="separate"/>
      </w:r>
      <w:r>
        <w:rPr>
          <w:rStyle w:val="49"/>
          <w:rFonts w:asciiTheme="minorEastAsia" w:hAnsiTheme="minorEastAsia" w:eastAsiaTheme="minorEastAsia"/>
          <w:color w:val="auto"/>
          <w:sz w:val="28"/>
          <w:szCs w:val="28"/>
          <w:highlight w:val="none"/>
        </w:rPr>
        <w:t>第一章招标邀请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_Toc161525859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1"/>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"_Toc161525860" </w:instrText>
      </w:r>
      <w:r>
        <w:rPr>
          <w:color w:val="auto"/>
          <w:highlight w:val="none"/>
        </w:rPr>
        <w:fldChar w:fldCharType="separate"/>
      </w:r>
      <w:r>
        <w:rPr>
          <w:rStyle w:val="49"/>
          <w:rFonts w:asciiTheme="minorEastAsia" w:hAnsiTheme="minorEastAsia" w:eastAsiaTheme="minorEastAsia"/>
          <w:color w:val="auto"/>
          <w:sz w:val="28"/>
          <w:szCs w:val="28"/>
          <w:highlight w:val="none"/>
        </w:rPr>
        <w:t>第二章投标人须知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1"/>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"_Toc161525861" </w:instrText>
      </w:r>
      <w:r>
        <w:rPr>
          <w:color w:val="auto"/>
          <w:highlight w:val="none"/>
        </w:rPr>
        <w:fldChar w:fldCharType="separate"/>
      </w:r>
      <w:r>
        <w:rPr>
          <w:rStyle w:val="49"/>
          <w:rFonts w:asciiTheme="minorEastAsia" w:hAnsiTheme="minorEastAsia" w:eastAsiaTheme="minorEastAsia"/>
          <w:color w:val="auto"/>
          <w:sz w:val="28"/>
          <w:szCs w:val="28"/>
          <w:highlight w:val="none"/>
        </w:rPr>
        <w:t>第三章评分办法及评分标准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29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1"/>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"_Toc161525862" </w:instrText>
      </w:r>
      <w:r>
        <w:rPr>
          <w:color w:val="auto"/>
          <w:highlight w:val="none"/>
        </w:rPr>
        <w:fldChar w:fldCharType="separate"/>
      </w:r>
      <w:r>
        <w:rPr>
          <w:rStyle w:val="49"/>
          <w:rFonts w:asciiTheme="minorEastAsia" w:hAnsiTheme="minorEastAsia" w:eastAsiaTheme="minorEastAsia"/>
          <w:color w:val="auto"/>
          <w:sz w:val="28"/>
          <w:szCs w:val="28"/>
          <w:highlight w:val="none"/>
        </w:rPr>
        <w:t>第四章拟订立的合同样本</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34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1"/>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"_Toc161525863" </w:instrText>
      </w:r>
      <w:r>
        <w:rPr>
          <w:color w:val="auto"/>
          <w:highlight w:val="none"/>
        </w:rPr>
        <w:fldChar w:fldCharType="separate"/>
      </w:r>
      <w:r>
        <w:rPr>
          <w:rStyle w:val="49"/>
          <w:rFonts w:asciiTheme="minorEastAsia" w:hAnsiTheme="minorEastAsia" w:eastAsiaTheme="minorEastAsia"/>
          <w:color w:val="auto"/>
          <w:sz w:val="28"/>
          <w:szCs w:val="28"/>
          <w:highlight w:val="none"/>
        </w:rPr>
        <w:t>第五章投标文件格式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52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1"/>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"_Toc161525864" </w:instrText>
      </w:r>
      <w:r>
        <w:rPr>
          <w:color w:val="auto"/>
          <w:highlight w:val="none"/>
        </w:rPr>
        <w:fldChar w:fldCharType="separate"/>
      </w:r>
      <w:r>
        <w:rPr>
          <w:rStyle w:val="49"/>
          <w:rFonts w:asciiTheme="minorEastAsia" w:hAnsiTheme="minorEastAsia" w:eastAsiaTheme="minorEastAsia"/>
          <w:color w:val="auto"/>
          <w:sz w:val="28"/>
          <w:szCs w:val="28"/>
          <w:highlight w:val="none"/>
        </w:rPr>
        <w:t>第六章项目需求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75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tabs>
          <w:tab w:val="right" w:leader="dot" w:pos="8364"/>
        </w:tabs>
        <w:rPr>
          <w:color w:val="auto"/>
          <w:highlight w:val="none"/>
        </w:rPr>
      </w:pPr>
      <w:r>
        <w:rPr>
          <w:rFonts w:asciiTheme="minorEastAsia" w:hAnsiTheme="minorEastAsia" w:eastAsiaTheme="minorEastAsia"/>
          <w:color w:val="auto"/>
          <w:sz w:val="28"/>
          <w:szCs w:val="28"/>
          <w:highlight w:val="none"/>
        </w:rPr>
        <w:fldChar w:fldCharType="end"/>
      </w:r>
    </w:p>
    <w:p>
      <w:pPr>
        <w:pStyle w:val="2"/>
        <w:rPr>
          <w:color w:val="auto"/>
          <w:highlight w:val="none"/>
        </w:rPr>
        <w:sectPr>
          <w:pgSz w:w="11906" w:h="16838"/>
          <w:pgMar w:top="1440" w:right="1800" w:bottom="1440" w:left="1800" w:header="851" w:footer="992" w:gutter="0"/>
          <w:cols w:space="720" w:num="1"/>
          <w:docGrid w:type="lines" w:linePitch="312" w:charSpace="0"/>
        </w:sectPr>
      </w:pPr>
      <w:bookmarkStart w:id="7" w:name="_Toc20753"/>
      <w:bookmarkStart w:id="8" w:name="_Toc21554"/>
      <w:bookmarkStart w:id="9" w:name="_Toc534725596"/>
      <w:bookmarkStart w:id="10" w:name="_Toc22122"/>
      <w:bookmarkStart w:id="11" w:name="_Toc13808"/>
    </w:p>
    <w:p>
      <w:pPr>
        <w:pStyle w:val="2"/>
        <w:rPr>
          <w:rFonts w:hint="eastAsia"/>
          <w:color w:val="auto"/>
          <w:highlight w:val="none"/>
        </w:rPr>
        <w:sectPr>
          <w:headerReference r:id="rId8" w:type="default"/>
          <w:footerReference r:id="rId9" w:type="default"/>
          <w:pgSz w:w="11906" w:h="16838"/>
          <w:pgMar w:top="1440" w:right="1800" w:bottom="1440" w:left="1800" w:header="851" w:footer="992" w:gutter="0"/>
          <w:pgNumType w:start="1"/>
          <w:cols w:space="720" w:num="1"/>
          <w:docGrid w:type="lines" w:linePitch="312" w:charSpace="0"/>
        </w:sectPr>
      </w:pPr>
      <w:bookmarkStart w:id="12" w:name="_Toc161525858"/>
    </w:p>
    <w:p>
      <w:pPr>
        <w:pStyle w:val="2"/>
        <w:rPr>
          <w:color w:val="auto"/>
          <w:highlight w:val="none"/>
          <w:lang w:eastAsia="en-US"/>
        </w:rPr>
      </w:pPr>
      <w:r>
        <w:rPr>
          <w:rFonts w:hint="eastAsia"/>
          <w:color w:val="auto"/>
          <w:highlight w:val="none"/>
        </w:rPr>
        <w:t>须知前附表</w:t>
      </w:r>
      <w:bookmarkEnd w:id="7"/>
      <w:bookmarkEnd w:id="8"/>
      <w:bookmarkEnd w:id="12"/>
    </w:p>
    <w:tbl>
      <w:tblPr>
        <w:tblStyle w:val="38"/>
        <w:tblW w:w="91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blHeade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内容</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项目名称</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rPr>
              <w:t>新疆消防救援总队阿勒泰支队“自然灾害应急能力提升工程”装备配备项目（</w:t>
            </w:r>
            <w:r>
              <w:rPr>
                <w:rFonts w:hint="eastAsia" w:hAnsi="宋体" w:cs="Arial"/>
                <w:bCs/>
                <w:color w:val="auto"/>
                <w:highlight w:val="none"/>
                <w:lang w:eastAsia="zh-CN"/>
              </w:rPr>
              <w:t>消防装备三标段</w:t>
            </w:r>
            <w:r>
              <w:rPr>
                <w:rFonts w:hint="eastAsia" w:hAnsi="宋体" w:cs="Arial"/>
                <w:bCs/>
                <w:color w:val="auto"/>
                <w:highlight w:val="none"/>
              </w:rPr>
              <w:t>）</w:t>
            </w:r>
            <w:r>
              <w:rPr>
                <w:rFonts w:hint="eastAsia" w:hAnsi="宋体" w:cs="Arial"/>
                <w:bCs/>
                <w:color w:val="auto"/>
                <w:highlight w:val="none"/>
                <w:lang w:val="en-US" w:eastAsia="zh-CN"/>
              </w:rPr>
              <w:t>第三包二次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imes New Roman" w:hAnsi="宋体" w:eastAsia="宋体" w:cs="Arial"/>
                <w:bCs/>
                <w:color w:val="auto"/>
                <w:kern w:val="2"/>
                <w:sz w:val="21"/>
                <w:szCs w:val="21"/>
                <w:highlight w:val="none"/>
                <w:lang w:val="en-US" w:eastAsia="zh-CN" w:bidi="ar-SA"/>
              </w:rPr>
            </w:pPr>
            <w:r>
              <w:rPr>
                <w:rFonts w:hint="eastAsia" w:hAnsi="宋体" w:cs="Arial"/>
                <w:bCs/>
                <w:color w:val="auto"/>
                <w:highlight w:val="none"/>
                <w:lang w:val="en-US" w:eastAsia="zh-CN"/>
              </w:rPr>
              <w:t>项目</w:t>
            </w:r>
            <w:r>
              <w:rPr>
                <w:rFonts w:hint="eastAsia" w:hAnsi="宋体" w:cs="Arial"/>
                <w:bCs/>
                <w:color w:val="auto"/>
                <w:highlight w:val="none"/>
              </w:rPr>
              <w:t>编号</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Times New Roman" w:hAnsi="宋体" w:eastAsia="宋体" w:cs="Arial"/>
                <w:bCs/>
                <w:color w:val="auto"/>
                <w:kern w:val="2"/>
                <w:sz w:val="21"/>
                <w:szCs w:val="21"/>
                <w:highlight w:val="none"/>
                <w:lang w:val="en-US" w:eastAsia="zh-CN" w:bidi="ar-SA"/>
              </w:rPr>
            </w:pPr>
            <w:r>
              <w:rPr>
                <w:rFonts w:hint="eastAsia" w:hAnsi="宋体" w:cs="Arial"/>
                <w:bCs/>
                <w:color w:val="auto"/>
                <w:highlight w:val="none"/>
                <w:lang w:val="en-US" w:eastAsia="zh-CN"/>
              </w:rPr>
              <w:t>XJRD-ZFCG-013-3-3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hAnsi="宋体" w:cs="Arial"/>
                <w:bCs/>
                <w:color w:val="auto"/>
                <w:highlight w:val="none"/>
                <w:lang w:val="en-US" w:eastAsia="zh-CN"/>
              </w:rPr>
            </w:pPr>
            <w:r>
              <w:rPr>
                <w:rFonts w:hint="eastAsia" w:hAnsi="宋体" w:cs="Arial"/>
                <w:bCs/>
                <w:color w:val="auto"/>
                <w:highlight w:val="none"/>
                <w:lang w:val="en-US" w:eastAsia="zh-CN"/>
              </w:rPr>
              <w:t>标包编号</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XJRD-ZFCG-013-3-3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资金来源</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Cs/>
                <w:color w:val="auto"/>
                <w:highlight w:val="none"/>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预算金额</w:t>
            </w:r>
          </w:p>
          <w:p>
            <w:pPr>
              <w:spacing w:line="360" w:lineRule="auto"/>
              <w:jc w:val="center"/>
              <w:rPr>
                <w:color w:val="auto"/>
                <w:highlight w:val="none"/>
              </w:rPr>
            </w:pPr>
            <w:r>
              <w:rPr>
                <w:rFonts w:hint="eastAsia" w:hAnsi="宋体" w:cs="Arial"/>
                <w:bCs/>
                <w:color w:val="auto"/>
                <w:highlight w:val="none"/>
              </w:rPr>
              <w:t>最高限价</w:t>
            </w:r>
          </w:p>
        </w:tc>
        <w:tc>
          <w:tcPr>
            <w:tcW w:w="6785" w:type="dxa"/>
            <w:tcBorders>
              <w:top w:val="single" w:color="auto" w:sz="4" w:space="0"/>
              <w:left w:val="single" w:color="auto" w:sz="4" w:space="0"/>
              <w:bottom w:val="single" w:color="auto" w:sz="4" w:space="0"/>
              <w:right w:val="single" w:color="auto" w:sz="4" w:space="0"/>
            </w:tcBorders>
            <w:vAlign w:val="center"/>
          </w:tcPr>
          <w:p>
            <w:pPr>
              <w:pStyle w:val="22"/>
              <w:spacing w:line="360" w:lineRule="auto"/>
              <w:jc w:val="left"/>
              <w:rPr>
                <w:rFonts w:hAnsi="宋体" w:cs="Arial"/>
                <w:bCs/>
                <w:color w:val="auto"/>
                <w:highlight w:val="none"/>
              </w:rPr>
            </w:pPr>
            <w:r>
              <w:rPr>
                <w:rFonts w:hint="eastAsia" w:hAnsi="宋体"/>
                <w:color w:val="auto"/>
                <w:highlight w:val="none"/>
              </w:rPr>
              <w:t>预算金额：</w:t>
            </w:r>
            <w:r>
              <w:rPr>
                <w:rFonts w:hAnsi="宋体"/>
                <w:color w:val="auto"/>
                <w:highlight w:val="none"/>
              </w:rPr>
              <w:t>1</w:t>
            </w:r>
            <w:r>
              <w:rPr>
                <w:rFonts w:hint="eastAsia" w:hAnsi="宋体"/>
                <w:color w:val="auto"/>
                <w:highlight w:val="none"/>
                <w:lang w:val="en-US" w:eastAsia="zh-CN"/>
              </w:rPr>
              <w:t>55.17</w:t>
            </w:r>
            <w:r>
              <w:rPr>
                <w:rFonts w:hint="eastAsia" w:hAnsi="宋体"/>
                <w:color w:val="auto"/>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6785" w:type="dxa"/>
            <w:tcBorders>
              <w:top w:val="single" w:color="auto" w:sz="4" w:space="0"/>
              <w:left w:val="single" w:color="auto" w:sz="4" w:space="0"/>
              <w:bottom w:val="single" w:color="auto" w:sz="4" w:space="0"/>
              <w:right w:val="single" w:color="auto" w:sz="4" w:space="0"/>
            </w:tcBorders>
            <w:vAlign w:val="center"/>
          </w:tcPr>
          <w:p>
            <w:pPr>
              <w:pStyle w:val="22"/>
              <w:spacing w:line="360" w:lineRule="auto"/>
              <w:jc w:val="left"/>
              <w:rPr>
                <w:rFonts w:hAnsi="宋体" w:cs="Arial"/>
                <w:bCs/>
                <w:color w:val="auto"/>
                <w:highlight w:val="none"/>
              </w:rPr>
            </w:pPr>
            <w:r>
              <w:rPr>
                <w:rFonts w:hint="eastAsia" w:hAnsi="宋体" w:cs="Arial"/>
                <w:bCs/>
                <w:color w:val="auto"/>
                <w:highlight w:val="none"/>
              </w:rPr>
              <w:t>最高限价：同预算金额，单价的最高限价详见采购需求</w:t>
            </w:r>
          </w:p>
          <w:p>
            <w:pPr>
              <w:pStyle w:val="22"/>
              <w:spacing w:line="360" w:lineRule="auto"/>
              <w:jc w:val="lef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招标方式</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招标内容</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服务地点</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hAnsi="宋体" w:cs="宋体"/>
                <w:color w:val="auto"/>
                <w:highlight w:val="none"/>
              </w:rPr>
              <w:t>合同履约期限</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ascii="宋体" w:hAnsi="宋体"/>
                <w:color w:val="auto"/>
                <w:highlight w:val="none"/>
              </w:rPr>
              <w:t>签订合同后45日内交付货物。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hAnsi="宋体" w:cs="宋体"/>
                <w:color w:val="auto"/>
                <w:highlight w:val="none"/>
              </w:rPr>
              <w:t>质量标准</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cs="宋体"/>
                <w:color w:val="auto"/>
                <w:highlight w:val="none"/>
              </w:rPr>
              <w:t>付款方式</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spacing w:val="6"/>
                <w:highlight w:val="none"/>
                <w:lang w:eastAsia="zh-CN"/>
              </w:rPr>
              <w:t>合同签订后采购人支付合同金额30%的预付款，</w:t>
            </w:r>
            <w:r>
              <w:rPr>
                <w:rFonts w:hint="eastAsia"/>
                <w:color w:val="auto"/>
                <w:highlight w:val="none"/>
              </w:rPr>
              <w:t>中标单位按合同约定交付全部产品、安装调试完毕，验收合格并经过结算审计后30日内，采购人按验收报告、结算审计、合同相关条款支付货款</w:t>
            </w:r>
            <w:r>
              <w:rPr>
                <w:rFonts w:hint="eastAsia"/>
                <w:color w:val="auto"/>
                <w:highlight w:val="none"/>
                <w:lang w:eastAsia="zh-CN"/>
              </w:rPr>
              <w:t>至</w:t>
            </w:r>
            <w:r>
              <w:rPr>
                <w:rFonts w:hint="eastAsia"/>
                <w:color w:val="auto"/>
                <w:highlight w:val="none"/>
              </w:rPr>
              <w:t>100%；如结算审计有审减，按照结算审计结果支付货款；如验收不合格、未完成安装调试，参照违约责任执行。(如采购人有付款需求，在签订合同后，中标单位向采购人提供同等合同金额的银行保函，收到保函，采购人可支付合同</w:t>
            </w:r>
            <w:r>
              <w:rPr>
                <w:rFonts w:hint="eastAsia"/>
                <w:color w:val="auto"/>
                <w:spacing w:val="6"/>
                <w:highlight w:val="none"/>
                <w:lang w:eastAsia="zh-CN"/>
              </w:rPr>
              <w:t>金额</w:t>
            </w:r>
            <w:r>
              <w:rPr>
                <w:rFonts w:hint="eastAsia"/>
                <w:color w:val="auto"/>
                <w:highlight w:val="none"/>
              </w:rPr>
              <w:t>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质量保修期</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消防装备自验收合格之日起三年，质保期内免费维修更换相关配件。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进口产品</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84" w:type="dxa"/>
            <w:tcBorders>
              <w:left w:val="single" w:color="auto" w:sz="4" w:space="0"/>
              <w:right w:val="single" w:color="auto" w:sz="4" w:space="0"/>
            </w:tcBorders>
            <w:vAlign w:val="center"/>
          </w:tcPr>
          <w:p>
            <w:pPr>
              <w:spacing w:line="360" w:lineRule="auto"/>
              <w:jc w:val="center"/>
              <w:rPr>
                <w:rFonts w:hint="default" w:hAnsi="宋体" w:eastAsia="宋体" w:cs="Arial"/>
                <w:bCs/>
                <w:color w:val="auto"/>
                <w:highlight w:val="none"/>
                <w:lang w:val="en-US" w:eastAsia="zh-CN"/>
              </w:rPr>
            </w:pPr>
            <w:r>
              <w:rPr>
                <w:rFonts w:hint="eastAsia" w:hAnsi="宋体" w:cs="Arial"/>
                <w:bCs/>
                <w:color w:val="auto"/>
                <w:highlight w:val="none"/>
                <w:lang w:val="en-US" w:eastAsia="zh-CN"/>
              </w:rPr>
              <w:t>11</w:t>
            </w:r>
          </w:p>
        </w:tc>
        <w:tc>
          <w:tcPr>
            <w:tcW w:w="1695" w:type="dxa"/>
            <w:tcBorders>
              <w:left w:val="single" w:color="auto" w:sz="4" w:space="0"/>
              <w:right w:val="single" w:color="auto" w:sz="4" w:space="0"/>
            </w:tcBorders>
            <w:vAlign w:val="center"/>
          </w:tcPr>
          <w:p>
            <w:pPr>
              <w:spacing w:line="360" w:lineRule="auto"/>
              <w:jc w:val="center"/>
              <w:rPr>
                <w:rFonts w:hint="default" w:eastAsia="宋体" w:cs="宋体"/>
                <w:color w:val="auto"/>
                <w:highlight w:val="none"/>
                <w:lang w:val="en-US" w:eastAsia="zh-CN"/>
              </w:rPr>
            </w:pPr>
            <w:r>
              <w:rPr>
                <w:rFonts w:hint="eastAsia" w:cs="宋体"/>
                <w:color w:val="auto"/>
                <w:highlight w:val="none"/>
                <w:lang w:val="en-US" w:eastAsia="zh-CN"/>
              </w:rPr>
              <w:t>核心产品</w:t>
            </w:r>
          </w:p>
        </w:tc>
        <w:tc>
          <w:tcPr>
            <w:tcW w:w="6785" w:type="dxa"/>
            <w:tcBorders>
              <w:top w:val="single" w:color="auto" w:sz="4" w:space="0"/>
              <w:left w:val="single" w:color="auto" w:sz="4" w:space="0"/>
              <w:bottom w:val="single" w:color="auto" w:sz="4" w:space="0"/>
              <w:right w:val="single" w:color="auto" w:sz="4" w:space="0"/>
            </w:tcBorders>
            <w:vAlign w:val="center"/>
          </w:tcPr>
          <w:p>
            <w:pPr>
              <w:pStyle w:val="22"/>
              <w:rPr>
                <w:rFonts w:hAnsi="宋体"/>
                <w:color w:val="auto"/>
                <w:highlight w:val="none"/>
              </w:rPr>
            </w:pPr>
            <w:r>
              <w:rPr>
                <w:rFonts w:hint="eastAsia" w:hAnsi="宋体"/>
                <w:color w:val="auto"/>
                <w:highlight w:val="none"/>
              </w:rPr>
              <w:t>位移监测仪</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hAnsi="宋体" w:cs="Arial"/>
                <w:color w:val="auto"/>
                <w:highlight w:val="none"/>
              </w:rPr>
              <w:t>投标人资格要求</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lang w:val="zh-CN"/>
              </w:rPr>
            </w:pPr>
            <w:r>
              <w:rPr>
                <w:rFonts w:hint="eastAsia"/>
                <w:color w:val="auto"/>
                <w:highlight w:val="none"/>
                <w:lang w:val="zh-CN"/>
              </w:rPr>
              <w:t>1.满足《中华人民共和国政府采购法》第二十二条规定；</w:t>
            </w:r>
          </w:p>
          <w:p>
            <w:pPr>
              <w:spacing w:line="360" w:lineRule="auto"/>
              <w:rPr>
                <w:rFonts w:hint="eastAsia" w:eastAsia="宋体"/>
                <w:color w:val="auto"/>
                <w:highlight w:val="none"/>
                <w:lang w:val="en-US" w:eastAsia="zh-CN"/>
              </w:rPr>
            </w:pPr>
            <w:r>
              <w:rPr>
                <w:rFonts w:hint="eastAsia"/>
                <w:color w:val="auto"/>
                <w:highlight w:val="none"/>
                <w:lang w:val="zh-CN"/>
              </w:rPr>
              <w:t>2.落实政府采购政策需满足的资格要求：</w:t>
            </w:r>
            <w:r>
              <w:rPr>
                <w:rFonts w:hint="eastAsia"/>
                <w:color w:val="auto"/>
                <w:highlight w:val="none"/>
                <w:lang w:val="en-US" w:eastAsia="zh-CN"/>
              </w:rPr>
              <w:t xml:space="preserve"> </w:t>
            </w:r>
          </w:p>
          <w:p>
            <w:pPr>
              <w:spacing w:line="360" w:lineRule="auto"/>
              <w:rPr>
                <w:color w:val="auto"/>
                <w:highlight w:val="none"/>
                <w:lang w:val="zh-CN"/>
              </w:rPr>
            </w:pPr>
            <w:r>
              <w:rPr>
                <w:rFonts w:hint="eastAsia"/>
                <w:color w:val="auto"/>
                <w:highlight w:val="none"/>
                <w:lang w:val="zh-CN"/>
              </w:rPr>
              <w:t>1）</w:t>
            </w:r>
            <w:r>
              <w:rPr>
                <w:rFonts w:hint="eastAsia"/>
                <w:color w:val="auto"/>
                <w:highlight w:val="none"/>
                <w:lang w:val="en-US" w:eastAsia="zh-CN"/>
              </w:rPr>
              <w:t>本</w:t>
            </w:r>
            <w:r>
              <w:rPr>
                <w:rFonts w:hint="eastAsia"/>
                <w:color w:val="auto"/>
                <w:highlight w:val="none"/>
                <w:lang w:val="zh-CN"/>
              </w:rPr>
              <w:t>标包非专门面向中小企业采购，投标人所提供货物的制造商为小型、微型企业的，给予10%的价格扣除。</w:t>
            </w:r>
          </w:p>
          <w:p>
            <w:pPr>
              <w:spacing w:line="360" w:lineRule="auto"/>
              <w:rPr>
                <w:color w:val="auto"/>
                <w:highlight w:val="none"/>
                <w:lang w:val="zh-CN"/>
              </w:rPr>
            </w:pP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rPr>
                <w:color w:val="auto"/>
                <w:highlight w:val="none"/>
                <w:lang w:val="zh-CN"/>
              </w:rPr>
            </w:pPr>
            <w:r>
              <w:rPr>
                <w:rFonts w:hint="eastAsia"/>
                <w:color w:val="auto"/>
                <w:highlight w:val="none"/>
                <w:lang w:val="zh-CN"/>
              </w:rPr>
              <w:t>3.本项目的特定资格要求：</w:t>
            </w:r>
          </w:p>
          <w:p>
            <w:pPr>
              <w:spacing w:line="360" w:lineRule="auto"/>
              <w:rPr>
                <w:color w:val="auto"/>
                <w:highlight w:val="none"/>
                <w:lang w:val="zh-CN"/>
              </w:rPr>
            </w:pPr>
            <w:r>
              <w:rPr>
                <w:rFonts w:hint="eastAsia"/>
                <w:color w:val="auto"/>
                <w:highlight w:val="none"/>
                <w:lang w:val="zh-CN"/>
              </w:rPr>
              <w:t>3.1与招标人存在利害关系可能影响招标公正性的法人、其他组织或者个人，不得参加同一标段投标或者未划分标段的同一招标不得参加投标；</w:t>
            </w:r>
          </w:p>
          <w:p>
            <w:pPr>
              <w:spacing w:line="360" w:lineRule="auto"/>
              <w:rPr>
                <w:color w:val="auto"/>
                <w:highlight w:val="none"/>
                <w:lang w:val="zh-CN"/>
              </w:rPr>
            </w:pPr>
            <w:r>
              <w:rPr>
                <w:rFonts w:hint="eastAsia"/>
                <w:color w:val="auto"/>
                <w:highlight w:val="none"/>
                <w:lang w:val="zh-CN"/>
              </w:rPr>
              <w:t>3.2投标人负责人为同一人或者存在控股、管理关系的不同单位，不得同时参加本项目的投标。</w:t>
            </w:r>
          </w:p>
          <w:p>
            <w:pPr>
              <w:pStyle w:val="3"/>
              <w:spacing w:line="360" w:lineRule="auto"/>
              <w:ind w:firstLine="0"/>
              <w:rPr>
                <w:color w:val="auto"/>
                <w:highlight w:val="none"/>
                <w:lang w:val="zh-CN"/>
              </w:rPr>
            </w:pPr>
            <w:r>
              <w:rPr>
                <w:rFonts w:hint="eastAsia"/>
                <w:color w:val="auto"/>
                <w:highlight w:val="none"/>
                <w:lang w:val="zh-CN"/>
              </w:rPr>
              <w:t>3.3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rPr>
                <w:color w:val="auto"/>
                <w:highlight w:val="none"/>
                <w:lang w:val="zh-CN"/>
              </w:rPr>
            </w:pPr>
            <w:r>
              <w:rPr>
                <w:rFonts w:hint="eastAsia"/>
                <w:color w:val="auto"/>
                <w:highlight w:val="none"/>
                <w:lang w:val="zh-CN"/>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14</w:t>
            </w: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投标保证金</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color w:val="auto"/>
                <w:highlight w:val="none"/>
              </w:rPr>
            </w:pPr>
            <w:r>
              <w:rPr>
                <w:rFonts w:hint="eastAsia"/>
                <w:color w:val="auto"/>
                <w:highlight w:val="none"/>
              </w:rPr>
              <w:t>1. 投标保证金金额：</w:t>
            </w:r>
            <w:r>
              <w:rPr>
                <w:rFonts w:hint="eastAsia" w:hAnsi="宋体"/>
                <w:color w:val="auto"/>
                <w:highlight w:val="none"/>
              </w:rPr>
              <w:t>3</w:t>
            </w:r>
            <w:r>
              <w:rPr>
                <w:rFonts w:hint="eastAsia" w:hAnsi="宋体"/>
                <w:color w:val="auto"/>
                <w:highlight w:val="none"/>
                <w:lang w:val="en-US" w:eastAsia="zh-CN"/>
              </w:rPr>
              <w:t>0</w:t>
            </w:r>
            <w:r>
              <w:rPr>
                <w:rFonts w:hint="eastAsia" w:hAnsi="宋体"/>
                <w:color w:val="auto"/>
                <w:highlight w:val="none"/>
              </w:rPr>
              <w:t>000元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pPr>
              <w:spacing w:line="360" w:lineRule="auto"/>
              <w:rPr>
                <w:color w:val="auto"/>
                <w:highlight w:val="none"/>
              </w:rPr>
            </w:pPr>
            <w:r>
              <w:rPr>
                <w:rFonts w:hint="eastAsia"/>
                <w:color w:val="auto"/>
                <w:highlight w:val="none"/>
              </w:rPr>
              <w:t>3.投标保证金缴纳形式：投标保证金应当以支票、汇票、本票或者金融机构、担保机构出具的保函等非现金形式提交，投标人未按照招标文件要求提交投标保证金的，投标无效。</w:t>
            </w:r>
          </w:p>
          <w:p>
            <w:pPr>
              <w:spacing w:line="360" w:lineRule="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360" w:lineRule="auto"/>
              <w:rPr>
                <w:color w:val="auto"/>
                <w:highlight w:val="none"/>
              </w:rPr>
            </w:pPr>
            <w:r>
              <w:rPr>
                <w:rFonts w:hint="eastAsia"/>
                <w:color w:val="auto"/>
                <w:highlight w:val="none"/>
              </w:rPr>
              <w:t>5.投标保证金递交的开户银行及账号如下：</w:t>
            </w:r>
          </w:p>
          <w:p>
            <w:pPr>
              <w:spacing w:line="360" w:lineRule="auto"/>
              <w:rPr>
                <w:rFonts w:ascii="宋体" w:hAnsi="宋体"/>
                <w:color w:val="auto"/>
                <w:highlight w:val="none"/>
              </w:rPr>
            </w:pPr>
            <w:r>
              <w:rPr>
                <w:rFonts w:hint="eastAsia" w:ascii="宋体" w:hAnsi="宋体"/>
                <w:color w:val="auto"/>
                <w:highlight w:val="none"/>
              </w:rPr>
              <w:t>账户名称：新疆润达工程项目管理有限公司</w:t>
            </w:r>
          </w:p>
          <w:p>
            <w:pPr>
              <w:spacing w:line="360" w:lineRule="auto"/>
              <w:jc w:val="left"/>
              <w:rPr>
                <w:rFonts w:hint="eastAsia"/>
                <w:color w:val="auto"/>
                <w:highlight w:val="none"/>
              </w:rPr>
            </w:pPr>
            <w:r>
              <w:rPr>
                <w:rFonts w:hint="eastAsia"/>
                <w:color w:val="auto"/>
                <w:highlight w:val="none"/>
              </w:rPr>
              <w:t>账    号：</w:t>
            </w:r>
            <w:r>
              <w:rPr>
                <w:rFonts w:hint="eastAsia"/>
                <w:color w:val="auto"/>
                <w:highlight w:val="none"/>
                <w:lang w:val="en-US" w:eastAsia="zh-CN"/>
              </w:rPr>
              <w:t>0000020090110004657139</w:t>
            </w:r>
          </w:p>
          <w:p>
            <w:pPr>
              <w:spacing w:line="360" w:lineRule="auto"/>
              <w:jc w:val="left"/>
              <w:rPr>
                <w:rFonts w:hint="eastAsia"/>
                <w:color w:val="auto"/>
                <w:highlight w:val="none"/>
              </w:rPr>
            </w:pPr>
            <w:r>
              <w:rPr>
                <w:rFonts w:hint="eastAsia"/>
                <w:color w:val="auto"/>
                <w:highlight w:val="none"/>
              </w:rPr>
              <w:t>开户行名称：</w:t>
            </w:r>
            <w:r>
              <w:rPr>
                <w:rFonts w:hint="eastAsia"/>
                <w:color w:val="auto"/>
                <w:highlight w:val="none"/>
                <w:lang w:val="en-US" w:eastAsia="zh-CN"/>
              </w:rPr>
              <w:t>乌鲁木齐银行新华南路支行</w:t>
            </w:r>
          </w:p>
          <w:p>
            <w:pPr>
              <w:spacing w:line="360" w:lineRule="auto"/>
              <w:jc w:val="left"/>
              <w:rPr>
                <w:rFonts w:hint="eastAsia"/>
                <w:color w:val="auto"/>
                <w:highlight w:val="none"/>
              </w:rPr>
            </w:pPr>
            <w:r>
              <w:rPr>
                <w:rFonts w:hint="eastAsia"/>
                <w:color w:val="auto"/>
                <w:highlight w:val="none"/>
              </w:rPr>
              <w:t>行    号：</w:t>
            </w:r>
            <w:r>
              <w:rPr>
                <w:rFonts w:hint="eastAsia"/>
                <w:color w:val="auto"/>
                <w:highlight w:val="none"/>
                <w:lang w:val="en-US" w:eastAsia="zh-CN"/>
              </w:rPr>
              <w:t>313881000176</w:t>
            </w:r>
          </w:p>
          <w:p>
            <w:pPr>
              <w:spacing w:line="360" w:lineRule="auto"/>
              <w:jc w:val="left"/>
              <w:rPr>
                <w:color w:val="auto"/>
                <w:highlight w:val="none"/>
              </w:rPr>
            </w:pPr>
            <w:r>
              <w:rPr>
                <w:rFonts w:hint="eastAsia"/>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w:t>
            </w:r>
            <w:r>
              <w:rPr>
                <w:rFonts w:hint="eastAsia" w:ascii="宋体" w:hAnsi="宋体"/>
                <w:color w:val="auto"/>
                <w:highlight w:val="none"/>
              </w:rPr>
              <w:t>保证金事宜请联系财务室：牛静竹 18799019901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投标有效期</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现场踏勘</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宋体"/>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投标文件</w:t>
            </w:r>
          </w:p>
          <w:p>
            <w:pPr>
              <w:spacing w:line="360" w:lineRule="auto"/>
              <w:jc w:val="center"/>
              <w:rPr>
                <w:rFonts w:ascii="宋体" w:hAnsi="宋体" w:cs="Arial"/>
                <w:bCs/>
                <w:color w:val="auto"/>
                <w:highlight w:val="none"/>
              </w:rPr>
            </w:pPr>
            <w:r>
              <w:rPr>
                <w:rFonts w:hint="eastAsia" w:hAnsi="宋体" w:cs="Arial"/>
                <w:bCs/>
                <w:color w:val="auto"/>
                <w:highlight w:val="none"/>
              </w:rPr>
              <w:t>份数</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（报价文件单独胶装成一册，商务技术文件合并胶装）。</w:t>
            </w:r>
          </w:p>
          <w:p>
            <w:pPr>
              <w:spacing w:line="360" w:lineRule="auto"/>
              <w:rPr>
                <w:rFonts w:ascii="宋体" w:hAnsi="宋体" w:cs="Arial"/>
                <w:bCs/>
                <w:color w:val="auto"/>
                <w:highlight w:val="none"/>
              </w:rPr>
            </w:pPr>
            <w:r>
              <w:rPr>
                <w:rFonts w:hint="eastAsia"/>
                <w:color w:val="auto"/>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hAnsi="宋体" w:cs="Arial"/>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投标截止时间：2024年</w:t>
            </w:r>
            <w:r>
              <w:rPr>
                <w:rFonts w:hint="eastAsia" w:ascii="宋体" w:hAnsi="宋体"/>
                <w:color w:val="auto"/>
                <w:highlight w:val="none"/>
                <w:lang w:val="en-US" w:eastAsia="zh-CN"/>
              </w:rPr>
              <w:t>6</w:t>
            </w:r>
            <w:r>
              <w:rPr>
                <w:rFonts w:hint="eastAsia" w:ascii="宋体" w:hAnsi="宋体"/>
                <w:color w:val="auto"/>
                <w:highlight w:val="none"/>
              </w:rPr>
              <w:t>月</w:t>
            </w:r>
            <w:r>
              <w:rPr>
                <w:rFonts w:hint="eastAsia" w:ascii="宋体" w:hAnsi="宋体"/>
                <w:color w:val="auto"/>
                <w:highlight w:val="none"/>
                <w:lang w:val="en-US" w:eastAsia="zh-CN"/>
              </w:rPr>
              <w:t>4</w:t>
            </w:r>
            <w:r>
              <w:rPr>
                <w:rFonts w:hint="eastAsia" w:ascii="宋体" w:hAnsi="宋体"/>
                <w:color w:val="auto"/>
                <w:highlight w:val="none"/>
              </w:rPr>
              <w:t>日</w:t>
            </w:r>
            <w:r>
              <w:rPr>
                <w:rFonts w:hint="eastAsia" w:ascii="宋体" w:hAnsi="宋体"/>
                <w:color w:val="auto"/>
                <w:highlight w:val="none"/>
                <w:lang w:val="en-US" w:eastAsia="zh-CN"/>
              </w:rPr>
              <w:t>10</w:t>
            </w:r>
            <w:r>
              <w:rPr>
                <w:rFonts w:hint="eastAsia" w:ascii="宋体" w:hAnsi="宋体"/>
                <w:color w:val="auto"/>
                <w:highlight w:val="none"/>
              </w:rPr>
              <w:t>点</w:t>
            </w:r>
            <w:r>
              <w:rPr>
                <w:rFonts w:hint="eastAsia" w:ascii="宋体" w:hAnsi="宋体"/>
                <w:color w:val="auto"/>
                <w:highlight w:val="none"/>
                <w:lang w:val="en-US" w:eastAsia="zh-CN"/>
              </w:rPr>
              <w:t>30</w:t>
            </w:r>
            <w:r>
              <w:rPr>
                <w:rFonts w:hint="eastAsia" w:ascii="宋体" w:hAnsi="宋体"/>
                <w:color w:val="auto"/>
                <w:highlight w:val="none"/>
              </w:rPr>
              <w:t>分(北京时间)</w:t>
            </w:r>
          </w:p>
          <w:p>
            <w:pPr>
              <w:spacing w:line="360" w:lineRule="auto"/>
              <w:rPr>
                <w:rFonts w:ascii="宋体" w:hAnsi="宋体"/>
                <w:color w:val="auto"/>
                <w:highlight w:val="none"/>
              </w:rPr>
            </w:pPr>
            <w:r>
              <w:rPr>
                <w:rFonts w:hint="eastAsia" w:ascii="宋体" w:hAnsi="宋体"/>
                <w:color w:val="auto"/>
                <w:highlight w:val="none"/>
              </w:rPr>
              <w:t>投标地点：新疆维吾尔自治区乌鲁木齐市水磨沟区准噶尔街299号（益民大厦 5 楼）</w:t>
            </w:r>
            <w:r>
              <w:rPr>
                <w:rFonts w:hint="eastAsia" w:ascii="宋体" w:hAnsi="宋体"/>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开标时间</w:t>
            </w:r>
          </w:p>
          <w:p>
            <w:pPr>
              <w:spacing w:line="360" w:lineRule="auto"/>
              <w:jc w:val="center"/>
              <w:rPr>
                <w:rFonts w:ascii="宋体" w:hAnsi="宋体" w:cs="Arial"/>
                <w:bCs/>
                <w:color w:val="auto"/>
                <w:highlight w:val="none"/>
              </w:rPr>
            </w:pPr>
            <w:r>
              <w:rPr>
                <w:rFonts w:hint="eastAsia" w:hAnsi="宋体" w:cs="Arial"/>
                <w:bCs/>
                <w:color w:val="auto"/>
                <w:highlight w:val="none"/>
              </w:rPr>
              <w:t>及地点</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开标时间：2024年</w:t>
            </w:r>
            <w:r>
              <w:rPr>
                <w:rFonts w:hint="eastAsia" w:ascii="宋体" w:hAnsi="宋体"/>
                <w:color w:val="auto"/>
                <w:highlight w:val="none"/>
                <w:lang w:val="en-US" w:eastAsia="zh-CN"/>
              </w:rPr>
              <w:t>6</w:t>
            </w:r>
            <w:r>
              <w:rPr>
                <w:rFonts w:hint="eastAsia" w:ascii="宋体" w:hAnsi="宋体"/>
                <w:color w:val="auto"/>
                <w:highlight w:val="none"/>
              </w:rPr>
              <w:t>月</w:t>
            </w:r>
            <w:r>
              <w:rPr>
                <w:rFonts w:hint="eastAsia" w:ascii="宋体" w:hAnsi="宋体"/>
                <w:color w:val="auto"/>
                <w:highlight w:val="none"/>
                <w:lang w:val="en-US" w:eastAsia="zh-CN"/>
              </w:rPr>
              <w:t>4</w:t>
            </w:r>
            <w:r>
              <w:rPr>
                <w:rFonts w:hint="eastAsia" w:ascii="宋体" w:hAnsi="宋体"/>
                <w:color w:val="auto"/>
                <w:highlight w:val="none"/>
              </w:rPr>
              <w:t>日</w:t>
            </w:r>
            <w:r>
              <w:rPr>
                <w:rFonts w:hint="eastAsia" w:ascii="宋体" w:hAnsi="宋体"/>
                <w:color w:val="auto"/>
                <w:highlight w:val="none"/>
                <w:lang w:val="en-US" w:eastAsia="zh-CN"/>
              </w:rPr>
              <w:t>10</w:t>
            </w:r>
            <w:r>
              <w:rPr>
                <w:rFonts w:hint="eastAsia" w:ascii="宋体" w:hAnsi="宋体"/>
                <w:color w:val="auto"/>
                <w:highlight w:val="none"/>
              </w:rPr>
              <w:t>点</w:t>
            </w:r>
            <w:r>
              <w:rPr>
                <w:rFonts w:hint="eastAsia" w:ascii="宋体" w:hAnsi="宋体"/>
                <w:color w:val="auto"/>
                <w:highlight w:val="none"/>
                <w:lang w:val="en-US" w:eastAsia="zh-CN"/>
              </w:rPr>
              <w:t>30</w:t>
            </w:r>
            <w:r>
              <w:rPr>
                <w:rFonts w:hint="eastAsia" w:ascii="宋体" w:hAnsi="宋体"/>
                <w:color w:val="auto"/>
                <w:highlight w:val="none"/>
              </w:rPr>
              <w:t>分(北京时间)</w:t>
            </w:r>
          </w:p>
          <w:p>
            <w:pPr>
              <w:spacing w:line="360" w:lineRule="auto"/>
              <w:rPr>
                <w:rFonts w:ascii="宋体" w:hAnsi="宋体"/>
                <w:color w:val="auto"/>
                <w:highlight w:val="none"/>
              </w:rPr>
            </w:pPr>
            <w:r>
              <w:rPr>
                <w:rFonts w:hint="eastAsia" w:ascii="宋体" w:hAnsi="宋体"/>
                <w:color w:val="auto"/>
                <w:highlight w:val="none"/>
              </w:rPr>
              <w:t>开标地点：新疆维吾尔自治区乌鲁木齐市水磨沟区准噶尔街299号（益民大厦 5 楼）</w:t>
            </w:r>
            <w:r>
              <w:rPr>
                <w:rFonts w:hint="eastAsia" w:ascii="宋体" w:hAnsi="宋体"/>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履约保证金</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bCs/>
                <w:color w:val="auto"/>
                <w:spacing w:val="-4"/>
                <w:highlight w:val="none"/>
              </w:rPr>
              <w:t>开标准备</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ascii="宋体" w:hAnsi="宋体" w:cs="宋体"/>
                <w:color w:val="auto"/>
                <w:spacing w:val="-4"/>
                <w:highlight w:val="none"/>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1.根据《国家市场监督管理总局关于发布强制性产品认证目录描述与界定表的公告》（2023年第36号）要求，本项目的产品</w:t>
            </w:r>
            <w:r>
              <w:rPr>
                <w:rFonts w:hint="eastAsia"/>
                <w:color w:val="auto"/>
                <w:highlight w:val="none"/>
                <w:lang w:val="en-US" w:eastAsia="zh-CN"/>
              </w:rPr>
              <w:t>如</w:t>
            </w:r>
            <w:r>
              <w:rPr>
                <w:rFonts w:hint="eastAsia"/>
                <w:color w:val="auto"/>
                <w:highlight w:val="none"/>
              </w:rPr>
              <w:t>属于《强制性产品认证目录》、《强制性产品认证目录描述与界定表（2023年修订）》范围内产品的，应取得有效期内的强制性认证证书（CCC认证证书），</w:t>
            </w:r>
            <w:r>
              <w:rPr>
                <w:rFonts w:hint="eastAsia"/>
                <w:color w:val="auto"/>
                <w:highlight w:val="none"/>
                <w:lang w:val="en-US" w:eastAsia="zh-CN"/>
              </w:rPr>
              <w:t>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供应商须在投标文件中提供认证证书复印件（加盖公章），否则将被视为无效投标。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cs="Arial"/>
                <w:bCs/>
                <w:color w:val="auto"/>
                <w:highlight w:val="none"/>
              </w:rPr>
              <w:t>代理服务费用</w:t>
            </w:r>
          </w:p>
        </w:tc>
        <w:tc>
          <w:tcPr>
            <w:tcW w:w="678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olor w:val="auto"/>
                <w:highlight w:val="none"/>
              </w:rPr>
              <w:t>参照国家发展改革委员会发改价格【2011】534号、发改办价格【2003】857号文件和国家发展改革委“发改价格”和《招标代理服务收费管理暂行办法》（计价格【2002】1980号），以中标价为基准计算，采用差额定率累进计法</w:t>
            </w:r>
            <w:r>
              <w:rPr>
                <w:rFonts w:hint="eastAsia" w:ascii="宋体" w:hAnsi="宋体"/>
                <w:color w:val="auto"/>
                <w:highlight w:val="none"/>
                <w:lang w:val="en-US" w:eastAsia="zh-CN"/>
              </w:rPr>
              <w:t>下浮25 %</w:t>
            </w:r>
            <w:r>
              <w:rPr>
                <w:rFonts w:hint="eastAsia" w:ascii="宋体" w:hAnsi="宋体"/>
                <w:color w:val="auto"/>
                <w:highlight w:val="none"/>
              </w:rPr>
              <w:t>，由中标单位支付。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w:t>
            </w:r>
            <w:r>
              <w:rPr>
                <w:rFonts w:hint="eastAsia"/>
                <w:color w:val="auto"/>
                <w:highlight w:val="none"/>
                <w:lang w:val="zh-CN"/>
              </w:rPr>
              <w:t xml:space="preserve"> </w:t>
            </w:r>
            <w:r>
              <w:rPr>
                <w:rFonts w:hint="eastAsia"/>
                <w:color w:val="auto"/>
                <w:highlight w:val="none"/>
                <w:lang w:val="zh-CN" w:eastAsia="zh-CN"/>
              </w:rPr>
              <w:t>本</w:t>
            </w:r>
            <w:r>
              <w:rPr>
                <w:rFonts w:hint="eastAsia"/>
                <w:color w:val="auto"/>
                <w:highlight w:val="none"/>
                <w:lang w:val="zh-CN"/>
              </w:rPr>
              <w:t>标包非专门面向中小企业采购，投标人所提供货物的制造商为小型、微型企业的，给予10%的价格扣除。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3.根据《政府采购促进中小企业发展管理办法》（财库[2020]46号）和《财政部关于进一步加大政府采购支持中小企业力度的通知》要求，供应商应提供合格的《中小企业声明函》，如投标人提供的《中小企业声明函》不合格或未提供《中小微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.有国家或行业标准的产品</w:t>
            </w:r>
            <w:r>
              <w:rPr>
                <w:rFonts w:hint="eastAsia" w:ascii="宋体" w:hAnsi="宋体"/>
                <w:color w:val="auto"/>
                <w:highlight w:val="none"/>
                <w:lang w:val="en-US" w:eastAsia="zh-CN"/>
              </w:rPr>
              <w:t>投标时</w:t>
            </w:r>
            <w:r>
              <w:rPr>
                <w:rFonts w:hint="eastAsia" w:ascii="宋体" w:hAnsi="宋体"/>
                <w:color w:val="auto"/>
                <w:highlight w:val="none"/>
              </w:rPr>
              <w:t>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olor w:val="auto"/>
                <w:highlight w:val="none"/>
                <w:lang w:val="en-US" w:eastAsia="zh-CN"/>
              </w:rPr>
              <w:t>2</w:t>
            </w:r>
            <w:r>
              <w:rPr>
                <w:rFonts w:hint="eastAsia" w:ascii="宋体" w:hAnsi="宋体"/>
                <w:color w:val="auto"/>
                <w:highlight w:val="none"/>
              </w:rPr>
              <w:t>、无国家或行业标准的产品</w:t>
            </w:r>
            <w:r>
              <w:rPr>
                <w:rFonts w:hint="eastAsia" w:ascii="宋体" w:hAnsi="宋体"/>
                <w:color w:val="auto"/>
                <w:highlight w:val="none"/>
                <w:lang w:val="en-US" w:eastAsia="zh-CN"/>
              </w:rPr>
              <w:t>投标时应</w:t>
            </w:r>
            <w:r>
              <w:rPr>
                <w:rFonts w:hint="eastAsia" w:ascii="宋体" w:hAnsi="宋体"/>
                <w:color w:val="auto"/>
                <w:highlight w:val="none"/>
              </w:rPr>
              <w:t>提供国家认可的质量检验检测机构出具的检验检测报告（如</w:t>
            </w:r>
            <w:r>
              <w:rPr>
                <w:rFonts w:hint="eastAsia" w:ascii="宋体" w:hAnsi="宋体"/>
                <w:color w:val="auto"/>
                <w:highlight w:val="none"/>
                <w:lang w:val="en-US" w:eastAsia="zh-CN"/>
              </w:rPr>
              <w:t>有</w:t>
            </w:r>
            <w:r>
              <w:rPr>
                <w:rFonts w:hint="eastAsia" w:ascii="宋体" w:hAnsi="宋体"/>
                <w:color w:val="auto"/>
                <w:highlight w:val="none"/>
              </w:rPr>
              <w:t>）</w:t>
            </w:r>
            <w:r>
              <w:rPr>
                <w:rFonts w:hint="eastAsia" w:ascii="宋体" w:hAnsi="宋体"/>
                <w:color w:val="auto"/>
                <w:highlight w:val="none"/>
                <w:lang w:eastAsia="zh-CN"/>
              </w:rPr>
              <w:t>；</w:t>
            </w:r>
            <w:r>
              <w:rPr>
                <w:rFonts w:hint="eastAsia" w:ascii="宋体" w:hAnsi="宋体"/>
                <w:color w:val="auto"/>
                <w:highlight w:val="none"/>
                <w:lang w:val="en-US" w:eastAsia="zh-CN"/>
              </w:rPr>
              <w:t>如投标时未提供，应在产品交付验收时提供国家认可的质量检验检测机构出具的检验检测报告</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30</w:t>
            </w:r>
          </w:p>
        </w:tc>
        <w:tc>
          <w:tcPr>
            <w:tcW w:w="1695" w:type="dxa"/>
            <w:vMerge w:val="restart"/>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样品</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样品：</w:t>
            </w:r>
            <w:r>
              <w:rPr>
                <w:rFonts w:hint="eastAsia" w:hAnsi="宋体" w:cs="Arial"/>
                <w:bCs/>
                <w:color w:val="auto"/>
                <w:highlight w:val="none"/>
                <w:lang w:val="en-US" w:eastAsia="zh-CN"/>
              </w:rPr>
              <w:t>不要求提供样品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1.以上装备因仅凭书面方式不能准确描述采购需求，需要投标人提供样品进行主观判断以确认是否满足采购需求。</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2.（1）样品递交时间和地点：在投标文件递交截止时间前，随投标文件一并现场递交。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（2）样品递交截止时间：同投标文件递交截止时间。</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3.样品制作的标准和要求：按采购文件第六章“项目需求”的要求制作。所递交样品上不得体现投标人或制造商名称或其他标识，相应位置须一律空白。</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color w:val="auto"/>
                <w:highlight w:val="none"/>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360" w:lineRule="auto"/>
              <w:jc w:val="left"/>
              <w:rPr>
                <w:rFonts w:ascii="宋体" w:hAnsi="宋体" w:cs="宋体"/>
                <w:b/>
                <w:bCs/>
                <w:color w:val="auto"/>
                <w:spacing w:val="-4"/>
                <w:highlight w:val="none"/>
              </w:rPr>
            </w:pPr>
            <w:r>
              <w:rPr>
                <w:rFonts w:hint="eastAsia" w:ascii="宋体" w:hAnsi="宋体" w:cs="宋体"/>
                <w:b/>
                <w:bCs/>
                <w:color w:val="auto"/>
                <w:spacing w:val="-4"/>
                <w:highlight w:val="none"/>
              </w:rPr>
              <w:t>特别说明：</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（1）若不满足以上样品制作的标准和要求，样品评分为0分。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（2）投标人代表须随身携带加盖投标人公章的备用密封条（密封条形式不做要求，每包提供4个密封条）。</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（3）投标人应具有所投标包样品的所有权，并确保采购人和采购代理机构免于受到第三方基于样品所有权产生的起诉。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（4）现场根据评标委员会的要求可以对样品进行破坏性测试，采购人及采购代理机构不承担任何责任。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ascii="宋体" w:hAnsi="宋体" w:cs="宋体"/>
                <w:color w:val="auto"/>
                <w:highlight w:val="none"/>
              </w:rPr>
              <w:t>（5）评审结束后，中标人的样品经密封封存于指定位置，作为履约验收的参考。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其他</w:t>
            </w:r>
          </w:p>
        </w:tc>
        <w:tc>
          <w:tcPr>
            <w:tcW w:w="678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360" w:lineRule="auto"/>
              <w:jc w:val="left"/>
              <w:rPr>
                <w:rFonts w:hint="eastAsia"/>
                <w:color w:val="auto"/>
                <w:highlight w:val="none"/>
              </w:rPr>
            </w:pPr>
            <w:r>
              <w:rPr>
                <w:rFonts w:hint="eastAsia"/>
                <w:color w:val="auto"/>
                <w:highlight w:val="none"/>
              </w:rPr>
              <w:t>2、除法律、法规和规章规定外，招标文件中用“拒绝”“不接受”“无效”“不得”“必须”“应当”等文字规定的条款为实质性要求条款（即重要条款），对其中任何一条偏离的，在评标时将其视为无效投标。</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lang w:val="en-US" w:eastAsia="zh-CN"/>
              </w:rPr>
              <w:t>3、场地费：本项目开标时须向公共资源交易中心缴纳场地及设施服务费，收费标准：根据阿地发改收费[2012]13 号文件规定，各地建设 工程交易中心向投标企业收取的场地及设施服务费单个招投标项目最高不得超过 6000 元。投标企业少于 6 家(含 6 家)的按每个投标企业每次 1000 元收取；投标企业超过 6 家的，按单个招投标项目 6000 元由投标企业平均分摊。请各位投标人提前将投标单位名称、统一社会信用代码、联系人、电话、接收发票的邮箱及须缴纳的费用准备好，投标截止时间后统一报给代理机构。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164"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2"/>
        <w:rPr>
          <w:color w:val="auto"/>
          <w:highlight w:val="none"/>
        </w:rPr>
      </w:pPr>
      <w:bookmarkStart w:id="13" w:name="_Toc161525859"/>
      <w:r>
        <w:rPr>
          <w:rFonts w:hint="eastAsia"/>
          <w:color w:val="auto"/>
          <w:highlight w:val="none"/>
        </w:rPr>
        <w:t>第一章</w:t>
      </w:r>
      <w:bookmarkEnd w:id="0"/>
      <w:bookmarkEnd w:id="1"/>
      <w:bookmarkEnd w:id="9"/>
      <w:r>
        <w:rPr>
          <w:rFonts w:hint="eastAsia"/>
          <w:color w:val="auto"/>
          <w:highlight w:val="none"/>
        </w:rPr>
        <w:t>招标邀请</w:t>
      </w:r>
      <w:bookmarkEnd w:id="10"/>
      <w:bookmarkEnd w:id="11"/>
      <w:bookmarkEnd w:id="13"/>
    </w:p>
    <w:bookmarkEnd w:id="2"/>
    <w:bookmarkEnd w:id="3"/>
    <w:bookmarkEnd w:id="4"/>
    <w:bookmarkEnd w:id="5"/>
    <w:bookmarkEnd w:id="6"/>
    <w:p>
      <w:pPr>
        <w:spacing w:line="360" w:lineRule="auto"/>
        <w:jc w:val="center"/>
        <w:rPr>
          <w:color w:val="auto"/>
          <w:sz w:val="24"/>
          <w:szCs w:val="24"/>
          <w:highlight w:val="none"/>
        </w:rPr>
      </w:pPr>
      <w:bookmarkStart w:id="14" w:name="_Toc120614211"/>
      <w:bookmarkStart w:id="15" w:name="_Toc534725597"/>
      <w:bookmarkStart w:id="16" w:name="_Toc20823314"/>
      <w:bookmarkStart w:id="17" w:name="_Toc494375079"/>
      <w:bookmarkStart w:id="18" w:name="_Toc16938558"/>
      <w:bookmarkStart w:id="19" w:name="_Toc120614221"/>
      <w:bookmarkStart w:id="20" w:name="_Toc479757207"/>
      <w:bookmarkStart w:id="21" w:name="_Toc513029242"/>
      <w:r>
        <w:rPr>
          <w:rFonts w:hint="eastAsia"/>
          <w:color w:val="auto"/>
          <w:sz w:val="24"/>
          <w:szCs w:val="24"/>
          <w:highlight w:val="none"/>
        </w:rPr>
        <w:t>新疆消防救援总队阿勒泰支队“自然灾害应急能力提升工程”装备配备项目</w:t>
      </w:r>
    </w:p>
    <w:p>
      <w:pPr>
        <w:spacing w:line="360" w:lineRule="auto"/>
        <w:jc w:val="center"/>
        <w:rPr>
          <w:color w:val="auto"/>
          <w:sz w:val="24"/>
          <w:szCs w:val="24"/>
          <w:highlight w:val="none"/>
        </w:rPr>
      </w:pPr>
      <w:r>
        <w:rPr>
          <w:rFonts w:hint="eastAsia"/>
          <w:color w:val="auto"/>
          <w:sz w:val="24"/>
          <w:szCs w:val="24"/>
          <w:highlight w:val="none"/>
        </w:rPr>
        <w:t>（</w:t>
      </w:r>
      <w:r>
        <w:rPr>
          <w:rFonts w:hint="eastAsia"/>
          <w:color w:val="auto"/>
          <w:sz w:val="24"/>
          <w:szCs w:val="24"/>
          <w:highlight w:val="none"/>
          <w:lang w:eastAsia="zh-CN"/>
        </w:rPr>
        <w:t>消防装备三标段</w:t>
      </w:r>
      <w:r>
        <w:rPr>
          <w:rFonts w:hint="eastAsia"/>
          <w:color w:val="auto"/>
          <w:sz w:val="24"/>
          <w:szCs w:val="24"/>
          <w:highlight w:val="none"/>
        </w:rPr>
        <w:t>）</w:t>
      </w:r>
      <w:r>
        <w:rPr>
          <w:rFonts w:hint="eastAsia"/>
          <w:color w:val="auto"/>
          <w:sz w:val="24"/>
          <w:szCs w:val="24"/>
          <w:highlight w:val="none"/>
          <w:lang w:val="en-US" w:eastAsia="zh-CN"/>
        </w:rPr>
        <w:t>第三包二次</w:t>
      </w: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bookmarkStart w:id="22" w:name="_Hlk161435740"/>
      <w:r>
        <w:rPr>
          <w:rFonts w:hint="eastAsia" w:ascii="宋体" w:hAnsi="宋体" w:cs="宋体"/>
          <w:color w:val="auto"/>
          <w:sz w:val="24"/>
          <w:szCs w:val="24"/>
          <w:highlight w:val="none"/>
          <w:u w:val="single"/>
        </w:rPr>
        <w:t>新疆消防救援总队阿勒泰支队“自然灾害应急能力提升工程”装备配备项目（</w:t>
      </w:r>
      <w:r>
        <w:rPr>
          <w:rFonts w:hint="eastAsia" w:ascii="宋体" w:hAnsi="宋体" w:cs="宋体"/>
          <w:color w:val="auto"/>
          <w:sz w:val="24"/>
          <w:szCs w:val="24"/>
          <w:highlight w:val="none"/>
          <w:u w:val="single"/>
          <w:lang w:eastAsia="zh-CN"/>
        </w:rPr>
        <w:t>消防装备三标段</w:t>
      </w:r>
      <w:r>
        <w:rPr>
          <w:rFonts w:hint="eastAsia" w:ascii="宋体" w:hAnsi="宋体" w:cs="宋体"/>
          <w:color w:val="auto"/>
          <w:sz w:val="24"/>
          <w:szCs w:val="24"/>
          <w:highlight w:val="none"/>
          <w:u w:val="single"/>
        </w:rPr>
        <w:t>）</w:t>
      </w:r>
      <w:bookmarkEnd w:id="22"/>
      <w:r>
        <w:rPr>
          <w:rFonts w:hint="eastAsia"/>
          <w:color w:val="auto"/>
          <w:sz w:val="24"/>
          <w:szCs w:val="24"/>
          <w:highlight w:val="none"/>
          <w:lang w:val="en-US" w:eastAsia="zh-CN"/>
        </w:rPr>
        <w:t>第三包二次</w:t>
      </w:r>
      <w:r>
        <w:rPr>
          <w:rFonts w:hint="eastAsia" w:ascii="宋体" w:hAnsi="宋体" w:cs="宋体"/>
          <w:color w:val="auto"/>
          <w:sz w:val="24"/>
          <w:szCs w:val="24"/>
          <w:highlight w:val="none"/>
        </w:rPr>
        <w:t>的潜在供应商应在</w:t>
      </w:r>
      <w:r>
        <w:rPr>
          <w:rFonts w:hint="eastAsia" w:ascii="宋体" w:hAnsi="宋体" w:cs="宋体"/>
          <w:color w:val="auto"/>
          <w:spacing w:val="10"/>
          <w:sz w:val="24"/>
          <w:szCs w:val="24"/>
          <w:highlight w:val="none"/>
          <w:u w:val="single"/>
          <w:lang w:val="en-US" w:eastAsia="zh-CN"/>
        </w:rPr>
        <w:t>线上</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6</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pPr>
        <w:pStyle w:val="4"/>
        <w:rPr>
          <w:rFonts w:cs="宋体"/>
          <w:color w:val="auto"/>
          <w:highlight w:val="none"/>
        </w:rPr>
      </w:pPr>
      <w:r>
        <w:rPr>
          <w:rFonts w:hint="eastAsia"/>
          <w:color w:val="auto"/>
          <w:highlight w:val="none"/>
        </w:rPr>
        <w:t>一、项目基本情况</w:t>
      </w:r>
    </w:p>
    <w:tbl>
      <w:tblPr>
        <w:tblStyle w:val="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6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6454" w:type="dxa"/>
            <w:vAlign w:val="center"/>
          </w:tcPr>
          <w:p>
            <w:pPr>
              <w:spacing w:line="460" w:lineRule="exact"/>
              <w:jc w:val="lef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XJRD-ZFCG-013-</w:t>
            </w:r>
            <w:r>
              <w:rPr>
                <w:rFonts w:hint="eastAsia" w:ascii="宋体" w:hAnsi="宋体" w:cs="宋体"/>
                <w:color w:val="auto"/>
                <w:sz w:val="24"/>
                <w:szCs w:val="24"/>
                <w:highlight w:val="none"/>
                <w:lang w:val="en-US" w:eastAsia="zh-C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454"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新疆消防救援总队阿勒泰支队“自然灾害应急能力提升工程”装备配备项目（</w:t>
            </w:r>
            <w:r>
              <w:rPr>
                <w:rFonts w:hint="eastAsia" w:ascii="宋体" w:hAnsi="宋体" w:cs="宋体"/>
                <w:color w:val="auto"/>
                <w:sz w:val="24"/>
                <w:szCs w:val="24"/>
                <w:highlight w:val="none"/>
                <w:lang w:eastAsia="zh-CN"/>
              </w:rPr>
              <w:t>消防装备三标段</w:t>
            </w:r>
            <w:r>
              <w:rPr>
                <w:rFonts w:hint="eastAsia" w:ascii="宋体" w:hAnsi="宋体" w:cs="宋体"/>
                <w:color w:val="auto"/>
                <w:sz w:val="24"/>
                <w:szCs w:val="24"/>
                <w:highlight w:val="none"/>
              </w:rPr>
              <w:t>）</w:t>
            </w:r>
            <w:r>
              <w:rPr>
                <w:rFonts w:hint="eastAsia"/>
                <w:color w:val="auto"/>
                <w:sz w:val="24"/>
                <w:szCs w:val="24"/>
                <w:highlight w:val="none"/>
                <w:lang w:val="en-US" w:eastAsia="zh-CN"/>
              </w:rPr>
              <w:t>第三包二次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6454"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6454" w:type="dxa"/>
            <w:vAlign w:val="center"/>
          </w:tcPr>
          <w:p>
            <w:pPr>
              <w:spacing w:line="460" w:lineRule="exact"/>
              <w:jc w:val="left"/>
              <w:rPr>
                <w:rFonts w:ascii="宋体" w:hAnsi="宋体" w:cs="宋体"/>
                <w:color w:val="auto"/>
                <w:sz w:val="24"/>
                <w:szCs w:val="24"/>
                <w:highlight w:val="none"/>
              </w:rPr>
            </w:pPr>
            <w:r>
              <w:rPr>
                <w:rFonts w:hint="eastAsia" w:ascii="宋体" w:hAnsi="宋体"/>
                <w:color w:val="auto"/>
                <w:sz w:val="24"/>
                <w:szCs w:val="24"/>
                <w:highlight w:val="none"/>
                <w:lang w:val="en-US" w:eastAsia="zh-CN"/>
              </w:rPr>
              <w:t>155.17</w:t>
            </w:r>
            <w:r>
              <w:rPr>
                <w:rFonts w:hint="eastAsia" w:ascii="宋体" w:hAnsi="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6454"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最高限价：同预算金额，单价的最高限价详见采购需求</w:t>
            </w:r>
          </w:p>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cs="宋体"/>
                <w:color w:val="auto"/>
                <w:sz w:val="24"/>
                <w:szCs w:val="24"/>
                <w:highlight w:val="none"/>
              </w:rPr>
              <w:t>资金来源</w:t>
            </w:r>
          </w:p>
        </w:tc>
        <w:tc>
          <w:tcPr>
            <w:tcW w:w="6454" w:type="dxa"/>
            <w:vAlign w:val="center"/>
          </w:tcPr>
          <w:p>
            <w:pPr>
              <w:pStyle w:val="37"/>
              <w:spacing w:line="460" w:lineRule="exact"/>
              <w:ind w:firstLine="0" w:firstLineChars="0"/>
              <w:jc w:val="left"/>
              <w:rPr>
                <w:rFonts w:cs="宋体"/>
                <w:color w:val="auto"/>
                <w:sz w:val="24"/>
                <w:szCs w:val="24"/>
                <w:highlight w:val="none"/>
              </w:rPr>
            </w:pPr>
            <w:r>
              <w:rPr>
                <w:rFonts w:hint="eastAsia" w:cs="宋体"/>
                <w:color w:val="auto"/>
                <w:sz w:val="24"/>
                <w:szCs w:val="24"/>
                <w:highlight w:val="none"/>
              </w:rPr>
              <w:t>财政资金</w:t>
            </w:r>
          </w:p>
        </w:tc>
      </w:tr>
    </w:tbl>
    <w:p>
      <w:pPr>
        <w:spacing w:line="460" w:lineRule="exact"/>
        <w:jc w:val="left"/>
        <w:rPr>
          <w:rFonts w:ascii="宋体" w:hAnsi="宋体" w:cs="宋体"/>
          <w:b/>
          <w:bCs/>
          <w:color w:val="auto"/>
          <w:sz w:val="24"/>
          <w:szCs w:val="24"/>
          <w:highlight w:val="none"/>
        </w:rPr>
      </w:pPr>
    </w:p>
    <w:p>
      <w:pPr>
        <w:pStyle w:val="30"/>
        <w:rPr>
          <w:color w:val="auto"/>
          <w:highlight w:val="none"/>
        </w:rPr>
      </w:pPr>
      <w:r>
        <w:rPr>
          <w:color w:val="auto"/>
          <w:highlight w:val="none"/>
        </w:rPr>
        <w:br w:type="page"/>
      </w:r>
    </w:p>
    <w:p>
      <w:pPr>
        <w:spacing w:line="46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采购需求：</w:t>
      </w:r>
    </w:p>
    <w:tbl>
      <w:tblPr>
        <w:tblStyle w:val="38"/>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4"/>
        <w:gridCol w:w="2600"/>
        <w:gridCol w:w="1734"/>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214"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最高限价(万元)</w:t>
            </w:r>
          </w:p>
        </w:tc>
        <w:tc>
          <w:tcPr>
            <w:tcW w:w="260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采购品目名称</w:t>
            </w:r>
          </w:p>
        </w:tc>
        <w:tc>
          <w:tcPr>
            <w:tcW w:w="1734"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单价的最高限价（万元）</w:t>
            </w:r>
          </w:p>
        </w:tc>
        <w:tc>
          <w:tcPr>
            <w:tcW w:w="108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108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采购数量</w:t>
            </w:r>
          </w:p>
        </w:tc>
        <w:tc>
          <w:tcPr>
            <w:tcW w:w="108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restart"/>
            <w:shd w:val="clear" w:color="000000" w:fill="FFFFFF"/>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155.17</w:t>
            </w: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位移监测仪</w:t>
            </w:r>
          </w:p>
        </w:tc>
        <w:tc>
          <w:tcPr>
            <w:tcW w:w="1734" w:type="dxa"/>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7</w:t>
            </w:r>
            <w:r>
              <w:rPr>
                <w:rFonts w:ascii="宋体" w:hAnsi="宋体"/>
                <w:color w:val="auto"/>
                <w:kern w:val="0"/>
                <w:highlight w:val="none"/>
              </w:rPr>
              <w:t xml:space="preserve">.0000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w:t>
            </w:r>
          </w:p>
        </w:tc>
        <w:tc>
          <w:tcPr>
            <w:tcW w:w="108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可燃气体检测仪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可燃气体探测仪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有毒气体探测仪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复合气体检测仪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6.0000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生物快速检测仪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16.0000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余震监测仪</w:t>
            </w:r>
          </w:p>
        </w:tc>
        <w:tc>
          <w:tcPr>
            <w:tcW w:w="1734" w:type="dxa"/>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7.8</w:t>
            </w:r>
            <w:r>
              <w:rPr>
                <w:rFonts w:ascii="宋体" w:hAnsi="宋体"/>
                <w:color w:val="auto"/>
                <w:kern w:val="0"/>
                <w:highlight w:val="none"/>
              </w:rPr>
              <w:t xml:space="preserve">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测温仪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0.2</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13</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电子气象仪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测距仪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39</w:t>
            </w:r>
            <w:r>
              <w:rPr>
                <w:rFonts w:ascii="宋体" w:hAnsi="宋体"/>
                <w:color w:val="auto"/>
                <w:kern w:val="0"/>
                <w:highlight w:val="none"/>
              </w:rPr>
              <w:t xml:space="preserve">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激光测距仪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39</w:t>
            </w:r>
            <w:r>
              <w:rPr>
                <w:rFonts w:ascii="宋体" w:hAnsi="宋体"/>
                <w:color w:val="auto"/>
                <w:kern w:val="0"/>
                <w:highlight w:val="none"/>
              </w:rPr>
              <w:t xml:space="preserve">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现场空气监测仪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1.2000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水下侧扫声呐</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11.0000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水下前视声呐</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13.0000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便携式流速仪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1.8000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4" w:type="dxa"/>
            <w:vMerge w:val="continue"/>
            <w:vAlign w:val="center"/>
          </w:tcPr>
          <w:p>
            <w:pPr>
              <w:widowControl/>
              <w:jc w:val="left"/>
              <w:rPr>
                <w:rFonts w:ascii="宋体" w:hAnsi="宋体" w:cs="宋体"/>
                <w:color w:val="auto"/>
                <w:kern w:val="0"/>
                <w:highlight w:val="none"/>
              </w:rPr>
            </w:pPr>
          </w:p>
        </w:tc>
        <w:tc>
          <w:tcPr>
            <w:tcW w:w="260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水深探测仪</w:t>
            </w:r>
          </w:p>
        </w:tc>
        <w:tc>
          <w:tcPr>
            <w:tcW w:w="1734"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0.9</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bl>
    <w:p>
      <w:pPr>
        <w:pStyle w:val="30"/>
        <w:rPr>
          <w:color w:val="auto"/>
          <w:highlight w:val="none"/>
        </w:rPr>
      </w:pP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项目地点：</w:t>
      </w:r>
      <w:r>
        <w:rPr>
          <w:rFonts w:hint="eastAsia" w:ascii="宋体" w:hAnsi="宋体" w:cs="宋体"/>
          <w:color w:val="auto"/>
          <w:sz w:val="24"/>
          <w:szCs w:val="24"/>
          <w:highlight w:val="none"/>
        </w:rPr>
        <w:t>招标人指定地点。</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合同履行期限：签订合同后45日内交付货物；</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4"/>
        <w:rPr>
          <w:color w:val="auto"/>
          <w:highlight w:val="none"/>
        </w:rPr>
      </w:pPr>
      <w:r>
        <w:rPr>
          <w:rFonts w:hint="eastAsia"/>
          <w:color w:val="auto"/>
          <w:highlight w:val="none"/>
        </w:rPr>
        <w:t>二、申请人的资格要求</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p>
    <w:p>
      <w:pPr>
        <w:spacing w:line="360" w:lineRule="auto"/>
        <w:ind w:firstLine="480" w:firstLineChars="200"/>
        <w:jc w:val="left"/>
        <w:rPr>
          <w:color w:val="auto"/>
          <w:highlight w:val="none"/>
          <w:lang w:val="zh-CN"/>
        </w:rPr>
      </w:pPr>
      <w:r>
        <w:rPr>
          <w:rFonts w:hint="eastAsia" w:ascii="宋体" w:hAnsi="宋体" w:cs="宋体"/>
          <w:color w:val="auto"/>
          <w:sz w:val="24"/>
          <w:szCs w:val="24"/>
          <w:highlight w:val="none"/>
          <w:lang w:val="en-US" w:eastAsia="zh-CN"/>
        </w:rPr>
        <w:t>2.1本</w:t>
      </w:r>
      <w:r>
        <w:rPr>
          <w:rFonts w:hint="eastAsia" w:ascii="宋体" w:hAnsi="宋体" w:cs="宋体"/>
          <w:color w:val="auto"/>
          <w:sz w:val="24"/>
          <w:szCs w:val="24"/>
          <w:highlight w:val="none"/>
          <w:lang w:val="zh-CN"/>
        </w:rPr>
        <w:t>标包非专门面向中小企业采购，投标人所提供货物的制造商为小型、微型企业的，给予10%的价格扣除。</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val="zh-CN"/>
        </w:rPr>
        <w:t>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3.1与招标人存在利害关系可能影响招标公正性的法人、其他组织或者个人，不得参加同一标段投标或者未划分标段的同一招标不得参加投标；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3.2投标人负责人为同一人或者存在控股、管理关系的不同单位，不得同时参加本项目的投标；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4"/>
        <w:rPr>
          <w:color w:val="auto"/>
          <w:highlight w:val="none"/>
        </w:rPr>
      </w:pPr>
      <w:r>
        <w:rPr>
          <w:rFonts w:hint="eastAsia"/>
          <w:color w:val="auto"/>
          <w:highlight w:val="none"/>
        </w:rPr>
        <w:t>三、获取招标文件</w:t>
      </w:r>
    </w:p>
    <w:p>
      <w:pPr>
        <w:spacing w:line="360" w:lineRule="auto"/>
        <w:ind w:firstLine="540"/>
        <w:jc w:val="left"/>
        <w:rPr>
          <w:rFonts w:ascii="宋体" w:hAnsi="宋体" w:cs="宋体"/>
          <w:color w:val="auto"/>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 xml:space="preserve">2024年 </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u w:val="single"/>
        </w:rPr>
        <w:t xml:space="preserve"> 月 </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至 2024</w:t>
      </w:r>
      <w:r>
        <w:rPr>
          <w:rFonts w:hint="eastAsia" w:ascii="宋体" w:hAnsi="宋体" w:cs="宋体"/>
          <w:color w:val="auto"/>
          <w:sz w:val="24"/>
          <w:szCs w:val="24"/>
          <w:highlight w:val="none"/>
          <w:u w:val="single"/>
        </w:rPr>
        <w:t xml:space="preserve">年 </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u w:val="single"/>
        </w:rPr>
        <w:t xml:space="preserve"> 月</w:t>
      </w:r>
      <w:r>
        <w:rPr>
          <w:rFonts w:hint="eastAsia" w:ascii="宋体" w:hAnsi="宋体" w:cs="宋体"/>
          <w:color w:val="auto"/>
          <w:sz w:val="24"/>
          <w:szCs w:val="24"/>
          <w:highlight w:val="none"/>
          <w:u w:val="single"/>
          <w:lang w:val="en-US" w:eastAsia="zh-CN"/>
        </w:rPr>
        <w:t xml:space="preserve"> 28 </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rPr>
        <w:t>:00至14:00，下午1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:00至</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59</w:t>
      </w:r>
      <w:r>
        <w:rPr>
          <w:rFonts w:hint="eastAsia" w:ascii="宋体" w:hAnsi="宋体" w:cs="宋体"/>
          <w:color w:val="auto"/>
          <w:sz w:val="24"/>
          <w:szCs w:val="24"/>
          <w:highlight w:val="none"/>
        </w:rPr>
        <w:t>（北京时间，法定节假日除外）</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地点：线上</w:t>
      </w:r>
    </w:p>
    <w:p>
      <w:pPr>
        <w:widowControl/>
        <w:spacing w:line="360" w:lineRule="auto"/>
        <w:ind w:firstLine="480" w:firstLineChars="200"/>
        <w:rPr>
          <w:rFonts w:ascii="宋体" w:hAnsi="宋体"/>
          <w:color w:val="auto"/>
          <w:highlight w:val="none"/>
        </w:rPr>
      </w:pPr>
      <w:r>
        <w:rPr>
          <w:rFonts w:hint="eastAsia" w:ascii="宋体" w:hAnsi="宋体" w:cs="宋体"/>
          <w:color w:val="auto"/>
          <w:sz w:val="24"/>
          <w:szCs w:val="24"/>
          <w:highlight w:val="none"/>
        </w:rPr>
        <w:t>方式：需将单位名称、所投项目名称、</w:t>
      </w:r>
      <w:r>
        <w:rPr>
          <w:rFonts w:hint="eastAsia" w:ascii="宋体" w:hAnsi="宋体" w:cs="宋体"/>
          <w:color w:val="auto"/>
          <w:sz w:val="24"/>
          <w:szCs w:val="24"/>
          <w:highlight w:val="none"/>
          <w:lang w:val="en-US" w:eastAsia="zh-CN"/>
        </w:rPr>
        <w:t>项目编号、</w:t>
      </w:r>
      <w:r>
        <w:rPr>
          <w:rFonts w:hint="eastAsia" w:ascii="宋体" w:hAnsi="宋体" w:cs="宋体"/>
          <w:color w:val="auto"/>
          <w:sz w:val="24"/>
          <w:szCs w:val="24"/>
          <w:highlight w:val="none"/>
        </w:rPr>
        <w:t>联系人、联系方式和电子邮箱号书写在一张A4纸上并加盖公章，扫描后发送至指定邮箱</w:t>
      </w:r>
      <w:r>
        <w:rPr>
          <w:rFonts w:hint="eastAsia" w:ascii="宋体" w:hAnsi="宋体" w:cs="宋体"/>
          <w:color w:val="auto"/>
          <w:sz w:val="24"/>
          <w:szCs w:val="24"/>
          <w:highlight w:val="none"/>
          <w:lang w:val="en-US" w:eastAsia="zh-CN"/>
        </w:rPr>
        <w:t>199630087</w:t>
      </w:r>
      <w:r>
        <w:rPr>
          <w:rFonts w:hint="eastAsia" w:ascii="宋体" w:hAnsi="宋体" w:cs="宋体"/>
          <w:color w:val="auto"/>
          <w:sz w:val="24"/>
          <w:szCs w:val="24"/>
          <w:highlight w:val="none"/>
        </w:rPr>
        <w:t>@qq.com。</w:t>
      </w:r>
    </w:p>
    <w:p>
      <w:pPr>
        <w:spacing w:line="360" w:lineRule="auto"/>
        <w:ind w:firstLine="54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售价：</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0元</w:t>
      </w:r>
    </w:p>
    <w:p>
      <w:pPr>
        <w:pStyle w:val="4"/>
        <w:rPr>
          <w:color w:val="auto"/>
          <w:highlight w:val="none"/>
        </w:rPr>
      </w:pPr>
      <w:r>
        <w:rPr>
          <w:rFonts w:hint="eastAsia"/>
          <w:color w:val="auto"/>
          <w:highlight w:val="none"/>
        </w:rPr>
        <w:t>四、投标文件提交</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6</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4"/>
        <w:rPr>
          <w:color w:val="auto"/>
          <w:highlight w:val="none"/>
        </w:rPr>
      </w:pPr>
      <w:r>
        <w:rPr>
          <w:rFonts w:hint="eastAsia"/>
          <w:color w:val="auto"/>
          <w:highlight w:val="none"/>
        </w:rPr>
        <w:t>五、开启</w:t>
      </w:r>
    </w:p>
    <w:p>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6</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4"/>
        <w:rPr>
          <w:color w:val="auto"/>
          <w:highlight w:val="none"/>
        </w:rPr>
      </w:pPr>
      <w:r>
        <w:rPr>
          <w:rFonts w:hint="eastAsia"/>
          <w:color w:val="auto"/>
          <w:highlight w:val="none"/>
        </w:rPr>
        <w:t>六、公告期限</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4"/>
        <w:numPr>
          <w:ilvl w:val="0"/>
          <w:numId w:val="7"/>
        </w:numPr>
        <w:rPr>
          <w:rFonts w:hint="eastAsia"/>
          <w:color w:val="auto"/>
          <w:highlight w:val="none"/>
          <w:lang w:eastAsia="zh-CN"/>
        </w:rPr>
      </w:pPr>
      <w:r>
        <w:rPr>
          <w:rFonts w:hint="eastAsia"/>
          <w:color w:val="auto"/>
          <w:highlight w:val="none"/>
        </w:rPr>
        <w:t>其他补充事宜</w:t>
      </w:r>
      <w:r>
        <w:rPr>
          <w:rFonts w:hint="eastAsia"/>
          <w:color w:val="auto"/>
          <w:highlight w:val="none"/>
          <w:lang w:eastAsia="zh-CN"/>
        </w:rPr>
        <w:t>：</w:t>
      </w:r>
    </w:p>
    <w:p>
      <w:pPr>
        <w:pStyle w:val="4"/>
        <w:numPr>
          <w:ilvl w:val="0"/>
          <w:numId w:val="0"/>
        </w:numPr>
        <w:ind w:firstLine="480" w:firstLineChars="200"/>
        <w:rPr>
          <w:rFonts w:hint="default" w:eastAsia="宋体"/>
          <w:color w:val="auto"/>
          <w:highlight w:val="none"/>
          <w:lang w:val="en-US" w:eastAsia="zh-CN"/>
        </w:rPr>
      </w:pPr>
      <w:r>
        <w:rPr>
          <w:rFonts w:hint="eastAsia"/>
          <w:color w:val="auto"/>
          <w:highlight w:val="none"/>
          <w:lang w:val="en-US" w:eastAsia="zh-CN"/>
        </w:rPr>
        <w:t>领取招标文件时：需将单位名称、所投项目名称、项目编号、联系人、联系方式和电子邮箱号书写在一张A4纸上并加盖公章，扫描后发送至指定邮箱199630087@qq.com。另外：凡是在招标文件获取时间内（0点至24点）发送邮件的，均应提供招标文件。</w:t>
      </w:r>
    </w:p>
    <w:p>
      <w:pPr>
        <w:pStyle w:val="4"/>
        <w:rPr>
          <w:color w:val="auto"/>
          <w:highlight w:val="none"/>
        </w:rPr>
      </w:pPr>
      <w:r>
        <w:rPr>
          <w:rFonts w:hint="eastAsia"/>
          <w:color w:val="auto"/>
          <w:highlight w:val="none"/>
          <w:lang w:val="en-US" w:eastAsia="zh-CN"/>
        </w:rPr>
        <w:t>八、</w:t>
      </w:r>
      <w:r>
        <w:rPr>
          <w:rFonts w:hint="eastAsia"/>
          <w:color w:val="auto"/>
          <w:highlight w:val="none"/>
        </w:rPr>
        <w:t>凡对本次采购提出询问，请按以下方式联系</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称：阿勒泰地区消防救援支队   </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址：阿勒泰地区阿勒泰市交通路118号</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 系 人：何增涛，蒲和平</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联系方式：17767617807，15809069339</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名    称：新疆润达工程项目管理有限公司</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址：新疆北屯市中瀚北路788-2-3号</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联系人：雷晓强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牛静竹</w:t>
      </w:r>
    </w:p>
    <w:p>
      <w:pPr>
        <w:spacing w:line="360" w:lineRule="auto"/>
        <w:ind w:firstLine="720" w:firstLineChars="300"/>
        <w:jc w:val="left"/>
        <w:rPr>
          <w:rFonts w:hint="default"/>
          <w:color w:val="auto"/>
          <w:highlight w:val="none"/>
          <w:lang w:val="en-US" w:eastAsia="zh-CN"/>
        </w:rPr>
      </w:pPr>
      <w:r>
        <w:rPr>
          <w:rFonts w:hint="eastAsia" w:ascii="宋体" w:hAnsi="宋体" w:cs="宋体"/>
          <w:color w:val="auto"/>
          <w:sz w:val="24"/>
          <w:szCs w:val="24"/>
          <w:highlight w:val="none"/>
        </w:rPr>
        <w:t>联系方式：18709061155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18799019901</w:t>
      </w:r>
    </w:p>
    <w:p>
      <w:pPr>
        <w:spacing w:line="360" w:lineRule="auto"/>
        <w:ind w:left="1238" w:leftChars="342" w:hanging="520" w:hangingChars="200"/>
        <w:jc w:val="left"/>
        <w:rPr>
          <w:rFonts w:ascii="宋体" w:hAnsi="宋体" w:cs="宋体"/>
          <w:color w:val="auto"/>
          <w:spacing w:val="10"/>
          <w:sz w:val="24"/>
          <w:szCs w:val="24"/>
          <w:highlight w:val="none"/>
        </w:rPr>
      </w:pPr>
    </w:p>
    <w:p>
      <w:pPr>
        <w:spacing w:line="360" w:lineRule="auto"/>
        <w:ind w:left="1174" w:leftChars="342" w:hanging="456" w:hangingChars="200"/>
        <w:jc w:val="left"/>
        <w:rPr>
          <w:rFonts w:ascii="宋体" w:hAnsi="宋体" w:cs="宋体"/>
          <w:color w:val="auto"/>
          <w:spacing w:val="-6"/>
          <w:sz w:val="24"/>
          <w:szCs w:val="24"/>
          <w:highlight w:val="none"/>
          <w:u w:val="single"/>
        </w:rPr>
      </w:pPr>
    </w:p>
    <w:p>
      <w:pPr>
        <w:pStyle w:val="124"/>
        <w:spacing w:line="360" w:lineRule="auto"/>
        <w:rPr>
          <w:color w:val="auto"/>
          <w:highlight w:val="none"/>
          <w:lang w:eastAsia="zh-CN"/>
        </w:rPr>
      </w:pPr>
      <w:r>
        <w:rPr>
          <w:rFonts w:hint="eastAsia"/>
          <w:color w:val="auto"/>
          <w:highlight w:val="none"/>
          <w:lang w:eastAsia="zh-CN"/>
        </w:rPr>
        <w:t>2024年</w:t>
      </w:r>
      <w:r>
        <w:rPr>
          <w:rFonts w:hint="eastAsia"/>
          <w:color w:val="auto"/>
          <w:highlight w:val="none"/>
          <w:lang w:val="en-US" w:eastAsia="zh-CN"/>
        </w:rPr>
        <w:t>5</w:t>
      </w:r>
      <w:r>
        <w:rPr>
          <w:rFonts w:hint="eastAsia"/>
          <w:color w:val="auto"/>
          <w:highlight w:val="none"/>
          <w:lang w:eastAsia="zh-CN"/>
        </w:rPr>
        <w:t>月</w:t>
      </w:r>
      <w:r>
        <w:rPr>
          <w:rFonts w:hint="eastAsia"/>
          <w:color w:val="auto"/>
          <w:highlight w:val="none"/>
          <w:lang w:val="en-US" w:eastAsia="zh-CN"/>
        </w:rPr>
        <w:t>14</w:t>
      </w:r>
      <w:r>
        <w:rPr>
          <w:rFonts w:hint="eastAsia"/>
          <w:color w:val="auto"/>
          <w:highlight w:val="none"/>
          <w:lang w:eastAsia="zh-CN"/>
        </w:rPr>
        <w:t>日</w:t>
      </w:r>
    </w:p>
    <w:p>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4"/>
    <w:p>
      <w:pPr>
        <w:pStyle w:val="2"/>
        <w:rPr>
          <w:color w:val="auto"/>
          <w:highlight w:val="none"/>
        </w:rPr>
      </w:pPr>
      <w:bookmarkStart w:id="23" w:name="_Toc16938518"/>
      <w:bookmarkStart w:id="24" w:name="_Toc9359"/>
      <w:bookmarkStart w:id="25" w:name="_Toc20823274"/>
      <w:bookmarkStart w:id="26" w:name="_Toc13939"/>
      <w:bookmarkStart w:id="27" w:name="_Toc161525860"/>
      <w:bookmarkStart w:id="28" w:name="_Toc513029202"/>
      <w:bookmarkStart w:id="29" w:name="_Toc120614213"/>
      <w:r>
        <w:rPr>
          <w:rFonts w:hint="eastAsia"/>
          <w:color w:val="auto"/>
          <w:highlight w:val="none"/>
        </w:rPr>
        <w:t>第二章投标人须知</w:t>
      </w:r>
      <w:bookmarkEnd w:id="15"/>
      <w:bookmarkEnd w:id="23"/>
      <w:bookmarkEnd w:id="24"/>
      <w:bookmarkEnd w:id="25"/>
      <w:bookmarkEnd w:id="26"/>
      <w:bookmarkEnd w:id="27"/>
      <w:bookmarkEnd w:id="28"/>
      <w:bookmarkEnd w:id="29"/>
    </w:p>
    <w:p>
      <w:pPr>
        <w:pStyle w:val="4"/>
        <w:rPr>
          <w:color w:val="auto"/>
          <w:highlight w:val="none"/>
        </w:rPr>
      </w:pPr>
      <w:bookmarkStart w:id="30" w:name="_Toc21065"/>
      <w:bookmarkStart w:id="31" w:name="_Toc19352"/>
      <w:bookmarkStart w:id="32" w:name="_Toc534725606"/>
      <w:r>
        <w:rPr>
          <w:rFonts w:hint="eastAsia"/>
          <w:color w:val="auto"/>
          <w:highlight w:val="none"/>
        </w:rPr>
        <w:t>一、总</w:t>
      </w:r>
      <w:bookmarkStart w:id="33" w:name="_Toc9510635"/>
      <w:r>
        <w:rPr>
          <w:rFonts w:hint="eastAsia"/>
          <w:color w:val="auto"/>
          <w:highlight w:val="none"/>
        </w:rPr>
        <w:t>则</w:t>
      </w:r>
      <w:bookmarkEnd w:id="30"/>
      <w:bookmarkEnd w:id="31"/>
    </w:p>
    <w:p>
      <w:pPr>
        <w:pStyle w:val="5"/>
        <w:rPr>
          <w:color w:val="auto"/>
          <w:highlight w:val="none"/>
        </w:rPr>
      </w:pPr>
      <w:bookmarkStart w:id="34" w:name="_Toc26214"/>
      <w:r>
        <w:rPr>
          <w:rFonts w:hint="eastAsia"/>
          <w:color w:val="auto"/>
          <w:highlight w:val="none"/>
        </w:rPr>
        <w:t>1、适用</w:t>
      </w:r>
      <w:bookmarkEnd w:id="33"/>
      <w:r>
        <w:rPr>
          <w:rFonts w:hint="eastAsia"/>
          <w:color w:val="auto"/>
          <w:highlight w:val="none"/>
        </w:rPr>
        <w:t>范围</w:t>
      </w:r>
      <w:bookmarkEnd w:id="3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5"/>
        <w:rPr>
          <w:color w:val="auto"/>
          <w:highlight w:val="none"/>
        </w:rPr>
      </w:pPr>
      <w:bookmarkStart w:id="35" w:name="_Toc24800"/>
      <w:r>
        <w:rPr>
          <w:rFonts w:hint="eastAsia"/>
          <w:color w:val="auto"/>
          <w:highlight w:val="none"/>
        </w:rPr>
        <w:t>2、定义</w:t>
      </w:r>
      <w:bookmarkEnd w:id="3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5"/>
        <w:rPr>
          <w:color w:val="auto"/>
          <w:highlight w:val="none"/>
        </w:rPr>
      </w:pPr>
      <w:bookmarkStart w:id="36" w:name="_Toc17392"/>
      <w:r>
        <w:rPr>
          <w:rFonts w:hint="eastAsia"/>
          <w:color w:val="auto"/>
          <w:highlight w:val="none"/>
        </w:rPr>
        <w:t>3、招标方式</w:t>
      </w:r>
      <w:bookmarkEnd w:id="36"/>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5"/>
        <w:rPr>
          <w:color w:val="auto"/>
          <w:highlight w:val="none"/>
        </w:rPr>
      </w:pPr>
      <w:bookmarkStart w:id="37" w:name="_Toc32376"/>
      <w:r>
        <w:rPr>
          <w:rFonts w:hint="eastAsia"/>
          <w:color w:val="auto"/>
          <w:highlight w:val="none"/>
        </w:rPr>
        <w:t>4、投标委托</w:t>
      </w:r>
      <w:bookmarkEnd w:id="37"/>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5"/>
        <w:rPr>
          <w:color w:val="auto"/>
          <w:highlight w:val="none"/>
        </w:rPr>
      </w:pPr>
      <w:bookmarkStart w:id="38" w:name="_Toc21031"/>
      <w:r>
        <w:rPr>
          <w:rFonts w:hint="eastAsia"/>
          <w:color w:val="auto"/>
          <w:highlight w:val="none"/>
        </w:rPr>
        <w:t>5、投标费用</w:t>
      </w:r>
      <w:bookmarkEnd w:id="38"/>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5"/>
        <w:rPr>
          <w:color w:val="auto"/>
          <w:highlight w:val="none"/>
        </w:rPr>
      </w:pPr>
      <w:bookmarkStart w:id="39" w:name="_Toc505"/>
      <w:r>
        <w:rPr>
          <w:rFonts w:hint="eastAsia"/>
          <w:color w:val="auto"/>
          <w:highlight w:val="none"/>
        </w:rPr>
        <w:t>6、分包转包</w:t>
      </w:r>
      <w:bookmarkEnd w:id="39"/>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5"/>
        <w:rPr>
          <w:color w:val="auto"/>
          <w:highlight w:val="none"/>
        </w:rPr>
      </w:pPr>
      <w:bookmarkStart w:id="40" w:name="_Toc5076"/>
      <w:r>
        <w:rPr>
          <w:rFonts w:hint="eastAsia"/>
          <w:color w:val="auto"/>
          <w:highlight w:val="none"/>
        </w:rPr>
        <w:t>7、提供相同品牌产品处理</w:t>
      </w:r>
      <w:bookmarkEnd w:id="40"/>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5"/>
        <w:rPr>
          <w:color w:val="auto"/>
          <w:highlight w:val="none"/>
        </w:rPr>
      </w:pPr>
      <w:bookmarkStart w:id="41" w:name="_Toc21631"/>
      <w:r>
        <w:rPr>
          <w:rFonts w:hint="eastAsia"/>
          <w:color w:val="auto"/>
          <w:highlight w:val="none"/>
        </w:rPr>
        <w:t>8、特别说明：</w:t>
      </w:r>
      <w:bookmarkEnd w:id="41"/>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投标人投标所使用的资格、信誉、荣誉、业绩与认证证书必须为本法人（其他组织、个人）所拥有。投标人投标所使用的项目实施人员必须为本法人（其他组织）或控股公司正式员工（提供社保证明）。</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5"/>
        <w:rPr>
          <w:color w:val="auto"/>
          <w:highlight w:val="none"/>
        </w:rPr>
      </w:pPr>
      <w:bookmarkStart w:id="42" w:name="_Toc24888"/>
      <w:r>
        <w:rPr>
          <w:rFonts w:hint="eastAsia"/>
          <w:color w:val="auto"/>
          <w:highlight w:val="none"/>
        </w:rPr>
        <w:t>9、质疑</w:t>
      </w:r>
      <w:bookmarkEnd w:id="42"/>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4"/>
        <w:rPr>
          <w:color w:val="auto"/>
          <w:highlight w:val="none"/>
        </w:rPr>
      </w:pPr>
      <w:bookmarkStart w:id="43" w:name="_Toc31383"/>
      <w:bookmarkStart w:id="44" w:name="_Toc12925"/>
      <w:r>
        <w:rPr>
          <w:rFonts w:hint="eastAsia"/>
          <w:color w:val="auto"/>
          <w:highlight w:val="none"/>
        </w:rPr>
        <w:t>二、</w:t>
      </w:r>
      <w:bookmarkEnd w:id="43"/>
      <w:bookmarkEnd w:id="44"/>
      <w:bookmarkStart w:id="45" w:name="_Toc9510636"/>
      <w:r>
        <w:rPr>
          <w:rFonts w:hint="eastAsia"/>
          <w:color w:val="auto"/>
          <w:highlight w:val="none"/>
        </w:rPr>
        <w:t>招标文件</w:t>
      </w:r>
    </w:p>
    <w:p>
      <w:pPr>
        <w:pStyle w:val="5"/>
        <w:rPr>
          <w:color w:val="auto"/>
          <w:highlight w:val="none"/>
        </w:rPr>
      </w:pPr>
      <w:bookmarkStart w:id="46" w:name="_Toc11465"/>
      <w:r>
        <w:rPr>
          <w:rFonts w:hint="eastAsia"/>
          <w:color w:val="auto"/>
          <w:highlight w:val="none"/>
        </w:rPr>
        <w:t>10、</w:t>
      </w:r>
      <w:bookmarkEnd w:id="45"/>
      <w:r>
        <w:rPr>
          <w:rFonts w:hint="eastAsia"/>
          <w:color w:val="auto"/>
          <w:highlight w:val="none"/>
        </w:rPr>
        <w:t>招标文件的构成</w:t>
      </w:r>
      <w:bookmarkEnd w:id="46"/>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5"/>
        <w:rPr>
          <w:color w:val="auto"/>
          <w:highlight w:val="none"/>
        </w:rPr>
      </w:pPr>
      <w:bookmarkStart w:id="47" w:name="_Toc9329"/>
      <w:r>
        <w:rPr>
          <w:rFonts w:hint="eastAsia"/>
          <w:color w:val="auto"/>
          <w:highlight w:val="none"/>
        </w:rPr>
        <w:t>11、投标人的风险</w:t>
      </w:r>
      <w:bookmarkEnd w:id="47"/>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5"/>
        <w:rPr>
          <w:color w:val="auto"/>
          <w:highlight w:val="none"/>
        </w:rPr>
      </w:pPr>
      <w:bookmarkStart w:id="48" w:name="_Toc14128"/>
      <w:r>
        <w:rPr>
          <w:rFonts w:hint="eastAsia"/>
          <w:color w:val="auto"/>
          <w:highlight w:val="none"/>
        </w:rPr>
        <w:t>1</w:t>
      </w:r>
      <w:bookmarkStart w:id="49" w:name="_Toc9510637"/>
      <w:r>
        <w:rPr>
          <w:rFonts w:hint="eastAsia"/>
          <w:color w:val="auto"/>
          <w:highlight w:val="none"/>
        </w:rPr>
        <w:t>2、招标文件的澄清与修改</w:t>
      </w:r>
      <w:bookmarkEnd w:id="48"/>
    </w:p>
    <w:p>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4"/>
        <w:rPr>
          <w:color w:val="auto"/>
          <w:highlight w:val="none"/>
        </w:rPr>
      </w:pPr>
      <w:bookmarkStart w:id="50" w:name="_Toc3009"/>
      <w:bookmarkStart w:id="51" w:name="_Toc25731"/>
      <w:r>
        <w:rPr>
          <w:rFonts w:hint="eastAsia"/>
          <w:color w:val="auto"/>
          <w:highlight w:val="none"/>
        </w:rPr>
        <w:t>三、投标文件的编制</w:t>
      </w:r>
      <w:bookmarkEnd w:id="50"/>
      <w:bookmarkEnd w:id="51"/>
    </w:p>
    <w:bookmarkEnd w:id="49"/>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5"/>
        <w:rPr>
          <w:color w:val="auto"/>
          <w:highlight w:val="none"/>
        </w:rPr>
      </w:pPr>
      <w:bookmarkStart w:id="52" w:name="_Toc29638"/>
      <w:r>
        <w:rPr>
          <w:rFonts w:hint="eastAsia"/>
          <w:color w:val="auto"/>
          <w:highlight w:val="none"/>
        </w:rPr>
        <w:t>13、投标文件的组成</w:t>
      </w:r>
      <w:bookmarkEnd w:id="52"/>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13.2商务部分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（5）2022和2023年度经审计的财务报告（注册不满1年的企业无需提供）</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（6）投标人须具有履行合同所必需的设备和专业技术能力，须附相关证明材料或声明；</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（8）前三年内在经营活动中没有重大违法记录的书面声明（格式见附件）；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（10）投标人已取得的各种有效认证证书、政府部门（企业）或第三方权威鉴定机构出具的信用等级证书或证明复印件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（11）投标人2021年1月1日至今做过与本项目类似的业绩</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（12）政府采购政策扶持证明材料；</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（13）其他证明文件或供应商认为应提交的商务文件（如有）。</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13.2技术部分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（14）技术响应偏离表（格式见附件）；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（15）产品详细技术规格书（包括产品详细配置、技术性能指标等）（格式自拟）；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（16）与产品相关的由国家认可的检测机构出具的检测报告（如有）；</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（18）针对本项目的详细技术培训方案：包括（但不限于）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培训团队人员配置等</w:t>
      </w:r>
      <w:r>
        <w:rPr>
          <w:rFonts w:hint="eastAsia" w:asciiTheme="majorEastAsia" w:hAnsiTheme="majorEastAsia" w:eastAsiaTheme="majorEastAsia" w:cstheme="majorEastAsia"/>
          <w:color w:val="auto"/>
          <w:sz w:val="24"/>
          <w:szCs w:val="24"/>
          <w:highlight w:val="none"/>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（19）针对本项目的售后服务方案：包括（但不限于）售后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质保外服务措施等</w:t>
      </w:r>
      <w:r>
        <w:rPr>
          <w:rFonts w:hint="eastAsia" w:asciiTheme="majorEastAsia" w:hAnsiTheme="majorEastAsia" w:eastAsiaTheme="majorEastAsia" w:cstheme="majorEastAsia"/>
          <w:color w:val="auto"/>
          <w:sz w:val="24"/>
          <w:szCs w:val="24"/>
          <w:highlight w:val="none"/>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（20）其他优惠条件（如有）：投标人承诺给予采购人的各种优惠条件，包括备品备件、专用耗材等；</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（21）投标人需要提供的其他文件或资料（如有）。</w:t>
      </w:r>
    </w:p>
    <w:p>
      <w:pPr>
        <w:adjustRightInd w:val="0"/>
        <w:snapToGrid w:val="0"/>
        <w:spacing w:line="500" w:lineRule="exact"/>
        <w:ind w:left="479" w:leftChars="228"/>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c.《报价文件》单独装订成册，投标供应商须按要求单独递交《报价文件》；投标文件中除《报价文件》外，其他部分不得有任何涉及本次投标报价的信息。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eastAsiaTheme="majorEastAsia"/>
          <w:color w:val="auto"/>
          <w:highlight w:val="none"/>
        </w:rPr>
      </w:pPr>
      <w:r>
        <w:rPr>
          <w:rFonts w:hint="eastAsia" w:asciiTheme="majorEastAsia" w:hAnsiTheme="majorEastAsia" w:eastAsiaTheme="majorEastAsia" w:cstheme="majorEastAsia"/>
          <w:b/>
          <w:bCs/>
          <w:color w:val="auto"/>
          <w:sz w:val="24"/>
          <w:szCs w:val="24"/>
          <w:highlight w:val="none"/>
        </w:rPr>
        <w:t>d.以上材料须加盖单位公章，投标人需将投标文件按上述顺序装订成一整册，请投标人编制投标文件的目录及页码。</w:t>
      </w:r>
    </w:p>
    <w:p>
      <w:pPr>
        <w:pStyle w:val="5"/>
        <w:rPr>
          <w:color w:val="auto"/>
          <w:highlight w:val="none"/>
        </w:rPr>
      </w:pPr>
      <w:bookmarkStart w:id="53" w:name="_Toc26745"/>
      <w:r>
        <w:rPr>
          <w:rFonts w:hint="eastAsia"/>
          <w:color w:val="auto"/>
          <w:highlight w:val="none"/>
        </w:rPr>
        <w:t>14、投标文件的语言及计量</w:t>
      </w:r>
      <w:bookmarkEnd w:id="5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5"/>
        <w:rPr>
          <w:color w:val="auto"/>
          <w:highlight w:val="none"/>
        </w:rPr>
      </w:pPr>
      <w:bookmarkStart w:id="54" w:name="_Toc10847"/>
      <w:r>
        <w:rPr>
          <w:rFonts w:hint="eastAsia"/>
          <w:color w:val="auto"/>
          <w:highlight w:val="none"/>
        </w:rPr>
        <w:t>15、投标报价</w:t>
      </w:r>
      <w:bookmarkEnd w:id="5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5"/>
        <w:rPr>
          <w:color w:val="auto"/>
          <w:highlight w:val="none"/>
        </w:rPr>
      </w:pPr>
      <w:bookmarkStart w:id="55" w:name="_Toc11872"/>
      <w:r>
        <w:rPr>
          <w:rFonts w:hint="eastAsia"/>
          <w:color w:val="auto"/>
          <w:highlight w:val="none"/>
        </w:rPr>
        <w:t>16、投标文件的有效期</w:t>
      </w:r>
      <w:bookmarkEnd w:id="55"/>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5"/>
        <w:rPr>
          <w:color w:val="auto"/>
          <w:highlight w:val="none"/>
        </w:rPr>
      </w:pPr>
      <w:bookmarkStart w:id="56" w:name="_Toc2098"/>
      <w:r>
        <w:rPr>
          <w:rFonts w:hint="eastAsia"/>
          <w:color w:val="auto"/>
          <w:highlight w:val="none"/>
        </w:rPr>
        <w:t>17、投标保证金</w:t>
      </w:r>
      <w:bookmarkEnd w:id="5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5"/>
        <w:rPr>
          <w:rFonts w:asciiTheme="majorEastAsia" w:hAnsiTheme="majorEastAsia" w:eastAsiaTheme="majorEastAsia" w:cstheme="majorEastAsia"/>
          <w:color w:val="auto"/>
          <w:sz w:val="24"/>
          <w:szCs w:val="24"/>
          <w:highlight w:val="none"/>
        </w:rPr>
      </w:pPr>
      <w:bookmarkStart w:id="57"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7"/>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58" w:name="_Toc233618975"/>
      <w:bookmarkStart w:id="59" w:name="_Toc86216991"/>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60" w:name="_Hlt68072998"/>
      <w:bookmarkEnd w:id="60"/>
      <w:bookmarkStart w:id="61" w:name="_Hlt68403820"/>
      <w:bookmarkEnd w:id="61"/>
      <w:bookmarkStart w:id="62" w:name="_Hlt68073093"/>
      <w:bookmarkEnd w:id="62"/>
      <w:r>
        <w:rPr>
          <w:rFonts w:hint="eastAsia" w:asciiTheme="majorEastAsia" w:hAnsiTheme="majorEastAsia" w:eastAsiaTheme="majorEastAsia" w:cstheme="majorEastAsia"/>
          <w:b/>
          <w:color w:val="auto"/>
          <w:sz w:val="24"/>
          <w:szCs w:val="24"/>
          <w:highlight w:val="none"/>
        </w:rPr>
        <w:t>和商务技术文件，格式为WORD版和签章后的投标文件正本扫描件PDF版两种。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8"/>
      <w:bookmarkEnd w:id="59"/>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商务技术文件装订成一册，报价文件单独装订成一册，在投标文件封面上列明标包编号，商务技术文件的书脊处须写明投标单位公司全称。否则按照无效响应以处理。</w:t>
      </w:r>
    </w:p>
    <w:p>
      <w:pPr>
        <w:pStyle w:val="5"/>
        <w:rPr>
          <w:color w:val="auto"/>
          <w:highlight w:val="none"/>
        </w:rPr>
      </w:pPr>
      <w:bookmarkStart w:id="63" w:name="_Toc8464"/>
      <w:r>
        <w:rPr>
          <w:rFonts w:hint="eastAsia"/>
          <w:color w:val="auto"/>
          <w:highlight w:val="none"/>
        </w:rPr>
        <w:t>19、投标文件的包装、递交、修改和撤回</w:t>
      </w:r>
      <w:bookmarkEnd w:id="63"/>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19.2如果投标文件没有按上述规定密封并加写标志，采购人对误投或过早启封概不负责。对由此造成的提前开封的投标文件，采购人将予以拒绝，并退还给投标人。</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19.4.4仅以非纸制文本形式的投标文件；</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19.4.5投标人法定代表人或其授权代表未参加开标会或参加开标会但未能在开标截止时间前出具有效身份证明原件的等前附表中要求的相关原件。</w:t>
      </w:r>
    </w:p>
    <w:p>
      <w:pPr>
        <w:pStyle w:val="5"/>
        <w:rPr>
          <w:color w:val="auto"/>
          <w:highlight w:val="none"/>
        </w:rPr>
      </w:pPr>
      <w:bookmarkStart w:id="64" w:name="_Toc5085"/>
      <w:r>
        <w:rPr>
          <w:rFonts w:hint="eastAsia"/>
          <w:color w:val="auto"/>
          <w:highlight w:val="none"/>
        </w:rPr>
        <w:t>20、投标截止期</w:t>
      </w:r>
      <w:bookmarkEnd w:id="64"/>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5"/>
        <w:rPr>
          <w:color w:val="auto"/>
          <w:highlight w:val="none"/>
        </w:rPr>
      </w:pPr>
      <w:bookmarkStart w:id="65" w:name="_Toc11084"/>
      <w:r>
        <w:rPr>
          <w:rFonts w:hint="eastAsia"/>
          <w:color w:val="auto"/>
          <w:highlight w:val="none"/>
        </w:rPr>
        <w:t>21、投标无效的情形</w:t>
      </w:r>
      <w:bookmarkEnd w:id="65"/>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21.6投标人的报价明显低于其他通过符合性审查投标人的报价，有可能影响产品质量或者不能诚信履约的，投标人又不能在规定时间内作出合理说明或提供相关证明材料；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6" w:name="_Toc19368"/>
      <w:bookmarkStart w:id="67" w:name="_Toc12370"/>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21.10投标人不能在规定时间内提供原件核实或提供相关证明材料；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21.11不符合法律、法规和本招标文件明确规定的其他实质性要求的。</w:t>
      </w:r>
    </w:p>
    <w:p>
      <w:pPr>
        <w:pStyle w:val="4"/>
        <w:rPr>
          <w:color w:val="auto"/>
          <w:highlight w:val="none"/>
        </w:rPr>
      </w:pPr>
      <w:r>
        <w:rPr>
          <w:rFonts w:hint="eastAsia"/>
          <w:color w:val="auto"/>
          <w:highlight w:val="none"/>
        </w:rPr>
        <w:t>四、开标</w:t>
      </w:r>
      <w:bookmarkEnd w:id="66"/>
      <w:bookmarkEnd w:id="67"/>
    </w:p>
    <w:p>
      <w:pPr>
        <w:pStyle w:val="5"/>
        <w:rPr>
          <w:color w:val="auto"/>
          <w:highlight w:val="none"/>
        </w:rPr>
      </w:pPr>
      <w:bookmarkStart w:id="68" w:name="_Toc9510638"/>
      <w:bookmarkStart w:id="69" w:name="_Toc21515"/>
      <w:r>
        <w:rPr>
          <w:rFonts w:hint="eastAsia"/>
          <w:color w:val="auto"/>
          <w:highlight w:val="none"/>
        </w:rPr>
        <w:t>22、开</w:t>
      </w:r>
      <w:bookmarkEnd w:id="68"/>
      <w:r>
        <w:rPr>
          <w:rFonts w:hint="eastAsia"/>
          <w:color w:val="auto"/>
          <w:highlight w:val="none"/>
        </w:rPr>
        <w:t>标准备</w:t>
      </w:r>
      <w:bookmarkEnd w:id="69"/>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授权委托书原件，投标人代表未对开标结果签字确认或者拒绝签字确认的，不影响评标过程。</w:t>
      </w:r>
    </w:p>
    <w:p>
      <w:pPr>
        <w:pStyle w:val="5"/>
        <w:rPr>
          <w:color w:val="auto"/>
          <w:highlight w:val="none"/>
        </w:rPr>
      </w:pPr>
      <w:bookmarkStart w:id="70" w:name="_Toc26159"/>
      <w:r>
        <w:rPr>
          <w:rFonts w:hint="eastAsia"/>
          <w:color w:val="auto"/>
          <w:highlight w:val="none"/>
        </w:rPr>
        <w:t>23、开标程序：</w:t>
      </w:r>
      <w:bookmarkEnd w:id="70"/>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1"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或其授权代表人，及采购人监督代表、公证员/律师（如有）检查投标文件密封的完整性并签字确认；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5"/>
        <w:rPr>
          <w:color w:val="auto"/>
          <w:highlight w:val="none"/>
        </w:rPr>
      </w:pPr>
      <w:r>
        <w:rPr>
          <w:rFonts w:hint="eastAsia"/>
          <w:color w:val="auto"/>
          <w:highlight w:val="none"/>
        </w:rPr>
        <w:t>24、资格审查</w:t>
      </w:r>
      <w:bookmarkEnd w:id="71"/>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2" w:name="_Toc21778"/>
      <w:bookmarkStart w:id="73"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pPr>
        <w:pStyle w:val="30"/>
        <w:rPr>
          <w:color w:val="auto"/>
          <w:highlight w:val="none"/>
        </w:rPr>
      </w:pPr>
    </w:p>
    <w:tbl>
      <w:tblPr>
        <w:tblStyle w:val="38"/>
        <w:tblpPr w:leftFromText="180" w:rightFromText="180" w:vertAnchor="text" w:horzAnchor="page" w:tblpX="1698" w:tblpY="208"/>
        <w:tblOverlap w:val="never"/>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7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7"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在中华人民共和国境内注册或登记，具有有效的营业执照（事业单位法人证书、民办非企业单位登记证书、社会团体法人登记证书、基金会法人登记证书、自然人身份证）；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3</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与采购人存在利害关系可能影响招标公正性的法人、其他组织或者个人，不得参加同一标段投标或者未划分标段的同一招标不得参加投标；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trPr>
        <w:tc>
          <w:tcPr>
            <w:tcW w:w="889" w:type="dxa"/>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4</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6" w:hRule="atLeast"/>
        </w:trPr>
        <w:tc>
          <w:tcPr>
            <w:tcW w:w="889" w:type="dxa"/>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7807" w:type="dxa"/>
            <w:tcMar>
              <w:left w:w="108" w:type="dxa"/>
              <w:right w:w="108" w:type="dxa"/>
            </w:tcMar>
            <w:vAlign w:val="center"/>
          </w:tcPr>
          <w:p>
            <w:pPr>
              <w:snapToGrid w:val="0"/>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注：开标当天采购代理机构将通过“信用中国”网站（</w:t>
            </w:r>
            <w:r>
              <w:rPr>
                <w:rFonts w:hint="eastAsia" w:asciiTheme="majorEastAsia" w:hAnsiTheme="majorEastAsia" w:eastAsiaTheme="majorEastAsia" w:cstheme="majorEastAsia"/>
                <w:color w:val="auto"/>
                <w:spacing w:val="-34"/>
                <w:sz w:val="24"/>
                <w:szCs w:val="24"/>
                <w:highlight w:val="none"/>
              </w:rPr>
              <w:t>www.creditchina.gov.cn</w:t>
            </w:r>
            <w:r>
              <w:rPr>
                <w:rFonts w:hint="eastAsia" w:asciiTheme="majorEastAsia" w:hAnsiTheme="majorEastAsia" w:eastAsiaTheme="majorEastAsia" w:cstheme="majorEastAsia"/>
                <w:color w:val="auto"/>
                <w:sz w:val="24"/>
                <w:szCs w:val="24"/>
                <w:highlight w:val="none"/>
              </w:rPr>
              <w:t>）和中国政府采购网（</w:t>
            </w:r>
            <w:r>
              <w:rPr>
                <w:rFonts w:hint="eastAsia" w:asciiTheme="majorEastAsia" w:hAnsiTheme="majorEastAsia" w:eastAsiaTheme="majorEastAsia" w:cstheme="majorEastAsia"/>
                <w:color w:val="auto"/>
                <w:spacing w:val="-34"/>
                <w:sz w:val="24"/>
                <w:szCs w:val="24"/>
                <w:highlight w:val="none"/>
              </w:rPr>
              <w:t>www.ccgp.gov.cn</w:t>
            </w:r>
            <w:r>
              <w:rPr>
                <w:rFonts w:hint="eastAsia" w:asciiTheme="majorEastAsia" w:hAnsiTheme="majorEastAsia" w:eastAsiaTheme="majorEastAsia" w:cstheme="majorEastAsia"/>
                <w:color w:val="auto"/>
                <w:sz w:val="24"/>
                <w:szCs w:val="24"/>
                <w:highlight w:val="none"/>
              </w:rPr>
              <w:t>）对投标人的信用信息进行查询，查询截止时间点即投标截止时间。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889" w:type="dxa"/>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6</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按招标文件要求缴纳了投标保证金；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0" w:hRule="atLeast"/>
        </w:trPr>
        <w:tc>
          <w:tcPr>
            <w:tcW w:w="8696" w:type="dxa"/>
            <w:gridSpan w:val="2"/>
            <w:tcMar>
              <w:left w:w="108" w:type="dxa"/>
              <w:right w:w="108" w:type="dxa"/>
            </w:tcMar>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备注：1.如果资格评审中有一项不满足审查标准的，将认定该投标人不通过资格审查，不得进入下一阶段评审，并且不允许供应商通过修改或撤销其不符合要求的差异或保留，使其成为实质性响应。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color w:val="auto"/>
                <w:highlight w:val="none"/>
              </w:rPr>
            </w:pPr>
            <w:r>
              <w:rPr>
                <w:rFonts w:hint="eastAsia" w:ascii="宋体" w:hAnsi="宋体" w:cs="宋体"/>
                <w:color w:val="auto"/>
                <w:sz w:val="24"/>
                <w:szCs w:val="24"/>
                <w:highlight w:val="none"/>
              </w:rPr>
              <w:t>2.合格投标人不足3家的，不得评标。</w:t>
            </w:r>
          </w:p>
        </w:tc>
      </w:tr>
    </w:tbl>
    <w:p>
      <w:pPr>
        <w:pStyle w:val="30"/>
        <w:rPr>
          <w:color w:val="auto"/>
          <w:highlight w:val="none"/>
        </w:rPr>
      </w:pPr>
    </w:p>
    <w:p>
      <w:pPr>
        <w:pStyle w:val="4"/>
        <w:rPr>
          <w:color w:val="auto"/>
          <w:highlight w:val="none"/>
        </w:rPr>
      </w:pPr>
      <w:r>
        <w:rPr>
          <w:rFonts w:hint="eastAsia"/>
          <w:color w:val="auto"/>
          <w:highlight w:val="none"/>
        </w:rPr>
        <w:t>五、评标</w:t>
      </w:r>
      <w:bookmarkEnd w:id="72"/>
      <w:bookmarkEnd w:id="73"/>
    </w:p>
    <w:p>
      <w:pPr>
        <w:pStyle w:val="5"/>
        <w:rPr>
          <w:color w:val="auto"/>
          <w:highlight w:val="none"/>
        </w:rPr>
      </w:pPr>
      <w:bookmarkStart w:id="74" w:name="_Toc9510639"/>
      <w:bookmarkStart w:id="75" w:name="_Toc6750"/>
      <w:r>
        <w:rPr>
          <w:rFonts w:hint="eastAsia"/>
          <w:color w:val="auto"/>
          <w:highlight w:val="none"/>
        </w:rPr>
        <w:t>25、组</w:t>
      </w:r>
      <w:bookmarkEnd w:id="74"/>
      <w:r>
        <w:rPr>
          <w:rFonts w:hint="eastAsia"/>
          <w:color w:val="auto"/>
          <w:highlight w:val="none"/>
        </w:rPr>
        <w:t>建评标委员会</w:t>
      </w:r>
      <w:bookmarkEnd w:id="75"/>
    </w:p>
    <w:p>
      <w:pPr>
        <w:adjustRightInd w:val="0"/>
        <w:snapToGrid w:val="0"/>
        <w:spacing w:line="360" w:lineRule="auto"/>
        <w:ind w:firstLine="480" w:firstLineChars="200"/>
        <w:rPr>
          <w:rFonts w:ascii="宋体" w:hAnsi="宋体" w:cs="宋体"/>
          <w:color w:val="auto"/>
          <w:sz w:val="24"/>
          <w:szCs w:val="24"/>
          <w:highlight w:val="none"/>
        </w:rPr>
      </w:pPr>
      <w:bookmarkStart w:id="76" w:name="_Toc14527"/>
      <w:r>
        <w:rPr>
          <w:rFonts w:hint="eastAsia" w:ascii="宋体" w:hAnsi="宋体" w:cstheme="majorEastAsia"/>
          <w:color w:val="auto"/>
          <w:sz w:val="24"/>
          <w:szCs w:val="24"/>
          <w:highlight w:val="none"/>
        </w:rPr>
        <w:t>按《中华人民共和国政府采购法》相关要求，本项目评标委员会由新疆维吾尔自治区公共资源交易中心评标专家库随机抽取的5名评审专家和2名采购人代表组成。</w:t>
      </w:r>
    </w:p>
    <w:p>
      <w:pPr>
        <w:pStyle w:val="5"/>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6"/>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26.1符合性审查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3</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投标人的报价明显低于其他通过符合性审查投标人的报价，有可能影响产品质量或者不能诚信履约的。若有时，投标人能在规定时间内作出合理说明或提供相关证明材料。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4</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投标报价没有超过最高限价及单价的最高限价。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10</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2"/>
        <w:rPr>
          <w:color w:val="auto"/>
          <w:highlight w:val="none"/>
        </w:rPr>
      </w:pPr>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26.2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投标人代表未到场或者拒绝澄清或者澄清的内容改变了投标文件的实质性内容的，评标委员会有权对该投标文件作出不利于投标人的评判。</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26.2.5评标委员会完成评标后,评委对各部分得分汇总,计算出本项目最终得分等。评标委员会按评标原则推荐中标候选人，同时起草评标报告。</w:t>
      </w:r>
    </w:p>
    <w:p>
      <w:pPr>
        <w:pStyle w:val="5"/>
        <w:rPr>
          <w:color w:val="auto"/>
          <w:highlight w:val="none"/>
        </w:rPr>
      </w:pPr>
      <w:bookmarkStart w:id="77" w:name="_Toc26304"/>
      <w:r>
        <w:rPr>
          <w:rFonts w:hint="eastAsia"/>
          <w:color w:val="auto"/>
          <w:highlight w:val="none"/>
        </w:rPr>
        <w:t>27、澄清问题的形式</w:t>
      </w:r>
      <w:bookmarkEnd w:id="77"/>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5"/>
        <w:rPr>
          <w:color w:val="auto"/>
          <w:highlight w:val="none"/>
        </w:rPr>
      </w:pPr>
      <w:bookmarkStart w:id="78" w:name="_Toc1409"/>
      <w:r>
        <w:rPr>
          <w:rFonts w:hint="eastAsia"/>
          <w:color w:val="auto"/>
          <w:highlight w:val="none"/>
        </w:rPr>
        <w:t>28、错误修正</w:t>
      </w:r>
      <w:bookmarkEnd w:id="78"/>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5"/>
        <w:rPr>
          <w:color w:val="auto"/>
          <w:highlight w:val="none"/>
        </w:rPr>
      </w:pPr>
      <w:bookmarkStart w:id="79" w:name="_Toc8797"/>
      <w:r>
        <w:rPr>
          <w:rFonts w:hint="eastAsia"/>
          <w:color w:val="auto"/>
          <w:highlight w:val="none"/>
        </w:rPr>
        <w:t>29、评标原则和评标办法</w:t>
      </w:r>
      <w:bookmarkEnd w:id="79"/>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4"/>
        <w:rPr>
          <w:color w:val="auto"/>
          <w:highlight w:val="none"/>
        </w:rPr>
      </w:pPr>
      <w:bookmarkStart w:id="80" w:name="_Toc5562"/>
      <w:bookmarkStart w:id="81" w:name="_Toc17951"/>
      <w:r>
        <w:rPr>
          <w:rFonts w:hint="eastAsia"/>
          <w:color w:val="auto"/>
          <w:highlight w:val="none"/>
        </w:rPr>
        <w:t>六、定标及</w:t>
      </w:r>
      <w:bookmarkStart w:id="82" w:name="_Toc9510640"/>
      <w:r>
        <w:rPr>
          <w:rFonts w:hint="eastAsia"/>
          <w:color w:val="auto"/>
          <w:highlight w:val="none"/>
        </w:rPr>
        <w:t>合同授予</w:t>
      </w:r>
      <w:bookmarkEnd w:id="80"/>
      <w:bookmarkEnd w:id="81"/>
    </w:p>
    <w:p>
      <w:pPr>
        <w:pStyle w:val="5"/>
        <w:rPr>
          <w:color w:val="auto"/>
          <w:highlight w:val="none"/>
        </w:rPr>
      </w:pPr>
      <w:bookmarkStart w:id="83" w:name="_Toc31428"/>
      <w:r>
        <w:rPr>
          <w:rFonts w:hint="eastAsia"/>
          <w:color w:val="auto"/>
          <w:highlight w:val="none"/>
        </w:rPr>
        <w:t>30、确</w:t>
      </w:r>
      <w:bookmarkEnd w:id="82"/>
      <w:r>
        <w:rPr>
          <w:rFonts w:hint="eastAsia"/>
          <w:color w:val="auto"/>
          <w:highlight w:val="none"/>
        </w:rPr>
        <w:t>定中标人</w:t>
      </w:r>
      <w:bookmarkEnd w:id="83"/>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5"/>
        <w:rPr>
          <w:color w:val="auto"/>
          <w:highlight w:val="none"/>
        </w:rPr>
      </w:pPr>
      <w:bookmarkStart w:id="84" w:name="_Toc4164"/>
      <w:r>
        <w:rPr>
          <w:rFonts w:hint="eastAsia"/>
          <w:color w:val="auto"/>
          <w:highlight w:val="none"/>
        </w:rPr>
        <w:t>31、签订合同</w:t>
      </w:r>
      <w:bookmarkEnd w:id="84"/>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31.4自政府采购合同签订之日起2个工作日内，本项目政府采购合同在投标人须知前附表规定的媒体上公告，但政府采购合同中涉及国家秘密、商业秘密的内容除外。</w:t>
      </w:r>
    </w:p>
    <w:p>
      <w:pPr>
        <w:pStyle w:val="5"/>
        <w:rPr>
          <w:color w:val="auto"/>
          <w:highlight w:val="none"/>
        </w:rPr>
      </w:pPr>
      <w:bookmarkStart w:id="85" w:name="_Toc15336"/>
      <w:r>
        <w:rPr>
          <w:rFonts w:hint="eastAsia"/>
          <w:color w:val="auto"/>
          <w:highlight w:val="none"/>
        </w:rPr>
        <w:t>32、其他说明</w:t>
      </w:r>
      <w:bookmarkEnd w:id="85"/>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2"/>
        <w:rPr>
          <w:color w:val="auto"/>
          <w:highlight w:val="none"/>
        </w:rPr>
      </w:pPr>
      <w:bookmarkStart w:id="86" w:name="_Toc23127"/>
      <w:bookmarkStart w:id="87" w:name="_Toc8515"/>
      <w:bookmarkStart w:id="88" w:name="_Toc161525861"/>
      <w:r>
        <w:rPr>
          <w:rFonts w:hint="eastAsia"/>
          <w:color w:val="auto"/>
          <w:highlight w:val="none"/>
        </w:rPr>
        <w:t>第三章评分</w:t>
      </w:r>
      <w:bookmarkEnd w:id="86"/>
      <w:bookmarkEnd w:id="87"/>
      <w:r>
        <w:rPr>
          <w:rFonts w:hint="eastAsia"/>
          <w:color w:val="auto"/>
          <w:highlight w:val="none"/>
        </w:rPr>
        <w:t>办法及评分标准</w:t>
      </w:r>
      <w:bookmarkEnd w:id="88"/>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4"/>
        <w:rPr>
          <w:color w:val="auto"/>
          <w:highlight w:val="none"/>
        </w:rPr>
      </w:pPr>
      <w:bookmarkStart w:id="89" w:name="_Toc32479"/>
      <w:bookmarkStart w:id="90" w:name="_Toc29264"/>
      <w:r>
        <w:rPr>
          <w:rFonts w:hint="eastAsia"/>
          <w:color w:val="auto"/>
          <w:highlight w:val="none"/>
        </w:rPr>
        <w:t>一、评标组织</w:t>
      </w:r>
      <w:bookmarkEnd w:id="89"/>
      <w:bookmarkEnd w:id="90"/>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1" w:name="_Toc249760792"/>
      <w:bookmarkStart w:id="92" w:name="_Toc405213814"/>
      <w:bookmarkStart w:id="93" w:name="_Toc251566663"/>
      <w:r>
        <w:rPr>
          <w:rFonts w:hint="eastAsia" w:asciiTheme="minorEastAsia" w:hAnsiTheme="minorEastAsia" w:eastAsiaTheme="minorEastAsia" w:cstheme="minorEastAsia"/>
          <w:color w:val="auto"/>
          <w:sz w:val="24"/>
          <w:szCs w:val="24"/>
          <w:highlight w:val="none"/>
        </w:rPr>
        <w:t>评标工作</w:t>
      </w:r>
      <w:bookmarkEnd w:id="91"/>
      <w:bookmarkEnd w:id="92"/>
      <w:bookmarkEnd w:id="93"/>
      <w:r>
        <w:rPr>
          <w:rFonts w:hint="eastAsia" w:asciiTheme="minorEastAsia" w:hAnsiTheme="minorEastAsia" w:eastAsiaTheme="minorEastAsia" w:cstheme="minorEastAsia"/>
          <w:color w:val="auto"/>
          <w:sz w:val="24"/>
          <w:szCs w:val="24"/>
          <w:highlight w:val="none"/>
        </w:rPr>
        <w:t>由</w:t>
      </w:r>
      <w:bookmarkStart w:id="94" w:name="_Toc249760793"/>
      <w:bookmarkStart w:id="95" w:name="_Toc405213815"/>
      <w:bookmarkStart w:id="96" w:name="_Toc251566664"/>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4"/>
        <w:rPr>
          <w:color w:val="auto"/>
          <w:highlight w:val="none"/>
        </w:rPr>
      </w:pPr>
      <w:bookmarkStart w:id="97" w:name="_Toc24221"/>
      <w:bookmarkStart w:id="98" w:name="_Toc3581"/>
      <w:r>
        <w:rPr>
          <w:rFonts w:hint="eastAsia"/>
          <w:color w:val="auto"/>
          <w:highlight w:val="none"/>
        </w:rPr>
        <w:t>二、评标纪律</w:t>
      </w:r>
      <w:bookmarkEnd w:id="97"/>
      <w:bookmarkEnd w:id="98"/>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4"/>
      <w:bookmarkEnd w:id="95"/>
      <w:bookmarkEnd w:id="96"/>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4"/>
        <w:rPr>
          <w:color w:val="auto"/>
          <w:highlight w:val="none"/>
        </w:rPr>
      </w:pPr>
      <w:bookmarkStart w:id="99" w:name="_Toc6124"/>
      <w:bookmarkStart w:id="100" w:name="_Toc10772"/>
      <w:r>
        <w:rPr>
          <w:rFonts w:hint="eastAsia"/>
          <w:color w:val="auto"/>
          <w:highlight w:val="none"/>
        </w:rPr>
        <w:t>三、评分标准和细则</w:t>
      </w:r>
      <w:bookmarkEnd w:id="99"/>
      <w:bookmarkEnd w:id="100"/>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招标文件对各投标文件技术内容充分审核、讨论、评议后，评标委员会按评分细则，进行评判，每人一张评分票，并记名；如某张评分票的一个项目评分超过规定的分值范围，则该张评分票无效；各供应商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2.评标委员会成员按评分细则对各供应商的最终报价进行统一计算评分，集体统一判定评分。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pPr>
        <w:widowControl/>
        <w:jc w:val="left"/>
        <w:rPr>
          <w:color w:val="auto"/>
          <w:highlight w:val="none"/>
        </w:rPr>
      </w:pPr>
    </w:p>
    <w:p>
      <w:pPr>
        <w:widowControl/>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3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条），此项不得分；</w:t>
            </w:r>
          </w:p>
          <w:p>
            <w:pPr>
              <w:pStyle w:val="3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3.主要技术参数存在负偏离的（55条），每一条扣0.3分，最多扣16.5分；</w:t>
            </w:r>
          </w:p>
          <w:p>
            <w:pPr>
              <w:pStyle w:val="30"/>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一般技术参数存在负偏离的（75条），每一条扣</w:t>
            </w:r>
            <w:r>
              <w:rPr>
                <w:rFonts w:asciiTheme="minorEastAsia" w:hAnsiTheme="minorEastAsia" w:eastAsiaTheme="minorEastAsia" w:cstheme="minorEastAsia"/>
                <w:color w:val="auto"/>
                <w:kern w:val="0"/>
                <w:sz w:val="24"/>
                <w:szCs w:val="24"/>
                <w:highlight w:val="none"/>
              </w:rPr>
              <w:t>0.</w:t>
            </w:r>
            <w:r>
              <w:rPr>
                <w:rFonts w:hint="eastAsia" w:asciiTheme="minorEastAsia" w:hAnsiTheme="minorEastAsia" w:eastAsiaTheme="minorEastAsia" w:cstheme="minorEastAsia"/>
                <w:color w:val="auto"/>
                <w:kern w:val="0"/>
                <w:sz w:val="24"/>
                <w:szCs w:val="24"/>
                <w:highlight w:val="none"/>
              </w:rPr>
              <w:t>2分，最多扣13.5分。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30"/>
        <w:rPr>
          <w:color w:val="auto"/>
          <w:highlight w:val="none"/>
        </w:rPr>
      </w:pPr>
    </w:p>
    <w:p>
      <w:pPr>
        <w:widowControl/>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6"/>
    <w:bookmarkEnd w:id="17"/>
    <w:bookmarkEnd w:id="18"/>
    <w:bookmarkEnd w:id="19"/>
    <w:bookmarkEnd w:id="20"/>
    <w:bookmarkEnd w:id="21"/>
    <w:bookmarkEnd w:id="32"/>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1" w:name="_Toc26728"/>
      <w:bookmarkStart w:id="102" w:name="_Toc12223"/>
      <w:bookmarkStart w:id="103" w:name="_Toc120614244"/>
      <w:bookmarkStart w:id="104" w:name="_Toc479757211"/>
      <w:bookmarkStart w:id="105" w:name="_Toc462564139"/>
      <w:bookmarkStart w:id="106" w:name="_Hlt16619350"/>
      <w:bookmarkStart w:id="107" w:name="_Toc16938590"/>
      <w:bookmarkStart w:id="108" w:name="_Toc20823346"/>
      <w:bookmarkStart w:id="109" w:name="_Toc9411"/>
      <w:bookmarkStart w:id="110" w:name="_Toc31151"/>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本</w:t>
      </w:r>
      <w:r>
        <w:rPr>
          <w:rFonts w:hint="eastAsia" w:asciiTheme="minorEastAsia" w:hAnsiTheme="minorEastAsia" w:eastAsiaTheme="minorEastAsia" w:cstheme="minorEastAsia"/>
          <w:color w:val="auto"/>
          <w:sz w:val="24"/>
          <w:szCs w:val="24"/>
          <w:highlight w:val="none"/>
          <w:lang w:val="zh-CN"/>
        </w:rPr>
        <w:t>标包非专门面向中小企业采购，投标人所提供货物的制造商为小型、微型企业的，给予10%的价格扣除。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 </w:t>
      </w:r>
      <w:r>
        <w:rPr>
          <w:rFonts w:hint="eastAsia" w:asciiTheme="minorEastAsia" w:hAnsiTheme="minorEastAsia" w:eastAsiaTheme="minorEastAsia" w:cstheme="minorEastAsia"/>
          <w:color w:val="auto"/>
          <w:sz w:val="24"/>
          <w:szCs w:val="24"/>
          <w:highlight w:val="none"/>
        </w:rPr>
        <w:t>（2）供应商需按照采购文件的要求提供相应的《中小企业声明函》。</w:t>
      </w:r>
    </w:p>
    <w:p>
      <w:pPr>
        <w:spacing w:line="400" w:lineRule="exact"/>
        <w:ind w:firstLine="480" w:firstLineChars="200"/>
        <w:rPr>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w:t>
      </w:r>
      <w:r>
        <w:rPr>
          <w:rFonts w:hint="eastAsia" w:asciiTheme="minorEastAsia" w:hAnsiTheme="minorEastAsia" w:eastAsiaTheme="minorEastAsia" w:cstheme="minorEastAsia"/>
          <w:color w:val="auto"/>
          <w:sz w:val="24"/>
          <w:szCs w:val="24"/>
          <w:highlight w:val="none"/>
          <w:lang w:val="en-US" w:eastAsia="zh-CN"/>
        </w:rPr>
        <w:t>标包非</w:t>
      </w:r>
      <w:r>
        <w:rPr>
          <w:rFonts w:hint="eastAsia" w:asciiTheme="minorEastAsia" w:hAnsiTheme="minorEastAsia" w:eastAsiaTheme="minorEastAsia" w:cstheme="minorEastAsia"/>
          <w:color w:val="auto"/>
          <w:sz w:val="24"/>
          <w:szCs w:val="24"/>
          <w:highlight w:val="none"/>
        </w:rPr>
        <w:t>专门面向中小企业采购，对残疾人福利性单位视同小型、微型企业，给予10%的价格扣除，用扣除后的价格参与评审。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w:t>
      </w:r>
      <w:r>
        <w:rPr>
          <w:rFonts w:hint="eastAsia" w:asciiTheme="minorEastAsia" w:hAnsiTheme="minorEastAsia" w:eastAsiaTheme="minorEastAsia" w:cstheme="minorEastAsia"/>
          <w:color w:val="auto"/>
          <w:sz w:val="24"/>
          <w:szCs w:val="24"/>
          <w:highlight w:val="none"/>
          <w:lang w:val="en-US" w:eastAsia="zh-CN"/>
        </w:rPr>
        <w:t>非</w:t>
      </w:r>
      <w:r>
        <w:rPr>
          <w:rFonts w:hint="eastAsia" w:asciiTheme="minorEastAsia" w:hAnsiTheme="minorEastAsia" w:eastAsiaTheme="minorEastAsia" w:cstheme="minorEastAsia"/>
          <w:color w:val="auto"/>
          <w:sz w:val="24"/>
          <w:szCs w:val="24"/>
          <w:highlight w:val="none"/>
        </w:rPr>
        <w:t>专门面向中小企业采购，对监狱和戒毒企业（简称监狱企业）视同小型、微型企业，给予10%的价格扣除，用扣除后的价格参与评审。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2"/>
        <w:rPr>
          <w:color w:val="auto"/>
          <w:highlight w:val="none"/>
        </w:rPr>
      </w:pPr>
      <w:bookmarkStart w:id="111" w:name="_Toc161525862"/>
      <w:r>
        <w:rPr>
          <w:rFonts w:hint="eastAsia"/>
          <w:color w:val="auto"/>
          <w:highlight w:val="none"/>
        </w:rPr>
        <w:t>第四章拟订立的合同样本</w:t>
      </w:r>
      <w:bookmarkEnd w:id="101"/>
      <w:bookmarkEnd w:id="102"/>
      <w:bookmarkEnd w:id="111"/>
    </w:p>
    <w:p>
      <w:pPr>
        <w:pStyle w:val="3"/>
        <w:rPr>
          <w:color w:val="auto"/>
          <w:highlight w:val="none"/>
        </w:rPr>
      </w:pPr>
    </w:p>
    <w:p>
      <w:pPr>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0"/>
        <w:rPr>
          <w:color w:val="auto"/>
          <w:highlight w:val="none"/>
        </w:rPr>
      </w:pPr>
    </w:p>
    <w:p>
      <w:pPr>
        <w:pStyle w:val="3"/>
        <w:ind w:firstLine="0"/>
        <w:rPr>
          <w:color w:val="auto"/>
          <w:highlight w:val="none"/>
        </w:rPr>
      </w:pPr>
    </w:p>
    <w:bookmarkEnd w:id="103"/>
    <w:bookmarkEnd w:id="104"/>
    <w:bookmarkEnd w:id="105"/>
    <w:bookmarkEnd w:id="106"/>
    <w:bookmarkEnd w:id="107"/>
    <w:bookmarkEnd w:id="108"/>
    <w:p>
      <w:pPr>
        <w:adjustRightInd w:val="0"/>
        <w:snapToGrid w:val="0"/>
        <w:spacing w:line="360" w:lineRule="auto"/>
        <w:jc w:val="center"/>
        <w:rPr>
          <w:rFonts w:hAnsi="宋体"/>
          <w:b/>
          <w:bCs/>
          <w:color w:val="auto"/>
          <w:sz w:val="36"/>
          <w:szCs w:val="36"/>
          <w:highlight w:val="none"/>
        </w:rPr>
      </w:pPr>
      <w:bookmarkStart w:id="112" w:name="_Toc9510642"/>
      <w:r>
        <w:rPr>
          <w:rFonts w:hint="eastAsia" w:hAnsi="宋体"/>
          <w:b/>
          <w:bCs/>
          <w:color w:val="auto"/>
          <w:sz w:val="36"/>
          <w:szCs w:val="36"/>
          <w:highlight w:val="none"/>
        </w:rPr>
        <w:t>新疆消防救援总队阿勒泰支队“自然灾害应急能力提升工程”装备配备项目（</w:t>
      </w:r>
      <w:r>
        <w:rPr>
          <w:rFonts w:hint="eastAsia" w:hAnsi="宋体"/>
          <w:b/>
          <w:bCs/>
          <w:color w:val="auto"/>
          <w:sz w:val="36"/>
          <w:szCs w:val="36"/>
          <w:highlight w:val="none"/>
          <w:lang w:eastAsia="zh-CN"/>
        </w:rPr>
        <w:t>消防装备三标段</w:t>
      </w:r>
      <w:r>
        <w:rPr>
          <w:rFonts w:hint="eastAsia" w:hAnsi="宋体"/>
          <w:b/>
          <w:bCs/>
          <w:color w:val="auto"/>
          <w:sz w:val="36"/>
          <w:szCs w:val="36"/>
          <w:highlight w:val="none"/>
        </w:rPr>
        <w:t>）合同</w:t>
      </w:r>
    </w:p>
    <w:p>
      <w:pPr>
        <w:rPr>
          <w:color w:val="auto"/>
          <w:highlight w:val="none"/>
        </w:rPr>
      </w:pPr>
    </w:p>
    <w:p>
      <w:pPr>
        <w:pStyle w:val="14"/>
        <w:rPr>
          <w:color w:val="auto"/>
          <w:highlight w:val="none"/>
        </w:rPr>
      </w:pPr>
    </w:p>
    <w:p>
      <w:pPr>
        <w:pStyle w:val="3"/>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4"/>
        <w:rPr>
          <w:color w:val="auto"/>
          <w:highlight w:val="none"/>
        </w:rPr>
      </w:pPr>
    </w:p>
    <w:p>
      <w:pPr>
        <w:pStyle w:val="14"/>
        <w:rPr>
          <w:color w:val="auto"/>
          <w:highlight w:val="none"/>
        </w:rPr>
      </w:pPr>
    </w:p>
    <w:p>
      <w:pPr>
        <w:pStyle w:val="14"/>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4"/>
        <w:rPr>
          <w:color w:val="auto"/>
          <w:highlight w:val="none"/>
        </w:rPr>
      </w:pPr>
    </w:p>
    <w:p>
      <w:pPr>
        <w:pStyle w:val="14"/>
        <w:rPr>
          <w:color w:val="auto"/>
          <w:highlight w:val="none"/>
        </w:rPr>
      </w:pPr>
    </w:p>
    <w:p>
      <w:pPr>
        <w:pStyle w:val="34"/>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项目第  包</w:t>
      </w:r>
      <w:r>
        <w:rPr>
          <w:rFonts w:hint="eastAsia"/>
          <w:color w:val="auto"/>
          <w:highlight w:val="none"/>
        </w:rPr>
        <w:t>签订本合同，双方信守执行。</w:t>
      </w:r>
    </w:p>
    <w:p>
      <w:pPr>
        <w:rPr>
          <w:rFonts w:eastAsia="黑体"/>
          <w:sz w:val="44"/>
          <w:szCs w:val="44"/>
          <w:highlight w:val="none"/>
        </w:rPr>
      </w:pPr>
      <w:r>
        <w:rPr>
          <w:rFonts w:ascii="宋体" w:hAnsi="宋体"/>
          <w:b/>
          <w:bCs/>
          <w:color w:val="auto"/>
          <w:sz w:val="36"/>
          <w:szCs w:val="36"/>
          <w:highlight w:val="none"/>
        </w:rPr>
        <w:br w:type="page"/>
      </w:r>
    </w:p>
    <w:p>
      <w:pPr>
        <w:jc w:val="center"/>
        <w:rPr>
          <w:rFonts w:hint="eastAsia" w:eastAsia="黑体"/>
          <w:sz w:val="44"/>
          <w:szCs w:val="44"/>
          <w:highlight w:val="none"/>
          <w:lang w:eastAsia="zh-CN"/>
        </w:rPr>
      </w:pPr>
    </w:p>
    <w:p>
      <w:pPr>
        <w:jc w:val="center"/>
        <w:rPr>
          <w:rFonts w:hint="eastAsia" w:ascii="宋体" w:hAnsi="宋体" w:eastAsia="宋体" w:cs="宋体"/>
          <w:sz w:val="44"/>
          <w:szCs w:val="44"/>
          <w:highlight w:val="none"/>
          <w:lang w:eastAsia="zh-CN"/>
        </w:rPr>
      </w:pPr>
      <w:r>
        <w:rPr>
          <w:rFonts w:hint="eastAsia" w:ascii="宋体" w:hAnsi="宋体" w:eastAsia="宋体" w:cs="宋体"/>
          <w:sz w:val="44"/>
          <w:szCs w:val="44"/>
          <w:highlight w:val="none"/>
          <w:lang w:eastAsia="zh-CN"/>
        </w:rPr>
        <w:t>使</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lang w:eastAsia="zh-CN"/>
        </w:rPr>
        <w:t>用</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lang w:eastAsia="zh-CN"/>
        </w:rPr>
        <w:t>说</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lang w:eastAsia="zh-CN"/>
        </w:rPr>
        <w:t>明</w:t>
      </w:r>
    </w:p>
    <w:p>
      <w:pPr>
        <w:ind w:firstLine="640" w:firstLineChars="200"/>
        <w:rPr>
          <w:rFonts w:hint="eastAsia" w:ascii="宋体" w:hAnsi="宋体" w:eastAsia="宋体" w:cs="宋体"/>
          <w:sz w:val="32"/>
          <w:szCs w:val="32"/>
          <w:highlight w:val="none"/>
          <w:lang w:val="en-US" w:eastAsia="zh-CN"/>
        </w:rPr>
      </w:pPr>
    </w:p>
    <w:p>
      <w:pPr>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1.本合同标准文本适用于购买现成货物的采购项目，不包括需要供应商定制开发、创新研发的货物采购项目。</w:t>
      </w:r>
    </w:p>
    <w:p>
      <w:pPr>
        <w:ind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2.本合同标准文本为政府采购货物买卖合同编制提供参考，可以结合采购项目具体情况，对文本作必要的调整修订后使用。</w:t>
      </w:r>
    </w:p>
    <w:p>
      <w:pPr>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3.本合同标准文本各条款中，如涉及填写多家供应商、制造商，多种采购标的、分包主要内容等信息的，可根据采购项目具体情况添加信息项。</w:t>
      </w:r>
    </w:p>
    <w:p>
      <w:pPr>
        <w:ind w:firstLine="880" w:firstLineChars="200"/>
        <w:jc w:val="both"/>
        <w:rPr>
          <w:rFonts w:hint="eastAsia" w:ascii="宋体" w:hAnsi="宋体" w:eastAsia="宋体" w:cs="宋体"/>
          <w:sz w:val="44"/>
          <w:szCs w:val="44"/>
          <w:highlight w:val="none"/>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4"/>
        <w:adjustRightInd w:val="0"/>
        <w:snapToGrid w:val="0"/>
        <w:spacing w:beforeLines="0" w:line="400" w:lineRule="exact"/>
        <w:jc w:val="center"/>
        <w:rPr>
          <w:rFonts w:hint="eastAsia" w:ascii="黑体" w:hAnsi="黑体" w:eastAsia="黑体"/>
          <w:sz w:val="28"/>
          <w:szCs w:val="28"/>
          <w:highlight w:val="none"/>
        </w:rPr>
      </w:pPr>
      <w:bookmarkStart w:id="113" w:name="_Toc22209"/>
    </w:p>
    <w:p>
      <w:pPr>
        <w:pStyle w:val="4"/>
        <w:adjustRightInd w:val="0"/>
        <w:snapToGrid w:val="0"/>
        <w:spacing w:beforeLines="0" w:line="400" w:lineRule="exact"/>
        <w:jc w:val="cente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第一节 政府采购合同协议书</w:t>
      </w:r>
      <w:bookmarkEnd w:id="113"/>
    </w:p>
    <w:p>
      <w:pPr>
        <w:pStyle w:val="4"/>
        <w:adjustRightInd w:val="0"/>
        <w:snapToGrid w:val="0"/>
        <w:spacing w:beforeLines="0" w:line="400" w:lineRule="exact"/>
        <w:jc w:val="center"/>
        <w:rPr>
          <w:rFonts w:hint="eastAsia" w:ascii="宋体" w:hAnsi="宋体" w:eastAsia="宋体" w:cs="宋体"/>
          <w:b w:val="0"/>
          <w:bCs w:val="0"/>
          <w:sz w:val="28"/>
          <w:szCs w:val="28"/>
          <w:highlight w:val="none"/>
        </w:rPr>
      </w:pPr>
    </w:p>
    <w:p>
      <w:pPr>
        <w:adjustRightInd w:val="0"/>
        <w:snapToGrid w:val="0"/>
        <w:spacing w:before="0" w:beforeLines="0" w:line="400" w:lineRule="exact"/>
        <w:rPr>
          <w:rFonts w:hint="eastAsia" w:ascii="宋体" w:hAnsi="宋体" w:eastAsia="宋体" w:cs="宋体"/>
          <w:szCs w:val="21"/>
          <w:highlight w:val="none"/>
        </w:rPr>
      </w:pPr>
      <w:r>
        <w:rPr>
          <w:rFonts w:hint="eastAsia" w:ascii="宋体" w:hAnsi="宋体" w:eastAsia="宋体" w:cs="宋体"/>
          <w:szCs w:val="21"/>
          <w:highlight w:val="none"/>
        </w:rPr>
        <w:t>甲方（全称）：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w:t>
      </w:r>
      <w:r>
        <w:rPr>
          <w:rFonts w:hint="eastAsia" w:ascii="宋体" w:hAnsi="宋体" w:eastAsia="宋体" w:cs="宋体"/>
          <w:szCs w:val="21"/>
          <w:highlight w:val="none"/>
          <w:lang w:eastAsia="zh-CN"/>
        </w:rPr>
        <w:t>、受采购人委托签订合同的单位</w:t>
      </w:r>
      <w:r>
        <w:rPr>
          <w:rFonts w:hint="eastAsia" w:ascii="宋体" w:hAnsi="宋体" w:eastAsia="宋体" w:cs="宋体"/>
          <w:szCs w:val="21"/>
          <w:highlight w:val="none"/>
        </w:rPr>
        <w:t>或采购</w:t>
      </w:r>
      <w:r>
        <w:rPr>
          <w:rFonts w:hint="eastAsia" w:ascii="宋体" w:hAnsi="宋体" w:eastAsia="宋体" w:cs="宋体"/>
          <w:szCs w:val="21"/>
          <w:highlight w:val="none"/>
          <w:lang w:val="en-US" w:eastAsia="zh-CN"/>
        </w:rPr>
        <w:tab/>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文件约定的合同甲方）</w:t>
      </w:r>
    </w:p>
    <w:p>
      <w:pPr>
        <w:adjustRightInd w:val="0"/>
        <w:snapToGrid w:val="0"/>
        <w:spacing w:before="0" w:beforeLines="0" w:line="400" w:lineRule="exact"/>
        <w:rPr>
          <w:rFonts w:hint="eastAsia" w:ascii="宋体" w:hAnsi="宋体" w:eastAsia="宋体" w:cs="宋体"/>
          <w:szCs w:val="21"/>
          <w:highlight w:val="none"/>
        </w:rPr>
      </w:pPr>
      <w:r>
        <w:rPr>
          <w:rFonts w:hint="eastAsia" w:ascii="宋体" w:hAnsi="宋体" w:eastAsia="宋体" w:cs="宋体"/>
          <w:szCs w:val="21"/>
          <w:highlight w:val="none"/>
        </w:rPr>
        <w:t>乙方（全称）：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（供应商）</w:t>
      </w:r>
    </w:p>
    <w:p>
      <w:pPr>
        <w:spacing w:beforeLines="0" w:line="400" w:lineRule="exact"/>
        <w:rPr>
          <w:rFonts w:hint="eastAsia" w:ascii="宋体" w:hAnsi="宋体" w:eastAsia="宋体" w:cs="宋体"/>
          <w:highlight w:val="none"/>
          <w:lang w:val="en-US" w:eastAsia="zh-CN"/>
        </w:rPr>
      </w:pPr>
    </w:p>
    <w:p>
      <w:pPr>
        <w:pStyle w:val="18"/>
        <w:adjustRightInd w:val="0"/>
        <w:snapToGrid w:val="0"/>
        <w:spacing w:before="0" w:beforeLines="0" w:after="0" w:line="400" w:lineRule="exact"/>
        <w:ind w:left="0" w:leftChars="0" w:firstLine="640" w:firstLineChars="200"/>
        <w:rPr>
          <w:rFonts w:hint="eastAsia" w:ascii="宋体" w:hAnsi="宋体" w:eastAsia="宋体" w:cs="宋体"/>
          <w:szCs w:val="21"/>
          <w:highlight w:val="none"/>
        </w:rPr>
      </w:pPr>
      <w:r>
        <w:rPr>
          <w:rFonts w:hint="eastAsia" w:ascii="宋体" w:hAnsi="宋体" w:eastAsia="宋体" w:cs="宋体"/>
          <w:szCs w:val="21"/>
          <w:highlight w:val="none"/>
        </w:rPr>
        <w:t>依据《中华人民共和国民法典》</w:t>
      </w:r>
      <w:r>
        <w:rPr>
          <w:rFonts w:hint="eastAsia" w:ascii="宋体" w:hAnsi="宋体" w:eastAsia="宋体" w:cs="宋体"/>
          <w:szCs w:val="21"/>
          <w:highlight w:val="none"/>
          <w:lang w:eastAsia="zh-CN"/>
        </w:rPr>
        <w:t>、</w:t>
      </w:r>
      <w:r>
        <w:rPr>
          <w:rFonts w:hint="eastAsia" w:ascii="宋体" w:hAnsi="宋体" w:eastAsia="宋体" w:cs="宋体"/>
          <w:szCs w:val="21"/>
          <w:highlight w:val="none"/>
        </w:rPr>
        <w:t>《中华人民共和国政府采购法》等有关的法律法规，以及</w:t>
      </w:r>
      <w:r>
        <w:rPr>
          <w:rFonts w:hint="eastAsia" w:ascii="宋体" w:hAnsi="宋体" w:eastAsia="宋体" w:cs="宋体"/>
          <w:i w:val="0"/>
          <w:iCs w:val="0"/>
          <w:szCs w:val="21"/>
          <w:highlight w:val="none"/>
          <w:u w:val="none"/>
          <w:lang w:eastAsia="zh-CN"/>
        </w:rPr>
        <w:t>本采购项目</w:t>
      </w:r>
      <w:r>
        <w:rPr>
          <w:rFonts w:hint="eastAsia" w:ascii="宋体" w:hAnsi="宋体" w:eastAsia="宋体" w:cs="宋体"/>
          <w:szCs w:val="21"/>
          <w:highlight w:val="none"/>
        </w:rPr>
        <w:t>的</w:t>
      </w:r>
      <w:r>
        <w:rPr>
          <w:rFonts w:hint="eastAsia" w:ascii="宋体" w:hAnsi="宋体" w:eastAsia="宋体" w:cs="宋体"/>
          <w:szCs w:val="21"/>
          <w:highlight w:val="none"/>
          <w:lang w:eastAsia="zh-CN"/>
        </w:rPr>
        <w:t>招标</w:t>
      </w:r>
      <w:r>
        <w:rPr>
          <w:rFonts w:hint="eastAsia" w:ascii="宋体" w:hAnsi="宋体" w:eastAsia="宋体" w:cs="宋体"/>
          <w:szCs w:val="21"/>
          <w:highlight w:val="none"/>
          <w:lang w:val="en-US" w:eastAsia="zh-CN"/>
        </w:rPr>
        <w:t>/谈判</w:t>
      </w:r>
      <w:r>
        <w:rPr>
          <w:rFonts w:hint="eastAsia" w:ascii="宋体" w:hAnsi="宋体" w:eastAsia="宋体" w:cs="宋体"/>
          <w:szCs w:val="21"/>
          <w:highlight w:val="none"/>
          <w:lang w:eastAsia="zh-CN"/>
        </w:rPr>
        <w:t>文件等</w:t>
      </w:r>
      <w:r>
        <w:rPr>
          <w:rFonts w:hint="eastAsia" w:ascii="宋体" w:hAnsi="宋体" w:eastAsia="宋体" w:cs="宋体"/>
          <w:szCs w:val="21"/>
          <w:highlight w:val="none"/>
        </w:rPr>
        <w:t>采购文件</w:t>
      </w: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乙方的《投标（响应）文件》及《中标（成交）通知书》，甲乙双方同意签订本合同。具体情况及要求如下：     </w:t>
      </w:r>
    </w:p>
    <w:p>
      <w:pPr>
        <w:numPr>
          <w:ilvl w:val="0"/>
          <w:numId w:val="8"/>
        </w:numPr>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项目信息</w:t>
      </w:r>
    </w:p>
    <w:p>
      <w:pPr>
        <w:pStyle w:val="18"/>
        <w:numPr>
          <w:ilvl w:val="0"/>
          <w:numId w:val="9"/>
        </w:numPr>
        <w:adjustRightInd w:val="0"/>
        <w:snapToGrid w:val="0"/>
        <w:spacing w:before="0" w:beforeLines="0" w:after="0" w:line="400" w:lineRule="exact"/>
        <w:ind w:left="0" w:leftChars="0" w:firstLine="640" w:firstLineChars="200"/>
        <w:rPr>
          <w:rFonts w:hint="eastAsia" w:ascii="宋体" w:hAnsi="宋体" w:eastAsia="宋体" w:cs="宋体"/>
          <w:szCs w:val="21"/>
          <w:highlight w:val="none"/>
          <w:u w:val="single"/>
        </w:rPr>
      </w:pPr>
      <w:r>
        <w:rPr>
          <w:rFonts w:hint="eastAsia" w:ascii="宋体" w:hAnsi="宋体" w:eastAsia="宋体" w:cs="宋体"/>
          <w:szCs w:val="21"/>
          <w:highlight w:val="none"/>
        </w:rPr>
        <w:t>采购项目名称：</w:t>
      </w:r>
      <w:r>
        <w:rPr>
          <w:rFonts w:hint="eastAsia" w:ascii="宋体" w:hAnsi="宋体" w:eastAsia="宋体" w:cs="宋体"/>
          <w:szCs w:val="21"/>
          <w:highlight w:val="none"/>
          <w:u w:val="single"/>
        </w:rPr>
        <w:t xml:space="preserve">                                          </w:t>
      </w:r>
    </w:p>
    <w:p>
      <w:pPr>
        <w:pStyle w:val="18"/>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szCs w:val="21"/>
          <w:highlight w:val="none"/>
          <w:u w:val="none"/>
          <w:lang w:val="en-US" w:eastAsia="zh-CN"/>
        </w:rPr>
      </w:pPr>
      <w:r>
        <w:rPr>
          <w:rFonts w:hint="eastAsia" w:ascii="宋体" w:hAnsi="宋体" w:eastAsia="宋体" w:cs="宋体"/>
          <w:szCs w:val="21"/>
          <w:highlight w:val="none"/>
          <w:u w:val="none"/>
          <w:lang w:val="en-US" w:eastAsia="zh-CN"/>
        </w:rPr>
        <w:t xml:space="preserve">         采购项目编号：</w:t>
      </w:r>
      <w:r>
        <w:rPr>
          <w:rFonts w:hint="eastAsia" w:ascii="宋体" w:hAnsi="宋体" w:eastAsia="宋体" w:cs="宋体"/>
          <w:szCs w:val="21"/>
          <w:highlight w:val="none"/>
          <w:u w:val="single"/>
        </w:rPr>
        <w:t xml:space="preserve">                                          </w:t>
      </w:r>
    </w:p>
    <w:p>
      <w:pPr>
        <w:pStyle w:val="18"/>
        <w:adjustRightInd w:val="0"/>
        <w:snapToGrid w:val="0"/>
        <w:spacing w:before="0" w:beforeLines="0" w:after="0" w:line="400" w:lineRule="exact"/>
        <w:ind w:left="0" w:leftChars="0" w:firstLine="640" w:firstLineChars="200"/>
        <w:rPr>
          <w:rFonts w:hint="eastAsia" w:ascii="宋体" w:hAnsi="宋体" w:eastAsia="宋体" w:cs="宋体"/>
          <w:szCs w:val="21"/>
          <w:highlight w:val="none"/>
        </w:rPr>
      </w:pPr>
      <w:r>
        <w:rPr>
          <w:rFonts w:hint="eastAsia" w:ascii="宋体" w:hAnsi="宋体" w:eastAsia="宋体" w:cs="宋体"/>
          <w:szCs w:val="21"/>
          <w:highlight w:val="none"/>
        </w:rPr>
        <w:t>（2）采购计划编号：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（3）项目内容：</w:t>
      </w:r>
    </w:p>
    <w:p>
      <w:pPr>
        <w:adjustRightInd w:val="0"/>
        <w:snapToGrid w:val="0"/>
        <w:spacing w:before="0" w:beforeLines="0" w:line="400" w:lineRule="exact"/>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采购标的及数量</w:t>
      </w:r>
      <w:r>
        <w:rPr>
          <w:rFonts w:hint="eastAsia" w:ascii="宋体" w:hAnsi="宋体" w:eastAsia="宋体" w:cs="宋体"/>
          <w:szCs w:val="21"/>
          <w:highlight w:val="none"/>
          <w:lang w:val="en-US" w:eastAsia="zh-CN"/>
        </w:rPr>
        <w:t>（台/套</w:t>
      </w:r>
      <w:r>
        <w:rPr>
          <w:rFonts w:hint="eastAsia" w:ascii="宋体" w:hAnsi="宋体" w:eastAsia="宋体" w:cs="宋体"/>
          <w:szCs w:val="21"/>
          <w:highlight w:val="none"/>
          <w:lang w:val="en" w:eastAsia="zh-CN"/>
        </w:rPr>
        <w:t>/个/架/组等</w:t>
      </w:r>
      <w:r>
        <w:rPr>
          <w:rFonts w:hint="eastAsia" w:ascii="宋体" w:hAnsi="宋体" w:eastAsia="宋体" w:cs="宋体"/>
          <w:szCs w:val="21"/>
          <w:highlight w:val="none"/>
          <w:lang w:val="en-US" w:eastAsia="zh-CN"/>
        </w:rPr>
        <w:t>）</w:t>
      </w:r>
      <w:r>
        <w:rPr>
          <w:rFonts w:hint="eastAsia" w:ascii="宋体" w:hAnsi="宋体" w:eastAsia="宋体" w:cs="宋体"/>
          <w:szCs w:val="21"/>
          <w:highlight w:val="none"/>
          <w:lang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p>
    <w:p>
      <w:pPr>
        <w:numPr>
          <w:ilvl w:val="-1"/>
          <w:numId w:val="0"/>
        </w:numPr>
        <w:adjustRightInd w:val="0"/>
        <w:snapToGrid w:val="0"/>
        <w:spacing w:before="0" w:beforeLines="0" w:line="400" w:lineRule="exact"/>
        <w:ind w:firstLine="420" w:firstLineChars="200"/>
        <w:rPr>
          <w:rFonts w:hint="eastAsia" w:ascii="宋体" w:hAnsi="宋体" w:eastAsia="宋体" w:cs="宋体"/>
          <w:szCs w:val="21"/>
          <w:highlight w:val="none"/>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lang w:val="en-US" w:eastAsia="zh-CN"/>
        </w:rPr>
        <w:t>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 w:eastAsia="zh-CN"/>
        </w:rPr>
        <w:t xml:space="preserve">     </w:t>
      </w:r>
      <w:r>
        <w:rPr>
          <w:rFonts w:hint="eastAsia" w:ascii="宋体" w:hAnsi="宋体" w:eastAsia="宋体" w:cs="宋体"/>
          <w:szCs w:val="21"/>
          <w:highlight w:val="none"/>
          <w:lang w:val="en-US" w:eastAsia="zh-CN"/>
        </w:rPr>
        <w:t>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p>
    <w:p>
      <w:pPr>
        <w:adjustRightInd w:val="0"/>
        <w:snapToGrid w:val="0"/>
        <w:spacing w:before="0" w:beforeLines="0" w:line="400" w:lineRule="exact"/>
        <w:ind w:firstLine="945" w:firstLineChars="450"/>
        <w:rPr>
          <w:rFonts w:hint="eastAsia" w:ascii="宋体" w:hAnsi="宋体" w:eastAsia="宋体" w:cs="宋体"/>
          <w:szCs w:val="21"/>
          <w:highlight w:val="none"/>
          <w:u w:val="none"/>
          <w:lang w:val="en-US" w:eastAsia="zh-CN"/>
        </w:rPr>
      </w:pPr>
      <w:r>
        <w:rPr>
          <w:rFonts w:hint="eastAsia" w:ascii="宋体" w:hAnsi="宋体" w:eastAsia="宋体" w:cs="宋体"/>
          <w:szCs w:val="21"/>
          <w:highlight w:val="none"/>
          <w:u w:val="none"/>
          <w:lang w:val="en-US" w:eastAsia="zh-CN"/>
        </w:rPr>
        <w:t>采购标的的技术要求、商务要求具体见附件。</w:t>
      </w:r>
    </w:p>
    <w:tbl>
      <w:tblPr>
        <w:tblStyle w:val="38"/>
        <w:tblW w:w="9227" w:type="dxa"/>
        <w:tblInd w:w="0" w:type="dxa"/>
        <w:tblLayout w:type="fixed"/>
        <w:tblCellMar>
          <w:top w:w="0" w:type="dxa"/>
          <w:left w:w="108" w:type="dxa"/>
          <w:bottom w:w="0" w:type="dxa"/>
          <w:right w:w="108" w:type="dxa"/>
        </w:tblCellMar>
      </w:tblPr>
      <w:tblGrid>
        <w:gridCol w:w="1088"/>
        <w:gridCol w:w="2056"/>
        <w:gridCol w:w="1990"/>
        <w:gridCol w:w="1350"/>
        <w:gridCol w:w="1532"/>
        <w:gridCol w:w="1211"/>
      </w:tblGrid>
      <w:tr>
        <w:tblPrEx>
          <w:tblCellMar>
            <w:top w:w="0" w:type="dxa"/>
            <w:left w:w="108" w:type="dxa"/>
            <w:bottom w:w="0" w:type="dxa"/>
            <w:right w:w="108" w:type="dxa"/>
          </w:tblCellMar>
        </w:tblPrEx>
        <w:trPr>
          <w:trHeight w:val="500" w:hRule="atLeast"/>
        </w:trPr>
        <w:tc>
          <w:tcPr>
            <w:tcW w:w="108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包号</w:t>
            </w:r>
          </w:p>
        </w:tc>
        <w:tc>
          <w:tcPr>
            <w:tcW w:w="2056"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货物名称</w:t>
            </w:r>
          </w:p>
        </w:tc>
        <w:tc>
          <w:tcPr>
            <w:tcW w:w="1990"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品名/型号</w:t>
            </w:r>
          </w:p>
        </w:tc>
        <w:tc>
          <w:tcPr>
            <w:tcW w:w="1350"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单价</w:t>
            </w:r>
          </w:p>
        </w:tc>
        <w:tc>
          <w:tcPr>
            <w:tcW w:w="1532"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数量（</w:t>
            </w:r>
            <w:r>
              <w:rPr>
                <w:rFonts w:hint="eastAsia" w:ascii="宋体" w:hAnsi="宋体" w:eastAsia="宋体" w:cs="宋体"/>
                <w:kern w:val="0"/>
                <w:sz w:val="18"/>
                <w:szCs w:val="18"/>
                <w:highlight w:val="none"/>
                <w:lang w:val="en-US" w:eastAsia="zh-CN"/>
              </w:rPr>
              <w:t>套/件</w:t>
            </w:r>
            <w:r>
              <w:rPr>
                <w:rFonts w:hint="eastAsia" w:ascii="宋体" w:hAnsi="宋体" w:eastAsia="宋体" w:cs="宋体"/>
                <w:kern w:val="0"/>
                <w:sz w:val="18"/>
                <w:szCs w:val="18"/>
                <w:highlight w:val="none"/>
              </w:rPr>
              <w:t>）</w:t>
            </w:r>
          </w:p>
        </w:tc>
        <w:tc>
          <w:tcPr>
            <w:tcW w:w="1211"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中标总价</w:t>
            </w:r>
          </w:p>
        </w:tc>
      </w:tr>
      <w:tr>
        <w:tblPrEx>
          <w:tblCellMar>
            <w:top w:w="0" w:type="dxa"/>
            <w:left w:w="108" w:type="dxa"/>
            <w:bottom w:w="0" w:type="dxa"/>
            <w:right w:w="108" w:type="dxa"/>
          </w:tblCellMar>
        </w:tblPrEx>
        <w:trPr>
          <w:trHeight w:val="1130" w:hRule="atLeast"/>
        </w:trPr>
        <w:tc>
          <w:tcPr>
            <w:tcW w:w="108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kern w:val="0"/>
                <w:sz w:val="18"/>
                <w:szCs w:val="18"/>
                <w:highlight w:val="none"/>
              </w:rPr>
            </w:pPr>
          </w:p>
        </w:tc>
        <w:tc>
          <w:tcPr>
            <w:tcW w:w="2056"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kern w:val="0"/>
                <w:sz w:val="18"/>
                <w:szCs w:val="18"/>
                <w:highlight w:val="none"/>
              </w:rPr>
            </w:pPr>
          </w:p>
        </w:tc>
        <w:tc>
          <w:tcPr>
            <w:tcW w:w="199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kern w:val="0"/>
                <w:sz w:val="18"/>
                <w:szCs w:val="18"/>
                <w:highlight w:val="none"/>
              </w:rPr>
            </w:pPr>
          </w:p>
        </w:tc>
        <w:tc>
          <w:tcPr>
            <w:tcW w:w="13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kern w:val="0"/>
                <w:sz w:val="18"/>
                <w:szCs w:val="18"/>
                <w:highlight w:val="none"/>
              </w:rPr>
            </w:pPr>
          </w:p>
        </w:tc>
        <w:tc>
          <w:tcPr>
            <w:tcW w:w="1532"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kern w:val="0"/>
                <w:sz w:val="18"/>
                <w:szCs w:val="18"/>
                <w:highlight w:val="none"/>
              </w:rPr>
            </w:pPr>
          </w:p>
        </w:tc>
        <w:tc>
          <w:tcPr>
            <w:tcW w:w="1211"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kern w:val="0"/>
                <w:sz w:val="18"/>
                <w:szCs w:val="18"/>
                <w:highlight w:val="none"/>
                <w:lang w:eastAsia="zh-CN"/>
              </w:rPr>
            </w:pPr>
          </w:p>
        </w:tc>
      </w:tr>
      <w:tr>
        <w:tblPrEx>
          <w:tblCellMar>
            <w:top w:w="0" w:type="dxa"/>
            <w:left w:w="108" w:type="dxa"/>
            <w:bottom w:w="0" w:type="dxa"/>
            <w:right w:w="108" w:type="dxa"/>
          </w:tblCellMar>
        </w:tblPrEx>
        <w:trPr>
          <w:trHeight w:val="700" w:hRule="atLeast"/>
        </w:trPr>
        <w:tc>
          <w:tcPr>
            <w:tcW w:w="9227" w:type="dxa"/>
            <w:gridSpan w:val="6"/>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kinsoku/>
              <w:wordWrap/>
              <w:overflowPunct/>
              <w:topLinePunct w:val="0"/>
              <w:autoSpaceDE/>
              <w:autoSpaceDN/>
              <w:bidi w:val="0"/>
              <w:snapToGrid w:val="0"/>
              <w:spacing w:line="580" w:lineRule="exact"/>
              <w:ind w:left="0" w:leftChars="0" w:firstLine="360" w:firstLineChars="200"/>
              <w:textAlignment w:val="auto"/>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详细技术参数：</w:t>
            </w:r>
          </w:p>
        </w:tc>
      </w:tr>
    </w:tbl>
    <w:p>
      <w:pPr>
        <w:numPr>
          <w:ilvl w:val="-1"/>
          <w:numId w:val="0"/>
        </w:numPr>
        <w:adjustRightInd w:val="0"/>
        <w:snapToGrid w:val="0"/>
        <w:spacing w:before="0" w:beforeLines="0" w:line="400" w:lineRule="exact"/>
        <w:ind w:firstLine="945" w:firstLineChars="45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①涉及信息类产品，请填写该产品关键部件的品牌、型号：</w:t>
      </w:r>
    </w:p>
    <w:p>
      <w:pPr>
        <w:numPr>
          <w:ilvl w:val="-1"/>
          <w:numId w:val="0"/>
        </w:numPr>
        <w:adjustRightInd w:val="0"/>
        <w:snapToGrid w:val="0"/>
        <w:spacing w:before="0" w:beforeLines="0" w:line="400" w:lineRule="exact"/>
        <w:ind w:firstLine="420" w:firstLineChars="200"/>
        <w:rPr>
          <w:rFonts w:hint="eastAsia" w:ascii="宋体" w:hAnsi="宋体" w:eastAsia="宋体" w:cs="宋体"/>
          <w:kern w:val="0"/>
          <w:szCs w:val="21"/>
          <w:highlight w:val="none"/>
          <w:u w:val="single"/>
          <w:lang w:val="en-US" w:eastAsia="zh-CN"/>
        </w:rPr>
      </w:pPr>
      <w:r>
        <w:rPr>
          <w:rFonts w:hint="eastAsia" w:ascii="宋体" w:hAnsi="宋体" w:eastAsia="宋体" w:cs="宋体"/>
          <w:szCs w:val="21"/>
          <w:highlight w:val="none"/>
          <w:lang w:val="en-US" w:eastAsia="zh-CN"/>
        </w:rPr>
        <w:t xml:space="preserve">     标的名称：</w:t>
      </w:r>
      <w:r>
        <w:rPr>
          <w:rFonts w:hint="eastAsia" w:ascii="宋体" w:hAnsi="宋体" w:eastAsia="宋体" w:cs="宋体"/>
          <w:kern w:val="0"/>
          <w:szCs w:val="21"/>
          <w:highlight w:val="none"/>
          <w:u w:val="single"/>
          <w:lang w:val="en-US" w:eastAsia="zh-CN"/>
        </w:rPr>
        <w:t xml:space="preserve">      </w:t>
      </w:r>
      <w:r>
        <w:rPr>
          <w:rFonts w:hint="eastAsia" w:ascii="宋体" w:hAnsi="宋体" w:eastAsia="宋体" w:cs="宋体"/>
          <w:kern w:val="0"/>
          <w:szCs w:val="21"/>
          <w:highlight w:val="none"/>
          <w:u w:val="single"/>
          <w:lang w:val="en" w:eastAsia="zh-CN"/>
        </w:rPr>
        <w:t xml:space="preserve">               </w:t>
      </w:r>
      <w:r>
        <w:rPr>
          <w:rFonts w:hint="eastAsia" w:ascii="宋体" w:hAnsi="宋体" w:eastAsia="宋体" w:cs="宋体"/>
          <w:kern w:val="0"/>
          <w:szCs w:val="21"/>
          <w:highlight w:val="none"/>
          <w:u w:val="single"/>
          <w:lang w:val="en-US" w:eastAsia="zh-CN"/>
        </w:rPr>
        <w:t xml:space="preserve">    </w:t>
      </w:r>
    </w:p>
    <w:p>
      <w:pPr>
        <w:numPr>
          <w:ilvl w:val="-1"/>
          <w:numId w:val="0"/>
        </w:numPr>
        <w:adjustRightInd w:val="0"/>
        <w:snapToGrid w:val="0"/>
        <w:spacing w:before="0" w:beforeLines="0" w:line="400" w:lineRule="exact"/>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关键部件：</w:t>
      </w:r>
      <w:r>
        <w:rPr>
          <w:rFonts w:hint="eastAsia" w:ascii="宋体" w:hAnsi="宋体" w:eastAsia="宋体" w:cs="宋体"/>
          <w:kern w:val="0"/>
          <w:szCs w:val="21"/>
          <w:highlight w:val="none"/>
          <w:u w:val="single"/>
          <w:lang w:val="en-US" w:eastAsia="zh-CN"/>
        </w:rPr>
        <w:t xml:space="preserve">          </w:t>
      </w:r>
      <w:r>
        <w:rPr>
          <w:rFonts w:hint="eastAsia" w:ascii="宋体" w:hAnsi="宋体" w:eastAsia="宋体" w:cs="宋体"/>
          <w:kern w:val="0"/>
          <w:szCs w:val="21"/>
          <w:highlight w:val="none"/>
          <w:u w:val="none"/>
          <w:lang w:val="en-US" w:eastAsia="zh-CN"/>
        </w:rPr>
        <w:t xml:space="preserve"> </w:t>
      </w:r>
      <w:r>
        <w:rPr>
          <w:rFonts w:hint="eastAsia" w:ascii="宋体" w:hAnsi="宋体" w:eastAsia="宋体" w:cs="宋体"/>
          <w:szCs w:val="21"/>
          <w:highlight w:val="none"/>
          <w:lang w:val="en-US" w:eastAsia="zh-CN"/>
        </w:rPr>
        <w:t>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lang w:val="en-US" w:eastAsia="zh-CN"/>
        </w:rPr>
        <w:t>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p>
    <w:p>
      <w:pPr>
        <w:pStyle w:val="220"/>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pPr>
        <w:pStyle w:val="220"/>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pPr>
        <w:pStyle w:val="220"/>
        <w:numPr>
          <w:ilvl w:val="-1"/>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pPr>
        <w:pStyle w:val="220"/>
        <w:numPr>
          <w:ilvl w:val="-1"/>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②涉及车辆采购，请填写是否属于新能源汽车：</w:t>
      </w:r>
    </w:p>
    <w:p>
      <w:pPr>
        <w:pStyle w:val="220"/>
        <w:numPr>
          <w:ilvl w:val="-1"/>
          <w:numId w:val="0"/>
        </w:numPr>
        <w:adjustRightInd w:val="0"/>
        <w:snapToGrid w:val="0"/>
        <w:spacing w:before="0" w:beforeLines="0" w:line="400" w:lineRule="exact"/>
        <w:ind w:firstLine="0" w:firstLineChars="0"/>
        <w:rPr>
          <w:rFonts w:hint="eastAsia" w:ascii="宋体" w:hAnsi="宋体" w:eastAsia="宋体" w:cs="宋体"/>
          <w:iCs w:val="0"/>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lang w:val="en-US" w:eastAsia="zh-CN"/>
        </w:rPr>
        <w:t xml:space="preserve"> </w:t>
      </w:r>
    </w:p>
    <w:p>
      <w:pPr>
        <w:pStyle w:val="220"/>
        <w:numPr>
          <w:ilvl w:val="-1"/>
          <w:numId w:val="0"/>
        </w:numPr>
        <w:adjustRightInd w:val="0"/>
        <w:snapToGrid w:val="0"/>
        <w:spacing w:before="0" w:beforeLines="0" w:line="400" w:lineRule="exact"/>
        <w:ind w:firstLine="0" w:firstLineChars="0"/>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pPr>
        <w:pStyle w:val="220"/>
        <w:numPr>
          <w:ilvl w:val="-1"/>
          <w:numId w:val="0"/>
        </w:numPr>
        <w:adjustRightInd w:val="0"/>
        <w:snapToGrid w:val="0"/>
        <w:spacing w:before="0" w:beforeLines="0" w:line="400" w:lineRule="exact"/>
        <w:ind w:left="0" w:firstLine="0" w:firstLineChars="0"/>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lang w:val="en"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分散采购</w:t>
      </w:r>
    </w:p>
    <w:p>
      <w:pPr>
        <w:pStyle w:val="220"/>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pPr>
        <w:pStyle w:val="220"/>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u w:val="single"/>
          <w:lang w:val="en-US"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pPr>
        <w:pStyle w:val="220"/>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pPr>
        <w:pStyle w:val="220"/>
        <w:numPr>
          <w:ilvl w:val="-1"/>
          <w:numId w:val="0"/>
        </w:numPr>
        <w:adjustRightInd w:val="0"/>
        <w:snapToGrid w:val="0"/>
        <w:spacing w:before="0" w:beforeLines="0" w:line="400" w:lineRule="exact"/>
        <w:ind w:firstLine="220" w:firstLineChars="100"/>
        <w:rPr>
          <w:rFonts w:hint="eastAsia" w:ascii="宋体" w:hAnsi="宋体" w:eastAsia="宋体" w:cs="宋体"/>
          <w:w w:val="100"/>
          <w:kern w:val="2"/>
          <w:sz w:val="21"/>
          <w:szCs w:val="21"/>
          <w:highlight w:val="none"/>
          <w:lang w:val="en-US" w:eastAsia="zh-CN" w:bidi="ar-SA"/>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en" w:eastAsia="zh-CN"/>
        </w:rPr>
        <w:t>6</w:t>
      </w:r>
      <w:r>
        <w:rPr>
          <w:rFonts w:hint="eastAsia" w:ascii="宋体" w:hAnsi="宋体" w:eastAsia="宋体" w:cs="宋体"/>
          <w:szCs w:val="21"/>
          <w:highlight w:val="none"/>
          <w:lang w:val="en-US" w:eastAsia="zh-CN"/>
        </w:rPr>
        <w:t>）</w:t>
      </w:r>
      <w:r>
        <w:rPr>
          <w:rFonts w:hint="eastAsia" w:ascii="宋体" w:hAnsi="宋体" w:eastAsia="宋体" w:cs="宋体"/>
          <w:w w:val="100"/>
          <w:kern w:val="2"/>
          <w:sz w:val="21"/>
          <w:szCs w:val="21"/>
          <w:highlight w:val="none"/>
          <w:lang w:val="en-US" w:eastAsia="zh-CN" w:bidi="ar-SA"/>
        </w:rPr>
        <w:t>中标（成交）采购标的制造商是否为中小企业：</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 xml:space="preserve">是      </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否</w:t>
      </w:r>
    </w:p>
    <w:p>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cs="宋体"/>
          <w:w w:val="100"/>
          <w:szCs w:val="21"/>
          <w:highlight w:val="none"/>
          <w:lang w:val="en-US" w:eastAsia="zh-CN"/>
        </w:rPr>
        <w:t xml:space="preserve">         本合同</w:t>
      </w:r>
      <w:r>
        <w:rPr>
          <w:rFonts w:hint="eastAsia" w:ascii="宋体" w:hAnsi="宋体" w:eastAsia="宋体" w:cs="宋体"/>
          <w:w w:val="100"/>
          <w:szCs w:val="21"/>
          <w:highlight w:val="none"/>
        </w:rPr>
        <w:t>是否</w:t>
      </w:r>
      <w:r>
        <w:rPr>
          <w:rFonts w:hint="eastAsia" w:ascii="宋体" w:hAnsi="宋体" w:eastAsia="宋体" w:cs="宋体"/>
          <w:w w:val="100"/>
          <w:szCs w:val="21"/>
          <w:highlight w:val="none"/>
          <w:lang w:eastAsia="zh-CN"/>
        </w:rPr>
        <w:t>为专门面向</w:t>
      </w:r>
      <w:r>
        <w:rPr>
          <w:rFonts w:hint="eastAsia" w:ascii="宋体" w:hAnsi="宋体" w:eastAsia="宋体" w:cs="宋体"/>
          <w:w w:val="100"/>
          <w:szCs w:val="21"/>
          <w:highlight w:val="none"/>
        </w:rPr>
        <w:t>中小企业</w:t>
      </w:r>
      <w:r>
        <w:rPr>
          <w:rFonts w:hint="eastAsia" w:ascii="宋体" w:hAnsi="宋体" w:eastAsia="宋体" w:cs="宋体"/>
          <w:w w:val="100"/>
          <w:szCs w:val="21"/>
          <w:highlight w:val="none"/>
          <w:lang w:eastAsia="zh-CN"/>
        </w:rPr>
        <w:t>的采</w:t>
      </w:r>
      <w:r>
        <w:rPr>
          <w:rFonts w:hint="eastAsia" w:ascii="宋体" w:hAnsi="宋体" w:eastAsia="宋体" w:cs="宋体"/>
          <w:w w:val="100"/>
          <w:szCs w:val="21"/>
          <w:highlight w:val="none"/>
          <w:shd w:val="clear"/>
          <w:lang w:eastAsia="zh-CN"/>
        </w:rPr>
        <w:t>购</w:t>
      </w:r>
      <w:r>
        <w:rPr>
          <w:rFonts w:hint="eastAsia" w:ascii="宋体" w:hAnsi="宋体" w:eastAsia="宋体" w:cs="宋体"/>
          <w:w w:val="100"/>
          <w:szCs w:val="21"/>
          <w:highlight w:val="none"/>
          <w:shd w:val="clear"/>
        </w:rPr>
        <w:t>合同</w:t>
      </w:r>
      <w:r>
        <w:rPr>
          <w:rFonts w:hint="eastAsia" w:ascii="宋体" w:hAnsi="宋体" w:eastAsia="宋体" w:cs="宋体"/>
          <w:w w:val="100"/>
          <w:szCs w:val="21"/>
          <w:highlight w:val="none"/>
          <w:shd w:val="clear"/>
          <w:lang w:eastAsia="zh-CN"/>
        </w:rPr>
        <w:t>（中小企业预留合同）</w:t>
      </w:r>
      <w:r>
        <w:rPr>
          <w:rFonts w:hint="eastAsia" w:ascii="宋体" w:hAnsi="宋体" w:eastAsia="宋体" w:cs="宋体"/>
          <w:szCs w:val="21"/>
          <w:highlight w:val="none"/>
          <w:shd w:val="clear"/>
        </w:rPr>
        <w:t>：</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pPr>
        <w:numPr>
          <w:ilvl w:val="-1"/>
          <w:numId w:val="0"/>
        </w:numPr>
        <w:adjustRightInd w:val="0"/>
        <w:snapToGrid w:val="0"/>
        <w:spacing w:before="0" w:beforeLines="0" w:line="400" w:lineRule="exact"/>
        <w:ind w:firstLine="0" w:firstLineChars="0"/>
        <w:rPr>
          <w:rFonts w:hint="eastAsia" w:ascii="宋体" w:hAnsi="宋体" w:eastAsia="宋体" w:cs="宋体"/>
          <w:iCs/>
          <w:szCs w:val="21"/>
          <w:highlight w:val="none"/>
        </w:rPr>
      </w:pPr>
      <w:r>
        <w:rPr>
          <w:rFonts w:hint="eastAsia" w:ascii="宋体" w:hAnsi="宋体" w:eastAsia="宋体" w:cs="宋体"/>
          <w:highlight w:val="none"/>
          <w:lang w:val="en-US" w:eastAsia="zh-CN"/>
        </w:rPr>
        <w:t xml:space="preserve">         若本项目不专门面向中小企业采购，是否给予小微企业评审优惠：</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pPr>
        <w:numPr>
          <w:ilvl w:val="-1"/>
          <w:numId w:val="0"/>
        </w:numPr>
        <w:adjustRightInd w:val="0"/>
        <w:snapToGrid w:val="0"/>
        <w:spacing w:before="0" w:beforeLines="0" w:line="400" w:lineRule="exact"/>
        <w:ind w:firstLine="0" w:firstLineChars="0"/>
        <w:rPr>
          <w:rFonts w:hint="eastAsia" w:ascii="宋体" w:hAnsi="宋体" w:eastAsia="宋体" w:cs="宋体"/>
          <w:iCs/>
          <w:szCs w:val="21"/>
          <w:highlight w:val="none"/>
        </w:rPr>
      </w:pPr>
      <w:r>
        <w:rPr>
          <w:rFonts w:hint="eastAsia" w:ascii="宋体" w:hAnsi="宋体" w:eastAsia="宋体" w:cs="宋体"/>
          <w:highlight w:val="none"/>
          <w:lang w:val="en-US" w:eastAsia="zh-CN"/>
        </w:rPr>
        <w:t xml:space="preserve">         中标（成交）采购标的制造商是否为残疾人福利性单位：</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pPr>
        <w:numPr>
          <w:ilvl w:val="0"/>
          <w:numId w:val="0"/>
        </w:numPr>
        <w:snapToGrid w:val="0"/>
        <w:spacing w:beforeLines="0" w:line="400" w:lineRule="exact"/>
        <w:ind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中标（成交）采购标的制造商是否为监狱企业：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 w:eastAsia="zh-CN"/>
        </w:rPr>
        <w:t>7</w:t>
      </w:r>
      <w:r>
        <w:rPr>
          <w:rFonts w:hint="eastAsia" w:ascii="宋体" w:hAnsi="宋体" w:eastAsia="宋体" w:cs="宋体"/>
          <w:szCs w:val="21"/>
          <w:highlight w:val="none"/>
        </w:rPr>
        <w:t>）合同是否分包：</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pPr>
        <w:adjustRightInd w:val="0"/>
        <w:snapToGrid w:val="0"/>
        <w:spacing w:before="0" w:beforeLines="0"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分包主要内容：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pPr>
        <w:adjustRightInd w:val="0"/>
        <w:snapToGrid w:val="0"/>
        <w:spacing w:before="0" w:beforeLines="0"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名称</w:t>
      </w:r>
      <w:r>
        <w:rPr>
          <w:rFonts w:hint="eastAsia" w:ascii="宋体" w:hAnsi="宋体" w:eastAsia="宋体" w:cs="宋体"/>
          <w:szCs w:val="21"/>
          <w:highlight w:val="none"/>
          <w:lang w:eastAsia="zh-CN"/>
        </w:rPr>
        <w:t>（如供应商和制造商不同，请分别填写）</w:t>
      </w:r>
      <w:r>
        <w:rPr>
          <w:rFonts w:hint="eastAsia" w:ascii="宋体" w:hAnsi="宋体" w:eastAsia="宋体" w:cs="宋体"/>
          <w:szCs w:val="21"/>
          <w:highlight w:val="none"/>
        </w:rPr>
        <w:t>：</w:t>
      </w:r>
    </w:p>
    <w:p>
      <w:pPr>
        <w:adjustRightInd w:val="0"/>
        <w:snapToGrid w:val="0"/>
        <w:spacing w:before="0" w:beforeLines="0"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p>
      <w:pPr>
        <w:adjustRightInd w:val="0"/>
        <w:snapToGrid w:val="0"/>
        <w:spacing w:before="0" w:beforeLines="0"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val="en-US" w:eastAsia="zh-CN"/>
        </w:rPr>
        <w:t>/</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类型</w:t>
      </w:r>
      <w:r>
        <w:rPr>
          <w:rFonts w:hint="eastAsia" w:ascii="宋体" w:hAnsi="宋体" w:eastAsia="宋体" w:cs="宋体"/>
          <w:szCs w:val="21"/>
          <w:highlight w:val="none"/>
          <w:lang w:eastAsia="zh-CN"/>
        </w:rPr>
        <w:t>（如果供应商和制造商不同，只填写制造商类型）</w:t>
      </w:r>
      <w:r>
        <w:rPr>
          <w:rFonts w:hint="eastAsia" w:ascii="宋体" w:hAnsi="宋体" w:eastAsia="宋体" w:cs="宋体"/>
          <w:szCs w:val="21"/>
          <w:highlight w:val="none"/>
        </w:rPr>
        <w:t>：</w:t>
      </w:r>
    </w:p>
    <w:p>
      <w:pPr>
        <w:adjustRightInd w:val="0"/>
        <w:snapToGrid w:val="0"/>
        <w:spacing w:beforeLines="0" w:line="400" w:lineRule="exact"/>
        <w:ind w:firstLine="840" w:firstLineChars="400"/>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大型企业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中型企业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小微型企业</w:t>
      </w:r>
      <w:r>
        <w:rPr>
          <w:rFonts w:hint="eastAsia" w:ascii="宋体" w:hAnsi="宋体" w:eastAsia="宋体" w:cs="宋体"/>
          <w:iCs/>
          <w:szCs w:val="21"/>
          <w:highlight w:val="none"/>
          <w:lang w:val="en-US" w:eastAsia="zh-CN"/>
        </w:rPr>
        <w:t xml:space="preserve">  </w:t>
      </w:r>
    </w:p>
    <w:p>
      <w:pPr>
        <w:adjustRightInd w:val="0"/>
        <w:snapToGrid w:val="0"/>
        <w:spacing w:beforeLines="0" w:line="400" w:lineRule="exact"/>
        <w:ind w:firstLine="840" w:firstLineChars="400"/>
        <w:rPr>
          <w:rFonts w:hint="eastAsia" w:ascii="宋体" w:hAnsi="宋体" w:eastAsia="宋体" w:cs="宋体"/>
          <w:highlight w:val="none"/>
          <w:u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残疾人福利性单位</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监狱</w:t>
      </w:r>
      <w:r>
        <w:rPr>
          <w:rFonts w:hint="eastAsia" w:ascii="宋体" w:hAnsi="宋体" w:eastAsia="宋体" w:cs="宋体"/>
          <w:iCs/>
          <w:szCs w:val="21"/>
          <w:highlight w:val="none"/>
        </w:rPr>
        <w:t>企业</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其他</w:t>
      </w:r>
    </w:p>
    <w:p>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pPr>
        <w:pStyle w:val="220"/>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eastAsia" w:ascii="宋体" w:hAnsi="宋体" w:eastAsia="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pPr>
        <w:numPr>
          <w:ilvl w:val="-1"/>
          <w:numId w:val="0"/>
        </w:numPr>
        <w:adjustRightInd w:val="0"/>
        <w:snapToGrid w:val="0"/>
        <w:spacing w:before="0" w:beforeLines="0" w:line="400" w:lineRule="exact"/>
        <w:ind w:firstLine="840" w:firstLineChars="400"/>
        <w:rPr>
          <w:rFonts w:hint="eastAsia" w:ascii="宋体" w:hAnsi="宋体" w:eastAsia="宋体" w:cs="宋体"/>
          <w:szCs w:val="21"/>
          <w:highlight w:val="none"/>
          <w:u w:val="single"/>
          <w:lang w:val="en-US" w:eastAsia="zh-CN"/>
        </w:rPr>
      </w:pPr>
      <w:r>
        <w:rPr>
          <w:rFonts w:hint="eastAsia" w:ascii="宋体" w:hAnsi="宋体" w:eastAsia="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，《政府采购品目分类目录》底级品目名称</w:t>
      </w:r>
      <w:r>
        <w:rPr>
          <w:rFonts w:hint="eastAsia" w:ascii="宋体" w:hAnsi="宋体" w:eastAsia="宋体" w:cs="宋体"/>
          <w:szCs w:val="21"/>
          <w:highlight w:val="none"/>
          <w:lang w:val="en-US"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金额：</w:t>
      </w:r>
      <w:r>
        <w:rPr>
          <w:rFonts w:hint="eastAsia" w:ascii="宋体" w:hAnsi="宋体" w:eastAsia="宋体" w:cs="宋体"/>
          <w:szCs w:val="21"/>
          <w:highlight w:val="none"/>
          <w:u w:val="single"/>
          <w:lang w:val="en-US" w:eastAsia="zh-CN"/>
        </w:rPr>
        <w:t xml:space="preserve">        </w:t>
      </w:r>
    </w:p>
    <w:p>
      <w:pPr>
        <w:numPr>
          <w:ilvl w:val="-1"/>
          <w:numId w:val="0"/>
        </w:numPr>
        <w:adjustRightInd w:val="0"/>
        <w:snapToGrid w:val="0"/>
        <w:spacing w:before="0" w:beforeLines="0" w:line="400" w:lineRule="exact"/>
        <w:ind w:firstLine="840" w:firstLineChars="400"/>
        <w:rPr>
          <w:rFonts w:hint="eastAsia" w:ascii="宋体" w:hAnsi="宋体" w:eastAsia="宋体" w:cs="宋体"/>
          <w:iCs w:val="0"/>
          <w:szCs w:val="21"/>
          <w:highlight w:val="none"/>
        </w:rPr>
      </w:pPr>
      <w:r>
        <w:rPr>
          <w:rFonts w:hint="eastAsia" w:ascii="宋体" w:hAnsi="宋体" w:eastAsia="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val="0"/>
          <w:szCs w:val="21"/>
          <w:highlight w:val="none"/>
        </w:rPr>
        <w:t xml:space="preserve">      </w:t>
      </w:r>
    </w:p>
    <w:p>
      <w:pPr>
        <w:adjustRightInd w:val="0"/>
        <w:snapToGrid w:val="0"/>
        <w:spacing w:before="0" w:beforeLines="0" w:line="400" w:lineRule="exact"/>
        <w:ind w:firstLine="840" w:firstLineChars="400"/>
        <w:rPr>
          <w:rFonts w:hint="eastAsia" w:ascii="宋体" w:hAnsi="宋体" w:eastAsia="宋体" w:cs="宋体"/>
          <w:szCs w:val="21"/>
          <w:highlight w:val="none"/>
          <w:u w:val="none"/>
          <w:lang w:val="en-US" w:eastAsia="zh-CN"/>
        </w:rPr>
      </w:pPr>
      <w:r>
        <w:rPr>
          <w:rFonts w:hint="eastAsia" w:ascii="宋体" w:hAnsi="宋体" w:eastAsia="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lang w:eastAsia="zh-CN"/>
        </w:rPr>
        <w:t>否</w:t>
      </w:r>
    </w:p>
    <w:p>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（1</w:t>
      </w:r>
      <w:r>
        <w:rPr>
          <w:rFonts w:hint="eastAsia" w:ascii="宋体" w:hAnsi="宋体" w:eastAsia="宋体" w:cs="宋体"/>
          <w:b w:val="0"/>
          <w:bCs w:val="0"/>
          <w:sz w:val="21"/>
          <w:szCs w:val="21"/>
          <w:highlight w:val="none"/>
          <w:u w:val="none"/>
          <w:lang w:val="en" w:eastAsia="zh-CN"/>
        </w:rPr>
        <w:t>0</w:t>
      </w:r>
      <w:r>
        <w:rPr>
          <w:rFonts w:hint="eastAsia" w:ascii="宋体" w:hAnsi="宋体" w:eastAsia="宋体" w:cs="宋体"/>
          <w:b w:val="0"/>
          <w:bCs w:val="0"/>
          <w:sz w:val="21"/>
          <w:szCs w:val="21"/>
          <w:highlight w:val="none"/>
          <w:u w:val="none"/>
          <w:lang w:val="en-US" w:eastAsia="zh-CN"/>
        </w:rPr>
        <w:t>）是否涉及节能产品：</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Cs w:val="21"/>
          <w:highlight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，《节能产品政府采购品目清单》的底级品目名称：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强制采购</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优先采购</w:t>
      </w:r>
      <w:r>
        <w:rPr>
          <w:rFonts w:hint="eastAsia" w:ascii="宋体" w:hAnsi="宋体" w:eastAsia="宋体" w:cs="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szCs w:val="21"/>
          <w:highlight w:val="none"/>
        </w:rPr>
      </w:pPr>
      <w:r>
        <w:rPr>
          <w:rFonts w:hint="eastAsia" w:ascii="宋体" w:hAnsi="宋体" w:eastAsia="宋体" w:cs="宋体"/>
          <w:iCs/>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否</w:t>
      </w:r>
    </w:p>
    <w:p>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是否涉及环境标志产品：</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szCs w:val="21"/>
          <w:highlight w:val="none"/>
          <w:lang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，《环境标志产品政府采购品目清单》的底级品目名称：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强制采购</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优先采购</w:t>
      </w:r>
      <w:r>
        <w:rPr>
          <w:rFonts w:hint="eastAsia" w:ascii="宋体" w:hAnsi="宋体" w:eastAsia="宋体" w:cs="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否</w:t>
      </w:r>
    </w:p>
    <w:p>
      <w:pPr>
        <w:pStyle w:val="220"/>
        <w:numPr>
          <w:ilvl w:val="-1"/>
          <w:numId w:val="0"/>
        </w:numPr>
        <w:adjustRightInd w:val="0"/>
        <w:snapToGrid w:val="0"/>
        <w:spacing w:before="0" w:beforeLines="0" w:line="400" w:lineRule="exact"/>
        <w:ind w:firstLine="0" w:firstLineChars="0"/>
        <w:rPr>
          <w:rFonts w:hint="eastAsia" w:ascii="宋体" w:hAnsi="宋体" w:eastAsia="宋体" w:cs="宋体"/>
          <w:iCs w:val="0"/>
          <w:kern w:val="2"/>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kern w:val="2"/>
          <w:sz w:val="21"/>
          <w:szCs w:val="21"/>
          <w:highlight w:val="none"/>
          <w:u w:val="none"/>
          <w:lang w:val="en-US" w:eastAsia="zh-CN"/>
        </w:rPr>
        <w:t>是否涉及绿色产品：</w:t>
      </w:r>
      <w:r>
        <w:rPr>
          <w:rFonts w:hint="eastAsia" w:ascii="宋体" w:hAnsi="宋体" w:eastAsia="宋体" w:cs="宋体"/>
          <w:iCs w:val="0"/>
          <w:kern w:val="2"/>
          <w:sz w:val="21"/>
          <w:szCs w:val="21"/>
          <w:highlight w:val="none"/>
          <w:u w:val="none"/>
          <w:lang w:val="en-US" w:eastAsia="zh-CN"/>
        </w:rPr>
        <w:t xml:space="preserve"> </w:t>
      </w:r>
    </w:p>
    <w:p>
      <w:pPr>
        <w:pStyle w:val="220"/>
        <w:spacing w:beforeLines="0"/>
        <w:ind w:firstLine="420" w:firstLineChars="0"/>
        <w:rPr>
          <w:rFonts w:hint="eastAsia" w:ascii="宋体" w:hAnsi="宋体" w:eastAsia="宋体" w:cs="宋体"/>
          <w:szCs w:val="21"/>
          <w:highlight w:val="none"/>
          <w:u w:val="singl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是</w:t>
      </w:r>
      <w:r>
        <w:rPr>
          <w:rFonts w:hint="eastAsia" w:ascii="宋体" w:hAnsi="宋体" w:eastAsia="宋体" w:cs="宋体"/>
          <w:iCs w:val="0"/>
          <w:kern w:val="2"/>
          <w:sz w:val="21"/>
          <w:szCs w:val="21"/>
          <w:highlight w:val="none"/>
          <w:u w:val="none"/>
          <w:lang w:eastAsia="zh-CN"/>
        </w:rPr>
        <w:t>，绿色产品政府采购相关政策确定的底级品目名称：</w:t>
      </w:r>
      <w:r>
        <w:rPr>
          <w:rFonts w:hint="eastAsia" w:ascii="宋体" w:hAnsi="宋体" w:eastAsia="宋体" w:cs="宋体"/>
          <w:szCs w:val="21"/>
          <w:highlight w:val="none"/>
          <w:u w:val="singl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强制采购</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优先采购</w:t>
      </w:r>
      <w:r>
        <w:rPr>
          <w:rFonts w:hint="eastAsia" w:ascii="宋体" w:hAnsi="宋体" w:eastAsia="宋体" w:cs="宋体"/>
          <w:iCs/>
          <w:szCs w:val="21"/>
          <w:highlight w:val="none"/>
          <w:lang w:val="en-US" w:eastAsia="zh-CN"/>
        </w:rPr>
        <w:t xml:space="preserve">    </w:t>
      </w:r>
    </w:p>
    <w:p>
      <w:pPr>
        <w:pStyle w:val="220"/>
        <w:spacing w:beforeLines="0"/>
        <w:ind w:firstLine="420" w:firstLineChars="0"/>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否</w:t>
      </w:r>
    </w:p>
    <w:p>
      <w:pPr>
        <w:numPr>
          <w:ilvl w:val="-1"/>
          <w:numId w:val="0"/>
        </w:numPr>
        <w:adjustRightInd w:val="0"/>
        <w:snapToGrid w:val="0"/>
        <w:spacing w:before="0" w:beforeLines="0" w:line="400" w:lineRule="exact"/>
        <w:ind w:firstLine="0" w:firstLineChars="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（1</w:t>
      </w:r>
      <w:r>
        <w:rPr>
          <w:rFonts w:hint="eastAsia" w:ascii="宋体" w:hAnsi="宋体" w:eastAsia="宋体" w:cs="宋体"/>
          <w:szCs w:val="21"/>
          <w:highlight w:val="none"/>
          <w:lang w:val="en" w:eastAsia="zh-CN"/>
        </w:rPr>
        <w:t>1</w:t>
      </w:r>
      <w:r>
        <w:rPr>
          <w:rFonts w:hint="eastAsia" w:ascii="宋体" w:hAnsi="宋体" w:eastAsia="宋体" w:cs="宋体"/>
          <w:szCs w:val="21"/>
          <w:highlight w:val="none"/>
          <w:lang w:val="en-US" w:eastAsia="zh-CN"/>
        </w:rPr>
        <w:t>）涉及商品包装和快递包装的，是否参考</w:t>
      </w:r>
      <w:r>
        <w:rPr>
          <w:rFonts w:hint="eastAsia" w:ascii="宋体" w:hAnsi="宋体" w:eastAsia="宋体" w:cs="宋体"/>
          <w:szCs w:val="21"/>
          <w:highlight w:val="none"/>
        </w:rPr>
        <w:t>《商品包装政府采购需求标准（试行）》、《快递包装政府采购需求标准（试行）》</w:t>
      </w:r>
      <w:r>
        <w:rPr>
          <w:rFonts w:hint="eastAsia" w:ascii="宋体" w:hAnsi="宋体" w:eastAsia="宋体" w:cs="宋体"/>
          <w:szCs w:val="21"/>
          <w:highlight w:val="none"/>
          <w:lang w:eastAsia="zh-CN"/>
        </w:rPr>
        <w:t>明确产品及相关快递服务的具体包装要求：</w:t>
      </w:r>
    </w:p>
    <w:p>
      <w:pPr>
        <w:numPr>
          <w:ilvl w:val="-1"/>
          <w:numId w:val="0"/>
        </w:numPr>
        <w:adjustRightInd w:val="0"/>
        <w:snapToGrid w:val="0"/>
        <w:spacing w:before="0" w:beforeLines="0" w:line="400" w:lineRule="exact"/>
        <w:ind w:firstLine="840" w:firstLineChars="400"/>
        <w:rPr>
          <w:rFonts w:hint="eastAsia" w:ascii="宋体" w:hAnsi="宋体" w:eastAsia="宋体" w:cs="宋体"/>
          <w:iCs w:val="0"/>
          <w:szCs w:val="21"/>
          <w:highlight w:val="none"/>
          <w:lang w:val="en-US" w:eastAsia="zh-CN"/>
        </w:rPr>
      </w:pP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 xml:space="preserve">是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否</w:t>
      </w:r>
      <w:r>
        <w:rPr>
          <w:rFonts w:hint="eastAsia" w:ascii="宋体" w:hAnsi="宋体" w:eastAsia="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lang w:eastAsia="zh-CN"/>
        </w:rPr>
        <w:t>不涉及</w:t>
      </w:r>
    </w:p>
    <w:p>
      <w:pPr>
        <w:numPr>
          <w:ilvl w:val="0"/>
          <w:numId w:val="8"/>
        </w:numPr>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合同金额</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（1）合同金额小写：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pPr>
        <w:adjustRightInd w:val="0"/>
        <w:snapToGrid w:val="0"/>
        <w:spacing w:before="0" w:beforeLines="0" w:line="400" w:lineRule="exact"/>
        <w:ind w:left="0" w:firstLine="0" w:firstLineChars="0"/>
        <w:rPr>
          <w:rFonts w:hint="eastAsia" w:ascii="宋体" w:hAnsi="宋体" w:eastAsia="宋体" w:cs="宋体"/>
          <w:szCs w:val="21"/>
          <w:highlight w:val="none"/>
          <w:u w:val="singl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pPr>
        <w:adjustRightInd w:val="0"/>
        <w:snapToGrid w:val="0"/>
        <w:spacing w:before="0" w:beforeLines="0" w:line="400" w:lineRule="exact"/>
        <w:ind w:firstLine="0" w:firstLineChars="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（注：固定单价合同应填写单价和最高限价）</w:t>
      </w:r>
    </w:p>
    <w:p>
      <w:pPr>
        <w:numPr>
          <w:ilvl w:val="-1"/>
          <w:numId w:val="0"/>
        </w:numPr>
        <w:adjustRightInd w:val="0"/>
        <w:snapToGrid w:val="0"/>
        <w:spacing w:before="0" w:beforeLines="0" w:line="400" w:lineRule="exact"/>
        <w:ind w:firstLine="0" w:firstLineChars="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w:t>
      </w:r>
      <w:r>
        <w:rPr>
          <w:rFonts w:hint="eastAsia" w:ascii="宋体" w:hAnsi="宋体" w:eastAsia="宋体" w:cs="宋体"/>
          <w:szCs w:val="21"/>
          <w:highlight w:val="none"/>
        </w:rPr>
        <w:t>合同定价方式</w:t>
      </w:r>
      <w:r>
        <w:rPr>
          <w:rFonts w:hint="eastAsia" w:ascii="宋体" w:hAnsi="宋体" w:eastAsia="宋体" w:cs="宋体"/>
          <w:szCs w:val="21"/>
          <w:highlight w:val="none"/>
          <w:lang w:eastAsia="zh-CN"/>
        </w:rPr>
        <w:t>（采用组合定价方式的，可以勾选多项）</w:t>
      </w:r>
      <w:r>
        <w:rPr>
          <w:rFonts w:hint="eastAsia" w:ascii="宋体" w:hAnsi="宋体" w:eastAsia="宋体" w:cs="宋体"/>
          <w:szCs w:val="21"/>
          <w:highlight w:val="none"/>
        </w:rPr>
        <w:t>：</w:t>
      </w:r>
    </w:p>
    <w:p>
      <w:pPr>
        <w:adjustRightInd w:val="0"/>
        <w:snapToGrid w:val="0"/>
        <w:spacing w:before="0" w:beforeLines="0" w:line="4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固定总价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固定单价</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固定费率</w:t>
      </w: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成本补偿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绩效激励</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其他</w:t>
      </w:r>
      <w:r>
        <w:rPr>
          <w:rFonts w:hint="eastAsia" w:ascii="宋体" w:hAnsi="宋体" w:eastAsia="宋体" w:cs="宋体"/>
          <w:szCs w:val="21"/>
          <w:highlight w:val="none"/>
          <w:u w:val="single"/>
        </w:rPr>
        <w:t xml:space="preserve">       </w:t>
      </w:r>
    </w:p>
    <w:p>
      <w:pPr>
        <w:pStyle w:val="109"/>
        <w:spacing w:beforeLines="0" w:line="400" w:lineRule="exact"/>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）付款方式（按项目实际勾选填写）：</w:t>
      </w:r>
    </w:p>
    <w:p>
      <w:pPr>
        <w:snapToGrid w:val="0"/>
        <w:spacing w:beforeLines="0" w:line="400" w:lineRule="exact"/>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全额付款：</w:t>
      </w:r>
      <w:r>
        <w:rPr>
          <w:rFonts w:hint="eastAsia" w:ascii="宋体" w:hAnsi="宋体" w:eastAsia="宋体" w:cs="宋体"/>
          <w:szCs w:val="21"/>
          <w:highlight w:val="none"/>
          <w:u w:val="single"/>
        </w:rPr>
        <w:t>（应</w:t>
      </w:r>
      <w:r>
        <w:rPr>
          <w:rFonts w:hint="eastAsia" w:ascii="宋体" w:hAnsi="宋体" w:eastAsia="宋体" w:cs="宋体"/>
          <w:szCs w:val="21"/>
          <w:highlight w:val="none"/>
          <w:u w:val="single"/>
          <w:lang w:eastAsia="zh-CN"/>
        </w:rPr>
        <w:t>明确</w:t>
      </w:r>
      <w:r>
        <w:rPr>
          <w:rFonts w:hint="eastAsia" w:ascii="宋体" w:hAnsi="宋体" w:eastAsia="宋体" w:cs="宋体"/>
          <w:szCs w:val="21"/>
          <w:highlight w:val="none"/>
          <w:u w:val="single"/>
        </w:rPr>
        <w:t>一次性支付合同款项</w:t>
      </w:r>
      <w:r>
        <w:rPr>
          <w:rFonts w:hint="eastAsia" w:ascii="宋体" w:hAnsi="宋体" w:eastAsia="宋体" w:cs="宋体"/>
          <w:szCs w:val="21"/>
          <w:highlight w:val="none"/>
          <w:u w:val="single"/>
          <w:lang w:eastAsia="zh-CN"/>
        </w:rPr>
        <w:t>的条件</w:t>
      </w:r>
      <w:r>
        <w:rPr>
          <w:rFonts w:hint="eastAsia" w:ascii="宋体" w:hAnsi="宋体" w:eastAsia="宋体" w:cs="宋体"/>
          <w:szCs w:val="21"/>
          <w:highlight w:val="none"/>
          <w:u w:val="single"/>
        </w:rPr>
        <w:t>）</w:t>
      </w:r>
      <w:r>
        <w:rPr>
          <w:rFonts w:hint="eastAsia" w:ascii="宋体" w:hAnsi="宋体" w:eastAsia="宋体" w:cs="宋体"/>
          <w:color w:val="auto"/>
          <w:spacing w:val="6"/>
          <w:highlight w:val="none"/>
          <w:u w:val="single"/>
          <w:lang w:eastAsia="zh-CN"/>
        </w:rPr>
        <w:t>合同签订后采购人支付合同金额30%的预付款，</w:t>
      </w:r>
      <w:r>
        <w:rPr>
          <w:rFonts w:hint="eastAsia" w:ascii="宋体" w:hAnsi="宋体" w:eastAsia="宋体" w:cs="宋体"/>
          <w:szCs w:val="21"/>
          <w:highlight w:val="none"/>
          <w:u w:val="single"/>
        </w:rPr>
        <w:t xml:space="preserve"> 中标单位按合同约定交付全部产品、安装调试完毕，终验合格并经过结算审计后30日内，乙方按照结算审定金额向甲方开具全额增值税普通发票，甲方依据验收、审定结算、合同条款一次性支付货款结算金额</w:t>
      </w:r>
      <w:r>
        <w:rPr>
          <w:rFonts w:hint="eastAsia" w:ascii="宋体" w:hAnsi="宋体" w:eastAsia="宋体" w:cs="宋体"/>
          <w:szCs w:val="21"/>
          <w:highlight w:val="none"/>
          <w:u w:val="single"/>
          <w:lang w:eastAsia="zh-CN"/>
        </w:rPr>
        <w:t>至</w:t>
      </w:r>
      <w:r>
        <w:rPr>
          <w:rFonts w:hint="eastAsia" w:ascii="宋体" w:hAnsi="宋体" w:eastAsia="宋体" w:cs="宋体"/>
          <w:szCs w:val="21"/>
          <w:highlight w:val="none"/>
          <w:u w:val="single"/>
        </w:rPr>
        <w:t xml:space="preserve">100%。(如采购人有付款需求，在签订合同后，中标单位向采购人提供同等合同金额的银行保函，收到保函，采购人可支付合同金额的100%，待验收合格、安装调试完毕后，根据结算审计结果解除银行质押） </w:t>
      </w:r>
    </w:p>
    <w:p>
      <w:pPr>
        <w:numPr>
          <w:ilvl w:val="0"/>
          <w:numId w:val="8"/>
        </w:numPr>
        <w:adjustRightInd w:val="0"/>
        <w:snapToGrid w:val="0"/>
        <w:spacing w:before="0" w:beforeLines="0" w:line="400" w:lineRule="exact"/>
        <w:ind w:firstLine="422" w:firstLineChars="200"/>
        <w:rPr>
          <w:rFonts w:hint="eastAsia" w:ascii="宋体" w:hAnsi="宋体" w:eastAsia="宋体" w:cs="宋体"/>
          <w:b/>
          <w:bCs w:val="0"/>
          <w:szCs w:val="21"/>
          <w:highlight w:val="none"/>
          <w:u w:val="single"/>
        </w:rPr>
      </w:pPr>
      <w:r>
        <w:rPr>
          <w:rFonts w:hint="eastAsia" w:ascii="宋体" w:hAnsi="宋体" w:eastAsia="宋体" w:cs="宋体"/>
          <w:b/>
          <w:bCs w:val="0"/>
          <w:szCs w:val="21"/>
          <w:highlight w:val="none"/>
        </w:rPr>
        <w:t>合同履行</w:t>
      </w:r>
    </w:p>
    <w:p>
      <w:pPr>
        <w:numPr>
          <w:ilvl w:val="0"/>
          <w:numId w:val="10"/>
        </w:num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pPr>
        <w:numPr>
          <w:ilvl w:val="0"/>
          <w:numId w:val="10"/>
        </w:num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交货时间：</w:t>
      </w:r>
      <w:r>
        <w:rPr>
          <w:rFonts w:hint="eastAsia" w:ascii="宋体" w:hAnsi="宋体" w:eastAsia="宋体" w:cs="宋体"/>
          <w:szCs w:val="21"/>
          <w:highlight w:val="none"/>
          <w:u w:val="single"/>
        </w:rPr>
        <w:t>合同签订后*日内交付货物</w:t>
      </w:r>
    </w:p>
    <w:p>
      <w:pPr>
        <w:numPr>
          <w:ilvl w:val="0"/>
          <w:numId w:val="10"/>
        </w:num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质保期：</w:t>
      </w:r>
      <w:r>
        <w:rPr>
          <w:rFonts w:hint="eastAsia" w:ascii="宋体" w:hAnsi="宋体" w:eastAsia="宋体" w:cs="宋体"/>
          <w:szCs w:val="21"/>
          <w:highlight w:val="none"/>
          <w:u w:val="single"/>
          <w:lang w:val="en-US" w:eastAsia="zh-CN"/>
        </w:rPr>
        <w:t>消防装备自验收合格之日起X年</w:t>
      </w:r>
    </w:p>
    <w:p>
      <w:pPr>
        <w:adjustRightInd w:val="0"/>
        <w:snapToGrid w:val="0"/>
        <w:spacing w:before="0" w:beforeLines="0" w:line="400" w:lineRule="exact"/>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w:t>
      </w:r>
      <w:r>
        <w:rPr>
          <w:rFonts w:hint="eastAsia" w:ascii="宋体" w:hAnsi="宋体" w:eastAsia="宋体" w:cs="宋体"/>
          <w:szCs w:val="21"/>
          <w:highlight w:val="none"/>
          <w:lang w:eastAsia="zh-CN"/>
        </w:rPr>
        <w:t>履约</w:t>
      </w:r>
      <w:r>
        <w:rPr>
          <w:rFonts w:hint="eastAsia" w:ascii="宋体" w:hAnsi="宋体" w:eastAsia="宋体" w:cs="宋体"/>
          <w:szCs w:val="21"/>
          <w:highlight w:val="none"/>
        </w:rPr>
        <w:t>地点</w:t>
      </w:r>
      <w:r>
        <w:rPr>
          <w:rFonts w:hint="eastAsia" w:ascii="宋体" w:hAnsi="宋体" w:eastAsia="宋体" w:cs="宋体"/>
          <w:b w:val="0"/>
          <w:bCs/>
          <w:szCs w:val="21"/>
          <w:highlight w:val="none"/>
        </w:rPr>
        <w:t>：</w:t>
      </w:r>
      <w:r>
        <w:rPr>
          <w:rFonts w:hint="eastAsia" w:ascii="宋体" w:hAnsi="宋体" w:eastAsia="宋体" w:cs="宋体"/>
          <w:szCs w:val="21"/>
          <w:highlight w:val="none"/>
          <w:u w:val="single"/>
        </w:rPr>
        <w:t xml:space="preserve">                             </w:t>
      </w:r>
    </w:p>
    <w:p>
      <w:pPr>
        <w:adjustRightInd w:val="0"/>
        <w:snapToGrid w:val="0"/>
        <w:spacing w:before="0" w:beforeLines="0"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）履约担保：</w:t>
      </w:r>
      <w:r>
        <w:rPr>
          <w:rFonts w:hint="eastAsia" w:ascii="宋体" w:hAnsi="宋体" w:eastAsia="宋体" w:cs="宋体"/>
          <w:sz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否</w:t>
      </w:r>
    </w:p>
    <w:p>
      <w:pPr>
        <w:pStyle w:val="220"/>
        <w:spacing w:beforeLines="0"/>
        <w:rPr>
          <w:rFonts w:hint="eastAsia" w:ascii="宋体" w:hAnsi="宋体" w:eastAsia="宋体" w:cs="宋体"/>
          <w:sz w:val="21"/>
          <w:highlight w:val="none"/>
          <w:lang w:val="en-US" w:eastAsia="zh-CN"/>
        </w:rPr>
      </w:pPr>
      <w:r>
        <w:rPr>
          <w:rFonts w:hint="eastAsia" w:ascii="宋体" w:hAnsi="宋体" w:eastAsia="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合同签订前，中标单位按照中标金额的5%向甲方足额一次性缴纳履约保证金；业务部门确定财务收到履约保证金后，执行合同签批程序。                         </w:t>
      </w:r>
    </w:p>
    <w:p>
      <w:pPr>
        <w:pStyle w:val="220"/>
        <w:spacing w:beforeLines="0"/>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p>
    <w:p>
      <w:pPr>
        <w:snapToGrid w:val="0"/>
        <w:spacing w:beforeLines="0" w:line="400" w:lineRule="exact"/>
        <w:ind w:firstLine="420" w:firstLineChars="200"/>
        <w:rPr>
          <w:rFonts w:hint="eastAsia" w:ascii="宋体" w:hAnsi="宋体" w:eastAsia="宋体" w:cs="宋体"/>
          <w:sz w:val="21"/>
          <w:highlight w:val="none"/>
          <w:lang w:val="en-US" w:eastAsia="zh-CN"/>
        </w:rPr>
      </w:pPr>
      <w:r>
        <w:rPr>
          <w:rFonts w:hint="eastAsia" w:ascii="宋体" w:hAnsi="宋体" w:eastAsia="宋体" w:cs="宋体"/>
          <w:bCs/>
          <w:szCs w:val="21"/>
          <w:highlight w:val="none"/>
          <w:u w:val="none"/>
          <w:lang w:val="en-US" w:eastAsia="zh-CN"/>
        </w:rPr>
        <w:t xml:space="preserve">    履约担保期限与退还</w:t>
      </w:r>
      <w:r>
        <w:rPr>
          <w:rFonts w:hint="eastAsia" w:ascii="宋体" w:hAnsi="宋体" w:eastAsia="宋体" w:cs="宋体"/>
          <w:bCs/>
          <w:szCs w:val="21"/>
          <w:highlight w:val="none"/>
          <w:u w:val="none"/>
          <w:lang w:eastAsia="zh-CN"/>
        </w:rPr>
        <w:t>：</w:t>
      </w:r>
      <w:r>
        <w:rPr>
          <w:rFonts w:hint="eastAsia" w:ascii="宋体" w:hAnsi="宋体" w:eastAsia="宋体" w:cs="宋体"/>
          <w:bCs/>
          <w:sz w:val="21"/>
          <w:szCs w:val="21"/>
          <w:highlight w:val="none"/>
          <w:u w:val="single"/>
        </w:rPr>
        <w:t xml:space="preserve"> 中标单位按合同约定交付全部产品，安装调试完毕，书面验收合格一年后（如一个标包含有多个产品，以最后一个产品书面验收合格时间为起算时间），采购单位无息退还全部履约保证金。</w:t>
      </w:r>
    </w:p>
    <w:p>
      <w:pPr>
        <w:numPr>
          <w:ilvl w:val="0"/>
          <w:numId w:val="8"/>
        </w:numPr>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合同验收</w:t>
      </w:r>
    </w:p>
    <w:p>
      <w:pPr>
        <w:numPr>
          <w:ilvl w:val="0"/>
          <w:numId w:val="11"/>
        </w:numPr>
        <w:adjustRightInd w:val="0"/>
        <w:snapToGrid w:val="0"/>
        <w:spacing w:before="0" w:beforeLines="0"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委托第三方组织</w:t>
      </w:r>
    </w:p>
    <w:p>
      <w:pPr>
        <w:numPr>
          <w:ilvl w:val="0"/>
          <w:numId w:val="0"/>
        </w:numPr>
        <w:adjustRightInd w:val="0"/>
        <w:snapToGrid w:val="0"/>
        <w:spacing w:before="0" w:beforeLines="0" w:line="400" w:lineRule="exact"/>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验收主体：</w:t>
      </w:r>
      <w:r>
        <w:rPr>
          <w:rFonts w:hint="eastAsia" w:ascii="宋体" w:hAnsi="宋体" w:eastAsia="宋体" w:cs="宋体"/>
          <w:bCs/>
          <w:szCs w:val="21"/>
          <w:highlight w:val="none"/>
          <w:u w:val="single"/>
        </w:rPr>
        <w:t xml:space="preserve">                  </w:t>
      </w:r>
    </w:p>
    <w:p>
      <w:pPr>
        <w:adjustRightInd w:val="0"/>
        <w:snapToGrid w:val="0"/>
        <w:spacing w:before="0" w:beforeLines="0" w:line="400" w:lineRule="exact"/>
        <w:ind w:firstLine="0" w:firstLineChars="0"/>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是否邀请本项目的其他供应商</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pPr>
        <w:adjustRightInd w:val="0"/>
        <w:snapToGrid w:val="0"/>
        <w:spacing w:before="0" w:beforeLines="0"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是否邀请专家</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pPr>
        <w:adjustRightInd w:val="0"/>
        <w:snapToGrid w:val="0"/>
        <w:spacing w:before="0" w:beforeLines="0"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是否邀请服务对象</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pPr>
        <w:adjustRightInd w:val="0"/>
        <w:snapToGrid w:val="0"/>
        <w:spacing w:before="0" w:beforeLines="0"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是否邀请第三方检测机构</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pPr>
        <w:adjustRightInd w:val="0"/>
        <w:snapToGrid w:val="0"/>
        <w:spacing w:before="0" w:beforeLines="0"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是</w:t>
      </w:r>
      <w:r>
        <w:rPr>
          <w:rFonts w:hint="eastAsia" w:ascii="宋体" w:hAnsi="宋体" w:eastAsia="宋体" w:cs="宋体"/>
          <w:bCs/>
          <w:szCs w:val="21"/>
          <w:highlight w:val="none"/>
          <w:lang w:eastAsia="zh-CN"/>
        </w:rPr>
        <w:t>，抽查比例：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lang w:eastAsia="zh-CN"/>
        </w:rPr>
      </w:pPr>
      <w:r>
        <w:rPr>
          <w:rFonts w:hint="eastAsia" w:ascii="宋体" w:hAnsi="宋体" w:eastAsia="宋体" w:cs="宋体"/>
          <w:bCs/>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是</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u w:val="single"/>
          <w:lang w:eastAsia="zh-CN"/>
        </w:rPr>
        <w:t>（应明确对被破坏的检测产品的处理方式）</w:t>
      </w:r>
    </w:p>
    <w:p>
      <w:pPr>
        <w:adjustRightInd w:val="0"/>
        <w:snapToGrid w:val="0"/>
        <w:spacing w:before="0" w:beforeLines="0" w:line="400" w:lineRule="exact"/>
        <w:ind w:firstLine="840" w:firstLineChars="400"/>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pPr>
        <w:adjustRightInd w:val="0"/>
        <w:snapToGrid w:val="0"/>
        <w:spacing w:before="0" w:beforeLines="0"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验收组织的其他事项：</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1.</w:t>
      </w:r>
      <w:r>
        <w:rPr>
          <w:rFonts w:hint="eastAsia" w:ascii="宋体" w:hAnsi="宋体" w:eastAsia="宋体" w:cs="宋体"/>
          <w:bCs/>
          <w:szCs w:val="21"/>
          <w:highlight w:val="none"/>
          <w:u w:val="single"/>
        </w:rPr>
        <w:t>乙方应当在上述时限之前，一次完成标包内全部产品供货并达到验收条件，申请甲方验收。</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2.</w:t>
      </w:r>
      <w:r>
        <w:rPr>
          <w:rFonts w:hint="eastAsia" w:ascii="宋体" w:hAnsi="宋体" w:eastAsia="宋体" w:cs="宋体"/>
          <w:bCs/>
          <w:szCs w:val="21"/>
          <w:highlight w:val="none"/>
          <w:u w:val="single"/>
        </w:rPr>
        <w:t>装备发出前，乙方应当与甲方进行对接，确认发货名称、品牌型号、数量，经甲方同意后，乙方发货；甲方1日内未确认的，视为同意乙方发货。甲方须做好电话记录或传真、函件记录。</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3.</w:t>
      </w:r>
      <w:r>
        <w:rPr>
          <w:rFonts w:hint="eastAsia" w:ascii="宋体" w:hAnsi="宋体" w:eastAsia="宋体" w:cs="宋体"/>
          <w:bCs/>
          <w:szCs w:val="21"/>
          <w:highlight w:val="none"/>
          <w:u w:val="single"/>
        </w:rPr>
        <w:t>装备发出后，乙方应当将物流信息通知甲方，并向甲方提供发货清单。</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4</w:t>
      </w:r>
      <w:r>
        <w:rPr>
          <w:rFonts w:hint="eastAsia" w:ascii="宋体" w:hAnsi="宋体" w:eastAsia="宋体" w:cs="宋体"/>
          <w:bCs/>
          <w:szCs w:val="21"/>
          <w:highlight w:val="none"/>
          <w:u w:val="single"/>
        </w:rPr>
        <w:t>根据《国家消防救援局办公室关于推广应用新版消防装备管理系统的通知》要求，中标投标人在交付装备时须附着由“消防装备物资信息采集系统”统一发行的装备物资二维码和RFID。</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5.</w:t>
      </w:r>
      <w:r>
        <w:rPr>
          <w:rFonts w:hint="eastAsia" w:ascii="宋体" w:hAnsi="宋体" w:eastAsia="宋体" w:cs="宋体"/>
          <w:bCs/>
          <w:szCs w:val="21"/>
          <w:highlight w:val="none"/>
          <w:u w:val="single"/>
        </w:rPr>
        <w:t>装备到达目的地后甲乙双方要在现场共同验收。甲方将按照合同清点装备数量，检查装备外观情况，乙方必须派出代表参加装备验收工作，否则甲方不予验收，按照乙方装备未到处理。</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6.</w:t>
      </w:r>
      <w:r>
        <w:rPr>
          <w:rFonts w:hint="eastAsia" w:ascii="宋体" w:hAnsi="宋体" w:eastAsia="宋体" w:cs="宋体"/>
          <w:bCs/>
          <w:szCs w:val="21"/>
          <w:highlight w:val="none"/>
          <w:u w:val="single"/>
        </w:rPr>
        <w:t xml:space="preserve"> 甲方组成验收小组，对采购的装备进行专门验收，不符合合同规定的，甲方将不予验收。</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7.</w:t>
      </w:r>
      <w:r>
        <w:rPr>
          <w:rFonts w:hint="eastAsia" w:ascii="宋体" w:hAnsi="宋体" w:eastAsia="宋体" w:cs="宋体"/>
          <w:bCs/>
          <w:szCs w:val="21"/>
          <w:highlight w:val="none"/>
          <w:u w:val="single"/>
        </w:rPr>
        <w:t>产品验收时，乙方必须要有一名以上厂家技术人员在场，验收完毕后，甲方和乙方共同签字确认验收单。</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8.</w:t>
      </w:r>
      <w:r>
        <w:rPr>
          <w:rFonts w:hint="eastAsia" w:ascii="宋体" w:hAnsi="宋体" w:eastAsia="宋体" w:cs="宋体"/>
          <w:bCs/>
          <w:szCs w:val="21"/>
          <w:highlight w:val="none"/>
          <w:u w:val="single"/>
        </w:rPr>
        <w:t>车辆/装备的验收，综合判定为“合格”、“不合格”，综合评判为“合格”的车辆/装备，清点接收。综合评判为“不合格”的装备，限期整改并等比例扣除履约保证金，整改完毕后进行复验；限期内未整改完毕的或“复验”不合格的，按合同规定做退货处理，扣除全额履约保证金，并将供货商列入新疆消防救援队伍装备集中采购黑名单，3年内不得参加新疆消防救援队伍装备采购投标工作。</w:t>
      </w:r>
    </w:p>
    <w:p>
      <w:pPr>
        <w:adjustRightInd w:val="0"/>
        <w:snapToGrid w:val="0"/>
        <w:spacing w:before="0" w:beforeLines="0"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（2）履约验收时间：</w:t>
      </w:r>
      <w:r>
        <w:rPr>
          <w:rFonts w:hint="eastAsia" w:ascii="宋体" w:hAnsi="宋体" w:eastAsia="宋体" w:cs="宋体"/>
          <w:bCs/>
          <w:szCs w:val="21"/>
          <w:highlight w:val="none"/>
          <w:u w:val="single"/>
        </w:rPr>
        <w:t>（计划于何时验收/供应商提出验收申请之日起   日内组织验收）</w:t>
      </w:r>
      <w:r>
        <w:rPr>
          <w:rFonts w:hint="eastAsia" w:ascii="宋体" w:hAnsi="宋体" w:eastAsia="宋体" w:cs="宋体"/>
          <w:bCs/>
          <w:szCs w:val="21"/>
          <w:highlight w:val="none"/>
          <w:u w:val="single"/>
          <w:lang w:val="en-US" w:eastAsia="zh-CN"/>
        </w:rPr>
        <w:t xml:space="preserve"> </w:t>
      </w:r>
    </w:p>
    <w:p>
      <w:pPr>
        <w:adjustRightInd w:val="0"/>
        <w:snapToGrid w:val="0"/>
        <w:spacing w:before="0" w:beforeLines="0"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一次性验收         </w:t>
      </w:r>
    </w:p>
    <w:p>
      <w:pPr>
        <w:adjustRightInd w:val="0"/>
        <w:snapToGrid w:val="0"/>
        <w:spacing w:before="0" w:beforeLines="0" w:line="400" w:lineRule="exact"/>
        <w:ind w:firstLine="0" w:firstLineChars="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分期/分项验收</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u w:val="single"/>
        </w:rPr>
        <w:t xml:space="preserve">分为初验与终验 </w:t>
      </w:r>
      <w:r>
        <w:rPr>
          <w:rFonts w:hint="eastAsia" w:ascii="宋体" w:hAnsi="宋体" w:eastAsia="宋体" w:cs="宋体"/>
          <w:bCs/>
          <w:szCs w:val="21"/>
          <w:highlight w:val="none"/>
          <w:u w:val="single"/>
          <w:lang w:eastAsia="zh-CN"/>
        </w:rPr>
        <w:t>（应明确分期</w:t>
      </w:r>
      <w:r>
        <w:rPr>
          <w:rFonts w:hint="eastAsia" w:ascii="宋体" w:hAnsi="宋体" w:eastAsia="宋体" w:cs="宋体"/>
          <w:bCs/>
          <w:szCs w:val="21"/>
          <w:highlight w:val="none"/>
          <w:u w:val="single"/>
          <w:lang w:val="en" w:eastAsia="zh-CN"/>
        </w:rPr>
        <w:t>/分项验收的工作安排</w:t>
      </w:r>
      <w:r>
        <w:rPr>
          <w:rFonts w:hint="eastAsia" w:ascii="宋体" w:hAnsi="宋体" w:eastAsia="宋体" w:cs="宋体"/>
          <w:bCs/>
          <w:szCs w:val="21"/>
          <w:highlight w:val="none"/>
          <w:u w:val="single"/>
          <w:lang w:eastAsia="zh-CN"/>
        </w:rPr>
        <w:t>）</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p>
    <w:p>
      <w:pPr>
        <w:adjustRightInd w:val="0"/>
        <w:snapToGrid w:val="0"/>
        <w:spacing w:before="0" w:beforeLines="0"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（4）履约验收程序：</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1.</w:t>
      </w:r>
      <w:r>
        <w:rPr>
          <w:rFonts w:hint="eastAsia" w:ascii="宋体" w:hAnsi="宋体" w:eastAsia="宋体" w:cs="宋体"/>
          <w:bCs/>
          <w:szCs w:val="21"/>
          <w:highlight w:val="none"/>
          <w:u w:val="single"/>
        </w:rPr>
        <w:t>初验由乙方申请验收后、甲方根据工作安排组织验收甲方未验收不得拆箱、使用；</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2</w:t>
      </w:r>
      <w:r>
        <w:rPr>
          <w:rFonts w:hint="eastAsia" w:ascii="宋体" w:hAnsi="宋体" w:eastAsia="宋体" w:cs="宋体"/>
          <w:bCs/>
          <w:szCs w:val="21"/>
          <w:highlight w:val="none"/>
          <w:u w:val="single"/>
        </w:rPr>
        <w:t>初验合格后，甲方使用30日历日后，</w:t>
      </w:r>
      <w:r>
        <w:rPr>
          <w:rFonts w:hint="eastAsia" w:ascii="宋体" w:hAnsi="宋体" w:eastAsia="宋体" w:cs="宋体"/>
          <w:bCs/>
          <w:szCs w:val="21"/>
          <w:highlight w:val="none"/>
          <w:u w:val="single"/>
          <w:lang w:val="en-US" w:eastAsia="zh-CN"/>
        </w:rPr>
        <w:t>装备</w:t>
      </w:r>
      <w:r>
        <w:rPr>
          <w:rFonts w:hint="eastAsia" w:ascii="宋体" w:hAnsi="宋体" w:eastAsia="宋体" w:cs="宋体"/>
          <w:bCs/>
          <w:szCs w:val="21"/>
          <w:highlight w:val="none"/>
          <w:u w:val="single"/>
        </w:rPr>
        <w:t>未发现使用缺陷，甲方通知乙方组织复验。</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 xml:space="preserve">3 </w:t>
      </w:r>
      <w:r>
        <w:rPr>
          <w:rFonts w:hint="eastAsia" w:ascii="宋体" w:hAnsi="宋体" w:eastAsia="宋体" w:cs="宋体"/>
          <w:bCs/>
          <w:szCs w:val="21"/>
          <w:highlight w:val="none"/>
          <w:u w:val="single"/>
        </w:rPr>
        <w:t>复验合格后，甲乙双方向支队提交验收报告，包括但不限于初验、复验情况以及整改期间整改情况。</w:t>
      </w:r>
    </w:p>
    <w:p>
      <w:pPr>
        <w:adjustRightInd w:val="0"/>
        <w:snapToGrid w:val="0"/>
        <w:spacing w:before="0" w:beforeLines="0"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u w:val="single"/>
          <w:lang w:val="en-US" w:eastAsia="zh-CN"/>
        </w:rPr>
        <w:t xml:space="preserve">4 </w:t>
      </w:r>
      <w:r>
        <w:rPr>
          <w:rFonts w:hint="eastAsia" w:ascii="宋体" w:hAnsi="宋体" w:eastAsia="宋体" w:cs="宋体"/>
          <w:bCs/>
          <w:szCs w:val="21"/>
          <w:highlight w:val="none"/>
          <w:u w:val="single"/>
        </w:rPr>
        <w:t>初验前甲方不负责货物的保管，由乙方负责。</w:t>
      </w:r>
    </w:p>
    <w:p>
      <w:pPr>
        <w:adjustRightInd w:val="0"/>
        <w:snapToGrid w:val="0"/>
        <w:spacing w:before="0" w:beforeLines="0"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（5）履约验收的内容：</w:t>
      </w:r>
      <w:r>
        <w:rPr>
          <w:rFonts w:hint="eastAsia" w:ascii="宋体" w:hAnsi="宋体" w:eastAsia="宋体" w:cs="宋体"/>
          <w:bCs/>
          <w:szCs w:val="21"/>
          <w:highlight w:val="none"/>
          <w:u w:val="single"/>
        </w:rPr>
        <w:t xml:space="preserve"> 依照本合同约定参数</w:t>
      </w:r>
      <w:r>
        <w:rPr>
          <w:rFonts w:hint="eastAsia" w:ascii="宋体" w:hAnsi="宋体" w:eastAsia="宋体" w:cs="宋体"/>
          <w:bCs/>
          <w:szCs w:val="21"/>
          <w:highlight w:val="none"/>
          <w:u w:val="single"/>
          <w:lang w:val="en-US" w:eastAsia="zh-CN"/>
        </w:rPr>
        <w:t>逐项核对</w:t>
      </w:r>
      <w:r>
        <w:rPr>
          <w:rFonts w:hint="eastAsia" w:ascii="宋体" w:hAnsi="宋体" w:eastAsia="宋体" w:cs="宋体"/>
          <w:bCs/>
          <w:szCs w:val="21"/>
          <w:highlight w:val="none"/>
          <w:u w:val="single"/>
        </w:rPr>
        <w:t>。</w:t>
      </w:r>
      <w:r>
        <w:rPr>
          <w:rFonts w:hint="eastAsia" w:ascii="宋体" w:hAnsi="宋体" w:eastAsia="宋体" w:cs="宋体"/>
          <w:bCs/>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Cs w:val="21"/>
          <w:highlight w:val="none"/>
          <w:u w:val="single"/>
        </w:rPr>
        <w:t xml:space="preserve">                                      </w:t>
      </w:r>
    </w:p>
    <w:p>
      <w:pPr>
        <w:adjustRightInd w:val="0"/>
        <w:snapToGrid w:val="0"/>
        <w:spacing w:before="0" w:beforeLines="0"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（6）履约验收标准：</w:t>
      </w:r>
      <w:r>
        <w:rPr>
          <w:rFonts w:hint="eastAsia" w:ascii="宋体" w:hAnsi="宋体" w:eastAsia="宋体" w:cs="宋体"/>
          <w:bCs/>
          <w:szCs w:val="21"/>
          <w:highlight w:val="none"/>
          <w:u w:val="single"/>
        </w:rPr>
        <w:t xml:space="preserve">                                         </w:t>
      </w:r>
    </w:p>
    <w:p>
      <w:pPr>
        <w:pStyle w:val="220"/>
        <w:spacing w:beforeLines="0"/>
        <w:rPr>
          <w:rFonts w:hint="eastAsia" w:ascii="宋体" w:hAnsi="宋体" w:eastAsia="宋体" w:cs="宋体"/>
          <w:bCs/>
          <w:sz w:val="21"/>
          <w:szCs w:val="21"/>
          <w:highlight w:val="none"/>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pPr>
        <w:pStyle w:val="220"/>
        <w:spacing w:beforeLines="0"/>
        <w:ind w:firstLine="630" w:firstLineChars="30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1. </w:t>
      </w:r>
      <w:r>
        <w:rPr>
          <w:rFonts w:hint="eastAsia" w:ascii="宋体" w:hAnsi="宋体" w:eastAsia="宋体" w:cs="宋体"/>
          <w:bCs/>
          <w:sz w:val="21"/>
          <w:szCs w:val="21"/>
          <w:highlight w:val="none"/>
          <w:lang w:eastAsia="zh-CN"/>
        </w:rPr>
        <w:t>中标产品样品交付：合同签订前，乙方将与评审同款的中标产品的实物样品交付给甲方。</w:t>
      </w:r>
    </w:p>
    <w:p>
      <w:pPr>
        <w:pStyle w:val="220"/>
        <w:spacing w:beforeLines="0"/>
        <w:ind w:firstLine="630" w:firstLineChars="30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2. </w:t>
      </w:r>
      <w:r>
        <w:rPr>
          <w:rFonts w:hint="eastAsia" w:ascii="宋体" w:hAnsi="宋体" w:eastAsia="宋体" w:cs="宋体"/>
          <w:bCs/>
          <w:sz w:val="21"/>
          <w:szCs w:val="21"/>
          <w:highlight w:val="none"/>
          <w:lang w:eastAsia="zh-CN"/>
        </w:rPr>
        <w:t>中标产品样品退还：合同签订前，乙方将与评审同款的中标产品的实物样品交付给甲方。</w:t>
      </w:r>
    </w:p>
    <w:p>
      <w:pPr>
        <w:adjustRightInd w:val="0"/>
        <w:snapToGrid w:val="0"/>
        <w:spacing w:before="0" w:beforeLines="0"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（8）履约验收其他事项：</w:t>
      </w:r>
      <w:r>
        <w:rPr>
          <w:rFonts w:hint="eastAsia" w:ascii="宋体" w:hAnsi="宋体" w:eastAsia="宋体" w:cs="宋体"/>
          <w:bCs/>
          <w:szCs w:val="21"/>
          <w:highlight w:val="none"/>
          <w:u w:val="single"/>
        </w:rPr>
        <w:t xml:space="preserve">      </w:t>
      </w:r>
      <w:r>
        <w:rPr>
          <w:rFonts w:hint="eastAsia" w:ascii="宋体" w:hAnsi="宋体" w:eastAsia="宋体" w:cs="宋体"/>
          <w:bCs/>
          <w:i w:val="0"/>
          <w:iCs w:val="0"/>
          <w:szCs w:val="21"/>
          <w:highlight w:val="none"/>
          <w:u w:val="single"/>
        </w:rPr>
        <w:t>（产权过户登记等）</w:t>
      </w:r>
      <w:r>
        <w:rPr>
          <w:rFonts w:hint="eastAsia" w:ascii="宋体" w:hAnsi="宋体" w:eastAsia="宋体" w:cs="宋体"/>
          <w:bCs/>
          <w:szCs w:val="21"/>
          <w:highlight w:val="none"/>
          <w:u w:val="single"/>
        </w:rPr>
        <w:t xml:space="preserve">          </w:t>
      </w:r>
    </w:p>
    <w:p>
      <w:pPr>
        <w:numPr>
          <w:ilvl w:val="0"/>
          <w:numId w:val="8"/>
        </w:numPr>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组成合同的文件</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本协议书与下列文件一起构成合同文件，如下述文件之间有任何抵触、矛盾或歧义，应按以下顺序解释：</w:t>
      </w:r>
    </w:p>
    <w:p>
      <w:pPr>
        <w:adjustRightInd w:val="0"/>
        <w:snapToGrid w:val="0"/>
        <w:spacing w:before="0" w:beforeLines="0"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）政府采购合同专用条款</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）政府采购合同通用条款</w:t>
      </w:r>
    </w:p>
    <w:p>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）中标</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）投标（响应）文件</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（6）采购文件</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（7）有关技术文件，图纸</w:t>
      </w:r>
    </w:p>
    <w:p>
      <w:pPr>
        <w:pStyle w:val="220"/>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rPr>
        <w:t>国家法律、行政法规和规章制度规定或合同约定的作为合同组成部分的其他文件</w:t>
      </w:r>
    </w:p>
    <w:p>
      <w:pPr>
        <w:numPr>
          <w:ilvl w:val="0"/>
          <w:numId w:val="8"/>
        </w:numPr>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合同生效</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生效。</w:t>
      </w:r>
    </w:p>
    <w:p>
      <w:pPr>
        <w:numPr>
          <w:ilvl w:val="0"/>
          <w:numId w:val="8"/>
        </w:numPr>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合同份数</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eastAsia="zh-CN"/>
        </w:rPr>
        <w:t>甲方</w:t>
      </w:r>
      <w:r>
        <w:rPr>
          <w:rFonts w:hint="eastAsia" w:ascii="宋体" w:hAnsi="宋体" w:eastAsia="宋体" w:cs="宋体"/>
          <w:szCs w:val="21"/>
          <w:highlight w:val="none"/>
        </w:rPr>
        <w:t>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eastAsia="zh-CN"/>
        </w:rPr>
        <w:t>乙方</w:t>
      </w:r>
      <w:r>
        <w:rPr>
          <w:rFonts w:hint="eastAsia" w:ascii="宋体" w:hAnsi="宋体" w:eastAsia="宋体" w:cs="宋体"/>
          <w:szCs w:val="21"/>
          <w:highlight w:val="none"/>
        </w:rPr>
        <w:t>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份，均具有同等法律效力。</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pPr>
        <w:adjustRightInd w:val="0"/>
        <w:snapToGrid w:val="0"/>
        <w:spacing w:before="0" w:beforeLines="0"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合同订立地点：</w:t>
      </w:r>
      <w:r>
        <w:rPr>
          <w:rFonts w:hint="eastAsia" w:ascii="宋体" w:hAnsi="宋体" w:eastAsia="宋体" w:cs="宋体"/>
          <w:szCs w:val="21"/>
          <w:highlight w:val="none"/>
          <w:u w:val="single"/>
        </w:rPr>
        <w:t xml:space="preserve">                           </w:t>
      </w:r>
    </w:p>
    <w:p>
      <w:pPr>
        <w:pStyle w:val="109"/>
        <w:spacing w:beforeLines="0" w:line="400" w:lineRule="exact"/>
        <w:rPr>
          <w:rFonts w:hint="eastAsia" w:ascii="宋体" w:hAnsi="宋体" w:eastAsia="宋体" w:cs="宋体"/>
          <w:highlight w:val="none"/>
        </w:rPr>
      </w:pPr>
    </w:p>
    <w:p>
      <w:pPr>
        <w:pStyle w:val="4"/>
        <w:spacing w:beforeLines="0" w:line="400" w:lineRule="exact"/>
        <w:rPr>
          <w:rFonts w:hint="eastAsia" w:ascii="宋体" w:hAnsi="宋体" w:eastAsia="宋体" w:cs="宋体"/>
          <w:highlight w:val="none"/>
        </w:rPr>
      </w:pPr>
      <w:r>
        <w:rPr>
          <w:rFonts w:hint="eastAsia" w:ascii="宋体" w:hAnsi="宋体" w:eastAsia="宋体" w:cs="宋体"/>
          <w:highlight w:val="none"/>
          <w:lang w:val="en"/>
        </w:rPr>
        <w:t xml:space="preserve">   </w:t>
      </w:r>
    </w:p>
    <w:tbl>
      <w:tblPr>
        <w:tblStyle w:val="3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highlight w:val="none"/>
              </w:rPr>
            </w:pPr>
            <w:r>
              <w:rPr>
                <w:rFonts w:hint="eastAsia" w:ascii="宋体" w:hAnsi="宋体" w:eastAsia="宋体" w:cs="宋体"/>
                <w:szCs w:val="21"/>
                <w:highlight w:val="none"/>
              </w:rPr>
              <w:t>甲方（采购人</w:t>
            </w:r>
            <w:r>
              <w:rPr>
                <w:rFonts w:hint="eastAsia" w:ascii="宋体" w:hAnsi="宋体" w:eastAsia="宋体" w:cs="宋体"/>
                <w:szCs w:val="21"/>
                <w:highlight w:val="none"/>
                <w:lang w:eastAsia="zh-CN"/>
              </w:rPr>
              <w:t>、受采购人委托签订合同的单位</w:t>
            </w:r>
            <w:r>
              <w:rPr>
                <w:rFonts w:hint="eastAsia" w:ascii="宋体" w:hAnsi="宋体" w:eastAsia="宋体" w:cs="宋体"/>
                <w:szCs w:val="21"/>
                <w:highlight w:val="none"/>
              </w:rPr>
              <w:t>或采购文件约定的合同甲方）</w:t>
            </w:r>
          </w:p>
        </w:tc>
        <w:tc>
          <w:tcPr>
            <w:tcW w:w="2437" w:type="pct"/>
            <w:gridSpan w:val="2"/>
            <w:tcBorders>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highlight w:val="none"/>
              </w:rPr>
            </w:pPr>
            <w:r>
              <w:rPr>
                <w:rFonts w:hint="eastAsia" w:ascii="宋体" w:hAnsi="宋体" w:eastAsia="宋体" w:cs="宋体"/>
                <w:szCs w:val="21"/>
                <w:highlight w:val="none"/>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单位名称（公章</w:t>
            </w:r>
            <w:r>
              <w:rPr>
                <w:rFonts w:hint="eastAsia" w:ascii="宋体" w:hAnsi="宋体" w:eastAsia="宋体" w:cs="宋体"/>
                <w:szCs w:val="21"/>
                <w:highlight w:val="none"/>
                <w:lang w:eastAsia="zh-CN"/>
              </w:rPr>
              <w:t>或合同章</w:t>
            </w:r>
            <w:r>
              <w:rPr>
                <w:rFonts w:hint="eastAsia" w:ascii="宋体" w:hAnsi="宋体" w:eastAsia="宋体" w:cs="宋体"/>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单位名称（公章</w:t>
            </w:r>
            <w:r>
              <w:rPr>
                <w:rFonts w:hint="eastAsia" w:ascii="宋体" w:hAnsi="宋体" w:eastAsia="宋体" w:cs="宋体"/>
                <w:szCs w:val="21"/>
                <w:highlight w:val="none"/>
                <w:lang w:eastAsia="zh-CN"/>
              </w:rPr>
              <w:t>或合同章</w:t>
            </w:r>
            <w:r>
              <w:rPr>
                <w:rFonts w:hint="eastAsia" w:ascii="宋体" w:hAnsi="宋体" w:eastAsia="宋体" w:cs="宋体"/>
                <w:szCs w:val="21"/>
                <w:highlight w:val="none"/>
              </w:rPr>
              <w:t>）</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法定代表人</w:t>
            </w:r>
          </w:p>
          <w:p>
            <w:pPr>
              <w:adjustRightInd w:val="0"/>
              <w:snapToGrid w:val="0"/>
              <w:spacing w:line="300" w:lineRule="exact"/>
              <w:ind w:firstLine="100" w:firstLineChars="48"/>
              <w:jc w:val="center"/>
              <w:rPr>
                <w:rFonts w:hint="eastAsia" w:ascii="宋体" w:hAnsi="宋体" w:eastAsia="宋体" w:cs="宋体"/>
                <w:szCs w:val="21"/>
                <w:highlight w:val="none"/>
              </w:rPr>
            </w:pPr>
            <w:r>
              <w:rPr>
                <w:rFonts w:hint="eastAsia" w:ascii="宋体" w:hAnsi="宋体" w:eastAsia="宋体" w:cs="宋体"/>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法定代表人</w:t>
            </w:r>
          </w:p>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或其委托代理人（签章）</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 系 人</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联系电话</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邮政编码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电子邮箱</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开户名称</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开户银行</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银行账号</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宋体" w:hAnsi="宋体" w:eastAsia="宋体" w:cs="宋体"/>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8"/>
              <w:adjustRightInd w:val="0"/>
              <w:snapToGrid w:val="0"/>
              <w:spacing w:before="156" w:beforeLines="50" w:after="0" w:line="360" w:lineRule="auto"/>
              <w:ind w:left="0" w:leftChars="0"/>
              <w:jc w:val="left"/>
              <w:rPr>
                <w:rFonts w:hint="eastAsia" w:ascii="宋体" w:hAnsi="宋体" w:eastAsia="宋体" w:cs="宋体"/>
                <w:spacing w:val="20"/>
                <w:szCs w:val="21"/>
                <w:highlight w:val="none"/>
              </w:rPr>
            </w:pPr>
            <w:r>
              <w:rPr>
                <w:rFonts w:hint="eastAsia" w:ascii="宋体" w:hAnsi="宋体" w:eastAsia="宋体" w:cs="宋体"/>
                <w:szCs w:val="21"/>
                <w:highlight w:val="none"/>
              </w:rPr>
              <w:t>注：涉及联合体或其他合同主体的信息应按上表格式加列。</w:t>
            </w:r>
          </w:p>
        </w:tc>
      </w:tr>
    </w:tbl>
    <w:p>
      <w:pPr>
        <w:pStyle w:val="4"/>
        <w:adjustRightInd w:val="0"/>
        <w:snapToGrid w:val="0"/>
        <w:spacing w:before="156" w:beforeLines="50"/>
        <w:jc w:val="center"/>
        <w:rPr>
          <w:rFonts w:hint="eastAsia" w:ascii="宋体" w:hAnsi="宋体" w:eastAsia="宋体" w:cs="宋体"/>
          <w:sz w:val="28"/>
          <w:szCs w:val="28"/>
          <w:highlight w:val="none"/>
        </w:rPr>
      </w:pPr>
      <w:r>
        <w:rPr>
          <w:rFonts w:hint="eastAsia" w:ascii="宋体" w:hAnsi="宋体" w:eastAsia="宋体" w:cs="宋体"/>
          <w:sz w:val="21"/>
          <w:szCs w:val="21"/>
          <w:highlight w:val="none"/>
          <w:u w:val="single"/>
        </w:rPr>
        <w:br w:type="page"/>
      </w:r>
      <w:bookmarkStart w:id="114" w:name="_Toc27624"/>
      <w:r>
        <w:rPr>
          <w:rFonts w:hint="eastAsia" w:ascii="宋体" w:hAnsi="宋体" w:eastAsia="宋体" w:cs="宋体"/>
          <w:b w:val="0"/>
          <w:bCs w:val="0"/>
          <w:sz w:val="28"/>
          <w:szCs w:val="28"/>
          <w:highlight w:val="none"/>
        </w:rPr>
        <w:t>第二节 政府采购合同</w:t>
      </w:r>
      <w:r>
        <w:rPr>
          <w:rFonts w:hint="eastAsia" w:ascii="宋体" w:hAnsi="宋体" w:eastAsia="宋体" w:cs="宋体"/>
          <w:b w:val="0"/>
          <w:bCs w:val="0"/>
          <w:sz w:val="28"/>
          <w:szCs w:val="28"/>
          <w:highlight w:val="none"/>
          <w:lang w:val="en-US" w:eastAsia="zh-CN"/>
        </w:rPr>
        <w:t>基本</w:t>
      </w:r>
      <w:r>
        <w:rPr>
          <w:rFonts w:hint="eastAsia" w:ascii="宋体" w:hAnsi="宋体" w:eastAsia="宋体" w:cs="宋体"/>
          <w:b w:val="0"/>
          <w:bCs w:val="0"/>
          <w:sz w:val="28"/>
          <w:szCs w:val="28"/>
          <w:highlight w:val="none"/>
        </w:rPr>
        <w:t>条款</w:t>
      </w:r>
      <w:bookmarkEnd w:id="114"/>
    </w:p>
    <w:p>
      <w:pPr>
        <w:tabs>
          <w:tab w:val="left" w:pos="8820"/>
          <w:tab w:val="left" w:pos="9345"/>
          <w:tab w:val="left" w:pos="9765"/>
        </w:tabs>
        <w:adjustRightInd w:val="0"/>
        <w:snapToGrid w:val="0"/>
        <w:spacing w:before="0" w:line="400" w:lineRule="exact"/>
        <w:jc w:val="left"/>
        <w:rPr>
          <w:rFonts w:hint="eastAsia" w:ascii="宋体" w:hAnsi="宋体" w:eastAsia="宋体" w:cs="宋体"/>
          <w:b/>
          <w:bCs/>
          <w:sz w:val="24"/>
          <w:highlight w:val="none"/>
        </w:rPr>
      </w:pPr>
      <w:r>
        <w:rPr>
          <w:rFonts w:hint="eastAsia" w:ascii="宋体" w:hAnsi="宋体" w:eastAsia="宋体" w:cs="宋体"/>
          <w:b/>
          <w:sz w:val="24"/>
          <w:highlight w:val="none"/>
        </w:rPr>
        <w:t>1.</w:t>
      </w:r>
      <w:r>
        <w:rPr>
          <w:rFonts w:hint="eastAsia" w:ascii="宋体" w:hAnsi="宋体" w:eastAsia="宋体" w:cs="宋体"/>
          <w:b/>
          <w:sz w:val="24"/>
          <w:highlight w:val="none"/>
          <w:lang w:val="en-US" w:eastAsia="zh-CN"/>
        </w:rPr>
        <w:t xml:space="preserve"> </w:t>
      </w:r>
      <w:r>
        <w:rPr>
          <w:rFonts w:hint="eastAsia" w:ascii="宋体" w:hAnsi="宋体" w:eastAsia="宋体" w:cs="宋体"/>
          <w:b/>
          <w:bCs/>
          <w:sz w:val="24"/>
          <w:highlight w:val="none"/>
        </w:rPr>
        <w:t>定义</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1.1合同当事人</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000000" w:themeColor="text1"/>
          <w:szCs w:val="21"/>
          <w:highlight w:val="none"/>
        </w:rPr>
        <w:t>依法参与合同缔结或履行，享有权利、承担义务的合同当事人</w:t>
      </w:r>
      <w:r>
        <w:rPr>
          <w:rFonts w:hint="eastAsia" w:ascii="宋体" w:hAnsi="宋体" w:eastAsia="宋体" w:cs="宋体"/>
          <w:color w:val="auto"/>
          <w:szCs w:val="21"/>
          <w:highlight w:val="none"/>
        </w:rPr>
        <w:t>。</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pPr>
        <w:adjustRightInd w:val="0"/>
        <w:snapToGrid w:val="0"/>
        <w:spacing w:before="0" w:beforeLines="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000000" w:themeColor="text1"/>
          <w:szCs w:val="21"/>
          <w:highlight w:val="none"/>
        </w:rPr>
        <w:t>合同当事人意思表示达成一致的任何协议，包括签署的</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r>
        <w:rPr>
          <w:rFonts w:hint="eastAsia" w:ascii="宋体" w:hAnsi="宋体" w:eastAsia="宋体" w:cs="宋体"/>
          <w:szCs w:val="21"/>
          <w:highlight w:val="none"/>
        </w:rPr>
        <w:t>政府采购合同专用条款</w:t>
      </w:r>
      <w:r>
        <w:rPr>
          <w:rFonts w:hint="eastAsia" w:ascii="宋体" w:hAnsi="宋体" w:eastAsia="宋体" w:cs="宋体"/>
          <w:szCs w:val="21"/>
          <w:highlight w:val="none"/>
          <w:lang w:eastAsia="zh-CN"/>
        </w:rPr>
        <w:t>，</w:t>
      </w:r>
      <w:r>
        <w:rPr>
          <w:rFonts w:hint="eastAsia" w:ascii="宋体" w:hAnsi="宋体" w:eastAsia="宋体" w:cs="宋体"/>
          <w:szCs w:val="21"/>
          <w:highlight w:val="none"/>
        </w:rPr>
        <w:t>政府采购合同通用条款</w:t>
      </w:r>
      <w:r>
        <w:rPr>
          <w:rFonts w:hint="eastAsia" w:ascii="宋体" w:hAnsi="宋体" w:eastAsia="宋体" w:cs="宋体"/>
          <w:szCs w:val="21"/>
          <w:highlight w:val="none"/>
          <w:lang w:eastAsia="zh-CN"/>
        </w:rPr>
        <w:t>，</w:t>
      </w:r>
      <w:r>
        <w:rPr>
          <w:rFonts w:hint="eastAsia" w:ascii="宋体" w:hAnsi="宋体" w:eastAsia="宋体" w:cs="宋体"/>
          <w:color w:val="auto"/>
          <w:szCs w:val="21"/>
          <w:highlight w:val="none"/>
        </w:rPr>
        <w:t>中标</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w:t>
      </w:r>
      <w:r>
        <w:rPr>
          <w:rFonts w:hint="eastAsia" w:ascii="宋体" w:hAnsi="宋体" w:eastAsia="宋体" w:cs="宋体"/>
          <w:color w:val="auto"/>
          <w:szCs w:val="21"/>
          <w:highlight w:val="none"/>
          <w:lang w:eastAsia="zh-CN"/>
        </w:rPr>
        <w:t>，</w:t>
      </w:r>
      <w:r>
        <w:rPr>
          <w:rFonts w:hint="eastAsia" w:ascii="宋体" w:hAnsi="宋体" w:eastAsia="宋体" w:cs="宋体"/>
          <w:szCs w:val="21"/>
          <w:highlight w:val="none"/>
        </w:rPr>
        <w:t>投标（响应）文件</w:t>
      </w:r>
      <w:r>
        <w:rPr>
          <w:rFonts w:hint="eastAsia" w:ascii="宋体" w:hAnsi="宋体" w:eastAsia="宋体" w:cs="宋体"/>
          <w:szCs w:val="21"/>
          <w:highlight w:val="none"/>
          <w:lang w:eastAsia="zh-CN"/>
        </w:rPr>
        <w:t>，</w:t>
      </w:r>
      <w:r>
        <w:rPr>
          <w:rFonts w:hint="eastAsia" w:ascii="宋体" w:hAnsi="宋体" w:eastAsia="宋体" w:cs="宋体"/>
          <w:szCs w:val="21"/>
          <w:highlight w:val="none"/>
        </w:rPr>
        <w:t>采购文件</w:t>
      </w:r>
      <w:r>
        <w:rPr>
          <w:rFonts w:hint="eastAsia" w:ascii="宋体" w:hAnsi="宋体" w:eastAsia="宋体" w:cs="宋体"/>
          <w:szCs w:val="21"/>
          <w:highlight w:val="none"/>
          <w:lang w:eastAsia="zh-CN"/>
        </w:rPr>
        <w:t>，</w:t>
      </w:r>
      <w:r>
        <w:rPr>
          <w:rFonts w:hint="eastAsia" w:ascii="宋体" w:hAnsi="宋体" w:eastAsia="宋体" w:cs="宋体"/>
          <w:szCs w:val="21"/>
          <w:highlight w:val="none"/>
        </w:rPr>
        <w:t>有关技术文件</w:t>
      </w:r>
      <w:r>
        <w:rPr>
          <w:rFonts w:hint="eastAsia" w:ascii="宋体" w:hAnsi="宋体" w:eastAsia="宋体" w:cs="宋体"/>
          <w:szCs w:val="21"/>
          <w:highlight w:val="none"/>
          <w:lang w:eastAsia="zh-CN"/>
        </w:rPr>
        <w:t>和</w:t>
      </w:r>
      <w:r>
        <w:rPr>
          <w:rFonts w:hint="eastAsia" w:ascii="宋体" w:hAnsi="宋体" w:eastAsia="宋体" w:cs="宋体"/>
          <w:szCs w:val="21"/>
          <w:highlight w:val="none"/>
        </w:rPr>
        <w:t>图纸</w:t>
      </w:r>
      <w:r>
        <w:rPr>
          <w:rFonts w:hint="eastAsia" w:ascii="宋体" w:hAnsi="宋体" w:eastAsia="宋体" w:cs="宋体"/>
          <w:szCs w:val="21"/>
          <w:highlight w:val="none"/>
          <w:lang w:eastAsia="zh-CN"/>
        </w:rPr>
        <w:t>，以及</w:t>
      </w:r>
      <w:r>
        <w:rPr>
          <w:rFonts w:hint="eastAsia" w:ascii="宋体" w:hAnsi="宋体" w:eastAsia="宋体" w:cs="宋体"/>
          <w:bCs w:val="0"/>
          <w:color w:val="000000" w:themeColor="text1"/>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w:t>
      </w:r>
      <w:r>
        <w:rPr>
          <w:rFonts w:hint="eastAsia" w:ascii="宋体" w:hAnsi="宋体" w:eastAsia="宋体" w:cs="宋体"/>
          <w:color w:val="000000" w:themeColor="text1"/>
          <w:szCs w:val="21"/>
          <w:highlight w:val="none"/>
        </w:rPr>
        <w:t>包括软件）及相关的其备品备件、工具、手册及</w:t>
      </w:r>
      <w:r>
        <w:rPr>
          <w:rFonts w:hint="eastAsia" w:ascii="宋体" w:hAnsi="宋体" w:eastAsia="宋体" w:cs="宋体"/>
          <w:color w:val="000000" w:themeColor="text1"/>
          <w:szCs w:val="21"/>
          <w:highlight w:val="none"/>
          <w:lang w:val="en"/>
        </w:rPr>
        <w:t>其他</w:t>
      </w:r>
      <w:r>
        <w:rPr>
          <w:rFonts w:hint="eastAsia" w:ascii="宋体" w:hAnsi="宋体" w:eastAsia="宋体" w:cs="宋体"/>
          <w:color w:val="000000" w:themeColor="text1"/>
          <w:szCs w:val="21"/>
          <w:highlight w:val="none"/>
        </w:rPr>
        <w:t>技术资料和材料</w:t>
      </w:r>
      <w:r>
        <w:rPr>
          <w:rFonts w:hint="eastAsia" w:ascii="宋体" w:hAnsi="宋体" w:eastAsia="宋体" w:cs="宋体"/>
          <w:color w:val="000000" w:themeColor="text1"/>
          <w:szCs w:val="21"/>
          <w:highlight w:val="none"/>
          <w:lang w:eastAsia="zh-CN"/>
        </w:rPr>
        <w:t>等</w:t>
      </w:r>
      <w:r>
        <w:rPr>
          <w:rFonts w:hint="eastAsia" w:ascii="宋体" w:hAnsi="宋体" w:eastAsia="宋体" w:cs="宋体"/>
          <w:color w:val="000000" w:themeColor="text1"/>
          <w:szCs w:val="21"/>
          <w:highlight w:val="none"/>
        </w:rPr>
        <w:t>。</w:t>
      </w:r>
    </w:p>
    <w:p>
      <w:pPr>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4</w:t>
      </w:r>
      <w:r>
        <w:rPr>
          <w:rFonts w:hint="eastAsia" w:ascii="宋体" w:hAnsi="宋体" w:eastAsia="宋体" w:cs="宋体"/>
          <w:color w:val="000000" w:themeColor="text1"/>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000000" w:themeColor="text1"/>
          <w:szCs w:val="21"/>
          <w:highlight w:val="none"/>
        </w:rPr>
        <w:t>服务”系指根据合同规定，乙方应提供的</w:t>
      </w:r>
      <w:r>
        <w:rPr>
          <w:rFonts w:hint="eastAsia" w:ascii="宋体" w:hAnsi="宋体" w:eastAsia="宋体" w:cs="宋体"/>
          <w:color w:val="000000" w:themeColor="text1"/>
          <w:szCs w:val="21"/>
          <w:highlight w:val="none"/>
          <w:lang w:val="en-US" w:eastAsia="zh-CN"/>
        </w:rPr>
        <w:t>与货物有关的</w:t>
      </w:r>
      <w:r>
        <w:rPr>
          <w:rFonts w:hint="eastAsia" w:ascii="宋体" w:hAnsi="宋体" w:eastAsia="宋体" w:cs="宋体"/>
          <w:color w:val="000000" w:themeColor="text1"/>
          <w:szCs w:val="21"/>
          <w:highlight w:val="none"/>
        </w:rPr>
        <w:t>技术、管理和</w:t>
      </w:r>
      <w:r>
        <w:rPr>
          <w:rFonts w:hint="eastAsia" w:ascii="宋体" w:hAnsi="宋体" w:eastAsia="宋体" w:cs="宋体"/>
          <w:color w:val="000000" w:themeColor="text1"/>
          <w:szCs w:val="21"/>
          <w:highlight w:val="none"/>
          <w:lang w:val="en"/>
        </w:rPr>
        <w:t>其他</w:t>
      </w:r>
      <w:r>
        <w:rPr>
          <w:rFonts w:hint="eastAsia" w:ascii="宋体" w:hAnsi="宋体" w:eastAsia="宋体" w:cs="宋体"/>
          <w:color w:val="000000" w:themeColor="text1"/>
          <w:szCs w:val="21"/>
          <w:highlight w:val="none"/>
        </w:rPr>
        <w:t>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rPr>
        <w:t>废弃处置、</w:t>
      </w:r>
      <w:r>
        <w:rPr>
          <w:rFonts w:hint="eastAsia" w:ascii="宋体" w:hAnsi="宋体" w:eastAsia="宋体" w:cs="宋体"/>
          <w:color w:val="000000" w:themeColor="text1"/>
          <w:szCs w:val="21"/>
          <w:highlight w:val="none"/>
        </w:rPr>
        <w:t>技术支持等以及合同中规定乙方应承担的</w:t>
      </w:r>
      <w:r>
        <w:rPr>
          <w:rFonts w:hint="eastAsia" w:ascii="宋体" w:hAnsi="宋体" w:eastAsia="宋体" w:cs="宋体"/>
          <w:color w:val="000000" w:themeColor="text1"/>
          <w:szCs w:val="21"/>
          <w:highlight w:val="none"/>
          <w:lang w:val="en"/>
        </w:rPr>
        <w:t>其他</w:t>
      </w:r>
      <w:r>
        <w:rPr>
          <w:rFonts w:hint="eastAsia" w:ascii="宋体" w:hAnsi="宋体" w:eastAsia="宋体" w:cs="宋体"/>
          <w:color w:val="000000" w:themeColor="text1"/>
          <w:szCs w:val="21"/>
          <w:highlight w:val="none"/>
        </w:rPr>
        <w:t>义务。</w:t>
      </w:r>
    </w:p>
    <w:p>
      <w:pPr>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5</w:t>
      </w:r>
      <w:r>
        <w:rPr>
          <w:rFonts w:hint="eastAsia" w:ascii="宋体" w:hAnsi="宋体" w:eastAsia="宋体" w:cs="宋体"/>
          <w:color w:val="000000" w:themeColor="text1"/>
          <w:szCs w:val="21"/>
          <w:highlight w:val="none"/>
        </w:rPr>
        <w:t>）“分包”系指中标</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成交</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供应商按采购文件、投标（响应）文件的规定，根据分包意向协议，将中标</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成交</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项目中的部分履约内容，分给具有相应资质条件的供应商履行合同的行为。</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6</w:t>
      </w:r>
      <w:r>
        <w:rPr>
          <w:rFonts w:hint="eastAsia" w:ascii="宋体" w:hAnsi="宋体" w:eastAsia="宋体" w:cs="宋体"/>
          <w:color w:val="000000" w:themeColor="text1"/>
          <w:szCs w:val="21"/>
          <w:highlight w:val="none"/>
        </w:rPr>
        <w:t>）</w:t>
      </w:r>
      <w:r>
        <w:rPr>
          <w:rFonts w:hint="eastAsia" w:ascii="宋体" w:hAnsi="宋体" w:eastAsia="宋体" w:cs="宋体"/>
          <w:szCs w:val="21"/>
          <w:highlight w:val="none"/>
        </w:rPr>
        <w:t>“联合体”系指</w:t>
      </w:r>
      <w:r>
        <w:rPr>
          <w:rFonts w:hint="eastAsia" w:ascii="宋体" w:hAnsi="宋体" w:eastAsia="宋体" w:cs="宋体"/>
          <w:szCs w:val="21"/>
          <w:highlight w:val="none"/>
          <w:lang w:eastAsia="zh-CN"/>
        </w:rPr>
        <w:t>由</w:t>
      </w:r>
      <w:r>
        <w:rPr>
          <w:rFonts w:hint="eastAsia" w:ascii="宋体" w:hAnsi="宋体" w:eastAsia="宋体" w:cs="宋体"/>
          <w:szCs w:val="21"/>
          <w:highlight w:val="none"/>
        </w:rPr>
        <w:t>两个以上的自然人、法人或者</w:t>
      </w:r>
      <w:r>
        <w:rPr>
          <w:rFonts w:hint="eastAsia" w:ascii="宋体" w:hAnsi="宋体" w:eastAsia="宋体" w:cs="宋体"/>
          <w:szCs w:val="21"/>
          <w:highlight w:val="none"/>
          <w:lang w:val="en-US" w:eastAsia="zh-CN"/>
        </w:rPr>
        <w:t>非法人</w:t>
      </w:r>
      <w:r>
        <w:rPr>
          <w:rFonts w:hint="eastAsia" w:ascii="宋体" w:hAnsi="宋体" w:eastAsia="宋体" w:cs="宋体"/>
          <w:szCs w:val="21"/>
          <w:highlight w:val="none"/>
        </w:rPr>
        <w:t>组织组成，</w:t>
      </w:r>
      <w:r>
        <w:rPr>
          <w:rFonts w:hint="eastAsia" w:ascii="宋体" w:hAnsi="宋体" w:eastAsia="宋体" w:cs="宋体"/>
          <w:szCs w:val="21"/>
          <w:highlight w:val="none"/>
          <w:lang w:eastAsia="zh-CN"/>
        </w:rPr>
        <w:t>以一个供应商的身份共同参加政府采购的主体</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rPr>
        <w:t>甲方</w:t>
      </w:r>
      <w:r>
        <w:rPr>
          <w:rFonts w:hint="eastAsia" w:ascii="宋体" w:hAnsi="宋体" w:eastAsia="宋体" w:cs="宋体"/>
          <w:color w:val="000000" w:themeColor="text1"/>
          <w:szCs w:val="21"/>
          <w:highlight w:val="none"/>
        </w:rPr>
        <w:t>承担连带责任。</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7</w:t>
      </w:r>
      <w:r>
        <w:rPr>
          <w:rFonts w:hint="eastAsia" w:ascii="宋体" w:hAnsi="宋体" w:eastAsia="宋体" w:cs="宋体"/>
          <w:color w:val="000000" w:themeColor="text1"/>
          <w:szCs w:val="21"/>
          <w:highlight w:val="none"/>
        </w:rPr>
        <w:t>）其他术语解释</w:t>
      </w:r>
      <w:r>
        <w:rPr>
          <w:rFonts w:hint="eastAsia" w:ascii="宋体" w:hAnsi="宋体" w:eastAsia="宋体" w:cs="宋体"/>
          <w:color w:val="000000" w:themeColor="text1"/>
          <w:szCs w:val="21"/>
          <w:highlight w:val="none"/>
          <w:lang w:eastAsia="zh-CN"/>
        </w:rPr>
        <w:t>。</w:t>
      </w:r>
    </w:p>
    <w:p>
      <w:pPr>
        <w:numPr>
          <w:ilvl w:val="0"/>
          <w:numId w:val="12"/>
        </w:numPr>
        <w:autoSpaceDE w:val="0"/>
        <w:autoSpaceDN w:val="0"/>
        <w:adjustRightInd w:val="0"/>
        <w:snapToGrid w:val="0"/>
        <w:spacing w:before="0" w:line="400" w:lineRule="exact"/>
        <w:jc w:val="left"/>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rPr>
        <w:t>合同标的及金额</w:t>
      </w:r>
    </w:p>
    <w:p>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000000" w:themeColor="text1"/>
          <w:szCs w:val="21"/>
          <w:highlight w:val="none"/>
        </w:rPr>
      </w:pPr>
      <w:r>
        <w:rPr>
          <w:rFonts w:hint="eastAsia" w:ascii="宋体" w:hAnsi="宋体" w:eastAsia="宋体" w:cs="宋体"/>
          <w:color w:val="000000" w:themeColor="text1"/>
          <w:szCs w:val="21"/>
          <w:highlight w:val="none"/>
          <w:lang w:eastAsia="zh-CN"/>
        </w:rPr>
        <w:t>2</w:t>
      </w:r>
      <w:r>
        <w:rPr>
          <w:rFonts w:hint="eastAsia" w:ascii="宋体" w:hAnsi="宋体" w:eastAsia="宋体" w:cs="宋体"/>
          <w:color w:val="000000" w:themeColor="text1"/>
          <w:szCs w:val="21"/>
          <w:highlight w:val="none"/>
        </w:rPr>
        <w:t>.1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rPr>
        <w:t>价款</w:t>
      </w:r>
      <w:r>
        <w:rPr>
          <w:rFonts w:hint="eastAsia" w:ascii="宋体" w:hAnsi="宋体" w:eastAsia="宋体" w:cs="宋体"/>
          <w:color w:val="000000" w:themeColor="text1"/>
          <w:szCs w:val="21"/>
          <w:highlight w:val="none"/>
        </w:rPr>
        <w:t>中，甲方不再另行支付</w:t>
      </w:r>
      <w:r>
        <w:rPr>
          <w:rFonts w:hint="eastAsia" w:ascii="宋体" w:hAnsi="宋体" w:eastAsia="宋体" w:cs="宋体"/>
          <w:color w:val="000000" w:themeColor="text1"/>
          <w:szCs w:val="21"/>
          <w:highlight w:val="none"/>
          <w:lang w:val="en"/>
        </w:rPr>
        <w:t>其他</w:t>
      </w:r>
      <w:r>
        <w:rPr>
          <w:rFonts w:hint="eastAsia" w:ascii="宋体" w:hAnsi="宋体" w:eastAsia="宋体" w:cs="宋体"/>
          <w:color w:val="000000" w:themeColor="text1"/>
          <w:szCs w:val="21"/>
          <w:highlight w:val="none"/>
        </w:rPr>
        <w:t>任何费用。</w:t>
      </w:r>
    </w:p>
    <w:p>
      <w:pPr>
        <w:adjustRightInd w:val="0"/>
        <w:snapToGrid w:val="0"/>
        <w:spacing w:before="0" w:line="400" w:lineRule="exact"/>
        <w:jc w:val="lef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eastAsia="zh-CN"/>
        </w:rPr>
        <w:t>3</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rPr>
        <w:t>履行合同的时间、地点和方式</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3</w:t>
      </w:r>
      <w:r>
        <w:rPr>
          <w:rFonts w:hint="eastAsia" w:ascii="宋体" w:hAnsi="宋体" w:eastAsia="宋体" w:cs="宋体"/>
          <w:color w:val="000000" w:themeColor="text1"/>
          <w:szCs w:val="21"/>
          <w:highlight w:val="none"/>
        </w:rPr>
        <w:t xml:space="preserve">.1 </w:t>
      </w:r>
      <w:r>
        <w:rPr>
          <w:rFonts w:hint="eastAsia" w:ascii="宋体" w:hAnsi="宋体" w:eastAsia="宋体" w:cs="宋体"/>
          <w:szCs w:val="21"/>
          <w:highlight w:val="none"/>
        </w:rPr>
        <w:t>乙方应当在约定的时间、地点</w:t>
      </w:r>
      <w:r>
        <w:rPr>
          <w:rFonts w:hint="eastAsia" w:ascii="宋体" w:hAnsi="宋体" w:eastAsia="宋体" w:cs="宋体"/>
          <w:szCs w:val="21"/>
          <w:highlight w:val="none"/>
          <w:lang w:eastAsia="zh-CN"/>
        </w:rPr>
        <w:t>，按照约定</w:t>
      </w:r>
      <w:r>
        <w:rPr>
          <w:rFonts w:hint="eastAsia" w:ascii="宋体" w:hAnsi="宋体" w:eastAsia="宋体" w:cs="宋体"/>
          <w:szCs w:val="21"/>
          <w:highlight w:val="none"/>
        </w:rPr>
        <w:t>方式履行合同。</w:t>
      </w:r>
    </w:p>
    <w:p>
      <w:pPr>
        <w:autoSpaceDE w:val="0"/>
        <w:autoSpaceDN w:val="0"/>
        <w:adjustRightInd w:val="0"/>
        <w:snapToGrid w:val="0"/>
        <w:spacing w:before="0" w:line="400" w:lineRule="exact"/>
        <w:jc w:val="lef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eastAsia="zh-CN"/>
        </w:rPr>
        <w:t>4</w:t>
      </w:r>
      <w:r>
        <w:rPr>
          <w:rFonts w:hint="eastAsia" w:ascii="宋体" w:hAnsi="宋体" w:eastAsia="宋体" w:cs="宋体"/>
          <w:b/>
          <w:bCs/>
          <w:color w:val="000000" w:themeColor="text1"/>
          <w:sz w:val="24"/>
          <w:highlight w:val="none"/>
          <w:lang w:val="en-US" w:eastAsia="zh-CN"/>
        </w:rPr>
        <w:t xml:space="preserve">. </w:t>
      </w:r>
      <w:r>
        <w:rPr>
          <w:rFonts w:hint="eastAsia" w:ascii="宋体" w:hAnsi="宋体" w:eastAsia="宋体" w:cs="宋体"/>
          <w:b/>
          <w:bCs/>
          <w:color w:val="000000" w:themeColor="text1"/>
          <w:sz w:val="24"/>
          <w:highlight w:val="none"/>
        </w:rPr>
        <w:t>甲方的权利和义务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4</w:t>
      </w:r>
      <w:r>
        <w:rPr>
          <w:rFonts w:hint="eastAsia" w:ascii="宋体" w:hAnsi="宋体" w:eastAsia="宋体" w:cs="宋体"/>
          <w:color w:val="000000" w:themeColor="text1"/>
          <w:szCs w:val="21"/>
          <w:highlight w:val="none"/>
        </w:rPr>
        <w:t>.1 签署合同后，甲方</w:t>
      </w:r>
      <w:r>
        <w:rPr>
          <w:rFonts w:hint="eastAsia" w:ascii="宋体" w:hAnsi="宋体" w:eastAsia="宋体" w:cs="宋体"/>
          <w:color w:val="000000" w:themeColor="text1"/>
          <w:szCs w:val="21"/>
          <w:highlight w:val="none"/>
          <w:lang w:eastAsia="zh-CN"/>
        </w:rPr>
        <w:t>应</w:t>
      </w:r>
      <w:r>
        <w:rPr>
          <w:rFonts w:hint="eastAsia" w:ascii="宋体" w:hAnsi="宋体" w:eastAsia="宋体" w:cs="宋体"/>
          <w:color w:val="000000" w:themeColor="text1"/>
          <w:szCs w:val="21"/>
          <w:highlight w:val="none"/>
        </w:rPr>
        <w:t>确定</w:t>
      </w:r>
      <w:r>
        <w:rPr>
          <w:rFonts w:hint="eastAsia" w:ascii="宋体" w:hAnsi="宋体" w:eastAsia="宋体" w:cs="宋体"/>
          <w:color w:val="000000" w:themeColor="text1"/>
          <w:szCs w:val="21"/>
          <w:highlight w:val="none"/>
          <w:lang w:val="en-US" w:eastAsia="zh-CN"/>
        </w:rPr>
        <w:t>项目负责人（或项目联系人）</w:t>
      </w:r>
      <w:r>
        <w:rPr>
          <w:rFonts w:hint="eastAsia" w:ascii="宋体" w:hAnsi="宋体" w:eastAsia="宋体" w:cs="宋体"/>
          <w:color w:val="000000" w:themeColor="text1"/>
          <w:szCs w:val="21"/>
          <w:highlight w:val="none"/>
        </w:rPr>
        <w:t>，负责与本合同有关的事务。甲方有权对乙方的履约行为进行检查，并及时确认乙方提交的事项。甲方应当配合乙方完成相关项目实施工作。</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4</w:t>
      </w:r>
      <w:r>
        <w:rPr>
          <w:rFonts w:hint="eastAsia" w:ascii="宋体" w:hAnsi="宋体" w:eastAsia="宋体" w:cs="宋体"/>
          <w:color w:val="000000" w:themeColor="text1"/>
          <w:szCs w:val="21"/>
          <w:highlight w:val="none"/>
        </w:rPr>
        <w:t>.2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4</w:t>
      </w:r>
      <w:r>
        <w:rPr>
          <w:rFonts w:hint="eastAsia" w:ascii="宋体" w:hAnsi="宋体" w:eastAsia="宋体" w:cs="宋体"/>
          <w:color w:val="000000" w:themeColor="text1"/>
          <w:szCs w:val="21"/>
          <w:highlight w:val="none"/>
        </w:rPr>
        <w:t>.3 甲方有权要求乙方对缺陷部分予以修复，并按合同约定享有货物保修及其他合同约定的权利。</w:t>
      </w:r>
    </w:p>
    <w:p>
      <w:pPr>
        <w:snapToGrid w:val="0"/>
        <w:spacing w:line="400" w:lineRule="exact"/>
        <w:ind w:firstLine="420" w:firstLineChars="200"/>
        <w:rPr>
          <w:rFonts w:hint="eastAsia" w:ascii="宋体" w:hAnsi="宋体" w:eastAsia="宋体" w:cs="宋体"/>
          <w:highlight w:val="none"/>
          <w:lang w:val="en-US" w:eastAsia="zh-CN"/>
        </w:rPr>
      </w:pPr>
      <w:r>
        <w:rPr>
          <w:rFonts w:hint="eastAsia" w:ascii="宋体" w:hAnsi="宋体" w:eastAsia="宋体" w:cs="宋体"/>
          <w:color w:val="000000" w:themeColor="text1"/>
          <w:szCs w:val="21"/>
          <w:highlight w:val="none"/>
          <w:lang w:val="en-US" w:eastAsia="zh-CN"/>
        </w:rPr>
        <w:t>4.4 甲方应当按照合同约定及时对交付的货物进行验收，</w:t>
      </w:r>
      <w:r>
        <w:rPr>
          <w:rFonts w:hint="eastAsia" w:ascii="宋体" w:hAnsi="宋体" w:eastAsia="宋体" w:cs="宋体"/>
          <w:b w:val="0"/>
          <w:bCs w:val="0"/>
          <w:szCs w:val="21"/>
          <w:highlight w:val="none"/>
          <w:lang w:eastAsia="zh-CN"/>
        </w:rPr>
        <w:t>未</w:t>
      </w:r>
      <w:r>
        <w:rPr>
          <w:rFonts w:hint="eastAsia" w:ascii="宋体" w:hAnsi="宋体" w:eastAsia="宋体" w:cs="宋体"/>
          <w:color w:val="000000" w:themeColor="text1"/>
          <w:szCs w:val="21"/>
          <w:highlight w:val="none"/>
          <w:lang w:val="en-US" w:eastAsia="zh-CN"/>
        </w:rPr>
        <w:t>在</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s="宋体"/>
          <w:color w:val="000000" w:themeColor="text1"/>
          <w:szCs w:val="21"/>
          <w:highlight w:val="none"/>
          <w:lang w:val="en-US" w:eastAsia="zh-CN"/>
        </w:rPr>
        <w:t>视为验收通过。</w:t>
      </w:r>
    </w:p>
    <w:p>
      <w:pPr>
        <w:autoSpaceDE w:val="0"/>
        <w:autoSpaceDN w:val="0"/>
        <w:adjustRightInd w:val="0"/>
        <w:snapToGrid w:val="0"/>
        <w:spacing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4</w:t>
      </w: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5</w:t>
      </w:r>
      <w:r>
        <w:rPr>
          <w:rFonts w:hint="eastAsia" w:ascii="宋体" w:hAnsi="宋体" w:eastAsia="宋体" w:cs="宋体"/>
          <w:color w:val="000000" w:themeColor="text1"/>
          <w:szCs w:val="21"/>
          <w:highlight w:val="none"/>
        </w:rPr>
        <w:t xml:space="preserve"> 甲方应当根据合同约定</w:t>
      </w:r>
      <w:r>
        <w:rPr>
          <w:rFonts w:hint="eastAsia" w:ascii="宋体" w:hAnsi="宋体" w:eastAsia="宋体" w:cs="宋体"/>
          <w:color w:val="000000" w:themeColor="text1"/>
          <w:szCs w:val="21"/>
          <w:highlight w:val="none"/>
          <w:lang w:eastAsia="zh-CN"/>
        </w:rPr>
        <w:t>及</w:t>
      </w:r>
      <w:r>
        <w:rPr>
          <w:rFonts w:hint="eastAsia" w:ascii="宋体" w:hAnsi="宋体" w:eastAsia="宋体" w:cs="宋体"/>
          <w:color w:val="000000" w:themeColor="text1"/>
          <w:szCs w:val="21"/>
          <w:highlight w:val="none"/>
        </w:rPr>
        <w:t>时向乙方支付</w:t>
      </w:r>
      <w:r>
        <w:rPr>
          <w:rFonts w:hint="eastAsia" w:ascii="宋体" w:hAnsi="宋体" w:eastAsia="宋体" w:cs="宋体"/>
          <w:color w:val="000000" w:themeColor="text1"/>
          <w:szCs w:val="21"/>
          <w:highlight w:val="none"/>
          <w:lang w:eastAsia="zh-CN"/>
        </w:rPr>
        <w:t>合同价款，不得以内部人员变更、履行内部付款流程等为由，拒绝或迟延支付。</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4</w:t>
      </w: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6</w:t>
      </w:r>
      <w:r>
        <w:rPr>
          <w:rFonts w:hint="eastAsia" w:ascii="宋体" w:hAnsi="宋体" w:eastAsia="宋体" w:cs="宋体"/>
          <w:color w:val="000000" w:themeColor="text1"/>
          <w:szCs w:val="21"/>
          <w:highlight w:val="none"/>
        </w:rPr>
        <w:t xml:space="preserve"> 国家法律法规规定</w:t>
      </w:r>
      <w:r>
        <w:rPr>
          <w:rFonts w:hint="eastAsia" w:ascii="宋体" w:hAnsi="宋体" w:eastAsia="宋体" w:cs="宋体"/>
          <w:color w:val="000000" w:themeColor="text1"/>
          <w:szCs w:val="21"/>
          <w:highlight w:val="none"/>
          <w:lang w:eastAsia="zh-CN"/>
        </w:rPr>
        <w:t>应</w:t>
      </w:r>
      <w:r>
        <w:rPr>
          <w:rFonts w:hint="eastAsia" w:ascii="宋体" w:hAnsi="宋体" w:eastAsia="宋体" w:cs="宋体"/>
          <w:color w:val="000000" w:themeColor="text1"/>
          <w:szCs w:val="21"/>
          <w:highlight w:val="none"/>
        </w:rPr>
        <w:t>由甲方承担的其他义务和责任。</w:t>
      </w:r>
    </w:p>
    <w:p>
      <w:pPr>
        <w:autoSpaceDE w:val="0"/>
        <w:autoSpaceDN w:val="0"/>
        <w:adjustRightInd w:val="0"/>
        <w:snapToGrid w:val="0"/>
        <w:spacing w:before="0" w:line="400" w:lineRule="exact"/>
        <w:jc w:val="lef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eastAsia="zh-CN"/>
        </w:rPr>
        <w:t>5</w:t>
      </w:r>
      <w:r>
        <w:rPr>
          <w:rFonts w:hint="eastAsia" w:ascii="宋体" w:hAnsi="宋体" w:eastAsia="宋体" w:cs="宋体"/>
          <w:b/>
          <w:bCs/>
          <w:color w:val="000000" w:themeColor="text1"/>
          <w:sz w:val="24"/>
          <w:highlight w:val="none"/>
          <w:lang w:val="en-US" w:eastAsia="zh-CN"/>
        </w:rPr>
        <w:t xml:space="preserve">. </w:t>
      </w:r>
      <w:r>
        <w:rPr>
          <w:rFonts w:hint="eastAsia" w:ascii="宋体" w:hAnsi="宋体" w:eastAsia="宋体" w:cs="宋体"/>
          <w:b/>
          <w:bCs/>
          <w:color w:val="000000" w:themeColor="text1"/>
          <w:sz w:val="24"/>
          <w:highlight w:val="none"/>
        </w:rPr>
        <w:t>乙方的权利和义务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5</w:t>
      </w:r>
      <w:r>
        <w:rPr>
          <w:rFonts w:hint="eastAsia" w:ascii="宋体" w:hAnsi="宋体" w:eastAsia="宋体" w:cs="宋体"/>
          <w:color w:val="000000" w:themeColor="text1"/>
          <w:szCs w:val="21"/>
          <w:highlight w:val="none"/>
        </w:rPr>
        <w:t>.1 签署合同后，乙方</w:t>
      </w:r>
      <w:r>
        <w:rPr>
          <w:rFonts w:hint="eastAsia" w:ascii="宋体" w:hAnsi="宋体" w:eastAsia="宋体" w:cs="宋体"/>
          <w:color w:val="000000" w:themeColor="text1"/>
          <w:szCs w:val="21"/>
          <w:highlight w:val="none"/>
          <w:lang w:eastAsia="zh-CN"/>
        </w:rPr>
        <w:t>应</w:t>
      </w:r>
      <w:r>
        <w:rPr>
          <w:rFonts w:hint="eastAsia" w:ascii="宋体" w:hAnsi="宋体" w:eastAsia="宋体" w:cs="宋体"/>
          <w:color w:val="000000" w:themeColor="text1"/>
          <w:szCs w:val="21"/>
          <w:highlight w:val="none"/>
        </w:rPr>
        <w:t>确定</w:t>
      </w:r>
      <w:r>
        <w:rPr>
          <w:rFonts w:hint="eastAsia" w:ascii="宋体" w:hAnsi="宋体" w:eastAsia="宋体" w:cs="宋体"/>
          <w:color w:val="000000" w:themeColor="text1"/>
          <w:szCs w:val="21"/>
          <w:highlight w:val="none"/>
          <w:lang w:val="en-US" w:eastAsia="zh-CN"/>
        </w:rPr>
        <w:t>项目负责人（或项目联系人）</w:t>
      </w:r>
      <w:r>
        <w:rPr>
          <w:rFonts w:hint="eastAsia" w:ascii="宋体" w:hAnsi="宋体" w:eastAsia="宋体" w:cs="宋体"/>
          <w:color w:val="000000" w:themeColor="text1"/>
          <w:szCs w:val="21"/>
          <w:highlight w:val="none"/>
        </w:rPr>
        <w:t>，负责与本合同有关的事务。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5</w:t>
      </w:r>
      <w:r>
        <w:rPr>
          <w:rFonts w:hint="eastAsia" w:ascii="宋体" w:hAnsi="宋体" w:eastAsia="宋体" w:cs="宋体"/>
          <w:color w:val="000000" w:themeColor="text1"/>
          <w:szCs w:val="21"/>
          <w:highlight w:val="none"/>
        </w:rPr>
        <w:t>.2 乙方应按照合同要求履约，充分合理安排，确保提供的货物</w:t>
      </w:r>
      <w:r>
        <w:rPr>
          <w:rFonts w:hint="eastAsia" w:ascii="宋体" w:hAnsi="宋体" w:eastAsia="宋体" w:cs="宋体"/>
          <w:color w:val="000000" w:themeColor="text1"/>
          <w:szCs w:val="21"/>
          <w:highlight w:val="none"/>
          <w:lang w:eastAsia="zh-CN"/>
        </w:rPr>
        <w:t>及相关</w:t>
      </w:r>
      <w:r>
        <w:rPr>
          <w:rFonts w:hint="eastAsia" w:ascii="宋体" w:hAnsi="宋体" w:eastAsia="宋体" w:cs="宋体"/>
          <w:color w:val="000000" w:themeColor="text1"/>
          <w:szCs w:val="21"/>
          <w:highlight w:val="none"/>
        </w:rPr>
        <w:t>服务符合合同</w:t>
      </w:r>
      <w:r>
        <w:rPr>
          <w:rFonts w:hint="eastAsia" w:ascii="宋体" w:hAnsi="宋体" w:eastAsia="宋体" w:cs="宋体"/>
          <w:color w:val="000000" w:themeColor="text1"/>
          <w:szCs w:val="21"/>
          <w:highlight w:val="none"/>
          <w:lang w:eastAsia="zh-CN"/>
        </w:rPr>
        <w:t>有关</w:t>
      </w:r>
      <w:r>
        <w:rPr>
          <w:rFonts w:hint="eastAsia" w:ascii="宋体" w:hAnsi="宋体" w:eastAsia="宋体" w:cs="宋体"/>
          <w:color w:val="000000" w:themeColor="text1"/>
          <w:szCs w:val="21"/>
          <w:highlight w:val="none"/>
        </w:rPr>
        <w:t>要求。接受项目行业管理部门及政府有关部门的指导，配合甲方的履约检查</w:t>
      </w:r>
      <w:r>
        <w:rPr>
          <w:rFonts w:hint="eastAsia" w:ascii="宋体" w:hAnsi="宋体" w:eastAsia="宋体" w:cs="宋体"/>
          <w:color w:val="000000" w:themeColor="text1"/>
          <w:szCs w:val="21"/>
          <w:highlight w:val="none"/>
          <w:lang w:eastAsia="zh-CN"/>
        </w:rPr>
        <w:t>及验收</w:t>
      </w:r>
      <w:r>
        <w:rPr>
          <w:rFonts w:hint="eastAsia" w:ascii="宋体" w:hAnsi="宋体" w:eastAsia="宋体" w:cs="宋体"/>
          <w:color w:val="000000" w:themeColor="text1"/>
          <w:szCs w:val="21"/>
          <w:highlight w:val="none"/>
        </w:rPr>
        <w:t>，并负责项目实施过程中的所有协调工作。</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5</w:t>
      </w:r>
      <w:r>
        <w:rPr>
          <w:rFonts w:hint="eastAsia" w:ascii="宋体" w:hAnsi="宋体" w:eastAsia="宋体" w:cs="宋体"/>
          <w:color w:val="000000" w:themeColor="text1"/>
          <w:szCs w:val="21"/>
          <w:highlight w:val="none"/>
        </w:rPr>
        <w:t>.3乙方有权根据合同约定向甲方收取</w:t>
      </w:r>
      <w:r>
        <w:rPr>
          <w:rFonts w:hint="eastAsia" w:ascii="宋体" w:hAnsi="宋体" w:eastAsia="宋体" w:cs="宋体"/>
          <w:color w:val="000000" w:themeColor="text1"/>
          <w:szCs w:val="21"/>
          <w:highlight w:val="none"/>
          <w:lang w:eastAsia="zh-CN"/>
        </w:rPr>
        <w:t>合同价款</w:t>
      </w:r>
      <w:r>
        <w:rPr>
          <w:rFonts w:hint="eastAsia" w:ascii="宋体" w:hAnsi="宋体" w:eastAsia="宋体" w:cs="宋体"/>
          <w:color w:val="000000" w:themeColor="text1"/>
          <w:szCs w:val="21"/>
          <w:highlight w:val="none"/>
        </w:rPr>
        <w:t>。</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5</w:t>
      </w:r>
      <w:r>
        <w:rPr>
          <w:rFonts w:hint="eastAsia" w:ascii="宋体" w:hAnsi="宋体" w:eastAsia="宋体" w:cs="宋体"/>
          <w:color w:val="000000" w:themeColor="text1"/>
          <w:szCs w:val="21"/>
          <w:highlight w:val="none"/>
        </w:rPr>
        <w:t>.4国家法律法规规定</w:t>
      </w:r>
      <w:r>
        <w:rPr>
          <w:rFonts w:hint="eastAsia" w:ascii="宋体" w:hAnsi="宋体" w:eastAsia="宋体" w:cs="宋体"/>
          <w:color w:val="000000" w:themeColor="text1"/>
          <w:szCs w:val="21"/>
          <w:highlight w:val="none"/>
          <w:lang w:eastAsia="zh-CN"/>
        </w:rPr>
        <w:t>应</w:t>
      </w:r>
      <w:r>
        <w:rPr>
          <w:rFonts w:hint="eastAsia" w:ascii="宋体" w:hAnsi="宋体" w:eastAsia="宋体" w:cs="宋体"/>
          <w:color w:val="000000" w:themeColor="text1"/>
          <w:szCs w:val="21"/>
          <w:highlight w:val="none"/>
        </w:rPr>
        <w:t>由乙方承担的其他义务和责任。</w:t>
      </w:r>
    </w:p>
    <w:p>
      <w:pPr>
        <w:numPr>
          <w:ilvl w:val="0"/>
          <w:numId w:val="13"/>
        </w:numPr>
        <w:autoSpaceDE w:val="0"/>
        <w:autoSpaceDN w:val="0"/>
        <w:adjustRightInd w:val="0"/>
        <w:snapToGrid w:val="0"/>
        <w:spacing w:before="0" w:line="400" w:lineRule="exact"/>
        <w:jc w:val="lef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合同履</w:t>
      </w:r>
      <w:r>
        <w:rPr>
          <w:rFonts w:hint="eastAsia" w:ascii="宋体" w:hAnsi="宋体" w:eastAsia="宋体" w:cs="宋体"/>
          <w:b/>
          <w:bCs/>
          <w:color w:val="000000" w:themeColor="text1"/>
          <w:sz w:val="24"/>
          <w:highlight w:val="none"/>
          <w:lang w:val="en-US" w:eastAsia="zh-CN"/>
        </w:rPr>
        <w:t>行</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6</w:t>
      </w:r>
      <w:r>
        <w:rPr>
          <w:rFonts w:hint="eastAsia" w:ascii="宋体" w:hAnsi="宋体" w:eastAsia="宋体" w:cs="宋体"/>
          <w:color w:val="000000" w:themeColor="text1"/>
          <w:szCs w:val="21"/>
          <w:highlight w:val="none"/>
        </w:rPr>
        <w:t>.1 甲乙双方应当按照约定顺序履行合同义务；如果没有先后顺序的，应当同时履行。</w:t>
      </w:r>
    </w:p>
    <w:p>
      <w:pPr>
        <w:autoSpaceDE w:val="0"/>
        <w:autoSpaceDN w:val="0"/>
        <w:adjustRightInd w:val="0"/>
        <w:snapToGrid w:val="0"/>
        <w:spacing w:before="0" w:line="400" w:lineRule="exact"/>
        <w:ind w:firstLine="420" w:firstLineChars="200"/>
        <w:jc w:val="left"/>
        <w:rPr>
          <w:rFonts w:hint="eastAsia" w:ascii="宋体" w:hAnsi="宋体" w:eastAsia="宋体" w:cs="宋体"/>
          <w:highlight w:val="none"/>
        </w:rPr>
      </w:pPr>
      <w:r>
        <w:rPr>
          <w:rFonts w:hint="eastAsia" w:ascii="宋体" w:hAnsi="宋体" w:eastAsia="宋体" w:cs="宋体"/>
          <w:color w:val="000000" w:themeColor="text1"/>
          <w:szCs w:val="21"/>
          <w:highlight w:val="none"/>
          <w:lang w:eastAsia="zh-CN"/>
        </w:rPr>
        <w:t>6</w:t>
      </w:r>
      <w:r>
        <w:rPr>
          <w:rFonts w:hint="eastAsia" w:ascii="宋体" w:hAnsi="宋体" w:eastAsia="宋体" w:cs="宋体"/>
          <w:color w:val="000000" w:themeColor="text1"/>
          <w:szCs w:val="21"/>
          <w:highlight w:val="none"/>
        </w:rPr>
        <w:t>.2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before="0" w:line="400" w:lineRule="exact"/>
        <w:jc w:val="lef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eastAsia="zh-CN"/>
        </w:rPr>
        <w:t>7</w:t>
      </w:r>
      <w:r>
        <w:rPr>
          <w:rFonts w:hint="eastAsia" w:ascii="宋体" w:hAnsi="宋体" w:eastAsia="宋体" w:cs="宋体"/>
          <w:b/>
          <w:bCs/>
          <w:color w:val="000000" w:themeColor="text1"/>
          <w:sz w:val="24"/>
          <w:highlight w:val="none"/>
          <w:lang w:val="en-US" w:eastAsia="zh-CN"/>
        </w:rPr>
        <w:t xml:space="preserve">. </w:t>
      </w:r>
      <w:r>
        <w:rPr>
          <w:rFonts w:hint="eastAsia" w:ascii="宋体" w:hAnsi="宋体" w:eastAsia="宋体" w:cs="宋体"/>
          <w:b/>
          <w:bCs/>
          <w:color w:val="000000" w:themeColor="text1"/>
          <w:sz w:val="24"/>
          <w:highlight w:val="none"/>
        </w:rPr>
        <w:t>货物包装、运输</w:t>
      </w:r>
      <w:r>
        <w:rPr>
          <w:rFonts w:hint="eastAsia" w:ascii="宋体" w:hAnsi="宋体" w:eastAsia="宋体" w:cs="宋体"/>
          <w:b/>
          <w:bCs/>
          <w:color w:val="000000" w:themeColor="text1"/>
          <w:sz w:val="24"/>
          <w:highlight w:val="none"/>
          <w:lang w:eastAsia="zh-CN"/>
        </w:rPr>
        <w:t>、</w:t>
      </w:r>
      <w:r>
        <w:rPr>
          <w:rFonts w:hint="eastAsia" w:ascii="宋体" w:hAnsi="宋体" w:eastAsia="宋体" w:cs="宋体"/>
          <w:b/>
          <w:bCs/>
          <w:color w:val="000000" w:themeColor="text1"/>
          <w:sz w:val="24"/>
          <w:highlight w:val="none"/>
        </w:rPr>
        <w:t>保险</w:t>
      </w:r>
      <w:r>
        <w:rPr>
          <w:rFonts w:hint="eastAsia" w:ascii="宋体" w:hAnsi="宋体" w:eastAsia="宋体" w:cs="宋体"/>
          <w:b/>
          <w:bCs/>
          <w:color w:val="000000" w:themeColor="text1"/>
          <w:sz w:val="24"/>
          <w:highlight w:val="none"/>
          <w:lang w:eastAsia="zh-CN"/>
        </w:rPr>
        <w:t>和交付</w:t>
      </w:r>
      <w:r>
        <w:rPr>
          <w:rFonts w:hint="eastAsia" w:ascii="宋体" w:hAnsi="宋体" w:eastAsia="宋体" w:cs="宋体"/>
          <w:b/>
          <w:bCs/>
          <w:color w:val="000000" w:themeColor="text1"/>
          <w:sz w:val="24"/>
          <w:highlight w:val="none"/>
        </w:rPr>
        <w:t>要求</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7</w:t>
      </w:r>
      <w:r>
        <w:rPr>
          <w:rFonts w:hint="eastAsia" w:ascii="宋体" w:hAnsi="宋体" w:eastAsia="宋体" w:cs="宋体"/>
          <w:color w:val="000000" w:themeColor="text1"/>
          <w:szCs w:val="21"/>
          <w:highlight w:val="none"/>
        </w:rPr>
        <w:t>.1 本合同</w:t>
      </w:r>
      <w:r>
        <w:rPr>
          <w:rFonts w:hint="eastAsia" w:ascii="宋体" w:hAnsi="宋体" w:eastAsia="宋体" w:cs="宋体"/>
          <w:bCs/>
          <w:color w:val="000000" w:themeColor="text1"/>
          <w:szCs w:val="21"/>
          <w:highlight w:val="none"/>
        </w:rPr>
        <w:t>涉及商品包装</w:t>
      </w:r>
      <w:r>
        <w:rPr>
          <w:rFonts w:hint="eastAsia" w:ascii="宋体" w:hAnsi="宋体" w:eastAsia="宋体" w:cs="宋体"/>
          <w:bCs/>
          <w:color w:val="000000" w:themeColor="text1"/>
          <w:szCs w:val="21"/>
          <w:highlight w:val="none"/>
          <w:lang w:eastAsia="zh-CN"/>
        </w:rPr>
        <w:t>、</w:t>
      </w:r>
      <w:r>
        <w:rPr>
          <w:rFonts w:hint="eastAsia" w:ascii="宋体" w:hAnsi="宋体" w:eastAsia="宋体" w:cs="宋体"/>
          <w:bCs/>
          <w:color w:val="000000" w:themeColor="text1"/>
          <w:szCs w:val="21"/>
          <w:highlight w:val="none"/>
        </w:rPr>
        <w:t>快递包装的，</w:t>
      </w:r>
      <w:r>
        <w:rPr>
          <w:rFonts w:hint="eastAsia" w:ascii="宋体" w:hAnsi="宋体" w:eastAsia="宋体" w:cs="宋体"/>
          <w:color w:val="000000" w:themeColor="text1"/>
          <w:szCs w:val="21"/>
          <w:highlight w:val="none"/>
        </w:rPr>
        <w:t>除</w:t>
      </w:r>
      <w:r>
        <w:rPr>
          <w:rFonts w:hint="eastAsia" w:ascii="宋体" w:hAnsi="宋体" w:eastAsia="宋体" w:cs="宋体"/>
          <w:bCs/>
          <w:color w:val="000000" w:themeColor="text1"/>
          <w:szCs w:val="21"/>
          <w:highlight w:val="none"/>
        </w:rPr>
        <w:t>另有</w:t>
      </w:r>
      <w:r>
        <w:rPr>
          <w:rFonts w:hint="eastAsia" w:ascii="宋体" w:hAnsi="宋体" w:eastAsia="宋体" w:cs="宋体"/>
          <w:bCs/>
          <w:color w:val="000000" w:themeColor="text1"/>
          <w:szCs w:val="21"/>
          <w:highlight w:val="none"/>
          <w:lang w:eastAsia="zh-CN"/>
        </w:rPr>
        <w:t>约</w:t>
      </w:r>
      <w:r>
        <w:rPr>
          <w:rFonts w:hint="eastAsia" w:ascii="宋体" w:hAnsi="宋体" w:eastAsia="宋体" w:cs="宋体"/>
          <w:bCs/>
          <w:color w:val="000000" w:themeColor="text1"/>
          <w:szCs w:val="21"/>
          <w:highlight w:val="none"/>
        </w:rPr>
        <w:t>定</w:t>
      </w:r>
      <w:r>
        <w:rPr>
          <w:rFonts w:hint="eastAsia" w:ascii="宋体" w:hAnsi="宋体" w:eastAsia="宋体" w:cs="宋体"/>
          <w:bCs/>
          <w:color w:val="000000" w:themeColor="text1"/>
          <w:szCs w:val="21"/>
          <w:highlight w:val="none"/>
          <w:lang w:eastAsia="zh-CN"/>
        </w:rPr>
        <w:t>外</w:t>
      </w:r>
      <w:r>
        <w:rPr>
          <w:rFonts w:hint="eastAsia" w:ascii="宋体" w:hAnsi="宋体" w:eastAsia="宋体" w:cs="宋体"/>
          <w:bCs/>
          <w:color w:val="000000" w:themeColor="text1"/>
          <w:szCs w:val="21"/>
          <w:highlight w:val="none"/>
        </w:rPr>
        <w:t>，</w:t>
      </w:r>
      <w:r>
        <w:rPr>
          <w:rFonts w:hint="eastAsia" w:ascii="宋体" w:hAnsi="宋体" w:eastAsia="宋体" w:cs="宋体"/>
          <w:color w:val="000000" w:themeColor="text1"/>
          <w:szCs w:val="21"/>
          <w:highlight w:val="none"/>
        </w:rPr>
        <w:t>包装应适应远距离运输、防潮、防震、防锈和防野蛮装卸等要求，确保货物安全无损地运抵</w:t>
      </w:r>
      <w:r>
        <w:rPr>
          <w:rFonts w:hint="eastAsia" w:ascii="宋体" w:hAnsi="宋体" w:eastAsia="宋体" w:cs="宋体"/>
          <w:b w:val="0"/>
          <w:bCs/>
          <w:color w:val="000000" w:themeColor="text1"/>
          <w:szCs w:val="21"/>
          <w:highlight w:val="none"/>
          <w:lang w:eastAsia="zh-CN"/>
        </w:rPr>
        <w:t>约定的</w:t>
      </w:r>
      <w:r>
        <w:rPr>
          <w:rFonts w:hint="eastAsia" w:ascii="宋体" w:hAnsi="宋体" w:eastAsia="宋体" w:cs="宋体"/>
          <w:color w:val="000000" w:themeColor="text1"/>
          <w:szCs w:val="21"/>
          <w:highlight w:val="none"/>
        </w:rPr>
        <w:t>指定现场。</w:t>
      </w:r>
    </w:p>
    <w:p>
      <w:pPr>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7</w:t>
      </w:r>
      <w:r>
        <w:rPr>
          <w:rFonts w:hint="eastAsia" w:ascii="宋体" w:hAnsi="宋体" w:eastAsia="宋体" w:cs="宋体"/>
          <w:color w:val="000000" w:themeColor="text1"/>
          <w:szCs w:val="21"/>
          <w:highlight w:val="none"/>
        </w:rPr>
        <w:t>.2 乙方负责办理将货物运抵本合同规定的交货地点</w:t>
      </w:r>
      <w:r>
        <w:rPr>
          <w:rFonts w:hint="eastAsia" w:ascii="宋体" w:hAnsi="宋体" w:eastAsia="宋体" w:cs="宋体"/>
          <w:color w:val="000000" w:themeColor="text1"/>
          <w:szCs w:val="21"/>
          <w:highlight w:val="none"/>
          <w:lang w:eastAsia="zh-CN"/>
        </w:rPr>
        <w:t>，并装卸、交付至甲方</w:t>
      </w:r>
      <w:r>
        <w:rPr>
          <w:rFonts w:hint="eastAsia" w:ascii="宋体" w:hAnsi="宋体" w:eastAsia="宋体" w:cs="宋体"/>
          <w:color w:val="000000" w:themeColor="text1"/>
          <w:szCs w:val="21"/>
          <w:highlight w:val="none"/>
        </w:rPr>
        <w:t>的一切运输事项，相关费用应</w:t>
      </w:r>
      <w:r>
        <w:rPr>
          <w:rFonts w:hint="eastAsia" w:ascii="宋体" w:hAnsi="宋体" w:eastAsia="宋体" w:cs="宋体"/>
          <w:color w:val="000000" w:themeColor="text1"/>
          <w:szCs w:val="21"/>
          <w:highlight w:val="none"/>
          <w:lang w:eastAsia="zh-CN"/>
        </w:rPr>
        <w:t>包含</w:t>
      </w:r>
      <w:r>
        <w:rPr>
          <w:rFonts w:hint="eastAsia" w:ascii="宋体" w:hAnsi="宋体" w:eastAsia="宋体" w:cs="宋体"/>
          <w:color w:val="000000" w:themeColor="text1"/>
          <w:szCs w:val="21"/>
          <w:highlight w:val="none"/>
        </w:rPr>
        <w:t>在合同</w:t>
      </w:r>
      <w:r>
        <w:rPr>
          <w:rFonts w:hint="eastAsia" w:ascii="宋体" w:hAnsi="宋体" w:eastAsia="宋体" w:cs="宋体"/>
          <w:color w:val="000000" w:themeColor="text1"/>
          <w:szCs w:val="21"/>
          <w:highlight w:val="none"/>
          <w:lang w:eastAsia="zh-CN"/>
        </w:rPr>
        <w:t>价款</w:t>
      </w:r>
      <w:r>
        <w:rPr>
          <w:rFonts w:hint="eastAsia" w:ascii="宋体" w:hAnsi="宋体" w:eastAsia="宋体" w:cs="宋体"/>
          <w:color w:val="000000" w:themeColor="text1"/>
          <w:szCs w:val="21"/>
          <w:highlight w:val="none"/>
        </w:rPr>
        <w:t>中。</w:t>
      </w:r>
    </w:p>
    <w:p>
      <w:pPr>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7</w:t>
      </w:r>
      <w:r>
        <w:rPr>
          <w:rFonts w:hint="eastAsia" w:ascii="宋体" w:hAnsi="宋体" w:eastAsia="宋体" w:cs="宋体"/>
          <w:color w:val="000000" w:themeColor="text1"/>
          <w:szCs w:val="21"/>
          <w:highlight w:val="none"/>
        </w:rPr>
        <w:t>.3 货物保险要求按</w:t>
      </w:r>
      <w:r>
        <w:rPr>
          <w:rFonts w:hint="eastAsia" w:ascii="宋体" w:hAnsi="宋体" w:eastAsia="宋体" w:cs="宋体"/>
          <w:bCs/>
          <w:color w:val="000000" w:themeColor="text1"/>
          <w:szCs w:val="21"/>
          <w:highlight w:val="none"/>
        </w:rPr>
        <w:t>规定执行</w:t>
      </w:r>
      <w:r>
        <w:rPr>
          <w:rFonts w:hint="eastAsia" w:ascii="宋体" w:hAnsi="宋体" w:eastAsia="宋体" w:cs="宋体"/>
          <w:color w:val="000000" w:themeColor="text1"/>
          <w:szCs w:val="21"/>
          <w:highlight w:val="none"/>
        </w:rPr>
        <w:t>。</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7</w:t>
      </w:r>
      <w:r>
        <w:rPr>
          <w:rFonts w:hint="eastAsia" w:ascii="宋体" w:hAnsi="宋体" w:eastAsia="宋体" w:cs="宋体"/>
          <w:color w:val="000000" w:themeColor="text1"/>
          <w:szCs w:val="21"/>
          <w:highlight w:val="none"/>
        </w:rPr>
        <w:t xml:space="preserve">.4 </w:t>
      </w:r>
      <w:r>
        <w:rPr>
          <w:rFonts w:hint="eastAsia" w:ascii="宋体" w:hAnsi="宋体" w:eastAsia="宋体" w:cs="宋体"/>
          <w:color w:val="000000" w:themeColor="text1"/>
          <w:szCs w:val="21"/>
          <w:highlight w:val="none"/>
          <w:lang w:val="en-US" w:eastAsia="zh-CN"/>
        </w:rPr>
        <w:t>除采购活动</w:t>
      </w:r>
      <w:r>
        <w:rPr>
          <w:rFonts w:hint="eastAsia" w:ascii="宋体" w:hAnsi="宋体" w:eastAsia="宋体" w:cs="宋体"/>
          <w:color w:val="000000" w:themeColor="text1"/>
          <w:szCs w:val="21"/>
          <w:highlight w:val="none"/>
        </w:rPr>
        <w:t>对商品包装</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快递包装</w:t>
      </w:r>
      <w:r>
        <w:rPr>
          <w:rFonts w:hint="eastAsia" w:ascii="宋体" w:hAnsi="宋体" w:eastAsia="宋体" w:cs="宋体"/>
          <w:color w:val="000000" w:themeColor="text1"/>
          <w:szCs w:val="21"/>
          <w:highlight w:val="none"/>
          <w:lang w:val="en-US" w:eastAsia="zh-CN"/>
        </w:rPr>
        <w:t>达成具体约定外</w:t>
      </w:r>
      <w:r>
        <w:rPr>
          <w:rFonts w:hint="eastAsia" w:ascii="宋体" w:hAnsi="宋体" w:eastAsia="宋体" w:cs="宋体"/>
          <w:color w:val="000000" w:themeColor="text1"/>
          <w:szCs w:val="21"/>
          <w:highlight w:val="none"/>
        </w:rPr>
        <w:t>，乙方提供产品及相关快递服务</w:t>
      </w:r>
      <w:r>
        <w:rPr>
          <w:rFonts w:hint="eastAsia" w:ascii="宋体" w:hAnsi="宋体" w:eastAsia="宋体" w:cs="宋体"/>
          <w:color w:val="000000" w:themeColor="text1"/>
          <w:szCs w:val="21"/>
          <w:highlight w:val="none"/>
          <w:lang w:val="en-US" w:eastAsia="zh-CN"/>
        </w:rPr>
        <w:t>涉及到</w:t>
      </w:r>
      <w:r>
        <w:rPr>
          <w:rFonts w:hint="eastAsia" w:ascii="宋体" w:hAnsi="宋体" w:eastAsia="宋体" w:cs="宋体"/>
          <w:color w:val="000000" w:themeColor="text1"/>
          <w:szCs w:val="21"/>
          <w:highlight w:val="none"/>
        </w:rPr>
        <w:t>具体包装要求</w:t>
      </w:r>
      <w:r>
        <w:rPr>
          <w:rFonts w:hint="eastAsia" w:ascii="宋体" w:hAnsi="宋体" w:eastAsia="宋体" w:cs="宋体"/>
          <w:color w:val="000000" w:themeColor="text1"/>
          <w:szCs w:val="21"/>
          <w:highlight w:val="none"/>
          <w:lang w:val="en-US" w:eastAsia="zh-CN"/>
        </w:rPr>
        <w:t>的，</w:t>
      </w:r>
      <w:r>
        <w:rPr>
          <w:rFonts w:hint="eastAsia" w:ascii="宋体" w:hAnsi="宋体" w:eastAsia="宋体" w:cs="宋体"/>
          <w:color w:val="000000" w:themeColor="text1"/>
          <w:szCs w:val="21"/>
          <w:highlight w:val="none"/>
        </w:rPr>
        <w:t>应</w:t>
      </w:r>
      <w:r>
        <w:rPr>
          <w:rFonts w:hint="eastAsia" w:ascii="宋体" w:hAnsi="宋体" w:eastAsia="宋体" w:cs="宋体"/>
          <w:color w:val="000000" w:themeColor="text1"/>
          <w:szCs w:val="21"/>
          <w:highlight w:val="none"/>
          <w:lang w:val="en-US" w:eastAsia="zh-CN"/>
        </w:rPr>
        <w:t>不低于</w:t>
      </w:r>
      <w:r>
        <w:rPr>
          <w:rFonts w:hint="eastAsia" w:ascii="宋体" w:hAnsi="宋体" w:eastAsia="宋体" w:cs="宋体"/>
          <w:color w:val="000000" w:themeColor="text1"/>
          <w:szCs w:val="21"/>
          <w:highlight w:val="none"/>
        </w:rPr>
        <w:t>《商品包装政府采购需求标准（试行）</w:t>
      </w:r>
      <w:r>
        <w:rPr>
          <w:rFonts w:hint="eastAsia" w:ascii="宋体" w:hAnsi="宋体" w:eastAsia="宋体" w:cs="宋体"/>
          <w:color w:val="000000" w:themeColor="text1"/>
          <w:szCs w:val="21"/>
          <w:highlight w:val="none"/>
          <w:lang w:eastAsia="zh-CN"/>
        </w:rPr>
        <w:t>》《</w:t>
      </w:r>
      <w:r>
        <w:rPr>
          <w:rFonts w:hint="eastAsia" w:ascii="宋体" w:hAnsi="宋体" w:eastAsia="宋体" w:cs="宋体"/>
          <w:color w:val="000000" w:themeColor="text1"/>
          <w:szCs w:val="21"/>
          <w:highlight w:val="none"/>
        </w:rPr>
        <w:t>快递包装政府采购需求标准（试行）》</w:t>
      </w:r>
      <w:r>
        <w:rPr>
          <w:rFonts w:hint="eastAsia" w:ascii="宋体" w:hAnsi="宋体" w:eastAsia="宋体" w:cs="宋体"/>
          <w:color w:val="000000" w:themeColor="text1"/>
          <w:szCs w:val="21"/>
          <w:highlight w:val="none"/>
          <w:lang w:val="en-US" w:eastAsia="zh-CN"/>
        </w:rPr>
        <w:t>标准</w:t>
      </w:r>
      <w:r>
        <w:rPr>
          <w:rFonts w:hint="eastAsia" w:ascii="宋体" w:hAnsi="宋体" w:eastAsia="宋体" w:cs="宋体"/>
          <w:color w:val="000000" w:themeColor="text1"/>
          <w:szCs w:val="21"/>
          <w:highlight w:val="none"/>
        </w:rPr>
        <w:t>，并作为履约验收的内容，必要时甲方可以要求乙方在履约验收环节出具检测报告。</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7.5 </w:t>
      </w:r>
      <w:r>
        <w:rPr>
          <w:rFonts w:hint="eastAsia" w:ascii="宋体" w:hAnsi="宋体" w:eastAsia="宋体" w:cs="宋体"/>
          <w:color w:val="000000" w:themeColor="text1"/>
          <w:szCs w:val="21"/>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乙方承担责任。</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7.6 </w:t>
      </w:r>
      <w:r>
        <w:rPr>
          <w:rFonts w:hint="eastAsia" w:ascii="宋体" w:hAnsi="宋体" w:eastAsia="宋体" w:cs="宋体"/>
          <w:color w:val="000000" w:themeColor="text1"/>
          <w:szCs w:val="21"/>
          <w:highlight w:val="none"/>
        </w:rPr>
        <w:t>包装物处理：不回收。</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7.7 </w:t>
      </w:r>
      <w:r>
        <w:rPr>
          <w:rFonts w:hint="eastAsia" w:ascii="宋体" w:hAnsi="宋体" w:eastAsia="宋体" w:cs="宋体"/>
          <w:color w:val="000000"/>
          <w:szCs w:val="21"/>
          <w:highlight w:val="none"/>
        </w:rPr>
        <w:t>乙方在运输到达之前</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提前通知</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，提示货物运输装卸的注意事项</w:t>
      </w:r>
      <w:r>
        <w:rPr>
          <w:rFonts w:hint="eastAsia" w:ascii="宋体" w:hAnsi="宋体" w:eastAsia="宋体" w:cs="宋体"/>
          <w:color w:val="000000"/>
          <w:szCs w:val="21"/>
          <w:highlight w:val="none"/>
          <w:lang w:val="en-US" w:eastAsia="zh-CN"/>
        </w:rPr>
        <w:t>并无偿提供合同内全部货物的中文使用说明书，说明书包括产品的功能、使用方法、技术参数、常见问题解决办法及产品序列号、型号、版本号以及配合使用的主要设备品牌、型号和版本等信息</w:t>
      </w:r>
      <w:r>
        <w:rPr>
          <w:rFonts w:hint="eastAsia" w:ascii="宋体" w:hAnsi="宋体" w:eastAsia="宋体" w:cs="宋体"/>
          <w:color w:val="000000"/>
          <w:szCs w:val="21"/>
          <w:highlight w:val="none"/>
          <w:lang w:eastAsia="zh-CN"/>
        </w:rPr>
        <w:t>，甲方配合乙方做好货物的接收工作。</w:t>
      </w:r>
    </w:p>
    <w:p>
      <w:pPr>
        <w:pStyle w:val="220"/>
        <w:rPr>
          <w:rFonts w:hint="eastAsia" w:ascii="宋体" w:hAnsi="宋体" w:eastAsia="宋体" w:cs="宋体"/>
          <w:sz w:val="21"/>
          <w:highlight w:val="none"/>
          <w:lang w:val="en-US" w:eastAsia="zh-CN"/>
        </w:rPr>
      </w:pPr>
      <w:r>
        <w:rPr>
          <w:rFonts w:hint="eastAsia" w:ascii="宋体" w:hAnsi="宋体" w:eastAsia="宋体" w:cs="宋体"/>
          <w:color w:val="000000" w:themeColor="text1"/>
          <w:kern w:val="2"/>
          <w:sz w:val="21"/>
          <w:szCs w:val="21"/>
          <w:highlight w:val="none"/>
          <w:lang w:val="en-US" w:eastAsia="zh-CN"/>
        </w:rPr>
        <w:t xml:space="preserve">7.8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themeColor="text1"/>
          <w:kern w:val="2"/>
          <w:sz w:val="21"/>
          <w:szCs w:val="21"/>
          <w:highlight w:val="none"/>
          <w:lang w:eastAsia="zh-CN"/>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pPr>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rPr>
        <w:t>8</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auto"/>
          <w:sz w:val="24"/>
          <w:highlight w:val="none"/>
        </w:rPr>
        <w:t>质量标准和保证</w:t>
      </w:r>
    </w:p>
    <w:p>
      <w:pPr>
        <w:pStyle w:val="22"/>
        <w:adjustRightInd w:val="0"/>
        <w:snapToGrid w:val="0"/>
        <w:spacing w:before="0" w:line="400" w:lineRule="exact"/>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w:t>
      </w:r>
      <w:r>
        <w:rPr>
          <w:rFonts w:hint="eastAsia" w:ascii="宋体" w:hAnsi="宋体" w:eastAsia="宋体" w:cs="宋体"/>
          <w:color w:val="000000"/>
          <w:szCs w:val="21"/>
          <w:highlight w:val="none"/>
          <w:lang w:eastAsia="zh-CN"/>
        </w:rPr>
        <w:t>约</w:t>
      </w:r>
      <w:r>
        <w:rPr>
          <w:rFonts w:hint="eastAsia" w:ascii="宋体" w:hAnsi="宋体" w:eastAsia="宋体" w:cs="宋体"/>
          <w:color w:val="000000"/>
          <w:szCs w:val="21"/>
          <w:highlight w:val="none"/>
        </w:rPr>
        <w:t>定的</w:t>
      </w:r>
      <w:r>
        <w:rPr>
          <w:rFonts w:hint="eastAsia" w:ascii="宋体" w:hAnsi="宋体" w:eastAsia="宋体" w:cs="宋体"/>
          <w:szCs w:val="21"/>
          <w:highlight w:val="none"/>
        </w:rPr>
        <w:t>品牌、规格型号、技术性能、配置、质量、数量等要求。</w:t>
      </w:r>
      <w:r>
        <w:rPr>
          <w:rFonts w:hint="eastAsia" w:ascii="宋体" w:hAnsi="宋体" w:eastAsia="宋体" w:cs="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pPr>
        <w:pStyle w:val="22"/>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highlight w:val="none"/>
        </w:rPr>
        <w:t>在其使用寿命期内具</w:t>
      </w:r>
      <w:r>
        <w:rPr>
          <w:rFonts w:hint="eastAsia" w:ascii="宋体" w:hAnsi="宋体" w:eastAsia="宋体" w:cs="宋体"/>
          <w:szCs w:val="21"/>
          <w:highlight w:val="none"/>
          <w:lang w:eastAsia="zh-CN"/>
        </w:rPr>
        <w:t>备合同约定</w:t>
      </w:r>
      <w:r>
        <w:rPr>
          <w:rFonts w:hint="eastAsia" w:ascii="宋体" w:hAnsi="宋体" w:eastAsia="宋体" w:cs="宋体"/>
          <w:szCs w:val="21"/>
          <w:highlight w:val="none"/>
        </w:rPr>
        <w:t>的性能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应在规定的响应时间内以合理的速度免费维修或更换有缺陷的货物或部件。</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000000" w:themeColor="text1"/>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000000" w:themeColor="text1"/>
          <w:szCs w:val="21"/>
          <w:highlight w:val="none"/>
          <w:lang w:eastAsia="zh-CN"/>
        </w:rPr>
        <w:t>的违约责任</w:t>
      </w:r>
      <w:r>
        <w:rPr>
          <w:rFonts w:hint="eastAsia" w:ascii="宋体" w:hAnsi="宋体" w:eastAsia="宋体" w:cs="宋体"/>
          <w:color w:val="auto"/>
          <w:szCs w:val="21"/>
          <w:highlight w:val="none"/>
        </w:rPr>
        <w:t>。</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在装备质保期内，乙方应当对由于设计、工艺、材料和配件的缺陷所产生的不足或故障负责，并承担由此给甲方造成的相应损失。</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验收时，如发现乙方提供的装备或配件等不符合合同约定或有缺陷时，甲方应以书面形式通知乙方，提出索赔，乙方应当在约定的时间内予以更换，并按违约的相关约定向买方给予赔偿，更换的新产品质保期相应顺延；质保期内，如装备或配件发生质量问题时，按售后服务的约定执行。</w:t>
      </w:r>
    </w:p>
    <w:p>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000000" w:themeColor="text1"/>
          <w:sz w:val="24"/>
          <w:highlight w:val="none"/>
          <w:lang w:val="en-US" w:eastAsia="zh-CN"/>
        </w:rPr>
        <w:t xml:space="preserve"> </w:t>
      </w:r>
      <w:r>
        <w:rPr>
          <w:rFonts w:hint="eastAsia" w:ascii="宋体" w:hAnsi="宋体" w:eastAsia="宋体" w:cs="宋体"/>
          <w:b/>
          <w:bCs/>
          <w:color w:val="auto"/>
          <w:sz w:val="24"/>
          <w:highlight w:val="none"/>
        </w:rPr>
        <w:t>权利瑕疵担保</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9</w:t>
      </w:r>
      <w:r>
        <w:rPr>
          <w:rFonts w:hint="eastAsia" w:ascii="宋体" w:hAnsi="宋体" w:eastAsia="宋体" w:cs="宋体"/>
          <w:color w:val="000000" w:themeColor="text1"/>
          <w:szCs w:val="21"/>
          <w:highlight w:val="none"/>
        </w:rPr>
        <w:t>.1 乙方保证对其出售的货物享有合法的权利。</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9</w:t>
      </w:r>
      <w:r>
        <w:rPr>
          <w:rFonts w:hint="eastAsia" w:ascii="宋体" w:hAnsi="宋体" w:eastAsia="宋体" w:cs="宋体"/>
          <w:color w:val="000000" w:themeColor="text1"/>
          <w:szCs w:val="21"/>
          <w:highlight w:val="none"/>
        </w:rPr>
        <w:t xml:space="preserve">.2 </w:t>
      </w:r>
      <w:r>
        <w:rPr>
          <w:rFonts w:hint="eastAsia" w:ascii="宋体" w:hAnsi="宋体" w:eastAsia="宋体" w:cs="宋体"/>
          <w:szCs w:val="15"/>
          <w:highlight w:val="none"/>
        </w:rPr>
        <w:t>乙方保证在交付的货物上不存在抵押权等担保物权。</w:t>
      </w:r>
    </w:p>
    <w:p>
      <w:pPr>
        <w:autoSpaceDE w:val="0"/>
        <w:autoSpaceDN w:val="0"/>
        <w:adjustRightInd w:val="0"/>
        <w:snapToGrid w:val="0"/>
        <w:spacing w:before="0" w:line="400" w:lineRule="exact"/>
        <w:ind w:firstLine="420" w:firstLineChars="20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9</w:t>
      </w:r>
      <w:r>
        <w:rPr>
          <w:rFonts w:hint="eastAsia" w:ascii="宋体" w:hAnsi="宋体" w:eastAsia="宋体" w:cs="宋体"/>
          <w:color w:val="000000" w:themeColor="text1"/>
          <w:szCs w:val="21"/>
          <w:highlight w:val="none"/>
        </w:rPr>
        <w:t>.3 如甲方使用</w:t>
      </w:r>
      <w:r>
        <w:rPr>
          <w:rFonts w:hint="eastAsia" w:ascii="宋体" w:hAnsi="宋体" w:eastAsia="宋体" w:cs="宋体"/>
          <w:color w:val="000000" w:themeColor="text1"/>
          <w:szCs w:val="21"/>
          <w:highlight w:val="none"/>
          <w:lang w:val="en-US" w:eastAsia="zh-CN"/>
        </w:rPr>
        <w:t>上述</w:t>
      </w:r>
      <w:r>
        <w:rPr>
          <w:rFonts w:hint="eastAsia" w:ascii="宋体" w:hAnsi="宋体" w:eastAsia="宋体" w:cs="宋体"/>
          <w:color w:val="000000" w:themeColor="text1"/>
          <w:szCs w:val="21"/>
          <w:highlight w:val="none"/>
        </w:rPr>
        <w:t>货物构成</w:t>
      </w:r>
      <w:r>
        <w:rPr>
          <w:rFonts w:hint="eastAsia" w:ascii="宋体" w:hAnsi="宋体" w:eastAsia="宋体" w:cs="宋体"/>
          <w:color w:val="000000" w:themeColor="text1"/>
          <w:szCs w:val="21"/>
          <w:highlight w:val="none"/>
          <w:lang w:val="en-US" w:eastAsia="zh-CN"/>
        </w:rPr>
        <w:t>对第三人</w:t>
      </w:r>
      <w:r>
        <w:rPr>
          <w:rFonts w:hint="eastAsia" w:ascii="宋体" w:hAnsi="宋体" w:eastAsia="宋体" w:cs="宋体"/>
          <w:color w:val="000000" w:themeColor="text1"/>
          <w:szCs w:val="21"/>
          <w:highlight w:val="none"/>
        </w:rPr>
        <w:t>侵权的，则由乙方承担全部责任。</w:t>
      </w:r>
    </w:p>
    <w:p>
      <w:pPr>
        <w:autoSpaceDE w:val="0"/>
        <w:autoSpaceDN w:val="0"/>
        <w:adjustRightInd w:val="0"/>
        <w:snapToGrid w:val="0"/>
        <w:spacing w:before="0" w:line="400" w:lineRule="exact"/>
        <w:jc w:val="lef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1</w:t>
      </w:r>
      <w:r>
        <w:rPr>
          <w:rFonts w:hint="eastAsia" w:ascii="宋体" w:hAnsi="宋体" w:eastAsia="宋体" w:cs="宋体"/>
          <w:b/>
          <w:bCs/>
          <w:color w:val="000000" w:themeColor="text1"/>
          <w:sz w:val="24"/>
          <w:highlight w:val="none"/>
          <w:lang w:eastAsia="zh-CN"/>
        </w:rPr>
        <w:t>0</w:t>
      </w:r>
      <w:r>
        <w:rPr>
          <w:rFonts w:hint="eastAsia" w:ascii="宋体" w:hAnsi="宋体" w:eastAsia="宋体" w:cs="宋体"/>
          <w:b/>
          <w:bCs/>
          <w:color w:val="000000" w:themeColor="text1"/>
          <w:sz w:val="24"/>
          <w:highlight w:val="none"/>
        </w:rPr>
        <w:t>.</w:t>
      </w:r>
      <w:r>
        <w:rPr>
          <w:rFonts w:hint="eastAsia" w:ascii="宋体" w:hAnsi="宋体" w:eastAsia="宋体" w:cs="宋体"/>
          <w:b/>
          <w:bCs/>
          <w:color w:val="000000" w:themeColor="text1"/>
          <w:sz w:val="24"/>
          <w:highlight w:val="none"/>
          <w:lang w:val="en-US" w:eastAsia="zh-CN"/>
        </w:rPr>
        <w:t xml:space="preserve"> </w:t>
      </w:r>
      <w:r>
        <w:rPr>
          <w:rFonts w:hint="eastAsia" w:ascii="宋体" w:hAnsi="宋体" w:eastAsia="宋体" w:cs="宋体"/>
          <w:b/>
          <w:bCs/>
          <w:color w:val="000000" w:themeColor="text1"/>
          <w:sz w:val="24"/>
          <w:highlight w:val="none"/>
        </w:rPr>
        <w:t>知识产权保护</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rPr>
        <w:t>1</w:t>
      </w:r>
      <w:r>
        <w:rPr>
          <w:rFonts w:hint="eastAsia" w:ascii="宋体" w:hAnsi="宋体" w:eastAsia="宋体" w:cs="宋体"/>
          <w:color w:val="000000" w:themeColor="text1"/>
          <w:szCs w:val="21"/>
          <w:highlight w:val="none"/>
          <w:lang w:eastAsia="zh-CN"/>
        </w:rPr>
        <w:t>0</w:t>
      </w:r>
      <w:r>
        <w:rPr>
          <w:rFonts w:hint="eastAsia" w:ascii="宋体" w:hAnsi="宋体" w:eastAsia="宋体" w:cs="宋体"/>
          <w:color w:val="000000" w:themeColor="text1"/>
          <w:szCs w:val="21"/>
          <w:highlight w:val="none"/>
        </w:rPr>
        <w:t>.1 乙方对其所销售的货物应当享有知识产权或经权利人合法授权，保证没有侵犯任</w:t>
      </w:r>
      <w:r>
        <w:rPr>
          <w:rFonts w:hint="eastAsia" w:ascii="宋体" w:hAnsi="宋体" w:eastAsia="宋体" w:cs="宋体"/>
          <w:color w:val="auto"/>
          <w:szCs w:val="21"/>
          <w:highlight w:val="none"/>
        </w:rPr>
        <w:t>何第三人的知识产权等权利。</w:t>
      </w:r>
      <w:bookmarkStart w:id="115" w:name="_Hlk163047038"/>
      <w:r>
        <w:rPr>
          <w:rFonts w:hint="eastAsia" w:ascii="宋体" w:hAnsi="宋体" w:eastAsia="宋体" w:cs="宋体"/>
          <w:szCs w:val="15"/>
          <w:highlight w:val="none"/>
        </w:rPr>
        <w:t>因违反前述约定对第三人构成侵权的，应当由乙方向第三人承担法律责任；甲方依法向第三人赔偿后，有权向乙方追偿。甲方有其他损失的，乙方应当赔偿</w:t>
      </w:r>
      <w:bookmarkEnd w:id="115"/>
      <w:r>
        <w:rPr>
          <w:rFonts w:hint="eastAsia" w:ascii="宋体" w:hAnsi="宋体" w:eastAsia="宋体" w:cs="宋体"/>
          <w:color w:val="auto"/>
          <w:szCs w:val="21"/>
          <w:highlight w:val="none"/>
        </w:rPr>
        <w:t>。</w:t>
      </w:r>
    </w:p>
    <w:p>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pPr>
        <w:autoSpaceDE w:val="0"/>
        <w:autoSpaceDN w:val="0"/>
        <w:adjustRightInd w:val="0"/>
        <w:snapToGrid w:val="0"/>
        <w:spacing w:before="0" w:line="400" w:lineRule="exact"/>
        <w:ind w:firstLine="420" w:firstLineChars="200"/>
        <w:jc w:val="left"/>
        <w:rPr>
          <w:rFonts w:hint="eastAsia" w:ascii="宋体" w:hAnsi="宋体" w:eastAsia="宋体" w:cs="宋体"/>
          <w:szCs w:val="15"/>
          <w:highlight w:val="none"/>
        </w:rPr>
      </w:pPr>
      <w:r>
        <w:rPr>
          <w:rFonts w:hint="eastAsia" w:ascii="宋体" w:hAnsi="宋体" w:eastAsia="宋体" w:cs="宋体"/>
          <w:szCs w:val="15"/>
          <w:highlight w:val="none"/>
          <w:lang w:val="en-US" w:eastAsia="zh-CN"/>
        </w:rPr>
        <w:t xml:space="preserve">11.1 </w:t>
      </w:r>
      <w:r>
        <w:rPr>
          <w:rFonts w:hint="eastAsia" w:ascii="宋体" w:hAnsi="宋体" w:eastAsia="宋体" w:cs="宋体"/>
          <w:szCs w:val="15"/>
          <w:highlight w:val="none"/>
        </w:rPr>
        <w:t>甲、乙双方</w:t>
      </w:r>
      <w:r>
        <w:rPr>
          <w:rFonts w:hint="eastAsia" w:ascii="宋体" w:hAnsi="宋体" w:eastAsia="宋体" w:cs="宋体"/>
          <w:szCs w:val="15"/>
          <w:highlight w:val="none"/>
          <w:lang w:eastAsia="zh-CN"/>
        </w:rPr>
        <w:t>对</w:t>
      </w:r>
      <w:r>
        <w:rPr>
          <w:rFonts w:hint="eastAsia" w:ascii="宋体" w:hAnsi="宋体" w:eastAsia="宋体" w:cs="宋体"/>
          <w:szCs w:val="15"/>
          <w:highlight w:val="none"/>
        </w:rPr>
        <w:t>采购和合同履行过程中所获悉的</w:t>
      </w:r>
      <w:r>
        <w:rPr>
          <w:rFonts w:hint="eastAsia" w:ascii="宋体" w:hAnsi="宋体" w:eastAsia="宋体" w:cs="宋体"/>
          <w:szCs w:val="15"/>
          <w:highlight w:val="none"/>
          <w:lang w:eastAsia="zh-CN"/>
        </w:rPr>
        <w:t>国家秘密、工作秘密、</w:t>
      </w:r>
      <w:r>
        <w:rPr>
          <w:rFonts w:hint="eastAsia" w:ascii="宋体" w:hAnsi="宋体" w:eastAsia="宋体" w:cs="宋体"/>
          <w:szCs w:val="15"/>
          <w:highlight w:val="none"/>
        </w:rPr>
        <w:t>商业秘密或者其他应当保密的信息，均有保密义务</w:t>
      </w:r>
      <w:r>
        <w:rPr>
          <w:rFonts w:hint="eastAsia" w:ascii="宋体" w:hAnsi="宋体" w:eastAsia="宋体" w:cs="宋体"/>
          <w:szCs w:val="15"/>
          <w:highlight w:val="none"/>
          <w:lang w:eastAsia="zh-CN"/>
        </w:rPr>
        <w:t>且不受合同有效期所限，直至该信息成为公开信息</w:t>
      </w:r>
      <w:r>
        <w:rPr>
          <w:rFonts w:hint="eastAsia" w:ascii="宋体" w:hAnsi="宋体" w:eastAsia="宋体" w:cs="宋体"/>
          <w:szCs w:val="15"/>
          <w:highlight w:val="none"/>
        </w:rPr>
        <w:t>。泄露、不正当地使用</w:t>
      </w:r>
      <w:r>
        <w:rPr>
          <w:rFonts w:hint="eastAsia" w:ascii="宋体" w:hAnsi="宋体" w:eastAsia="宋体" w:cs="宋体"/>
          <w:szCs w:val="15"/>
          <w:highlight w:val="none"/>
          <w:lang w:eastAsia="zh-CN"/>
        </w:rPr>
        <w:t>国家秘密、工作秘密、</w:t>
      </w:r>
      <w:r>
        <w:rPr>
          <w:rFonts w:hint="eastAsia" w:ascii="宋体" w:hAnsi="宋体" w:eastAsia="宋体" w:cs="宋体"/>
          <w:szCs w:val="15"/>
          <w:highlight w:val="none"/>
        </w:rPr>
        <w:t>商业秘密或者</w:t>
      </w:r>
      <w:r>
        <w:rPr>
          <w:rFonts w:hint="eastAsia" w:ascii="宋体" w:hAnsi="宋体" w:eastAsia="宋体" w:cs="宋体"/>
          <w:szCs w:val="15"/>
          <w:highlight w:val="none"/>
          <w:lang w:eastAsia="zh-CN"/>
        </w:rPr>
        <w:t>其他应当保密的</w:t>
      </w:r>
      <w:r>
        <w:rPr>
          <w:rFonts w:hint="eastAsia" w:ascii="宋体" w:hAnsi="宋体" w:eastAsia="宋体" w:cs="宋体"/>
          <w:szCs w:val="15"/>
          <w:highlight w:val="none"/>
        </w:rPr>
        <w:t>信息，应当承担</w:t>
      </w:r>
      <w:r>
        <w:rPr>
          <w:rFonts w:hint="eastAsia" w:ascii="宋体" w:hAnsi="宋体" w:eastAsia="宋体" w:cs="宋体"/>
          <w:szCs w:val="15"/>
          <w:highlight w:val="none"/>
          <w:lang w:eastAsia="zh-CN"/>
        </w:rPr>
        <w:t>相应</w:t>
      </w:r>
      <w:r>
        <w:rPr>
          <w:rFonts w:hint="eastAsia" w:ascii="宋体" w:hAnsi="宋体" w:eastAsia="宋体" w:cs="宋体"/>
          <w:szCs w:val="15"/>
          <w:highlight w:val="none"/>
        </w:rPr>
        <w:t>责任。</w:t>
      </w:r>
    </w:p>
    <w:p>
      <w:pPr>
        <w:autoSpaceDE w:val="0"/>
        <w:autoSpaceDN w:val="0"/>
        <w:adjustRightInd w:val="0"/>
        <w:snapToGrid w:val="0"/>
        <w:spacing w:before="0" w:line="400" w:lineRule="exact"/>
        <w:ind w:firstLine="420" w:firstLineChars="200"/>
        <w:jc w:val="left"/>
        <w:rPr>
          <w:rFonts w:hint="eastAsia" w:ascii="宋体" w:hAnsi="宋体" w:eastAsia="宋体" w:cs="宋体"/>
          <w:szCs w:val="15"/>
          <w:highlight w:val="none"/>
          <w:lang w:val="en-US" w:eastAsia="zh-CN"/>
        </w:rPr>
      </w:pPr>
      <w:r>
        <w:rPr>
          <w:rFonts w:hint="eastAsia" w:ascii="宋体" w:hAnsi="宋体" w:eastAsia="宋体" w:cs="宋体"/>
          <w:szCs w:val="15"/>
          <w:highlight w:val="none"/>
          <w:lang w:val="en-US" w:eastAsia="zh-CN"/>
        </w:rPr>
        <w:t>11.2 乙方违反保密义务，除本合同另有约定外，应按照本合同总价款的5%向买方（甲方）支付违约金。</w:t>
      </w:r>
    </w:p>
    <w:p>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pPr>
        <w:autoSpaceDE/>
        <w:autoSpaceDN/>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pPr>
        <w:pStyle w:val="17"/>
        <w:spacing w:after="0" w:line="400" w:lineRule="exact"/>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12.2 合同签订后采购人支付合同金额30%的预付款， 中标单位按合同约定交付全部产品、安装调试完毕，终验合格并经过结算审计后30日内，乙方按照结算审定金额向甲方开具全额增值税普通发票，甲方依据验收、审定结算、合同条款一次性支付货款结算金额至100%。(如采购人有付款需求，在签订合同后，中标单位向采购人提供同等合同金额的银行保函，收到保函，采购人可支付合同金额的100%，待验收合格、安装调试完毕后，根据结算审计结果解除银行质押）。</w:t>
      </w:r>
    </w:p>
    <w:p>
      <w:pPr>
        <w:pStyle w:val="17"/>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szCs w:val="15"/>
          <w:highlight w:val="none"/>
        </w:rPr>
        <w:t>乙方应当以支票、汇票、本票或者金融机构、担保机构出具的保函等非现金形式提交。</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szCs w:val="15"/>
          <w:highlight w:val="none"/>
          <w:lang w:val="en-US" w:eastAsia="zh-CN"/>
        </w:rPr>
        <w:t>本合同第</w:t>
      </w:r>
      <w:r>
        <w:rPr>
          <w:rFonts w:hint="eastAsia" w:ascii="宋体" w:hAnsi="宋体" w:eastAsia="宋体" w:cs="宋体"/>
          <w:szCs w:val="15"/>
          <w:highlight w:val="none"/>
        </w:rPr>
        <w:t>1</w:t>
      </w:r>
      <w:r>
        <w:rPr>
          <w:rFonts w:hint="eastAsia" w:ascii="宋体" w:hAnsi="宋体" w:eastAsia="宋体" w:cs="宋体"/>
          <w:szCs w:val="15"/>
          <w:highlight w:val="none"/>
          <w:lang w:eastAsia="zh-CN"/>
        </w:rPr>
        <w:t>5</w:t>
      </w:r>
      <w:r>
        <w:rPr>
          <w:rFonts w:hint="eastAsia" w:ascii="宋体" w:hAnsi="宋体" w:eastAsia="宋体" w:cs="宋体"/>
          <w:szCs w:val="15"/>
          <w:highlight w:val="none"/>
          <w:lang w:val="en-US" w:eastAsia="zh-CN"/>
        </w:rPr>
        <w:t>条</w:t>
      </w:r>
      <w:r>
        <w:rPr>
          <w:rFonts w:hint="eastAsia" w:ascii="宋体" w:hAnsi="宋体" w:eastAsia="宋体" w:cs="宋体"/>
          <w:szCs w:val="15"/>
          <w:highlight w:val="none"/>
        </w:rPr>
        <w:t>违约责任</w:t>
      </w:r>
      <w:r>
        <w:rPr>
          <w:rFonts w:hint="eastAsia" w:ascii="宋体" w:hAnsi="宋体" w:eastAsia="宋体" w:cs="宋体"/>
          <w:b w:val="0"/>
          <w:bCs w:val="0"/>
          <w:szCs w:val="15"/>
          <w:highlight w:val="none"/>
          <w:lang w:eastAsia="zh-CN"/>
        </w:rPr>
        <w:t>约定情形的，</w:t>
      </w:r>
      <w:r>
        <w:rPr>
          <w:rFonts w:hint="eastAsia" w:ascii="宋体" w:hAnsi="宋体" w:eastAsia="宋体" w:cs="宋体"/>
          <w:color w:val="auto"/>
          <w:szCs w:val="21"/>
          <w:highlight w:val="none"/>
        </w:rPr>
        <w:t>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甲方在项目通过验收后按照规定的时间内将履约保证金退还乙方；逾期退还的，乙方可要求甲方支付违约金，违约金按照规定支付。</w:t>
      </w:r>
    </w:p>
    <w:p>
      <w:p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szCs w:val="15"/>
          <w:highlight w:val="none"/>
          <w:lang w:eastAsia="zh-CN"/>
        </w:rPr>
        <w:t>；</w:t>
      </w:r>
    </w:p>
    <w:p>
      <w:pPr>
        <w:pStyle w:val="220"/>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（5）依照法律、行政法规的规定或者按照约定，货物在有效使用年限届满后应予回收的，乙方负有自行或者委托第三人对货物予以回收的义务；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）规定由乙方提供的其他服务。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pPr>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延迟交货未取得甲方书面同意的，每延迟一天按合同总价的1 ‰扣除履约保证金；延迟超过15日，甲方有权单方解除合同，扣除全部履约保证金，还应当承担合同总额30%的违约金，造成甲方损失的，乙方还应当赔偿。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乙方所发货品规格、型号、质量等不符合合同约定的，甲方有权单方解除合同，拒绝收货和付款，扣除履约保证金，并由乙方承担合同总额30%的违约金，由此所发生的一切费用、损失（包括给双方造成的经济损失），均由乙方负责。</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）合同生效后，乙方中途解除合同（不可抗力原因除外），应按给甲方造成的损失向甲方支付赔偿金，甲方有权扣除履约保证金，并由乙方向甲方支付合同总金额30%的违约金。</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）乙方违约，还应赔偿甲方因此遭受的其他损失，包括为主张权益所支付的律师费、交通费、公证费、鉴定费、评估费、差旅费等全部费用。</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）乙方违约的，甲方有权将相应违约金、赔偿金从履约保证金及应给乙方支付的货款中直接予以扣除。</w:t>
      </w:r>
    </w:p>
    <w:p>
      <w:pPr>
        <w:autoSpaceDE w:val="0"/>
        <w:autoSpaceDN w:val="0"/>
        <w:adjustRightInd w:val="0"/>
        <w:snapToGrid w:val="0"/>
        <w:spacing w:before="0" w:line="400" w:lineRule="exact"/>
        <w:ind w:firstLine="420" w:firstLineChars="200"/>
        <w:jc w:val="left"/>
        <w:rPr>
          <w:rFonts w:hint="eastAsia" w:ascii="宋体" w:hAnsi="宋体" w:eastAsia="宋体" w:cs="宋体"/>
          <w:szCs w:val="15"/>
          <w:highlight w:val="none"/>
          <w:lang w:val="en-US"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w:t>
      </w:r>
      <w:r>
        <w:rPr>
          <w:rFonts w:hint="eastAsia" w:ascii="宋体" w:hAnsi="宋体" w:eastAsia="宋体" w:cs="宋体"/>
          <w:szCs w:val="15"/>
          <w:highlight w:val="none"/>
          <w:lang w:val="en-US" w:eastAsia="zh-CN"/>
        </w:rPr>
        <w:t>乙方违反保密义务或违反禁止转让、分包合同义务或违反本合同其他约定的，除本合同另有约定外，应按照本合同总价款的5%向甲方支付违约金。</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甲方存在迟延支付乙方合同款项的，接收经验收合格的装备后而未能按合同约定时间付款的（财政资金支付流程原因除外），推迟付款时间超过30个工作日，每超过一天按合同总价的1‰向对方支付违约金。应当</w:t>
      </w:r>
      <w:r>
        <w:rPr>
          <w:rFonts w:hint="eastAsia" w:ascii="宋体" w:hAnsi="宋体" w:eastAsia="宋体" w:cs="宋体"/>
          <w:color w:val="auto"/>
          <w:szCs w:val="21"/>
          <w:highlight w:val="none"/>
          <w:lang w:val="en-US" w:eastAsia="zh-CN"/>
        </w:rPr>
        <w:t>支付</w:t>
      </w:r>
      <w:r>
        <w:rPr>
          <w:rFonts w:hint="eastAsia" w:ascii="宋体" w:hAnsi="宋体" w:eastAsia="宋体" w:cs="宋体"/>
          <w:color w:val="auto"/>
          <w:szCs w:val="21"/>
          <w:highlight w:val="none"/>
        </w:rPr>
        <w:t>逾期付款利息。</w:t>
      </w:r>
    </w:p>
    <w:p>
      <w:pPr>
        <w:numPr>
          <w:ilvl w:val="0"/>
          <w:numId w:val="14"/>
        </w:num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pPr>
        <w:autoSpaceDE/>
        <w:autoSpaceDN/>
        <w:adjustRightInd w:val="0"/>
        <w:snapToGrid w:val="0"/>
        <w:spacing w:before="0" w:line="400" w:lineRule="exact"/>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rPr>
        <w:t>（3）乙方分立、合并或者变更住所的，应当及时以书面形式告知甲方。乙方没有</w:t>
      </w:r>
      <w:r>
        <w:rPr>
          <w:rFonts w:hint="eastAsia" w:ascii="宋体" w:hAnsi="宋体" w:eastAsia="宋体" w:cs="宋体"/>
          <w:sz w:val="21"/>
          <w:highlight w:val="none"/>
          <w:lang w:eastAsia="zh-CN"/>
        </w:rPr>
        <w:t>及时告知</w:t>
      </w:r>
      <w:r>
        <w:rPr>
          <w:rFonts w:hint="eastAsia" w:ascii="宋体" w:hAnsi="宋体" w:eastAsia="宋体" w:cs="宋体"/>
          <w:sz w:val="21"/>
          <w:highlight w:val="none"/>
        </w:rPr>
        <w:t>甲方，致使</w:t>
      </w:r>
      <w:r>
        <w:rPr>
          <w:rFonts w:hint="eastAsia" w:ascii="宋体" w:hAnsi="宋体" w:eastAsia="宋体" w:cs="宋体"/>
          <w:sz w:val="21"/>
          <w:highlight w:val="none"/>
          <w:lang w:eastAsia="zh-CN"/>
        </w:rPr>
        <w:t>合同</w:t>
      </w:r>
      <w:r>
        <w:rPr>
          <w:rFonts w:hint="eastAsia" w:ascii="宋体" w:hAnsi="宋体" w:eastAsia="宋体" w:cs="宋体"/>
          <w:sz w:val="21"/>
          <w:highlight w:val="none"/>
        </w:rPr>
        <w:t>履行发生困难的，甲方可以中止合同履行并要求乙方承担由此给甲方造成的损失。</w:t>
      </w:r>
    </w:p>
    <w:p>
      <w:pPr>
        <w:snapToGrid w:val="0"/>
        <w:spacing w:line="400" w:lineRule="exact"/>
        <w:ind w:firstLine="420" w:firstLineChars="200"/>
        <w:jc w:val="left"/>
        <w:rPr>
          <w:rFonts w:hint="eastAsia" w:ascii="宋体" w:hAnsi="宋体" w:eastAsia="宋体" w:cs="宋体"/>
          <w:sz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pPr>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szCs w:val="21"/>
          <w:highlight w:val="none"/>
        </w:rPr>
        <w:t>并追究乙方的违约责</w:t>
      </w:r>
      <w:r>
        <w:rPr>
          <w:rFonts w:hint="eastAsia" w:ascii="宋体" w:hAnsi="宋体" w:eastAsia="宋体" w:cs="宋体"/>
          <w:szCs w:val="21"/>
          <w:highlight w:val="none"/>
          <w:lang w:val="en-US" w:eastAsia="zh-CN"/>
        </w:rPr>
        <w:t>任</w:t>
      </w:r>
      <w:r>
        <w:rPr>
          <w:rFonts w:hint="eastAsia" w:ascii="宋体" w:hAnsi="宋体" w:eastAsia="宋体" w:cs="宋体"/>
          <w:color w:val="auto"/>
          <w:szCs w:val="21"/>
          <w:highlight w:val="none"/>
        </w:rPr>
        <w:t>。</w:t>
      </w:r>
    </w:p>
    <w:p>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）发生下列情况时，甲方有权单方终止合同：</w:t>
      </w:r>
    </w:p>
    <w:p>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1）乙方未能在合同规定的期限内或甲方同意延长的期限内提供全部装备；</w:t>
      </w:r>
    </w:p>
    <w:p>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乙方未能履行合同规定的其他义务，乙方在收到甲方发出的违约通知后30天内，或经甲方书面认可延长的时间内未能纠正其过失。甲方可向乙方发出书面通知，终止部分或全部合同，在这种情况下，并不影响甲方向乙方提出的索赔。</w:t>
      </w:r>
    </w:p>
    <w:p>
      <w:pPr>
        <w:pStyle w:val="2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highlight w:val="none"/>
        </w:rPr>
        <w:t>中止</w:t>
      </w:r>
      <w:r>
        <w:rPr>
          <w:rFonts w:hint="eastAsia" w:ascii="宋体" w:hAnsi="宋体" w:eastAsia="宋体" w:cs="宋体"/>
          <w:sz w:val="21"/>
          <w:highlight w:val="none"/>
          <w:lang w:eastAsia="zh-CN"/>
        </w:rPr>
        <w:t>或者终止</w:t>
      </w:r>
      <w:r>
        <w:rPr>
          <w:rFonts w:hint="eastAsia" w:ascii="宋体" w:hAnsi="宋体" w:eastAsia="宋体" w:cs="宋体"/>
          <w:sz w:val="21"/>
          <w:highlight w:val="none"/>
        </w:rPr>
        <w:t>合同。有过错的一方应当承担赔偿责任，双方都有过错的，各自承担相应的责任。</w:t>
      </w:r>
    </w:p>
    <w:p>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根据采购文件和投标（响应）文件规定进行</w:t>
      </w:r>
      <w:r>
        <w:rPr>
          <w:rFonts w:hint="eastAsia" w:ascii="宋体" w:hAnsi="宋体" w:eastAsia="宋体" w:cs="宋体"/>
          <w:color w:val="auto"/>
          <w:szCs w:val="21"/>
          <w:highlight w:val="none"/>
        </w:rPr>
        <w:t>合同分包。</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乙方应当按采购文件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.1 因本合同及合同有关事项发生的争议，由</w:t>
      </w:r>
      <w:r>
        <w:rPr>
          <w:rFonts w:hint="eastAsia" w:ascii="宋体" w:hAnsi="宋体" w:eastAsia="宋体" w:cs="宋体"/>
          <w:sz w:val="21"/>
          <w:highlight w:val="none"/>
          <w:lang w:eastAsia="zh-CN"/>
        </w:rPr>
        <w:t>甲乙双</w:t>
      </w:r>
      <w:r>
        <w:rPr>
          <w:rFonts w:hint="eastAsia" w:ascii="宋体" w:hAnsi="宋体" w:eastAsia="宋体" w:cs="宋体"/>
          <w:sz w:val="21"/>
          <w:highlight w:val="none"/>
        </w:rPr>
        <w:t>方友好协商解决。协商不成时，可以</w:t>
      </w:r>
      <w:r>
        <w:rPr>
          <w:rFonts w:hint="eastAsia" w:ascii="宋体" w:hAnsi="宋体" w:eastAsia="宋体" w:cs="宋体"/>
          <w:sz w:val="21"/>
          <w:highlight w:val="none"/>
          <w:lang w:eastAsia="zh-CN"/>
        </w:rPr>
        <w:t>向有关组织申请</w:t>
      </w:r>
      <w:r>
        <w:rPr>
          <w:rFonts w:hint="eastAsia" w:ascii="宋体" w:hAnsi="宋体" w:eastAsia="宋体" w:cs="宋体"/>
          <w:sz w:val="21"/>
          <w:highlight w:val="none"/>
        </w:rPr>
        <w:t>调解。合同一方或</w:t>
      </w:r>
      <w:r>
        <w:rPr>
          <w:rFonts w:hint="eastAsia" w:ascii="宋体" w:hAnsi="宋体" w:eastAsia="宋体" w:cs="宋体"/>
          <w:sz w:val="21"/>
          <w:highlight w:val="none"/>
          <w:lang w:eastAsia="zh-CN"/>
        </w:rPr>
        <w:t>双</w:t>
      </w:r>
      <w:r>
        <w:rPr>
          <w:rFonts w:hint="eastAsia" w:ascii="宋体" w:hAnsi="宋体" w:eastAsia="宋体" w:cs="宋体"/>
          <w:sz w:val="21"/>
          <w:highlight w:val="none"/>
        </w:rPr>
        <w:t>方不愿调解或调解不成的，可以通过仲裁或诉讼的方式解决争议。</w:t>
      </w:r>
    </w:p>
    <w:p>
      <w:pPr>
        <w:pStyle w:val="220"/>
        <w:keepNext w:val="0"/>
        <w:keepLines w:val="0"/>
        <w:pageBreakBefore w:val="0"/>
        <w:kinsoku/>
        <w:wordWrap/>
        <w:overflowPunct/>
        <w:topLinePunct w:val="0"/>
        <w:bidi w:val="0"/>
        <w:spacing w:line="400" w:lineRule="atLeast"/>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highlight w:val="none"/>
          <w:lang w:val="en-US" w:eastAsia="zh-CN"/>
        </w:rPr>
        <w:t>19.2纠纷</w:t>
      </w:r>
      <w:r>
        <w:rPr>
          <w:rFonts w:hint="eastAsia" w:ascii="宋体" w:hAnsi="宋体" w:eastAsia="宋体" w:cs="宋体"/>
          <w:kern w:val="0"/>
          <w:sz w:val="21"/>
          <w:szCs w:val="21"/>
          <w:highlight w:val="none"/>
          <w:lang w:val="en-US" w:eastAsia="zh-CN" w:bidi="ar-SA"/>
        </w:rPr>
        <w:t>解决方式</w:t>
      </w:r>
    </w:p>
    <w:p>
      <w:pPr>
        <w:keepNext w:val="0"/>
        <w:keepLines w:val="0"/>
        <w:pageBreakBefore w:val="0"/>
        <w:kinsoku/>
        <w:wordWrap/>
        <w:overflowPunct/>
        <w:topLinePunct w:val="0"/>
        <w:autoSpaceDE/>
        <w:autoSpaceDN/>
        <w:bidi w:val="0"/>
        <w:snapToGrid w:val="0"/>
        <w:spacing w:line="400" w:lineRule="atLeast"/>
        <w:ind w:left="0" w:leftChars="0" w:firstLine="420" w:firstLineChars="200"/>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本合同在执行中发生纠纷时，双方应友好协商予以解决。如协商解决不成时，双方约定采用第</w:t>
      </w:r>
      <w:r>
        <w:rPr>
          <w:rFonts w:hint="eastAsia" w:ascii="宋体" w:hAnsi="宋体" w:eastAsia="宋体" w:cs="宋体"/>
          <w:kern w:val="0"/>
          <w:sz w:val="21"/>
          <w:szCs w:val="21"/>
          <w:highlight w:val="none"/>
          <w:u w:val="single"/>
          <w:lang w:val="en-US" w:eastAsia="zh-CN" w:bidi="ar-SA"/>
        </w:rPr>
        <w:t xml:space="preserve">       </w:t>
      </w:r>
      <w:r>
        <w:rPr>
          <w:rFonts w:hint="eastAsia" w:ascii="宋体" w:hAnsi="宋体" w:eastAsia="宋体" w:cs="宋体"/>
          <w:kern w:val="0"/>
          <w:sz w:val="21"/>
          <w:szCs w:val="21"/>
          <w:highlight w:val="none"/>
          <w:lang w:val="en-US" w:eastAsia="zh-CN" w:bidi="ar-SA"/>
        </w:rPr>
        <w:t>种方式解决。</w:t>
      </w:r>
    </w:p>
    <w:p>
      <w:pPr>
        <w:keepNext w:val="0"/>
        <w:keepLines w:val="0"/>
        <w:pageBreakBefore w:val="0"/>
        <w:kinsoku/>
        <w:wordWrap/>
        <w:overflowPunct/>
        <w:topLinePunct w:val="0"/>
        <w:autoSpaceDE/>
        <w:autoSpaceDN/>
        <w:bidi w:val="0"/>
        <w:snapToGrid w:val="0"/>
        <w:spacing w:line="400" w:lineRule="atLeast"/>
        <w:ind w:left="0" w:leftChars="0" w:firstLine="420" w:firstLineChars="200"/>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（1）向甲方所在地人民法院提出诉讼；因乙方违约，甲方主张自身合法权益提起诉讼产生的诉讼费、律师代理费等费用由乙方承担。</w:t>
      </w:r>
    </w:p>
    <w:p>
      <w:pPr>
        <w:keepNext w:val="0"/>
        <w:keepLines w:val="0"/>
        <w:pageBreakBefore w:val="0"/>
        <w:kinsoku/>
        <w:wordWrap/>
        <w:overflowPunct/>
        <w:topLinePunct w:val="0"/>
        <w:autoSpaceDE/>
        <w:autoSpaceDN/>
        <w:bidi w:val="0"/>
        <w:snapToGrid w:val="0"/>
        <w:spacing w:line="400" w:lineRule="atLeast"/>
        <w:ind w:left="0" w:leftChars="0" w:firstLine="420" w:firstLineChars="200"/>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（2）申请甲方所在地（仲裁机构）进行仲裁。</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.3 如</w:t>
      </w:r>
      <w:r>
        <w:rPr>
          <w:rFonts w:hint="eastAsia" w:ascii="宋体" w:hAnsi="宋体" w:eastAsia="宋体" w:cs="宋体"/>
          <w:sz w:val="21"/>
          <w:highlight w:val="none"/>
          <w:lang w:eastAsia="zh-CN"/>
        </w:rPr>
        <w:t>甲乙双方</w:t>
      </w:r>
      <w:r>
        <w:rPr>
          <w:rFonts w:hint="eastAsia" w:ascii="宋体" w:hAnsi="宋体" w:eastAsia="宋体" w:cs="宋体"/>
          <w:sz w:val="21"/>
          <w:highlight w:val="none"/>
        </w:rPr>
        <w:t>有争议的事项不影响合同其他部分的履行，在争议解决期间，合同其他部分应</w:t>
      </w:r>
      <w:r>
        <w:rPr>
          <w:rFonts w:hint="eastAsia" w:ascii="宋体" w:hAnsi="宋体" w:eastAsia="宋体" w:cs="宋体"/>
          <w:sz w:val="21"/>
          <w:highlight w:val="none"/>
          <w:lang w:eastAsia="zh-CN"/>
        </w:rPr>
        <w:t>当</w:t>
      </w:r>
      <w:r>
        <w:rPr>
          <w:rFonts w:hint="eastAsia" w:ascii="宋体" w:hAnsi="宋体" w:eastAsia="宋体" w:cs="宋体"/>
          <w:sz w:val="21"/>
          <w:highlight w:val="none"/>
        </w:rPr>
        <w:t>继续履行。</w:t>
      </w:r>
    </w:p>
    <w:p>
      <w:pPr>
        <w:autoSpaceDE w:val="0"/>
        <w:autoSpaceDN w:val="0"/>
        <w:adjustRightInd w:val="0"/>
        <w:snapToGrid w:val="0"/>
        <w:spacing w:before="0"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highlight w:val="none"/>
          <w:lang w:val="en-GB"/>
        </w:rPr>
        <w:t>本合同应当按照规定执行政府采购政策。</w:t>
      </w:r>
    </w:p>
    <w:p>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甲乙双方</w:t>
      </w:r>
      <w:r>
        <w:rPr>
          <w:rFonts w:hint="eastAsia" w:ascii="宋体" w:hAnsi="宋体" w:eastAsia="宋体" w:cs="宋体"/>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pPr>
        <w:pStyle w:val="17"/>
        <w:spacing w:after="0" w:line="400" w:lineRule="exact"/>
        <w:ind w:firstLine="56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为落实中小企业支持政策，</w:t>
      </w:r>
      <w:r>
        <w:rPr>
          <w:rFonts w:hint="eastAsia" w:ascii="宋体" w:hAnsi="宋体" w:eastAsia="宋体" w:cs="宋体"/>
          <w:color w:val="auto"/>
          <w:szCs w:val="21"/>
          <w:highlight w:val="none"/>
        </w:rPr>
        <w:t>通过采购项目</w:t>
      </w:r>
      <w:r>
        <w:rPr>
          <w:rFonts w:hint="eastAsia" w:ascii="宋体" w:hAnsi="宋体" w:eastAsia="宋体" w:cs="宋体"/>
          <w:color w:val="auto"/>
          <w:szCs w:val="21"/>
          <w:highlight w:val="none"/>
          <w:lang w:eastAsia="zh-CN"/>
        </w:rPr>
        <w:t>整体</w:t>
      </w:r>
      <w:r>
        <w:rPr>
          <w:rFonts w:hint="eastAsia" w:ascii="宋体" w:hAnsi="宋体" w:eastAsia="宋体" w:cs="宋体"/>
          <w:color w:val="auto"/>
          <w:szCs w:val="21"/>
          <w:highlight w:val="none"/>
        </w:rPr>
        <w:t>预留、</w:t>
      </w:r>
      <w:r>
        <w:rPr>
          <w:rFonts w:hint="eastAsia" w:ascii="宋体" w:hAnsi="宋体" w:eastAsia="宋体" w:cs="宋体"/>
          <w:color w:val="auto"/>
          <w:szCs w:val="21"/>
          <w:highlight w:val="none"/>
          <w:lang w:eastAsia="zh-CN"/>
        </w:rPr>
        <w:t>设置</w:t>
      </w:r>
      <w:r>
        <w:rPr>
          <w:rFonts w:hint="eastAsia" w:ascii="宋体" w:hAnsi="宋体" w:eastAsia="宋体" w:cs="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.1 本合同的订立、生效、解释、履行及与本合同有关的争议解决，均适用法律、行政法规。</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.2 本合同条款与法律、行政法规的强制性规定不一致的，双方当事人应按照法律、行政法规的强制性规定修改本合同的相关条款。</w:t>
      </w:r>
    </w:p>
    <w:p>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pPr>
        <w:pStyle w:val="220"/>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本合同任何一方向对方发出的通知、信件、数据电文等，应当发送至本合同第一部分《政府采购合同协议书》所约定的通讯地址、联系人、联系电话或电子邮箱。</w:t>
      </w:r>
    </w:p>
    <w:p>
      <w:pPr>
        <w:pStyle w:val="220"/>
        <w:ind w:firstLine="0" w:firstLineChars="0"/>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一方当事人变更名称、</w:t>
      </w:r>
      <w:r>
        <w:rPr>
          <w:rFonts w:hint="eastAsia" w:ascii="宋体" w:hAnsi="宋体" w:eastAsia="宋体" w:cs="宋体"/>
          <w:sz w:val="21"/>
          <w:highlight w:val="none"/>
          <w:lang w:eastAsia="zh-CN"/>
        </w:rPr>
        <w:t>住所</w:t>
      </w:r>
      <w:r>
        <w:rPr>
          <w:rFonts w:hint="eastAsia" w:ascii="宋体" w:hAnsi="宋体" w:eastAsia="宋体" w:cs="宋体"/>
          <w:sz w:val="21"/>
          <w:highlight w:val="none"/>
        </w:rPr>
        <w:t>、联系人、联系电话或电子邮箱</w:t>
      </w:r>
      <w:r>
        <w:rPr>
          <w:rFonts w:hint="eastAsia" w:ascii="宋体" w:hAnsi="宋体" w:eastAsia="宋体" w:cs="宋体"/>
          <w:sz w:val="21"/>
          <w:highlight w:val="none"/>
          <w:lang w:eastAsia="zh-CN"/>
        </w:rPr>
        <w:t>等信息</w:t>
      </w:r>
      <w:r>
        <w:rPr>
          <w:rFonts w:hint="eastAsia" w:ascii="宋体" w:hAnsi="宋体" w:eastAsia="宋体" w:cs="宋体"/>
          <w:sz w:val="21"/>
          <w:highlight w:val="none"/>
        </w:rPr>
        <w:t>的，应当在变更后3日内及时书面通知对方，对方实际收到变更通知前的送达仍为有效送达。</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pPr>
        <w:adjustRightInd w:val="0"/>
        <w:snapToGrid w:val="0"/>
        <w:spacing w:before="0" w:line="40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22.5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numPr>
          <w:ilvl w:val="0"/>
          <w:numId w:val="15"/>
        </w:num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pPr>
        <w:adjustRightInd w:val="0"/>
        <w:snapToGrid w:val="0"/>
        <w:spacing w:line="400" w:lineRule="exact"/>
        <w:ind w:firstLine="0" w:firstLineChars="0"/>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lang w:val="en-US" w:eastAsia="zh-CN"/>
        </w:rPr>
        <w:t xml:space="preserve">    23.1 合同附件与合同正文具有同等的法律效力。</w:t>
      </w:r>
      <w:bookmarkStart w:id="116" w:name="_Toc20313"/>
    </w:p>
    <w:bookmarkEnd w:id="116"/>
    <w:p>
      <w:pPr>
        <w:pStyle w:val="1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附件包括但不限于1、售后服务承诺2、培训3、其他优惠条件等</w:t>
      </w:r>
    </w:p>
    <w:p>
      <w:pPr>
        <w:snapToGrid w:val="0"/>
        <w:spacing w:line="360" w:lineRule="auto"/>
        <w:ind w:firstLine="480" w:firstLineChars="200"/>
        <w:rPr>
          <w:rFonts w:hint="eastAsia" w:ascii="宋体" w:hAnsi="宋体" w:eastAsia="宋体" w:cs="宋体"/>
          <w:color w:val="auto"/>
          <w:sz w:val="24"/>
          <w:highlight w:val="none"/>
        </w:rPr>
      </w:pPr>
    </w:p>
    <w:p>
      <w:pPr>
        <w:snapToGrid w:val="0"/>
        <w:spacing w:line="360" w:lineRule="auto"/>
        <w:ind w:firstLine="208" w:firstLineChars="87"/>
        <w:rPr>
          <w:rFonts w:hint="eastAsia" w:ascii="宋体" w:hAnsi="宋体" w:eastAsia="宋体" w:cs="宋体"/>
          <w:bCs/>
          <w:color w:val="auto"/>
          <w:sz w:val="24"/>
          <w:highlight w:val="none"/>
        </w:rPr>
      </w:pPr>
    </w:p>
    <w:p>
      <w:pPr>
        <w:snapToGrid w:val="0"/>
        <w:spacing w:line="360" w:lineRule="auto"/>
        <w:ind w:firstLine="208" w:firstLineChars="87"/>
        <w:rPr>
          <w:rFonts w:hint="eastAsia" w:ascii="宋体" w:hAnsi="宋体" w:eastAsia="宋体" w:cs="宋体"/>
          <w:bCs/>
          <w:color w:val="auto"/>
          <w:sz w:val="24"/>
          <w:highlight w:val="none"/>
        </w:rPr>
      </w:pPr>
    </w:p>
    <w:p>
      <w:pPr>
        <w:snapToGrid w:val="0"/>
        <w:spacing w:line="360" w:lineRule="auto"/>
        <w:ind w:firstLine="208" w:firstLineChars="87"/>
        <w:rPr>
          <w:rFonts w:hint="eastAsia" w:ascii="宋体" w:hAnsi="宋体" w:eastAsia="宋体" w:cs="宋体"/>
          <w:bCs/>
          <w:color w:val="auto"/>
          <w:sz w:val="24"/>
          <w:highlight w:val="none"/>
        </w:rPr>
      </w:pP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买方（印章）：                              卖方：（印章） </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法定代表人或委托代理人:（签字）           法定代表人或委托代理人:（签字）</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地址：    </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邮政编码：                                  邮政编码： </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电话： </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传真：                                      传真： </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开户银行及账号：</w:t>
      </w:r>
    </w:p>
    <w:p>
      <w:pPr>
        <w:snapToGrid w:val="0"/>
        <w:spacing w:line="360" w:lineRule="auto"/>
        <w:ind w:firstLine="208" w:firstLineChars="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      年   月    日                   日 期：    年    月   日</w:t>
      </w:r>
    </w:p>
    <w:bookmarkEnd w:id="112"/>
    <w:p>
      <w:pPr>
        <w:pStyle w:val="2"/>
        <w:rPr>
          <w:rFonts w:hint="eastAsia"/>
          <w:color w:val="auto"/>
          <w:highlight w:val="none"/>
        </w:rPr>
      </w:pPr>
      <w:bookmarkStart w:id="117" w:name="_Toc161525863"/>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jc w:val="both"/>
        <w:rPr>
          <w:rFonts w:hint="eastAsia"/>
          <w:color w:val="auto"/>
          <w:highlight w:val="none"/>
        </w:rPr>
      </w:pPr>
    </w:p>
    <w:p>
      <w:pPr>
        <w:pStyle w:val="3"/>
        <w:rPr>
          <w:rFonts w:hint="eastAsia"/>
          <w:color w:val="auto"/>
          <w:highlight w:val="none"/>
        </w:rPr>
      </w:pPr>
    </w:p>
    <w:p>
      <w:pPr>
        <w:rPr>
          <w:rFonts w:hint="eastAsia"/>
          <w:color w:val="auto"/>
          <w:highlight w:val="none"/>
        </w:rPr>
      </w:pPr>
    </w:p>
    <w:p>
      <w:pPr>
        <w:rPr>
          <w:rFonts w:hint="eastAsia"/>
          <w:color w:val="auto"/>
          <w:highlight w:val="none"/>
        </w:rPr>
      </w:pPr>
    </w:p>
    <w:p>
      <w:pPr>
        <w:pStyle w:val="2"/>
        <w:jc w:val="both"/>
        <w:rPr>
          <w:rFonts w:hint="eastAsia"/>
          <w:color w:val="auto"/>
          <w:highlight w:val="none"/>
        </w:rPr>
      </w:pPr>
    </w:p>
    <w:p>
      <w:pPr>
        <w:pStyle w:val="3"/>
        <w:rPr>
          <w:rFonts w:hint="eastAsia"/>
        </w:rPr>
      </w:pPr>
    </w:p>
    <w:p>
      <w:pPr>
        <w:pStyle w:val="2"/>
        <w:jc w:val="center"/>
        <w:rPr>
          <w:color w:val="auto"/>
          <w:highlight w:val="none"/>
        </w:rPr>
      </w:pPr>
      <w:r>
        <w:rPr>
          <w:rFonts w:hint="eastAsia"/>
          <w:color w:val="auto"/>
          <w:highlight w:val="none"/>
        </w:rPr>
        <w:t>第</w:t>
      </w:r>
      <w:bookmarkStart w:id="118" w:name="_Toc9510643"/>
      <w:r>
        <w:rPr>
          <w:rFonts w:hint="eastAsia"/>
          <w:color w:val="auto"/>
          <w:highlight w:val="none"/>
        </w:rPr>
        <w:t>五章投标文件格式</w:t>
      </w:r>
      <w:bookmarkEnd w:id="109"/>
      <w:bookmarkEnd w:id="110"/>
      <w:bookmarkEnd w:id="117"/>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8"/>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rPr>
        <w:t>台</w:t>
      </w:r>
      <w:r>
        <w:rPr>
          <w:rFonts w:hint="eastAsia" w:ascii="宋体" w:hAnsi="宋体" w:cs="宋体"/>
          <w:color w:val="auto"/>
          <w:sz w:val="24"/>
          <w:szCs w:val="24"/>
          <w:highlight w:val="none"/>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3"/>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一、商务部分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3.企业法人营业执照（或登记证书、身份证）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4.投标人情况介绍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6.投标人须具有履行合同所必需的设备和专业技术能力证明资料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10.其他认证证书等</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11.类似成功业绩…………………………………………………………（页码）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12.政府采购政策扶持证明材料…………………………………………（页码）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13.其他证明文件或供应商认为应提交的商务文件……………………（页码）</w:t>
      </w:r>
    </w:p>
    <w:p>
      <w:pPr>
        <w:tabs>
          <w:tab w:val="center" w:pos="4912"/>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二、技术部分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14.技术响应偏离表</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15.产品详细技术规格书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16.产品检测报告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17.针对本项目的详细组织实施方案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18.针对本项目的详细技术培训方案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19.针对本项目的售后服务方案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20.其他优惠条件（如有）</w:t>
      </w:r>
      <w:r>
        <w:rPr>
          <w:rFonts w:hint="eastAsia" w:ascii="宋体" w:hAnsi="宋体" w:cs="宋体"/>
          <w:color w:val="auto"/>
          <w:sz w:val="24"/>
          <w:highlight w:val="none"/>
        </w:rPr>
        <w:t>………………………………………………（页码）</w:t>
      </w:r>
    </w:p>
    <w:p>
      <w:pPr>
        <w:adjustRightInd w:val="0"/>
        <w:snapToGrid w:val="0"/>
        <w:ind w:firstLine="480" w:firstLineChars="200"/>
        <w:rPr>
          <w:rFonts w:ascii="宋体" w:hAnsi="宋体" w:cs="宋体"/>
          <w:color w:val="auto"/>
          <w:sz w:val="24"/>
          <w:highlight w:val="none"/>
        </w:rPr>
      </w:pPr>
      <w:r>
        <w:rPr>
          <w:rFonts w:hint="eastAsia" w:ascii="宋体" w:hAnsi="宋体" w:cs="宋体"/>
          <w:color w:val="auto"/>
          <w:sz w:val="24"/>
          <w:szCs w:val="24"/>
          <w:highlight w:val="none"/>
        </w:rPr>
        <w:t>21.供应商认为需要提供的其他技术文件或资料（如有）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16"/>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16"/>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16"/>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16"/>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16"/>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16"/>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我（姓名）系（投标人名称）的法定代表人（负责人、自然人），现授权委托本单位在职职工 （姓名）以我方的名义参加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7"/>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7"/>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7"/>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7"/>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应提供本单位202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年度经会计师事务所出具的审计报告复印件（报告中须包括资产负债表、利润表、现金流量表及财务报表附注）。如供应商注册不满1年无需提供上述资料。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7、依法缴纳税收和社会保障资金的良好记录</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30"/>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8、前三年内在经营活动中没有重大违法记录的书面声明：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11、2021年1月1日以来同类成功业绩(如有)</w:t>
      </w:r>
      <w:r>
        <w:rPr>
          <w:rFonts w:hint="eastAsia" w:ascii="宋体" w:hAnsi="宋体" w:cs="宋体"/>
          <w:b/>
          <w:color w:val="auto"/>
          <w:sz w:val="24"/>
          <w:szCs w:val="24"/>
          <w:highlight w:val="none"/>
          <w:lang w:eastAsia="zh-CN"/>
        </w:rPr>
        <w:t>。</w:t>
      </w:r>
    </w:p>
    <w:p>
      <w:pPr>
        <w:adjustRightInd w:val="0"/>
        <w:snapToGrid w:val="0"/>
        <w:spacing w:line="400" w:lineRule="exact"/>
        <w:ind w:firstLine="470" w:firstLineChars="196"/>
        <w:jc w:val="left"/>
        <w:rPr>
          <w:rFonts w:ascii="宋体" w:hAnsi="宋体" w:cs="宋体"/>
          <w:color w:val="auto"/>
          <w:sz w:val="24"/>
          <w:szCs w:val="24"/>
          <w:highlight w:val="none"/>
        </w:rPr>
      </w:pPr>
      <w:r>
        <w:rPr>
          <w:rFonts w:hint="eastAsia" w:ascii="宋体" w:hAnsi="宋体" w:cs="宋体"/>
          <w:color w:val="auto"/>
          <w:sz w:val="24"/>
          <w:szCs w:val="24"/>
          <w:highlight w:val="none"/>
        </w:rPr>
        <w:t>以签订合同时间为准，需提供中标（成交）通知书、与最终用户合同复印件，复印件并加盖公章，如出现与事实不符等情况，将根据有关规定以“提供虚假材料谋取中标”予以处罚。</w:t>
      </w: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12、政府采购政策扶持证明材料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2"/>
        <w:snapToGrid w:val="0"/>
        <w:spacing w:before="156" w:after="156"/>
        <w:ind w:firstLine="4305" w:firstLineChars="2050"/>
        <w:rPr>
          <w:rFonts w:hAnsi="宋体" w:cs="宋体"/>
          <w:color w:val="auto"/>
          <w:highlight w:val="none"/>
        </w:rPr>
      </w:pPr>
      <w:r>
        <w:rPr>
          <w:rFonts w:hint="eastAsia" w:hAnsi="宋体" w:cs="宋体"/>
          <w:color w:val="auto"/>
          <w:kern w:val="0"/>
          <w:highlight w:val="none"/>
        </w:rPr>
        <w:t>日期：</w:t>
      </w:r>
    </w:p>
    <w:p>
      <w:pPr>
        <w:snapToGrid w:val="0"/>
        <w:spacing w:line="400" w:lineRule="exact"/>
        <w:ind w:firstLine="480" w:firstLineChars="200"/>
        <w:rPr>
          <w:rFonts w:ascii="宋体" w:hAnsi="宋体" w:cs="宋体"/>
          <w:color w:val="auto"/>
          <w:sz w:val="24"/>
          <w:highlight w:val="none"/>
        </w:rPr>
      </w:pPr>
    </w:p>
    <w:p>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pPr>
        <w:snapToGrid w:val="0"/>
        <w:spacing w:line="400" w:lineRule="exact"/>
        <w:ind w:firstLine="4860" w:firstLineChars="2025"/>
        <w:rPr>
          <w:rFonts w:ascii="宋体" w:hAnsi="宋体" w:cs="宋体"/>
          <w:color w:val="auto"/>
          <w:sz w:val="24"/>
          <w:highlight w:val="none"/>
        </w:rPr>
      </w:pPr>
    </w:p>
    <w:p>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2"/>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pPr>
        <w:pStyle w:val="22"/>
        <w:snapToGrid w:val="0"/>
        <w:spacing w:before="156" w:after="156"/>
        <w:ind w:firstLine="562" w:firstLineChars="200"/>
        <w:jc w:val="left"/>
        <w:rPr>
          <w:rFonts w:hAnsi="宋体" w:cs="宋体"/>
          <w:b/>
          <w:color w:val="auto"/>
          <w:sz w:val="28"/>
          <w:szCs w:val="28"/>
          <w:highlight w:val="none"/>
          <w:lang w:val="zh-CN"/>
        </w:rPr>
      </w:pPr>
    </w:p>
    <w:p>
      <w:pPr>
        <w:pStyle w:val="22"/>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pPr>
        <w:pStyle w:val="22"/>
        <w:snapToGrid w:val="0"/>
        <w:spacing w:before="156" w:after="156"/>
        <w:ind w:firstLine="422" w:firstLineChars="200"/>
        <w:jc w:val="center"/>
        <w:rPr>
          <w:rFonts w:hAnsi="宋体" w:cs="宋体"/>
          <w:b/>
          <w:color w:val="auto"/>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center"/>
        <w:rPr>
          <w:rFonts w:hAnsi="宋体" w:cs="宋体"/>
          <w:b/>
          <w:color w:val="auto"/>
          <w:sz w:val="28"/>
          <w:szCs w:val="28"/>
          <w:highlight w:val="none"/>
          <w:lang w:val="zh-CN"/>
        </w:rPr>
      </w:pPr>
    </w:p>
    <w:p>
      <w:pPr>
        <w:pStyle w:val="22"/>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9" w:name="OLE_LINK13"/>
      <w:bookmarkStart w:id="120"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9"/>
      <w:bookmarkEnd w:id="120"/>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2"/>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2"/>
        <w:snapToGrid w:val="0"/>
        <w:spacing w:before="156" w:after="156"/>
        <w:ind w:firstLine="444" w:firstLineChars="200"/>
        <w:jc w:val="center"/>
        <w:rPr>
          <w:rFonts w:hAnsi="宋体" w:cs="宋体"/>
          <w:color w:val="auto"/>
          <w:spacing w:val="6"/>
          <w:highlight w:val="none"/>
        </w:rPr>
      </w:pPr>
    </w:p>
    <w:p>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198"/>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13、其他证明文件或供应商认为应提交的商务文件</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14、技术偏离表格式：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30"/>
        <w:rPr>
          <w:color w:val="auto"/>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bCs/>
          <w:color w:val="auto"/>
          <w:sz w:val="24"/>
          <w:szCs w:val="24"/>
          <w:highlight w:val="none"/>
        </w:rPr>
        <w:t>15、</w:t>
      </w:r>
      <w:r>
        <w:rPr>
          <w:rFonts w:hint="eastAsia" w:ascii="宋体" w:hAnsi="宋体" w:cs="宋体"/>
          <w:b/>
          <w:color w:val="auto"/>
          <w:sz w:val="24"/>
          <w:szCs w:val="24"/>
          <w:highlight w:val="none"/>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30"/>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16、与产品相关的由国家认可的检测机构出具的检测报告（如有）。</w:t>
      </w: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18、针对本项目的详细技术培训方案：包括（但不限于）</w:t>
      </w:r>
      <w:r>
        <w:rPr>
          <w:rFonts w:ascii="宋体" w:hAnsi="宋体" w:cs="宋体"/>
          <w:b/>
          <w:color w:val="auto"/>
          <w:sz w:val="24"/>
          <w:szCs w:val="24"/>
          <w:highlight w:val="none"/>
        </w:rPr>
        <w:t>培训内容</w:t>
      </w:r>
      <w:r>
        <w:rPr>
          <w:rFonts w:hint="eastAsia" w:ascii="宋体" w:hAnsi="宋体" w:cs="宋体"/>
          <w:b/>
          <w:color w:val="auto"/>
          <w:sz w:val="24"/>
          <w:szCs w:val="24"/>
          <w:highlight w:val="none"/>
        </w:rPr>
        <w:t>、</w:t>
      </w:r>
      <w:r>
        <w:rPr>
          <w:rFonts w:ascii="宋体" w:hAnsi="宋体" w:cs="宋体"/>
          <w:b/>
          <w:color w:val="auto"/>
          <w:sz w:val="24"/>
          <w:szCs w:val="24"/>
          <w:highlight w:val="none"/>
        </w:rPr>
        <w:t>培训方式</w:t>
      </w:r>
      <w:r>
        <w:rPr>
          <w:rFonts w:hint="eastAsia" w:ascii="宋体" w:hAnsi="宋体" w:cs="宋体"/>
          <w:b/>
          <w:color w:val="auto"/>
          <w:sz w:val="24"/>
          <w:szCs w:val="24"/>
          <w:highlight w:val="none"/>
        </w:rPr>
        <w:t>、</w:t>
      </w:r>
      <w:r>
        <w:rPr>
          <w:rFonts w:ascii="宋体" w:hAnsi="宋体" w:cs="宋体"/>
          <w:b/>
          <w:color w:val="auto"/>
          <w:sz w:val="24"/>
          <w:szCs w:val="24"/>
          <w:highlight w:val="none"/>
        </w:rPr>
        <w:t>培训计划</w:t>
      </w:r>
      <w:r>
        <w:rPr>
          <w:rFonts w:hint="eastAsia" w:ascii="宋体" w:hAnsi="宋体" w:cs="宋体"/>
          <w:b/>
          <w:color w:val="auto"/>
          <w:sz w:val="24"/>
          <w:szCs w:val="24"/>
          <w:highlight w:val="none"/>
        </w:rPr>
        <w:t>、</w:t>
      </w:r>
      <w:r>
        <w:rPr>
          <w:rFonts w:ascii="宋体" w:hAnsi="宋体" w:cs="宋体"/>
          <w:b/>
          <w:color w:val="auto"/>
          <w:sz w:val="24"/>
          <w:szCs w:val="24"/>
          <w:highlight w:val="none"/>
        </w:rPr>
        <w:t>培训团队人员配置等</w:t>
      </w:r>
      <w:r>
        <w:rPr>
          <w:rFonts w:hint="eastAsia" w:ascii="宋体" w:hAnsi="宋体" w:cs="宋体"/>
          <w:b/>
          <w:color w:val="auto"/>
          <w:sz w:val="24"/>
          <w:szCs w:val="24"/>
          <w:highlight w:val="none"/>
        </w:rPr>
        <w:t>内容。</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19、针对本项目的售后服务方案：包括（但不限于）售后</w:t>
      </w:r>
      <w:r>
        <w:rPr>
          <w:rFonts w:ascii="宋体" w:hAnsi="宋体" w:cs="宋体"/>
          <w:b/>
          <w:color w:val="auto"/>
          <w:sz w:val="24"/>
          <w:szCs w:val="24"/>
          <w:highlight w:val="none"/>
        </w:rPr>
        <w:t>服务承诺</w:t>
      </w:r>
      <w:r>
        <w:rPr>
          <w:rFonts w:hint="eastAsia" w:ascii="宋体" w:hAnsi="宋体" w:cs="宋体"/>
          <w:b/>
          <w:color w:val="auto"/>
          <w:sz w:val="24"/>
          <w:szCs w:val="24"/>
          <w:highlight w:val="none"/>
        </w:rPr>
        <w:t>、</w:t>
      </w:r>
      <w:r>
        <w:rPr>
          <w:rFonts w:ascii="宋体" w:hAnsi="宋体" w:cs="宋体"/>
          <w:b/>
          <w:color w:val="auto"/>
          <w:sz w:val="24"/>
          <w:szCs w:val="24"/>
          <w:highlight w:val="none"/>
        </w:rPr>
        <w:t>服务响应方案</w:t>
      </w:r>
      <w:r>
        <w:rPr>
          <w:rFonts w:hint="eastAsia" w:ascii="宋体" w:hAnsi="宋体" w:cs="宋体"/>
          <w:b/>
          <w:color w:val="auto"/>
          <w:sz w:val="24"/>
          <w:szCs w:val="24"/>
          <w:highlight w:val="none"/>
        </w:rPr>
        <w:t>、</w:t>
      </w:r>
      <w:r>
        <w:rPr>
          <w:rFonts w:ascii="宋体" w:hAnsi="宋体" w:cs="宋体"/>
          <w:b/>
          <w:color w:val="auto"/>
          <w:sz w:val="24"/>
          <w:szCs w:val="24"/>
          <w:highlight w:val="none"/>
        </w:rPr>
        <w:t>备件（易耗品）供应方案</w:t>
      </w:r>
      <w:r>
        <w:rPr>
          <w:rFonts w:hint="eastAsia" w:ascii="宋体" w:hAnsi="宋体" w:cs="宋体"/>
          <w:b/>
          <w:color w:val="auto"/>
          <w:sz w:val="24"/>
          <w:szCs w:val="24"/>
          <w:highlight w:val="none"/>
        </w:rPr>
        <w:t>（含备件价格）、</w:t>
      </w:r>
      <w:r>
        <w:rPr>
          <w:rFonts w:ascii="宋体" w:hAnsi="宋体" w:cs="宋体"/>
          <w:b/>
          <w:color w:val="auto"/>
          <w:sz w:val="24"/>
          <w:szCs w:val="24"/>
          <w:highlight w:val="none"/>
        </w:rPr>
        <w:t>服务人员配备</w:t>
      </w:r>
      <w:r>
        <w:rPr>
          <w:rFonts w:hint="eastAsia" w:ascii="宋体" w:hAnsi="宋体" w:cs="宋体"/>
          <w:b/>
          <w:color w:val="auto"/>
          <w:sz w:val="24"/>
          <w:szCs w:val="24"/>
          <w:highlight w:val="none"/>
        </w:rPr>
        <w:t>、</w:t>
      </w:r>
      <w:r>
        <w:rPr>
          <w:rFonts w:ascii="宋体" w:hAnsi="宋体" w:cs="宋体"/>
          <w:b/>
          <w:color w:val="auto"/>
          <w:sz w:val="24"/>
          <w:szCs w:val="24"/>
          <w:highlight w:val="none"/>
        </w:rPr>
        <w:t>故障响应</w:t>
      </w:r>
      <w:r>
        <w:rPr>
          <w:rFonts w:hint="eastAsia" w:ascii="宋体" w:hAnsi="宋体" w:cs="宋体"/>
          <w:b/>
          <w:color w:val="auto"/>
          <w:sz w:val="24"/>
          <w:szCs w:val="24"/>
          <w:highlight w:val="none"/>
        </w:rPr>
        <w:t>措施、</w:t>
      </w:r>
      <w:r>
        <w:rPr>
          <w:rFonts w:ascii="宋体" w:hAnsi="宋体" w:cs="宋体"/>
          <w:b/>
          <w:color w:val="auto"/>
          <w:sz w:val="24"/>
          <w:szCs w:val="24"/>
          <w:highlight w:val="none"/>
        </w:rPr>
        <w:t>质保外服务措施等</w:t>
      </w:r>
      <w:r>
        <w:rPr>
          <w:rFonts w:hint="eastAsia" w:ascii="宋体" w:hAnsi="宋体" w:cs="宋体"/>
          <w:b/>
          <w:color w:val="auto"/>
          <w:sz w:val="24"/>
          <w:szCs w:val="24"/>
          <w:highlight w:val="none"/>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ascii="宋体" w:hAnsi="宋体" w:cs="宋体"/>
          <w:b/>
          <w:color w:val="auto"/>
          <w:sz w:val="24"/>
          <w:szCs w:val="24"/>
          <w:highlight w:val="none"/>
        </w:rPr>
      </w:pPr>
    </w:p>
    <w:p>
      <w:pPr>
        <w:pStyle w:val="30"/>
        <w:rPr>
          <w:rFonts w:ascii="宋体" w:hAnsi="宋体" w:cs="宋体"/>
          <w:b/>
          <w:color w:val="auto"/>
          <w:sz w:val="24"/>
          <w:szCs w:val="24"/>
          <w:highlight w:val="none"/>
        </w:rPr>
      </w:pPr>
    </w:p>
    <w:p>
      <w:pPr>
        <w:pStyle w:val="30"/>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20、其他优惠条件（如有）：投标人承诺给予采购人的各种优惠条件，包括备品备件、专用耗材等；</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21、投标人需要提供的其他文件或资料（如有）。</w:t>
      </w: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pStyle w:val="30"/>
        <w:rPr>
          <w:rFonts w:ascii="宋体" w:hAnsi="宋体" w:cs="宋体"/>
          <w:b/>
          <w:bCs/>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7"/>
        <w:spacing w:line="480" w:lineRule="exact"/>
        <w:rPr>
          <w:rFonts w:ascii="仿宋" w:hAnsi="仿宋" w:eastAsia="仿宋" w:cs="仿宋"/>
          <w:b/>
          <w:bCs/>
          <w:color w:val="auto"/>
          <w:kern w:val="0"/>
          <w:sz w:val="24"/>
          <w:szCs w:val="24"/>
          <w:highlight w:val="none"/>
        </w:rPr>
      </w:pPr>
    </w:p>
    <w:p>
      <w:pPr>
        <w:pStyle w:val="17"/>
        <w:spacing w:line="480" w:lineRule="exact"/>
        <w:jc w:val="center"/>
        <w:rPr>
          <w:rFonts w:ascii="仿宋" w:hAnsi="仿宋" w:eastAsia="仿宋" w:cs="仿宋"/>
          <w:b/>
          <w:bCs/>
          <w:color w:val="auto"/>
          <w:kern w:val="0"/>
          <w:sz w:val="24"/>
          <w:szCs w:val="24"/>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r>
        <w:rPr>
          <w:rFonts w:hint="eastAsia"/>
          <w:color w:val="auto"/>
          <w:sz w:val="24"/>
          <w:szCs w:val="22"/>
          <w:highlight w:val="none"/>
        </w:rPr>
        <w:t>附：</w:t>
      </w:r>
    </w:p>
    <w:p>
      <w:pPr>
        <w:pStyle w:val="37"/>
        <w:ind w:firstLine="0" w:firstLineChars="0"/>
        <w:jc w:val="center"/>
        <w:rPr>
          <w:color w:val="auto"/>
          <w:sz w:val="24"/>
          <w:szCs w:val="22"/>
          <w:highlight w:val="none"/>
        </w:rPr>
      </w:pPr>
      <w:r>
        <w:rPr>
          <w:rFonts w:hint="eastAsia"/>
          <w:color w:val="auto"/>
          <w:sz w:val="24"/>
          <w:szCs w:val="22"/>
          <w:highlight w:val="none"/>
        </w:rPr>
        <w:t>质疑函范本</w:t>
      </w:r>
    </w:p>
    <w:p>
      <w:pPr>
        <w:pStyle w:val="37"/>
        <w:ind w:firstLine="480"/>
        <w:rPr>
          <w:color w:val="auto"/>
          <w:sz w:val="24"/>
          <w:szCs w:val="22"/>
          <w:highlight w:val="none"/>
        </w:rPr>
      </w:pPr>
      <w:r>
        <w:rPr>
          <w:rFonts w:hint="eastAsia"/>
          <w:color w:val="auto"/>
          <w:sz w:val="24"/>
          <w:szCs w:val="22"/>
          <w:highlight w:val="none"/>
        </w:rPr>
        <w:t>一、质疑供应商基本信息</w:t>
      </w:r>
    </w:p>
    <w:p>
      <w:pPr>
        <w:pStyle w:val="37"/>
        <w:ind w:firstLine="480"/>
        <w:rPr>
          <w:color w:val="auto"/>
          <w:sz w:val="24"/>
          <w:szCs w:val="22"/>
          <w:highlight w:val="none"/>
          <w:u w:val="single"/>
        </w:rPr>
      </w:pPr>
      <w:r>
        <w:rPr>
          <w:rFonts w:hint="eastAsia"/>
          <w:color w:val="auto"/>
          <w:sz w:val="24"/>
          <w:szCs w:val="22"/>
          <w:highlight w:val="none"/>
        </w:rPr>
        <w:t xml:space="preserve">质疑供应商：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 xml:space="preserve">联系人：                      联系电话：                 </w:t>
      </w:r>
    </w:p>
    <w:p>
      <w:pPr>
        <w:pStyle w:val="37"/>
        <w:ind w:firstLine="480"/>
        <w:rPr>
          <w:color w:val="auto"/>
          <w:sz w:val="24"/>
          <w:szCs w:val="22"/>
          <w:highlight w:val="none"/>
        </w:rPr>
      </w:pPr>
      <w:r>
        <w:rPr>
          <w:rFonts w:hint="eastAsia"/>
          <w:color w:val="auto"/>
          <w:sz w:val="24"/>
          <w:szCs w:val="22"/>
          <w:highlight w:val="none"/>
        </w:rPr>
        <w:t xml:space="preserve">授权代表：                                          </w:t>
      </w:r>
    </w:p>
    <w:p>
      <w:pPr>
        <w:pStyle w:val="37"/>
        <w:ind w:firstLine="480"/>
        <w:rPr>
          <w:color w:val="auto"/>
          <w:sz w:val="24"/>
          <w:szCs w:val="22"/>
          <w:highlight w:val="none"/>
        </w:rPr>
      </w:pPr>
      <w:r>
        <w:rPr>
          <w:rFonts w:hint="eastAsia"/>
          <w:color w:val="auto"/>
          <w:sz w:val="24"/>
          <w:szCs w:val="22"/>
          <w:highlight w:val="none"/>
        </w:rPr>
        <w:t xml:space="preserve">联系电话：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二、质疑项目基本情况</w:t>
      </w:r>
    </w:p>
    <w:p>
      <w:pPr>
        <w:pStyle w:val="37"/>
        <w:ind w:firstLine="480"/>
        <w:rPr>
          <w:color w:val="auto"/>
          <w:sz w:val="24"/>
          <w:szCs w:val="22"/>
          <w:highlight w:val="none"/>
        </w:rPr>
      </w:pPr>
      <w:r>
        <w:rPr>
          <w:rFonts w:hint="eastAsia"/>
          <w:color w:val="auto"/>
          <w:sz w:val="24"/>
          <w:szCs w:val="22"/>
          <w:highlight w:val="none"/>
        </w:rPr>
        <w:t xml:space="preserve">质疑项目的名称：                                      </w:t>
      </w:r>
    </w:p>
    <w:p>
      <w:pPr>
        <w:pStyle w:val="37"/>
        <w:ind w:firstLine="480"/>
        <w:rPr>
          <w:color w:val="auto"/>
          <w:sz w:val="24"/>
          <w:szCs w:val="22"/>
          <w:highlight w:val="none"/>
        </w:rPr>
      </w:pPr>
      <w:r>
        <w:rPr>
          <w:rFonts w:hint="eastAsia"/>
          <w:color w:val="auto"/>
          <w:sz w:val="24"/>
          <w:szCs w:val="22"/>
          <w:highlight w:val="none"/>
        </w:rPr>
        <w:t xml:space="preserve">质疑项目的编号：               包号：                 </w:t>
      </w:r>
    </w:p>
    <w:p>
      <w:pPr>
        <w:pStyle w:val="37"/>
        <w:ind w:firstLine="480"/>
        <w:rPr>
          <w:color w:val="auto"/>
          <w:sz w:val="24"/>
          <w:szCs w:val="22"/>
          <w:highlight w:val="none"/>
        </w:rPr>
      </w:pPr>
      <w:r>
        <w:rPr>
          <w:rFonts w:hint="eastAsia"/>
          <w:color w:val="auto"/>
          <w:sz w:val="24"/>
          <w:szCs w:val="22"/>
          <w:highlight w:val="none"/>
        </w:rPr>
        <w:t xml:space="preserve">采购人名称：                                         </w:t>
      </w:r>
    </w:p>
    <w:p>
      <w:pPr>
        <w:pStyle w:val="37"/>
        <w:ind w:firstLine="480"/>
        <w:rPr>
          <w:color w:val="auto"/>
          <w:sz w:val="24"/>
          <w:szCs w:val="22"/>
          <w:highlight w:val="none"/>
        </w:rPr>
      </w:pPr>
      <w:r>
        <w:rPr>
          <w:rFonts w:hint="eastAsia"/>
          <w:color w:val="auto"/>
          <w:sz w:val="24"/>
          <w:szCs w:val="22"/>
          <w:highlight w:val="none"/>
        </w:rPr>
        <w:t xml:space="preserve">招标文件获取日期：                                           </w:t>
      </w:r>
    </w:p>
    <w:p>
      <w:pPr>
        <w:pStyle w:val="37"/>
        <w:ind w:firstLine="480"/>
        <w:rPr>
          <w:color w:val="auto"/>
          <w:sz w:val="24"/>
          <w:szCs w:val="22"/>
          <w:highlight w:val="none"/>
        </w:rPr>
      </w:pPr>
      <w:r>
        <w:rPr>
          <w:rFonts w:hint="eastAsia"/>
          <w:color w:val="auto"/>
          <w:sz w:val="24"/>
          <w:szCs w:val="22"/>
          <w:highlight w:val="none"/>
        </w:rPr>
        <w:t>三、质疑事项具体内容</w:t>
      </w:r>
    </w:p>
    <w:p>
      <w:pPr>
        <w:pStyle w:val="37"/>
        <w:ind w:firstLine="480"/>
        <w:rPr>
          <w:color w:val="auto"/>
          <w:sz w:val="24"/>
          <w:szCs w:val="22"/>
          <w:highlight w:val="none"/>
        </w:rPr>
      </w:pPr>
      <w:r>
        <w:rPr>
          <w:rFonts w:hint="eastAsia"/>
          <w:color w:val="auto"/>
          <w:sz w:val="24"/>
          <w:szCs w:val="22"/>
          <w:highlight w:val="none"/>
        </w:rPr>
        <w:t xml:space="preserve">质疑事项1：                                         </w:t>
      </w:r>
    </w:p>
    <w:p>
      <w:pPr>
        <w:pStyle w:val="37"/>
        <w:ind w:firstLine="480"/>
        <w:rPr>
          <w:color w:val="auto"/>
          <w:sz w:val="24"/>
          <w:szCs w:val="22"/>
          <w:highlight w:val="none"/>
        </w:rPr>
      </w:pPr>
      <w:r>
        <w:rPr>
          <w:rFonts w:hint="eastAsia"/>
          <w:color w:val="auto"/>
          <w:sz w:val="24"/>
          <w:szCs w:val="22"/>
          <w:highlight w:val="none"/>
        </w:rPr>
        <w:t xml:space="preserve">事实依据：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 xml:space="preserve">法律依据：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质疑事项2</w:t>
      </w:r>
    </w:p>
    <w:p>
      <w:pPr>
        <w:pStyle w:val="37"/>
        <w:ind w:firstLine="480"/>
        <w:rPr>
          <w:color w:val="auto"/>
          <w:sz w:val="24"/>
          <w:szCs w:val="22"/>
          <w:highlight w:val="none"/>
        </w:rPr>
      </w:pPr>
      <w:r>
        <w:rPr>
          <w:rFonts w:hint="eastAsia"/>
          <w:color w:val="auto"/>
          <w:sz w:val="24"/>
          <w:szCs w:val="22"/>
          <w:highlight w:val="none"/>
        </w:rPr>
        <w:t>……</w:t>
      </w:r>
    </w:p>
    <w:p>
      <w:pPr>
        <w:pStyle w:val="37"/>
        <w:ind w:firstLine="480"/>
        <w:rPr>
          <w:color w:val="auto"/>
          <w:sz w:val="24"/>
          <w:szCs w:val="22"/>
          <w:highlight w:val="none"/>
        </w:rPr>
      </w:pPr>
      <w:r>
        <w:rPr>
          <w:rFonts w:hint="eastAsia"/>
          <w:color w:val="auto"/>
          <w:sz w:val="24"/>
          <w:szCs w:val="22"/>
          <w:highlight w:val="none"/>
        </w:rPr>
        <w:t>四、与质疑事项相关的质疑请求</w:t>
      </w:r>
    </w:p>
    <w:p>
      <w:pPr>
        <w:pStyle w:val="37"/>
        <w:ind w:firstLine="480"/>
        <w:rPr>
          <w:color w:val="auto"/>
          <w:sz w:val="24"/>
          <w:szCs w:val="22"/>
          <w:highlight w:val="none"/>
        </w:rPr>
      </w:pPr>
      <w:r>
        <w:rPr>
          <w:rFonts w:hint="eastAsia"/>
          <w:color w:val="auto"/>
          <w:sz w:val="24"/>
          <w:szCs w:val="22"/>
          <w:highlight w:val="none"/>
        </w:rPr>
        <w:t xml:space="preserve">请求：                                               </w:t>
      </w:r>
    </w:p>
    <w:p>
      <w:pPr>
        <w:pStyle w:val="37"/>
        <w:ind w:firstLine="480"/>
        <w:rPr>
          <w:color w:val="auto"/>
          <w:sz w:val="24"/>
          <w:szCs w:val="22"/>
          <w:highlight w:val="none"/>
        </w:rPr>
      </w:pPr>
      <w:r>
        <w:rPr>
          <w:rFonts w:hint="eastAsia"/>
          <w:color w:val="auto"/>
          <w:sz w:val="24"/>
          <w:szCs w:val="22"/>
          <w:highlight w:val="none"/>
        </w:rPr>
        <w:t xml:space="preserve">签字(签章)：                   公章：                      </w:t>
      </w:r>
    </w:p>
    <w:p>
      <w:pPr>
        <w:pStyle w:val="37"/>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37"/>
        <w:ind w:firstLine="480"/>
        <w:rPr>
          <w:color w:val="auto"/>
          <w:sz w:val="24"/>
          <w:szCs w:val="22"/>
          <w:highlight w:val="none"/>
        </w:rPr>
      </w:pPr>
      <w:r>
        <w:rPr>
          <w:rFonts w:hint="eastAsia"/>
          <w:color w:val="auto"/>
          <w:sz w:val="24"/>
          <w:szCs w:val="22"/>
          <w:highlight w:val="none"/>
        </w:rPr>
        <w:t>质疑函制作说明：</w:t>
      </w:r>
    </w:p>
    <w:p>
      <w:pPr>
        <w:pStyle w:val="37"/>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37"/>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37"/>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37"/>
        <w:ind w:firstLine="480"/>
        <w:rPr>
          <w:color w:val="auto"/>
          <w:sz w:val="24"/>
          <w:szCs w:val="22"/>
          <w:highlight w:val="none"/>
        </w:rPr>
      </w:pPr>
      <w:r>
        <w:rPr>
          <w:rFonts w:hint="eastAsia"/>
          <w:color w:val="auto"/>
          <w:sz w:val="24"/>
          <w:szCs w:val="22"/>
          <w:highlight w:val="none"/>
        </w:rPr>
        <w:t>5.质疑函的质疑请求应与质疑事项相关。</w:t>
      </w:r>
    </w:p>
    <w:p>
      <w:pPr>
        <w:pStyle w:val="37"/>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color w:val="auto"/>
          <w:highlight w:val="none"/>
        </w:rPr>
        <w:sectPr>
          <w:footerReference r:id="rId12" w:type="default"/>
          <w:pgSz w:w="11906" w:h="16838"/>
          <w:pgMar w:top="1440" w:right="1800" w:bottom="1440" w:left="1800" w:header="851" w:footer="992" w:gutter="0"/>
          <w:pgNumType w:fmt="decimal"/>
          <w:cols w:space="720" w:num="1"/>
          <w:docGrid w:type="lines" w:linePitch="312" w:charSpace="0"/>
        </w:sectPr>
      </w:pPr>
      <w:bookmarkStart w:id="121" w:name="_Toc30959"/>
      <w:bookmarkStart w:id="122" w:name="_Toc99731325"/>
      <w:bookmarkStart w:id="123" w:name="_Toc105522757"/>
      <w:bookmarkStart w:id="124" w:name="_Toc6920"/>
      <w:bookmarkStart w:id="125" w:name="_Toc95234398"/>
      <w:bookmarkStart w:id="126" w:name="_Toc99731210"/>
    </w:p>
    <w:bookmarkEnd w:id="121"/>
    <w:bookmarkEnd w:id="122"/>
    <w:bookmarkEnd w:id="123"/>
    <w:bookmarkEnd w:id="124"/>
    <w:bookmarkEnd w:id="125"/>
    <w:bookmarkEnd w:id="126"/>
    <w:p>
      <w:pPr>
        <w:pStyle w:val="2"/>
        <w:rPr>
          <w:color w:val="auto"/>
          <w:highlight w:val="none"/>
        </w:rPr>
      </w:pPr>
      <w:bookmarkStart w:id="127" w:name="_Toc161525864"/>
      <w:r>
        <w:rPr>
          <w:rFonts w:hint="eastAsia"/>
          <w:color w:val="auto"/>
          <w:highlight w:val="none"/>
        </w:rPr>
        <w:t>第六章项目需求</w:t>
      </w:r>
      <w:bookmarkEnd w:id="127"/>
    </w:p>
    <w:p>
      <w:pPr>
        <w:pStyle w:val="22"/>
        <w:jc w:val="center"/>
        <w:rPr>
          <w:color w:val="auto"/>
          <w:highlight w:val="none"/>
        </w:rPr>
      </w:pPr>
    </w:p>
    <w:tbl>
      <w:tblPr>
        <w:tblStyle w:val="38"/>
        <w:tblW w:w="9868" w:type="dxa"/>
        <w:jc w:val="center"/>
        <w:tblLayout w:type="autofit"/>
        <w:tblCellMar>
          <w:top w:w="0" w:type="dxa"/>
          <w:left w:w="108" w:type="dxa"/>
          <w:bottom w:w="0" w:type="dxa"/>
          <w:right w:w="108" w:type="dxa"/>
        </w:tblCellMar>
      </w:tblPr>
      <w:tblGrid>
        <w:gridCol w:w="1374"/>
        <w:gridCol w:w="2757"/>
        <w:gridCol w:w="1417"/>
        <w:gridCol w:w="1080"/>
        <w:gridCol w:w="1080"/>
        <w:gridCol w:w="1080"/>
        <w:gridCol w:w="1080"/>
      </w:tblGrid>
      <w:tr>
        <w:tblPrEx>
          <w:tblCellMar>
            <w:top w:w="0" w:type="dxa"/>
            <w:left w:w="108" w:type="dxa"/>
            <w:bottom w:w="0" w:type="dxa"/>
            <w:right w:w="108" w:type="dxa"/>
          </w:tblCellMar>
        </w:tblPrEx>
        <w:trPr>
          <w:trHeight w:val="454" w:hRule="atLeast"/>
          <w:tblHeader/>
          <w:jc w:val="center"/>
        </w:trPr>
        <w:tc>
          <w:tcPr>
            <w:tcW w:w="13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最高限价(万元)</w:t>
            </w:r>
          </w:p>
        </w:tc>
        <w:tc>
          <w:tcPr>
            <w:tcW w:w="275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采购品目名称</w:t>
            </w:r>
          </w:p>
        </w:tc>
        <w:tc>
          <w:tcPr>
            <w:tcW w:w="141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单价的最高限价（万元）</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采购数量</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是否核心产品</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是否提供样品</w:t>
            </w:r>
          </w:p>
        </w:tc>
      </w:tr>
      <w:tr>
        <w:tblPrEx>
          <w:tblCellMar>
            <w:top w:w="0" w:type="dxa"/>
            <w:left w:w="108" w:type="dxa"/>
            <w:bottom w:w="0" w:type="dxa"/>
            <w:right w:w="108" w:type="dxa"/>
          </w:tblCellMar>
        </w:tblPrEx>
        <w:trPr>
          <w:trHeight w:val="454" w:hRule="atLeast"/>
          <w:jc w:val="center"/>
        </w:trPr>
        <w:tc>
          <w:tcPr>
            <w:tcW w:w="1374" w:type="dxa"/>
            <w:vMerge w:val="restart"/>
            <w:tcBorders>
              <w:top w:val="nil"/>
              <w:left w:val="single" w:color="auto" w:sz="4" w:space="0"/>
              <w:right w:val="single" w:color="auto" w:sz="4" w:space="0"/>
            </w:tcBorders>
            <w:shd w:val="clear" w:color="000000" w:fill="FFFFFF"/>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55.17</w:t>
            </w: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位移监测仪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7</w:t>
            </w:r>
            <w:r>
              <w:rPr>
                <w:rFonts w:ascii="宋体" w:hAnsi="宋体"/>
                <w:color w:val="auto"/>
                <w:kern w:val="0"/>
                <w:highlight w:val="none"/>
              </w:rPr>
              <w:t xml:space="preserve">.0000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可燃气体检测仪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可燃气体探测仪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有毒气体探测仪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复合气体检测仪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6.0000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生物快速检测仪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16.0000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余震监测仪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7</w:t>
            </w:r>
            <w:r>
              <w:rPr>
                <w:rFonts w:ascii="宋体" w:hAnsi="宋体"/>
                <w:color w:val="auto"/>
                <w:kern w:val="0"/>
                <w:highlight w:val="none"/>
              </w:rPr>
              <w:t>.</w:t>
            </w:r>
            <w:r>
              <w:rPr>
                <w:rFonts w:hint="eastAsia" w:ascii="宋体" w:hAnsi="宋体"/>
                <w:color w:val="auto"/>
                <w:kern w:val="0"/>
                <w:highlight w:val="none"/>
                <w:lang w:val="en-US" w:eastAsia="zh-CN"/>
              </w:rPr>
              <w:t>8</w:t>
            </w:r>
            <w:r>
              <w:rPr>
                <w:rFonts w:ascii="宋体" w:hAnsi="宋体"/>
                <w:color w:val="auto"/>
                <w:kern w:val="0"/>
                <w:highlight w:val="none"/>
              </w:rPr>
              <w:t xml:space="preserve">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测温仪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0.2</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13</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电子气象仪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测距仪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39</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激光测距仪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39</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现场空气监测仪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1.2000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水下侧扫声呐</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11.0000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水下前视声呐</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13.0000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便携式流速仪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13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75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水深探测仪</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0.9</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bl>
    <w:p>
      <w:pPr>
        <w:pStyle w:val="22"/>
        <w:jc w:val="center"/>
        <w:rPr>
          <w:color w:val="auto"/>
          <w:highlight w:val="none"/>
        </w:rPr>
      </w:pPr>
    </w:p>
    <w:p>
      <w:pPr>
        <w:pStyle w:val="22"/>
        <w:jc w:val="center"/>
        <w:rPr>
          <w:color w:val="auto"/>
          <w:highlight w:val="none"/>
        </w:rPr>
      </w:pPr>
    </w:p>
    <w:p>
      <w:pPr>
        <w:pStyle w:val="22"/>
        <w:jc w:val="center"/>
        <w:rPr>
          <w:color w:val="auto"/>
          <w:highlight w:val="none"/>
        </w:rPr>
      </w:pPr>
    </w:p>
    <w:p>
      <w:pPr>
        <w:pStyle w:val="22"/>
        <w:jc w:val="center"/>
        <w:rPr>
          <w:color w:val="auto"/>
          <w:highlight w:val="none"/>
        </w:rPr>
      </w:pPr>
    </w:p>
    <w:p>
      <w:pPr>
        <w:pStyle w:val="22"/>
        <w:jc w:val="center"/>
        <w:rPr>
          <w:color w:val="auto"/>
          <w:highlight w:val="none"/>
        </w:rPr>
      </w:pPr>
    </w:p>
    <w:p>
      <w:pPr>
        <w:pStyle w:val="22"/>
        <w:rPr>
          <w:color w:val="auto"/>
          <w:highlight w:val="none"/>
        </w:rPr>
        <w:sectPr>
          <w:headerReference r:id="rId13" w:type="default"/>
          <w:footerReference r:id="rId14" w:type="default"/>
          <w:pgSz w:w="11906" w:h="16838"/>
          <w:pgMar w:top="1440" w:right="1803" w:bottom="1440" w:left="1803" w:header="851" w:footer="992" w:gutter="0"/>
          <w:pgNumType w:fmt="decimal"/>
          <w:cols w:space="0" w:num="1"/>
          <w:docGrid w:type="linesAndChars" w:linePitch="319" w:charSpace="0"/>
        </w:sectPr>
      </w:pPr>
    </w:p>
    <w:p>
      <w:pPr>
        <w:widowControl/>
        <w:jc w:val="left"/>
        <w:rPr>
          <w:rFonts w:hint="default" w:ascii="宋体" w:hAnsi="宋体" w:eastAsia="宋体"/>
          <w:b/>
          <w:color w:val="auto"/>
          <w:sz w:val="28"/>
          <w:szCs w:val="28"/>
          <w:highlight w:val="none"/>
          <w:lang w:val="en-US" w:eastAsia="zh-CN"/>
        </w:rPr>
      </w:pPr>
      <w:r>
        <w:rPr>
          <w:rFonts w:hint="eastAsia" w:ascii="宋体" w:hAnsi="宋体"/>
          <w:b/>
          <w:color w:val="auto"/>
          <w:sz w:val="28"/>
          <w:szCs w:val="28"/>
          <w:highlight w:val="none"/>
          <w:lang w:val="en-US" w:eastAsia="zh-CN"/>
        </w:rPr>
        <w:t>采购需求</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位移监测仪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、设备用于检测墙体可能出现松动倾倒、建筑大梁下沉、金属罐体侧移或是玻璃墙倒塌等提前预警的报警系统，设备由主机，手持终端，三脚架组成；</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、激光探测调节可手动调节激位置，调节范围在50m范围内为±2m，在100m范围内为±4m ；视频监视带有按键，可显示被监测物体，视频画面可放大、缩小，并具有拍照、录像以及存储功能；无线传输距离 手持终端与主机的通讯距离≥800m ；激光数量≥2束激光，同时监控≥2个监测点，提高探测准确率 ，激光量程 ≥100m ，激光报警值支持固定报警值和任意设定报警值两种方式；激光精度 ≤1mm；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 报警阈值 激光位移监测具备监测位移变化档位设置功能，可通过快捷键设置不少于8档固定报警阀值和自定义1-999mm范围档位；声光报警 当被监测物体位移变化超出设定阈值后，监测仪应发出声光报警报警声级应≥120dB ；设备具有过近、过远、观测异常、电量过低报警等语音报警提示功能；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、倾角报警器监控装置数量≥2，可显示报警值大小，带有低电压指示灯，报警值≤1；</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、倾角接收器自带一键搜寻功能，当倾角检测仪被掩埋时可进行查找；</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、防护等级≥IP54。</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可燃气体检测仪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▲1、具有国家认证的防爆 Ex ib IIB T3 GB标志；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2、可探测气体：天然气、液化石油气、人工煤气；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3、可燃物气体 (LEL)：0 - 100%（LEL 增量为 1%）；</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4、基本误差：±5%LEL；</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5、预热时间：≤30s；</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6、响应时间：≤30s；</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7、采样方式：扩散式；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8、适用温度范围 -10℃</w:t>
            </w:r>
            <w:r>
              <w:rPr>
                <w:rFonts w:hint="eastAsia" w:ascii="微软雅黑" w:hAnsi="微软雅黑" w:eastAsia="微软雅黑" w:cs="微软雅黑"/>
                <w:color w:val="auto"/>
                <w:kern w:val="0"/>
                <w:highlight w:val="none"/>
              </w:rPr>
              <w:t>〜</w:t>
            </w:r>
            <w:r>
              <w:rPr>
                <w:rFonts w:hint="eastAsia" w:ascii="宋体" w:hAnsi="宋体" w:cs="宋体"/>
                <w:color w:val="auto"/>
                <w:kern w:val="0"/>
                <w:highlight w:val="none"/>
              </w:rPr>
              <w:t>50℃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9、连续运行时间≥6h；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10、LCD液晶显示器，带自动背光照明；</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11、直接读数：传感器实时浓度、电池电量、实时温度；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12、报警设定：低报功能、高报功能设置，声音、发光二极管、振动指示报警，欠压指示；</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13、适用湿度范围 ≤95%RH (无冷凝)；</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14、重量≤200g。</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可燃气体探测仪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、可检测事故现场的甲烷、乙烷、丙烷、丁烷、汽油、天然气、液化气、松节油等20种以上可燃气体，泵吸式采样；</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、实时显示气体读数，测量范围：0-100%LEL；</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、具有防震、防爆、防冲击、防火外壳，不受无线电频率及电磁的干扰，防爆等级满足Exia IIC T4；</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、工作温度：-20～50℃；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、防护等级≥IP66；</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、报警方式：震动及声光报警，可充电锂离子电池，工作时间≥10h。</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有毒气体探测仪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★1、符合GB3836.4-20</w:t>
            </w:r>
            <w:r>
              <w:rPr>
                <w:rFonts w:hint="eastAsia" w:ascii="宋体" w:hAnsi="宋体" w:cs="宋体"/>
                <w:color w:val="auto"/>
                <w:kern w:val="0"/>
                <w:highlight w:val="none"/>
                <w:lang w:val="en-US" w:eastAsia="zh-CN"/>
              </w:rPr>
              <w:t>21</w:t>
            </w:r>
            <w:r>
              <w:rPr>
                <w:rFonts w:hint="eastAsia" w:ascii="宋体" w:hAnsi="宋体" w:cs="宋体"/>
                <w:color w:val="auto"/>
                <w:kern w:val="0"/>
                <w:highlight w:val="none"/>
              </w:rPr>
              <w:t xml:space="preserve">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★2、可同时检测（可燃气，一氧化碳，氧气，硫化氢）等气体，液晶显示屏显示；</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▲3、具备自检、警报震动功能；警报音量≥90dB；</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4、防护等级≥IP67；</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▲5、可燃性气体：</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（1）测量范围：0~100% LEL，</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（2）分辨率≤1% LEL ；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▲6、氧气：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（1）测量范围：0%~25%；</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（2）分辨率≤0.1%；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▲7、一氧化碳：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（1）测量范围0ppm~1000ppm；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（2）分辨率≤1ppm；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▲8、硫化氢：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（1）测量范围0ppm~100ppm，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（2）分辨率≤1ppm；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▲9、连续工作时间≥4h；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10、具有中文说明书和校准证书；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11、具有永久性标志及产品数据标识；</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▲12、整机具有第三方出具的防爆合格证，防爆等级≥Ex ib IICT4。</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复合气体检测仪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、可监测气体包含可燃气体、硫化氢、二氧化硫、一氧化碳、氨气等不少于10种以上毒有害气体浓度，可根据实战需求配备不同检测气体的探头，主机气体采样方式为泵吸，具有中文操作界面；</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、可通过遥控将气体探测仪远程放置在需要探测的区域，后台读取数值；遥控操距离要≥200m，反应时间≤10s，电池持续工作时间≥12h；</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、检测气体不低于以下范围：CO（0～100ppm）、CO</w:t>
            </w:r>
            <w:r>
              <w:rPr>
                <w:color w:val="auto"/>
                <w:kern w:val="0"/>
                <w:highlight w:val="none"/>
              </w:rPr>
              <w:t>₂</w:t>
            </w:r>
            <w:r>
              <w:rPr>
                <w:rFonts w:hint="eastAsia" w:ascii="宋体" w:hAnsi="宋体" w:cs="宋体"/>
                <w:color w:val="auto"/>
                <w:kern w:val="0"/>
                <w:highlight w:val="none"/>
              </w:rPr>
              <w:t>（0～5000ppm）、CH2O（0～10ppm）、O</w:t>
            </w:r>
            <w:r>
              <w:rPr>
                <w:color w:val="auto"/>
                <w:kern w:val="0"/>
                <w:highlight w:val="none"/>
              </w:rPr>
              <w:t>₃</w:t>
            </w:r>
            <w:r>
              <w:rPr>
                <w:rFonts w:hint="eastAsia" w:ascii="宋体" w:hAnsi="宋体" w:cs="宋体"/>
                <w:color w:val="auto"/>
                <w:kern w:val="0"/>
                <w:highlight w:val="none"/>
              </w:rPr>
              <w:t>（0～1ppm）、C6H6（0～10ppm）、TVOC（0～10ppm）；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、检测气体分辨率不低于以下范围：CO（0.01ppm）、CO</w:t>
            </w:r>
            <w:r>
              <w:rPr>
                <w:color w:val="auto"/>
                <w:kern w:val="0"/>
                <w:highlight w:val="none"/>
              </w:rPr>
              <w:t>₂</w:t>
            </w:r>
            <w:r>
              <w:rPr>
                <w:rFonts w:hint="eastAsia" w:ascii="宋体" w:hAnsi="宋体" w:cs="宋体"/>
                <w:color w:val="auto"/>
                <w:kern w:val="0"/>
                <w:highlight w:val="none"/>
              </w:rPr>
              <w:t>（1ppm）、CH2O（0.01ppm）、O</w:t>
            </w:r>
            <w:r>
              <w:rPr>
                <w:color w:val="auto"/>
                <w:kern w:val="0"/>
                <w:highlight w:val="none"/>
              </w:rPr>
              <w:t>₃</w:t>
            </w:r>
            <w:r>
              <w:rPr>
                <w:rFonts w:hint="eastAsia" w:ascii="宋体" w:hAnsi="宋体" w:cs="宋体"/>
                <w:color w:val="auto"/>
                <w:kern w:val="0"/>
                <w:highlight w:val="none"/>
              </w:rPr>
              <w:t>（0.01ppm）、C6H6（0.01ppm）、TVOC（0.01ppm）；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、检测精度≤±1%（F.S）；</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、带过充、过放、过压、过热、短路保护功能；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、防爆等级≥Exia II CT4，防护等级≥IP66；</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、整套系统由接收终端、软件、2套气体报警器及其他配件组成，所有检测数据可通过报警器直接读取，现场声光报警，也可通过无线传输到接收终端。</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6</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生物快速检测仪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可快速对生物污染事故现场的快速侦查检测如鼠疫、炭疽杆菌、土拉菌、布鲁氏菌、肉毒毒素检测卡、蓖麻毒素检测卡、相思子毒素检测卡等生物病毒，自动实验时间≤20min，手动实验时间≤15min，连续工作时间≥24h；</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、技术要求：自动实验时间≤20min，手动试验时间≤15min；</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、可检测检测限为细菌类1000-10000CFU/ml，毒素类50-100pg；</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、仪器由阅读器软件、界面式操作系统两部分组成，通信接口可用数据线连接主机和计算机，可通过计算机软件和主机进行数据传输；</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、具有便携式PVC工程箱设计方便携带，可实现4G、WiFi、蓝牙连接传输数据功能；</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、仪器重量≤0.8kg。</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7</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余震监测仪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、设备主要监测倾斜建筑物、玻璃、建筑大梁、混凝土墙体、金属罐体等，具备声光报警功能；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、设备主机屏幕对角线≥6.5cm，可显示位移、震动实时数值、报警值等内容。可通过三维立体监测 X、Y、Z 三轴显示，分辨率≤0.01 度，精度≤0.1°。具有反向一键搜寻功能，可使各路位移报警器自动报警，反向定位监测仪位置；</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、设备具有反向一键搜寻功能，可使各路位移报警器自动报警，反向定位监测仪位置。设备标配4路余震位移监测器；</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控制终端：≥8英寸液晶显示屏，按键和触摸2种操控方式，可显示角度震动实时数值、各监控器电量、各监控器报警状态、各监控器与主机连接状态、无线传输状态（主机和倾角监测模块开机可通过无线网络自动连接）等信息，并可与倾角监控器实现联动报警监控、监控精度调节等内容。主机能一键录音录像和一键拍照，照片可缩放查看，回放视频可快进快退；</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、设备配置≥4路倾角监测仪，最大监测距离≥100m（空旷环境下）；具备声光报警功能，声光报警器报警声≥120dB，报警声可开启和关闭；报警阈值采用无极多档设计，可根据需要调节；</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、电池工作时间≥50h。</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8</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测温仪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、可预设高、低温危险报警，带背光显示选择功能用于测量事故现场温度；</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、镭射目标测量位置，自动读值锁定及自动关机功能，具备拍照和视频功能，具有数据储存功能；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、能够摄氏/华氏温度单位转换；</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、测温范围:-50℃～950℃；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、测量距离≥100m；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、电池使用时间≥12h，可设置声音报警；</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、误差精度≤1%或者±1℃。</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9</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电子气象仪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、可测风速、温度、湿度、大气压力、海拔；液晶屏显示；</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、具备最大/最小/平均值锁定功能，自动关机功能，数据储存功能；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、风速测量：</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（1）准确度：≤±5%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（2）解析度：0.5-60m/s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（3）反应时间：≤3s；</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、具备多单位显示：米/秒、公里/小时、英尺/分钟、海里（海里/小时）；</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、温度测量：</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（1）准确度：≤±2℃；</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（2）解析度：-45至70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（3）反应时间：≤3s；</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、湿度测量：</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（1）准确度：≤±5%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（2）解析度：10%~90%；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（3）反应时间：≤3s；</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、大气压力：</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（1）准确度：≤±2hPa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（2）解析度：700~1100hPa；</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（3）反应时间：≤3s；</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、工作环境：-20℃~80℃；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9</w:t>
            </w:r>
            <w:r>
              <w:rPr>
                <w:rFonts w:hint="eastAsia" w:ascii="宋体" w:hAnsi="宋体" w:cs="宋体"/>
                <w:color w:val="auto"/>
                <w:kern w:val="0"/>
                <w:highlight w:val="none"/>
              </w:rPr>
              <w:t>、海拔量程：≤7000m；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、重量：≤1000g；</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、具有中文说明书；具有永久性标志及产品数据标识。</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10</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测距仪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、可测量角度、距离、面积等，整机净重≤300g；配备有三角支架；</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、测距范围:4～1500m，测距精度：≤±0.3m；视场角≥5°；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、倾角精度：≤±1°；物镜口径≥20mm；</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、提供专用仪器储运箱及中文使用说明书。</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激光测距仪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★1、满足《手持式激光测距仪检定规程》(JJG 966 2010)要求；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2、技术要求：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（1）具备测距、测高、测角、测速等功能，整机净重≤300g；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（2）测距范围:3～1500m；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（3）测量精度：测距精度：（300m以内）≤±0.2、（300m以上）≤±1m；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（4）测角范围:-90°～+90°，倾角精度:≤±1°；</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（5）视野范围:7°，放大倍数≥7倍；</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（6）有自动关机功能；</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3、提供专用仪器储运箱、中文使用说明书。</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现场空气监测仪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、空气温度传感器量程≥-40~60℃、分辨率≤0.1℃、精度≤±0.2°C(25℃)；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、空气湿度传感器量程≥0~100%RH、分辨率≤0.1%RH、精度≤±3%RH(60% 25℃)；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、风速传感器量程≥0~60m/s 、分辨率≤0.1m/s、精度≤±0.3m/s；</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、风向传感器量程；0-360° 、分辨率≤1°、精度≤±0.5%；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、噪声传感器量程≥30~120dB、分辨率≤1°、精度≤±0.5dB；</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、PM2.5量程≥0~1000ug/m3、分辨率≤1ug/m3、精度≤±10%；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、PM10量程≥0~1000ug/m3、分辨率≤1ug/m3、精度≤±10%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、气压量程≥0~120kPa、分辨率≤0.1kPa、精度≤±0.15kPa@25% 75kPa；</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9</w:t>
            </w:r>
            <w:r>
              <w:rPr>
                <w:rFonts w:hint="eastAsia" w:ascii="宋体" w:hAnsi="宋体" w:cs="宋体"/>
                <w:color w:val="auto"/>
                <w:kern w:val="0"/>
                <w:highlight w:val="none"/>
              </w:rPr>
              <w:t>、主机数据采集器多通道数据采集器、可自动记录、记录间隔可根据客户需求设置、带220V和12V供电；</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、供电方式220V供电系统市电交流电；</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、通讯方式GPRS无线传输免费监测云平台/免费对接政府平台；</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、百叶箱放置噪声、PM2.5、PM10,温湿度，大气压，配件设备支架3m立杆、三脚架支架两种方式可选；</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、具有永久性标志及产品数据标识；</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水下侧扫声呐</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、水下声呐液晶显示屏≥ 12 寸，显示器具有中文操作界面，支持北斗定位功能、全球简易图、无线、雷达等，内置供电系统:控制箱内置锂电池和外置AC供电两种功能，控制面板有电池电量显示，电池续航时间≥10 小时，外接AC供电可实现无限续航；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、声呐最大耐压深度≥200m；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、水下声呐生命探测仪集成了水下声呐技术和水下视频技术双结合先进的水下勘察装备；主要用于水下探测、勘探、水下打捞和救援的用途；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、主机和声呐探头应具备可安装可拆卸支架，可快速在冲锋舟或等多种类型船体上使用；配备水下视频搜索探头，使用高强度材料制作，具有抗水压防冲撞性能，可 360°自动旋转和调整旋转搜索速度，探测深度≥20m ，防水等级≥IP67；</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、水下声呐可进行全方位救援扫描；可开启多分屏，同时查看多个画面，带有下扫、侧扫、CHIRP成像以及水下 360°视频成像。下扫、侧扫均≥90m ，并具备扫描记录功能， 可实时记录探测数据，防护等级≥IP68；</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、配置清单：声呐探测仪主机1台；声呐传感器1个；船用支架 1个；内置专用电池1个；水下视频系统主机1台；水下摄像头1个；≥20m 潜水线1卷；防尘、防水防护箱1个。</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水下前视声呐</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、便携式多用途声纳视频探测系统，具水下探测功能，提供清晰影像，在黑暗或混浊的湖水或河水中协助操作人员从声纳系统和水下摄像头快速地确定目标位置和捕捉实时图像；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、声纳系统：深度，侧面/下方影像≥38m；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、视场角：约800垂直 ×480水平。防水级别：≥IP68；</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、系统能实时显示日期、时间、船速、水深和水温；配备北斗定位系统以显示位置经纬度。声纳影像可以储存SD记忆卡中，电流输出，电压有效值：≥1000W；峰值：≥4000W；</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、操作频率：≥800KHz、455KHz、83KHz；</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、视频系统：≥7''高清彩色LCD屏幕；</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、灯泡使用寿命不少于1000 小时。180</w:t>
            </w:r>
            <w:r>
              <w:rPr>
                <w:rFonts w:hint="eastAsia" w:ascii="微软雅黑" w:hAnsi="微软雅黑" w:eastAsia="微软雅黑" w:cs="微软雅黑"/>
                <w:color w:val="auto"/>
                <w:kern w:val="0"/>
                <w:highlight w:val="none"/>
              </w:rPr>
              <w:t>˚</w:t>
            </w:r>
            <w:r>
              <w:rPr>
                <w:rFonts w:hint="eastAsia" w:ascii="宋体" w:hAnsi="宋体" w:cs="宋体"/>
                <w:color w:val="auto"/>
                <w:kern w:val="0"/>
                <w:highlight w:val="none"/>
              </w:rPr>
              <w:t xml:space="preserve"> 操控角度。镜头总检视范围：≥231</w:t>
            </w:r>
            <w:r>
              <w:rPr>
                <w:rFonts w:hint="eastAsia" w:ascii="微软雅黑" w:hAnsi="微软雅黑" w:eastAsia="微软雅黑" w:cs="微软雅黑"/>
                <w:color w:val="auto"/>
                <w:kern w:val="0"/>
                <w:highlight w:val="none"/>
              </w:rPr>
              <w:t>˚</w:t>
            </w:r>
            <w:r>
              <w:rPr>
                <w:rFonts w:hint="eastAsia" w:ascii="宋体" w:hAnsi="宋体" w:cs="宋体"/>
                <w:color w:val="auto"/>
                <w:kern w:val="0"/>
                <w:highlight w:val="none"/>
              </w:rPr>
              <w:t>；</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、标配≥10米缆线，镜头防水：≥50米、声纳系统连续操作不少2.5小时，视频系统连续操作不少5小时，充电不多于5小时。</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便携式流速仪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★1、符合国家或行业标准：《转子式流速仪》（GB/T 11826-2019）；</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2、主要功能：用于测量水等液体流速的一种便携式测量仪表；</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▲3、测速范围:0.01-8 m/s 或优于；测流误差:≤1.5%或优于；采样时间 1~999s 任意设定或优于；测量方式:测杆定位测量或优于；温度范围:-20℃-50℃ 或优于。</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16</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水深探测仪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after="240"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★1、专有的深度追踪声纳技术、能准确测量水域环境的深度和温度，测量介质：淡水和海水，符合SL/T 185-1997《超声波测深仪》JJG（水利）003-2009《超声波测深仪》；</w:t>
            </w:r>
          </w:p>
          <w:p>
            <w:pPr>
              <w:widowControl/>
              <w:spacing w:after="240"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▲2、探头、显示屏一体化设计，屏幕尺寸: ≥ 200mm x40mm，LCD液晶数据显示，背光设计；</w:t>
            </w:r>
          </w:p>
          <w:p>
            <w:pPr>
              <w:widowControl/>
              <w:spacing w:after="240"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3、工作温度:(-18~71℃)，深度范围：≥0.5m~90m； </w:t>
            </w:r>
          </w:p>
          <w:p>
            <w:pPr>
              <w:widowControl/>
              <w:spacing w:after="240"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▲4、防水等级: 不低于 IP68，防水深度≥100m，声纳发射功率≥200W；</w:t>
            </w:r>
          </w:p>
          <w:p>
            <w:pPr>
              <w:widowControl/>
              <w:spacing w:after="240"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5、电池使用时长:≥22h；9V碱性电池，可测量超过≥300次，正常低耗≤1.6W；</w:t>
            </w:r>
          </w:p>
          <w:p>
            <w:pPr>
              <w:widowControl/>
              <w:spacing w:after="240"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▲6、传感器发射频率:200kHz，传感器波束角度: ≥30°，精度:量程的1/10 深度精度≤0.1m，温度精度≤0.1℃；</w:t>
            </w:r>
          </w:p>
          <w:p>
            <w:pPr>
              <w:widowControl/>
              <w:spacing w:after="240" w:line="276" w:lineRule="auto"/>
              <w:jc w:val="left"/>
              <w:rPr>
                <w:rFonts w:ascii="宋体" w:hAnsi="宋体" w:cs="宋体"/>
                <w:color w:val="auto"/>
                <w:kern w:val="0"/>
                <w:highlight w:val="none"/>
              </w:rPr>
            </w:pPr>
            <w:r>
              <w:rPr>
                <w:rFonts w:hint="eastAsia" w:ascii="宋体" w:hAnsi="宋体" w:cs="宋体"/>
                <w:color w:val="auto"/>
                <w:kern w:val="0"/>
                <w:highlight w:val="none"/>
              </w:rPr>
              <w:t>▲7、磁性开关，可漂浮设计，48小时不下沉，配套便携式设备箱尺寸：≤300mm*250mm*120mm ，结构设计合理，实用性强；</w:t>
            </w:r>
          </w:p>
        </w:tc>
      </w:tr>
    </w:tbl>
    <w:p>
      <w:pPr>
        <w:widowControl/>
        <w:jc w:val="left"/>
        <w:rPr>
          <w:rFonts w:ascii="宋体" w:hAnsi="宋体"/>
          <w:b/>
          <w:color w:val="auto"/>
          <w:sz w:val="28"/>
          <w:szCs w:val="28"/>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w:pict>
        <v:shape id="_x0000_s1029" o:spid="_x0000_s102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2</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pict>
        <v:shape id="_x0000_s1028" o:spid="_x0000_s1028" o:spt="202" type="#_x0000_t202" style="position:absolute;left:0pt;margin-top:0pt;height:10.35pt;width:15.8pt;mso-position-horizontal:center;mso-position-horizontal-relative:margin;z-index:251660288;mso-width-relative:page;mso-height-relative:page;" filled="f" stroked="f" coordsize="21600,21600">
          <v:path/>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26</w:t>
                </w:r>
                <w:r>
                  <w:fldChar w:fldCharType="end"/>
                </w:r>
              </w:p>
            </w:txbxContent>
          </v:textbox>
        </v:shape>
      </w:pic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103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80DFF"/>
    <w:multiLevelType w:val="singleLevel"/>
    <w:tmpl w:val="BE380DFF"/>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8">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3A15682F"/>
    <w:multiLevelType w:val="singleLevel"/>
    <w:tmpl w:val="3A15682F"/>
    <w:lvl w:ilvl="0" w:tentative="0">
      <w:start w:val="0"/>
      <w:numFmt w:val="none"/>
      <w:lvlText w:val=""/>
      <w:lvlJc w:val="left"/>
      <w:pPr>
        <w:tabs>
          <w:tab w:val="left" w:pos="360"/>
        </w:tabs>
      </w:p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4109567C"/>
    <w:multiLevelType w:val="singleLevel"/>
    <w:tmpl w:val="4109567C"/>
    <w:lvl w:ilvl="0" w:tentative="0">
      <w:start w:val="7"/>
      <w:numFmt w:val="chineseCounting"/>
      <w:suff w:val="nothing"/>
      <w:lvlText w:val="%1、"/>
      <w:lvlJc w:val="left"/>
      <w:rPr>
        <w:rFonts w:hint="eastAsia"/>
      </w:rPr>
    </w:lvl>
  </w:abstractNum>
  <w:abstractNum w:abstractNumId="12">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4">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5">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16">
    <w:nsid w:val="7A0F6431"/>
    <w:multiLevelType w:val="singleLevel"/>
    <w:tmpl w:val="7A0F6431"/>
    <w:lvl w:ilvl="0" w:tentative="0">
      <w:start w:val="1"/>
      <w:numFmt w:val="decimal"/>
      <w:suff w:val="space"/>
      <w:lvlText w:val="%1."/>
      <w:lvlJc w:val="left"/>
    </w:lvl>
  </w:abstractNum>
  <w:num w:numId="1">
    <w:abstractNumId w:val="15"/>
  </w:num>
  <w:num w:numId="2">
    <w:abstractNumId w:val="13"/>
  </w:num>
  <w:num w:numId="3">
    <w:abstractNumId w:val="10"/>
  </w:num>
  <w:num w:numId="4">
    <w:abstractNumId w:val="12"/>
  </w:num>
  <w:num w:numId="5">
    <w:abstractNumId w:val="7"/>
  </w:num>
  <w:num w:numId="6">
    <w:abstractNumId w:val="14"/>
  </w:num>
  <w:num w:numId="7">
    <w:abstractNumId w:val="11"/>
  </w:num>
  <w:num w:numId="8">
    <w:abstractNumId w:val="16"/>
  </w:num>
  <w:num w:numId="9">
    <w:abstractNumId w:val="2"/>
  </w:num>
  <w:num w:numId="10">
    <w:abstractNumId w:val="0"/>
  </w:num>
  <w:num w:numId="11">
    <w:abstractNumId w:val="6"/>
  </w:num>
  <w:num w:numId="12">
    <w:abstractNumId w:val="4"/>
  </w:num>
  <w:num w:numId="13">
    <w:abstractNumId w:val="3"/>
  </w:num>
  <w:num w:numId="14">
    <w:abstractNumId w:val="1"/>
  </w:num>
  <w:num w:numId="15">
    <w:abstractNumId w:val="5"/>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MyZDQzN2UyMTRlZDIwOGI3ZWU4Y2Q0N2JmYjU3Nm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055"/>
    <w:rsid w:val="0003239D"/>
    <w:rsid w:val="00033D51"/>
    <w:rsid w:val="00034EE1"/>
    <w:rsid w:val="000355B7"/>
    <w:rsid w:val="00035B84"/>
    <w:rsid w:val="00035DB5"/>
    <w:rsid w:val="00035FD3"/>
    <w:rsid w:val="0003628F"/>
    <w:rsid w:val="00036464"/>
    <w:rsid w:val="000368D5"/>
    <w:rsid w:val="000404B4"/>
    <w:rsid w:val="00041B42"/>
    <w:rsid w:val="00041C0C"/>
    <w:rsid w:val="0004204E"/>
    <w:rsid w:val="000426B0"/>
    <w:rsid w:val="00042ADB"/>
    <w:rsid w:val="000448ED"/>
    <w:rsid w:val="00045FCC"/>
    <w:rsid w:val="0004682D"/>
    <w:rsid w:val="00047D80"/>
    <w:rsid w:val="00050598"/>
    <w:rsid w:val="00050F3A"/>
    <w:rsid w:val="000523C9"/>
    <w:rsid w:val="000527CA"/>
    <w:rsid w:val="00052F6E"/>
    <w:rsid w:val="000533AB"/>
    <w:rsid w:val="000537C1"/>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2A39"/>
    <w:rsid w:val="0007307E"/>
    <w:rsid w:val="00073596"/>
    <w:rsid w:val="000737E5"/>
    <w:rsid w:val="00075DBF"/>
    <w:rsid w:val="000760C9"/>
    <w:rsid w:val="00076450"/>
    <w:rsid w:val="00076D7B"/>
    <w:rsid w:val="00076DB5"/>
    <w:rsid w:val="000771DC"/>
    <w:rsid w:val="00077223"/>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A4DF6"/>
    <w:rsid w:val="000B09F2"/>
    <w:rsid w:val="000B0F3D"/>
    <w:rsid w:val="000B1318"/>
    <w:rsid w:val="000B2104"/>
    <w:rsid w:val="000B2ADE"/>
    <w:rsid w:val="000B3B3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01D"/>
    <w:rsid w:val="000D2400"/>
    <w:rsid w:val="000D26C1"/>
    <w:rsid w:val="000D26D8"/>
    <w:rsid w:val="000D3635"/>
    <w:rsid w:val="000D3A32"/>
    <w:rsid w:val="000D3CF7"/>
    <w:rsid w:val="000D3EE4"/>
    <w:rsid w:val="000D4D2B"/>
    <w:rsid w:val="000D6565"/>
    <w:rsid w:val="000D6A0A"/>
    <w:rsid w:val="000D7692"/>
    <w:rsid w:val="000E0173"/>
    <w:rsid w:val="000E0F51"/>
    <w:rsid w:val="000E157E"/>
    <w:rsid w:val="000E1A22"/>
    <w:rsid w:val="000E5078"/>
    <w:rsid w:val="000E5B4E"/>
    <w:rsid w:val="000E6A6F"/>
    <w:rsid w:val="000F0EB5"/>
    <w:rsid w:val="000F3923"/>
    <w:rsid w:val="000F4D9E"/>
    <w:rsid w:val="000F5242"/>
    <w:rsid w:val="000F5CDE"/>
    <w:rsid w:val="000F6E74"/>
    <w:rsid w:val="000F7537"/>
    <w:rsid w:val="00100053"/>
    <w:rsid w:val="00100A5E"/>
    <w:rsid w:val="00101BDC"/>
    <w:rsid w:val="00101DB7"/>
    <w:rsid w:val="00102619"/>
    <w:rsid w:val="00102D5E"/>
    <w:rsid w:val="00103454"/>
    <w:rsid w:val="00103E0B"/>
    <w:rsid w:val="001040E2"/>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6C9"/>
    <w:rsid w:val="00131881"/>
    <w:rsid w:val="001319ED"/>
    <w:rsid w:val="00131A58"/>
    <w:rsid w:val="001333E9"/>
    <w:rsid w:val="0013433C"/>
    <w:rsid w:val="00134831"/>
    <w:rsid w:val="001372D8"/>
    <w:rsid w:val="00140DFA"/>
    <w:rsid w:val="00141F88"/>
    <w:rsid w:val="0014204A"/>
    <w:rsid w:val="00143575"/>
    <w:rsid w:val="00143BB1"/>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6C99"/>
    <w:rsid w:val="00157E5B"/>
    <w:rsid w:val="00160AE5"/>
    <w:rsid w:val="00161FE1"/>
    <w:rsid w:val="001637D2"/>
    <w:rsid w:val="0016437E"/>
    <w:rsid w:val="00164C69"/>
    <w:rsid w:val="00165AF0"/>
    <w:rsid w:val="00166354"/>
    <w:rsid w:val="001667D0"/>
    <w:rsid w:val="00166EFF"/>
    <w:rsid w:val="0016723E"/>
    <w:rsid w:val="00170097"/>
    <w:rsid w:val="00170749"/>
    <w:rsid w:val="00170A2D"/>
    <w:rsid w:val="00171360"/>
    <w:rsid w:val="00171D87"/>
    <w:rsid w:val="00172A27"/>
    <w:rsid w:val="00172FF1"/>
    <w:rsid w:val="00173033"/>
    <w:rsid w:val="001749B6"/>
    <w:rsid w:val="0017505E"/>
    <w:rsid w:val="00175CEF"/>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182"/>
    <w:rsid w:val="001A26B5"/>
    <w:rsid w:val="001A553F"/>
    <w:rsid w:val="001A55D3"/>
    <w:rsid w:val="001A57FF"/>
    <w:rsid w:val="001A6C7F"/>
    <w:rsid w:val="001A7BA0"/>
    <w:rsid w:val="001A7F3C"/>
    <w:rsid w:val="001B1D18"/>
    <w:rsid w:val="001B2822"/>
    <w:rsid w:val="001B34C4"/>
    <w:rsid w:val="001B37C7"/>
    <w:rsid w:val="001B3A58"/>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1F7F7E"/>
    <w:rsid w:val="00200726"/>
    <w:rsid w:val="00201570"/>
    <w:rsid w:val="00201AAD"/>
    <w:rsid w:val="00201B5C"/>
    <w:rsid w:val="002026FD"/>
    <w:rsid w:val="002029A0"/>
    <w:rsid w:val="00203C1A"/>
    <w:rsid w:val="00203FDB"/>
    <w:rsid w:val="00204503"/>
    <w:rsid w:val="00204B0E"/>
    <w:rsid w:val="00207854"/>
    <w:rsid w:val="00207BDA"/>
    <w:rsid w:val="0021147D"/>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224"/>
    <w:rsid w:val="002447BD"/>
    <w:rsid w:val="00246BED"/>
    <w:rsid w:val="00246C19"/>
    <w:rsid w:val="00250E77"/>
    <w:rsid w:val="002514DA"/>
    <w:rsid w:val="00251DEA"/>
    <w:rsid w:val="00252722"/>
    <w:rsid w:val="00252AA4"/>
    <w:rsid w:val="002537B2"/>
    <w:rsid w:val="00253B67"/>
    <w:rsid w:val="00254207"/>
    <w:rsid w:val="00254B9B"/>
    <w:rsid w:val="002552FB"/>
    <w:rsid w:val="00255420"/>
    <w:rsid w:val="00255C8D"/>
    <w:rsid w:val="00255FEB"/>
    <w:rsid w:val="00257A01"/>
    <w:rsid w:val="00261A7E"/>
    <w:rsid w:val="002623E9"/>
    <w:rsid w:val="0026387F"/>
    <w:rsid w:val="002640B2"/>
    <w:rsid w:val="0026470C"/>
    <w:rsid w:val="00264902"/>
    <w:rsid w:val="00264B13"/>
    <w:rsid w:val="00264D4D"/>
    <w:rsid w:val="00264FAC"/>
    <w:rsid w:val="002657FF"/>
    <w:rsid w:val="002661EC"/>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5DF"/>
    <w:rsid w:val="00275F24"/>
    <w:rsid w:val="0027611E"/>
    <w:rsid w:val="00276467"/>
    <w:rsid w:val="002767AF"/>
    <w:rsid w:val="002769A6"/>
    <w:rsid w:val="00276C85"/>
    <w:rsid w:val="00276F43"/>
    <w:rsid w:val="002773BE"/>
    <w:rsid w:val="00280CC5"/>
    <w:rsid w:val="00280F9F"/>
    <w:rsid w:val="00281C6E"/>
    <w:rsid w:val="00282FDE"/>
    <w:rsid w:val="0028368D"/>
    <w:rsid w:val="00284A73"/>
    <w:rsid w:val="00284F56"/>
    <w:rsid w:val="0028524A"/>
    <w:rsid w:val="00285266"/>
    <w:rsid w:val="0028532D"/>
    <w:rsid w:val="002854C9"/>
    <w:rsid w:val="00286C55"/>
    <w:rsid w:val="00286E46"/>
    <w:rsid w:val="00287A23"/>
    <w:rsid w:val="00292102"/>
    <w:rsid w:val="0029224A"/>
    <w:rsid w:val="0029269B"/>
    <w:rsid w:val="00293DBF"/>
    <w:rsid w:val="00293ED7"/>
    <w:rsid w:val="00295814"/>
    <w:rsid w:val="00296520"/>
    <w:rsid w:val="00296EE7"/>
    <w:rsid w:val="00297C93"/>
    <w:rsid w:val="002A006D"/>
    <w:rsid w:val="002A1B0C"/>
    <w:rsid w:val="002A292D"/>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993"/>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415"/>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0EE1"/>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2025"/>
    <w:rsid w:val="003238EE"/>
    <w:rsid w:val="00325989"/>
    <w:rsid w:val="003267CD"/>
    <w:rsid w:val="00326BC1"/>
    <w:rsid w:val="003306B8"/>
    <w:rsid w:val="003306B9"/>
    <w:rsid w:val="003313D8"/>
    <w:rsid w:val="003320F3"/>
    <w:rsid w:val="003323B2"/>
    <w:rsid w:val="00332D6E"/>
    <w:rsid w:val="00333744"/>
    <w:rsid w:val="00333FC6"/>
    <w:rsid w:val="003346DE"/>
    <w:rsid w:val="00334AA9"/>
    <w:rsid w:val="00336151"/>
    <w:rsid w:val="0033681E"/>
    <w:rsid w:val="0034142F"/>
    <w:rsid w:val="00341757"/>
    <w:rsid w:val="00341B96"/>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061"/>
    <w:rsid w:val="0035183D"/>
    <w:rsid w:val="0035194E"/>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98D"/>
    <w:rsid w:val="00396B6D"/>
    <w:rsid w:val="00396C2C"/>
    <w:rsid w:val="0039729F"/>
    <w:rsid w:val="003979B3"/>
    <w:rsid w:val="003A0F75"/>
    <w:rsid w:val="003A1161"/>
    <w:rsid w:val="003A1441"/>
    <w:rsid w:val="003A201F"/>
    <w:rsid w:val="003A2A26"/>
    <w:rsid w:val="003A359F"/>
    <w:rsid w:val="003A3E40"/>
    <w:rsid w:val="003A4802"/>
    <w:rsid w:val="003A543B"/>
    <w:rsid w:val="003A56A9"/>
    <w:rsid w:val="003A6696"/>
    <w:rsid w:val="003A6B99"/>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741"/>
    <w:rsid w:val="003E4E2B"/>
    <w:rsid w:val="003E7B57"/>
    <w:rsid w:val="003F0211"/>
    <w:rsid w:val="003F121A"/>
    <w:rsid w:val="003F28E4"/>
    <w:rsid w:val="003F421A"/>
    <w:rsid w:val="003F4303"/>
    <w:rsid w:val="003F4C69"/>
    <w:rsid w:val="003F518D"/>
    <w:rsid w:val="003F564E"/>
    <w:rsid w:val="003F5F28"/>
    <w:rsid w:val="003F5F35"/>
    <w:rsid w:val="003F7AD2"/>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6E8A"/>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6DDF"/>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4B33"/>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0147"/>
    <w:rsid w:val="004A045F"/>
    <w:rsid w:val="004A10E2"/>
    <w:rsid w:val="004A147C"/>
    <w:rsid w:val="004A1507"/>
    <w:rsid w:val="004A152F"/>
    <w:rsid w:val="004A16D9"/>
    <w:rsid w:val="004A1765"/>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23C5"/>
    <w:rsid w:val="004C35DD"/>
    <w:rsid w:val="004C3779"/>
    <w:rsid w:val="004C44BC"/>
    <w:rsid w:val="004C5E96"/>
    <w:rsid w:val="004C5F0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1F8"/>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A2D"/>
    <w:rsid w:val="00503B8E"/>
    <w:rsid w:val="00503D2C"/>
    <w:rsid w:val="005041CF"/>
    <w:rsid w:val="005056C0"/>
    <w:rsid w:val="00505B5E"/>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3AA"/>
    <w:rsid w:val="00525ABC"/>
    <w:rsid w:val="00525C95"/>
    <w:rsid w:val="005274DB"/>
    <w:rsid w:val="0052786A"/>
    <w:rsid w:val="005279CE"/>
    <w:rsid w:val="00530081"/>
    <w:rsid w:val="005303F9"/>
    <w:rsid w:val="00531126"/>
    <w:rsid w:val="00531461"/>
    <w:rsid w:val="00532144"/>
    <w:rsid w:val="00532583"/>
    <w:rsid w:val="00533C4E"/>
    <w:rsid w:val="0053498C"/>
    <w:rsid w:val="00534E21"/>
    <w:rsid w:val="0053593D"/>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61BD"/>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56FE"/>
    <w:rsid w:val="005862F7"/>
    <w:rsid w:val="005863EA"/>
    <w:rsid w:val="00587127"/>
    <w:rsid w:val="005879B9"/>
    <w:rsid w:val="00587EC6"/>
    <w:rsid w:val="00590EE1"/>
    <w:rsid w:val="00594762"/>
    <w:rsid w:val="00594C98"/>
    <w:rsid w:val="005957FD"/>
    <w:rsid w:val="00595D5A"/>
    <w:rsid w:val="0059653D"/>
    <w:rsid w:val="00597277"/>
    <w:rsid w:val="00597651"/>
    <w:rsid w:val="00597C31"/>
    <w:rsid w:val="005A1802"/>
    <w:rsid w:val="005A1D7E"/>
    <w:rsid w:val="005A1FD8"/>
    <w:rsid w:val="005A44B6"/>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1AA2"/>
    <w:rsid w:val="005C2806"/>
    <w:rsid w:val="005C2941"/>
    <w:rsid w:val="005C526F"/>
    <w:rsid w:val="005C6801"/>
    <w:rsid w:val="005C7A3E"/>
    <w:rsid w:val="005C7DD2"/>
    <w:rsid w:val="005D197A"/>
    <w:rsid w:val="005D1C6C"/>
    <w:rsid w:val="005D27E4"/>
    <w:rsid w:val="005D2838"/>
    <w:rsid w:val="005D307D"/>
    <w:rsid w:val="005D34D5"/>
    <w:rsid w:val="005D452A"/>
    <w:rsid w:val="005D519D"/>
    <w:rsid w:val="005D59C2"/>
    <w:rsid w:val="005D6EFD"/>
    <w:rsid w:val="005D7200"/>
    <w:rsid w:val="005E1A40"/>
    <w:rsid w:val="005E22B7"/>
    <w:rsid w:val="005E232E"/>
    <w:rsid w:val="005E4E97"/>
    <w:rsid w:val="005E6055"/>
    <w:rsid w:val="005E79EF"/>
    <w:rsid w:val="005E7D55"/>
    <w:rsid w:val="005F0CA7"/>
    <w:rsid w:val="005F3081"/>
    <w:rsid w:val="005F3B87"/>
    <w:rsid w:val="005F3C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2F5C"/>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269E8"/>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2B8"/>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31CD"/>
    <w:rsid w:val="0067336B"/>
    <w:rsid w:val="0067457D"/>
    <w:rsid w:val="00677215"/>
    <w:rsid w:val="00677D3C"/>
    <w:rsid w:val="006806A0"/>
    <w:rsid w:val="006808B3"/>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A98"/>
    <w:rsid w:val="006D2BBC"/>
    <w:rsid w:val="006D2E1F"/>
    <w:rsid w:val="006D2FBF"/>
    <w:rsid w:val="006D3A19"/>
    <w:rsid w:val="006D577B"/>
    <w:rsid w:val="006D5D29"/>
    <w:rsid w:val="006D5E0C"/>
    <w:rsid w:val="006D64AF"/>
    <w:rsid w:val="006D6BB0"/>
    <w:rsid w:val="006D6D4D"/>
    <w:rsid w:val="006E1B1C"/>
    <w:rsid w:val="006E1E98"/>
    <w:rsid w:val="006E2AB6"/>
    <w:rsid w:val="006E311E"/>
    <w:rsid w:val="006E48D6"/>
    <w:rsid w:val="006E62B8"/>
    <w:rsid w:val="006E74AB"/>
    <w:rsid w:val="006F0737"/>
    <w:rsid w:val="006F0B53"/>
    <w:rsid w:val="006F0BB9"/>
    <w:rsid w:val="006F109E"/>
    <w:rsid w:val="006F1203"/>
    <w:rsid w:val="006F1814"/>
    <w:rsid w:val="006F2BF0"/>
    <w:rsid w:val="006F4417"/>
    <w:rsid w:val="006F4A43"/>
    <w:rsid w:val="006F4C11"/>
    <w:rsid w:val="006F5368"/>
    <w:rsid w:val="006F60F7"/>
    <w:rsid w:val="006F68A3"/>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5856"/>
    <w:rsid w:val="0072667B"/>
    <w:rsid w:val="00726C14"/>
    <w:rsid w:val="007277F0"/>
    <w:rsid w:val="00727A7D"/>
    <w:rsid w:val="00727D39"/>
    <w:rsid w:val="00732418"/>
    <w:rsid w:val="00733908"/>
    <w:rsid w:val="00734AA6"/>
    <w:rsid w:val="00735072"/>
    <w:rsid w:val="00735288"/>
    <w:rsid w:val="00737EBA"/>
    <w:rsid w:val="007406DB"/>
    <w:rsid w:val="00740C8C"/>
    <w:rsid w:val="00741C51"/>
    <w:rsid w:val="00741E9C"/>
    <w:rsid w:val="007439BF"/>
    <w:rsid w:val="00744ACA"/>
    <w:rsid w:val="0074531B"/>
    <w:rsid w:val="0074572F"/>
    <w:rsid w:val="00745CA2"/>
    <w:rsid w:val="007501AF"/>
    <w:rsid w:val="00751574"/>
    <w:rsid w:val="007515CC"/>
    <w:rsid w:val="007524AD"/>
    <w:rsid w:val="007528C6"/>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071"/>
    <w:rsid w:val="00774164"/>
    <w:rsid w:val="007743C6"/>
    <w:rsid w:val="00775A41"/>
    <w:rsid w:val="00777D52"/>
    <w:rsid w:val="00780CDB"/>
    <w:rsid w:val="00781A33"/>
    <w:rsid w:val="0078474D"/>
    <w:rsid w:val="00784763"/>
    <w:rsid w:val="00785A40"/>
    <w:rsid w:val="00790661"/>
    <w:rsid w:val="00791230"/>
    <w:rsid w:val="00791649"/>
    <w:rsid w:val="0079328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C5BCF"/>
    <w:rsid w:val="007D06B7"/>
    <w:rsid w:val="007D1506"/>
    <w:rsid w:val="007D40E2"/>
    <w:rsid w:val="007D490C"/>
    <w:rsid w:val="007D5132"/>
    <w:rsid w:val="007D5221"/>
    <w:rsid w:val="007D6351"/>
    <w:rsid w:val="007D68FB"/>
    <w:rsid w:val="007E1466"/>
    <w:rsid w:val="007E2571"/>
    <w:rsid w:val="007E302C"/>
    <w:rsid w:val="007E325F"/>
    <w:rsid w:val="007E37FE"/>
    <w:rsid w:val="007E4185"/>
    <w:rsid w:val="007E4A08"/>
    <w:rsid w:val="007E4FAB"/>
    <w:rsid w:val="007E5799"/>
    <w:rsid w:val="007E5A1C"/>
    <w:rsid w:val="007E5CFD"/>
    <w:rsid w:val="007E5DE0"/>
    <w:rsid w:val="007E7CC0"/>
    <w:rsid w:val="007E7D8F"/>
    <w:rsid w:val="007E7E9F"/>
    <w:rsid w:val="007F2020"/>
    <w:rsid w:val="007F2FB0"/>
    <w:rsid w:val="007F37C9"/>
    <w:rsid w:val="007F4C3B"/>
    <w:rsid w:val="007F5182"/>
    <w:rsid w:val="007F53E2"/>
    <w:rsid w:val="007F561B"/>
    <w:rsid w:val="007F5749"/>
    <w:rsid w:val="007F5B85"/>
    <w:rsid w:val="007F6AC8"/>
    <w:rsid w:val="007F6F33"/>
    <w:rsid w:val="00800149"/>
    <w:rsid w:val="00800BAC"/>
    <w:rsid w:val="00801272"/>
    <w:rsid w:val="0080467D"/>
    <w:rsid w:val="00805C95"/>
    <w:rsid w:val="00806153"/>
    <w:rsid w:val="008063C6"/>
    <w:rsid w:val="008063CB"/>
    <w:rsid w:val="00807C49"/>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3AD"/>
    <w:rsid w:val="00823D0E"/>
    <w:rsid w:val="00826134"/>
    <w:rsid w:val="008263E2"/>
    <w:rsid w:val="00830585"/>
    <w:rsid w:val="00831B06"/>
    <w:rsid w:val="00832016"/>
    <w:rsid w:val="00832B8C"/>
    <w:rsid w:val="00832E5D"/>
    <w:rsid w:val="0083356B"/>
    <w:rsid w:val="008338D8"/>
    <w:rsid w:val="008355D4"/>
    <w:rsid w:val="008370C1"/>
    <w:rsid w:val="008375A3"/>
    <w:rsid w:val="00842EAC"/>
    <w:rsid w:val="00843EED"/>
    <w:rsid w:val="0084407C"/>
    <w:rsid w:val="0084408A"/>
    <w:rsid w:val="0084414A"/>
    <w:rsid w:val="00844875"/>
    <w:rsid w:val="00845A4C"/>
    <w:rsid w:val="00845FFE"/>
    <w:rsid w:val="00846062"/>
    <w:rsid w:val="0084647B"/>
    <w:rsid w:val="0084796E"/>
    <w:rsid w:val="00847D0E"/>
    <w:rsid w:val="00850B80"/>
    <w:rsid w:val="0085109D"/>
    <w:rsid w:val="00851E51"/>
    <w:rsid w:val="008520C9"/>
    <w:rsid w:val="008539C7"/>
    <w:rsid w:val="008547DC"/>
    <w:rsid w:val="00854A2D"/>
    <w:rsid w:val="00854A8D"/>
    <w:rsid w:val="008551BA"/>
    <w:rsid w:val="008568AC"/>
    <w:rsid w:val="008576EF"/>
    <w:rsid w:val="00860E5C"/>
    <w:rsid w:val="00861F00"/>
    <w:rsid w:val="0086204F"/>
    <w:rsid w:val="0086232B"/>
    <w:rsid w:val="00863D85"/>
    <w:rsid w:val="00864C9C"/>
    <w:rsid w:val="008659D6"/>
    <w:rsid w:val="00865B61"/>
    <w:rsid w:val="00866672"/>
    <w:rsid w:val="0086712E"/>
    <w:rsid w:val="00870306"/>
    <w:rsid w:val="00870AAD"/>
    <w:rsid w:val="008715E0"/>
    <w:rsid w:val="00874BAB"/>
    <w:rsid w:val="00875931"/>
    <w:rsid w:val="00876248"/>
    <w:rsid w:val="00877054"/>
    <w:rsid w:val="0087713C"/>
    <w:rsid w:val="0087740E"/>
    <w:rsid w:val="00880159"/>
    <w:rsid w:val="008802AF"/>
    <w:rsid w:val="0088393E"/>
    <w:rsid w:val="008859F0"/>
    <w:rsid w:val="00885FC4"/>
    <w:rsid w:val="00886D12"/>
    <w:rsid w:val="00886F84"/>
    <w:rsid w:val="00887E94"/>
    <w:rsid w:val="008928E6"/>
    <w:rsid w:val="00892DC1"/>
    <w:rsid w:val="0089354A"/>
    <w:rsid w:val="00894558"/>
    <w:rsid w:val="0089584C"/>
    <w:rsid w:val="0089738C"/>
    <w:rsid w:val="008A004C"/>
    <w:rsid w:val="008A067E"/>
    <w:rsid w:val="008A0C4A"/>
    <w:rsid w:val="008A1810"/>
    <w:rsid w:val="008A212F"/>
    <w:rsid w:val="008A21EC"/>
    <w:rsid w:val="008A291B"/>
    <w:rsid w:val="008A318E"/>
    <w:rsid w:val="008A566A"/>
    <w:rsid w:val="008A6857"/>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13F1"/>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04ED"/>
    <w:rsid w:val="008F1CB9"/>
    <w:rsid w:val="008F2197"/>
    <w:rsid w:val="008F2AA1"/>
    <w:rsid w:val="008F3B99"/>
    <w:rsid w:val="008F445F"/>
    <w:rsid w:val="008F46F7"/>
    <w:rsid w:val="008F5128"/>
    <w:rsid w:val="008F5184"/>
    <w:rsid w:val="008F5D65"/>
    <w:rsid w:val="008F628A"/>
    <w:rsid w:val="008F67D0"/>
    <w:rsid w:val="008F6BC2"/>
    <w:rsid w:val="008F6F05"/>
    <w:rsid w:val="008F7B4F"/>
    <w:rsid w:val="00901675"/>
    <w:rsid w:val="00902139"/>
    <w:rsid w:val="00902860"/>
    <w:rsid w:val="00902884"/>
    <w:rsid w:val="00902D61"/>
    <w:rsid w:val="00907908"/>
    <w:rsid w:val="00910D58"/>
    <w:rsid w:val="009124E3"/>
    <w:rsid w:val="009125AE"/>
    <w:rsid w:val="00912C3E"/>
    <w:rsid w:val="0091343D"/>
    <w:rsid w:val="00914B4E"/>
    <w:rsid w:val="00915D17"/>
    <w:rsid w:val="00917031"/>
    <w:rsid w:val="009171C9"/>
    <w:rsid w:val="00917A79"/>
    <w:rsid w:val="0092024E"/>
    <w:rsid w:val="00920842"/>
    <w:rsid w:val="00920FE4"/>
    <w:rsid w:val="00921D77"/>
    <w:rsid w:val="009222B0"/>
    <w:rsid w:val="00923406"/>
    <w:rsid w:val="00923B86"/>
    <w:rsid w:val="0092428A"/>
    <w:rsid w:val="0092484B"/>
    <w:rsid w:val="009249B4"/>
    <w:rsid w:val="00927DDF"/>
    <w:rsid w:val="00927FE6"/>
    <w:rsid w:val="009304B8"/>
    <w:rsid w:val="009310E4"/>
    <w:rsid w:val="009316D2"/>
    <w:rsid w:val="00931CE7"/>
    <w:rsid w:val="009334EE"/>
    <w:rsid w:val="00935971"/>
    <w:rsid w:val="0093647E"/>
    <w:rsid w:val="009364DE"/>
    <w:rsid w:val="00936B2E"/>
    <w:rsid w:val="0093709D"/>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5A4F"/>
    <w:rsid w:val="00956694"/>
    <w:rsid w:val="0095690A"/>
    <w:rsid w:val="00961EC8"/>
    <w:rsid w:val="009625D4"/>
    <w:rsid w:val="00962635"/>
    <w:rsid w:val="009631FA"/>
    <w:rsid w:val="0096362C"/>
    <w:rsid w:val="00965AEC"/>
    <w:rsid w:val="009668C2"/>
    <w:rsid w:val="00967B62"/>
    <w:rsid w:val="00967C33"/>
    <w:rsid w:val="0097077D"/>
    <w:rsid w:val="00971E52"/>
    <w:rsid w:val="00971FF7"/>
    <w:rsid w:val="00972AF9"/>
    <w:rsid w:val="00974F8C"/>
    <w:rsid w:val="00975A18"/>
    <w:rsid w:val="00976082"/>
    <w:rsid w:val="00976359"/>
    <w:rsid w:val="009770AB"/>
    <w:rsid w:val="009803F5"/>
    <w:rsid w:val="009810FC"/>
    <w:rsid w:val="00981AED"/>
    <w:rsid w:val="009820ED"/>
    <w:rsid w:val="0098223A"/>
    <w:rsid w:val="00982397"/>
    <w:rsid w:val="009828F8"/>
    <w:rsid w:val="00982C4F"/>
    <w:rsid w:val="009835BB"/>
    <w:rsid w:val="00983904"/>
    <w:rsid w:val="0098642B"/>
    <w:rsid w:val="009865EC"/>
    <w:rsid w:val="00987188"/>
    <w:rsid w:val="00987369"/>
    <w:rsid w:val="00987EEB"/>
    <w:rsid w:val="00990589"/>
    <w:rsid w:val="00990672"/>
    <w:rsid w:val="00990CF7"/>
    <w:rsid w:val="00992D59"/>
    <w:rsid w:val="00994534"/>
    <w:rsid w:val="00994812"/>
    <w:rsid w:val="009948ED"/>
    <w:rsid w:val="00995AF3"/>
    <w:rsid w:val="00995B1C"/>
    <w:rsid w:val="0099603D"/>
    <w:rsid w:val="009A0FE1"/>
    <w:rsid w:val="009A1207"/>
    <w:rsid w:val="009A12CC"/>
    <w:rsid w:val="009A1E6A"/>
    <w:rsid w:val="009A322D"/>
    <w:rsid w:val="009A4021"/>
    <w:rsid w:val="009A4ECB"/>
    <w:rsid w:val="009A5A12"/>
    <w:rsid w:val="009A5E63"/>
    <w:rsid w:val="009A6055"/>
    <w:rsid w:val="009A6718"/>
    <w:rsid w:val="009A6AA0"/>
    <w:rsid w:val="009B00F8"/>
    <w:rsid w:val="009B0EBA"/>
    <w:rsid w:val="009B2512"/>
    <w:rsid w:val="009B36C3"/>
    <w:rsid w:val="009B4072"/>
    <w:rsid w:val="009B4657"/>
    <w:rsid w:val="009B5096"/>
    <w:rsid w:val="009B7691"/>
    <w:rsid w:val="009B79E5"/>
    <w:rsid w:val="009B7E34"/>
    <w:rsid w:val="009B7FEF"/>
    <w:rsid w:val="009C2B21"/>
    <w:rsid w:val="009C2BC4"/>
    <w:rsid w:val="009C3CC4"/>
    <w:rsid w:val="009C4D7A"/>
    <w:rsid w:val="009C5703"/>
    <w:rsid w:val="009C57D2"/>
    <w:rsid w:val="009C6D07"/>
    <w:rsid w:val="009C7CC2"/>
    <w:rsid w:val="009D18C4"/>
    <w:rsid w:val="009D4829"/>
    <w:rsid w:val="009D4B72"/>
    <w:rsid w:val="009D4EA6"/>
    <w:rsid w:val="009D4EB3"/>
    <w:rsid w:val="009D4F38"/>
    <w:rsid w:val="009D6298"/>
    <w:rsid w:val="009D6481"/>
    <w:rsid w:val="009D6C9B"/>
    <w:rsid w:val="009D7D5C"/>
    <w:rsid w:val="009D7F85"/>
    <w:rsid w:val="009E50F7"/>
    <w:rsid w:val="009E6B3B"/>
    <w:rsid w:val="009E7800"/>
    <w:rsid w:val="009F3B3B"/>
    <w:rsid w:val="009F4900"/>
    <w:rsid w:val="009F512E"/>
    <w:rsid w:val="009F6402"/>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4DC"/>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0CE7"/>
    <w:rsid w:val="00A315F2"/>
    <w:rsid w:val="00A31FDD"/>
    <w:rsid w:val="00A3295D"/>
    <w:rsid w:val="00A33A76"/>
    <w:rsid w:val="00A33BAB"/>
    <w:rsid w:val="00A34A44"/>
    <w:rsid w:val="00A35926"/>
    <w:rsid w:val="00A35BA2"/>
    <w:rsid w:val="00A35C68"/>
    <w:rsid w:val="00A37278"/>
    <w:rsid w:val="00A37D8B"/>
    <w:rsid w:val="00A40BCD"/>
    <w:rsid w:val="00A411A3"/>
    <w:rsid w:val="00A42755"/>
    <w:rsid w:val="00A438A7"/>
    <w:rsid w:val="00A43E05"/>
    <w:rsid w:val="00A443B3"/>
    <w:rsid w:val="00A44A1A"/>
    <w:rsid w:val="00A464D1"/>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A39"/>
    <w:rsid w:val="00A72E9B"/>
    <w:rsid w:val="00A747FA"/>
    <w:rsid w:val="00A74DBB"/>
    <w:rsid w:val="00A765DF"/>
    <w:rsid w:val="00A808DD"/>
    <w:rsid w:val="00A820A8"/>
    <w:rsid w:val="00A821B5"/>
    <w:rsid w:val="00A869AC"/>
    <w:rsid w:val="00A86C3B"/>
    <w:rsid w:val="00A87493"/>
    <w:rsid w:val="00A87912"/>
    <w:rsid w:val="00A90070"/>
    <w:rsid w:val="00A90235"/>
    <w:rsid w:val="00A902F6"/>
    <w:rsid w:val="00A90BE2"/>
    <w:rsid w:val="00A90CBF"/>
    <w:rsid w:val="00A90E4D"/>
    <w:rsid w:val="00A93324"/>
    <w:rsid w:val="00A94729"/>
    <w:rsid w:val="00A95264"/>
    <w:rsid w:val="00A95B10"/>
    <w:rsid w:val="00A970B8"/>
    <w:rsid w:val="00A97174"/>
    <w:rsid w:val="00AA0091"/>
    <w:rsid w:val="00AA00AD"/>
    <w:rsid w:val="00AA0803"/>
    <w:rsid w:val="00AA0888"/>
    <w:rsid w:val="00AA12D7"/>
    <w:rsid w:val="00AA14AB"/>
    <w:rsid w:val="00AA3408"/>
    <w:rsid w:val="00AA45A7"/>
    <w:rsid w:val="00AA46B9"/>
    <w:rsid w:val="00AA4F80"/>
    <w:rsid w:val="00AA575E"/>
    <w:rsid w:val="00AA5ADD"/>
    <w:rsid w:val="00AA5D39"/>
    <w:rsid w:val="00AA650F"/>
    <w:rsid w:val="00AB01B2"/>
    <w:rsid w:val="00AB0247"/>
    <w:rsid w:val="00AB0265"/>
    <w:rsid w:val="00AB03C2"/>
    <w:rsid w:val="00AB1105"/>
    <w:rsid w:val="00AB224C"/>
    <w:rsid w:val="00AB2564"/>
    <w:rsid w:val="00AB3BA3"/>
    <w:rsid w:val="00AB490F"/>
    <w:rsid w:val="00AB531B"/>
    <w:rsid w:val="00AB547D"/>
    <w:rsid w:val="00AB63B5"/>
    <w:rsid w:val="00AC01B5"/>
    <w:rsid w:val="00AC0CA1"/>
    <w:rsid w:val="00AC13F4"/>
    <w:rsid w:val="00AC25D1"/>
    <w:rsid w:val="00AC3044"/>
    <w:rsid w:val="00AC3AFE"/>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2D8"/>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2AC4"/>
    <w:rsid w:val="00B042EE"/>
    <w:rsid w:val="00B0452E"/>
    <w:rsid w:val="00B05012"/>
    <w:rsid w:val="00B05BB3"/>
    <w:rsid w:val="00B060E2"/>
    <w:rsid w:val="00B06652"/>
    <w:rsid w:val="00B07B8A"/>
    <w:rsid w:val="00B10DDB"/>
    <w:rsid w:val="00B10F04"/>
    <w:rsid w:val="00B1130A"/>
    <w:rsid w:val="00B11DC0"/>
    <w:rsid w:val="00B12AF7"/>
    <w:rsid w:val="00B12BDA"/>
    <w:rsid w:val="00B13827"/>
    <w:rsid w:val="00B150F7"/>
    <w:rsid w:val="00B15380"/>
    <w:rsid w:val="00B175A0"/>
    <w:rsid w:val="00B20552"/>
    <w:rsid w:val="00B2069B"/>
    <w:rsid w:val="00B21285"/>
    <w:rsid w:val="00B214D3"/>
    <w:rsid w:val="00B2406E"/>
    <w:rsid w:val="00B24A27"/>
    <w:rsid w:val="00B25B24"/>
    <w:rsid w:val="00B27108"/>
    <w:rsid w:val="00B3037F"/>
    <w:rsid w:val="00B30769"/>
    <w:rsid w:val="00B319DD"/>
    <w:rsid w:val="00B31D2C"/>
    <w:rsid w:val="00B329B6"/>
    <w:rsid w:val="00B3349F"/>
    <w:rsid w:val="00B33DCE"/>
    <w:rsid w:val="00B34013"/>
    <w:rsid w:val="00B34CD7"/>
    <w:rsid w:val="00B34F8F"/>
    <w:rsid w:val="00B353E9"/>
    <w:rsid w:val="00B3738F"/>
    <w:rsid w:val="00B37C39"/>
    <w:rsid w:val="00B4071D"/>
    <w:rsid w:val="00B41D59"/>
    <w:rsid w:val="00B42AC5"/>
    <w:rsid w:val="00B43774"/>
    <w:rsid w:val="00B43C1B"/>
    <w:rsid w:val="00B444B6"/>
    <w:rsid w:val="00B44752"/>
    <w:rsid w:val="00B447B4"/>
    <w:rsid w:val="00B452BF"/>
    <w:rsid w:val="00B45AEE"/>
    <w:rsid w:val="00B4606C"/>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BAB"/>
    <w:rsid w:val="00B60ECC"/>
    <w:rsid w:val="00B61291"/>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3B64"/>
    <w:rsid w:val="00B745FB"/>
    <w:rsid w:val="00B74AD0"/>
    <w:rsid w:val="00B76488"/>
    <w:rsid w:val="00B764B0"/>
    <w:rsid w:val="00B77C75"/>
    <w:rsid w:val="00B77D12"/>
    <w:rsid w:val="00B8043E"/>
    <w:rsid w:val="00B80864"/>
    <w:rsid w:val="00B817CF"/>
    <w:rsid w:val="00B8269F"/>
    <w:rsid w:val="00B82EDC"/>
    <w:rsid w:val="00B830EF"/>
    <w:rsid w:val="00B83201"/>
    <w:rsid w:val="00B8338B"/>
    <w:rsid w:val="00B83C43"/>
    <w:rsid w:val="00B83E72"/>
    <w:rsid w:val="00B851FB"/>
    <w:rsid w:val="00B86E8A"/>
    <w:rsid w:val="00B873C2"/>
    <w:rsid w:val="00B908E7"/>
    <w:rsid w:val="00B93186"/>
    <w:rsid w:val="00B93B9C"/>
    <w:rsid w:val="00B942CC"/>
    <w:rsid w:val="00B9472A"/>
    <w:rsid w:val="00B94780"/>
    <w:rsid w:val="00B974E5"/>
    <w:rsid w:val="00BA0A43"/>
    <w:rsid w:val="00BA2102"/>
    <w:rsid w:val="00BA4D63"/>
    <w:rsid w:val="00BA5C53"/>
    <w:rsid w:val="00BA6021"/>
    <w:rsid w:val="00BA6AD1"/>
    <w:rsid w:val="00BA6BC8"/>
    <w:rsid w:val="00BB0257"/>
    <w:rsid w:val="00BB0292"/>
    <w:rsid w:val="00BB02DB"/>
    <w:rsid w:val="00BB19B7"/>
    <w:rsid w:val="00BB32B8"/>
    <w:rsid w:val="00BB4322"/>
    <w:rsid w:val="00BB4C23"/>
    <w:rsid w:val="00BB5B80"/>
    <w:rsid w:val="00BB60B8"/>
    <w:rsid w:val="00BC054E"/>
    <w:rsid w:val="00BC085E"/>
    <w:rsid w:val="00BC5FDF"/>
    <w:rsid w:val="00BC634D"/>
    <w:rsid w:val="00BC6784"/>
    <w:rsid w:val="00BC6B5B"/>
    <w:rsid w:val="00BC6E2A"/>
    <w:rsid w:val="00BC6E3B"/>
    <w:rsid w:val="00BC7FE9"/>
    <w:rsid w:val="00BD1903"/>
    <w:rsid w:val="00BD3E0D"/>
    <w:rsid w:val="00BD4529"/>
    <w:rsid w:val="00BD4CA2"/>
    <w:rsid w:val="00BD4CC3"/>
    <w:rsid w:val="00BD4E96"/>
    <w:rsid w:val="00BD589C"/>
    <w:rsid w:val="00BD60AF"/>
    <w:rsid w:val="00BD718B"/>
    <w:rsid w:val="00BE095B"/>
    <w:rsid w:val="00BE0A0A"/>
    <w:rsid w:val="00BE1DC6"/>
    <w:rsid w:val="00BE22B6"/>
    <w:rsid w:val="00BE2857"/>
    <w:rsid w:val="00BE4C09"/>
    <w:rsid w:val="00BE4D08"/>
    <w:rsid w:val="00BE4FC8"/>
    <w:rsid w:val="00BE5551"/>
    <w:rsid w:val="00BE58B4"/>
    <w:rsid w:val="00BE5DB0"/>
    <w:rsid w:val="00BE766E"/>
    <w:rsid w:val="00BE7C6A"/>
    <w:rsid w:val="00BE7F6A"/>
    <w:rsid w:val="00BF0209"/>
    <w:rsid w:val="00BF042D"/>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8D0"/>
    <w:rsid w:val="00C01F08"/>
    <w:rsid w:val="00C021EB"/>
    <w:rsid w:val="00C0268E"/>
    <w:rsid w:val="00C0358B"/>
    <w:rsid w:val="00C0449D"/>
    <w:rsid w:val="00C0521B"/>
    <w:rsid w:val="00C06083"/>
    <w:rsid w:val="00C064A7"/>
    <w:rsid w:val="00C102D6"/>
    <w:rsid w:val="00C103E2"/>
    <w:rsid w:val="00C10D60"/>
    <w:rsid w:val="00C110AA"/>
    <w:rsid w:val="00C11385"/>
    <w:rsid w:val="00C11843"/>
    <w:rsid w:val="00C11AF0"/>
    <w:rsid w:val="00C12152"/>
    <w:rsid w:val="00C1217A"/>
    <w:rsid w:val="00C12ADD"/>
    <w:rsid w:val="00C12ED0"/>
    <w:rsid w:val="00C13613"/>
    <w:rsid w:val="00C14128"/>
    <w:rsid w:val="00C1468B"/>
    <w:rsid w:val="00C149A5"/>
    <w:rsid w:val="00C16CA0"/>
    <w:rsid w:val="00C2149B"/>
    <w:rsid w:val="00C22419"/>
    <w:rsid w:val="00C23C94"/>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30AE"/>
    <w:rsid w:val="00C57489"/>
    <w:rsid w:val="00C604BD"/>
    <w:rsid w:val="00C61872"/>
    <w:rsid w:val="00C61A15"/>
    <w:rsid w:val="00C63194"/>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5035"/>
    <w:rsid w:val="00C77337"/>
    <w:rsid w:val="00C774C9"/>
    <w:rsid w:val="00C801A7"/>
    <w:rsid w:val="00C8036D"/>
    <w:rsid w:val="00C80841"/>
    <w:rsid w:val="00C80A33"/>
    <w:rsid w:val="00C80DCA"/>
    <w:rsid w:val="00C81A71"/>
    <w:rsid w:val="00C81E47"/>
    <w:rsid w:val="00C84E9B"/>
    <w:rsid w:val="00C86851"/>
    <w:rsid w:val="00C86A36"/>
    <w:rsid w:val="00C86BF0"/>
    <w:rsid w:val="00C9193F"/>
    <w:rsid w:val="00C923A0"/>
    <w:rsid w:val="00C926A4"/>
    <w:rsid w:val="00C92B56"/>
    <w:rsid w:val="00C930DF"/>
    <w:rsid w:val="00C93737"/>
    <w:rsid w:val="00C9402E"/>
    <w:rsid w:val="00C9461A"/>
    <w:rsid w:val="00C94F87"/>
    <w:rsid w:val="00C95B6C"/>
    <w:rsid w:val="00C95C4E"/>
    <w:rsid w:val="00C969D1"/>
    <w:rsid w:val="00C9789E"/>
    <w:rsid w:val="00C97927"/>
    <w:rsid w:val="00C97A9F"/>
    <w:rsid w:val="00C97AE2"/>
    <w:rsid w:val="00CA0D6F"/>
    <w:rsid w:val="00CA27F8"/>
    <w:rsid w:val="00CA33F8"/>
    <w:rsid w:val="00CA3732"/>
    <w:rsid w:val="00CA3A65"/>
    <w:rsid w:val="00CA584B"/>
    <w:rsid w:val="00CA5C6E"/>
    <w:rsid w:val="00CA735A"/>
    <w:rsid w:val="00CB04A4"/>
    <w:rsid w:val="00CB0C94"/>
    <w:rsid w:val="00CB23DC"/>
    <w:rsid w:val="00CB28E7"/>
    <w:rsid w:val="00CB2DEE"/>
    <w:rsid w:val="00CB4260"/>
    <w:rsid w:val="00CB449E"/>
    <w:rsid w:val="00CB5475"/>
    <w:rsid w:val="00CB54F4"/>
    <w:rsid w:val="00CB5A5A"/>
    <w:rsid w:val="00CB5CA9"/>
    <w:rsid w:val="00CB649B"/>
    <w:rsid w:val="00CB6718"/>
    <w:rsid w:val="00CC06A1"/>
    <w:rsid w:val="00CC0807"/>
    <w:rsid w:val="00CC0852"/>
    <w:rsid w:val="00CC09C8"/>
    <w:rsid w:val="00CC0DB4"/>
    <w:rsid w:val="00CC0DF1"/>
    <w:rsid w:val="00CC1DED"/>
    <w:rsid w:val="00CC1E5D"/>
    <w:rsid w:val="00CC257A"/>
    <w:rsid w:val="00CC2AA5"/>
    <w:rsid w:val="00CC48AC"/>
    <w:rsid w:val="00CC4CA4"/>
    <w:rsid w:val="00CC513F"/>
    <w:rsid w:val="00CC5D64"/>
    <w:rsid w:val="00CC6497"/>
    <w:rsid w:val="00CC7B85"/>
    <w:rsid w:val="00CD0578"/>
    <w:rsid w:val="00CD17D5"/>
    <w:rsid w:val="00CD2D1F"/>
    <w:rsid w:val="00CD3B53"/>
    <w:rsid w:val="00CD3B69"/>
    <w:rsid w:val="00CD4A18"/>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5F20"/>
    <w:rsid w:val="00CE660C"/>
    <w:rsid w:val="00CE66EA"/>
    <w:rsid w:val="00CE720B"/>
    <w:rsid w:val="00CE7859"/>
    <w:rsid w:val="00CE7C56"/>
    <w:rsid w:val="00CE7ED3"/>
    <w:rsid w:val="00CF170D"/>
    <w:rsid w:val="00CF2B49"/>
    <w:rsid w:val="00CF3F63"/>
    <w:rsid w:val="00CF4C60"/>
    <w:rsid w:val="00CF60E0"/>
    <w:rsid w:val="00CF61E2"/>
    <w:rsid w:val="00CF716B"/>
    <w:rsid w:val="00D00673"/>
    <w:rsid w:val="00D00B2D"/>
    <w:rsid w:val="00D01747"/>
    <w:rsid w:val="00D0198A"/>
    <w:rsid w:val="00D0245A"/>
    <w:rsid w:val="00D03AF1"/>
    <w:rsid w:val="00D0437F"/>
    <w:rsid w:val="00D04D6C"/>
    <w:rsid w:val="00D05470"/>
    <w:rsid w:val="00D06750"/>
    <w:rsid w:val="00D06C89"/>
    <w:rsid w:val="00D06FC1"/>
    <w:rsid w:val="00D06FE4"/>
    <w:rsid w:val="00D106B9"/>
    <w:rsid w:val="00D11D3B"/>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0F2F"/>
    <w:rsid w:val="00D31430"/>
    <w:rsid w:val="00D318CC"/>
    <w:rsid w:val="00D32DD5"/>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47E69"/>
    <w:rsid w:val="00D5001E"/>
    <w:rsid w:val="00D504EE"/>
    <w:rsid w:val="00D51AFA"/>
    <w:rsid w:val="00D51B3B"/>
    <w:rsid w:val="00D52153"/>
    <w:rsid w:val="00D52403"/>
    <w:rsid w:val="00D5327B"/>
    <w:rsid w:val="00D5379A"/>
    <w:rsid w:val="00D55F4E"/>
    <w:rsid w:val="00D565C9"/>
    <w:rsid w:val="00D57629"/>
    <w:rsid w:val="00D60725"/>
    <w:rsid w:val="00D60878"/>
    <w:rsid w:val="00D60ECA"/>
    <w:rsid w:val="00D63683"/>
    <w:rsid w:val="00D63B86"/>
    <w:rsid w:val="00D64531"/>
    <w:rsid w:val="00D647E8"/>
    <w:rsid w:val="00D64944"/>
    <w:rsid w:val="00D664E3"/>
    <w:rsid w:val="00D664F8"/>
    <w:rsid w:val="00D67710"/>
    <w:rsid w:val="00D71906"/>
    <w:rsid w:val="00D7435C"/>
    <w:rsid w:val="00D74539"/>
    <w:rsid w:val="00D74984"/>
    <w:rsid w:val="00D750F5"/>
    <w:rsid w:val="00D76D87"/>
    <w:rsid w:val="00D775DD"/>
    <w:rsid w:val="00D775EF"/>
    <w:rsid w:val="00D77E69"/>
    <w:rsid w:val="00D803E8"/>
    <w:rsid w:val="00D805DB"/>
    <w:rsid w:val="00D819E2"/>
    <w:rsid w:val="00D822F1"/>
    <w:rsid w:val="00D824F4"/>
    <w:rsid w:val="00D8372F"/>
    <w:rsid w:val="00D83D68"/>
    <w:rsid w:val="00D84905"/>
    <w:rsid w:val="00D90332"/>
    <w:rsid w:val="00D9073B"/>
    <w:rsid w:val="00D9264B"/>
    <w:rsid w:val="00D92768"/>
    <w:rsid w:val="00D92988"/>
    <w:rsid w:val="00D9377B"/>
    <w:rsid w:val="00D94EAB"/>
    <w:rsid w:val="00D95DB2"/>
    <w:rsid w:val="00D96031"/>
    <w:rsid w:val="00D96ABC"/>
    <w:rsid w:val="00D9727A"/>
    <w:rsid w:val="00D97622"/>
    <w:rsid w:val="00D9762C"/>
    <w:rsid w:val="00DA003A"/>
    <w:rsid w:val="00DA2415"/>
    <w:rsid w:val="00DA27AF"/>
    <w:rsid w:val="00DA3A59"/>
    <w:rsid w:val="00DA3CED"/>
    <w:rsid w:val="00DA421F"/>
    <w:rsid w:val="00DA4B8D"/>
    <w:rsid w:val="00DA5D20"/>
    <w:rsid w:val="00DA6586"/>
    <w:rsid w:val="00DA66CE"/>
    <w:rsid w:val="00DA6B93"/>
    <w:rsid w:val="00DB0DF4"/>
    <w:rsid w:val="00DB2DE1"/>
    <w:rsid w:val="00DB3230"/>
    <w:rsid w:val="00DB3AA4"/>
    <w:rsid w:val="00DB4332"/>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C0C"/>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1D9"/>
    <w:rsid w:val="00E1696F"/>
    <w:rsid w:val="00E1717B"/>
    <w:rsid w:val="00E17816"/>
    <w:rsid w:val="00E17F27"/>
    <w:rsid w:val="00E20A8B"/>
    <w:rsid w:val="00E2125F"/>
    <w:rsid w:val="00E21D8C"/>
    <w:rsid w:val="00E22B48"/>
    <w:rsid w:val="00E22FFC"/>
    <w:rsid w:val="00E233FF"/>
    <w:rsid w:val="00E23836"/>
    <w:rsid w:val="00E2403C"/>
    <w:rsid w:val="00E24BE2"/>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0CAB"/>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49A7"/>
    <w:rsid w:val="00E65370"/>
    <w:rsid w:val="00E65BF4"/>
    <w:rsid w:val="00E663BB"/>
    <w:rsid w:val="00E664A2"/>
    <w:rsid w:val="00E669BF"/>
    <w:rsid w:val="00E67442"/>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2F3"/>
    <w:rsid w:val="00EA49EF"/>
    <w:rsid w:val="00EA4A0F"/>
    <w:rsid w:val="00EA6769"/>
    <w:rsid w:val="00EA6BFD"/>
    <w:rsid w:val="00EA71ED"/>
    <w:rsid w:val="00EB0ADA"/>
    <w:rsid w:val="00EB16AC"/>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900"/>
    <w:rsid w:val="00ED7AB9"/>
    <w:rsid w:val="00ED7FA7"/>
    <w:rsid w:val="00EE0555"/>
    <w:rsid w:val="00EE3ED6"/>
    <w:rsid w:val="00EE5504"/>
    <w:rsid w:val="00EE6C71"/>
    <w:rsid w:val="00EE7B20"/>
    <w:rsid w:val="00EF0017"/>
    <w:rsid w:val="00EF2076"/>
    <w:rsid w:val="00EF21B3"/>
    <w:rsid w:val="00EF2464"/>
    <w:rsid w:val="00EF2999"/>
    <w:rsid w:val="00EF2C5B"/>
    <w:rsid w:val="00EF393F"/>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1FDD"/>
    <w:rsid w:val="00F12B32"/>
    <w:rsid w:val="00F1330A"/>
    <w:rsid w:val="00F14F0B"/>
    <w:rsid w:val="00F15061"/>
    <w:rsid w:val="00F150FA"/>
    <w:rsid w:val="00F15826"/>
    <w:rsid w:val="00F203D0"/>
    <w:rsid w:val="00F207A4"/>
    <w:rsid w:val="00F20A51"/>
    <w:rsid w:val="00F2131E"/>
    <w:rsid w:val="00F23C3B"/>
    <w:rsid w:val="00F243B5"/>
    <w:rsid w:val="00F26400"/>
    <w:rsid w:val="00F30066"/>
    <w:rsid w:val="00F31969"/>
    <w:rsid w:val="00F32880"/>
    <w:rsid w:val="00F32D9A"/>
    <w:rsid w:val="00F334FF"/>
    <w:rsid w:val="00F33A69"/>
    <w:rsid w:val="00F368DF"/>
    <w:rsid w:val="00F370C1"/>
    <w:rsid w:val="00F37288"/>
    <w:rsid w:val="00F40D6E"/>
    <w:rsid w:val="00F41BC3"/>
    <w:rsid w:val="00F4207B"/>
    <w:rsid w:val="00F4475E"/>
    <w:rsid w:val="00F44C48"/>
    <w:rsid w:val="00F44C84"/>
    <w:rsid w:val="00F44EF3"/>
    <w:rsid w:val="00F4581C"/>
    <w:rsid w:val="00F4684B"/>
    <w:rsid w:val="00F47C44"/>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DDC"/>
    <w:rsid w:val="00F60F9B"/>
    <w:rsid w:val="00F61917"/>
    <w:rsid w:val="00F62167"/>
    <w:rsid w:val="00F62CC1"/>
    <w:rsid w:val="00F6339C"/>
    <w:rsid w:val="00F636A8"/>
    <w:rsid w:val="00F63B77"/>
    <w:rsid w:val="00F64DDC"/>
    <w:rsid w:val="00F653D7"/>
    <w:rsid w:val="00F6609A"/>
    <w:rsid w:val="00F66557"/>
    <w:rsid w:val="00F7012F"/>
    <w:rsid w:val="00F71770"/>
    <w:rsid w:val="00F717A5"/>
    <w:rsid w:val="00F72576"/>
    <w:rsid w:val="00F7304D"/>
    <w:rsid w:val="00F73C1D"/>
    <w:rsid w:val="00F742A7"/>
    <w:rsid w:val="00F742BF"/>
    <w:rsid w:val="00F748DD"/>
    <w:rsid w:val="00F753A9"/>
    <w:rsid w:val="00F759D6"/>
    <w:rsid w:val="00F75E96"/>
    <w:rsid w:val="00F766B8"/>
    <w:rsid w:val="00F76D2D"/>
    <w:rsid w:val="00F77D9D"/>
    <w:rsid w:val="00F77FA4"/>
    <w:rsid w:val="00F77FD8"/>
    <w:rsid w:val="00F81FFE"/>
    <w:rsid w:val="00F827B2"/>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4EE"/>
    <w:rsid w:val="00F96BC7"/>
    <w:rsid w:val="00F97DE9"/>
    <w:rsid w:val="00FA09E1"/>
    <w:rsid w:val="00FA15BA"/>
    <w:rsid w:val="00FA2C0E"/>
    <w:rsid w:val="00FA3DAE"/>
    <w:rsid w:val="00FA4D54"/>
    <w:rsid w:val="00FA5745"/>
    <w:rsid w:val="00FA67C1"/>
    <w:rsid w:val="00FA7FE2"/>
    <w:rsid w:val="00FB1683"/>
    <w:rsid w:val="00FB1850"/>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335"/>
    <w:rsid w:val="00FE453C"/>
    <w:rsid w:val="00FE4A86"/>
    <w:rsid w:val="00FE73EA"/>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FB1BFF"/>
    <w:rsid w:val="0205056A"/>
    <w:rsid w:val="02190BBE"/>
    <w:rsid w:val="021B6D21"/>
    <w:rsid w:val="0225600F"/>
    <w:rsid w:val="02322F28"/>
    <w:rsid w:val="023B08EE"/>
    <w:rsid w:val="023F388C"/>
    <w:rsid w:val="02421CC3"/>
    <w:rsid w:val="02561DE2"/>
    <w:rsid w:val="02695A35"/>
    <w:rsid w:val="02725E2D"/>
    <w:rsid w:val="027D11A2"/>
    <w:rsid w:val="028227B2"/>
    <w:rsid w:val="0286314D"/>
    <w:rsid w:val="02935814"/>
    <w:rsid w:val="029E5B2D"/>
    <w:rsid w:val="02A0096B"/>
    <w:rsid w:val="02AE013F"/>
    <w:rsid w:val="02B64DFD"/>
    <w:rsid w:val="02C1579F"/>
    <w:rsid w:val="02C32118"/>
    <w:rsid w:val="02CA6108"/>
    <w:rsid w:val="02D60F91"/>
    <w:rsid w:val="02D76984"/>
    <w:rsid w:val="02E40D97"/>
    <w:rsid w:val="02E85072"/>
    <w:rsid w:val="02F333A9"/>
    <w:rsid w:val="02FB21AB"/>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E80CD8"/>
    <w:rsid w:val="03EE48EF"/>
    <w:rsid w:val="03F11BF1"/>
    <w:rsid w:val="03F24DC9"/>
    <w:rsid w:val="03F34100"/>
    <w:rsid w:val="04161F26"/>
    <w:rsid w:val="04170DF7"/>
    <w:rsid w:val="04320854"/>
    <w:rsid w:val="043D5D21"/>
    <w:rsid w:val="04483D61"/>
    <w:rsid w:val="045020EC"/>
    <w:rsid w:val="046A53CB"/>
    <w:rsid w:val="047821E2"/>
    <w:rsid w:val="04947470"/>
    <w:rsid w:val="04C40E62"/>
    <w:rsid w:val="04CD12BD"/>
    <w:rsid w:val="04D66201"/>
    <w:rsid w:val="04DB2929"/>
    <w:rsid w:val="04F96FF0"/>
    <w:rsid w:val="04FC3F5D"/>
    <w:rsid w:val="04FF5314"/>
    <w:rsid w:val="05010644"/>
    <w:rsid w:val="05031C1C"/>
    <w:rsid w:val="051313AC"/>
    <w:rsid w:val="05144C7F"/>
    <w:rsid w:val="053013D0"/>
    <w:rsid w:val="05401924"/>
    <w:rsid w:val="0544423B"/>
    <w:rsid w:val="056612F2"/>
    <w:rsid w:val="057B42FE"/>
    <w:rsid w:val="05B37535"/>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D05B2E"/>
    <w:rsid w:val="06D870D9"/>
    <w:rsid w:val="06E82CFE"/>
    <w:rsid w:val="06F313BF"/>
    <w:rsid w:val="07124399"/>
    <w:rsid w:val="071C0C28"/>
    <w:rsid w:val="072A23D5"/>
    <w:rsid w:val="073B74A1"/>
    <w:rsid w:val="074B379C"/>
    <w:rsid w:val="07561504"/>
    <w:rsid w:val="07565F25"/>
    <w:rsid w:val="075864F0"/>
    <w:rsid w:val="07660A33"/>
    <w:rsid w:val="076C4500"/>
    <w:rsid w:val="07751C03"/>
    <w:rsid w:val="0777098F"/>
    <w:rsid w:val="07841BEF"/>
    <w:rsid w:val="0786398B"/>
    <w:rsid w:val="078932FF"/>
    <w:rsid w:val="07AA0244"/>
    <w:rsid w:val="07B224B6"/>
    <w:rsid w:val="07B5030F"/>
    <w:rsid w:val="07B75BB0"/>
    <w:rsid w:val="07BF3D6F"/>
    <w:rsid w:val="07D12B5A"/>
    <w:rsid w:val="07DD5D59"/>
    <w:rsid w:val="07E037EB"/>
    <w:rsid w:val="07E71830"/>
    <w:rsid w:val="07F53F9D"/>
    <w:rsid w:val="07F615C4"/>
    <w:rsid w:val="07FA0547"/>
    <w:rsid w:val="080571A2"/>
    <w:rsid w:val="080A2255"/>
    <w:rsid w:val="080D777F"/>
    <w:rsid w:val="0814117C"/>
    <w:rsid w:val="081F0C1E"/>
    <w:rsid w:val="0828314D"/>
    <w:rsid w:val="084E0BD6"/>
    <w:rsid w:val="08503979"/>
    <w:rsid w:val="085A158C"/>
    <w:rsid w:val="085D7497"/>
    <w:rsid w:val="086428B3"/>
    <w:rsid w:val="08656BD0"/>
    <w:rsid w:val="087760D1"/>
    <w:rsid w:val="087B0710"/>
    <w:rsid w:val="08854A3B"/>
    <w:rsid w:val="089D7D7B"/>
    <w:rsid w:val="08A76D63"/>
    <w:rsid w:val="08B35707"/>
    <w:rsid w:val="08DD6B03"/>
    <w:rsid w:val="08E43B0F"/>
    <w:rsid w:val="08FF7DDD"/>
    <w:rsid w:val="090166A2"/>
    <w:rsid w:val="09022534"/>
    <w:rsid w:val="090D5D07"/>
    <w:rsid w:val="0922667C"/>
    <w:rsid w:val="09275236"/>
    <w:rsid w:val="092B119A"/>
    <w:rsid w:val="0940385B"/>
    <w:rsid w:val="0941465B"/>
    <w:rsid w:val="094F6709"/>
    <w:rsid w:val="0952183D"/>
    <w:rsid w:val="09637930"/>
    <w:rsid w:val="09664528"/>
    <w:rsid w:val="096C5C58"/>
    <w:rsid w:val="096D038B"/>
    <w:rsid w:val="097848B8"/>
    <w:rsid w:val="0983683C"/>
    <w:rsid w:val="09853824"/>
    <w:rsid w:val="09985395"/>
    <w:rsid w:val="099F7FEA"/>
    <w:rsid w:val="09B65D38"/>
    <w:rsid w:val="09C7032E"/>
    <w:rsid w:val="09CB3C0A"/>
    <w:rsid w:val="09D24C53"/>
    <w:rsid w:val="09EF672A"/>
    <w:rsid w:val="09FA3203"/>
    <w:rsid w:val="09FF7BFE"/>
    <w:rsid w:val="0A3D1A29"/>
    <w:rsid w:val="0A3F5CD9"/>
    <w:rsid w:val="0A5A637B"/>
    <w:rsid w:val="0A663B0A"/>
    <w:rsid w:val="0A6E4652"/>
    <w:rsid w:val="0A7C228C"/>
    <w:rsid w:val="0A867835"/>
    <w:rsid w:val="0AA536BF"/>
    <w:rsid w:val="0AA82F3B"/>
    <w:rsid w:val="0AB75001"/>
    <w:rsid w:val="0ACB0F48"/>
    <w:rsid w:val="0AD754CD"/>
    <w:rsid w:val="0AE83ED5"/>
    <w:rsid w:val="0AEC697C"/>
    <w:rsid w:val="0B0634FA"/>
    <w:rsid w:val="0B087721"/>
    <w:rsid w:val="0B0C5CC4"/>
    <w:rsid w:val="0B1612A2"/>
    <w:rsid w:val="0B212588"/>
    <w:rsid w:val="0B217B56"/>
    <w:rsid w:val="0B2C6CAB"/>
    <w:rsid w:val="0B3F2C19"/>
    <w:rsid w:val="0B5012DA"/>
    <w:rsid w:val="0B523A95"/>
    <w:rsid w:val="0B5F56D3"/>
    <w:rsid w:val="0B681ED1"/>
    <w:rsid w:val="0B6B22C9"/>
    <w:rsid w:val="0B70168E"/>
    <w:rsid w:val="0B72147D"/>
    <w:rsid w:val="0B7725F4"/>
    <w:rsid w:val="0B8B2703"/>
    <w:rsid w:val="0B8D3F60"/>
    <w:rsid w:val="0B951D43"/>
    <w:rsid w:val="0B9A1F23"/>
    <w:rsid w:val="0B9B6EF1"/>
    <w:rsid w:val="0B9C1C9D"/>
    <w:rsid w:val="0BA706AC"/>
    <w:rsid w:val="0BB02E2A"/>
    <w:rsid w:val="0BB8526F"/>
    <w:rsid w:val="0BC71C64"/>
    <w:rsid w:val="0BC8644B"/>
    <w:rsid w:val="0BDB78F8"/>
    <w:rsid w:val="0BF72442"/>
    <w:rsid w:val="0BFC49CA"/>
    <w:rsid w:val="0BFF7F8F"/>
    <w:rsid w:val="0C1A74BA"/>
    <w:rsid w:val="0C2658DC"/>
    <w:rsid w:val="0C3410D8"/>
    <w:rsid w:val="0C410A25"/>
    <w:rsid w:val="0C477D93"/>
    <w:rsid w:val="0C55652A"/>
    <w:rsid w:val="0C5D5223"/>
    <w:rsid w:val="0C5E1BFD"/>
    <w:rsid w:val="0C631F97"/>
    <w:rsid w:val="0C69300E"/>
    <w:rsid w:val="0C7042B9"/>
    <w:rsid w:val="0C7512C7"/>
    <w:rsid w:val="0C777867"/>
    <w:rsid w:val="0C793191"/>
    <w:rsid w:val="0C7B02EA"/>
    <w:rsid w:val="0C937576"/>
    <w:rsid w:val="0C992063"/>
    <w:rsid w:val="0C9F6118"/>
    <w:rsid w:val="0CA14B3C"/>
    <w:rsid w:val="0CC441C8"/>
    <w:rsid w:val="0CC53C5B"/>
    <w:rsid w:val="0CCD169F"/>
    <w:rsid w:val="0CCD5722"/>
    <w:rsid w:val="0CDC0754"/>
    <w:rsid w:val="0CE831C7"/>
    <w:rsid w:val="0CFF53BF"/>
    <w:rsid w:val="0D0208D3"/>
    <w:rsid w:val="0D033888"/>
    <w:rsid w:val="0D091841"/>
    <w:rsid w:val="0D1A0B50"/>
    <w:rsid w:val="0D2C070A"/>
    <w:rsid w:val="0D2C767A"/>
    <w:rsid w:val="0D3247FD"/>
    <w:rsid w:val="0D4F346B"/>
    <w:rsid w:val="0D694F5F"/>
    <w:rsid w:val="0D6A79DB"/>
    <w:rsid w:val="0DA6181C"/>
    <w:rsid w:val="0DAE75C1"/>
    <w:rsid w:val="0DAF2A5B"/>
    <w:rsid w:val="0DB00D5C"/>
    <w:rsid w:val="0DB8226D"/>
    <w:rsid w:val="0DB902A0"/>
    <w:rsid w:val="0DC85F26"/>
    <w:rsid w:val="0DD2548D"/>
    <w:rsid w:val="0DDF7BF6"/>
    <w:rsid w:val="0DE133C7"/>
    <w:rsid w:val="0DE657DA"/>
    <w:rsid w:val="0DF03072"/>
    <w:rsid w:val="0DF575E7"/>
    <w:rsid w:val="0E0B0E89"/>
    <w:rsid w:val="0E191823"/>
    <w:rsid w:val="0E227B23"/>
    <w:rsid w:val="0E2E708F"/>
    <w:rsid w:val="0E3A292E"/>
    <w:rsid w:val="0E502AAA"/>
    <w:rsid w:val="0E5D364A"/>
    <w:rsid w:val="0E811E04"/>
    <w:rsid w:val="0EA86FBB"/>
    <w:rsid w:val="0EC842D6"/>
    <w:rsid w:val="0ED8416C"/>
    <w:rsid w:val="0EE43BCF"/>
    <w:rsid w:val="0EEA02B1"/>
    <w:rsid w:val="0EED0C82"/>
    <w:rsid w:val="0EF42513"/>
    <w:rsid w:val="0EF94317"/>
    <w:rsid w:val="0EFC6C34"/>
    <w:rsid w:val="0F020558"/>
    <w:rsid w:val="0F052A35"/>
    <w:rsid w:val="0F18383B"/>
    <w:rsid w:val="0F196507"/>
    <w:rsid w:val="0F204B19"/>
    <w:rsid w:val="0F2D739E"/>
    <w:rsid w:val="0F2D7847"/>
    <w:rsid w:val="0F343334"/>
    <w:rsid w:val="0F375BC5"/>
    <w:rsid w:val="0F3B242E"/>
    <w:rsid w:val="0F3B3452"/>
    <w:rsid w:val="0F4E2DD2"/>
    <w:rsid w:val="0F661A9F"/>
    <w:rsid w:val="0F8344AB"/>
    <w:rsid w:val="0F8632D3"/>
    <w:rsid w:val="0F8F1D65"/>
    <w:rsid w:val="0F915FE1"/>
    <w:rsid w:val="0F9C07C7"/>
    <w:rsid w:val="0FD757AD"/>
    <w:rsid w:val="0FE07CC3"/>
    <w:rsid w:val="0FF44CA3"/>
    <w:rsid w:val="100173F2"/>
    <w:rsid w:val="1005338D"/>
    <w:rsid w:val="100C4023"/>
    <w:rsid w:val="10120F66"/>
    <w:rsid w:val="10132D37"/>
    <w:rsid w:val="102121B6"/>
    <w:rsid w:val="102E22AB"/>
    <w:rsid w:val="103A2F9B"/>
    <w:rsid w:val="103C085C"/>
    <w:rsid w:val="10532861"/>
    <w:rsid w:val="105570A4"/>
    <w:rsid w:val="106D3EDC"/>
    <w:rsid w:val="109B3F51"/>
    <w:rsid w:val="10AA3894"/>
    <w:rsid w:val="10AC4127"/>
    <w:rsid w:val="10BE21EF"/>
    <w:rsid w:val="10E45CE2"/>
    <w:rsid w:val="110C7F5E"/>
    <w:rsid w:val="111431D1"/>
    <w:rsid w:val="112C3B78"/>
    <w:rsid w:val="11323B0C"/>
    <w:rsid w:val="113F131D"/>
    <w:rsid w:val="11402938"/>
    <w:rsid w:val="114F1D45"/>
    <w:rsid w:val="11512B20"/>
    <w:rsid w:val="115305C3"/>
    <w:rsid w:val="11563AAD"/>
    <w:rsid w:val="11610A29"/>
    <w:rsid w:val="11671A45"/>
    <w:rsid w:val="11682FBD"/>
    <w:rsid w:val="117046DB"/>
    <w:rsid w:val="11992D75"/>
    <w:rsid w:val="11A93A6B"/>
    <w:rsid w:val="11A97B89"/>
    <w:rsid w:val="11B54ED8"/>
    <w:rsid w:val="11BD1C00"/>
    <w:rsid w:val="11BF511D"/>
    <w:rsid w:val="11C9491E"/>
    <w:rsid w:val="11CE5425"/>
    <w:rsid w:val="11ED1B8B"/>
    <w:rsid w:val="11F40BF5"/>
    <w:rsid w:val="11FA5A8C"/>
    <w:rsid w:val="11FC73C1"/>
    <w:rsid w:val="121B3B70"/>
    <w:rsid w:val="121C4D18"/>
    <w:rsid w:val="122300F0"/>
    <w:rsid w:val="12377FD1"/>
    <w:rsid w:val="12495C37"/>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F77AA"/>
    <w:rsid w:val="12E02E18"/>
    <w:rsid w:val="12E35613"/>
    <w:rsid w:val="12E93B51"/>
    <w:rsid w:val="13013A04"/>
    <w:rsid w:val="13066DDE"/>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649CE"/>
    <w:rsid w:val="137D5290"/>
    <w:rsid w:val="137E5CEB"/>
    <w:rsid w:val="138403CC"/>
    <w:rsid w:val="13866697"/>
    <w:rsid w:val="13AA53FC"/>
    <w:rsid w:val="13AE5829"/>
    <w:rsid w:val="13C76879"/>
    <w:rsid w:val="13C90091"/>
    <w:rsid w:val="13D562D3"/>
    <w:rsid w:val="13EE3A98"/>
    <w:rsid w:val="13F31769"/>
    <w:rsid w:val="13FF65A9"/>
    <w:rsid w:val="14117235"/>
    <w:rsid w:val="1435410B"/>
    <w:rsid w:val="1440200A"/>
    <w:rsid w:val="14462972"/>
    <w:rsid w:val="1450411B"/>
    <w:rsid w:val="145C7AB8"/>
    <w:rsid w:val="14627FE2"/>
    <w:rsid w:val="14751C07"/>
    <w:rsid w:val="147B7D72"/>
    <w:rsid w:val="14A2036B"/>
    <w:rsid w:val="14A6471E"/>
    <w:rsid w:val="14A81CBB"/>
    <w:rsid w:val="14AB1989"/>
    <w:rsid w:val="14AE1156"/>
    <w:rsid w:val="14CB13CC"/>
    <w:rsid w:val="14DC1B42"/>
    <w:rsid w:val="14DD1797"/>
    <w:rsid w:val="14EC1251"/>
    <w:rsid w:val="14F678B5"/>
    <w:rsid w:val="1500607F"/>
    <w:rsid w:val="150263BE"/>
    <w:rsid w:val="15036EB4"/>
    <w:rsid w:val="1537321C"/>
    <w:rsid w:val="15417FCB"/>
    <w:rsid w:val="157F3DAD"/>
    <w:rsid w:val="15810381"/>
    <w:rsid w:val="158F7650"/>
    <w:rsid w:val="15CF75C2"/>
    <w:rsid w:val="15DB4E8B"/>
    <w:rsid w:val="15DB629E"/>
    <w:rsid w:val="16005B4D"/>
    <w:rsid w:val="16023749"/>
    <w:rsid w:val="16117F11"/>
    <w:rsid w:val="16122D70"/>
    <w:rsid w:val="163015D4"/>
    <w:rsid w:val="163500E7"/>
    <w:rsid w:val="16390BF0"/>
    <w:rsid w:val="16394F6A"/>
    <w:rsid w:val="163A5649"/>
    <w:rsid w:val="16511CDE"/>
    <w:rsid w:val="165C63EB"/>
    <w:rsid w:val="166169AF"/>
    <w:rsid w:val="166A65F9"/>
    <w:rsid w:val="166C4748"/>
    <w:rsid w:val="166D5CF9"/>
    <w:rsid w:val="1679677C"/>
    <w:rsid w:val="16806F5F"/>
    <w:rsid w:val="16891110"/>
    <w:rsid w:val="16B200D8"/>
    <w:rsid w:val="16B53E81"/>
    <w:rsid w:val="16C91A60"/>
    <w:rsid w:val="16D30DE4"/>
    <w:rsid w:val="16D53A3A"/>
    <w:rsid w:val="16E16162"/>
    <w:rsid w:val="16EC69F2"/>
    <w:rsid w:val="16F46BD4"/>
    <w:rsid w:val="17011FF5"/>
    <w:rsid w:val="17082077"/>
    <w:rsid w:val="17086A04"/>
    <w:rsid w:val="170C79EF"/>
    <w:rsid w:val="1733704F"/>
    <w:rsid w:val="1739584F"/>
    <w:rsid w:val="175D2140"/>
    <w:rsid w:val="17704AAB"/>
    <w:rsid w:val="17731FA9"/>
    <w:rsid w:val="1785028E"/>
    <w:rsid w:val="178F1DC2"/>
    <w:rsid w:val="179F445C"/>
    <w:rsid w:val="17A36B40"/>
    <w:rsid w:val="17A377C9"/>
    <w:rsid w:val="17A408D6"/>
    <w:rsid w:val="17A974E2"/>
    <w:rsid w:val="17B920AF"/>
    <w:rsid w:val="17BA6CC5"/>
    <w:rsid w:val="17BC7BFC"/>
    <w:rsid w:val="17BE4DD5"/>
    <w:rsid w:val="17D23C27"/>
    <w:rsid w:val="17E07B9B"/>
    <w:rsid w:val="18142066"/>
    <w:rsid w:val="182401DB"/>
    <w:rsid w:val="18242F81"/>
    <w:rsid w:val="184B2CE6"/>
    <w:rsid w:val="185524EF"/>
    <w:rsid w:val="185858F1"/>
    <w:rsid w:val="186B4D4A"/>
    <w:rsid w:val="188B6D6F"/>
    <w:rsid w:val="188E5E3A"/>
    <w:rsid w:val="188F5CA0"/>
    <w:rsid w:val="189622E4"/>
    <w:rsid w:val="189C075B"/>
    <w:rsid w:val="189F5400"/>
    <w:rsid w:val="18A15213"/>
    <w:rsid w:val="18AB63FB"/>
    <w:rsid w:val="18C33FDF"/>
    <w:rsid w:val="18CD25A4"/>
    <w:rsid w:val="18D3152C"/>
    <w:rsid w:val="18D712D8"/>
    <w:rsid w:val="18D82E24"/>
    <w:rsid w:val="18DC65B5"/>
    <w:rsid w:val="18FE3820"/>
    <w:rsid w:val="19130E36"/>
    <w:rsid w:val="194B1EC4"/>
    <w:rsid w:val="19550C97"/>
    <w:rsid w:val="1962306A"/>
    <w:rsid w:val="19775154"/>
    <w:rsid w:val="198364F1"/>
    <w:rsid w:val="198D4077"/>
    <w:rsid w:val="198F3627"/>
    <w:rsid w:val="19A36B5B"/>
    <w:rsid w:val="19AB225A"/>
    <w:rsid w:val="19AD7F51"/>
    <w:rsid w:val="19BE4D26"/>
    <w:rsid w:val="19D65577"/>
    <w:rsid w:val="19F142E2"/>
    <w:rsid w:val="19FB1C97"/>
    <w:rsid w:val="1A0A4ACB"/>
    <w:rsid w:val="1A1846F1"/>
    <w:rsid w:val="1A2062AD"/>
    <w:rsid w:val="1A3261AF"/>
    <w:rsid w:val="1A352916"/>
    <w:rsid w:val="1A606D71"/>
    <w:rsid w:val="1A8D27AD"/>
    <w:rsid w:val="1A9021AA"/>
    <w:rsid w:val="1A920900"/>
    <w:rsid w:val="1A9349CE"/>
    <w:rsid w:val="1A942CB7"/>
    <w:rsid w:val="1A9E57EB"/>
    <w:rsid w:val="1AA151CF"/>
    <w:rsid w:val="1AA2653D"/>
    <w:rsid w:val="1AA82093"/>
    <w:rsid w:val="1AD244DF"/>
    <w:rsid w:val="1AF06026"/>
    <w:rsid w:val="1AF54F22"/>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371BB"/>
    <w:rsid w:val="1B866CAC"/>
    <w:rsid w:val="1B870F6D"/>
    <w:rsid w:val="1B873604"/>
    <w:rsid w:val="1B9008DD"/>
    <w:rsid w:val="1BAD6F45"/>
    <w:rsid w:val="1BB25C71"/>
    <w:rsid w:val="1BBC2E22"/>
    <w:rsid w:val="1BF16305"/>
    <w:rsid w:val="1C122B82"/>
    <w:rsid w:val="1C153B71"/>
    <w:rsid w:val="1C1952D0"/>
    <w:rsid w:val="1C226D51"/>
    <w:rsid w:val="1C2D27CB"/>
    <w:rsid w:val="1C35495A"/>
    <w:rsid w:val="1C5300CD"/>
    <w:rsid w:val="1C784A20"/>
    <w:rsid w:val="1C7E52F6"/>
    <w:rsid w:val="1C7E5910"/>
    <w:rsid w:val="1C8A179F"/>
    <w:rsid w:val="1C9C180B"/>
    <w:rsid w:val="1CC00E4E"/>
    <w:rsid w:val="1CC10B52"/>
    <w:rsid w:val="1CCC725F"/>
    <w:rsid w:val="1CD53DBF"/>
    <w:rsid w:val="1CDB373E"/>
    <w:rsid w:val="1CE27F12"/>
    <w:rsid w:val="1CE65EB6"/>
    <w:rsid w:val="1CF00DBA"/>
    <w:rsid w:val="1CF540E9"/>
    <w:rsid w:val="1D0807A5"/>
    <w:rsid w:val="1D090ADB"/>
    <w:rsid w:val="1D0E00EC"/>
    <w:rsid w:val="1D1939ED"/>
    <w:rsid w:val="1D2101C2"/>
    <w:rsid w:val="1D29203C"/>
    <w:rsid w:val="1D294E26"/>
    <w:rsid w:val="1D5613CC"/>
    <w:rsid w:val="1D652F47"/>
    <w:rsid w:val="1D657F1B"/>
    <w:rsid w:val="1D6926C1"/>
    <w:rsid w:val="1D796AC8"/>
    <w:rsid w:val="1D7A117D"/>
    <w:rsid w:val="1D880D96"/>
    <w:rsid w:val="1D9A1B1C"/>
    <w:rsid w:val="1D9B3BF5"/>
    <w:rsid w:val="1D9E241B"/>
    <w:rsid w:val="1DA014B3"/>
    <w:rsid w:val="1DB213DC"/>
    <w:rsid w:val="1DB4365C"/>
    <w:rsid w:val="1DBF4C41"/>
    <w:rsid w:val="1DCE7F11"/>
    <w:rsid w:val="1DD0331B"/>
    <w:rsid w:val="1DFD4F3E"/>
    <w:rsid w:val="1E021E39"/>
    <w:rsid w:val="1E0358BF"/>
    <w:rsid w:val="1E244853"/>
    <w:rsid w:val="1E28091B"/>
    <w:rsid w:val="1E286DFF"/>
    <w:rsid w:val="1E2C5CCD"/>
    <w:rsid w:val="1E2D10E0"/>
    <w:rsid w:val="1E3D3A5F"/>
    <w:rsid w:val="1E3E15B2"/>
    <w:rsid w:val="1E3E4FF3"/>
    <w:rsid w:val="1E4F234C"/>
    <w:rsid w:val="1E5D2340"/>
    <w:rsid w:val="1E620067"/>
    <w:rsid w:val="1E9004FA"/>
    <w:rsid w:val="1E9646FF"/>
    <w:rsid w:val="1E966318"/>
    <w:rsid w:val="1EA11680"/>
    <w:rsid w:val="1EC3007D"/>
    <w:rsid w:val="1ECF054D"/>
    <w:rsid w:val="1EEF5642"/>
    <w:rsid w:val="1F045F88"/>
    <w:rsid w:val="1F3D5A2B"/>
    <w:rsid w:val="1F422AE4"/>
    <w:rsid w:val="1F434323"/>
    <w:rsid w:val="1F4E0DE8"/>
    <w:rsid w:val="1F77383F"/>
    <w:rsid w:val="1F7E73A9"/>
    <w:rsid w:val="1F83291B"/>
    <w:rsid w:val="1F87452F"/>
    <w:rsid w:val="1F875D46"/>
    <w:rsid w:val="1F896D6A"/>
    <w:rsid w:val="1F95416B"/>
    <w:rsid w:val="1F9757DB"/>
    <w:rsid w:val="1FB72D07"/>
    <w:rsid w:val="1FC37E78"/>
    <w:rsid w:val="1FD54EF5"/>
    <w:rsid w:val="1FD5548E"/>
    <w:rsid w:val="1FF52A08"/>
    <w:rsid w:val="1FFD0BB5"/>
    <w:rsid w:val="2003179C"/>
    <w:rsid w:val="2003268C"/>
    <w:rsid w:val="200B5C0B"/>
    <w:rsid w:val="200D1367"/>
    <w:rsid w:val="20150AF2"/>
    <w:rsid w:val="201C4CA7"/>
    <w:rsid w:val="20201E76"/>
    <w:rsid w:val="2033450B"/>
    <w:rsid w:val="20526EB3"/>
    <w:rsid w:val="2064551F"/>
    <w:rsid w:val="206D6F3E"/>
    <w:rsid w:val="207D3B26"/>
    <w:rsid w:val="208A2D9A"/>
    <w:rsid w:val="209459C7"/>
    <w:rsid w:val="209C2B3E"/>
    <w:rsid w:val="20B35BED"/>
    <w:rsid w:val="20B36678"/>
    <w:rsid w:val="20BD4F1E"/>
    <w:rsid w:val="20CA66FD"/>
    <w:rsid w:val="20D13B63"/>
    <w:rsid w:val="20E85164"/>
    <w:rsid w:val="20ED5FC1"/>
    <w:rsid w:val="20F50EA7"/>
    <w:rsid w:val="212B1CCB"/>
    <w:rsid w:val="212D5B2C"/>
    <w:rsid w:val="213F2BAB"/>
    <w:rsid w:val="214E088D"/>
    <w:rsid w:val="215C01B1"/>
    <w:rsid w:val="21603FBE"/>
    <w:rsid w:val="2194182A"/>
    <w:rsid w:val="21A77AE0"/>
    <w:rsid w:val="21B24356"/>
    <w:rsid w:val="21B667D4"/>
    <w:rsid w:val="21B87BA4"/>
    <w:rsid w:val="21D555AC"/>
    <w:rsid w:val="21F04E7F"/>
    <w:rsid w:val="22165C38"/>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949E3"/>
    <w:rsid w:val="22B24BDD"/>
    <w:rsid w:val="22C01A09"/>
    <w:rsid w:val="22C52F66"/>
    <w:rsid w:val="22C708C4"/>
    <w:rsid w:val="22C7230E"/>
    <w:rsid w:val="22D842DA"/>
    <w:rsid w:val="22E71D38"/>
    <w:rsid w:val="22EA0933"/>
    <w:rsid w:val="22EC07EF"/>
    <w:rsid w:val="22ED5E5A"/>
    <w:rsid w:val="22EE7D2D"/>
    <w:rsid w:val="22F10EAE"/>
    <w:rsid w:val="23036601"/>
    <w:rsid w:val="230D48E9"/>
    <w:rsid w:val="2321231C"/>
    <w:rsid w:val="23331BF5"/>
    <w:rsid w:val="233D0BA3"/>
    <w:rsid w:val="23425054"/>
    <w:rsid w:val="234A56F8"/>
    <w:rsid w:val="23501055"/>
    <w:rsid w:val="235B5E01"/>
    <w:rsid w:val="236C5D90"/>
    <w:rsid w:val="236E4580"/>
    <w:rsid w:val="237C6924"/>
    <w:rsid w:val="2390111C"/>
    <w:rsid w:val="23BD3CBF"/>
    <w:rsid w:val="23CA51A8"/>
    <w:rsid w:val="23CC7174"/>
    <w:rsid w:val="23DF1584"/>
    <w:rsid w:val="23FA639B"/>
    <w:rsid w:val="23FD4981"/>
    <w:rsid w:val="24131E75"/>
    <w:rsid w:val="241C3500"/>
    <w:rsid w:val="241C3808"/>
    <w:rsid w:val="242530D9"/>
    <w:rsid w:val="243A2CDC"/>
    <w:rsid w:val="243C25FD"/>
    <w:rsid w:val="24450C8E"/>
    <w:rsid w:val="24505030"/>
    <w:rsid w:val="24544436"/>
    <w:rsid w:val="246254F1"/>
    <w:rsid w:val="246256CC"/>
    <w:rsid w:val="246A5AC3"/>
    <w:rsid w:val="2480376B"/>
    <w:rsid w:val="24803A09"/>
    <w:rsid w:val="24805846"/>
    <w:rsid w:val="248C219B"/>
    <w:rsid w:val="24941808"/>
    <w:rsid w:val="249D12EE"/>
    <w:rsid w:val="249F59AA"/>
    <w:rsid w:val="24A77CC7"/>
    <w:rsid w:val="24AA572C"/>
    <w:rsid w:val="24B11A33"/>
    <w:rsid w:val="24BD0D51"/>
    <w:rsid w:val="24F77329"/>
    <w:rsid w:val="24FC6EB5"/>
    <w:rsid w:val="250107BC"/>
    <w:rsid w:val="250170D7"/>
    <w:rsid w:val="250C1416"/>
    <w:rsid w:val="25215F5B"/>
    <w:rsid w:val="25287EFC"/>
    <w:rsid w:val="25305A8C"/>
    <w:rsid w:val="25314CEF"/>
    <w:rsid w:val="253506B3"/>
    <w:rsid w:val="253F224B"/>
    <w:rsid w:val="255710E7"/>
    <w:rsid w:val="25696F6D"/>
    <w:rsid w:val="258409DC"/>
    <w:rsid w:val="2585705F"/>
    <w:rsid w:val="25923602"/>
    <w:rsid w:val="259823ED"/>
    <w:rsid w:val="25A04D0A"/>
    <w:rsid w:val="25B306C7"/>
    <w:rsid w:val="25CC1B09"/>
    <w:rsid w:val="25CE43CE"/>
    <w:rsid w:val="25DC7BF4"/>
    <w:rsid w:val="25EF09CC"/>
    <w:rsid w:val="25F018F1"/>
    <w:rsid w:val="26123E85"/>
    <w:rsid w:val="261E1B8F"/>
    <w:rsid w:val="262E79BC"/>
    <w:rsid w:val="26436B55"/>
    <w:rsid w:val="26454B11"/>
    <w:rsid w:val="264616B2"/>
    <w:rsid w:val="264B5C5F"/>
    <w:rsid w:val="264F0D93"/>
    <w:rsid w:val="265911BA"/>
    <w:rsid w:val="265E5FBA"/>
    <w:rsid w:val="26600667"/>
    <w:rsid w:val="266C74E3"/>
    <w:rsid w:val="268A268F"/>
    <w:rsid w:val="26997A56"/>
    <w:rsid w:val="269A4AD7"/>
    <w:rsid w:val="269C4E0B"/>
    <w:rsid w:val="269C55D5"/>
    <w:rsid w:val="26C17B69"/>
    <w:rsid w:val="26C33FFE"/>
    <w:rsid w:val="26C64400"/>
    <w:rsid w:val="26CE36E5"/>
    <w:rsid w:val="26E31B06"/>
    <w:rsid w:val="26E50BC8"/>
    <w:rsid w:val="26E6217B"/>
    <w:rsid w:val="26F40F6D"/>
    <w:rsid w:val="26FC7D13"/>
    <w:rsid w:val="26FF6276"/>
    <w:rsid w:val="27037513"/>
    <w:rsid w:val="27117BFF"/>
    <w:rsid w:val="27203EEB"/>
    <w:rsid w:val="2754129C"/>
    <w:rsid w:val="27566510"/>
    <w:rsid w:val="27603EC1"/>
    <w:rsid w:val="27851A0B"/>
    <w:rsid w:val="27876136"/>
    <w:rsid w:val="279462F5"/>
    <w:rsid w:val="27A06CC5"/>
    <w:rsid w:val="27B34755"/>
    <w:rsid w:val="27B506FD"/>
    <w:rsid w:val="27C112E1"/>
    <w:rsid w:val="27DB14BA"/>
    <w:rsid w:val="27DD6376"/>
    <w:rsid w:val="27DE6D28"/>
    <w:rsid w:val="27E03D9F"/>
    <w:rsid w:val="27E07DE8"/>
    <w:rsid w:val="27E862A2"/>
    <w:rsid w:val="27EF19B8"/>
    <w:rsid w:val="280334C5"/>
    <w:rsid w:val="2804309E"/>
    <w:rsid w:val="280478D6"/>
    <w:rsid w:val="28071DAC"/>
    <w:rsid w:val="28130274"/>
    <w:rsid w:val="281459A7"/>
    <w:rsid w:val="28327F9F"/>
    <w:rsid w:val="283C4384"/>
    <w:rsid w:val="2841272B"/>
    <w:rsid w:val="28454B2D"/>
    <w:rsid w:val="28603EB7"/>
    <w:rsid w:val="286930B9"/>
    <w:rsid w:val="286A5D40"/>
    <w:rsid w:val="286F6AEE"/>
    <w:rsid w:val="287967D6"/>
    <w:rsid w:val="289A4C69"/>
    <w:rsid w:val="28AC4758"/>
    <w:rsid w:val="28AE3251"/>
    <w:rsid w:val="28C01A4F"/>
    <w:rsid w:val="28C04C4C"/>
    <w:rsid w:val="28C82DD8"/>
    <w:rsid w:val="28E07697"/>
    <w:rsid w:val="28E824C9"/>
    <w:rsid w:val="28EC4FBD"/>
    <w:rsid w:val="28EC7622"/>
    <w:rsid w:val="28EE5156"/>
    <w:rsid w:val="29115E06"/>
    <w:rsid w:val="291173EA"/>
    <w:rsid w:val="291268CF"/>
    <w:rsid w:val="291470DB"/>
    <w:rsid w:val="292A3D9E"/>
    <w:rsid w:val="292E34BD"/>
    <w:rsid w:val="29340781"/>
    <w:rsid w:val="29470E70"/>
    <w:rsid w:val="29482C06"/>
    <w:rsid w:val="296206AF"/>
    <w:rsid w:val="297045CA"/>
    <w:rsid w:val="298040D2"/>
    <w:rsid w:val="298E1846"/>
    <w:rsid w:val="298F5ED7"/>
    <w:rsid w:val="29A009BF"/>
    <w:rsid w:val="29A03A03"/>
    <w:rsid w:val="29A4763F"/>
    <w:rsid w:val="29BC6F56"/>
    <w:rsid w:val="29DA2DCF"/>
    <w:rsid w:val="29E17A78"/>
    <w:rsid w:val="29E439C2"/>
    <w:rsid w:val="29FB6096"/>
    <w:rsid w:val="2A0F7329"/>
    <w:rsid w:val="2A132508"/>
    <w:rsid w:val="2A1D0B14"/>
    <w:rsid w:val="2A3A79B3"/>
    <w:rsid w:val="2A44045E"/>
    <w:rsid w:val="2A53353C"/>
    <w:rsid w:val="2A5534B9"/>
    <w:rsid w:val="2A57508D"/>
    <w:rsid w:val="2A5D2041"/>
    <w:rsid w:val="2A6F2F5D"/>
    <w:rsid w:val="2A704DAF"/>
    <w:rsid w:val="2A713219"/>
    <w:rsid w:val="2A755211"/>
    <w:rsid w:val="2A7A1212"/>
    <w:rsid w:val="2A8D0991"/>
    <w:rsid w:val="2A9C5BA4"/>
    <w:rsid w:val="2AA1252A"/>
    <w:rsid w:val="2AAE121F"/>
    <w:rsid w:val="2AAF72FB"/>
    <w:rsid w:val="2ABA1FB6"/>
    <w:rsid w:val="2AC309F8"/>
    <w:rsid w:val="2AD80D1A"/>
    <w:rsid w:val="2AE863AE"/>
    <w:rsid w:val="2AEF03C9"/>
    <w:rsid w:val="2AF156B3"/>
    <w:rsid w:val="2B0158CD"/>
    <w:rsid w:val="2B0A133F"/>
    <w:rsid w:val="2B50728E"/>
    <w:rsid w:val="2B520F1D"/>
    <w:rsid w:val="2B687D7B"/>
    <w:rsid w:val="2B694E68"/>
    <w:rsid w:val="2B791766"/>
    <w:rsid w:val="2B7F05AB"/>
    <w:rsid w:val="2B88437A"/>
    <w:rsid w:val="2B924276"/>
    <w:rsid w:val="2BA32F62"/>
    <w:rsid w:val="2BAD6A07"/>
    <w:rsid w:val="2BB53941"/>
    <w:rsid w:val="2BBE3BE5"/>
    <w:rsid w:val="2BCB64C7"/>
    <w:rsid w:val="2BD92E3F"/>
    <w:rsid w:val="2BD96F73"/>
    <w:rsid w:val="2BDE12CD"/>
    <w:rsid w:val="2BE25A98"/>
    <w:rsid w:val="2BE86CA8"/>
    <w:rsid w:val="2BEC7697"/>
    <w:rsid w:val="2BF01660"/>
    <w:rsid w:val="2BF2460D"/>
    <w:rsid w:val="2BF56003"/>
    <w:rsid w:val="2C045AC7"/>
    <w:rsid w:val="2C20470A"/>
    <w:rsid w:val="2C4A36EA"/>
    <w:rsid w:val="2C550ACB"/>
    <w:rsid w:val="2C571774"/>
    <w:rsid w:val="2C595F36"/>
    <w:rsid w:val="2C676E85"/>
    <w:rsid w:val="2C825C0E"/>
    <w:rsid w:val="2C837851"/>
    <w:rsid w:val="2CA0428D"/>
    <w:rsid w:val="2CA60204"/>
    <w:rsid w:val="2CAB6D99"/>
    <w:rsid w:val="2CC122AF"/>
    <w:rsid w:val="2CC62607"/>
    <w:rsid w:val="2CD566E0"/>
    <w:rsid w:val="2CDE1D5D"/>
    <w:rsid w:val="2CE1145B"/>
    <w:rsid w:val="2CEE5D0C"/>
    <w:rsid w:val="2CFB1ACD"/>
    <w:rsid w:val="2CFC166C"/>
    <w:rsid w:val="2D0C4370"/>
    <w:rsid w:val="2D19422F"/>
    <w:rsid w:val="2D1B612E"/>
    <w:rsid w:val="2D2629ED"/>
    <w:rsid w:val="2D272A78"/>
    <w:rsid w:val="2D294D17"/>
    <w:rsid w:val="2D2D77E4"/>
    <w:rsid w:val="2D302844"/>
    <w:rsid w:val="2D340907"/>
    <w:rsid w:val="2D422B39"/>
    <w:rsid w:val="2D4B41B4"/>
    <w:rsid w:val="2D4B565F"/>
    <w:rsid w:val="2D5C7521"/>
    <w:rsid w:val="2D664F53"/>
    <w:rsid w:val="2D7149C3"/>
    <w:rsid w:val="2D747094"/>
    <w:rsid w:val="2D992C03"/>
    <w:rsid w:val="2DA216C6"/>
    <w:rsid w:val="2DA33153"/>
    <w:rsid w:val="2DB50AD8"/>
    <w:rsid w:val="2DB653BC"/>
    <w:rsid w:val="2DC72F38"/>
    <w:rsid w:val="2DFB0C12"/>
    <w:rsid w:val="2E11532A"/>
    <w:rsid w:val="2E2C7B59"/>
    <w:rsid w:val="2E512381"/>
    <w:rsid w:val="2E6D0A1B"/>
    <w:rsid w:val="2E896136"/>
    <w:rsid w:val="2E904A45"/>
    <w:rsid w:val="2E921142"/>
    <w:rsid w:val="2E9238C2"/>
    <w:rsid w:val="2E9279E9"/>
    <w:rsid w:val="2E972F4E"/>
    <w:rsid w:val="2EBC2DDB"/>
    <w:rsid w:val="2EDE6676"/>
    <w:rsid w:val="2EE62071"/>
    <w:rsid w:val="2F181834"/>
    <w:rsid w:val="2F1877C3"/>
    <w:rsid w:val="2F1D3166"/>
    <w:rsid w:val="2F1E4AC6"/>
    <w:rsid w:val="2F293595"/>
    <w:rsid w:val="2F3D2575"/>
    <w:rsid w:val="2F576416"/>
    <w:rsid w:val="2F5F6DC2"/>
    <w:rsid w:val="2F634EE2"/>
    <w:rsid w:val="2F715E38"/>
    <w:rsid w:val="2F7313FD"/>
    <w:rsid w:val="2F732A13"/>
    <w:rsid w:val="2F941D65"/>
    <w:rsid w:val="2FA15A0A"/>
    <w:rsid w:val="2FA43F61"/>
    <w:rsid w:val="2FA96F2B"/>
    <w:rsid w:val="2FB35201"/>
    <w:rsid w:val="2FBD3AD7"/>
    <w:rsid w:val="2FF9240C"/>
    <w:rsid w:val="2FF946AE"/>
    <w:rsid w:val="2FFD2F9F"/>
    <w:rsid w:val="304537EB"/>
    <w:rsid w:val="304D1B6D"/>
    <w:rsid w:val="305059B1"/>
    <w:rsid w:val="305E3A75"/>
    <w:rsid w:val="305E47CA"/>
    <w:rsid w:val="30726515"/>
    <w:rsid w:val="308C47E8"/>
    <w:rsid w:val="308D2CDE"/>
    <w:rsid w:val="30972D75"/>
    <w:rsid w:val="30980BBB"/>
    <w:rsid w:val="309A496D"/>
    <w:rsid w:val="30BB31C8"/>
    <w:rsid w:val="30C0620D"/>
    <w:rsid w:val="30CF2B57"/>
    <w:rsid w:val="30D34409"/>
    <w:rsid w:val="30DC76BD"/>
    <w:rsid w:val="30E43E01"/>
    <w:rsid w:val="30FD59F3"/>
    <w:rsid w:val="30FE700B"/>
    <w:rsid w:val="3120701A"/>
    <w:rsid w:val="313B489A"/>
    <w:rsid w:val="315238A4"/>
    <w:rsid w:val="315C56BE"/>
    <w:rsid w:val="316546A0"/>
    <w:rsid w:val="316D71E4"/>
    <w:rsid w:val="317E05C4"/>
    <w:rsid w:val="31802A8F"/>
    <w:rsid w:val="3181495E"/>
    <w:rsid w:val="318B193E"/>
    <w:rsid w:val="31931ABF"/>
    <w:rsid w:val="31A10BF5"/>
    <w:rsid w:val="31A970A8"/>
    <w:rsid w:val="31AB1E21"/>
    <w:rsid w:val="31B75CB4"/>
    <w:rsid w:val="31BE052E"/>
    <w:rsid w:val="31CA483D"/>
    <w:rsid w:val="31D156FC"/>
    <w:rsid w:val="31D16A7B"/>
    <w:rsid w:val="320F2803"/>
    <w:rsid w:val="321043B9"/>
    <w:rsid w:val="32164D38"/>
    <w:rsid w:val="322713CA"/>
    <w:rsid w:val="322A670F"/>
    <w:rsid w:val="32432616"/>
    <w:rsid w:val="3243394A"/>
    <w:rsid w:val="324C6483"/>
    <w:rsid w:val="32522469"/>
    <w:rsid w:val="32776BA9"/>
    <w:rsid w:val="327B2A0D"/>
    <w:rsid w:val="328238D1"/>
    <w:rsid w:val="32B45676"/>
    <w:rsid w:val="32C5561F"/>
    <w:rsid w:val="32CB5278"/>
    <w:rsid w:val="32DC084A"/>
    <w:rsid w:val="32E12CEE"/>
    <w:rsid w:val="32E26F66"/>
    <w:rsid w:val="32E34CE2"/>
    <w:rsid w:val="32F669C8"/>
    <w:rsid w:val="33001B7A"/>
    <w:rsid w:val="331535A7"/>
    <w:rsid w:val="33182DFB"/>
    <w:rsid w:val="331A0CC8"/>
    <w:rsid w:val="331A7AF8"/>
    <w:rsid w:val="3324614F"/>
    <w:rsid w:val="33547948"/>
    <w:rsid w:val="335F2062"/>
    <w:rsid w:val="33686602"/>
    <w:rsid w:val="3369637D"/>
    <w:rsid w:val="336A7882"/>
    <w:rsid w:val="339771F4"/>
    <w:rsid w:val="339B1393"/>
    <w:rsid w:val="33B71F93"/>
    <w:rsid w:val="33BF2903"/>
    <w:rsid w:val="33CD6404"/>
    <w:rsid w:val="33D354D0"/>
    <w:rsid w:val="33D46EDF"/>
    <w:rsid w:val="33EE148C"/>
    <w:rsid w:val="33EF3CEA"/>
    <w:rsid w:val="33F07711"/>
    <w:rsid w:val="33FC203D"/>
    <w:rsid w:val="3406286A"/>
    <w:rsid w:val="34222A44"/>
    <w:rsid w:val="3464291B"/>
    <w:rsid w:val="346C6BFB"/>
    <w:rsid w:val="34840E64"/>
    <w:rsid w:val="34890588"/>
    <w:rsid w:val="348C0A37"/>
    <w:rsid w:val="34910F9E"/>
    <w:rsid w:val="34911926"/>
    <w:rsid w:val="34927084"/>
    <w:rsid w:val="34A76BD5"/>
    <w:rsid w:val="34AF3A6D"/>
    <w:rsid w:val="34BD011B"/>
    <w:rsid w:val="34CB5A03"/>
    <w:rsid w:val="34CD4B64"/>
    <w:rsid w:val="34D72B0D"/>
    <w:rsid w:val="34DF5BDE"/>
    <w:rsid w:val="34EE06B7"/>
    <w:rsid w:val="34F24CD0"/>
    <w:rsid w:val="34FD7410"/>
    <w:rsid w:val="35020CF9"/>
    <w:rsid w:val="351A6043"/>
    <w:rsid w:val="351C0EA2"/>
    <w:rsid w:val="35255512"/>
    <w:rsid w:val="35280DC0"/>
    <w:rsid w:val="3542168B"/>
    <w:rsid w:val="35461EBC"/>
    <w:rsid w:val="354716FF"/>
    <w:rsid w:val="354D7F75"/>
    <w:rsid w:val="354E7EA3"/>
    <w:rsid w:val="355A12E4"/>
    <w:rsid w:val="35605956"/>
    <w:rsid w:val="35756336"/>
    <w:rsid w:val="3585603E"/>
    <w:rsid w:val="358D30B5"/>
    <w:rsid w:val="358F21E7"/>
    <w:rsid w:val="35914AC1"/>
    <w:rsid w:val="35921F18"/>
    <w:rsid w:val="359706D2"/>
    <w:rsid w:val="35A303EA"/>
    <w:rsid w:val="35A80566"/>
    <w:rsid w:val="35AA4F6C"/>
    <w:rsid w:val="35BE2E72"/>
    <w:rsid w:val="35F73CF2"/>
    <w:rsid w:val="360407DE"/>
    <w:rsid w:val="361E461E"/>
    <w:rsid w:val="361E7DB5"/>
    <w:rsid w:val="362236CD"/>
    <w:rsid w:val="364D069A"/>
    <w:rsid w:val="36507137"/>
    <w:rsid w:val="365628C0"/>
    <w:rsid w:val="365B6913"/>
    <w:rsid w:val="365E4E53"/>
    <w:rsid w:val="36657792"/>
    <w:rsid w:val="36741C91"/>
    <w:rsid w:val="36745F37"/>
    <w:rsid w:val="368220F2"/>
    <w:rsid w:val="36826C73"/>
    <w:rsid w:val="368C5779"/>
    <w:rsid w:val="36943485"/>
    <w:rsid w:val="369D3512"/>
    <w:rsid w:val="36AD7FE4"/>
    <w:rsid w:val="36B54F4A"/>
    <w:rsid w:val="36B6196C"/>
    <w:rsid w:val="36C4252E"/>
    <w:rsid w:val="36D01095"/>
    <w:rsid w:val="36E1641D"/>
    <w:rsid w:val="36E6311A"/>
    <w:rsid w:val="36F13492"/>
    <w:rsid w:val="36FD3CFD"/>
    <w:rsid w:val="37024C59"/>
    <w:rsid w:val="370F2612"/>
    <w:rsid w:val="37101BB1"/>
    <w:rsid w:val="37237B4D"/>
    <w:rsid w:val="3729161C"/>
    <w:rsid w:val="372F0DF2"/>
    <w:rsid w:val="373677D5"/>
    <w:rsid w:val="37433BFB"/>
    <w:rsid w:val="37471BEF"/>
    <w:rsid w:val="376923BA"/>
    <w:rsid w:val="37733813"/>
    <w:rsid w:val="378823DF"/>
    <w:rsid w:val="378E20BB"/>
    <w:rsid w:val="37931B4D"/>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27564E"/>
    <w:rsid w:val="3836588A"/>
    <w:rsid w:val="386211A0"/>
    <w:rsid w:val="38774AC4"/>
    <w:rsid w:val="387A2AEC"/>
    <w:rsid w:val="387A3EE4"/>
    <w:rsid w:val="388008B3"/>
    <w:rsid w:val="38980B25"/>
    <w:rsid w:val="38B676A5"/>
    <w:rsid w:val="38B91722"/>
    <w:rsid w:val="38D97FC3"/>
    <w:rsid w:val="38F86829"/>
    <w:rsid w:val="39097304"/>
    <w:rsid w:val="390F7E89"/>
    <w:rsid w:val="39205BF2"/>
    <w:rsid w:val="3922196A"/>
    <w:rsid w:val="392502E5"/>
    <w:rsid w:val="393741B4"/>
    <w:rsid w:val="39531710"/>
    <w:rsid w:val="395D3D25"/>
    <w:rsid w:val="396804A8"/>
    <w:rsid w:val="397074D5"/>
    <w:rsid w:val="39783C80"/>
    <w:rsid w:val="397B405B"/>
    <w:rsid w:val="397D525A"/>
    <w:rsid w:val="39981BEB"/>
    <w:rsid w:val="39AC75EE"/>
    <w:rsid w:val="39B916DF"/>
    <w:rsid w:val="39BB0FFD"/>
    <w:rsid w:val="39DC2DAA"/>
    <w:rsid w:val="39DD0D52"/>
    <w:rsid w:val="39E81252"/>
    <w:rsid w:val="39ED01CA"/>
    <w:rsid w:val="39EE69BC"/>
    <w:rsid w:val="39F01DE6"/>
    <w:rsid w:val="39F24125"/>
    <w:rsid w:val="3A00359B"/>
    <w:rsid w:val="3A24028F"/>
    <w:rsid w:val="3A3718D6"/>
    <w:rsid w:val="3A4660AA"/>
    <w:rsid w:val="3A5E3659"/>
    <w:rsid w:val="3A64520B"/>
    <w:rsid w:val="3A7D3282"/>
    <w:rsid w:val="3A83468A"/>
    <w:rsid w:val="3A9F77C4"/>
    <w:rsid w:val="3AE8089A"/>
    <w:rsid w:val="3AFB240E"/>
    <w:rsid w:val="3AFD5CD9"/>
    <w:rsid w:val="3B1919AB"/>
    <w:rsid w:val="3B246193"/>
    <w:rsid w:val="3B2C4003"/>
    <w:rsid w:val="3B322AFF"/>
    <w:rsid w:val="3B340B6C"/>
    <w:rsid w:val="3B5E09F6"/>
    <w:rsid w:val="3B6B12B0"/>
    <w:rsid w:val="3B790184"/>
    <w:rsid w:val="3B88270F"/>
    <w:rsid w:val="3B8F24B5"/>
    <w:rsid w:val="3B916612"/>
    <w:rsid w:val="3BAB27D1"/>
    <w:rsid w:val="3BAD7364"/>
    <w:rsid w:val="3BBE60C2"/>
    <w:rsid w:val="3BC34952"/>
    <w:rsid w:val="3BCB0097"/>
    <w:rsid w:val="3BE01FA9"/>
    <w:rsid w:val="3BE82D14"/>
    <w:rsid w:val="3BEA7FE9"/>
    <w:rsid w:val="3BFC2F3F"/>
    <w:rsid w:val="3C05618E"/>
    <w:rsid w:val="3C0C5C53"/>
    <w:rsid w:val="3C131A3E"/>
    <w:rsid w:val="3C25022E"/>
    <w:rsid w:val="3C2C06BD"/>
    <w:rsid w:val="3C343788"/>
    <w:rsid w:val="3C3E2F5F"/>
    <w:rsid w:val="3C435976"/>
    <w:rsid w:val="3C5B4206"/>
    <w:rsid w:val="3C64645A"/>
    <w:rsid w:val="3C656018"/>
    <w:rsid w:val="3C667DB0"/>
    <w:rsid w:val="3C6C06DF"/>
    <w:rsid w:val="3C7474B8"/>
    <w:rsid w:val="3C7B68BB"/>
    <w:rsid w:val="3C946D71"/>
    <w:rsid w:val="3CAE79D6"/>
    <w:rsid w:val="3CB369E7"/>
    <w:rsid w:val="3CB83945"/>
    <w:rsid w:val="3CC106AE"/>
    <w:rsid w:val="3CCE5337"/>
    <w:rsid w:val="3D0A559A"/>
    <w:rsid w:val="3D1E14E7"/>
    <w:rsid w:val="3D255602"/>
    <w:rsid w:val="3D3A558F"/>
    <w:rsid w:val="3D3C3A49"/>
    <w:rsid w:val="3D3D225B"/>
    <w:rsid w:val="3D577E3C"/>
    <w:rsid w:val="3D6C3114"/>
    <w:rsid w:val="3D7A74DC"/>
    <w:rsid w:val="3D7E5C88"/>
    <w:rsid w:val="3D8252C4"/>
    <w:rsid w:val="3D8C2AD7"/>
    <w:rsid w:val="3D996C27"/>
    <w:rsid w:val="3D9B0069"/>
    <w:rsid w:val="3D9E48C4"/>
    <w:rsid w:val="3DBF00CF"/>
    <w:rsid w:val="3DD017C1"/>
    <w:rsid w:val="3DDB77FC"/>
    <w:rsid w:val="3DEF7094"/>
    <w:rsid w:val="3DFF3C37"/>
    <w:rsid w:val="3E0445FE"/>
    <w:rsid w:val="3E3B08E6"/>
    <w:rsid w:val="3E3F581A"/>
    <w:rsid w:val="3E503150"/>
    <w:rsid w:val="3E50322D"/>
    <w:rsid w:val="3E6C643E"/>
    <w:rsid w:val="3E7919F5"/>
    <w:rsid w:val="3E830253"/>
    <w:rsid w:val="3E8950E5"/>
    <w:rsid w:val="3EA13331"/>
    <w:rsid w:val="3EAB50B7"/>
    <w:rsid w:val="3EB41A1A"/>
    <w:rsid w:val="3EC571FD"/>
    <w:rsid w:val="3ECF0CFF"/>
    <w:rsid w:val="3EEB4417"/>
    <w:rsid w:val="3EFC73B7"/>
    <w:rsid w:val="3F082623"/>
    <w:rsid w:val="3F304E08"/>
    <w:rsid w:val="3F3D4A3D"/>
    <w:rsid w:val="3F3F4D49"/>
    <w:rsid w:val="3F4E2855"/>
    <w:rsid w:val="3F517949"/>
    <w:rsid w:val="3F5F0663"/>
    <w:rsid w:val="3F733AE9"/>
    <w:rsid w:val="3F7722E4"/>
    <w:rsid w:val="3F88009A"/>
    <w:rsid w:val="3F8A5A5C"/>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470673"/>
    <w:rsid w:val="404A445A"/>
    <w:rsid w:val="404A52B1"/>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4F3518"/>
    <w:rsid w:val="415119B9"/>
    <w:rsid w:val="416C56EA"/>
    <w:rsid w:val="417007D7"/>
    <w:rsid w:val="41713E0B"/>
    <w:rsid w:val="41744B76"/>
    <w:rsid w:val="417F375C"/>
    <w:rsid w:val="418858D3"/>
    <w:rsid w:val="41953D1B"/>
    <w:rsid w:val="41BC64D5"/>
    <w:rsid w:val="41DA54BD"/>
    <w:rsid w:val="41E8185E"/>
    <w:rsid w:val="42084E7C"/>
    <w:rsid w:val="420F79EB"/>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3160791"/>
    <w:rsid w:val="43171E14"/>
    <w:rsid w:val="431B6658"/>
    <w:rsid w:val="432F53AF"/>
    <w:rsid w:val="435E4B64"/>
    <w:rsid w:val="436379C5"/>
    <w:rsid w:val="437A14BF"/>
    <w:rsid w:val="438A50B6"/>
    <w:rsid w:val="4399065B"/>
    <w:rsid w:val="43992916"/>
    <w:rsid w:val="43C56BDE"/>
    <w:rsid w:val="43CC5F2C"/>
    <w:rsid w:val="43E234DF"/>
    <w:rsid w:val="43E52CC5"/>
    <w:rsid w:val="43E960F8"/>
    <w:rsid w:val="43EC292D"/>
    <w:rsid w:val="43FC25A4"/>
    <w:rsid w:val="43FF2AD0"/>
    <w:rsid w:val="44052CBA"/>
    <w:rsid w:val="440740E3"/>
    <w:rsid w:val="440954ED"/>
    <w:rsid w:val="440C143D"/>
    <w:rsid w:val="44142F49"/>
    <w:rsid w:val="442C7144"/>
    <w:rsid w:val="443E5A02"/>
    <w:rsid w:val="444A6E63"/>
    <w:rsid w:val="44620E2F"/>
    <w:rsid w:val="44734028"/>
    <w:rsid w:val="4475210F"/>
    <w:rsid w:val="44830EA6"/>
    <w:rsid w:val="4488274F"/>
    <w:rsid w:val="449D3C54"/>
    <w:rsid w:val="44A65BEB"/>
    <w:rsid w:val="44D41F91"/>
    <w:rsid w:val="44DC2DC4"/>
    <w:rsid w:val="44DD0CDA"/>
    <w:rsid w:val="44E87738"/>
    <w:rsid w:val="44F66110"/>
    <w:rsid w:val="451D4B80"/>
    <w:rsid w:val="4523563D"/>
    <w:rsid w:val="452926E8"/>
    <w:rsid w:val="45340E1B"/>
    <w:rsid w:val="45512375"/>
    <w:rsid w:val="456C6947"/>
    <w:rsid w:val="45742F08"/>
    <w:rsid w:val="4579370A"/>
    <w:rsid w:val="459C0CF6"/>
    <w:rsid w:val="459D0F13"/>
    <w:rsid w:val="45AE7782"/>
    <w:rsid w:val="45C91BBA"/>
    <w:rsid w:val="45D02B0C"/>
    <w:rsid w:val="45D17124"/>
    <w:rsid w:val="45DB5496"/>
    <w:rsid w:val="45DD1335"/>
    <w:rsid w:val="45E21FE7"/>
    <w:rsid w:val="45ED40E2"/>
    <w:rsid w:val="45ED4FA4"/>
    <w:rsid w:val="45F1221E"/>
    <w:rsid w:val="45F262B7"/>
    <w:rsid w:val="45F865A3"/>
    <w:rsid w:val="460A2471"/>
    <w:rsid w:val="460C19D8"/>
    <w:rsid w:val="464D3810"/>
    <w:rsid w:val="464F15EF"/>
    <w:rsid w:val="465511B3"/>
    <w:rsid w:val="46575EC8"/>
    <w:rsid w:val="46677ABB"/>
    <w:rsid w:val="46737C6F"/>
    <w:rsid w:val="4693603D"/>
    <w:rsid w:val="469B6A1E"/>
    <w:rsid w:val="46A42DF8"/>
    <w:rsid w:val="46AF2439"/>
    <w:rsid w:val="46BE6BCD"/>
    <w:rsid w:val="46C916D3"/>
    <w:rsid w:val="46CB5C37"/>
    <w:rsid w:val="46D05B31"/>
    <w:rsid w:val="46D327A0"/>
    <w:rsid w:val="46EE0EDA"/>
    <w:rsid w:val="46F9303C"/>
    <w:rsid w:val="47154453"/>
    <w:rsid w:val="47210AB5"/>
    <w:rsid w:val="47355090"/>
    <w:rsid w:val="47423169"/>
    <w:rsid w:val="474336A4"/>
    <w:rsid w:val="47482A84"/>
    <w:rsid w:val="475048B6"/>
    <w:rsid w:val="47583D74"/>
    <w:rsid w:val="475F36B2"/>
    <w:rsid w:val="479653C5"/>
    <w:rsid w:val="47A26A3C"/>
    <w:rsid w:val="47B72BD9"/>
    <w:rsid w:val="47BE24AA"/>
    <w:rsid w:val="47BF7E31"/>
    <w:rsid w:val="47CA0AC9"/>
    <w:rsid w:val="47D7253A"/>
    <w:rsid w:val="47E2428C"/>
    <w:rsid w:val="47E77A11"/>
    <w:rsid w:val="47E83C04"/>
    <w:rsid w:val="47EA7AF7"/>
    <w:rsid w:val="47EE5734"/>
    <w:rsid w:val="48096C2B"/>
    <w:rsid w:val="480E07D8"/>
    <w:rsid w:val="481B05F8"/>
    <w:rsid w:val="481C6DA3"/>
    <w:rsid w:val="482B24EA"/>
    <w:rsid w:val="484E7734"/>
    <w:rsid w:val="4860425D"/>
    <w:rsid w:val="486924B1"/>
    <w:rsid w:val="487735EE"/>
    <w:rsid w:val="487970CD"/>
    <w:rsid w:val="488A2EB7"/>
    <w:rsid w:val="48902B3C"/>
    <w:rsid w:val="48A326ED"/>
    <w:rsid w:val="48A73C3A"/>
    <w:rsid w:val="48AB58C3"/>
    <w:rsid w:val="48AF1997"/>
    <w:rsid w:val="48B013B1"/>
    <w:rsid w:val="48BF5427"/>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F46CF"/>
    <w:rsid w:val="4961011A"/>
    <w:rsid w:val="497751F7"/>
    <w:rsid w:val="49997A26"/>
    <w:rsid w:val="499A2986"/>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9F7474D"/>
    <w:rsid w:val="4A030844"/>
    <w:rsid w:val="4A0D7F42"/>
    <w:rsid w:val="4A130CD4"/>
    <w:rsid w:val="4A1B647C"/>
    <w:rsid w:val="4A2A2D74"/>
    <w:rsid w:val="4A2B6F2D"/>
    <w:rsid w:val="4A497D1A"/>
    <w:rsid w:val="4A541C13"/>
    <w:rsid w:val="4A7D7215"/>
    <w:rsid w:val="4A845BD3"/>
    <w:rsid w:val="4A8D52FB"/>
    <w:rsid w:val="4A8D56DE"/>
    <w:rsid w:val="4A9E3173"/>
    <w:rsid w:val="4AB33A2C"/>
    <w:rsid w:val="4AB47A12"/>
    <w:rsid w:val="4AB538C9"/>
    <w:rsid w:val="4ABE260E"/>
    <w:rsid w:val="4ACF0F07"/>
    <w:rsid w:val="4AD574C0"/>
    <w:rsid w:val="4AD66CD6"/>
    <w:rsid w:val="4AD74653"/>
    <w:rsid w:val="4AE07DFB"/>
    <w:rsid w:val="4AE23121"/>
    <w:rsid w:val="4AEC627C"/>
    <w:rsid w:val="4AEE16B8"/>
    <w:rsid w:val="4AEF24ED"/>
    <w:rsid w:val="4AF96CB6"/>
    <w:rsid w:val="4AFD5169"/>
    <w:rsid w:val="4B093295"/>
    <w:rsid w:val="4B0C06DC"/>
    <w:rsid w:val="4B184095"/>
    <w:rsid w:val="4B2043B8"/>
    <w:rsid w:val="4B285F31"/>
    <w:rsid w:val="4B406692"/>
    <w:rsid w:val="4B413ED2"/>
    <w:rsid w:val="4B492A3B"/>
    <w:rsid w:val="4B497029"/>
    <w:rsid w:val="4B5C74E9"/>
    <w:rsid w:val="4B5F3ED9"/>
    <w:rsid w:val="4B605F8F"/>
    <w:rsid w:val="4B634726"/>
    <w:rsid w:val="4B7D0C82"/>
    <w:rsid w:val="4B8F6E14"/>
    <w:rsid w:val="4B951AD0"/>
    <w:rsid w:val="4B9761E7"/>
    <w:rsid w:val="4B9809FD"/>
    <w:rsid w:val="4BB0472C"/>
    <w:rsid w:val="4BB41CBD"/>
    <w:rsid w:val="4BBB33A6"/>
    <w:rsid w:val="4BBE46DB"/>
    <w:rsid w:val="4BC472D1"/>
    <w:rsid w:val="4BC54E66"/>
    <w:rsid w:val="4BCD57A7"/>
    <w:rsid w:val="4BCF788F"/>
    <w:rsid w:val="4BD84E75"/>
    <w:rsid w:val="4BDC5224"/>
    <w:rsid w:val="4BE76065"/>
    <w:rsid w:val="4BEA3BEA"/>
    <w:rsid w:val="4BEC4DB3"/>
    <w:rsid w:val="4BF149C3"/>
    <w:rsid w:val="4BF9780B"/>
    <w:rsid w:val="4BFA4125"/>
    <w:rsid w:val="4C020E7B"/>
    <w:rsid w:val="4C23448B"/>
    <w:rsid w:val="4C345224"/>
    <w:rsid w:val="4C4C2771"/>
    <w:rsid w:val="4C543B22"/>
    <w:rsid w:val="4C5566D7"/>
    <w:rsid w:val="4C644E8C"/>
    <w:rsid w:val="4C742D40"/>
    <w:rsid w:val="4C746C1E"/>
    <w:rsid w:val="4C7C48A7"/>
    <w:rsid w:val="4C7C506B"/>
    <w:rsid w:val="4CA87F80"/>
    <w:rsid w:val="4CBB0A14"/>
    <w:rsid w:val="4CCB4740"/>
    <w:rsid w:val="4CCD1A64"/>
    <w:rsid w:val="4CD251A8"/>
    <w:rsid w:val="4CD52E3E"/>
    <w:rsid w:val="4CE57A8E"/>
    <w:rsid w:val="4CFB55CD"/>
    <w:rsid w:val="4D072D79"/>
    <w:rsid w:val="4D145D5B"/>
    <w:rsid w:val="4D17778C"/>
    <w:rsid w:val="4D281D25"/>
    <w:rsid w:val="4D2C015A"/>
    <w:rsid w:val="4D473BE7"/>
    <w:rsid w:val="4D5544C8"/>
    <w:rsid w:val="4D616AAD"/>
    <w:rsid w:val="4D6D36A4"/>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96E2C"/>
    <w:rsid w:val="4E0B4471"/>
    <w:rsid w:val="4E131941"/>
    <w:rsid w:val="4E266826"/>
    <w:rsid w:val="4E34712A"/>
    <w:rsid w:val="4E37534F"/>
    <w:rsid w:val="4E3A1C2D"/>
    <w:rsid w:val="4E463A07"/>
    <w:rsid w:val="4E4F7006"/>
    <w:rsid w:val="4E567965"/>
    <w:rsid w:val="4E5879FD"/>
    <w:rsid w:val="4E5B246B"/>
    <w:rsid w:val="4E6A6162"/>
    <w:rsid w:val="4E6A7AAB"/>
    <w:rsid w:val="4E6F7F3D"/>
    <w:rsid w:val="4E77126F"/>
    <w:rsid w:val="4E870CEC"/>
    <w:rsid w:val="4E932227"/>
    <w:rsid w:val="4E951779"/>
    <w:rsid w:val="4E9D5E6B"/>
    <w:rsid w:val="4EA310EA"/>
    <w:rsid w:val="4EAB5E7F"/>
    <w:rsid w:val="4EAB7B87"/>
    <w:rsid w:val="4EB27D68"/>
    <w:rsid w:val="4ECA4D18"/>
    <w:rsid w:val="4EDD4F23"/>
    <w:rsid w:val="4EDE2A17"/>
    <w:rsid w:val="4EF82C0F"/>
    <w:rsid w:val="4F1705ED"/>
    <w:rsid w:val="4F1B405C"/>
    <w:rsid w:val="4F221450"/>
    <w:rsid w:val="4F39547D"/>
    <w:rsid w:val="4F5831BF"/>
    <w:rsid w:val="4F5E50E8"/>
    <w:rsid w:val="4F6065C7"/>
    <w:rsid w:val="4F67737B"/>
    <w:rsid w:val="4F766114"/>
    <w:rsid w:val="4F806F93"/>
    <w:rsid w:val="4F8E345D"/>
    <w:rsid w:val="4F944AF3"/>
    <w:rsid w:val="4F9B48E0"/>
    <w:rsid w:val="4FA42C81"/>
    <w:rsid w:val="4FB547BF"/>
    <w:rsid w:val="4FD46E5C"/>
    <w:rsid w:val="4FD518A8"/>
    <w:rsid w:val="4FDA66A3"/>
    <w:rsid w:val="4FDA7262"/>
    <w:rsid w:val="4FFB4A12"/>
    <w:rsid w:val="4FFB53F6"/>
    <w:rsid w:val="500B08C0"/>
    <w:rsid w:val="50136893"/>
    <w:rsid w:val="50187BDC"/>
    <w:rsid w:val="501A6B51"/>
    <w:rsid w:val="50271C76"/>
    <w:rsid w:val="503754C6"/>
    <w:rsid w:val="50435E55"/>
    <w:rsid w:val="50486282"/>
    <w:rsid w:val="50511B72"/>
    <w:rsid w:val="50693BBD"/>
    <w:rsid w:val="50700EA1"/>
    <w:rsid w:val="50795EBC"/>
    <w:rsid w:val="508D1967"/>
    <w:rsid w:val="50B109AF"/>
    <w:rsid w:val="50B9275C"/>
    <w:rsid w:val="50C9265F"/>
    <w:rsid w:val="50C954CC"/>
    <w:rsid w:val="50D856A5"/>
    <w:rsid w:val="50E20B5E"/>
    <w:rsid w:val="5128530D"/>
    <w:rsid w:val="512C2F2E"/>
    <w:rsid w:val="513A20EB"/>
    <w:rsid w:val="51475B9B"/>
    <w:rsid w:val="514F764A"/>
    <w:rsid w:val="515446F4"/>
    <w:rsid w:val="515C44D2"/>
    <w:rsid w:val="51607C8A"/>
    <w:rsid w:val="51646F20"/>
    <w:rsid w:val="51694C80"/>
    <w:rsid w:val="5173358C"/>
    <w:rsid w:val="51866838"/>
    <w:rsid w:val="518F457C"/>
    <w:rsid w:val="51917235"/>
    <w:rsid w:val="519E06BD"/>
    <w:rsid w:val="51A94649"/>
    <w:rsid w:val="51AD7117"/>
    <w:rsid w:val="51B71FD1"/>
    <w:rsid w:val="51BA3A7E"/>
    <w:rsid w:val="51CD59F0"/>
    <w:rsid w:val="51D37172"/>
    <w:rsid w:val="51DA6316"/>
    <w:rsid w:val="51FE1BA6"/>
    <w:rsid w:val="51FF0643"/>
    <w:rsid w:val="52115C1C"/>
    <w:rsid w:val="521E385D"/>
    <w:rsid w:val="521F3230"/>
    <w:rsid w:val="522A6D57"/>
    <w:rsid w:val="522F077A"/>
    <w:rsid w:val="52306B3C"/>
    <w:rsid w:val="524E1C99"/>
    <w:rsid w:val="525700F4"/>
    <w:rsid w:val="525A5EFE"/>
    <w:rsid w:val="526724C9"/>
    <w:rsid w:val="52692625"/>
    <w:rsid w:val="527E1DD7"/>
    <w:rsid w:val="527F727E"/>
    <w:rsid w:val="52983A2D"/>
    <w:rsid w:val="52993E93"/>
    <w:rsid w:val="529E0439"/>
    <w:rsid w:val="52A835F0"/>
    <w:rsid w:val="52AC20F1"/>
    <w:rsid w:val="52BD4667"/>
    <w:rsid w:val="52C4650C"/>
    <w:rsid w:val="52C75BB0"/>
    <w:rsid w:val="52C9432D"/>
    <w:rsid w:val="52D16FF2"/>
    <w:rsid w:val="52DB5A3F"/>
    <w:rsid w:val="52DC0984"/>
    <w:rsid w:val="52E674BE"/>
    <w:rsid w:val="52EC48FA"/>
    <w:rsid w:val="53005A6E"/>
    <w:rsid w:val="530748DF"/>
    <w:rsid w:val="53222E14"/>
    <w:rsid w:val="53300FB6"/>
    <w:rsid w:val="533019DA"/>
    <w:rsid w:val="53475D3A"/>
    <w:rsid w:val="53655A80"/>
    <w:rsid w:val="538B42DE"/>
    <w:rsid w:val="539E6AA6"/>
    <w:rsid w:val="53A60DD5"/>
    <w:rsid w:val="53A87967"/>
    <w:rsid w:val="53CC5E1A"/>
    <w:rsid w:val="53D127E7"/>
    <w:rsid w:val="53DC7670"/>
    <w:rsid w:val="53EC1861"/>
    <w:rsid w:val="53F76048"/>
    <w:rsid w:val="542F35D9"/>
    <w:rsid w:val="542F444C"/>
    <w:rsid w:val="543876E2"/>
    <w:rsid w:val="543A3C6A"/>
    <w:rsid w:val="543C7CB2"/>
    <w:rsid w:val="54576514"/>
    <w:rsid w:val="545F6B68"/>
    <w:rsid w:val="54703B76"/>
    <w:rsid w:val="54AF37EA"/>
    <w:rsid w:val="54C16897"/>
    <w:rsid w:val="54CF1AAB"/>
    <w:rsid w:val="54ED448D"/>
    <w:rsid w:val="54F55A9E"/>
    <w:rsid w:val="55010C6B"/>
    <w:rsid w:val="55025A45"/>
    <w:rsid w:val="55092FAD"/>
    <w:rsid w:val="55194651"/>
    <w:rsid w:val="551E3960"/>
    <w:rsid w:val="55375455"/>
    <w:rsid w:val="556154BA"/>
    <w:rsid w:val="556C2493"/>
    <w:rsid w:val="5585712D"/>
    <w:rsid w:val="558D4110"/>
    <w:rsid w:val="559912AF"/>
    <w:rsid w:val="559961B4"/>
    <w:rsid w:val="55AA6225"/>
    <w:rsid w:val="55AE6718"/>
    <w:rsid w:val="55EC13BA"/>
    <w:rsid w:val="55F94F8E"/>
    <w:rsid w:val="56004989"/>
    <w:rsid w:val="56110C10"/>
    <w:rsid w:val="561428C1"/>
    <w:rsid w:val="56150EB3"/>
    <w:rsid w:val="561901FA"/>
    <w:rsid w:val="561E2D2C"/>
    <w:rsid w:val="561F3CB6"/>
    <w:rsid w:val="56233904"/>
    <w:rsid w:val="56796C5B"/>
    <w:rsid w:val="56803E23"/>
    <w:rsid w:val="568E1D15"/>
    <w:rsid w:val="56955916"/>
    <w:rsid w:val="569A6E40"/>
    <w:rsid w:val="56AE6EA8"/>
    <w:rsid w:val="56B83943"/>
    <w:rsid w:val="56BA113F"/>
    <w:rsid w:val="56C41882"/>
    <w:rsid w:val="56D54E6B"/>
    <w:rsid w:val="56DC53F6"/>
    <w:rsid w:val="56DD6FA5"/>
    <w:rsid w:val="56DF626B"/>
    <w:rsid w:val="56EC2D4F"/>
    <w:rsid w:val="56FB3FF9"/>
    <w:rsid w:val="56FD2198"/>
    <w:rsid w:val="570010E5"/>
    <w:rsid w:val="57114899"/>
    <w:rsid w:val="5718099E"/>
    <w:rsid w:val="571F4340"/>
    <w:rsid w:val="572409FC"/>
    <w:rsid w:val="57380C37"/>
    <w:rsid w:val="5739626B"/>
    <w:rsid w:val="574717EA"/>
    <w:rsid w:val="574E13AD"/>
    <w:rsid w:val="577522C7"/>
    <w:rsid w:val="57861513"/>
    <w:rsid w:val="5789573D"/>
    <w:rsid w:val="578C704A"/>
    <w:rsid w:val="57981B34"/>
    <w:rsid w:val="579A1FB5"/>
    <w:rsid w:val="579B7EDC"/>
    <w:rsid w:val="57A13883"/>
    <w:rsid w:val="57A2525D"/>
    <w:rsid w:val="57B671D8"/>
    <w:rsid w:val="57BF3979"/>
    <w:rsid w:val="57E74CF7"/>
    <w:rsid w:val="57E825D4"/>
    <w:rsid w:val="57F413E2"/>
    <w:rsid w:val="57F70468"/>
    <w:rsid w:val="581329DA"/>
    <w:rsid w:val="581D1822"/>
    <w:rsid w:val="58230D38"/>
    <w:rsid w:val="5837317F"/>
    <w:rsid w:val="58385FF7"/>
    <w:rsid w:val="583B5B3E"/>
    <w:rsid w:val="583B6401"/>
    <w:rsid w:val="584157D2"/>
    <w:rsid w:val="584331DC"/>
    <w:rsid w:val="586036A7"/>
    <w:rsid w:val="586D0393"/>
    <w:rsid w:val="587F7ED1"/>
    <w:rsid w:val="589D49D4"/>
    <w:rsid w:val="589D5EBC"/>
    <w:rsid w:val="58A219B7"/>
    <w:rsid w:val="58A2448A"/>
    <w:rsid w:val="58A45E46"/>
    <w:rsid w:val="58C06677"/>
    <w:rsid w:val="58C17993"/>
    <w:rsid w:val="58E93DFA"/>
    <w:rsid w:val="590E7B63"/>
    <w:rsid w:val="5911704A"/>
    <w:rsid w:val="591E31B2"/>
    <w:rsid w:val="593239B2"/>
    <w:rsid w:val="593D52A0"/>
    <w:rsid w:val="594279D7"/>
    <w:rsid w:val="59434133"/>
    <w:rsid w:val="59796DE8"/>
    <w:rsid w:val="599A30CF"/>
    <w:rsid w:val="59AE331A"/>
    <w:rsid w:val="59B1531E"/>
    <w:rsid w:val="59B31432"/>
    <w:rsid w:val="59B86BB4"/>
    <w:rsid w:val="59BC5BAA"/>
    <w:rsid w:val="59C52172"/>
    <w:rsid w:val="59DC530F"/>
    <w:rsid w:val="59DD0BC9"/>
    <w:rsid w:val="59DE647C"/>
    <w:rsid w:val="59EC3697"/>
    <w:rsid w:val="59EE732A"/>
    <w:rsid w:val="59F24F64"/>
    <w:rsid w:val="59F83A7F"/>
    <w:rsid w:val="5A063D38"/>
    <w:rsid w:val="5A142786"/>
    <w:rsid w:val="5A2B00AB"/>
    <w:rsid w:val="5A3A281E"/>
    <w:rsid w:val="5A3C6AE3"/>
    <w:rsid w:val="5A4C6AB4"/>
    <w:rsid w:val="5A4C6EDF"/>
    <w:rsid w:val="5A517945"/>
    <w:rsid w:val="5A60354C"/>
    <w:rsid w:val="5A684474"/>
    <w:rsid w:val="5A8042EB"/>
    <w:rsid w:val="5A807B8B"/>
    <w:rsid w:val="5A8B483A"/>
    <w:rsid w:val="5A9B3CFD"/>
    <w:rsid w:val="5AAD0BDB"/>
    <w:rsid w:val="5AB10E32"/>
    <w:rsid w:val="5AC44599"/>
    <w:rsid w:val="5ADF07E8"/>
    <w:rsid w:val="5AE979C9"/>
    <w:rsid w:val="5AEC6396"/>
    <w:rsid w:val="5B07328E"/>
    <w:rsid w:val="5B376556"/>
    <w:rsid w:val="5B393C4D"/>
    <w:rsid w:val="5B4165B4"/>
    <w:rsid w:val="5B451EA5"/>
    <w:rsid w:val="5B5F159B"/>
    <w:rsid w:val="5B6B0AF7"/>
    <w:rsid w:val="5B750D47"/>
    <w:rsid w:val="5B7610DF"/>
    <w:rsid w:val="5B7B1DBC"/>
    <w:rsid w:val="5B820CEA"/>
    <w:rsid w:val="5B830C39"/>
    <w:rsid w:val="5BC815A9"/>
    <w:rsid w:val="5BDF10EC"/>
    <w:rsid w:val="5BE11AD0"/>
    <w:rsid w:val="5BF65E4A"/>
    <w:rsid w:val="5BFC5DEF"/>
    <w:rsid w:val="5C031C08"/>
    <w:rsid w:val="5C073493"/>
    <w:rsid w:val="5C08313A"/>
    <w:rsid w:val="5C271679"/>
    <w:rsid w:val="5C277A24"/>
    <w:rsid w:val="5C284D5E"/>
    <w:rsid w:val="5C2C3EF8"/>
    <w:rsid w:val="5C2F6D78"/>
    <w:rsid w:val="5C3071E6"/>
    <w:rsid w:val="5C40110D"/>
    <w:rsid w:val="5C4707B9"/>
    <w:rsid w:val="5C526139"/>
    <w:rsid w:val="5C5675E5"/>
    <w:rsid w:val="5C5F5E7F"/>
    <w:rsid w:val="5C6379B3"/>
    <w:rsid w:val="5C646B0E"/>
    <w:rsid w:val="5C65426F"/>
    <w:rsid w:val="5C731A7F"/>
    <w:rsid w:val="5C7569AD"/>
    <w:rsid w:val="5CAF2C03"/>
    <w:rsid w:val="5CD062DF"/>
    <w:rsid w:val="5CD27D37"/>
    <w:rsid w:val="5CD36B2E"/>
    <w:rsid w:val="5CD4779E"/>
    <w:rsid w:val="5CD677DA"/>
    <w:rsid w:val="5CD821BC"/>
    <w:rsid w:val="5CDE27BC"/>
    <w:rsid w:val="5D137532"/>
    <w:rsid w:val="5D157C88"/>
    <w:rsid w:val="5D1E0ED1"/>
    <w:rsid w:val="5D374EE4"/>
    <w:rsid w:val="5D496913"/>
    <w:rsid w:val="5D604E1A"/>
    <w:rsid w:val="5D613ECE"/>
    <w:rsid w:val="5D6A6E55"/>
    <w:rsid w:val="5D6E48CE"/>
    <w:rsid w:val="5D76283E"/>
    <w:rsid w:val="5D8306C9"/>
    <w:rsid w:val="5D842A1D"/>
    <w:rsid w:val="5DB20FCB"/>
    <w:rsid w:val="5DB46785"/>
    <w:rsid w:val="5DB70023"/>
    <w:rsid w:val="5DE51229"/>
    <w:rsid w:val="5DE74DAC"/>
    <w:rsid w:val="5DF31E43"/>
    <w:rsid w:val="5E0028AB"/>
    <w:rsid w:val="5E021953"/>
    <w:rsid w:val="5E036527"/>
    <w:rsid w:val="5E04757B"/>
    <w:rsid w:val="5E087B7C"/>
    <w:rsid w:val="5E0E54E0"/>
    <w:rsid w:val="5E207E63"/>
    <w:rsid w:val="5E2C0A11"/>
    <w:rsid w:val="5E4565B9"/>
    <w:rsid w:val="5E4B0A93"/>
    <w:rsid w:val="5E707F99"/>
    <w:rsid w:val="5E7E1766"/>
    <w:rsid w:val="5E8F38D1"/>
    <w:rsid w:val="5E927AEF"/>
    <w:rsid w:val="5EB37363"/>
    <w:rsid w:val="5EBA5D65"/>
    <w:rsid w:val="5EBF4211"/>
    <w:rsid w:val="5EC4031F"/>
    <w:rsid w:val="5EC6445F"/>
    <w:rsid w:val="5ED50336"/>
    <w:rsid w:val="5ED65319"/>
    <w:rsid w:val="5EEB5E61"/>
    <w:rsid w:val="5EF1586C"/>
    <w:rsid w:val="5F2032EF"/>
    <w:rsid w:val="5F2141F8"/>
    <w:rsid w:val="5F46047A"/>
    <w:rsid w:val="5F4A68D0"/>
    <w:rsid w:val="5F7A0801"/>
    <w:rsid w:val="5F7F1015"/>
    <w:rsid w:val="5F843E24"/>
    <w:rsid w:val="5F8D62F8"/>
    <w:rsid w:val="5F9501FE"/>
    <w:rsid w:val="5FA23D09"/>
    <w:rsid w:val="5FAF7865"/>
    <w:rsid w:val="5FB5B2C3"/>
    <w:rsid w:val="5FB73F3B"/>
    <w:rsid w:val="5FC67588"/>
    <w:rsid w:val="5FD046CB"/>
    <w:rsid w:val="5FD50C35"/>
    <w:rsid w:val="5FE73D0E"/>
    <w:rsid w:val="60067040"/>
    <w:rsid w:val="6008140F"/>
    <w:rsid w:val="60086F0A"/>
    <w:rsid w:val="601B4A47"/>
    <w:rsid w:val="60217A1A"/>
    <w:rsid w:val="603C0CB4"/>
    <w:rsid w:val="604270E5"/>
    <w:rsid w:val="604D05E2"/>
    <w:rsid w:val="605F20D7"/>
    <w:rsid w:val="60646418"/>
    <w:rsid w:val="60691264"/>
    <w:rsid w:val="606D52A1"/>
    <w:rsid w:val="60761A02"/>
    <w:rsid w:val="607704D1"/>
    <w:rsid w:val="607E751E"/>
    <w:rsid w:val="608D24C2"/>
    <w:rsid w:val="609A3072"/>
    <w:rsid w:val="609E62ED"/>
    <w:rsid w:val="60A76608"/>
    <w:rsid w:val="60A80CA6"/>
    <w:rsid w:val="60B26B24"/>
    <w:rsid w:val="60B322B3"/>
    <w:rsid w:val="60BF1DF9"/>
    <w:rsid w:val="60EE0218"/>
    <w:rsid w:val="60FA4B1B"/>
    <w:rsid w:val="60FE7FA1"/>
    <w:rsid w:val="610544EA"/>
    <w:rsid w:val="61091E5D"/>
    <w:rsid w:val="610A7CB7"/>
    <w:rsid w:val="611F56E1"/>
    <w:rsid w:val="61353591"/>
    <w:rsid w:val="614B40F4"/>
    <w:rsid w:val="6160227E"/>
    <w:rsid w:val="6162303C"/>
    <w:rsid w:val="616E53C9"/>
    <w:rsid w:val="616F678F"/>
    <w:rsid w:val="61775741"/>
    <w:rsid w:val="618C32E6"/>
    <w:rsid w:val="61942B31"/>
    <w:rsid w:val="61986663"/>
    <w:rsid w:val="61B17E42"/>
    <w:rsid w:val="61BB3420"/>
    <w:rsid w:val="61D17319"/>
    <w:rsid w:val="61D81473"/>
    <w:rsid w:val="61D8261B"/>
    <w:rsid w:val="61F77AB6"/>
    <w:rsid w:val="61F93300"/>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875AAB"/>
    <w:rsid w:val="62BC0D55"/>
    <w:rsid w:val="62BC6E3C"/>
    <w:rsid w:val="62E0150F"/>
    <w:rsid w:val="62E02F60"/>
    <w:rsid w:val="62F526E7"/>
    <w:rsid w:val="63106D5B"/>
    <w:rsid w:val="6332766D"/>
    <w:rsid w:val="63396158"/>
    <w:rsid w:val="633C5B98"/>
    <w:rsid w:val="63430D2A"/>
    <w:rsid w:val="63473BF7"/>
    <w:rsid w:val="634D61C9"/>
    <w:rsid w:val="635C4C57"/>
    <w:rsid w:val="635C750D"/>
    <w:rsid w:val="63674CA4"/>
    <w:rsid w:val="63A54F06"/>
    <w:rsid w:val="63A64DC2"/>
    <w:rsid w:val="63AD6951"/>
    <w:rsid w:val="63B16962"/>
    <w:rsid w:val="63BA2EDA"/>
    <w:rsid w:val="63C9624A"/>
    <w:rsid w:val="63CC601E"/>
    <w:rsid w:val="63D719DB"/>
    <w:rsid w:val="63ED4724"/>
    <w:rsid w:val="63F80D94"/>
    <w:rsid w:val="63FF6FFC"/>
    <w:rsid w:val="64001A81"/>
    <w:rsid w:val="64026854"/>
    <w:rsid w:val="642411E7"/>
    <w:rsid w:val="643D2B73"/>
    <w:rsid w:val="644857E1"/>
    <w:rsid w:val="644A226C"/>
    <w:rsid w:val="64514357"/>
    <w:rsid w:val="64525187"/>
    <w:rsid w:val="64542A70"/>
    <w:rsid w:val="64553A5C"/>
    <w:rsid w:val="6462771D"/>
    <w:rsid w:val="64750A67"/>
    <w:rsid w:val="647749B0"/>
    <w:rsid w:val="648F4603"/>
    <w:rsid w:val="64940BBC"/>
    <w:rsid w:val="649D6000"/>
    <w:rsid w:val="64A22D34"/>
    <w:rsid w:val="64B2181C"/>
    <w:rsid w:val="64BD6D1E"/>
    <w:rsid w:val="64CA3146"/>
    <w:rsid w:val="64CF2FBB"/>
    <w:rsid w:val="64D076D0"/>
    <w:rsid w:val="64D25ADC"/>
    <w:rsid w:val="64D8700C"/>
    <w:rsid w:val="64DA642E"/>
    <w:rsid w:val="64FB1BDE"/>
    <w:rsid w:val="650B1C07"/>
    <w:rsid w:val="651A5F91"/>
    <w:rsid w:val="652C5EB4"/>
    <w:rsid w:val="654B2836"/>
    <w:rsid w:val="6556509D"/>
    <w:rsid w:val="655C540A"/>
    <w:rsid w:val="65652A5B"/>
    <w:rsid w:val="65680726"/>
    <w:rsid w:val="657F58CB"/>
    <w:rsid w:val="658159DC"/>
    <w:rsid w:val="65830371"/>
    <w:rsid w:val="65A76DE5"/>
    <w:rsid w:val="65BA079C"/>
    <w:rsid w:val="65BB60E3"/>
    <w:rsid w:val="65DA2049"/>
    <w:rsid w:val="65E17BA8"/>
    <w:rsid w:val="65FA1534"/>
    <w:rsid w:val="65FA5D55"/>
    <w:rsid w:val="66020B60"/>
    <w:rsid w:val="660255FB"/>
    <w:rsid w:val="66123D10"/>
    <w:rsid w:val="66133DAB"/>
    <w:rsid w:val="661A16F1"/>
    <w:rsid w:val="661C75BD"/>
    <w:rsid w:val="661F2C0A"/>
    <w:rsid w:val="663D1055"/>
    <w:rsid w:val="664541E6"/>
    <w:rsid w:val="66474970"/>
    <w:rsid w:val="6648514C"/>
    <w:rsid w:val="664B39FF"/>
    <w:rsid w:val="6663790C"/>
    <w:rsid w:val="66747232"/>
    <w:rsid w:val="667D15A4"/>
    <w:rsid w:val="667D7BC5"/>
    <w:rsid w:val="668215CB"/>
    <w:rsid w:val="66837765"/>
    <w:rsid w:val="668533B4"/>
    <w:rsid w:val="669902AD"/>
    <w:rsid w:val="66A129BA"/>
    <w:rsid w:val="66A93610"/>
    <w:rsid w:val="66AB587F"/>
    <w:rsid w:val="66DA1819"/>
    <w:rsid w:val="66DC6F2C"/>
    <w:rsid w:val="66E016CA"/>
    <w:rsid w:val="66E83E34"/>
    <w:rsid w:val="66EF52A5"/>
    <w:rsid w:val="66F30D69"/>
    <w:rsid w:val="66FC72F7"/>
    <w:rsid w:val="670B0931"/>
    <w:rsid w:val="67120309"/>
    <w:rsid w:val="67443AE9"/>
    <w:rsid w:val="67572F8F"/>
    <w:rsid w:val="675E333F"/>
    <w:rsid w:val="6775322B"/>
    <w:rsid w:val="67893596"/>
    <w:rsid w:val="678A0557"/>
    <w:rsid w:val="67BF023C"/>
    <w:rsid w:val="67CE55FF"/>
    <w:rsid w:val="67D5557E"/>
    <w:rsid w:val="67E0047E"/>
    <w:rsid w:val="67F6293B"/>
    <w:rsid w:val="67FA187D"/>
    <w:rsid w:val="68142795"/>
    <w:rsid w:val="68336430"/>
    <w:rsid w:val="684F4B81"/>
    <w:rsid w:val="685149A2"/>
    <w:rsid w:val="68571975"/>
    <w:rsid w:val="685A79FC"/>
    <w:rsid w:val="68611261"/>
    <w:rsid w:val="686A5EB8"/>
    <w:rsid w:val="688E4077"/>
    <w:rsid w:val="688F672B"/>
    <w:rsid w:val="688F6F87"/>
    <w:rsid w:val="68A17AAF"/>
    <w:rsid w:val="68B027B4"/>
    <w:rsid w:val="68DA74AF"/>
    <w:rsid w:val="68E05863"/>
    <w:rsid w:val="68EE64F5"/>
    <w:rsid w:val="68F77E6E"/>
    <w:rsid w:val="69030B1E"/>
    <w:rsid w:val="69085C0C"/>
    <w:rsid w:val="691378B0"/>
    <w:rsid w:val="6920283B"/>
    <w:rsid w:val="693B41FE"/>
    <w:rsid w:val="6941314D"/>
    <w:rsid w:val="69521130"/>
    <w:rsid w:val="69580133"/>
    <w:rsid w:val="69586E43"/>
    <w:rsid w:val="696216B0"/>
    <w:rsid w:val="69662AFA"/>
    <w:rsid w:val="69672C6C"/>
    <w:rsid w:val="696A29B9"/>
    <w:rsid w:val="69770527"/>
    <w:rsid w:val="697F233D"/>
    <w:rsid w:val="698222FD"/>
    <w:rsid w:val="6985069B"/>
    <w:rsid w:val="69AD5538"/>
    <w:rsid w:val="69BA1C87"/>
    <w:rsid w:val="69E274C8"/>
    <w:rsid w:val="69E55F18"/>
    <w:rsid w:val="69E928CE"/>
    <w:rsid w:val="69F4010D"/>
    <w:rsid w:val="69F70652"/>
    <w:rsid w:val="6A065174"/>
    <w:rsid w:val="6A1073EC"/>
    <w:rsid w:val="6A2004CE"/>
    <w:rsid w:val="6A2F6254"/>
    <w:rsid w:val="6A35394F"/>
    <w:rsid w:val="6A413EE6"/>
    <w:rsid w:val="6A4C4802"/>
    <w:rsid w:val="6A5779AC"/>
    <w:rsid w:val="6A6A1708"/>
    <w:rsid w:val="6A6C42F6"/>
    <w:rsid w:val="6A701C86"/>
    <w:rsid w:val="6A7513A2"/>
    <w:rsid w:val="6A86465B"/>
    <w:rsid w:val="6A8C267C"/>
    <w:rsid w:val="6AA103AC"/>
    <w:rsid w:val="6AA84B5B"/>
    <w:rsid w:val="6AAB3624"/>
    <w:rsid w:val="6AC75641"/>
    <w:rsid w:val="6ACE7ECF"/>
    <w:rsid w:val="6AD55603"/>
    <w:rsid w:val="6ADB14A0"/>
    <w:rsid w:val="6AE22AC5"/>
    <w:rsid w:val="6AE44653"/>
    <w:rsid w:val="6AED32D6"/>
    <w:rsid w:val="6AF42BA2"/>
    <w:rsid w:val="6B047FBB"/>
    <w:rsid w:val="6B1430EB"/>
    <w:rsid w:val="6B184B73"/>
    <w:rsid w:val="6B1B3BDE"/>
    <w:rsid w:val="6B2040B3"/>
    <w:rsid w:val="6B3E0DFA"/>
    <w:rsid w:val="6B410AE7"/>
    <w:rsid w:val="6B453FFA"/>
    <w:rsid w:val="6B674FF6"/>
    <w:rsid w:val="6B74202F"/>
    <w:rsid w:val="6B81450D"/>
    <w:rsid w:val="6B8558F1"/>
    <w:rsid w:val="6B9416DB"/>
    <w:rsid w:val="6B9568EC"/>
    <w:rsid w:val="6BC71567"/>
    <w:rsid w:val="6BCB1C20"/>
    <w:rsid w:val="6BD10E4A"/>
    <w:rsid w:val="6BD22BED"/>
    <w:rsid w:val="6BE45057"/>
    <w:rsid w:val="6BF62C43"/>
    <w:rsid w:val="6BFB724A"/>
    <w:rsid w:val="6C056342"/>
    <w:rsid w:val="6C1F12F7"/>
    <w:rsid w:val="6C2235BB"/>
    <w:rsid w:val="6C225202"/>
    <w:rsid w:val="6C2358F3"/>
    <w:rsid w:val="6C285F16"/>
    <w:rsid w:val="6C2B087F"/>
    <w:rsid w:val="6C3D08E7"/>
    <w:rsid w:val="6C477DAC"/>
    <w:rsid w:val="6C5A499B"/>
    <w:rsid w:val="6C6E5018"/>
    <w:rsid w:val="6C743C3C"/>
    <w:rsid w:val="6C781324"/>
    <w:rsid w:val="6C787634"/>
    <w:rsid w:val="6C9F6852"/>
    <w:rsid w:val="6CA83A9D"/>
    <w:rsid w:val="6CAE0FC7"/>
    <w:rsid w:val="6CB467A2"/>
    <w:rsid w:val="6CB60E58"/>
    <w:rsid w:val="6CB90ABC"/>
    <w:rsid w:val="6CC17C43"/>
    <w:rsid w:val="6CCC1D14"/>
    <w:rsid w:val="6CE1750C"/>
    <w:rsid w:val="6CE32FE9"/>
    <w:rsid w:val="6CF50CAC"/>
    <w:rsid w:val="6CFA47C3"/>
    <w:rsid w:val="6D013069"/>
    <w:rsid w:val="6D0A4253"/>
    <w:rsid w:val="6D17288C"/>
    <w:rsid w:val="6D234F26"/>
    <w:rsid w:val="6D41740F"/>
    <w:rsid w:val="6D5F1476"/>
    <w:rsid w:val="6D6131F6"/>
    <w:rsid w:val="6D6362FF"/>
    <w:rsid w:val="6D6908C9"/>
    <w:rsid w:val="6D891B50"/>
    <w:rsid w:val="6D943EDD"/>
    <w:rsid w:val="6DA0720B"/>
    <w:rsid w:val="6DBA383E"/>
    <w:rsid w:val="6DBC4E4A"/>
    <w:rsid w:val="6DCF2747"/>
    <w:rsid w:val="6DE26E66"/>
    <w:rsid w:val="6DF4133C"/>
    <w:rsid w:val="6DFE0A46"/>
    <w:rsid w:val="6E046D6A"/>
    <w:rsid w:val="6E0A4EE7"/>
    <w:rsid w:val="6E1D77C2"/>
    <w:rsid w:val="6E1D7D06"/>
    <w:rsid w:val="6E275A60"/>
    <w:rsid w:val="6E2D6A2F"/>
    <w:rsid w:val="6E392AF4"/>
    <w:rsid w:val="6E4B7BC4"/>
    <w:rsid w:val="6E6267FC"/>
    <w:rsid w:val="6E816EBD"/>
    <w:rsid w:val="6E892BF0"/>
    <w:rsid w:val="6E8B2C58"/>
    <w:rsid w:val="6E8E6B7E"/>
    <w:rsid w:val="6E922738"/>
    <w:rsid w:val="6E931C3F"/>
    <w:rsid w:val="6EB0012B"/>
    <w:rsid w:val="6EB849F5"/>
    <w:rsid w:val="6EF93A79"/>
    <w:rsid w:val="6F017A68"/>
    <w:rsid w:val="6F074C7D"/>
    <w:rsid w:val="6F095F3A"/>
    <w:rsid w:val="6F0B3914"/>
    <w:rsid w:val="6F282B2F"/>
    <w:rsid w:val="6F35524C"/>
    <w:rsid w:val="6F3732CE"/>
    <w:rsid w:val="6F4266DF"/>
    <w:rsid w:val="6F881695"/>
    <w:rsid w:val="6F8C16B9"/>
    <w:rsid w:val="6F92194C"/>
    <w:rsid w:val="6F92269E"/>
    <w:rsid w:val="6F997777"/>
    <w:rsid w:val="6FAC2382"/>
    <w:rsid w:val="6FC13DD2"/>
    <w:rsid w:val="6FCD418C"/>
    <w:rsid w:val="6FE83720"/>
    <w:rsid w:val="6FEF7197"/>
    <w:rsid w:val="6FEF7D8A"/>
    <w:rsid w:val="6FFD2BE7"/>
    <w:rsid w:val="70006A1E"/>
    <w:rsid w:val="70050220"/>
    <w:rsid w:val="70076EA8"/>
    <w:rsid w:val="702C5E4F"/>
    <w:rsid w:val="703062FD"/>
    <w:rsid w:val="703A2C04"/>
    <w:rsid w:val="703B1137"/>
    <w:rsid w:val="70486DDE"/>
    <w:rsid w:val="70556940"/>
    <w:rsid w:val="705975BD"/>
    <w:rsid w:val="70677361"/>
    <w:rsid w:val="706A0FD7"/>
    <w:rsid w:val="70762356"/>
    <w:rsid w:val="70827379"/>
    <w:rsid w:val="70846B10"/>
    <w:rsid w:val="708F5CC6"/>
    <w:rsid w:val="70912D25"/>
    <w:rsid w:val="70A51E7A"/>
    <w:rsid w:val="70A94695"/>
    <w:rsid w:val="70AE1665"/>
    <w:rsid w:val="70C64C13"/>
    <w:rsid w:val="70CE2A7D"/>
    <w:rsid w:val="70F57258"/>
    <w:rsid w:val="7104581E"/>
    <w:rsid w:val="710D2536"/>
    <w:rsid w:val="710D3A95"/>
    <w:rsid w:val="7123116D"/>
    <w:rsid w:val="712626A7"/>
    <w:rsid w:val="71295015"/>
    <w:rsid w:val="712F4753"/>
    <w:rsid w:val="713779A1"/>
    <w:rsid w:val="71405C9D"/>
    <w:rsid w:val="71605930"/>
    <w:rsid w:val="716A0E09"/>
    <w:rsid w:val="717402AD"/>
    <w:rsid w:val="717F25F9"/>
    <w:rsid w:val="71861D20"/>
    <w:rsid w:val="7186437F"/>
    <w:rsid w:val="71A45894"/>
    <w:rsid w:val="71BA0287"/>
    <w:rsid w:val="71BE7BEA"/>
    <w:rsid w:val="71C933A1"/>
    <w:rsid w:val="71DF2A49"/>
    <w:rsid w:val="71E96735"/>
    <w:rsid w:val="71EE2413"/>
    <w:rsid w:val="720000E6"/>
    <w:rsid w:val="72034464"/>
    <w:rsid w:val="720C50DD"/>
    <w:rsid w:val="723D68C6"/>
    <w:rsid w:val="723E1C92"/>
    <w:rsid w:val="72493B52"/>
    <w:rsid w:val="726A35DE"/>
    <w:rsid w:val="726C29D6"/>
    <w:rsid w:val="72812BB6"/>
    <w:rsid w:val="728A58AF"/>
    <w:rsid w:val="72934FF3"/>
    <w:rsid w:val="72992DCB"/>
    <w:rsid w:val="729C0A73"/>
    <w:rsid w:val="729D55E2"/>
    <w:rsid w:val="72A10AC9"/>
    <w:rsid w:val="72B01AB7"/>
    <w:rsid w:val="72BD7A32"/>
    <w:rsid w:val="72BE0926"/>
    <w:rsid w:val="72C405CA"/>
    <w:rsid w:val="72C46B36"/>
    <w:rsid w:val="72C47C06"/>
    <w:rsid w:val="72E10B87"/>
    <w:rsid w:val="72E17BC5"/>
    <w:rsid w:val="72FB055A"/>
    <w:rsid w:val="72FE1676"/>
    <w:rsid w:val="72FF7DFC"/>
    <w:rsid w:val="730A4D01"/>
    <w:rsid w:val="731A788A"/>
    <w:rsid w:val="731D44F3"/>
    <w:rsid w:val="731D49AA"/>
    <w:rsid w:val="731E1436"/>
    <w:rsid w:val="73273630"/>
    <w:rsid w:val="73283E0D"/>
    <w:rsid w:val="732E26DE"/>
    <w:rsid w:val="7332362C"/>
    <w:rsid w:val="7334325D"/>
    <w:rsid w:val="73350C5E"/>
    <w:rsid w:val="734F0FD2"/>
    <w:rsid w:val="73513CCA"/>
    <w:rsid w:val="73574EBF"/>
    <w:rsid w:val="73581579"/>
    <w:rsid w:val="735A1D60"/>
    <w:rsid w:val="735C724B"/>
    <w:rsid w:val="736A2E27"/>
    <w:rsid w:val="73743E64"/>
    <w:rsid w:val="73922C6D"/>
    <w:rsid w:val="73A21C06"/>
    <w:rsid w:val="73AA4C42"/>
    <w:rsid w:val="73B20E59"/>
    <w:rsid w:val="73B60A10"/>
    <w:rsid w:val="73C05B2F"/>
    <w:rsid w:val="73CA2AC9"/>
    <w:rsid w:val="73CC5B9E"/>
    <w:rsid w:val="73DE05EE"/>
    <w:rsid w:val="74011DAF"/>
    <w:rsid w:val="74251284"/>
    <w:rsid w:val="74355159"/>
    <w:rsid w:val="743B31CD"/>
    <w:rsid w:val="743F3479"/>
    <w:rsid w:val="745049B3"/>
    <w:rsid w:val="74661EF8"/>
    <w:rsid w:val="746F5A57"/>
    <w:rsid w:val="7476433D"/>
    <w:rsid w:val="74795BDB"/>
    <w:rsid w:val="747A3B5C"/>
    <w:rsid w:val="747C0EC2"/>
    <w:rsid w:val="74941B1E"/>
    <w:rsid w:val="74982BC3"/>
    <w:rsid w:val="74A027D8"/>
    <w:rsid w:val="74A369C6"/>
    <w:rsid w:val="74D75E35"/>
    <w:rsid w:val="74FB4A61"/>
    <w:rsid w:val="751050E9"/>
    <w:rsid w:val="75130B97"/>
    <w:rsid w:val="75202B2C"/>
    <w:rsid w:val="754247CE"/>
    <w:rsid w:val="75461C8B"/>
    <w:rsid w:val="755D4111"/>
    <w:rsid w:val="75653527"/>
    <w:rsid w:val="75687183"/>
    <w:rsid w:val="756E4E38"/>
    <w:rsid w:val="757F5E29"/>
    <w:rsid w:val="75A97B92"/>
    <w:rsid w:val="75BE2C13"/>
    <w:rsid w:val="75C867D8"/>
    <w:rsid w:val="75C91681"/>
    <w:rsid w:val="75CC1F36"/>
    <w:rsid w:val="75E834FA"/>
    <w:rsid w:val="75F52AFB"/>
    <w:rsid w:val="760756D8"/>
    <w:rsid w:val="760E676A"/>
    <w:rsid w:val="76226E1B"/>
    <w:rsid w:val="7624764F"/>
    <w:rsid w:val="76277F2F"/>
    <w:rsid w:val="762C0888"/>
    <w:rsid w:val="762F6D25"/>
    <w:rsid w:val="763E0E8A"/>
    <w:rsid w:val="765C3FDB"/>
    <w:rsid w:val="76672689"/>
    <w:rsid w:val="76715FC4"/>
    <w:rsid w:val="767D2360"/>
    <w:rsid w:val="768B2490"/>
    <w:rsid w:val="768F2D84"/>
    <w:rsid w:val="769B20F2"/>
    <w:rsid w:val="76A80580"/>
    <w:rsid w:val="76AD7DBE"/>
    <w:rsid w:val="76AE24B4"/>
    <w:rsid w:val="76B36E87"/>
    <w:rsid w:val="76B65EF5"/>
    <w:rsid w:val="76BF19C6"/>
    <w:rsid w:val="76C86371"/>
    <w:rsid w:val="76D95C53"/>
    <w:rsid w:val="76F679B7"/>
    <w:rsid w:val="76FF643E"/>
    <w:rsid w:val="77027F7F"/>
    <w:rsid w:val="772A380A"/>
    <w:rsid w:val="772B6736"/>
    <w:rsid w:val="775A0E70"/>
    <w:rsid w:val="775B2B18"/>
    <w:rsid w:val="775D6AA2"/>
    <w:rsid w:val="77601172"/>
    <w:rsid w:val="77603D4F"/>
    <w:rsid w:val="777032C5"/>
    <w:rsid w:val="778E3455"/>
    <w:rsid w:val="778F5D5D"/>
    <w:rsid w:val="7794100B"/>
    <w:rsid w:val="779F63A2"/>
    <w:rsid w:val="77AB6538"/>
    <w:rsid w:val="77BF2F35"/>
    <w:rsid w:val="77BF46A4"/>
    <w:rsid w:val="77CE623E"/>
    <w:rsid w:val="77E75E53"/>
    <w:rsid w:val="77E80025"/>
    <w:rsid w:val="77FD49BF"/>
    <w:rsid w:val="780E5553"/>
    <w:rsid w:val="781007D0"/>
    <w:rsid w:val="78284AA1"/>
    <w:rsid w:val="78335932"/>
    <w:rsid w:val="78342BFE"/>
    <w:rsid w:val="78381BDF"/>
    <w:rsid w:val="783C5C12"/>
    <w:rsid w:val="783F561E"/>
    <w:rsid w:val="784811A2"/>
    <w:rsid w:val="784D6313"/>
    <w:rsid w:val="78627D0B"/>
    <w:rsid w:val="78732237"/>
    <w:rsid w:val="78930909"/>
    <w:rsid w:val="78935C12"/>
    <w:rsid w:val="78980533"/>
    <w:rsid w:val="789E75C3"/>
    <w:rsid w:val="78AD313F"/>
    <w:rsid w:val="78B01E75"/>
    <w:rsid w:val="78BE05D7"/>
    <w:rsid w:val="78BE5E7F"/>
    <w:rsid w:val="78CC5F49"/>
    <w:rsid w:val="78D5711D"/>
    <w:rsid w:val="78E83B09"/>
    <w:rsid w:val="78EE5162"/>
    <w:rsid w:val="78FA71C1"/>
    <w:rsid w:val="791D12D7"/>
    <w:rsid w:val="79222CE5"/>
    <w:rsid w:val="792339A0"/>
    <w:rsid w:val="79304FC0"/>
    <w:rsid w:val="793150EC"/>
    <w:rsid w:val="79336CA0"/>
    <w:rsid w:val="794530C2"/>
    <w:rsid w:val="79725D75"/>
    <w:rsid w:val="797711F5"/>
    <w:rsid w:val="799678E9"/>
    <w:rsid w:val="79A77710"/>
    <w:rsid w:val="79BC1E65"/>
    <w:rsid w:val="79BC5AF1"/>
    <w:rsid w:val="79BC691E"/>
    <w:rsid w:val="79C370CC"/>
    <w:rsid w:val="79C773E8"/>
    <w:rsid w:val="79CB4015"/>
    <w:rsid w:val="79EA7D45"/>
    <w:rsid w:val="79EC2752"/>
    <w:rsid w:val="7A022DAC"/>
    <w:rsid w:val="7A077D86"/>
    <w:rsid w:val="7A0F6AA3"/>
    <w:rsid w:val="7A29027E"/>
    <w:rsid w:val="7A2B4E0B"/>
    <w:rsid w:val="7A2F1E62"/>
    <w:rsid w:val="7A3000FF"/>
    <w:rsid w:val="7A3D4B0E"/>
    <w:rsid w:val="7A524F0D"/>
    <w:rsid w:val="7A7443E6"/>
    <w:rsid w:val="7A8157E9"/>
    <w:rsid w:val="7A820CB5"/>
    <w:rsid w:val="7A8D74A2"/>
    <w:rsid w:val="7A9C45C8"/>
    <w:rsid w:val="7AA0686D"/>
    <w:rsid w:val="7AA42764"/>
    <w:rsid w:val="7AA95FB1"/>
    <w:rsid w:val="7AB3181F"/>
    <w:rsid w:val="7AB65491"/>
    <w:rsid w:val="7AC048A7"/>
    <w:rsid w:val="7AEF76CB"/>
    <w:rsid w:val="7B056A7F"/>
    <w:rsid w:val="7B082DB3"/>
    <w:rsid w:val="7B0A12D7"/>
    <w:rsid w:val="7B1743C0"/>
    <w:rsid w:val="7B2429F8"/>
    <w:rsid w:val="7B265958"/>
    <w:rsid w:val="7B336BC8"/>
    <w:rsid w:val="7B3E5BD9"/>
    <w:rsid w:val="7B411828"/>
    <w:rsid w:val="7B4229E6"/>
    <w:rsid w:val="7B5810C9"/>
    <w:rsid w:val="7B664919"/>
    <w:rsid w:val="7B666F72"/>
    <w:rsid w:val="7B681541"/>
    <w:rsid w:val="7B6B6078"/>
    <w:rsid w:val="7B6C7AFA"/>
    <w:rsid w:val="7B803CF3"/>
    <w:rsid w:val="7B8E13EB"/>
    <w:rsid w:val="7BA1297E"/>
    <w:rsid w:val="7BA44318"/>
    <w:rsid w:val="7BAE2D8D"/>
    <w:rsid w:val="7BBE70D0"/>
    <w:rsid w:val="7BC70E87"/>
    <w:rsid w:val="7BD44EE3"/>
    <w:rsid w:val="7BDE7643"/>
    <w:rsid w:val="7BE45866"/>
    <w:rsid w:val="7BEE1EEB"/>
    <w:rsid w:val="7BF40907"/>
    <w:rsid w:val="7C194DCB"/>
    <w:rsid w:val="7C2036C5"/>
    <w:rsid w:val="7C21033A"/>
    <w:rsid w:val="7C27425D"/>
    <w:rsid w:val="7C330C76"/>
    <w:rsid w:val="7C456480"/>
    <w:rsid w:val="7C4C5FDA"/>
    <w:rsid w:val="7C5062E6"/>
    <w:rsid w:val="7C5E7893"/>
    <w:rsid w:val="7C76130F"/>
    <w:rsid w:val="7C817D22"/>
    <w:rsid w:val="7C82417D"/>
    <w:rsid w:val="7C886DA3"/>
    <w:rsid w:val="7C8F12C6"/>
    <w:rsid w:val="7C904C17"/>
    <w:rsid w:val="7C990F7B"/>
    <w:rsid w:val="7C992D45"/>
    <w:rsid w:val="7C993C6F"/>
    <w:rsid w:val="7CB44F60"/>
    <w:rsid w:val="7CB579CC"/>
    <w:rsid w:val="7CBC3D27"/>
    <w:rsid w:val="7CD5583A"/>
    <w:rsid w:val="7CE53197"/>
    <w:rsid w:val="7CF177AF"/>
    <w:rsid w:val="7D036955"/>
    <w:rsid w:val="7D0B5714"/>
    <w:rsid w:val="7D1D7B5D"/>
    <w:rsid w:val="7D246B41"/>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41C45"/>
    <w:rsid w:val="7E1741FF"/>
    <w:rsid w:val="7E183080"/>
    <w:rsid w:val="7E1A6A4C"/>
    <w:rsid w:val="7E1D4BD1"/>
    <w:rsid w:val="7E1E164C"/>
    <w:rsid w:val="7E236558"/>
    <w:rsid w:val="7E2F1CBD"/>
    <w:rsid w:val="7E310BC1"/>
    <w:rsid w:val="7E336A9D"/>
    <w:rsid w:val="7E3C4EA2"/>
    <w:rsid w:val="7E405738"/>
    <w:rsid w:val="7E510CBD"/>
    <w:rsid w:val="7E5155FB"/>
    <w:rsid w:val="7E54753C"/>
    <w:rsid w:val="7E582E84"/>
    <w:rsid w:val="7E5E609E"/>
    <w:rsid w:val="7E5F5FE3"/>
    <w:rsid w:val="7E6D347C"/>
    <w:rsid w:val="7E6E4981"/>
    <w:rsid w:val="7E7354F5"/>
    <w:rsid w:val="7E82584A"/>
    <w:rsid w:val="7E943510"/>
    <w:rsid w:val="7E986A37"/>
    <w:rsid w:val="7EB3736C"/>
    <w:rsid w:val="7EDF056C"/>
    <w:rsid w:val="7EEDB6B1"/>
    <w:rsid w:val="7EEF2E28"/>
    <w:rsid w:val="7EF109CC"/>
    <w:rsid w:val="7EF21F47"/>
    <w:rsid w:val="7EF31942"/>
    <w:rsid w:val="7EFB4FD9"/>
    <w:rsid w:val="7EFD2A44"/>
    <w:rsid w:val="7F011AFE"/>
    <w:rsid w:val="7F0C3BD0"/>
    <w:rsid w:val="7F303107"/>
    <w:rsid w:val="7F33157B"/>
    <w:rsid w:val="7F3D1095"/>
    <w:rsid w:val="7F4327F8"/>
    <w:rsid w:val="7F480CEA"/>
    <w:rsid w:val="7F4E4945"/>
    <w:rsid w:val="7F593BCF"/>
    <w:rsid w:val="7F675F78"/>
    <w:rsid w:val="7F727385"/>
    <w:rsid w:val="7F7741D2"/>
    <w:rsid w:val="7F7C2FEC"/>
    <w:rsid w:val="7F801D46"/>
    <w:rsid w:val="7F8813C8"/>
    <w:rsid w:val="7FA36202"/>
    <w:rsid w:val="7FBC103A"/>
    <w:rsid w:val="7FE20B4D"/>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99"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3"/>
    <w:link w:val="56"/>
    <w:autoRedefine/>
    <w:qFormat/>
    <w:uiPriority w:val="9"/>
    <w:pPr>
      <w:keepNext/>
      <w:jc w:val="center"/>
      <w:outlineLvl w:val="0"/>
    </w:pPr>
    <w:rPr>
      <w:rFonts w:ascii="楷体_GB2312" w:hAnsi="楷体_GB2312"/>
      <w:b/>
      <w:sz w:val="32"/>
      <w:szCs w:val="32"/>
    </w:rPr>
  </w:style>
  <w:style w:type="paragraph" w:styleId="4">
    <w:name w:val="heading 2"/>
    <w:basedOn w:val="1"/>
    <w:next w:val="1"/>
    <w:link w:val="89"/>
    <w:autoRedefine/>
    <w:qFormat/>
    <w:uiPriority w:val="0"/>
    <w:pPr>
      <w:keepNext/>
      <w:keepLines/>
      <w:spacing w:line="360" w:lineRule="auto"/>
      <w:ind w:firstLine="480" w:firstLineChars="200"/>
      <w:jc w:val="left"/>
      <w:outlineLvl w:val="1"/>
    </w:pPr>
    <w:rPr>
      <w:rFonts w:ascii="宋体" w:hAnsi="宋体"/>
      <w:sz w:val="24"/>
      <w:szCs w:val="24"/>
    </w:rPr>
  </w:style>
  <w:style w:type="paragraph" w:styleId="5">
    <w:name w:val="heading 3"/>
    <w:basedOn w:val="1"/>
    <w:next w:val="3"/>
    <w:link w:val="84"/>
    <w:autoRedefine/>
    <w:qFormat/>
    <w:uiPriority w:val="0"/>
    <w:pPr>
      <w:keepNext/>
      <w:keepLines/>
      <w:spacing w:before="200" w:after="100" w:line="480" w:lineRule="auto"/>
      <w:jc w:val="left"/>
      <w:outlineLvl w:val="2"/>
    </w:pPr>
    <w:rPr>
      <w:b/>
      <w:bCs/>
      <w:sz w:val="28"/>
      <w:szCs w:val="32"/>
    </w:rPr>
  </w:style>
  <w:style w:type="paragraph" w:styleId="6">
    <w:name w:val="heading 4"/>
    <w:basedOn w:val="1"/>
    <w:next w:val="3"/>
    <w:link w:val="57"/>
    <w:autoRedefine/>
    <w:qFormat/>
    <w:uiPriority w:val="0"/>
    <w:pPr>
      <w:keepNext/>
      <w:keepLines/>
      <w:ind w:firstLine="420" w:firstLineChars="150"/>
      <w:outlineLvl w:val="3"/>
    </w:pPr>
    <w:rPr>
      <w:rFonts w:ascii="Arial" w:hAnsi="Arial" w:cs="Arial"/>
      <w:b/>
      <w:sz w:val="28"/>
      <w:szCs w:val="28"/>
    </w:rPr>
  </w:style>
  <w:style w:type="paragraph" w:styleId="7">
    <w:name w:val="heading 5"/>
    <w:basedOn w:val="1"/>
    <w:next w:val="3"/>
    <w:link w:val="94"/>
    <w:autoRedefine/>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next w:val="1"/>
    <w:link w:val="72"/>
    <w:autoRedefine/>
    <w:qFormat/>
    <w:uiPriority w:val="0"/>
    <w:pPr>
      <w:ind w:firstLine="420"/>
    </w:pPr>
  </w:style>
  <w:style w:type="paragraph" w:styleId="12">
    <w:name w:val="List 3"/>
    <w:basedOn w:val="1"/>
    <w:autoRedefine/>
    <w:qFormat/>
    <w:uiPriority w:val="0"/>
    <w:pPr>
      <w:ind w:left="100" w:leftChars="400" w:hanging="200" w:hangingChars="200"/>
    </w:pPr>
  </w:style>
  <w:style w:type="paragraph" w:styleId="13">
    <w:name w:val="Document Map"/>
    <w:basedOn w:val="1"/>
    <w:link w:val="91"/>
    <w:autoRedefine/>
    <w:semiHidden/>
    <w:qFormat/>
    <w:uiPriority w:val="0"/>
    <w:pPr>
      <w:shd w:val="clear" w:color="auto" w:fill="000080"/>
    </w:pPr>
  </w:style>
  <w:style w:type="paragraph" w:styleId="14">
    <w:name w:val="toa heading"/>
    <w:basedOn w:val="1"/>
    <w:next w:val="1"/>
    <w:autoRedefine/>
    <w:qFormat/>
    <w:uiPriority w:val="0"/>
    <w:pPr>
      <w:spacing w:before="120"/>
    </w:pPr>
    <w:rPr>
      <w:rFonts w:ascii="Cambria" w:hAnsi="Cambria"/>
      <w:sz w:val="24"/>
    </w:rPr>
  </w:style>
  <w:style w:type="paragraph" w:styleId="15">
    <w:name w:val="annotation text"/>
    <w:basedOn w:val="1"/>
    <w:link w:val="205"/>
    <w:autoRedefine/>
    <w:semiHidden/>
    <w:qFormat/>
    <w:uiPriority w:val="0"/>
    <w:pPr>
      <w:jc w:val="left"/>
    </w:pPr>
  </w:style>
  <w:style w:type="paragraph" w:styleId="16">
    <w:name w:val="Body Text 3"/>
    <w:basedOn w:val="1"/>
    <w:link w:val="68"/>
    <w:autoRedefine/>
    <w:qFormat/>
    <w:uiPriority w:val="0"/>
    <w:rPr>
      <w:rFonts w:ascii="仿宋_GB2312" w:hAnsi="Arial" w:eastAsia="仿宋_GB2312"/>
      <w:sz w:val="32"/>
      <w:szCs w:val="32"/>
    </w:rPr>
  </w:style>
  <w:style w:type="paragraph" w:styleId="17">
    <w:name w:val="Body Text"/>
    <w:basedOn w:val="1"/>
    <w:next w:val="1"/>
    <w:link w:val="64"/>
    <w:autoRedefine/>
    <w:qFormat/>
    <w:uiPriority w:val="0"/>
    <w:rPr>
      <w:rFonts w:ascii="楷体_GB2312" w:hAnsi="Arial" w:eastAsia="楷体_GB2312"/>
      <w:sz w:val="28"/>
      <w:szCs w:val="28"/>
    </w:rPr>
  </w:style>
  <w:style w:type="paragraph" w:styleId="18">
    <w:name w:val="Body Text Indent"/>
    <w:basedOn w:val="1"/>
    <w:link w:val="70"/>
    <w:autoRedefine/>
    <w:qFormat/>
    <w:uiPriority w:val="0"/>
    <w:pPr>
      <w:ind w:firstLine="645"/>
    </w:pPr>
    <w:rPr>
      <w:rFonts w:ascii="楷体_GB2312" w:eastAsia="楷体_GB2312"/>
      <w:sz w:val="32"/>
      <w:szCs w:val="32"/>
    </w:rPr>
  </w:style>
  <w:style w:type="paragraph" w:styleId="19">
    <w:name w:val="List 2"/>
    <w:basedOn w:val="1"/>
    <w:autoRedefine/>
    <w:qFormat/>
    <w:uiPriority w:val="0"/>
    <w:pPr>
      <w:ind w:left="100" w:leftChars="200" w:hanging="200" w:hangingChars="200"/>
    </w:pPr>
  </w:style>
  <w:style w:type="paragraph" w:styleId="20">
    <w:name w:val="toc 3"/>
    <w:basedOn w:val="21"/>
    <w:next w:val="1"/>
    <w:autoRedefine/>
    <w:qFormat/>
    <w:uiPriority w:val="39"/>
    <w:pPr>
      <w:ind w:left="840" w:leftChars="400"/>
    </w:pPr>
  </w:style>
  <w:style w:type="paragraph" w:styleId="21">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2">
    <w:name w:val="Plain Text"/>
    <w:basedOn w:val="1"/>
    <w:link w:val="93"/>
    <w:autoRedefine/>
    <w:qFormat/>
    <w:uiPriority w:val="0"/>
    <w:rPr>
      <w:rFonts w:ascii="宋体" w:hAnsi="Courier New" w:cs="Courier New"/>
    </w:rPr>
  </w:style>
  <w:style w:type="paragraph" w:styleId="23">
    <w:name w:val="Date"/>
    <w:basedOn w:val="1"/>
    <w:next w:val="1"/>
    <w:link w:val="76"/>
    <w:autoRedefine/>
    <w:qFormat/>
    <w:uiPriority w:val="0"/>
    <w:rPr>
      <w:sz w:val="24"/>
      <w:szCs w:val="24"/>
    </w:rPr>
  </w:style>
  <w:style w:type="paragraph" w:styleId="24">
    <w:name w:val="Body Text Indent 2"/>
    <w:basedOn w:val="1"/>
    <w:link w:val="71"/>
    <w:autoRedefine/>
    <w:qFormat/>
    <w:uiPriority w:val="0"/>
    <w:pPr>
      <w:ind w:left="630" w:firstLine="645"/>
    </w:pPr>
    <w:rPr>
      <w:rFonts w:ascii="Arial" w:hAnsi="Arial" w:eastAsia="仿宋_GB2312" w:cs="Arial"/>
      <w:sz w:val="32"/>
      <w:szCs w:val="32"/>
    </w:rPr>
  </w:style>
  <w:style w:type="paragraph" w:styleId="25">
    <w:name w:val="Balloon Text"/>
    <w:basedOn w:val="1"/>
    <w:link w:val="95"/>
    <w:autoRedefine/>
    <w:semiHidden/>
    <w:qFormat/>
    <w:uiPriority w:val="0"/>
    <w:rPr>
      <w:sz w:val="18"/>
      <w:szCs w:val="18"/>
    </w:rPr>
  </w:style>
  <w:style w:type="paragraph" w:styleId="26">
    <w:name w:val="footer"/>
    <w:basedOn w:val="1"/>
    <w:link w:val="69"/>
    <w:autoRedefine/>
    <w:qFormat/>
    <w:uiPriority w:val="99"/>
    <w:pPr>
      <w:tabs>
        <w:tab w:val="center" w:pos="4153"/>
        <w:tab w:val="right" w:pos="8306"/>
      </w:tabs>
      <w:snapToGrid w:val="0"/>
      <w:jc w:val="left"/>
    </w:pPr>
    <w:rPr>
      <w:rFonts w:cs="Symbol"/>
      <w:color w:val="000000" w:themeColor="text1"/>
      <w:sz w:val="18"/>
      <w:szCs w:val="18"/>
    </w:rPr>
  </w:style>
  <w:style w:type="paragraph" w:styleId="27">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4"/>
    <w:basedOn w:val="1"/>
    <w:next w:val="1"/>
    <w:autoRedefine/>
    <w:qFormat/>
    <w:uiPriority w:val="39"/>
    <w:pPr>
      <w:ind w:left="960"/>
      <w:jc w:val="left"/>
    </w:pPr>
    <w:rPr>
      <w:rFonts w:ascii="Calibri" w:hAnsi="Calibri"/>
      <w:sz w:val="18"/>
      <w:szCs w:val="18"/>
    </w:rPr>
  </w:style>
  <w:style w:type="paragraph" w:styleId="29">
    <w:name w:val="List"/>
    <w:basedOn w:val="1"/>
    <w:autoRedefine/>
    <w:qFormat/>
    <w:uiPriority w:val="0"/>
    <w:pPr>
      <w:ind w:left="200" w:hanging="200" w:hangingChars="200"/>
    </w:pPr>
  </w:style>
  <w:style w:type="paragraph" w:styleId="30">
    <w:name w:val="footnote text"/>
    <w:basedOn w:val="1"/>
    <w:link w:val="206"/>
    <w:autoRedefine/>
    <w:qFormat/>
    <w:uiPriority w:val="99"/>
    <w:pPr>
      <w:snapToGrid w:val="0"/>
      <w:jc w:val="left"/>
    </w:pPr>
    <w:rPr>
      <w:sz w:val="18"/>
    </w:r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1"/>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5"/>
    <w:next w:val="15"/>
    <w:link w:val="88"/>
    <w:autoRedefine/>
    <w:semiHidden/>
    <w:qFormat/>
    <w:uiPriority w:val="0"/>
    <w:rPr>
      <w:b/>
      <w:bCs/>
    </w:rPr>
  </w:style>
  <w:style w:type="paragraph" w:styleId="36">
    <w:name w:val="Body Text First Indent"/>
    <w:basedOn w:val="17"/>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8"/>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2"/>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6"/>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1"/>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7"/>
    <w:autoRedefine/>
    <w:qFormat/>
    <w:uiPriority w:val="0"/>
    <w:rPr>
      <w:rFonts w:ascii="楷体_GB2312" w:hAnsi="Arial" w:eastAsia="楷体_GB2312"/>
      <w:kern w:val="2"/>
      <w:sz w:val="28"/>
      <w:szCs w:val="28"/>
      <w:lang w:val="en-US" w:eastAsia="zh-CN" w:bidi="ar-SA"/>
    </w:rPr>
  </w:style>
  <w:style w:type="character" w:customStyle="1" w:styleId="65">
    <w:name w:val="标题 7 Char"/>
    <w:link w:val="9"/>
    <w:autoRedefine/>
    <w:qFormat/>
    <w:uiPriority w:val="0"/>
    <w:rPr>
      <w:rFonts w:eastAsia="宋体"/>
      <w:b/>
      <w:bCs/>
      <w:kern w:val="2"/>
      <w:sz w:val="24"/>
      <w:szCs w:val="24"/>
      <w:lang w:val="en-US" w:eastAsia="zh-CN" w:bidi="ar-SA"/>
    </w:rPr>
  </w:style>
  <w:style w:type="character" w:customStyle="1" w:styleId="66">
    <w:name w:val="标题 8 Char"/>
    <w:link w:val="10"/>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6"/>
    <w:autoRedefine/>
    <w:qFormat/>
    <w:uiPriority w:val="0"/>
    <w:rPr>
      <w:rFonts w:ascii="仿宋_GB2312" w:hAnsi="Arial" w:eastAsia="仿宋_GB2312"/>
      <w:kern w:val="2"/>
      <w:sz w:val="32"/>
      <w:szCs w:val="32"/>
      <w:lang w:val="en-US" w:eastAsia="zh-CN" w:bidi="ar-SA"/>
    </w:rPr>
  </w:style>
  <w:style w:type="character" w:customStyle="1" w:styleId="69">
    <w:name w:val="页脚 Char"/>
    <w:link w:val="26"/>
    <w:autoRedefine/>
    <w:qFormat/>
    <w:uiPriority w:val="99"/>
    <w:rPr>
      <w:rFonts w:eastAsia="宋体" w:cs="Symbol"/>
      <w:color w:val="000000" w:themeColor="text1"/>
      <w:kern w:val="2"/>
      <w:sz w:val="18"/>
      <w:szCs w:val="18"/>
      <w:lang w:bidi="ar-SA"/>
    </w:rPr>
  </w:style>
  <w:style w:type="character" w:customStyle="1" w:styleId="70">
    <w:name w:val="正文文本缩进 Char"/>
    <w:link w:val="18"/>
    <w:autoRedefine/>
    <w:qFormat/>
    <w:uiPriority w:val="0"/>
    <w:rPr>
      <w:rFonts w:ascii="楷体_GB2312" w:eastAsia="楷体_GB2312"/>
      <w:kern w:val="2"/>
      <w:sz w:val="32"/>
      <w:szCs w:val="32"/>
      <w:lang w:val="en-US" w:eastAsia="zh-CN" w:bidi="ar-SA"/>
    </w:rPr>
  </w:style>
  <w:style w:type="character" w:customStyle="1" w:styleId="71">
    <w:name w:val="正文文本缩进 2 Char"/>
    <w:link w:val="24"/>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3"/>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3"/>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5"/>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8"/>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7"/>
    <w:autoRedefine/>
    <w:qFormat/>
    <w:uiPriority w:val="99"/>
    <w:rPr>
      <w:rFonts w:eastAsia="宋体"/>
      <w:kern w:val="2"/>
      <w:sz w:val="18"/>
      <w:szCs w:val="18"/>
      <w:lang w:val="en-US" w:eastAsia="zh-CN" w:bidi="ar-SA"/>
    </w:rPr>
  </w:style>
  <w:style w:type="character" w:customStyle="1" w:styleId="88">
    <w:name w:val="批注主题 Char"/>
    <w:link w:val="35"/>
    <w:autoRedefine/>
    <w:semiHidden/>
    <w:qFormat/>
    <w:uiPriority w:val="0"/>
    <w:rPr>
      <w:rFonts w:eastAsia="宋体"/>
      <w:b/>
      <w:bCs/>
      <w:kern w:val="2"/>
      <w:sz w:val="21"/>
      <w:szCs w:val="21"/>
      <w:lang w:val="en-US" w:eastAsia="zh-CN" w:bidi="ar-SA"/>
    </w:rPr>
  </w:style>
  <w:style w:type="character" w:customStyle="1" w:styleId="89">
    <w:name w:val="标题 2 Char"/>
    <w:link w:val="4"/>
    <w:autoRedefine/>
    <w:qFormat/>
    <w:uiPriority w:val="0"/>
    <w:rPr>
      <w:rFonts w:ascii="宋体" w:hAnsi="宋体"/>
      <w:kern w:val="2"/>
      <w:sz w:val="24"/>
      <w:szCs w:val="24"/>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3"/>
    <w:autoRedefine/>
    <w:semiHidden/>
    <w:qFormat/>
    <w:uiPriority w:val="0"/>
    <w:rPr>
      <w:rFonts w:eastAsia="宋体"/>
      <w:kern w:val="2"/>
      <w:sz w:val="21"/>
      <w:szCs w:val="21"/>
      <w:lang w:bidi="ar-SA"/>
    </w:rPr>
  </w:style>
  <w:style w:type="character" w:customStyle="1" w:styleId="92">
    <w:name w:val="正文文本 2 Char"/>
    <w:link w:val="33"/>
    <w:autoRedefine/>
    <w:qFormat/>
    <w:uiPriority w:val="0"/>
    <w:rPr>
      <w:rFonts w:ascii="楷体_GB2312" w:eastAsia="楷体_GB2312"/>
      <w:kern w:val="2"/>
      <w:sz w:val="28"/>
      <w:szCs w:val="28"/>
      <w:lang w:val="en-US" w:eastAsia="zh-CN" w:bidi="ar-SA"/>
    </w:rPr>
  </w:style>
  <w:style w:type="character" w:customStyle="1" w:styleId="93">
    <w:name w:val="纯文本 Char"/>
    <w:link w:val="22"/>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7"/>
    <w:autoRedefine/>
    <w:qFormat/>
    <w:uiPriority w:val="0"/>
    <w:rPr>
      <w:rFonts w:ascii="宋体" w:eastAsia="宋体"/>
      <w:color w:val="000000"/>
      <w:sz w:val="28"/>
      <w:szCs w:val="28"/>
      <w:lang w:val="en-US" w:eastAsia="zh-CN" w:bidi="ar-SA"/>
    </w:rPr>
  </w:style>
  <w:style w:type="character" w:customStyle="1" w:styleId="95">
    <w:name w:val="批注框文本 Char"/>
    <w:link w:val="25"/>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3"/>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3"/>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7"/>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right"/>
    </w:pPr>
    <w:rPr>
      <w:rFonts w:ascii="Calibri" w:hAnsi="Calibri"/>
      <w:color w:val="FF0000"/>
      <w:kern w:val="0"/>
      <w:sz w:val="24"/>
      <w:szCs w:val="24"/>
      <w:lang w:eastAsia="en-US" w:bidi="en-US"/>
    </w:rPr>
  </w:style>
  <w:style w:type="paragraph" w:customStyle="1" w:styleId="125">
    <w:name w:val="Char11"/>
    <w:basedOn w:val="13"/>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3"/>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2"/>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3"/>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29"/>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5"/>
    <w:autoRedefine/>
    <w:semiHidden/>
    <w:qFormat/>
    <w:uiPriority w:val="0"/>
    <w:rPr>
      <w:kern w:val="2"/>
      <w:sz w:val="21"/>
      <w:szCs w:val="21"/>
    </w:rPr>
  </w:style>
  <w:style w:type="character" w:customStyle="1" w:styleId="206">
    <w:name w:val="脚注文本 Char"/>
    <w:basedOn w:val="40"/>
    <w:link w:val="30"/>
    <w:autoRedefine/>
    <w:qFormat/>
    <w:uiPriority w:val="99"/>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 w:type="paragraph" w:customStyle="1" w:styleId="220">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9" textRotate="1"/>
    <customShpInfo spid="_x0000_s1028"/>
    <customShpInfo spid="_x0000_s1025"/>
    <customShpInfo spid="_x0000_s205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2D549D-5837-4012-91B9-20AAFD7846C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84</Pages>
  <Words>42542</Words>
  <Characters>45168</Characters>
  <Lines>486</Lines>
  <Paragraphs>136</Paragraphs>
  <TotalTime>18</TotalTime>
  <ScaleCrop>false</ScaleCrop>
  <LinksUpToDate>false</LinksUpToDate>
  <CharactersWithSpaces>48491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CICI</cp:lastModifiedBy>
  <cp:lastPrinted>2023-10-16T03:58:00Z</cp:lastPrinted>
  <dcterms:modified xsi:type="dcterms:W3CDTF">2024-06-06T04:02:20Z</dcterms:modified>
  <dc:title>招　标　文　件</dc:title>
  <cp:revision>333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3454D24CE60D4E34A01C0C7B758718B9_13</vt:lpwstr>
  </property>
</Properties>
</file>