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C84D46">
      <w:pPr>
        <w:pStyle w:val="25"/>
        <w:spacing w:line="400" w:lineRule="atLeast"/>
        <w:jc w:val="both"/>
        <w:rPr>
          <w:rFonts w:hint="eastAsia" w:hAnsi="宋体" w:cs="宋体"/>
          <w:bCs/>
          <w:sz w:val="72"/>
          <w:szCs w:val="72"/>
        </w:rPr>
      </w:pPr>
      <w:bookmarkStart w:id="0" w:name="_Toc9917"/>
      <w:bookmarkStart w:id="1" w:name="_Toc12864"/>
      <w:r>
        <w:rPr>
          <w:rFonts w:hint="eastAsia" w:ascii="宋体" w:hAnsi="宋体" w:eastAsia="宋体"/>
          <w:b/>
          <w:bCs/>
          <w:sz w:val="32"/>
          <w:szCs w:val="40"/>
          <w:lang w:eastAsia="zh-CN"/>
        </w:rPr>
        <w:pict>
          <v:shape id="_x0000_i1027" o:spt="75" alt="20251031232257714_01" type="#_x0000_t75" style="height:739.3pt;width:522.85pt;" filled="f" o:preferrelative="t" stroked="f" coordsize="21600,21600">
            <v:path/>
            <v:fill on="f" focussize="0,0"/>
            <v:stroke on="f"/>
            <v:imagedata r:id="rId11" o:title="20251031232257714_01"/>
            <o:lock v:ext="edit" aspectratio="t"/>
            <w10:wrap type="none"/>
            <w10:anchorlock/>
          </v:shape>
        </w:pict>
      </w:r>
    </w:p>
    <w:p w14:paraId="3745665C">
      <w:pPr>
        <w:jc w:val="center"/>
        <w:rPr>
          <w:rFonts w:ascii="宋体" w:hAnsi="宋体"/>
          <w:b/>
          <w:bCs/>
          <w:sz w:val="32"/>
          <w:szCs w:val="40"/>
        </w:rPr>
      </w:pPr>
    </w:p>
    <w:p w14:paraId="3D4A7AA0">
      <w:pPr>
        <w:jc w:val="center"/>
        <w:rPr>
          <w:rFonts w:hint="eastAsia" w:ascii="宋体" w:hAnsi="宋体" w:eastAsia="宋体"/>
          <w:b/>
          <w:bCs/>
          <w:sz w:val="32"/>
          <w:szCs w:val="40"/>
          <w:lang w:eastAsia="zh-CN"/>
        </w:rPr>
      </w:pPr>
      <w:bookmarkStart w:id="154" w:name="_GoBack"/>
    </w:p>
    <w:bookmarkEnd w:id="154"/>
    <w:p w14:paraId="2C285D95">
      <w:pPr>
        <w:rPr>
          <w:rFonts w:ascii="宋体" w:hAnsi="宋体"/>
          <w:b/>
          <w:bCs/>
          <w:sz w:val="32"/>
          <w:szCs w:val="40"/>
        </w:rPr>
      </w:pPr>
    </w:p>
    <w:p w14:paraId="2628B787">
      <w:pPr>
        <w:jc w:val="center"/>
        <w:rPr>
          <w:rFonts w:ascii="宋体" w:hAnsi="宋体"/>
          <w:b/>
          <w:bCs/>
          <w:sz w:val="32"/>
          <w:szCs w:val="40"/>
        </w:rPr>
      </w:pPr>
      <w:r>
        <w:rPr>
          <w:rFonts w:ascii="宋体" w:hAnsi="宋体"/>
          <w:b/>
          <w:bCs/>
          <w:sz w:val="32"/>
          <w:szCs w:val="40"/>
        </w:rPr>
        <w:t>目</w:t>
      </w:r>
      <w:r>
        <w:rPr>
          <w:rFonts w:hint="eastAsia" w:ascii="宋体" w:hAnsi="宋体"/>
          <w:b/>
          <w:bCs/>
          <w:sz w:val="32"/>
          <w:szCs w:val="40"/>
        </w:rPr>
        <w:t xml:space="preserve">  </w:t>
      </w:r>
      <w:r>
        <w:rPr>
          <w:rFonts w:ascii="宋体" w:hAnsi="宋体"/>
          <w:b/>
          <w:bCs/>
          <w:sz w:val="32"/>
          <w:szCs w:val="40"/>
        </w:rPr>
        <w:t>录</w:t>
      </w:r>
    </w:p>
    <w:p w14:paraId="425C1494">
      <w:pPr>
        <w:pStyle w:val="3"/>
      </w:pPr>
    </w:p>
    <w:p w14:paraId="44A73201">
      <w:pPr>
        <w:pStyle w:val="127"/>
        <w:tabs>
          <w:tab w:val="right" w:leader="dot" w:pos="10466"/>
        </w:tabs>
        <w:spacing w:line="360" w:lineRule="auto"/>
        <w:rPr>
          <w:b/>
          <w:sz w:val="22"/>
          <w:szCs w:val="22"/>
        </w:rPr>
      </w:pPr>
      <w:r>
        <w:rPr>
          <w:rFonts w:hint="eastAsia" w:ascii="宋体" w:hAnsi="宋体" w:cs="宋体"/>
          <w:b/>
          <w:sz w:val="44"/>
          <w:szCs w:val="44"/>
        </w:rPr>
        <w:fldChar w:fldCharType="begin"/>
      </w:r>
      <w:r>
        <w:rPr>
          <w:rFonts w:hint="eastAsia" w:ascii="宋体" w:hAnsi="宋体" w:cs="宋体"/>
          <w:b/>
          <w:sz w:val="44"/>
          <w:szCs w:val="44"/>
        </w:rPr>
        <w:instrText xml:space="preserve">TOC \o "1-2" \h \u </w:instrText>
      </w:r>
      <w:r>
        <w:rPr>
          <w:rFonts w:hint="eastAsia" w:ascii="宋体" w:hAnsi="宋体" w:cs="宋体"/>
          <w:b/>
          <w:sz w:val="44"/>
          <w:szCs w:val="44"/>
        </w:rPr>
        <w:fldChar w:fldCharType="separate"/>
      </w:r>
      <w:r>
        <w:fldChar w:fldCharType="begin"/>
      </w:r>
      <w:r>
        <w:instrText xml:space="preserve"> HYPERLINK \l "_Toc362" </w:instrText>
      </w:r>
      <w:r>
        <w:fldChar w:fldCharType="separate"/>
      </w:r>
      <w:r>
        <w:rPr>
          <w:rFonts w:hint="eastAsia" w:ascii="宋体" w:hAnsi="宋体" w:cs="宋体"/>
          <w:b/>
          <w:sz w:val="22"/>
          <w:szCs w:val="52"/>
        </w:rPr>
        <w:t>关键信息</w:t>
      </w:r>
      <w:r>
        <w:rPr>
          <w:b/>
          <w:sz w:val="22"/>
          <w:szCs w:val="22"/>
        </w:rPr>
        <w:tab/>
      </w:r>
      <w:r>
        <w:rPr>
          <w:b/>
          <w:sz w:val="22"/>
          <w:szCs w:val="22"/>
        </w:rPr>
        <w:fldChar w:fldCharType="begin"/>
      </w:r>
      <w:r>
        <w:rPr>
          <w:b/>
          <w:sz w:val="22"/>
          <w:szCs w:val="22"/>
        </w:rPr>
        <w:instrText xml:space="preserve"> PAGEREF _Toc362 \h </w:instrText>
      </w:r>
      <w:r>
        <w:rPr>
          <w:b/>
          <w:sz w:val="22"/>
          <w:szCs w:val="22"/>
        </w:rPr>
        <w:fldChar w:fldCharType="separate"/>
      </w:r>
      <w:r>
        <w:rPr>
          <w:b/>
          <w:sz w:val="22"/>
          <w:szCs w:val="22"/>
        </w:rPr>
        <w:t>4</w:t>
      </w:r>
      <w:r>
        <w:rPr>
          <w:b/>
          <w:sz w:val="22"/>
          <w:szCs w:val="22"/>
        </w:rPr>
        <w:fldChar w:fldCharType="end"/>
      </w:r>
      <w:r>
        <w:rPr>
          <w:b/>
          <w:sz w:val="22"/>
          <w:szCs w:val="22"/>
        </w:rPr>
        <w:fldChar w:fldCharType="end"/>
      </w:r>
    </w:p>
    <w:p w14:paraId="4E6FCB24">
      <w:pPr>
        <w:pStyle w:val="127"/>
        <w:tabs>
          <w:tab w:val="right" w:leader="dot" w:pos="10466"/>
        </w:tabs>
        <w:spacing w:line="360" w:lineRule="auto"/>
        <w:rPr>
          <w:b/>
          <w:sz w:val="22"/>
          <w:szCs w:val="22"/>
        </w:rPr>
      </w:pPr>
      <w:r>
        <w:fldChar w:fldCharType="begin"/>
      </w:r>
      <w:r>
        <w:instrText xml:space="preserve"> HYPERLINK \l "_Toc12259" </w:instrText>
      </w:r>
      <w:r>
        <w:fldChar w:fldCharType="separate"/>
      </w:r>
      <w:r>
        <w:rPr>
          <w:rFonts w:hint="eastAsia" w:ascii="宋体" w:hAnsi="宋体" w:cs="宋体"/>
          <w:b/>
          <w:sz w:val="22"/>
          <w:szCs w:val="40"/>
        </w:rPr>
        <w:t>一、资格性审查</w:t>
      </w:r>
      <w:r>
        <w:rPr>
          <w:b/>
          <w:sz w:val="22"/>
          <w:szCs w:val="22"/>
        </w:rPr>
        <w:tab/>
      </w:r>
      <w:r>
        <w:rPr>
          <w:b/>
          <w:sz w:val="22"/>
          <w:szCs w:val="22"/>
        </w:rPr>
        <w:fldChar w:fldCharType="begin"/>
      </w:r>
      <w:r>
        <w:rPr>
          <w:b/>
          <w:sz w:val="22"/>
          <w:szCs w:val="22"/>
        </w:rPr>
        <w:instrText xml:space="preserve"> PAGEREF _Toc12259 \h </w:instrText>
      </w:r>
      <w:r>
        <w:rPr>
          <w:b/>
          <w:sz w:val="22"/>
          <w:szCs w:val="22"/>
        </w:rPr>
        <w:fldChar w:fldCharType="separate"/>
      </w:r>
      <w:r>
        <w:rPr>
          <w:b/>
          <w:sz w:val="22"/>
          <w:szCs w:val="22"/>
        </w:rPr>
        <w:t>4</w:t>
      </w:r>
      <w:r>
        <w:rPr>
          <w:b/>
          <w:sz w:val="22"/>
          <w:szCs w:val="22"/>
        </w:rPr>
        <w:fldChar w:fldCharType="end"/>
      </w:r>
      <w:r>
        <w:rPr>
          <w:b/>
          <w:sz w:val="22"/>
          <w:szCs w:val="22"/>
        </w:rPr>
        <w:fldChar w:fldCharType="end"/>
      </w:r>
    </w:p>
    <w:p w14:paraId="7DCF4000">
      <w:pPr>
        <w:pStyle w:val="127"/>
        <w:tabs>
          <w:tab w:val="right" w:leader="dot" w:pos="10466"/>
        </w:tabs>
        <w:spacing w:line="360" w:lineRule="auto"/>
        <w:rPr>
          <w:b/>
          <w:sz w:val="22"/>
          <w:szCs w:val="22"/>
        </w:rPr>
      </w:pPr>
      <w:r>
        <w:fldChar w:fldCharType="begin"/>
      </w:r>
      <w:r>
        <w:instrText xml:space="preserve"> HYPERLINK \l "_Toc13306" </w:instrText>
      </w:r>
      <w:r>
        <w:fldChar w:fldCharType="separate"/>
      </w:r>
      <w:r>
        <w:rPr>
          <w:rFonts w:hint="eastAsia" w:ascii="宋体" w:hAnsi="宋体" w:cs="宋体"/>
          <w:b/>
          <w:sz w:val="22"/>
          <w:szCs w:val="36"/>
        </w:rPr>
        <w:t>二、符合性审查</w:t>
      </w:r>
      <w:r>
        <w:rPr>
          <w:b/>
          <w:sz w:val="22"/>
          <w:szCs w:val="22"/>
        </w:rPr>
        <w:tab/>
      </w:r>
      <w:r>
        <w:rPr>
          <w:b/>
          <w:sz w:val="22"/>
          <w:szCs w:val="22"/>
        </w:rPr>
        <w:fldChar w:fldCharType="begin"/>
      </w:r>
      <w:r>
        <w:rPr>
          <w:b/>
          <w:sz w:val="22"/>
          <w:szCs w:val="22"/>
        </w:rPr>
        <w:instrText xml:space="preserve"> PAGEREF _Toc13306 \h </w:instrText>
      </w:r>
      <w:r>
        <w:rPr>
          <w:b/>
          <w:sz w:val="22"/>
          <w:szCs w:val="22"/>
        </w:rPr>
        <w:fldChar w:fldCharType="separate"/>
      </w:r>
      <w:r>
        <w:rPr>
          <w:b/>
          <w:sz w:val="22"/>
          <w:szCs w:val="22"/>
        </w:rPr>
        <w:t>4</w:t>
      </w:r>
      <w:r>
        <w:rPr>
          <w:b/>
          <w:sz w:val="22"/>
          <w:szCs w:val="22"/>
        </w:rPr>
        <w:fldChar w:fldCharType="end"/>
      </w:r>
      <w:r>
        <w:rPr>
          <w:b/>
          <w:sz w:val="22"/>
          <w:szCs w:val="22"/>
        </w:rPr>
        <w:fldChar w:fldCharType="end"/>
      </w:r>
    </w:p>
    <w:p w14:paraId="7B3FF09F">
      <w:pPr>
        <w:pStyle w:val="127"/>
        <w:tabs>
          <w:tab w:val="right" w:leader="dot" w:pos="10466"/>
        </w:tabs>
        <w:spacing w:line="360" w:lineRule="auto"/>
        <w:rPr>
          <w:b/>
          <w:sz w:val="22"/>
          <w:szCs w:val="22"/>
        </w:rPr>
      </w:pPr>
      <w:r>
        <w:fldChar w:fldCharType="begin"/>
      </w:r>
      <w:r>
        <w:instrText xml:space="preserve"> HYPERLINK \l "_Toc15925" </w:instrText>
      </w:r>
      <w:r>
        <w:fldChar w:fldCharType="separate"/>
      </w:r>
      <w:r>
        <w:rPr>
          <w:rFonts w:hint="eastAsia" w:hAnsi="宋体" w:cs="宋体"/>
          <w:b/>
          <w:sz w:val="22"/>
          <w:szCs w:val="40"/>
        </w:rPr>
        <w:t>第一章 投标邀请</w:t>
      </w:r>
      <w:r>
        <w:rPr>
          <w:b/>
          <w:sz w:val="22"/>
          <w:szCs w:val="22"/>
        </w:rPr>
        <w:tab/>
      </w:r>
      <w:r>
        <w:rPr>
          <w:b/>
          <w:sz w:val="22"/>
          <w:szCs w:val="22"/>
        </w:rPr>
        <w:fldChar w:fldCharType="begin"/>
      </w:r>
      <w:r>
        <w:rPr>
          <w:b/>
          <w:sz w:val="22"/>
          <w:szCs w:val="22"/>
        </w:rPr>
        <w:instrText xml:space="preserve"> PAGEREF _Toc15925 \h </w:instrText>
      </w:r>
      <w:r>
        <w:rPr>
          <w:b/>
          <w:sz w:val="22"/>
          <w:szCs w:val="22"/>
        </w:rPr>
        <w:fldChar w:fldCharType="separate"/>
      </w:r>
      <w:r>
        <w:rPr>
          <w:b/>
          <w:sz w:val="22"/>
          <w:szCs w:val="22"/>
        </w:rPr>
        <w:t>- 10 -</w:t>
      </w:r>
      <w:r>
        <w:rPr>
          <w:b/>
          <w:sz w:val="22"/>
          <w:szCs w:val="22"/>
        </w:rPr>
        <w:fldChar w:fldCharType="end"/>
      </w:r>
      <w:r>
        <w:rPr>
          <w:b/>
          <w:sz w:val="22"/>
          <w:szCs w:val="22"/>
        </w:rPr>
        <w:fldChar w:fldCharType="end"/>
      </w:r>
    </w:p>
    <w:p w14:paraId="62E7C7A3">
      <w:pPr>
        <w:pStyle w:val="100"/>
        <w:tabs>
          <w:tab w:val="right" w:leader="dot" w:pos="10466"/>
        </w:tabs>
        <w:spacing w:line="360" w:lineRule="auto"/>
        <w:ind w:leftChars="0"/>
        <w:rPr>
          <w:sz w:val="22"/>
          <w:szCs w:val="22"/>
        </w:rPr>
      </w:pPr>
      <w:r>
        <w:rPr>
          <w:rFonts w:hint="eastAsia" w:ascii="宋体" w:hAnsi="宋体" w:cs="宋体"/>
          <w:b/>
          <w:bCs/>
          <w:sz w:val="22"/>
          <w:szCs w:val="52"/>
        </w:rPr>
        <w:t xml:space="preserve">第二章 </w:t>
      </w:r>
      <w:r>
        <w:fldChar w:fldCharType="begin"/>
      </w:r>
      <w:r>
        <w:instrText xml:space="preserve"> HYPERLINK \l "_Toc19654" </w:instrText>
      </w:r>
      <w:r>
        <w:fldChar w:fldCharType="separate"/>
      </w:r>
      <w:r>
        <w:rPr>
          <w:rFonts w:hint="eastAsia" w:ascii="宋体" w:hAnsi="宋体" w:cs="宋体"/>
          <w:b/>
          <w:bCs/>
          <w:sz w:val="22"/>
          <w:szCs w:val="36"/>
        </w:rPr>
        <w:t>投标须知前附表</w:t>
      </w:r>
      <w:r>
        <w:rPr>
          <w:b/>
          <w:bCs/>
          <w:sz w:val="22"/>
          <w:szCs w:val="22"/>
        </w:rPr>
        <w:tab/>
      </w:r>
      <w:r>
        <w:rPr>
          <w:b/>
          <w:bCs/>
          <w:sz w:val="22"/>
          <w:szCs w:val="22"/>
        </w:rPr>
        <w:fldChar w:fldCharType="begin"/>
      </w:r>
      <w:r>
        <w:rPr>
          <w:b/>
          <w:bCs/>
          <w:sz w:val="22"/>
          <w:szCs w:val="22"/>
        </w:rPr>
        <w:instrText xml:space="preserve"> PAGEREF _Toc19654 \h </w:instrText>
      </w:r>
      <w:r>
        <w:rPr>
          <w:b/>
          <w:bCs/>
          <w:sz w:val="22"/>
          <w:szCs w:val="22"/>
        </w:rPr>
        <w:fldChar w:fldCharType="separate"/>
      </w:r>
      <w:r>
        <w:rPr>
          <w:b/>
          <w:bCs/>
          <w:sz w:val="22"/>
          <w:szCs w:val="22"/>
        </w:rPr>
        <w:t>- 15 -</w:t>
      </w:r>
      <w:r>
        <w:rPr>
          <w:b/>
          <w:bCs/>
          <w:sz w:val="22"/>
          <w:szCs w:val="22"/>
        </w:rPr>
        <w:fldChar w:fldCharType="end"/>
      </w:r>
      <w:r>
        <w:rPr>
          <w:b/>
          <w:bCs/>
          <w:sz w:val="22"/>
          <w:szCs w:val="22"/>
        </w:rPr>
        <w:fldChar w:fldCharType="end"/>
      </w:r>
    </w:p>
    <w:p w14:paraId="17BE73D0">
      <w:pPr>
        <w:pStyle w:val="127"/>
        <w:tabs>
          <w:tab w:val="right" w:leader="dot" w:pos="10466"/>
        </w:tabs>
        <w:spacing w:line="360" w:lineRule="auto"/>
        <w:rPr>
          <w:b/>
          <w:sz w:val="22"/>
          <w:szCs w:val="22"/>
        </w:rPr>
      </w:pPr>
      <w:r>
        <w:fldChar w:fldCharType="begin"/>
      </w:r>
      <w:r>
        <w:instrText xml:space="preserve"> HYPERLINK \l "_Toc29912" </w:instrText>
      </w:r>
      <w:r>
        <w:fldChar w:fldCharType="separate"/>
      </w:r>
      <w:r>
        <w:rPr>
          <w:rFonts w:hint="eastAsia" w:hAnsi="宋体" w:cs="宋体"/>
          <w:b/>
          <w:sz w:val="22"/>
          <w:szCs w:val="40"/>
        </w:rPr>
        <w:t>第三章 评标方法及标准（综合评分法）</w:t>
      </w:r>
      <w:r>
        <w:rPr>
          <w:b/>
          <w:sz w:val="22"/>
          <w:szCs w:val="22"/>
        </w:rPr>
        <w:tab/>
      </w:r>
      <w:r>
        <w:rPr>
          <w:b/>
          <w:sz w:val="22"/>
          <w:szCs w:val="22"/>
        </w:rPr>
        <w:fldChar w:fldCharType="begin"/>
      </w:r>
      <w:r>
        <w:rPr>
          <w:b/>
          <w:sz w:val="22"/>
          <w:szCs w:val="22"/>
        </w:rPr>
        <w:instrText xml:space="preserve"> PAGEREF _Toc29912 \h </w:instrText>
      </w:r>
      <w:r>
        <w:rPr>
          <w:b/>
          <w:sz w:val="22"/>
          <w:szCs w:val="22"/>
        </w:rPr>
        <w:fldChar w:fldCharType="separate"/>
      </w:r>
      <w:r>
        <w:rPr>
          <w:b/>
          <w:sz w:val="22"/>
          <w:szCs w:val="22"/>
        </w:rPr>
        <w:t>- 37 -</w:t>
      </w:r>
      <w:r>
        <w:rPr>
          <w:b/>
          <w:sz w:val="22"/>
          <w:szCs w:val="22"/>
        </w:rPr>
        <w:fldChar w:fldCharType="end"/>
      </w:r>
      <w:r>
        <w:rPr>
          <w:b/>
          <w:sz w:val="22"/>
          <w:szCs w:val="22"/>
        </w:rPr>
        <w:fldChar w:fldCharType="end"/>
      </w:r>
    </w:p>
    <w:p w14:paraId="49CEFA70">
      <w:pPr>
        <w:pStyle w:val="127"/>
        <w:tabs>
          <w:tab w:val="right" w:leader="dot" w:pos="10466"/>
        </w:tabs>
        <w:spacing w:line="360" w:lineRule="auto"/>
        <w:rPr>
          <w:b/>
          <w:sz w:val="22"/>
          <w:szCs w:val="22"/>
        </w:rPr>
      </w:pPr>
      <w:r>
        <w:fldChar w:fldCharType="begin"/>
      </w:r>
      <w:r>
        <w:instrText xml:space="preserve"> HYPERLINK \l "_Toc25043" </w:instrText>
      </w:r>
      <w:r>
        <w:fldChar w:fldCharType="separate"/>
      </w:r>
      <w:r>
        <w:rPr>
          <w:rFonts w:hint="eastAsia" w:ascii="宋体" w:hAnsi="宋体" w:cs="宋体"/>
          <w:b/>
          <w:sz w:val="22"/>
          <w:szCs w:val="36"/>
        </w:rPr>
        <w:t>第四章 技术规格、参数与要求</w:t>
      </w:r>
      <w:r>
        <w:rPr>
          <w:b/>
          <w:sz w:val="22"/>
          <w:szCs w:val="22"/>
        </w:rPr>
        <w:tab/>
      </w:r>
      <w:r>
        <w:rPr>
          <w:b/>
          <w:sz w:val="22"/>
          <w:szCs w:val="22"/>
        </w:rPr>
        <w:fldChar w:fldCharType="begin"/>
      </w:r>
      <w:r>
        <w:rPr>
          <w:b/>
          <w:sz w:val="22"/>
          <w:szCs w:val="22"/>
        </w:rPr>
        <w:instrText xml:space="preserve"> PAGEREF _Toc25043 \h </w:instrText>
      </w:r>
      <w:r>
        <w:rPr>
          <w:b/>
          <w:sz w:val="22"/>
          <w:szCs w:val="22"/>
        </w:rPr>
        <w:fldChar w:fldCharType="separate"/>
      </w:r>
      <w:r>
        <w:rPr>
          <w:b/>
          <w:sz w:val="22"/>
          <w:szCs w:val="22"/>
        </w:rPr>
        <w:t>- 49 -</w:t>
      </w:r>
      <w:r>
        <w:rPr>
          <w:b/>
          <w:sz w:val="22"/>
          <w:szCs w:val="22"/>
        </w:rPr>
        <w:fldChar w:fldCharType="end"/>
      </w:r>
      <w:r>
        <w:rPr>
          <w:b/>
          <w:sz w:val="22"/>
          <w:szCs w:val="22"/>
        </w:rPr>
        <w:fldChar w:fldCharType="end"/>
      </w:r>
    </w:p>
    <w:p w14:paraId="797B8F20">
      <w:pPr>
        <w:pStyle w:val="127"/>
        <w:tabs>
          <w:tab w:val="right" w:leader="dot" w:pos="10466"/>
        </w:tabs>
        <w:spacing w:line="360" w:lineRule="auto"/>
        <w:rPr>
          <w:b/>
          <w:sz w:val="22"/>
          <w:szCs w:val="22"/>
        </w:rPr>
      </w:pPr>
      <w:r>
        <w:fldChar w:fldCharType="begin"/>
      </w:r>
      <w:r>
        <w:instrText xml:space="preserve"> HYPERLINK \l "_Toc17632" </w:instrText>
      </w:r>
      <w:r>
        <w:fldChar w:fldCharType="separate"/>
      </w:r>
      <w:r>
        <w:rPr>
          <w:rFonts w:hint="eastAsia" w:ascii="宋体" w:hAnsi="宋体" w:cs="宋体"/>
          <w:b/>
          <w:sz w:val="22"/>
          <w:szCs w:val="40"/>
        </w:rPr>
        <w:t>第五章 政府采购合同</w:t>
      </w:r>
      <w:r>
        <w:rPr>
          <w:b/>
          <w:sz w:val="22"/>
          <w:szCs w:val="22"/>
        </w:rPr>
        <w:tab/>
      </w:r>
      <w:r>
        <w:rPr>
          <w:rFonts w:hint="eastAsia"/>
          <w:b/>
          <w:sz w:val="22"/>
          <w:szCs w:val="22"/>
        </w:rPr>
        <w:t>1</w:t>
      </w:r>
      <w:r>
        <w:rPr>
          <w:rFonts w:hint="eastAsia"/>
          <w:b/>
          <w:sz w:val="22"/>
          <w:szCs w:val="22"/>
        </w:rPr>
        <w:fldChar w:fldCharType="end"/>
      </w:r>
      <w:r>
        <w:rPr>
          <w:rFonts w:hint="eastAsia" w:ascii="宋体" w:hAnsi="宋体" w:cs="宋体"/>
          <w:b/>
          <w:sz w:val="22"/>
          <w:szCs w:val="52"/>
        </w:rPr>
        <w:t>07</w:t>
      </w:r>
    </w:p>
    <w:p w14:paraId="06EFB15D">
      <w:pPr>
        <w:pStyle w:val="127"/>
        <w:tabs>
          <w:tab w:val="right" w:leader="dot" w:pos="10466"/>
        </w:tabs>
        <w:spacing w:line="360" w:lineRule="auto"/>
        <w:rPr>
          <w:b/>
          <w:sz w:val="22"/>
          <w:szCs w:val="22"/>
        </w:rPr>
      </w:pPr>
      <w:r>
        <w:fldChar w:fldCharType="begin"/>
      </w:r>
      <w:r>
        <w:instrText xml:space="preserve"> HYPERLINK \l "_Toc88" </w:instrText>
      </w:r>
      <w:r>
        <w:fldChar w:fldCharType="separate"/>
      </w:r>
      <w:r>
        <w:rPr>
          <w:rFonts w:hint="eastAsia" w:hAnsi="宋体" w:cs="宋体"/>
          <w:b/>
          <w:sz w:val="22"/>
          <w:szCs w:val="40"/>
        </w:rPr>
        <w:t>第六章 投标文件的组成</w:t>
      </w:r>
      <w:r>
        <w:rPr>
          <w:b/>
          <w:sz w:val="22"/>
          <w:szCs w:val="22"/>
        </w:rPr>
        <w:tab/>
      </w:r>
      <w:r>
        <w:rPr>
          <w:rFonts w:hint="eastAsia"/>
          <w:b/>
          <w:sz w:val="22"/>
          <w:szCs w:val="22"/>
        </w:rPr>
        <w:t>1</w:t>
      </w:r>
      <w:r>
        <w:rPr>
          <w:rFonts w:hint="eastAsia"/>
          <w:b/>
          <w:sz w:val="22"/>
          <w:szCs w:val="22"/>
        </w:rPr>
        <w:fldChar w:fldCharType="end"/>
      </w:r>
      <w:r>
        <w:rPr>
          <w:rFonts w:hint="eastAsia" w:ascii="宋体" w:hAnsi="宋体" w:cs="宋体"/>
          <w:b/>
          <w:sz w:val="22"/>
          <w:szCs w:val="52"/>
        </w:rPr>
        <w:t>14</w:t>
      </w:r>
    </w:p>
    <w:p w14:paraId="09D04508">
      <w:pPr>
        <w:pStyle w:val="100"/>
        <w:tabs>
          <w:tab w:val="right" w:leader="dot" w:pos="10466"/>
        </w:tabs>
        <w:spacing w:line="360" w:lineRule="auto"/>
        <w:ind w:left="420"/>
        <w:rPr>
          <w:bCs/>
          <w:sz w:val="22"/>
          <w:szCs w:val="22"/>
        </w:rPr>
      </w:pPr>
      <w:r>
        <w:fldChar w:fldCharType="begin"/>
      </w:r>
      <w:r>
        <w:instrText xml:space="preserve"> HYPERLINK \l "_Toc26496" </w:instrText>
      </w:r>
      <w:r>
        <w:fldChar w:fldCharType="separate"/>
      </w:r>
      <w:r>
        <w:rPr>
          <w:rFonts w:hint="eastAsia" w:ascii="宋体" w:hAnsi="宋体" w:cs="宋体"/>
          <w:bCs/>
          <w:sz w:val="22"/>
          <w:szCs w:val="52"/>
        </w:rPr>
        <w:t xml:space="preserve">第一册 </w:t>
      </w:r>
      <w:r>
        <w:rPr>
          <w:rFonts w:hint="eastAsia" w:ascii="宋体" w:hAnsi="宋体" w:cs="宋体"/>
          <w:bCs/>
          <w:sz w:val="22"/>
          <w:szCs w:val="24"/>
        </w:rPr>
        <w:t>资格证明文件</w:t>
      </w:r>
      <w:r>
        <w:rPr>
          <w:bCs/>
          <w:sz w:val="22"/>
          <w:szCs w:val="22"/>
        </w:rPr>
        <w:tab/>
      </w:r>
      <w:r>
        <w:rPr>
          <w:rFonts w:hint="eastAsia"/>
          <w:bCs/>
          <w:sz w:val="22"/>
          <w:szCs w:val="22"/>
        </w:rPr>
        <w:t>1</w:t>
      </w:r>
      <w:r>
        <w:rPr>
          <w:rFonts w:hint="eastAsia"/>
          <w:bCs/>
          <w:sz w:val="22"/>
          <w:szCs w:val="22"/>
        </w:rPr>
        <w:fldChar w:fldCharType="end"/>
      </w:r>
      <w:r>
        <w:rPr>
          <w:rFonts w:hint="eastAsia" w:ascii="宋体" w:hAnsi="宋体" w:cs="宋体"/>
          <w:bCs/>
          <w:sz w:val="22"/>
          <w:szCs w:val="52"/>
        </w:rPr>
        <w:t>15</w:t>
      </w:r>
    </w:p>
    <w:p w14:paraId="3A8F674E">
      <w:pPr>
        <w:pStyle w:val="100"/>
        <w:tabs>
          <w:tab w:val="right" w:leader="dot" w:pos="10466"/>
        </w:tabs>
        <w:spacing w:line="360" w:lineRule="auto"/>
        <w:ind w:left="420"/>
        <w:rPr>
          <w:b/>
          <w:sz w:val="22"/>
          <w:szCs w:val="22"/>
        </w:rPr>
      </w:pPr>
      <w:r>
        <w:fldChar w:fldCharType="begin"/>
      </w:r>
      <w:r>
        <w:instrText xml:space="preserve"> HYPERLINK \l "_Toc28378" </w:instrText>
      </w:r>
      <w:r>
        <w:fldChar w:fldCharType="separate"/>
      </w:r>
      <w:r>
        <w:rPr>
          <w:rFonts w:hint="eastAsia" w:ascii="宋体" w:hAnsi="宋体" w:cs="宋体"/>
          <w:bCs/>
          <w:sz w:val="22"/>
          <w:szCs w:val="24"/>
        </w:rPr>
        <w:t xml:space="preserve">第二册 </w:t>
      </w:r>
      <w:r>
        <w:rPr>
          <w:rFonts w:hint="eastAsia" w:ascii="宋体" w:hAnsi="宋体" w:cs="宋体"/>
          <w:bCs/>
          <w:sz w:val="22"/>
          <w:szCs w:val="52"/>
        </w:rPr>
        <w:t>商务技术文件</w:t>
      </w:r>
      <w:r>
        <w:rPr>
          <w:bCs/>
          <w:sz w:val="22"/>
          <w:szCs w:val="22"/>
        </w:rPr>
        <w:tab/>
      </w:r>
      <w:r>
        <w:rPr>
          <w:rFonts w:hint="eastAsia"/>
          <w:bCs/>
          <w:sz w:val="22"/>
          <w:szCs w:val="22"/>
        </w:rPr>
        <w:t>1</w:t>
      </w:r>
      <w:r>
        <w:rPr>
          <w:rFonts w:hint="eastAsia"/>
          <w:bCs/>
          <w:sz w:val="22"/>
          <w:szCs w:val="22"/>
        </w:rPr>
        <w:fldChar w:fldCharType="end"/>
      </w:r>
      <w:r>
        <w:rPr>
          <w:rFonts w:hint="eastAsia" w:ascii="宋体" w:hAnsi="宋体" w:cs="宋体"/>
          <w:bCs/>
          <w:sz w:val="22"/>
          <w:szCs w:val="52"/>
        </w:rPr>
        <w:t>27</w:t>
      </w:r>
    </w:p>
    <w:p w14:paraId="6888D427">
      <w:pPr>
        <w:pStyle w:val="127"/>
        <w:tabs>
          <w:tab w:val="right" w:leader="dot" w:pos="10466"/>
        </w:tabs>
        <w:rPr>
          <w:b/>
        </w:rPr>
      </w:pPr>
    </w:p>
    <w:p w14:paraId="5ABD8E89">
      <w:pPr>
        <w:tabs>
          <w:tab w:val="center" w:pos="3454"/>
          <w:tab w:val="left" w:pos="6789"/>
        </w:tabs>
        <w:rPr>
          <w:rFonts w:ascii="宋体" w:hAnsi="宋体" w:cs="宋体"/>
          <w:b/>
          <w:sz w:val="44"/>
          <w:szCs w:val="44"/>
        </w:rPr>
        <w:sectPr>
          <w:headerReference r:id="rId3" w:type="default"/>
          <w:footerReference r:id="rId4" w:type="default"/>
          <w:pgSz w:w="11906" w:h="16838"/>
          <w:pgMar w:top="720" w:right="720" w:bottom="720" w:left="720" w:header="709" w:footer="992" w:gutter="0"/>
          <w:pgBorders>
            <w:top w:val="none" w:sz="0" w:space="0"/>
            <w:left w:val="none" w:sz="0" w:space="0"/>
            <w:bottom w:val="none" w:sz="0" w:space="0"/>
            <w:right w:val="none" w:sz="0" w:space="0"/>
          </w:pgBorders>
          <w:pgNumType w:start="1"/>
          <w:cols w:space="0" w:num="1"/>
          <w:docGrid w:type="lines" w:linePitch="312" w:charSpace="0"/>
        </w:sectPr>
      </w:pPr>
      <w:r>
        <w:rPr>
          <w:rFonts w:hint="eastAsia" w:ascii="宋体" w:hAnsi="宋体" w:cs="宋体"/>
          <w:b/>
          <w:szCs w:val="44"/>
        </w:rPr>
        <w:fldChar w:fldCharType="end"/>
      </w:r>
    </w:p>
    <w:p w14:paraId="7C19F0F5">
      <w:pPr>
        <w:jc w:val="center"/>
        <w:outlineLvl w:val="0"/>
        <w:rPr>
          <w:rFonts w:ascii="宋体" w:hAnsi="宋体" w:cs="宋体"/>
          <w:b/>
          <w:sz w:val="44"/>
          <w:szCs w:val="44"/>
        </w:rPr>
      </w:pPr>
      <w:bookmarkStart w:id="2" w:name="_Toc362"/>
      <w:r>
        <w:rPr>
          <w:rFonts w:hint="eastAsia" w:ascii="宋体" w:hAnsi="宋体" w:cs="宋体"/>
          <w:b/>
          <w:sz w:val="44"/>
          <w:szCs w:val="44"/>
        </w:rPr>
        <w:t>关键信息</w:t>
      </w:r>
      <w:bookmarkEnd w:id="0"/>
      <w:bookmarkEnd w:id="1"/>
      <w:bookmarkEnd w:id="2"/>
    </w:p>
    <w:p w14:paraId="1D8E34C0">
      <w:pPr>
        <w:jc w:val="center"/>
        <w:outlineLvl w:val="0"/>
        <w:rPr>
          <w:rFonts w:ascii="宋体" w:hAnsi="宋体" w:cs="宋体"/>
          <w:b/>
          <w:sz w:val="32"/>
          <w:szCs w:val="32"/>
        </w:rPr>
      </w:pPr>
      <w:bookmarkStart w:id="3" w:name="_Toc12259"/>
      <w:r>
        <w:rPr>
          <w:rFonts w:hint="eastAsia" w:ascii="宋体" w:hAnsi="宋体" w:cs="宋体"/>
          <w:b/>
          <w:sz w:val="32"/>
          <w:szCs w:val="32"/>
        </w:rPr>
        <w:t>一、资格性审查</w:t>
      </w:r>
      <w:bookmarkEnd w:id="3"/>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9919"/>
      </w:tblGrid>
      <w:tr w14:paraId="202C6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763" w:type="dxa"/>
            <w:noWrap/>
            <w:vAlign w:val="center"/>
          </w:tcPr>
          <w:p w14:paraId="730A9A87">
            <w:pPr>
              <w:adjustRightInd w:val="0"/>
              <w:snapToGrid w:val="0"/>
              <w:spacing w:line="360" w:lineRule="auto"/>
              <w:jc w:val="center"/>
              <w:rPr>
                <w:rFonts w:ascii="宋体" w:hAnsi="宋体" w:cs="宋体"/>
                <w:sz w:val="20"/>
                <w:szCs w:val="20"/>
              </w:rPr>
            </w:pPr>
            <w:bookmarkStart w:id="4" w:name="_Toc13306"/>
            <w:bookmarkStart w:id="5" w:name="_Toc27488"/>
            <w:r>
              <w:rPr>
                <w:rFonts w:hint="eastAsia" w:ascii="宋体" w:hAnsi="宋体" w:cs="宋体"/>
                <w:sz w:val="20"/>
                <w:szCs w:val="20"/>
              </w:rPr>
              <w:t>序号</w:t>
            </w:r>
          </w:p>
        </w:tc>
        <w:tc>
          <w:tcPr>
            <w:tcW w:w="9919" w:type="dxa"/>
            <w:noWrap/>
            <w:vAlign w:val="center"/>
          </w:tcPr>
          <w:p w14:paraId="5AF5E71B">
            <w:pPr>
              <w:adjustRightInd w:val="0"/>
              <w:snapToGrid w:val="0"/>
              <w:spacing w:line="360" w:lineRule="auto"/>
              <w:jc w:val="center"/>
              <w:rPr>
                <w:rFonts w:ascii="宋体" w:hAnsi="宋体" w:cs="宋体"/>
                <w:sz w:val="20"/>
                <w:szCs w:val="20"/>
              </w:rPr>
            </w:pPr>
            <w:r>
              <w:rPr>
                <w:rFonts w:hint="eastAsia" w:ascii="宋体" w:hAnsi="宋体" w:cs="宋体"/>
                <w:sz w:val="20"/>
                <w:szCs w:val="20"/>
              </w:rPr>
              <w:t>审查情况</w:t>
            </w:r>
          </w:p>
        </w:tc>
      </w:tr>
      <w:tr w14:paraId="79A3F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3" w:type="dxa"/>
            <w:noWrap/>
            <w:vAlign w:val="center"/>
          </w:tcPr>
          <w:p w14:paraId="3D181075">
            <w:pPr>
              <w:adjustRightInd w:val="0"/>
              <w:snapToGrid w:val="0"/>
              <w:spacing w:line="330" w:lineRule="exact"/>
              <w:jc w:val="center"/>
              <w:rPr>
                <w:rFonts w:ascii="宋体" w:hAnsi="宋体" w:cs="宋体"/>
                <w:sz w:val="20"/>
                <w:szCs w:val="20"/>
              </w:rPr>
            </w:pPr>
            <w:r>
              <w:rPr>
                <w:rFonts w:hint="eastAsia" w:ascii="宋体" w:hAnsi="宋体"/>
                <w:sz w:val="18"/>
                <w:szCs w:val="18"/>
              </w:rPr>
              <w:t>1</w:t>
            </w:r>
          </w:p>
        </w:tc>
        <w:tc>
          <w:tcPr>
            <w:tcW w:w="9919" w:type="dxa"/>
            <w:noWrap/>
            <w:vAlign w:val="center"/>
          </w:tcPr>
          <w:p w14:paraId="2FFA784C">
            <w:pPr>
              <w:adjustRightInd w:val="0"/>
              <w:snapToGrid w:val="0"/>
              <w:spacing w:line="330" w:lineRule="exact"/>
              <w:rPr>
                <w:rFonts w:ascii="宋体" w:hAnsi="宋体" w:cs="宋体"/>
                <w:sz w:val="20"/>
                <w:szCs w:val="20"/>
              </w:rPr>
            </w:pPr>
            <w:r>
              <w:rPr>
                <w:rFonts w:hint="eastAsia" w:ascii="宋体" w:hAnsi="宋体"/>
                <w:sz w:val="18"/>
                <w:szCs w:val="18"/>
              </w:rPr>
              <w:t>法人提交企业法人营业执照副本(或者法人登记证书)以及组织机构代码证副本扫描件；</w:t>
            </w:r>
            <w:r>
              <w:rPr>
                <w:rFonts w:ascii="宋体" w:hAnsi="宋体"/>
                <w:sz w:val="18"/>
                <w:szCs w:val="18"/>
              </w:rPr>
              <w:t xml:space="preserve"> 投标人应当是具有独立承担民事责任能力的在中华人民共和国境内注册的法人、 其他组织或者自然人；（提供有效的营业执照或相关单位登记证书</w:t>
            </w:r>
            <w:r>
              <w:rPr>
                <w:rFonts w:hint="eastAsia" w:ascii="宋体" w:hAnsi="宋体"/>
                <w:sz w:val="18"/>
                <w:szCs w:val="18"/>
              </w:rPr>
              <w:t>扫描件</w:t>
            </w:r>
            <w:r>
              <w:rPr>
                <w:rFonts w:ascii="宋体" w:hAnsi="宋体"/>
                <w:sz w:val="18"/>
                <w:szCs w:val="18"/>
              </w:rPr>
              <w:t>（若法人或者其他组织投标的），自然人有效的身份证明</w:t>
            </w:r>
            <w:r>
              <w:rPr>
                <w:rFonts w:hint="eastAsia" w:ascii="宋体" w:hAnsi="宋体"/>
                <w:sz w:val="18"/>
                <w:szCs w:val="18"/>
              </w:rPr>
              <w:t>扫描件</w:t>
            </w:r>
            <w:r>
              <w:rPr>
                <w:rFonts w:ascii="宋体" w:hAnsi="宋体"/>
                <w:sz w:val="18"/>
                <w:szCs w:val="18"/>
              </w:rPr>
              <w:t>（若自然人投标的）。</w:t>
            </w:r>
          </w:p>
        </w:tc>
      </w:tr>
      <w:tr w14:paraId="1B056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63" w:type="dxa"/>
            <w:noWrap/>
            <w:vAlign w:val="center"/>
          </w:tcPr>
          <w:p w14:paraId="0F81510D">
            <w:pPr>
              <w:adjustRightInd w:val="0"/>
              <w:snapToGrid w:val="0"/>
              <w:spacing w:line="330" w:lineRule="exact"/>
              <w:jc w:val="center"/>
              <w:rPr>
                <w:rFonts w:ascii="宋体" w:hAnsi="宋体" w:cs="宋体"/>
                <w:sz w:val="20"/>
                <w:szCs w:val="20"/>
              </w:rPr>
            </w:pPr>
            <w:r>
              <w:rPr>
                <w:rFonts w:hint="eastAsia" w:ascii="宋体" w:hAnsi="宋体"/>
                <w:sz w:val="18"/>
                <w:szCs w:val="18"/>
              </w:rPr>
              <w:t>2</w:t>
            </w:r>
          </w:p>
        </w:tc>
        <w:tc>
          <w:tcPr>
            <w:tcW w:w="9919" w:type="dxa"/>
            <w:noWrap/>
            <w:vAlign w:val="center"/>
          </w:tcPr>
          <w:p w14:paraId="71FF0BB0">
            <w:pPr>
              <w:adjustRightInd w:val="0"/>
              <w:snapToGrid w:val="0"/>
              <w:spacing w:line="330" w:lineRule="exact"/>
              <w:rPr>
                <w:rFonts w:ascii="宋体" w:hAnsi="宋体"/>
                <w:sz w:val="18"/>
                <w:szCs w:val="18"/>
              </w:rPr>
            </w:pPr>
            <w:r>
              <w:rPr>
                <w:rFonts w:hint="eastAsia" w:ascii="宋体" w:hAnsi="宋体"/>
                <w:sz w:val="18"/>
                <w:szCs w:val="18"/>
              </w:rPr>
              <w:t>依法缴纳税收和社会保险费的证明材料,各上传下列材料之一:</w:t>
            </w:r>
          </w:p>
          <w:p w14:paraId="58CFC5A8">
            <w:pPr>
              <w:adjustRightInd w:val="0"/>
              <w:snapToGrid w:val="0"/>
              <w:spacing w:line="330" w:lineRule="exact"/>
              <w:rPr>
                <w:rFonts w:hint="eastAsia" w:ascii="宋体" w:hAnsi="宋体"/>
                <w:sz w:val="18"/>
                <w:szCs w:val="18"/>
              </w:rPr>
            </w:pPr>
            <w:r>
              <w:rPr>
                <w:rFonts w:hint="eastAsia" w:ascii="宋体" w:hAnsi="宋体"/>
                <w:sz w:val="18"/>
                <w:szCs w:val="18"/>
              </w:rPr>
              <w:t>①缴纳税收证明资料:近三个月内任意一个月依法缴纳税收的证明（纳税凭证扫描件），或者委托他人缴纳的委托代办协议和近三个月内任意一个月的缴纳证明（收据扫描件），或者法定征收机关出具的依法免缴税收的证明扫描件，或《湖南省政府采购供应商资格承诺函》扫描件。</w:t>
            </w:r>
          </w:p>
          <w:p w14:paraId="639F560E">
            <w:pPr>
              <w:adjustRightInd w:val="0"/>
              <w:snapToGrid w:val="0"/>
              <w:spacing w:line="330" w:lineRule="exact"/>
            </w:pPr>
            <w:r>
              <w:rPr>
                <w:rFonts w:hint="eastAsia" w:ascii="宋体" w:hAnsi="宋体"/>
                <w:sz w:val="18"/>
                <w:szCs w:val="18"/>
              </w:rPr>
              <w:t>②缴纳社会保险证明资料：近三个月内任意一个月依法缴纳社会保险的证明（缴费凭证扫描件），或者委托他人缴纳的委托代办协议和近三个月内任意一个月的缴纳证明（收据扫描件），或者法定征收机关出具的依法免缴保险费的证明扫描件，或《湖南省政府采购供应商资格承诺函》扫描件。</w:t>
            </w:r>
          </w:p>
        </w:tc>
      </w:tr>
      <w:tr w14:paraId="02ECA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763" w:type="dxa"/>
            <w:tcBorders>
              <w:bottom w:val="single" w:color="auto" w:sz="6" w:space="0"/>
            </w:tcBorders>
            <w:noWrap/>
            <w:vAlign w:val="center"/>
          </w:tcPr>
          <w:p w14:paraId="07D94A88">
            <w:pPr>
              <w:adjustRightInd w:val="0"/>
              <w:snapToGrid w:val="0"/>
              <w:spacing w:line="330" w:lineRule="exact"/>
              <w:jc w:val="center"/>
              <w:rPr>
                <w:rFonts w:ascii="宋体" w:hAnsi="宋体" w:cs="宋体"/>
                <w:sz w:val="20"/>
                <w:szCs w:val="20"/>
              </w:rPr>
            </w:pPr>
            <w:r>
              <w:rPr>
                <w:rFonts w:hint="eastAsia" w:ascii="宋体" w:hAnsi="宋体"/>
                <w:sz w:val="18"/>
                <w:szCs w:val="18"/>
              </w:rPr>
              <w:t>3</w:t>
            </w:r>
          </w:p>
        </w:tc>
        <w:tc>
          <w:tcPr>
            <w:tcW w:w="9919" w:type="dxa"/>
            <w:noWrap/>
            <w:vAlign w:val="center"/>
          </w:tcPr>
          <w:p w14:paraId="22A85E1E">
            <w:pPr>
              <w:adjustRightInd w:val="0"/>
              <w:snapToGrid w:val="0"/>
              <w:spacing w:line="330" w:lineRule="exact"/>
              <w:rPr>
                <w:rFonts w:ascii="宋体" w:hAnsi="宋体" w:cs="宋体"/>
                <w:sz w:val="20"/>
                <w:szCs w:val="20"/>
              </w:rPr>
            </w:pPr>
            <w:bookmarkStart w:id="6" w:name="S_2_4"/>
            <w:bookmarkEnd w:id="6"/>
            <w:r>
              <w:rPr>
                <w:rFonts w:hint="eastAsia" w:ascii="宋体" w:hAnsi="宋体"/>
                <w:sz w:val="18"/>
                <w:szCs w:val="18"/>
              </w:rPr>
              <w:t>法人提交法定代表人身份证明扫描件或者法定代表人授权委托书扫描件以及被授权代表人在投标单位或投标单位依法登记的分支机构近三个月内任意一个月的社保证明并附法定代表人身份证明扫描件，自然人提交身份证扫描件。</w:t>
            </w:r>
          </w:p>
        </w:tc>
      </w:tr>
      <w:tr w14:paraId="209F5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3" w:type="dxa"/>
            <w:tcBorders>
              <w:bottom w:val="single" w:color="auto" w:sz="6" w:space="0"/>
            </w:tcBorders>
            <w:noWrap/>
            <w:vAlign w:val="center"/>
          </w:tcPr>
          <w:p w14:paraId="63B7C5E5">
            <w:pPr>
              <w:adjustRightInd w:val="0"/>
              <w:snapToGrid w:val="0"/>
              <w:spacing w:line="330" w:lineRule="exact"/>
              <w:jc w:val="center"/>
              <w:rPr>
                <w:rFonts w:ascii="宋体" w:hAnsi="宋体" w:cs="宋体"/>
                <w:sz w:val="20"/>
                <w:szCs w:val="20"/>
              </w:rPr>
            </w:pPr>
            <w:r>
              <w:rPr>
                <w:rFonts w:hint="eastAsia" w:ascii="宋体" w:hAnsi="宋体" w:cs="宋体"/>
                <w:sz w:val="20"/>
                <w:szCs w:val="20"/>
              </w:rPr>
              <w:t>4</w:t>
            </w:r>
          </w:p>
        </w:tc>
        <w:tc>
          <w:tcPr>
            <w:tcW w:w="9919" w:type="dxa"/>
            <w:noWrap/>
            <w:vAlign w:val="center"/>
          </w:tcPr>
          <w:p w14:paraId="1644D8A5">
            <w:pPr>
              <w:adjustRightInd w:val="0"/>
              <w:snapToGrid w:val="0"/>
              <w:spacing w:line="330" w:lineRule="exact"/>
              <w:rPr>
                <w:rFonts w:ascii="宋体" w:hAnsi="宋体" w:cs="宋体"/>
                <w:sz w:val="20"/>
                <w:szCs w:val="20"/>
              </w:rPr>
            </w:pPr>
            <w:r>
              <w:rPr>
                <w:rFonts w:hint="eastAsia" w:ascii="宋体" w:hAnsi="宋体"/>
                <w:sz w:val="18"/>
                <w:szCs w:val="18"/>
              </w:rPr>
              <w:t>其他说明。(非法人组织参与投标需提供的相关证明材料)。</w:t>
            </w:r>
          </w:p>
        </w:tc>
      </w:tr>
      <w:tr w14:paraId="570B6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3" w:type="dxa"/>
            <w:tcBorders>
              <w:bottom w:val="single" w:color="auto" w:sz="6" w:space="0"/>
            </w:tcBorders>
            <w:noWrap/>
            <w:vAlign w:val="center"/>
          </w:tcPr>
          <w:p w14:paraId="09B237C0">
            <w:pPr>
              <w:adjustRightInd w:val="0"/>
              <w:snapToGrid w:val="0"/>
              <w:spacing w:line="330" w:lineRule="exact"/>
              <w:jc w:val="center"/>
              <w:rPr>
                <w:rFonts w:ascii="宋体" w:hAnsi="宋体" w:cs="宋体"/>
                <w:sz w:val="20"/>
                <w:szCs w:val="20"/>
              </w:rPr>
            </w:pPr>
            <w:r>
              <w:rPr>
                <w:rFonts w:hint="eastAsia" w:ascii="宋体" w:hAnsi="宋体"/>
                <w:sz w:val="18"/>
                <w:szCs w:val="18"/>
              </w:rPr>
              <w:t>5</w:t>
            </w:r>
          </w:p>
        </w:tc>
        <w:tc>
          <w:tcPr>
            <w:tcW w:w="9919" w:type="dxa"/>
            <w:noWrap/>
            <w:vAlign w:val="center"/>
          </w:tcPr>
          <w:p w14:paraId="4EB9D5D8">
            <w:pPr>
              <w:adjustRightInd w:val="0"/>
              <w:snapToGrid w:val="0"/>
              <w:spacing w:line="330" w:lineRule="exact"/>
              <w:rPr>
                <w:rFonts w:ascii="宋体" w:hAnsi="宋体" w:cs="宋体"/>
                <w:sz w:val="20"/>
                <w:szCs w:val="20"/>
              </w:rPr>
            </w:pPr>
            <w:r>
              <w:rPr>
                <w:rFonts w:hint="eastAsia" w:ascii="宋体" w:hAnsi="宋体"/>
                <w:sz w:val="18"/>
                <w:szCs w:val="18"/>
              </w:rPr>
              <w:t>信用记录查询情况</w:t>
            </w:r>
            <w:r>
              <w:rPr>
                <w:rFonts w:hint="eastAsia" w:ascii="宋体" w:hAnsi="宋体" w:cs="宋体"/>
                <w:kern w:val="0"/>
                <w:sz w:val="18"/>
                <w:szCs w:val="18"/>
              </w:rPr>
              <w:t>（投标人提供在信用中国网站（www.creditchina.gov.cn）或中国政府采购网（www.ccgp.gov.cn）或湖南信用网（www.hncredit.gov.cn）或湖南省政府采购网（</w:t>
            </w:r>
            <w:r>
              <w:fldChar w:fldCharType="begin"/>
            </w:r>
            <w:r>
              <w:instrText xml:space="preserve"> HYPERLINK "http://www.ccgp-hunan.gov.cn" </w:instrText>
            </w:r>
            <w:r>
              <w:fldChar w:fldCharType="separate"/>
            </w:r>
            <w:r>
              <w:rPr>
                <w:rFonts w:hint="eastAsia" w:ascii="宋体" w:hAnsi="宋体" w:cs="宋体"/>
                <w:kern w:val="0"/>
                <w:sz w:val="18"/>
                <w:szCs w:val="18"/>
              </w:rPr>
              <w:t>www.ccgp-hunan.gov.cn</w:t>
            </w:r>
            <w:r>
              <w:rPr>
                <w:rFonts w:hint="eastAsia" w:ascii="宋体" w:hAnsi="宋体" w:cs="宋体"/>
                <w:kern w:val="0"/>
                <w:sz w:val="18"/>
                <w:szCs w:val="18"/>
              </w:rPr>
              <w:fldChar w:fldCharType="end"/>
            </w:r>
            <w:r>
              <w:rPr>
                <w:rFonts w:hint="eastAsia" w:ascii="宋体" w:hAnsi="宋体" w:cs="宋体"/>
                <w:kern w:val="0"/>
                <w:sz w:val="18"/>
                <w:szCs w:val="18"/>
              </w:rPr>
              <w:t>）上信用记录查询网上截图并加盖单位公章）</w:t>
            </w:r>
          </w:p>
        </w:tc>
      </w:tr>
      <w:tr w14:paraId="1E41E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763" w:type="dxa"/>
            <w:tcBorders>
              <w:top w:val="single" w:color="auto" w:sz="6" w:space="0"/>
              <w:left w:val="single" w:color="auto" w:sz="6" w:space="0"/>
              <w:bottom w:val="single" w:color="auto" w:sz="6" w:space="0"/>
              <w:right w:val="single" w:color="auto" w:sz="6" w:space="0"/>
            </w:tcBorders>
            <w:noWrap/>
            <w:vAlign w:val="center"/>
          </w:tcPr>
          <w:p w14:paraId="604C3781">
            <w:pPr>
              <w:adjustRightInd w:val="0"/>
              <w:snapToGrid w:val="0"/>
              <w:spacing w:line="330" w:lineRule="exact"/>
              <w:jc w:val="center"/>
              <w:rPr>
                <w:rFonts w:ascii="宋体" w:hAnsi="宋体" w:cs="宋体"/>
                <w:sz w:val="20"/>
                <w:szCs w:val="20"/>
              </w:rPr>
            </w:pPr>
            <w:r>
              <w:rPr>
                <w:rFonts w:hint="eastAsia" w:ascii="宋体" w:hAnsi="宋体"/>
                <w:sz w:val="18"/>
                <w:szCs w:val="18"/>
              </w:rPr>
              <w:t>6</w:t>
            </w:r>
          </w:p>
        </w:tc>
        <w:tc>
          <w:tcPr>
            <w:tcW w:w="9919" w:type="dxa"/>
            <w:tcBorders>
              <w:left w:val="single" w:color="auto" w:sz="6" w:space="0"/>
            </w:tcBorders>
            <w:noWrap/>
            <w:vAlign w:val="center"/>
          </w:tcPr>
          <w:p w14:paraId="18FD9383">
            <w:pPr>
              <w:adjustRightInd w:val="0"/>
              <w:snapToGrid w:val="0"/>
              <w:spacing w:line="330" w:lineRule="exact"/>
              <w:rPr>
                <w:rFonts w:ascii="宋体" w:hAnsi="宋体" w:cs="宋体"/>
                <w:sz w:val="20"/>
                <w:szCs w:val="20"/>
              </w:rPr>
            </w:pPr>
            <w:r>
              <w:rPr>
                <w:rFonts w:hint="eastAsia" w:ascii="宋体" w:hAnsi="宋体"/>
                <w:sz w:val="18"/>
                <w:szCs w:val="18"/>
              </w:rPr>
              <w:t>保证金缴纳情况（本项目不缴纳保证金）</w:t>
            </w:r>
          </w:p>
        </w:tc>
      </w:tr>
      <w:tr w14:paraId="0D698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jc w:val="center"/>
        </w:trPr>
        <w:tc>
          <w:tcPr>
            <w:tcW w:w="763" w:type="dxa"/>
            <w:tcBorders>
              <w:top w:val="single" w:color="auto" w:sz="6" w:space="0"/>
              <w:left w:val="single" w:color="auto" w:sz="6" w:space="0"/>
              <w:bottom w:val="single" w:color="auto" w:sz="6" w:space="0"/>
              <w:right w:val="single" w:color="auto" w:sz="6" w:space="0"/>
            </w:tcBorders>
            <w:noWrap/>
            <w:vAlign w:val="center"/>
          </w:tcPr>
          <w:p w14:paraId="1F886170">
            <w:pPr>
              <w:adjustRightInd w:val="0"/>
              <w:snapToGrid w:val="0"/>
              <w:spacing w:line="330" w:lineRule="exact"/>
              <w:jc w:val="center"/>
              <w:rPr>
                <w:rFonts w:ascii="宋体" w:hAnsi="宋体" w:cs="宋体"/>
                <w:sz w:val="20"/>
                <w:szCs w:val="20"/>
              </w:rPr>
            </w:pPr>
            <w:r>
              <w:rPr>
                <w:rFonts w:hint="eastAsia" w:ascii="宋体" w:hAnsi="宋体"/>
                <w:sz w:val="18"/>
                <w:szCs w:val="18"/>
              </w:rPr>
              <w:t>7</w:t>
            </w:r>
          </w:p>
        </w:tc>
        <w:tc>
          <w:tcPr>
            <w:tcW w:w="9919" w:type="dxa"/>
            <w:tcBorders>
              <w:left w:val="single" w:color="auto" w:sz="6" w:space="0"/>
            </w:tcBorders>
            <w:noWrap/>
            <w:vAlign w:val="center"/>
          </w:tcPr>
          <w:p w14:paraId="05F09247">
            <w:pPr>
              <w:adjustRightInd w:val="0"/>
              <w:snapToGrid w:val="0"/>
              <w:spacing w:line="330" w:lineRule="exact"/>
              <w:rPr>
                <w:rFonts w:ascii="宋体" w:hAnsi="宋体" w:cs="宋体"/>
                <w:sz w:val="20"/>
                <w:szCs w:val="20"/>
              </w:rPr>
            </w:pPr>
            <w:r>
              <w:rPr>
                <w:rFonts w:hint="eastAsia" w:ascii="宋体" w:hAnsi="宋体"/>
                <w:sz w:val="18"/>
                <w:szCs w:val="18"/>
              </w:rPr>
              <w:t>具有履行本项目采购合同所必须的设备和专业技术能力证明材料或承诺（具体根据项目采购需求）</w:t>
            </w:r>
          </w:p>
        </w:tc>
      </w:tr>
      <w:tr w14:paraId="2F66E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jc w:val="center"/>
        </w:trPr>
        <w:tc>
          <w:tcPr>
            <w:tcW w:w="763" w:type="dxa"/>
            <w:tcBorders>
              <w:top w:val="single" w:color="auto" w:sz="6" w:space="0"/>
              <w:left w:val="single" w:color="auto" w:sz="6" w:space="0"/>
              <w:bottom w:val="single" w:color="auto" w:sz="6" w:space="0"/>
              <w:right w:val="single" w:color="auto" w:sz="6" w:space="0"/>
            </w:tcBorders>
            <w:noWrap/>
            <w:vAlign w:val="center"/>
          </w:tcPr>
          <w:p w14:paraId="1C1C5720">
            <w:pPr>
              <w:adjustRightInd w:val="0"/>
              <w:snapToGrid w:val="0"/>
              <w:spacing w:line="330" w:lineRule="exact"/>
              <w:jc w:val="center"/>
              <w:rPr>
                <w:rFonts w:ascii="宋体" w:hAnsi="宋体"/>
                <w:sz w:val="18"/>
                <w:szCs w:val="18"/>
              </w:rPr>
            </w:pPr>
            <w:r>
              <w:rPr>
                <w:rFonts w:hint="eastAsia" w:ascii="宋体" w:hAnsi="宋体"/>
                <w:sz w:val="18"/>
                <w:szCs w:val="18"/>
              </w:rPr>
              <w:t>8</w:t>
            </w:r>
          </w:p>
        </w:tc>
        <w:tc>
          <w:tcPr>
            <w:tcW w:w="9919" w:type="dxa"/>
            <w:tcBorders>
              <w:left w:val="single" w:color="auto" w:sz="6" w:space="0"/>
            </w:tcBorders>
            <w:noWrap/>
            <w:vAlign w:val="center"/>
          </w:tcPr>
          <w:p w14:paraId="4C1407C8">
            <w:pPr>
              <w:adjustRightInd w:val="0"/>
              <w:snapToGrid w:val="0"/>
              <w:spacing w:line="330" w:lineRule="exact"/>
              <w:rPr>
                <w:rFonts w:ascii="宋体" w:hAnsi="宋体"/>
                <w:sz w:val="18"/>
                <w:szCs w:val="18"/>
              </w:rPr>
            </w:pPr>
            <w:r>
              <w:rPr>
                <w:rFonts w:hint="eastAsia" w:ascii="宋体" w:hAnsi="宋体"/>
                <w:sz w:val="18"/>
                <w:szCs w:val="18"/>
              </w:rPr>
              <w:t>特定资格条件：</w:t>
            </w:r>
            <w:r>
              <w:rPr>
                <w:rFonts w:hint="eastAsia" w:ascii="宋体" w:hAnsi="宋体" w:cs="宋体"/>
                <w:sz w:val="20"/>
                <w:szCs w:val="20"/>
              </w:rPr>
              <w:t>详见第一章投标邀请第四条投标人特定资格条件</w:t>
            </w:r>
          </w:p>
        </w:tc>
      </w:tr>
      <w:tr w14:paraId="1B302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2" w:type="dxa"/>
            <w:gridSpan w:val="2"/>
            <w:tcBorders>
              <w:top w:val="single" w:color="auto" w:sz="6" w:space="0"/>
            </w:tcBorders>
            <w:noWrap/>
            <w:vAlign w:val="center"/>
          </w:tcPr>
          <w:p w14:paraId="6C3C7242">
            <w:pPr>
              <w:adjustRightInd w:val="0"/>
              <w:snapToGrid w:val="0"/>
              <w:spacing w:line="320" w:lineRule="exact"/>
              <w:rPr>
                <w:rFonts w:ascii="宋体" w:hAnsi="宋体" w:cs="宋体"/>
                <w:sz w:val="20"/>
                <w:szCs w:val="20"/>
              </w:rPr>
            </w:pPr>
            <w:r>
              <w:rPr>
                <w:rFonts w:hint="eastAsia" w:ascii="宋体" w:hAnsi="宋体" w:cs="宋体"/>
                <w:sz w:val="20"/>
                <w:szCs w:val="20"/>
              </w:rPr>
              <w:t>说明：</w:t>
            </w:r>
          </w:p>
          <w:p w14:paraId="338D4016">
            <w:pPr>
              <w:adjustRightInd w:val="0"/>
              <w:snapToGrid w:val="0"/>
              <w:spacing w:line="320" w:lineRule="exact"/>
              <w:rPr>
                <w:rFonts w:ascii="宋体" w:hAnsi="宋体" w:cs="宋体"/>
                <w:sz w:val="20"/>
                <w:szCs w:val="20"/>
              </w:rPr>
            </w:pPr>
            <w:r>
              <w:rPr>
                <w:rFonts w:hint="eastAsia" w:ascii="宋体" w:hAnsi="宋体" w:cs="宋体"/>
                <w:sz w:val="20"/>
                <w:szCs w:val="20"/>
              </w:rPr>
              <w:t>1、投标人具有实行了“三证合一”登记制度改革的新证，视同为持有工商营业执照、组织机构代码证和税务登记证，符合基本资格条件的相关条款。投标人具有实行了“五证合一”登记制度改革的新证，视同为持有工商营业执照、组织机构代码证、社会保险登记证，符合基本资格条件的相关条款。</w:t>
            </w:r>
          </w:p>
          <w:p w14:paraId="4D6A856F">
            <w:pPr>
              <w:adjustRightInd w:val="0"/>
              <w:snapToGrid w:val="0"/>
              <w:spacing w:line="320" w:lineRule="exact"/>
              <w:rPr>
                <w:rFonts w:ascii="宋体" w:hAnsi="宋体" w:cs="宋体"/>
                <w:sz w:val="20"/>
                <w:szCs w:val="20"/>
              </w:rPr>
            </w:pPr>
            <w:r>
              <w:rPr>
                <w:rFonts w:hint="eastAsia" w:ascii="宋体" w:hAnsi="宋体" w:cs="宋体"/>
                <w:sz w:val="20"/>
                <w:szCs w:val="20"/>
              </w:rPr>
              <w:t>2、资格证明文件扫描件须加盖投标人公章。</w:t>
            </w:r>
          </w:p>
          <w:p w14:paraId="54ECA371">
            <w:pPr>
              <w:adjustRightInd w:val="0"/>
              <w:snapToGrid w:val="0"/>
              <w:spacing w:line="320" w:lineRule="exact"/>
              <w:rPr>
                <w:rFonts w:ascii="宋体" w:hAnsi="宋体" w:cs="宋体"/>
                <w:sz w:val="20"/>
                <w:szCs w:val="20"/>
              </w:rPr>
            </w:pPr>
            <w:r>
              <w:rPr>
                <w:rFonts w:hint="eastAsia" w:ascii="宋体" w:hAnsi="宋体" w:cs="宋体"/>
                <w:sz w:val="20"/>
                <w:szCs w:val="20"/>
              </w:rPr>
              <w:t>3、投标人有下列情形之一的，视为无效投标（★）：</w:t>
            </w:r>
          </w:p>
          <w:p w14:paraId="5B99E1CB">
            <w:pPr>
              <w:adjustRightInd w:val="0"/>
              <w:snapToGrid w:val="0"/>
              <w:spacing w:line="320" w:lineRule="exact"/>
              <w:ind w:firstLine="400" w:firstLineChars="200"/>
              <w:rPr>
                <w:rFonts w:ascii="宋体" w:hAnsi="宋体" w:cs="宋体"/>
                <w:sz w:val="20"/>
                <w:szCs w:val="20"/>
              </w:rPr>
            </w:pPr>
            <w:r>
              <w:rPr>
                <w:rFonts w:hint="eastAsia" w:ascii="宋体" w:hAnsi="宋体" w:cs="宋体"/>
                <w:sz w:val="20"/>
                <w:szCs w:val="20"/>
              </w:rPr>
              <w:t>（1）有一项资格证明文件未提交的；</w:t>
            </w:r>
          </w:p>
          <w:p w14:paraId="6589C12E">
            <w:pPr>
              <w:adjustRightInd w:val="0"/>
              <w:snapToGrid w:val="0"/>
              <w:spacing w:line="320" w:lineRule="exact"/>
              <w:ind w:firstLine="400" w:firstLineChars="200"/>
              <w:rPr>
                <w:rFonts w:ascii="宋体" w:hAnsi="宋体" w:cs="宋体"/>
                <w:sz w:val="20"/>
                <w:szCs w:val="20"/>
              </w:rPr>
            </w:pPr>
            <w:r>
              <w:rPr>
                <w:rFonts w:hint="eastAsia" w:ascii="宋体" w:hAnsi="宋体" w:cs="宋体"/>
                <w:sz w:val="20"/>
                <w:szCs w:val="20"/>
              </w:rPr>
              <w:t>（2）提供不符合要求或虚假资格证明文件的；</w:t>
            </w:r>
          </w:p>
          <w:p w14:paraId="193E0C4E">
            <w:pPr>
              <w:tabs>
                <w:tab w:val="left" w:pos="9799"/>
              </w:tabs>
              <w:adjustRightInd w:val="0"/>
              <w:snapToGrid w:val="0"/>
              <w:spacing w:line="320" w:lineRule="exact"/>
              <w:ind w:firstLine="400" w:firstLineChars="200"/>
              <w:rPr>
                <w:rFonts w:ascii="宋体" w:hAnsi="宋体" w:cs="宋体"/>
                <w:sz w:val="20"/>
                <w:szCs w:val="20"/>
              </w:rPr>
            </w:pPr>
            <w:r>
              <w:rPr>
                <w:rFonts w:hint="eastAsia" w:ascii="宋体" w:hAnsi="宋体" w:cs="宋体"/>
                <w:sz w:val="20"/>
                <w:szCs w:val="20"/>
              </w:rPr>
              <w:t>（3）资格证明文件过了有效期的；</w:t>
            </w:r>
            <w:r>
              <w:rPr>
                <w:rFonts w:hint="eastAsia" w:ascii="宋体" w:hAnsi="宋体" w:cs="宋体"/>
                <w:sz w:val="20"/>
                <w:szCs w:val="20"/>
              </w:rPr>
              <w:tab/>
            </w:r>
            <w:r>
              <w:rPr>
                <w:rFonts w:hint="eastAsia" w:ascii="宋体" w:hAnsi="宋体" w:cs="宋体"/>
                <w:sz w:val="20"/>
                <w:szCs w:val="20"/>
              </w:rPr>
              <w:tab/>
            </w:r>
          </w:p>
          <w:p w14:paraId="44A0F8F5">
            <w:pPr>
              <w:adjustRightInd w:val="0"/>
              <w:snapToGrid w:val="0"/>
              <w:spacing w:line="320" w:lineRule="exact"/>
              <w:ind w:firstLine="400" w:firstLineChars="200"/>
              <w:rPr>
                <w:rFonts w:ascii="宋体" w:hAnsi="宋体" w:cs="宋体"/>
                <w:sz w:val="20"/>
                <w:szCs w:val="20"/>
              </w:rPr>
            </w:pPr>
            <w:r>
              <w:rPr>
                <w:rFonts w:hint="eastAsia" w:ascii="宋体" w:hAnsi="宋体" w:cs="宋体"/>
                <w:sz w:val="20"/>
                <w:szCs w:val="20"/>
              </w:rPr>
              <w:t>（4）资格证明文件扫描件未加盖投标人公章的。</w:t>
            </w:r>
          </w:p>
          <w:p w14:paraId="42868573">
            <w:pPr>
              <w:adjustRightInd w:val="0"/>
              <w:snapToGrid w:val="0"/>
              <w:spacing w:line="320" w:lineRule="exact"/>
              <w:rPr>
                <w:rFonts w:ascii="宋体" w:hAnsi="宋体" w:cs="宋体"/>
                <w:sz w:val="20"/>
                <w:szCs w:val="20"/>
              </w:rPr>
            </w:pPr>
            <w:r>
              <w:rPr>
                <w:rFonts w:hint="eastAsia" w:ascii="宋体" w:hAnsi="宋体" w:cs="宋体"/>
                <w:sz w:val="20"/>
                <w:szCs w:val="20"/>
              </w:rPr>
              <w:t xml:space="preserve">4、被“信用中国”网站列入失信被执行人和重大税收违法案件当事人名单的、被“中国政府采购网”网站列入政府采购严重违法失信行为记录名单（处罚期限尚未届满的），不得参与本项目的政府采购活动。 </w:t>
            </w:r>
          </w:p>
          <w:p w14:paraId="4E5F952C">
            <w:pPr>
              <w:adjustRightInd w:val="0"/>
              <w:snapToGrid w:val="0"/>
              <w:spacing w:line="320" w:lineRule="exact"/>
              <w:rPr>
                <w:rFonts w:ascii="宋体" w:hAnsi="宋体" w:cs="宋体"/>
                <w:sz w:val="20"/>
                <w:szCs w:val="20"/>
              </w:rPr>
            </w:pPr>
            <w:r>
              <w:rPr>
                <w:rFonts w:hint="eastAsia" w:ascii="宋体" w:hAnsi="宋体" w:cs="宋体"/>
                <w:sz w:val="20"/>
                <w:szCs w:val="20"/>
              </w:rPr>
              <w:t>5.特定资格条件：详见第一章投标邀请第四条投标人特定资格条件。</w:t>
            </w:r>
          </w:p>
          <w:p w14:paraId="0D2F8463">
            <w:pPr>
              <w:adjustRightInd w:val="0"/>
              <w:snapToGrid w:val="0"/>
              <w:spacing w:line="320" w:lineRule="exact"/>
              <w:rPr>
                <w:rFonts w:hint="default" w:ascii="宋体" w:hAnsi="宋体" w:eastAsia="宋体" w:cs="宋体"/>
                <w:sz w:val="20"/>
                <w:szCs w:val="20"/>
                <w:lang w:val="en-US" w:eastAsia="zh-CN"/>
              </w:rPr>
            </w:pPr>
            <w:r>
              <w:rPr>
                <w:rFonts w:hint="eastAsia" w:ascii="宋体" w:hAnsi="宋体" w:cs="宋体"/>
                <w:sz w:val="18"/>
                <w:szCs w:val="18"/>
              </w:rPr>
              <w:t>6.近三个月是指：</w:t>
            </w:r>
            <w:r>
              <w:rPr>
                <w:rFonts w:hint="eastAsia" w:ascii="宋体" w:hAnsi="宋体" w:cs="宋体"/>
                <w:sz w:val="18"/>
                <w:szCs w:val="18"/>
                <w:lang w:val="en-US" w:eastAsia="zh-CN"/>
              </w:rPr>
              <w:t>投标截止时间前近三个月。</w:t>
            </w:r>
          </w:p>
          <w:p w14:paraId="2243099C">
            <w:pPr>
              <w:adjustRightInd w:val="0"/>
              <w:snapToGrid w:val="0"/>
              <w:spacing w:line="320" w:lineRule="exact"/>
              <w:rPr>
                <w:rFonts w:ascii="宋体" w:hAnsi="宋体" w:cs="宋体"/>
                <w:sz w:val="20"/>
                <w:szCs w:val="20"/>
              </w:rPr>
            </w:pPr>
            <w:r>
              <w:rPr>
                <w:rFonts w:hint="eastAsia" w:ascii="宋体" w:hAnsi="宋体" w:cs="宋体"/>
                <w:sz w:val="20"/>
                <w:szCs w:val="20"/>
              </w:rPr>
              <w:t>7.单位负责人为同一人或者存在直接控股、管理关系的不同投标人，不得参加同一合同项下的政府采购活动。</w:t>
            </w:r>
          </w:p>
          <w:p w14:paraId="0A2CB303">
            <w:pPr>
              <w:adjustRightInd w:val="0"/>
              <w:snapToGrid w:val="0"/>
              <w:spacing w:line="320" w:lineRule="exact"/>
              <w:rPr>
                <w:rFonts w:ascii="宋体" w:hAnsi="宋体" w:cs="宋体"/>
                <w:sz w:val="20"/>
                <w:szCs w:val="20"/>
              </w:rPr>
            </w:pPr>
            <w:r>
              <w:rPr>
                <w:rFonts w:hint="eastAsia" w:ascii="宋体" w:hAnsi="宋体" w:cs="宋体"/>
                <w:sz w:val="20"/>
                <w:szCs w:val="20"/>
              </w:rPr>
              <w:t>8.为本采购项目提供整体设计、规范编制或者项目管理、监理、检测等服务的，不得再参加此项目的其他招标采购活动。</w:t>
            </w:r>
          </w:p>
        </w:tc>
      </w:tr>
    </w:tbl>
    <w:p w14:paraId="7CDB9B84">
      <w:pPr>
        <w:adjustRightInd w:val="0"/>
        <w:snapToGrid w:val="0"/>
        <w:spacing w:line="360" w:lineRule="auto"/>
        <w:jc w:val="center"/>
        <w:outlineLvl w:val="0"/>
        <w:rPr>
          <w:rFonts w:ascii="宋体" w:hAnsi="宋体" w:cs="宋体"/>
          <w:b/>
          <w:sz w:val="30"/>
          <w:szCs w:val="30"/>
        </w:rPr>
      </w:pPr>
      <w:r>
        <w:rPr>
          <w:rFonts w:ascii="宋体" w:hAnsi="宋体" w:cs="宋体"/>
          <w:b/>
          <w:sz w:val="30"/>
          <w:szCs w:val="30"/>
        </w:rPr>
        <w:br w:type="page"/>
      </w:r>
      <w:r>
        <w:rPr>
          <w:rFonts w:hint="eastAsia" w:ascii="宋体" w:hAnsi="宋体" w:cs="宋体"/>
          <w:b/>
          <w:sz w:val="30"/>
          <w:szCs w:val="30"/>
        </w:rPr>
        <w:t>二、符合性审查</w:t>
      </w:r>
      <w:bookmarkEnd w:id="4"/>
      <w:bookmarkEnd w:id="5"/>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66"/>
        <w:gridCol w:w="9016"/>
      </w:tblGrid>
      <w:tr w14:paraId="57FB50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666" w:type="dxa"/>
            <w:tcBorders>
              <w:top w:val="single" w:color="auto" w:sz="6" w:space="0"/>
              <w:left w:val="single" w:color="auto" w:sz="6" w:space="0"/>
              <w:bottom w:val="single" w:color="auto" w:sz="6" w:space="0"/>
            </w:tcBorders>
            <w:noWrap/>
            <w:vAlign w:val="center"/>
          </w:tcPr>
          <w:p w14:paraId="75FD85C3">
            <w:pPr>
              <w:adjustRightInd w:val="0"/>
              <w:snapToGrid w:val="0"/>
              <w:spacing w:beforeLines="50" w:line="360" w:lineRule="auto"/>
              <w:jc w:val="center"/>
              <w:rPr>
                <w:rFonts w:ascii="宋体" w:hAnsi="宋体" w:cs="宋体"/>
                <w:sz w:val="20"/>
                <w:szCs w:val="20"/>
              </w:rPr>
            </w:pPr>
            <w:r>
              <w:rPr>
                <w:rFonts w:hint="eastAsia" w:ascii="宋体" w:hAnsi="宋体" w:cs="宋体"/>
                <w:sz w:val="20"/>
                <w:szCs w:val="20"/>
              </w:rPr>
              <w:t>序号</w:t>
            </w:r>
          </w:p>
        </w:tc>
        <w:tc>
          <w:tcPr>
            <w:tcW w:w="9016" w:type="dxa"/>
            <w:tcBorders>
              <w:top w:val="single" w:color="auto" w:sz="6" w:space="0"/>
              <w:bottom w:val="single" w:color="auto" w:sz="6" w:space="0"/>
              <w:right w:val="single" w:color="auto" w:sz="6" w:space="0"/>
            </w:tcBorders>
            <w:noWrap/>
            <w:vAlign w:val="center"/>
          </w:tcPr>
          <w:p w14:paraId="0A34A598">
            <w:pPr>
              <w:adjustRightInd w:val="0"/>
              <w:snapToGrid w:val="0"/>
              <w:spacing w:line="360" w:lineRule="auto"/>
              <w:jc w:val="center"/>
              <w:rPr>
                <w:rFonts w:ascii="宋体" w:hAnsi="宋体" w:cs="宋体"/>
                <w:sz w:val="20"/>
                <w:szCs w:val="20"/>
              </w:rPr>
            </w:pPr>
            <w:r>
              <w:rPr>
                <w:rFonts w:hint="eastAsia" w:ascii="宋体" w:hAnsi="宋体" w:cs="宋体"/>
                <w:sz w:val="20"/>
                <w:szCs w:val="20"/>
              </w:rPr>
              <w:t>审查情况</w:t>
            </w:r>
          </w:p>
        </w:tc>
      </w:tr>
      <w:tr w14:paraId="4F0FF6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666" w:type="dxa"/>
            <w:tcBorders>
              <w:top w:val="single" w:color="auto" w:sz="6" w:space="0"/>
              <w:left w:val="single" w:color="auto" w:sz="6" w:space="0"/>
              <w:bottom w:val="single" w:color="auto" w:sz="6" w:space="0"/>
            </w:tcBorders>
            <w:noWrap/>
            <w:vAlign w:val="center"/>
          </w:tcPr>
          <w:p w14:paraId="22D16493">
            <w:pPr>
              <w:adjustRightInd w:val="0"/>
              <w:snapToGrid w:val="0"/>
              <w:spacing w:beforeLines="50" w:line="360" w:lineRule="auto"/>
              <w:jc w:val="center"/>
              <w:rPr>
                <w:rFonts w:ascii="宋体" w:hAnsi="宋体" w:cs="宋体"/>
                <w:sz w:val="20"/>
                <w:szCs w:val="20"/>
              </w:rPr>
            </w:pPr>
            <w:r>
              <w:rPr>
                <w:rFonts w:hint="eastAsia" w:ascii="宋体" w:hAnsi="宋体" w:cs="宋体"/>
                <w:sz w:val="20"/>
                <w:szCs w:val="20"/>
              </w:rPr>
              <w:t>1</w:t>
            </w:r>
          </w:p>
        </w:tc>
        <w:tc>
          <w:tcPr>
            <w:tcW w:w="9016" w:type="dxa"/>
            <w:tcBorders>
              <w:top w:val="single" w:color="auto" w:sz="6" w:space="0"/>
              <w:bottom w:val="single" w:color="auto" w:sz="6" w:space="0"/>
              <w:right w:val="single" w:color="auto" w:sz="6" w:space="0"/>
            </w:tcBorders>
            <w:noWrap/>
            <w:vAlign w:val="center"/>
          </w:tcPr>
          <w:p w14:paraId="2B5F528B">
            <w:pPr>
              <w:adjustRightInd w:val="0"/>
              <w:snapToGrid w:val="0"/>
              <w:spacing w:line="360" w:lineRule="auto"/>
              <w:rPr>
                <w:rFonts w:ascii="宋体" w:hAnsi="宋体" w:cs="宋体"/>
                <w:sz w:val="20"/>
                <w:szCs w:val="20"/>
              </w:rPr>
            </w:pPr>
            <w:r>
              <w:rPr>
                <w:rFonts w:hint="eastAsia" w:ascii="宋体" w:hAnsi="宋体" w:cs="宋体"/>
                <w:b/>
                <w:sz w:val="22"/>
                <w:szCs w:val="22"/>
              </w:rPr>
              <w:t>评标委员会应当对符合资格条件的投标人的投标文件进行符合性审查，以确定其是否满足招标文件商务、技术等实质性要求</w:t>
            </w:r>
            <w:r>
              <w:rPr>
                <w:rFonts w:hint="eastAsia" w:ascii="宋体" w:hAnsi="宋体" w:cs="宋体"/>
                <w:sz w:val="22"/>
                <w:szCs w:val="22"/>
              </w:rPr>
              <w:t>。</w:t>
            </w:r>
          </w:p>
        </w:tc>
      </w:tr>
      <w:tr w14:paraId="5EB15E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666" w:type="dxa"/>
            <w:tcBorders>
              <w:top w:val="single" w:color="auto" w:sz="6" w:space="0"/>
              <w:left w:val="single" w:color="auto" w:sz="6" w:space="0"/>
              <w:bottom w:val="single" w:color="auto" w:sz="6" w:space="0"/>
            </w:tcBorders>
            <w:noWrap/>
            <w:vAlign w:val="center"/>
          </w:tcPr>
          <w:p w14:paraId="068E17C4">
            <w:pPr>
              <w:adjustRightInd w:val="0"/>
              <w:snapToGrid w:val="0"/>
              <w:spacing w:beforeLines="50" w:line="360" w:lineRule="auto"/>
              <w:jc w:val="center"/>
              <w:rPr>
                <w:rFonts w:ascii="宋体" w:hAnsi="宋体" w:cs="宋体"/>
                <w:sz w:val="20"/>
                <w:szCs w:val="20"/>
              </w:rPr>
            </w:pPr>
            <w:r>
              <w:rPr>
                <w:rFonts w:hint="eastAsia" w:ascii="宋体" w:hAnsi="宋体" w:cs="宋体"/>
                <w:sz w:val="20"/>
                <w:szCs w:val="20"/>
              </w:rPr>
              <w:t>（1）</w:t>
            </w:r>
          </w:p>
        </w:tc>
        <w:tc>
          <w:tcPr>
            <w:tcW w:w="9016" w:type="dxa"/>
            <w:tcBorders>
              <w:top w:val="single" w:color="auto" w:sz="6" w:space="0"/>
              <w:bottom w:val="single" w:color="auto" w:sz="6" w:space="0"/>
              <w:right w:val="single" w:color="auto" w:sz="6" w:space="0"/>
            </w:tcBorders>
            <w:noWrap/>
            <w:vAlign w:val="center"/>
          </w:tcPr>
          <w:p w14:paraId="4ED76012">
            <w:pPr>
              <w:adjustRightInd w:val="0"/>
              <w:snapToGrid w:val="0"/>
              <w:spacing w:line="360" w:lineRule="auto"/>
              <w:rPr>
                <w:rFonts w:ascii="宋体" w:hAnsi="宋体" w:cs="宋体"/>
                <w:sz w:val="20"/>
                <w:szCs w:val="20"/>
              </w:rPr>
            </w:pPr>
            <w:r>
              <w:rPr>
                <w:rFonts w:hint="eastAsia" w:ascii="宋体" w:hAnsi="宋体" w:cs="宋体"/>
                <w:sz w:val="20"/>
                <w:szCs w:val="20"/>
              </w:rPr>
              <w:t>依据招标文件的规定，从投标文件的有效性、完整性和对招标文件的响应程度进行审查，以确定是否对招标文件的实质性要求作出响应。评标委员会决定投标文件的响应性只根据投标文件真实无误的内容，而不依据外部的证据，但投标文件有不真实、不正确的内容时除外。</w:t>
            </w:r>
          </w:p>
        </w:tc>
      </w:tr>
      <w:tr w14:paraId="1D10EE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666" w:type="dxa"/>
            <w:tcBorders>
              <w:top w:val="single" w:color="auto" w:sz="6" w:space="0"/>
              <w:left w:val="single" w:color="auto" w:sz="6" w:space="0"/>
              <w:bottom w:val="single" w:color="auto" w:sz="6" w:space="0"/>
            </w:tcBorders>
            <w:noWrap/>
            <w:vAlign w:val="center"/>
          </w:tcPr>
          <w:p w14:paraId="0F9AA858">
            <w:pPr>
              <w:adjustRightInd w:val="0"/>
              <w:snapToGrid w:val="0"/>
              <w:spacing w:beforeLines="50" w:line="360" w:lineRule="auto"/>
              <w:jc w:val="center"/>
              <w:rPr>
                <w:rFonts w:ascii="宋体" w:hAnsi="宋体" w:cs="宋体"/>
                <w:sz w:val="20"/>
                <w:szCs w:val="20"/>
              </w:rPr>
            </w:pPr>
            <w:r>
              <w:rPr>
                <w:rFonts w:hint="eastAsia" w:ascii="宋体" w:hAnsi="宋体" w:cs="宋体"/>
                <w:sz w:val="20"/>
                <w:szCs w:val="20"/>
              </w:rPr>
              <w:t>（2）</w:t>
            </w:r>
          </w:p>
        </w:tc>
        <w:tc>
          <w:tcPr>
            <w:tcW w:w="9016" w:type="dxa"/>
            <w:tcBorders>
              <w:top w:val="single" w:color="auto" w:sz="6" w:space="0"/>
              <w:bottom w:val="single" w:color="auto" w:sz="6" w:space="0"/>
              <w:right w:val="single" w:color="auto" w:sz="6" w:space="0"/>
            </w:tcBorders>
            <w:noWrap/>
            <w:vAlign w:val="center"/>
          </w:tcPr>
          <w:p w14:paraId="50883362">
            <w:pPr>
              <w:adjustRightInd w:val="0"/>
              <w:snapToGrid w:val="0"/>
              <w:spacing w:line="360" w:lineRule="auto"/>
              <w:rPr>
                <w:rFonts w:ascii="宋体" w:hAnsi="宋体" w:cs="宋体"/>
                <w:sz w:val="20"/>
                <w:szCs w:val="20"/>
              </w:rPr>
            </w:pPr>
            <w:r>
              <w:rPr>
                <w:rFonts w:hint="eastAsia" w:ascii="宋体" w:hAnsi="宋体" w:cs="宋体"/>
                <w:sz w:val="20"/>
                <w:szCs w:val="20"/>
              </w:rPr>
              <w:t>投标人不得通过修正或撤销不合要求的偏离从而使其投标成为实质上响应的投标。</w:t>
            </w:r>
          </w:p>
        </w:tc>
      </w:tr>
      <w:tr w14:paraId="6842D1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666" w:type="dxa"/>
            <w:tcBorders>
              <w:top w:val="single" w:color="auto" w:sz="6" w:space="0"/>
              <w:left w:val="single" w:color="auto" w:sz="6" w:space="0"/>
              <w:bottom w:val="single" w:color="auto" w:sz="6" w:space="0"/>
            </w:tcBorders>
            <w:noWrap/>
            <w:vAlign w:val="center"/>
          </w:tcPr>
          <w:p w14:paraId="3E6E0D7B">
            <w:pPr>
              <w:adjustRightInd w:val="0"/>
              <w:snapToGrid w:val="0"/>
              <w:spacing w:beforeLines="50" w:line="360" w:lineRule="auto"/>
              <w:jc w:val="center"/>
              <w:rPr>
                <w:rFonts w:ascii="宋体" w:hAnsi="宋体" w:cs="宋体"/>
                <w:sz w:val="20"/>
                <w:szCs w:val="20"/>
              </w:rPr>
            </w:pPr>
            <w:r>
              <w:rPr>
                <w:rFonts w:hint="eastAsia" w:ascii="宋体" w:hAnsi="宋体" w:cs="宋体"/>
                <w:sz w:val="20"/>
                <w:szCs w:val="20"/>
              </w:rPr>
              <w:t>2</w:t>
            </w:r>
          </w:p>
        </w:tc>
        <w:tc>
          <w:tcPr>
            <w:tcW w:w="9016" w:type="dxa"/>
            <w:tcBorders>
              <w:top w:val="single" w:color="auto" w:sz="6" w:space="0"/>
              <w:bottom w:val="single" w:color="auto" w:sz="6" w:space="0"/>
              <w:right w:val="single" w:color="auto" w:sz="6" w:space="0"/>
            </w:tcBorders>
            <w:noWrap/>
            <w:vAlign w:val="center"/>
          </w:tcPr>
          <w:p w14:paraId="39E27373">
            <w:pPr>
              <w:adjustRightInd w:val="0"/>
              <w:snapToGrid w:val="0"/>
              <w:spacing w:line="360" w:lineRule="auto"/>
              <w:ind w:firstLine="33" w:firstLineChars="15"/>
              <w:rPr>
                <w:rFonts w:ascii="宋体" w:hAnsi="宋体" w:cs="宋体"/>
                <w:b/>
                <w:sz w:val="22"/>
                <w:szCs w:val="22"/>
              </w:rPr>
            </w:pPr>
            <w:r>
              <w:rPr>
                <w:rFonts w:hint="eastAsia" w:ascii="宋体" w:hAnsi="宋体" w:cs="宋体"/>
                <w:b/>
                <w:sz w:val="22"/>
                <w:szCs w:val="22"/>
              </w:rPr>
              <w:t>投标文件属下列情况之一的，投标无效：</w:t>
            </w:r>
          </w:p>
        </w:tc>
      </w:tr>
      <w:tr w14:paraId="089DD7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666" w:type="dxa"/>
            <w:tcBorders>
              <w:top w:val="single" w:color="auto" w:sz="6" w:space="0"/>
              <w:left w:val="single" w:color="auto" w:sz="6" w:space="0"/>
              <w:bottom w:val="single" w:color="auto" w:sz="6" w:space="0"/>
            </w:tcBorders>
            <w:noWrap/>
            <w:vAlign w:val="center"/>
          </w:tcPr>
          <w:p w14:paraId="38F18C32">
            <w:pPr>
              <w:adjustRightInd w:val="0"/>
              <w:snapToGrid w:val="0"/>
              <w:spacing w:beforeLines="50" w:line="360" w:lineRule="auto"/>
              <w:jc w:val="center"/>
              <w:rPr>
                <w:rFonts w:ascii="宋体" w:hAnsi="宋体" w:cs="宋体"/>
                <w:sz w:val="20"/>
                <w:szCs w:val="20"/>
              </w:rPr>
            </w:pPr>
            <w:r>
              <w:rPr>
                <w:rFonts w:hint="eastAsia" w:ascii="宋体" w:hAnsi="宋体" w:cs="宋体"/>
                <w:sz w:val="20"/>
                <w:szCs w:val="20"/>
              </w:rPr>
              <w:t>（1）</w:t>
            </w:r>
          </w:p>
        </w:tc>
        <w:tc>
          <w:tcPr>
            <w:tcW w:w="9016" w:type="dxa"/>
            <w:tcBorders>
              <w:top w:val="single" w:color="auto" w:sz="6" w:space="0"/>
              <w:bottom w:val="single" w:color="auto" w:sz="6" w:space="0"/>
              <w:right w:val="single" w:color="auto" w:sz="6" w:space="0"/>
            </w:tcBorders>
            <w:noWrap/>
            <w:vAlign w:val="center"/>
          </w:tcPr>
          <w:p w14:paraId="7852C7EA">
            <w:pPr>
              <w:adjustRightInd w:val="0"/>
              <w:snapToGrid w:val="0"/>
              <w:spacing w:line="360" w:lineRule="auto"/>
              <w:rPr>
                <w:rFonts w:ascii="宋体" w:hAnsi="宋体" w:cs="宋体"/>
                <w:sz w:val="20"/>
                <w:szCs w:val="20"/>
              </w:rPr>
            </w:pPr>
            <w:r>
              <w:rPr>
                <w:rFonts w:hint="eastAsia" w:ascii="宋体" w:hAnsi="宋体" w:cs="宋体"/>
                <w:sz w:val="20"/>
                <w:szCs w:val="20"/>
              </w:rPr>
              <w:t>投标文件中商务技术文件未按照招标文件规定要求签署、盖章的</w:t>
            </w:r>
          </w:p>
        </w:tc>
      </w:tr>
      <w:tr w14:paraId="2F07D1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666" w:type="dxa"/>
            <w:tcBorders>
              <w:top w:val="single" w:color="auto" w:sz="6" w:space="0"/>
              <w:left w:val="single" w:color="auto" w:sz="6" w:space="0"/>
              <w:bottom w:val="single" w:color="auto" w:sz="6" w:space="0"/>
            </w:tcBorders>
            <w:noWrap/>
            <w:vAlign w:val="center"/>
          </w:tcPr>
          <w:p w14:paraId="3089C239">
            <w:pPr>
              <w:adjustRightInd w:val="0"/>
              <w:snapToGrid w:val="0"/>
              <w:spacing w:beforeLines="50" w:line="360" w:lineRule="auto"/>
              <w:jc w:val="center"/>
              <w:rPr>
                <w:rFonts w:ascii="宋体" w:hAnsi="宋体" w:cs="宋体"/>
                <w:sz w:val="20"/>
                <w:szCs w:val="20"/>
              </w:rPr>
            </w:pPr>
            <w:r>
              <w:rPr>
                <w:rFonts w:hint="eastAsia" w:ascii="宋体" w:hAnsi="宋体" w:cs="宋体"/>
                <w:sz w:val="20"/>
                <w:szCs w:val="20"/>
              </w:rPr>
              <w:t>（2）</w:t>
            </w:r>
          </w:p>
        </w:tc>
        <w:tc>
          <w:tcPr>
            <w:tcW w:w="9016" w:type="dxa"/>
            <w:tcBorders>
              <w:top w:val="single" w:color="auto" w:sz="6" w:space="0"/>
              <w:bottom w:val="single" w:color="auto" w:sz="6" w:space="0"/>
              <w:right w:val="single" w:color="auto" w:sz="6" w:space="0"/>
            </w:tcBorders>
            <w:noWrap/>
            <w:vAlign w:val="center"/>
          </w:tcPr>
          <w:p w14:paraId="06047FA6">
            <w:pPr>
              <w:adjustRightInd w:val="0"/>
              <w:snapToGrid w:val="0"/>
              <w:spacing w:line="360" w:lineRule="auto"/>
              <w:rPr>
                <w:rFonts w:ascii="宋体" w:hAnsi="宋体" w:cs="宋体"/>
                <w:sz w:val="20"/>
                <w:szCs w:val="20"/>
              </w:rPr>
            </w:pPr>
            <w:r>
              <w:rPr>
                <w:rFonts w:hint="eastAsia" w:ascii="宋体" w:hAnsi="宋体" w:cs="宋体"/>
                <w:sz w:val="20"/>
                <w:szCs w:val="20"/>
              </w:rPr>
              <w:t>投标文件没有对招标文件的实质性要求和条件作出响应，或者对招标文件的偏差超出招标文件规定的偏差范围或最高项数；</w:t>
            </w:r>
          </w:p>
        </w:tc>
      </w:tr>
      <w:tr w14:paraId="268423E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666" w:type="dxa"/>
            <w:tcBorders>
              <w:top w:val="single" w:color="auto" w:sz="6" w:space="0"/>
              <w:left w:val="single" w:color="auto" w:sz="6" w:space="0"/>
              <w:bottom w:val="single" w:color="auto" w:sz="6" w:space="0"/>
            </w:tcBorders>
            <w:noWrap/>
            <w:vAlign w:val="center"/>
          </w:tcPr>
          <w:p w14:paraId="643411D3">
            <w:pPr>
              <w:adjustRightInd w:val="0"/>
              <w:snapToGrid w:val="0"/>
              <w:spacing w:beforeLines="50" w:line="360" w:lineRule="auto"/>
              <w:jc w:val="center"/>
              <w:rPr>
                <w:rFonts w:ascii="宋体" w:hAnsi="宋体" w:cs="宋体"/>
                <w:sz w:val="20"/>
                <w:szCs w:val="20"/>
              </w:rPr>
            </w:pPr>
            <w:r>
              <w:rPr>
                <w:rFonts w:hint="eastAsia" w:ascii="宋体" w:hAnsi="宋体" w:cs="宋体"/>
                <w:sz w:val="20"/>
                <w:szCs w:val="20"/>
              </w:rPr>
              <w:t>（3）</w:t>
            </w:r>
          </w:p>
        </w:tc>
        <w:tc>
          <w:tcPr>
            <w:tcW w:w="9016" w:type="dxa"/>
            <w:tcBorders>
              <w:top w:val="single" w:color="auto" w:sz="6" w:space="0"/>
              <w:bottom w:val="single" w:color="auto" w:sz="6" w:space="0"/>
              <w:right w:val="single" w:color="auto" w:sz="6" w:space="0"/>
            </w:tcBorders>
            <w:noWrap/>
            <w:vAlign w:val="center"/>
          </w:tcPr>
          <w:p w14:paraId="3FE9D6FD">
            <w:pPr>
              <w:adjustRightInd w:val="0"/>
              <w:snapToGrid w:val="0"/>
              <w:spacing w:line="360" w:lineRule="auto"/>
              <w:rPr>
                <w:rFonts w:ascii="宋体" w:hAnsi="宋体" w:cs="宋体"/>
                <w:sz w:val="20"/>
                <w:szCs w:val="20"/>
              </w:rPr>
            </w:pPr>
            <w:r>
              <w:rPr>
                <w:rFonts w:hint="eastAsia" w:ascii="宋体" w:hAnsi="宋体" w:cs="宋体"/>
                <w:sz w:val="20"/>
                <w:szCs w:val="20"/>
              </w:rPr>
              <w:t>报价超过招标文件中规定的预算金额或者最高限价的；</w:t>
            </w:r>
          </w:p>
        </w:tc>
      </w:tr>
      <w:tr w14:paraId="519741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666" w:type="dxa"/>
            <w:tcBorders>
              <w:top w:val="single" w:color="auto" w:sz="6" w:space="0"/>
              <w:left w:val="single" w:color="auto" w:sz="6" w:space="0"/>
              <w:bottom w:val="single" w:color="auto" w:sz="6" w:space="0"/>
            </w:tcBorders>
            <w:noWrap/>
            <w:vAlign w:val="center"/>
          </w:tcPr>
          <w:p w14:paraId="55ABAF30">
            <w:pPr>
              <w:adjustRightInd w:val="0"/>
              <w:snapToGrid w:val="0"/>
              <w:spacing w:beforeLines="50" w:line="360" w:lineRule="auto"/>
              <w:jc w:val="center"/>
              <w:rPr>
                <w:rFonts w:ascii="宋体" w:hAnsi="宋体" w:cs="宋体"/>
                <w:sz w:val="20"/>
                <w:szCs w:val="20"/>
              </w:rPr>
            </w:pPr>
            <w:r>
              <w:rPr>
                <w:rFonts w:hint="eastAsia" w:ascii="宋体" w:hAnsi="宋体" w:cs="宋体"/>
                <w:sz w:val="20"/>
                <w:szCs w:val="20"/>
              </w:rPr>
              <w:t>（4）</w:t>
            </w:r>
          </w:p>
        </w:tc>
        <w:tc>
          <w:tcPr>
            <w:tcW w:w="9016" w:type="dxa"/>
            <w:tcBorders>
              <w:top w:val="single" w:color="auto" w:sz="6" w:space="0"/>
              <w:bottom w:val="single" w:color="auto" w:sz="6" w:space="0"/>
              <w:right w:val="single" w:color="auto" w:sz="6" w:space="0"/>
            </w:tcBorders>
            <w:noWrap/>
            <w:vAlign w:val="center"/>
          </w:tcPr>
          <w:p w14:paraId="23E28E8A">
            <w:pPr>
              <w:adjustRightInd w:val="0"/>
              <w:snapToGrid w:val="0"/>
              <w:spacing w:line="360" w:lineRule="auto"/>
              <w:rPr>
                <w:rFonts w:ascii="宋体" w:hAnsi="宋体" w:cs="宋体"/>
                <w:sz w:val="20"/>
                <w:szCs w:val="20"/>
              </w:rPr>
            </w:pPr>
            <w:r>
              <w:rPr>
                <w:rFonts w:hint="eastAsia" w:ascii="宋体" w:hAnsi="宋体" w:cs="宋体"/>
                <w:sz w:val="20"/>
                <w:szCs w:val="20"/>
              </w:rPr>
              <w:t>投标有效期不足的；</w:t>
            </w:r>
          </w:p>
        </w:tc>
      </w:tr>
      <w:tr w14:paraId="3DCFC2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666" w:type="dxa"/>
            <w:tcBorders>
              <w:top w:val="single" w:color="auto" w:sz="6" w:space="0"/>
              <w:left w:val="single" w:color="auto" w:sz="6" w:space="0"/>
              <w:bottom w:val="single" w:color="auto" w:sz="6" w:space="0"/>
            </w:tcBorders>
            <w:noWrap/>
            <w:vAlign w:val="center"/>
          </w:tcPr>
          <w:p w14:paraId="13258989">
            <w:pPr>
              <w:adjustRightInd w:val="0"/>
              <w:snapToGrid w:val="0"/>
              <w:spacing w:beforeLines="50" w:line="360" w:lineRule="auto"/>
              <w:jc w:val="center"/>
              <w:rPr>
                <w:rFonts w:ascii="宋体" w:hAnsi="宋体" w:cs="宋体"/>
                <w:sz w:val="20"/>
                <w:szCs w:val="20"/>
              </w:rPr>
            </w:pPr>
            <w:r>
              <w:rPr>
                <w:rFonts w:hint="eastAsia" w:ascii="宋体" w:hAnsi="宋体" w:cs="宋体"/>
                <w:sz w:val="20"/>
                <w:szCs w:val="20"/>
              </w:rPr>
              <w:t>（5）</w:t>
            </w:r>
          </w:p>
        </w:tc>
        <w:tc>
          <w:tcPr>
            <w:tcW w:w="9016" w:type="dxa"/>
            <w:tcBorders>
              <w:top w:val="single" w:color="auto" w:sz="6" w:space="0"/>
              <w:bottom w:val="single" w:color="auto" w:sz="6" w:space="0"/>
              <w:right w:val="single" w:color="auto" w:sz="6" w:space="0"/>
            </w:tcBorders>
            <w:noWrap/>
            <w:vAlign w:val="center"/>
          </w:tcPr>
          <w:p w14:paraId="31B33091">
            <w:pPr>
              <w:adjustRightInd w:val="0"/>
              <w:snapToGrid w:val="0"/>
              <w:spacing w:line="360" w:lineRule="auto"/>
              <w:rPr>
                <w:rFonts w:ascii="宋体" w:hAnsi="宋体" w:cs="宋体"/>
                <w:sz w:val="20"/>
                <w:szCs w:val="20"/>
              </w:rPr>
            </w:pPr>
            <w:r>
              <w:rPr>
                <w:rFonts w:hint="eastAsia" w:ascii="宋体" w:hAnsi="宋体" w:cs="宋体"/>
                <w:sz w:val="20"/>
                <w:szCs w:val="20"/>
              </w:rPr>
              <w:t>投标文件含有采购人不能接受的附加条件的；</w:t>
            </w:r>
          </w:p>
        </w:tc>
      </w:tr>
      <w:tr w14:paraId="122797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666" w:type="dxa"/>
            <w:tcBorders>
              <w:top w:val="single" w:color="auto" w:sz="6" w:space="0"/>
              <w:left w:val="single" w:color="auto" w:sz="6" w:space="0"/>
              <w:bottom w:val="single" w:color="auto" w:sz="6" w:space="0"/>
            </w:tcBorders>
            <w:noWrap/>
            <w:vAlign w:val="center"/>
          </w:tcPr>
          <w:p w14:paraId="18DCECCB">
            <w:pPr>
              <w:adjustRightInd w:val="0"/>
              <w:snapToGrid w:val="0"/>
              <w:spacing w:beforeLines="50" w:line="360" w:lineRule="auto"/>
              <w:jc w:val="center"/>
              <w:rPr>
                <w:rFonts w:ascii="宋体" w:hAnsi="宋体" w:cs="宋体"/>
                <w:sz w:val="20"/>
                <w:szCs w:val="20"/>
              </w:rPr>
            </w:pPr>
            <w:r>
              <w:rPr>
                <w:rFonts w:hint="eastAsia" w:ascii="宋体" w:hAnsi="宋体" w:cs="宋体"/>
                <w:sz w:val="20"/>
                <w:szCs w:val="20"/>
              </w:rPr>
              <w:t>（6）</w:t>
            </w:r>
          </w:p>
        </w:tc>
        <w:tc>
          <w:tcPr>
            <w:tcW w:w="9016" w:type="dxa"/>
            <w:tcBorders>
              <w:top w:val="single" w:color="auto" w:sz="6" w:space="0"/>
              <w:bottom w:val="single" w:color="auto" w:sz="6" w:space="0"/>
              <w:right w:val="single" w:color="auto" w:sz="6" w:space="0"/>
            </w:tcBorders>
            <w:noWrap/>
            <w:vAlign w:val="center"/>
          </w:tcPr>
          <w:p w14:paraId="2963783B">
            <w:pPr>
              <w:adjustRightInd w:val="0"/>
              <w:snapToGrid w:val="0"/>
              <w:spacing w:line="360" w:lineRule="auto"/>
              <w:rPr>
                <w:rFonts w:ascii="宋体" w:hAnsi="宋体" w:cs="宋体"/>
                <w:sz w:val="20"/>
                <w:szCs w:val="20"/>
              </w:rPr>
            </w:pPr>
            <w:r>
              <w:rPr>
                <w:rFonts w:hint="eastAsia" w:ascii="宋体" w:hAnsi="宋体" w:cs="宋体"/>
                <w:sz w:val="20"/>
                <w:szCs w:val="20"/>
              </w:rPr>
              <w:t>法律、法规和招标文件规定的其他投标无效情形的。</w:t>
            </w:r>
          </w:p>
        </w:tc>
      </w:tr>
      <w:tr w14:paraId="2EB728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666" w:type="dxa"/>
            <w:tcBorders>
              <w:top w:val="single" w:color="auto" w:sz="6" w:space="0"/>
              <w:left w:val="single" w:color="auto" w:sz="6" w:space="0"/>
              <w:bottom w:val="single" w:color="auto" w:sz="6" w:space="0"/>
            </w:tcBorders>
            <w:noWrap/>
            <w:vAlign w:val="center"/>
          </w:tcPr>
          <w:p w14:paraId="0033AEE8">
            <w:pPr>
              <w:adjustRightInd w:val="0"/>
              <w:snapToGrid w:val="0"/>
              <w:spacing w:beforeLines="50" w:line="360" w:lineRule="auto"/>
              <w:jc w:val="center"/>
              <w:rPr>
                <w:rFonts w:ascii="宋体" w:hAnsi="宋体" w:cs="宋体"/>
                <w:sz w:val="20"/>
                <w:szCs w:val="20"/>
              </w:rPr>
            </w:pPr>
            <w:r>
              <w:rPr>
                <w:rFonts w:hint="eastAsia" w:ascii="宋体" w:hAnsi="宋体" w:cs="宋体"/>
                <w:sz w:val="20"/>
                <w:szCs w:val="20"/>
              </w:rPr>
              <w:t>（7）</w:t>
            </w:r>
          </w:p>
        </w:tc>
        <w:tc>
          <w:tcPr>
            <w:tcW w:w="9016" w:type="dxa"/>
            <w:tcBorders>
              <w:top w:val="single" w:color="auto" w:sz="6" w:space="0"/>
              <w:bottom w:val="single" w:color="auto" w:sz="6" w:space="0"/>
              <w:right w:val="single" w:color="auto" w:sz="6" w:space="0"/>
            </w:tcBorders>
            <w:noWrap/>
            <w:vAlign w:val="center"/>
          </w:tcPr>
          <w:p w14:paraId="6EA1929D">
            <w:pPr>
              <w:adjustRightInd w:val="0"/>
              <w:snapToGrid w:val="0"/>
              <w:spacing w:line="360" w:lineRule="auto"/>
              <w:rPr>
                <w:rFonts w:ascii="宋体" w:hAnsi="宋体" w:cs="宋体"/>
                <w:sz w:val="20"/>
                <w:szCs w:val="20"/>
              </w:rPr>
            </w:pPr>
            <w:r>
              <w:rPr>
                <w:rFonts w:hint="eastAsia" w:ascii="宋体" w:hAnsi="宋体" w:cs="宋体"/>
                <w:sz w:val="20"/>
                <w:szCs w:val="20"/>
              </w:rPr>
              <w:t>投标标的范围小于采购标的范围的</w:t>
            </w:r>
          </w:p>
        </w:tc>
      </w:tr>
      <w:tr w14:paraId="5B5383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666" w:type="dxa"/>
            <w:tcBorders>
              <w:top w:val="single" w:color="auto" w:sz="6" w:space="0"/>
              <w:left w:val="single" w:color="auto" w:sz="6" w:space="0"/>
              <w:bottom w:val="single" w:color="auto" w:sz="6" w:space="0"/>
            </w:tcBorders>
            <w:noWrap/>
            <w:vAlign w:val="center"/>
          </w:tcPr>
          <w:p w14:paraId="1BAE9321">
            <w:pPr>
              <w:adjustRightInd w:val="0"/>
              <w:snapToGrid w:val="0"/>
              <w:spacing w:beforeLines="50" w:line="360" w:lineRule="auto"/>
              <w:jc w:val="center"/>
              <w:rPr>
                <w:rFonts w:ascii="宋体" w:hAnsi="宋体" w:cs="宋体"/>
                <w:sz w:val="20"/>
                <w:szCs w:val="20"/>
              </w:rPr>
            </w:pPr>
            <w:r>
              <w:rPr>
                <w:rFonts w:hint="eastAsia" w:ascii="宋体" w:hAnsi="宋体" w:cs="宋体"/>
                <w:sz w:val="20"/>
                <w:szCs w:val="20"/>
              </w:rPr>
              <w:t>3</w:t>
            </w:r>
          </w:p>
        </w:tc>
        <w:tc>
          <w:tcPr>
            <w:tcW w:w="9016" w:type="dxa"/>
            <w:tcBorders>
              <w:top w:val="single" w:color="auto" w:sz="6" w:space="0"/>
              <w:bottom w:val="single" w:color="auto" w:sz="6" w:space="0"/>
              <w:right w:val="single" w:color="auto" w:sz="6" w:space="0"/>
            </w:tcBorders>
            <w:noWrap/>
            <w:vAlign w:val="center"/>
          </w:tcPr>
          <w:p w14:paraId="6F7B31C0">
            <w:pPr>
              <w:adjustRightInd w:val="0"/>
              <w:snapToGrid w:val="0"/>
              <w:spacing w:line="360" w:lineRule="auto"/>
              <w:rPr>
                <w:rFonts w:ascii="宋体" w:hAnsi="宋体" w:cs="宋体"/>
                <w:sz w:val="20"/>
                <w:szCs w:val="20"/>
              </w:rPr>
            </w:pPr>
            <w:r>
              <w:rPr>
                <w:rFonts w:hint="eastAsia" w:ascii="宋体" w:hAnsi="宋体" w:cs="宋体"/>
                <w:sz w:val="20"/>
                <w:szCs w:val="20"/>
              </w:rPr>
              <w:t>不符合★条款</w:t>
            </w:r>
          </w:p>
        </w:tc>
      </w:tr>
      <w:tr w14:paraId="3DE76D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666" w:type="dxa"/>
            <w:tcBorders>
              <w:top w:val="single" w:color="auto" w:sz="6" w:space="0"/>
              <w:left w:val="single" w:color="auto" w:sz="6" w:space="0"/>
              <w:bottom w:val="single" w:color="auto" w:sz="6" w:space="0"/>
            </w:tcBorders>
            <w:noWrap/>
            <w:vAlign w:val="center"/>
          </w:tcPr>
          <w:p w14:paraId="7318B893">
            <w:pPr>
              <w:adjustRightInd w:val="0"/>
              <w:snapToGrid w:val="0"/>
              <w:spacing w:beforeLines="50" w:line="360" w:lineRule="auto"/>
              <w:jc w:val="center"/>
              <w:rPr>
                <w:rFonts w:ascii="宋体" w:hAnsi="宋体" w:cs="宋体"/>
                <w:sz w:val="20"/>
                <w:szCs w:val="20"/>
              </w:rPr>
            </w:pPr>
            <w:r>
              <w:rPr>
                <w:rFonts w:hint="eastAsia" w:ascii="宋体" w:hAnsi="宋体" w:cs="宋体"/>
                <w:sz w:val="20"/>
                <w:szCs w:val="20"/>
              </w:rPr>
              <w:t>4</w:t>
            </w:r>
          </w:p>
        </w:tc>
        <w:tc>
          <w:tcPr>
            <w:tcW w:w="9016" w:type="dxa"/>
            <w:tcBorders>
              <w:top w:val="single" w:color="auto" w:sz="6" w:space="0"/>
              <w:bottom w:val="single" w:color="auto" w:sz="6" w:space="0"/>
              <w:right w:val="single" w:color="auto" w:sz="6" w:space="0"/>
            </w:tcBorders>
            <w:noWrap/>
            <w:vAlign w:val="center"/>
          </w:tcPr>
          <w:p w14:paraId="49B69561">
            <w:pPr>
              <w:adjustRightInd w:val="0"/>
              <w:snapToGrid w:val="0"/>
              <w:spacing w:line="360" w:lineRule="auto"/>
              <w:rPr>
                <w:rFonts w:ascii="宋体" w:hAnsi="宋体" w:cs="宋体"/>
                <w:sz w:val="20"/>
                <w:szCs w:val="20"/>
              </w:rPr>
            </w:pPr>
            <w:r>
              <w:rPr>
                <w:rFonts w:hint="eastAsia" w:ascii="宋体" w:hAnsi="宋体" w:cs="宋体"/>
                <w:sz w:val="20"/>
                <w:szCs w:val="20"/>
              </w:rPr>
              <w:t>投标文件电子文档有病毒</w:t>
            </w:r>
          </w:p>
        </w:tc>
      </w:tr>
      <w:tr w14:paraId="2895F2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666" w:type="dxa"/>
            <w:tcBorders>
              <w:top w:val="single" w:color="auto" w:sz="6" w:space="0"/>
              <w:left w:val="single" w:color="auto" w:sz="6" w:space="0"/>
              <w:bottom w:val="single" w:color="auto" w:sz="6" w:space="0"/>
            </w:tcBorders>
            <w:noWrap/>
            <w:vAlign w:val="center"/>
          </w:tcPr>
          <w:p w14:paraId="26D1B752">
            <w:pPr>
              <w:adjustRightInd w:val="0"/>
              <w:snapToGrid w:val="0"/>
              <w:spacing w:beforeLines="50" w:line="360" w:lineRule="auto"/>
              <w:jc w:val="center"/>
              <w:rPr>
                <w:rFonts w:ascii="宋体" w:hAnsi="宋体" w:cs="宋体"/>
                <w:sz w:val="20"/>
                <w:szCs w:val="20"/>
              </w:rPr>
            </w:pPr>
            <w:r>
              <w:rPr>
                <w:rFonts w:hint="eastAsia" w:ascii="宋体" w:hAnsi="宋体" w:cs="宋体"/>
                <w:sz w:val="20"/>
                <w:szCs w:val="20"/>
              </w:rPr>
              <w:t>5</w:t>
            </w:r>
          </w:p>
        </w:tc>
        <w:tc>
          <w:tcPr>
            <w:tcW w:w="9016" w:type="dxa"/>
            <w:tcBorders>
              <w:top w:val="single" w:color="auto" w:sz="6" w:space="0"/>
              <w:bottom w:val="single" w:color="auto" w:sz="6" w:space="0"/>
              <w:right w:val="single" w:color="auto" w:sz="6" w:space="0"/>
            </w:tcBorders>
            <w:noWrap/>
            <w:vAlign w:val="center"/>
          </w:tcPr>
          <w:p w14:paraId="4E694BFE">
            <w:pPr>
              <w:adjustRightInd w:val="0"/>
              <w:snapToGrid w:val="0"/>
              <w:spacing w:line="360" w:lineRule="auto"/>
              <w:rPr>
                <w:rFonts w:ascii="宋体" w:hAnsi="宋体" w:cs="宋体"/>
                <w:sz w:val="20"/>
                <w:szCs w:val="20"/>
              </w:rPr>
            </w:pPr>
            <w:r>
              <w:rPr>
                <w:rFonts w:hint="eastAsia" w:ascii="宋体" w:hAnsi="宋体" w:cs="宋体"/>
                <w:sz w:val="20"/>
                <w:szCs w:val="20"/>
              </w:rPr>
              <w:t>投标文件用不属于本中心的电子密钥进行加密</w:t>
            </w:r>
          </w:p>
        </w:tc>
      </w:tr>
      <w:tr w14:paraId="72D1CF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666" w:type="dxa"/>
            <w:tcBorders>
              <w:top w:val="single" w:color="auto" w:sz="6" w:space="0"/>
              <w:left w:val="single" w:color="auto" w:sz="6" w:space="0"/>
              <w:bottom w:val="single" w:color="auto" w:sz="6" w:space="0"/>
            </w:tcBorders>
            <w:noWrap/>
            <w:vAlign w:val="center"/>
          </w:tcPr>
          <w:p w14:paraId="772646A6">
            <w:pPr>
              <w:adjustRightInd w:val="0"/>
              <w:snapToGrid w:val="0"/>
              <w:spacing w:beforeLines="50" w:line="360" w:lineRule="auto"/>
              <w:jc w:val="center"/>
              <w:rPr>
                <w:rFonts w:ascii="宋体" w:hAnsi="宋体" w:cs="宋体"/>
                <w:sz w:val="20"/>
                <w:szCs w:val="20"/>
              </w:rPr>
            </w:pPr>
            <w:r>
              <w:rPr>
                <w:rFonts w:hint="eastAsia" w:ascii="宋体" w:hAnsi="宋体" w:cs="宋体"/>
                <w:sz w:val="20"/>
                <w:szCs w:val="20"/>
              </w:rPr>
              <w:t>6</w:t>
            </w:r>
          </w:p>
        </w:tc>
        <w:tc>
          <w:tcPr>
            <w:tcW w:w="9016" w:type="dxa"/>
            <w:tcBorders>
              <w:top w:val="single" w:color="auto" w:sz="6" w:space="0"/>
              <w:bottom w:val="single" w:color="auto" w:sz="6" w:space="0"/>
              <w:right w:val="single" w:color="auto" w:sz="6" w:space="0"/>
            </w:tcBorders>
            <w:noWrap/>
            <w:vAlign w:val="center"/>
          </w:tcPr>
          <w:p w14:paraId="6D7336F4">
            <w:pPr>
              <w:adjustRightInd w:val="0"/>
              <w:snapToGrid w:val="0"/>
              <w:spacing w:line="360" w:lineRule="auto"/>
              <w:rPr>
                <w:rFonts w:ascii="宋体" w:hAnsi="宋体" w:cs="宋体"/>
                <w:sz w:val="20"/>
                <w:szCs w:val="20"/>
              </w:rPr>
            </w:pPr>
            <w:r>
              <w:rPr>
                <w:rFonts w:hint="eastAsia" w:ascii="宋体" w:hAnsi="宋体" w:cs="宋体"/>
                <w:sz w:val="20"/>
                <w:szCs w:val="20"/>
              </w:rPr>
              <w:t>法律、法规规定的其他情形</w:t>
            </w:r>
          </w:p>
        </w:tc>
      </w:tr>
    </w:tbl>
    <w:p w14:paraId="21DE265B">
      <w:pPr>
        <w:rPr>
          <w:rFonts w:ascii="宋体" w:hAnsi="宋体" w:cs="宋体"/>
          <w:sz w:val="18"/>
          <w:szCs w:val="18"/>
        </w:rPr>
      </w:pPr>
    </w:p>
    <w:p w14:paraId="0CE301F2">
      <w:pPr>
        <w:jc w:val="center"/>
        <w:rPr>
          <w:rFonts w:ascii="宋体" w:hAnsi="宋体" w:cs="宋体"/>
          <w:b/>
          <w:bCs/>
          <w:sz w:val="28"/>
          <w:szCs w:val="28"/>
        </w:rPr>
      </w:pPr>
      <w:bookmarkStart w:id="7" w:name="_Toc25532"/>
      <w:bookmarkStart w:id="8" w:name="_Toc2576"/>
      <w:bookmarkStart w:id="9" w:name="_Toc5418"/>
      <w:bookmarkStart w:id="10" w:name="_Toc21000471"/>
      <w:bookmarkStart w:id="11" w:name="_Toc20816073"/>
      <w:bookmarkStart w:id="12" w:name="_Toc20988241"/>
      <w:bookmarkStart w:id="13" w:name="_Toc20642243"/>
      <w:bookmarkStart w:id="14" w:name="_Toc53472201"/>
      <w:bookmarkStart w:id="15" w:name="_Toc21001314"/>
      <w:bookmarkStart w:id="16" w:name="_Toc35421027"/>
      <w:bookmarkStart w:id="17" w:name="_Toc34720698"/>
    </w:p>
    <w:p w14:paraId="4BC8BEAE">
      <w:pPr>
        <w:pStyle w:val="3"/>
      </w:pPr>
    </w:p>
    <w:p w14:paraId="1069BD8A"/>
    <w:p w14:paraId="0CF4A894">
      <w:pPr>
        <w:jc w:val="center"/>
        <w:rPr>
          <w:rFonts w:ascii="宋体" w:hAnsi="宋体" w:cs="宋体"/>
          <w:b/>
          <w:bCs/>
          <w:sz w:val="28"/>
          <w:szCs w:val="28"/>
        </w:rPr>
      </w:pPr>
    </w:p>
    <w:p w14:paraId="715B77F9">
      <w:pPr>
        <w:rPr>
          <w:rFonts w:ascii="宋体" w:hAnsi="宋体" w:cs="宋体"/>
          <w:b/>
          <w:bCs/>
          <w:sz w:val="28"/>
          <w:szCs w:val="28"/>
        </w:rPr>
      </w:pPr>
      <w:r>
        <w:rPr>
          <w:rFonts w:hint="eastAsia" w:ascii="宋体" w:hAnsi="宋体" w:cs="宋体"/>
          <w:b/>
          <w:bCs/>
          <w:sz w:val="28"/>
          <w:szCs w:val="28"/>
        </w:rPr>
        <w:t xml:space="preserve">                                                   </w:t>
      </w:r>
    </w:p>
    <w:p w14:paraId="0F20D5C5">
      <w:pPr>
        <w:jc w:val="center"/>
        <w:outlineLvl w:val="0"/>
        <w:rPr>
          <w:rFonts w:ascii="宋体" w:hAnsi="宋体" w:cs="宋体"/>
          <w:b/>
          <w:bCs/>
          <w:sz w:val="28"/>
          <w:szCs w:val="28"/>
        </w:rPr>
      </w:pPr>
      <w:r>
        <w:rPr>
          <w:rFonts w:hint="eastAsia" w:ascii="宋体" w:hAnsi="宋体" w:cs="宋体"/>
          <w:b/>
          <w:bCs/>
          <w:sz w:val="28"/>
          <w:szCs w:val="28"/>
        </w:rPr>
        <w:t xml:space="preserve">  </w:t>
      </w:r>
      <w:bookmarkStart w:id="18" w:name="_Toc24410"/>
      <w:r>
        <w:rPr>
          <w:rFonts w:hint="eastAsia" w:ascii="宋体" w:hAnsi="宋体" w:cs="宋体"/>
          <w:b/>
          <w:bCs/>
          <w:sz w:val="28"/>
          <w:szCs w:val="28"/>
        </w:rPr>
        <w:t>取值范围</w:t>
      </w:r>
      <w:bookmarkEnd w:id="7"/>
      <w:bookmarkEnd w:id="18"/>
    </w:p>
    <w:p w14:paraId="57912FEF">
      <w:pPr>
        <w:jc w:val="center"/>
        <w:outlineLvl w:val="0"/>
        <w:rPr>
          <w:rFonts w:ascii="宋体" w:hAnsi="宋体" w:cs="宋体"/>
        </w:rPr>
      </w:pPr>
      <w:bookmarkStart w:id="19" w:name="_Toc11088"/>
      <w:bookmarkStart w:id="20" w:name="_Toc17342"/>
      <w:r>
        <w:rPr>
          <w:rFonts w:hint="eastAsia" w:ascii="宋体" w:hAnsi="宋体" w:cs="宋体"/>
        </w:rPr>
        <w:t>1.2.3权值的取值范围见下表，本采购项目的权值为：</w:t>
      </w:r>
      <w:bookmarkEnd w:id="19"/>
      <w:bookmarkEnd w:id="20"/>
    </w:p>
    <w:tbl>
      <w:tblPr>
        <w:tblStyle w:val="40"/>
        <w:tblW w:w="0" w:type="auto"/>
        <w:tblInd w:w="76"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96"/>
        <w:gridCol w:w="5669"/>
        <w:gridCol w:w="4065"/>
      </w:tblGrid>
      <w:tr w14:paraId="7AFA5B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796" w:type="dxa"/>
            <w:noWrap/>
            <w:vAlign w:val="center"/>
          </w:tcPr>
          <w:p w14:paraId="1E8A7D86">
            <w:pPr>
              <w:adjustRightInd w:val="0"/>
              <w:snapToGrid w:val="0"/>
              <w:spacing w:beforeLines="50"/>
              <w:jc w:val="center"/>
              <w:rPr>
                <w:rFonts w:ascii="宋体" w:hAnsi="宋体" w:cs="宋体"/>
                <w:sz w:val="20"/>
                <w:szCs w:val="20"/>
              </w:rPr>
            </w:pPr>
            <w:r>
              <w:rPr>
                <w:rFonts w:hint="eastAsia" w:ascii="宋体" w:hAnsi="宋体" w:cs="宋体"/>
                <w:sz w:val="20"/>
                <w:szCs w:val="20"/>
              </w:rPr>
              <w:t>序号</w:t>
            </w:r>
          </w:p>
        </w:tc>
        <w:tc>
          <w:tcPr>
            <w:tcW w:w="5669" w:type="dxa"/>
            <w:noWrap/>
            <w:vAlign w:val="center"/>
          </w:tcPr>
          <w:p w14:paraId="7267EEEF">
            <w:pPr>
              <w:adjustRightInd w:val="0"/>
              <w:snapToGrid w:val="0"/>
              <w:spacing w:beforeLines="50"/>
              <w:jc w:val="center"/>
              <w:rPr>
                <w:rFonts w:ascii="宋体" w:hAnsi="宋体" w:cs="宋体"/>
                <w:sz w:val="20"/>
                <w:szCs w:val="20"/>
              </w:rPr>
            </w:pPr>
            <w:r>
              <w:rPr>
                <w:rFonts w:hint="eastAsia" w:ascii="宋体" w:hAnsi="宋体" w:cs="宋体"/>
                <w:sz w:val="20"/>
                <w:szCs w:val="20"/>
              </w:rPr>
              <w:t>项     目</w:t>
            </w:r>
          </w:p>
        </w:tc>
        <w:tc>
          <w:tcPr>
            <w:tcW w:w="4065" w:type="dxa"/>
            <w:noWrap/>
            <w:vAlign w:val="center"/>
          </w:tcPr>
          <w:p w14:paraId="431DBAC1">
            <w:pPr>
              <w:adjustRightInd w:val="0"/>
              <w:snapToGrid w:val="0"/>
              <w:spacing w:beforeLines="50"/>
              <w:jc w:val="center"/>
              <w:rPr>
                <w:rFonts w:ascii="宋体" w:hAnsi="宋体" w:cs="宋体"/>
                <w:sz w:val="20"/>
                <w:szCs w:val="20"/>
              </w:rPr>
            </w:pPr>
            <w:r>
              <w:rPr>
                <w:rFonts w:hint="eastAsia" w:ascii="宋体" w:hAnsi="宋体" w:cs="宋体"/>
                <w:sz w:val="20"/>
                <w:szCs w:val="20"/>
              </w:rPr>
              <w:t>权值的取值</w:t>
            </w:r>
          </w:p>
        </w:tc>
      </w:tr>
      <w:tr w14:paraId="4F5388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atLeast"/>
        </w:trPr>
        <w:tc>
          <w:tcPr>
            <w:tcW w:w="796" w:type="dxa"/>
            <w:noWrap/>
            <w:vAlign w:val="center"/>
          </w:tcPr>
          <w:p w14:paraId="631F43FE">
            <w:pPr>
              <w:adjustRightInd w:val="0"/>
              <w:snapToGrid w:val="0"/>
              <w:spacing w:beforeLines="50"/>
              <w:jc w:val="center"/>
              <w:rPr>
                <w:rFonts w:ascii="宋体" w:hAnsi="宋体" w:cs="宋体"/>
                <w:sz w:val="20"/>
                <w:szCs w:val="20"/>
              </w:rPr>
            </w:pPr>
            <w:r>
              <w:rPr>
                <w:rFonts w:hint="eastAsia" w:ascii="宋体" w:hAnsi="宋体" w:cs="宋体"/>
                <w:sz w:val="20"/>
                <w:szCs w:val="20"/>
              </w:rPr>
              <w:t>1</w:t>
            </w:r>
          </w:p>
        </w:tc>
        <w:tc>
          <w:tcPr>
            <w:tcW w:w="5669" w:type="dxa"/>
            <w:noWrap/>
            <w:vAlign w:val="center"/>
          </w:tcPr>
          <w:p w14:paraId="51A456D0">
            <w:pPr>
              <w:adjustRightInd w:val="0"/>
              <w:snapToGrid w:val="0"/>
              <w:spacing w:beforeLines="50"/>
              <w:jc w:val="center"/>
              <w:rPr>
                <w:rFonts w:ascii="宋体" w:hAnsi="宋体" w:cs="宋体"/>
                <w:sz w:val="20"/>
                <w:szCs w:val="20"/>
              </w:rPr>
            </w:pPr>
            <w:r>
              <w:rPr>
                <w:rFonts w:hint="eastAsia" w:ascii="宋体" w:hAnsi="宋体" w:cs="宋体"/>
                <w:sz w:val="20"/>
                <w:szCs w:val="20"/>
              </w:rPr>
              <w:t>价格</w:t>
            </w:r>
          </w:p>
        </w:tc>
        <w:tc>
          <w:tcPr>
            <w:tcW w:w="4065" w:type="dxa"/>
            <w:noWrap/>
            <w:vAlign w:val="center"/>
          </w:tcPr>
          <w:p w14:paraId="6F486602">
            <w:pPr>
              <w:adjustRightInd w:val="0"/>
              <w:snapToGrid w:val="0"/>
              <w:spacing w:beforeLines="50"/>
              <w:jc w:val="center"/>
              <w:rPr>
                <w:rFonts w:hint="eastAsia" w:ascii="宋体" w:hAnsi="宋体" w:eastAsia="宋体" w:cs="宋体"/>
                <w:sz w:val="20"/>
                <w:szCs w:val="20"/>
                <w:lang w:eastAsia="zh-CN"/>
              </w:rPr>
            </w:pPr>
            <w:bookmarkStart w:id="21" w:name="S_2_7"/>
            <w:bookmarkEnd w:id="21"/>
            <w:r>
              <w:rPr>
                <w:rFonts w:hint="eastAsia" w:ascii="宋体" w:hAnsi="宋体" w:cs="宋体"/>
                <w:sz w:val="20"/>
                <w:szCs w:val="20"/>
              </w:rPr>
              <w:t>0.</w:t>
            </w:r>
            <w:r>
              <w:rPr>
                <w:rFonts w:hint="eastAsia" w:ascii="宋体" w:hAnsi="宋体" w:cs="宋体"/>
                <w:sz w:val="20"/>
                <w:szCs w:val="20"/>
                <w:lang w:val="en-US" w:eastAsia="zh-CN"/>
              </w:rPr>
              <w:t>4</w:t>
            </w:r>
          </w:p>
        </w:tc>
      </w:tr>
      <w:tr w14:paraId="0DEAE5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796" w:type="dxa"/>
            <w:noWrap/>
            <w:vAlign w:val="center"/>
          </w:tcPr>
          <w:p w14:paraId="6CC2AEC3">
            <w:pPr>
              <w:adjustRightInd w:val="0"/>
              <w:snapToGrid w:val="0"/>
              <w:spacing w:beforeLines="50"/>
              <w:jc w:val="center"/>
              <w:rPr>
                <w:rFonts w:ascii="宋体" w:hAnsi="宋体" w:cs="宋体"/>
                <w:sz w:val="20"/>
                <w:szCs w:val="20"/>
              </w:rPr>
            </w:pPr>
            <w:r>
              <w:rPr>
                <w:rFonts w:hint="eastAsia" w:ascii="宋体" w:hAnsi="宋体" w:cs="宋体"/>
                <w:sz w:val="20"/>
                <w:szCs w:val="20"/>
              </w:rPr>
              <w:t>2</w:t>
            </w:r>
          </w:p>
        </w:tc>
        <w:tc>
          <w:tcPr>
            <w:tcW w:w="5669" w:type="dxa"/>
            <w:noWrap/>
            <w:vAlign w:val="center"/>
          </w:tcPr>
          <w:p w14:paraId="0DF74850">
            <w:pPr>
              <w:adjustRightInd w:val="0"/>
              <w:snapToGrid w:val="0"/>
              <w:spacing w:beforeLines="50"/>
              <w:jc w:val="center"/>
              <w:rPr>
                <w:rFonts w:ascii="宋体" w:hAnsi="宋体" w:cs="宋体"/>
                <w:sz w:val="20"/>
                <w:szCs w:val="20"/>
              </w:rPr>
            </w:pPr>
            <w:r>
              <w:rPr>
                <w:rFonts w:hint="eastAsia" w:ascii="宋体" w:hAnsi="宋体" w:cs="宋体"/>
                <w:sz w:val="20"/>
                <w:szCs w:val="20"/>
              </w:rPr>
              <w:t>技术</w:t>
            </w:r>
          </w:p>
        </w:tc>
        <w:tc>
          <w:tcPr>
            <w:tcW w:w="4065" w:type="dxa"/>
            <w:noWrap/>
            <w:vAlign w:val="center"/>
          </w:tcPr>
          <w:p w14:paraId="134D7CA3">
            <w:pPr>
              <w:adjustRightInd w:val="0"/>
              <w:snapToGrid w:val="0"/>
              <w:spacing w:beforeLines="50"/>
              <w:jc w:val="center"/>
              <w:rPr>
                <w:rFonts w:hint="eastAsia" w:ascii="宋体" w:hAnsi="宋体" w:eastAsia="宋体" w:cs="宋体"/>
                <w:sz w:val="20"/>
                <w:szCs w:val="20"/>
                <w:lang w:eastAsia="zh-CN"/>
              </w:rPr>
            </w:pPr>
            <w:r>
              <w:rPr>
                <w:rFonts w:hint="eastAsia" w:ascii="宋体" w:hAnsi="宋体" w:eastAsia="宋体" w:cs="宋体"/>
                <w:sz w:val="20"/>
                <w:szCs w:val="20"/>
              </w:rPr>
              <w:t>0.</w:t>
            </w:r>
            <w:r>
              <w:rPr>
                <w:rFonts w:hint="eastAsia" w:ascii="宋体" w:hAnsi="宋体" w:cs="宋体"/>
                <w:sz w:val="20"/>
                <w:szCs w:val="20"/>
                <w:lang w:val="en-US" w:eastAsia="zh-CN"/>
              </w:rPr>
              <w:t>3</w:t>
            </w:r>
          </w:p>
        </w:tc>
      </w:tr>
      <w:tr w14:paraId="7C697D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796" w:type="dxa"/>
            <w:noWrap/>
            <w:vAlign w:val="center"/>
          </w:tcPr>
          <w:p w14:paraId="0B43B415">
            <w:pPr>
              <w:adjustRightInd w:val="0"/>
              <w:snapToGrid w:val="0"/>
              <w:spacing w:beforeLines="50"/>
              <w:jc w:val="center"/>
              <w:rPr>
                <w:rFonts w:ascii="宋体" w:hAnsi="宋体" w:cs="宋体"/>
                <w:sz w:val="20"/>
                <w:szCs w:val="20"/>
              </w:rPr>
            </w:pPr>
            <w:r>
              <w:rPr>
                <w:rFonts w:hint="eastAsia" w:ascii="宋体" w:hAnsi="宋体" w:cs="宋体"/>
                <w:sz w:val="20"/>
                <w:szCs w:val="20"/>
              </w:rPr>
              <w:t>3</w:t>
            </w:r>
          </w:p>
        </w:tc>
        <w:tc>
          <w:tcPr>
            <w:tcW w:w="5669" w:type="dxa"/>
            <w:noWrap/>
            <w:vAlign w:val="center"/>
          </w:tcPr>
          <w:p w14:paraId="77424643">
            <w:pPr>
              <w:adjustRightInd w:val="0"/>
              <w:snapToGrid w:val="0"/>
              <w:spacing w:beforeLines="50"/>
              <w:jc w:val="center"/>
              <w:rPr>
                <w:rFonts w:ascii="宋体" w:hAnsi="宋体" w:cs="宋体"/>
                <w:sz w:val="20"/>
                <w:szCs w:val="20"/>
              </w:rPr>
            </w:pPr>
            <w:r>
              <w:rPr>
                <w:rFonts w:hint="eastAsia" w:ascii="宋体" w:hAnsi="宋体" w:cs="宋体"/>
                <w:sz w:val="20"/>
                <w:szCs w:val="20"/>
              </w:rPr>
              <w:t>商务</w:t>
            </w:r>
          </w:p>
        </w:tc>
        <w:tc>
          <w:tcPr>
            <w:tcW w:w="4065" w:type="dxa"/>
            <w:noWrap/>
            <w:vAlign w:val="center"/>
          </w:tcPr>
          <w:p w14:paraId="79CD2C27">
            <w:pPr>
              <w:adjustRightInd w:val="0"/>
              <w:snapToGrid w:val="0"/>
              <w:spacing w:beforeLines="50"/>
              <w:jc w:val="center"/>
              <w:rPr>
                <w:rFonts w:hint="eastAsia" w:ascii="宋体" w:hAnsi="宋体" w:eastAsia="宋体" w:cs="宋体"/>
                <w:sz w:val="20"/>
                <w:szCs w:val="20"/>
                <w:lang w:eastAsia="zh-CN"/>
              </w:rPr>
            </w:pPr>
            <w:bookmarkStart w:id="22" w:name="S_2_9"/>
            <w:bookmarkEnd w:id="22"/>
            <w:r>
              <w:rPr>
                <w:rFonts w:hint="eastAsia" w:ascii="宋体" w:hAnsi="宋体" w:eastAsia="宋体" w:cs="宋体"/>
                <w:sz w:val="20"/>
                <w:szCs w:val="20"/>
              </w:rPr>
              <w:t>0.</w:t>
            </w:r>
            <w:r>
              <w:rPr>
                <w:rFonts w:hint="eastAsia" w:ascii="宋体" w:hAnsi="宋体" w:cs="宋体"/>
                <w:sz w:val="20"/>
                <w:szCs w:val="20"/>
                <w:lang w:val="en-US" w:eastAsia="zh-CN"/>
              </w:rPr>
              <w:t>3</w:t>
            </w:r>
          </w:p>
        </w:tc>
      </w:tr>
      <w:tr w14:paraId="26D295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796" w:type="dxa"/>
            <w:noWrap/>
            <w:vAlign w:val="center"/>
          </w:tcPr>
          <w:p w14:paraId="697BD21A">
            <w:pPr>
              <w:adjustRightInd w:val="0"/>
              <w:snapToGrid w:val="0"/>
              <w:spacing w:beforeLines="50"/>
              <w:jc w:val="center"/>
              <w:rPr>
                <w:rFonts w:ascii="宋体" w:hAnsi="宋体" w:cs="宋体"/>
                <w:sz w:val="20"/>
                <w:szCs w:val="20"/>
              </w:rPr>
            </w:pPr>
            <w:r>
              <w:rPr>
                <w:rFonts w:hint="eastAsia" w:ascii="宋体" w:hAnsi="宋体" w:cs="宋体"/>
                <w:sz w:val="20"/>
                <w:szCs w:val="20"/>
              </w:rPr>
              <w:t>4</w:t>
            </w:r>
          </w:p>
        </w:tc>
        <w:tc>
          <w:tcPr>
            <w:tcW w:w="5669" w:type="dxa"/>
            <w:noWrap/>
            <w:vAlign w:val="center"/>
          </w:tcPr>
          <w:p w14:paraId="18837E93">
            <w:pPr>
              <w:adjustRightInd w:val="0"/>
              <w:snapToGrid w:val="0"/>
              <w:spacing w:beforeLines="50"/>
              <w:jc w:val="center"/>
              <w:rPr>
                <w:rFonts w:ascii="宋体" w:hAnsi="宋体" w:cs="宋体"/>
                <w:sz w:val="20"/>
                <w:szCs w:val="20"/>
              </w:rPr>
            </w:pPr>
            <w:r>
              <w:rPr>
                <w:rFonts w:hint="eastAsia" w:ascii="宋体" w:hAnsi="宋体" w:cs="宋体"/>
                <w:sz w:val="20"/>
                <w:szCs w:val="20"/>
              </w:rPr>
              <w:t>其他</w:t>
            </w:r>
          </w:p>
        </w:tc>
        <w:tc>
          <w:tcPr>
            <w:tcW w:w="4065" w:type="dxa"/>
            <w:noWrap/>
            <w:vAlign w:val="center"/>
          </w:tcPr>
          <w:p w14:paraId="3CDFDF89">
            <w:pPr>
              <w:adjustRightInd w:val="0"/>
              <w:snapToGrid w:val="0"/>
              <w:spacing w:beforeLines="50"/>
              <w:jc w:val="center"/>
              <w:rPr>
                <w:rFonts w:ascii="宋体" w:hAnsi="宋体" w:cs="宋体"/>
                <w:sz w:val="20"/>
                <w:szCs w:val="20"/>
              </w:rPr>
            </w:pPr>
            <w:bookmarkStart w:id="23" w:name="S_2_10"/>
            <w:bookmarkEnd w:id="23"/>
            <w:r>
              <w:rPr>
                <w:rFonts w:hint="eastAsia" w:ascii="宋体" w:hAnsi="宋体" w:cs="宋体"/>
                <w:sz w:val="20"/>
                <w:szCs w:val="20"/>
              </w:rPr>
              <w:t>/</w:t>
            </w:r>
          </w:p>
        </w:tc>
      </w:tr>
      <w:tr w14:paraId="39BBEA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465" w:type="dxa"/>
            <w:gridSpan w:val="2"/>
            <w:noWrap/>
          </w:tcPr>
          <w:p w14:paraId="1D6B1013">
            <w:pPr>
              <w:adjustRightInd w:val="0"/>
              <w:snapToGrid w:val="0"/>
              <w:spacing w:beforeLines="50"/>
              <w:jc w:val="center"/>
              <w:rPr>
                <w:rFonts w:ascii="宋体" w:hAnsi="宋体" w:cs="宋体"/>
                <w:sz w:val="20"/>
                <w:szCs w:val="20"/>
              </w:rPr>
            </w:pPr>
            <w:r>
              <w:rPr>
                <w:rFonts w:hint="eastAsia" w:ascii="宋体" w:hAnsi="宋体" w:cs="宋体"/>
                <w:sz w:val="20"/>
                <w:szCs w:val="20"/>
              </w:rPr>
              <w:t>∑(1+2+3+4)=1</w:t>
            </w:r>
          </w:p>
        </w:tc>
        <w:tc>
          <w:tcPr>
            <w:tcW w:w="4065" w:type="dxa"/>
            <w:noWrap/>
            <w:vAlign w:val="center"/>
          </w:tcPr>
          <w:p w14:paraId="34858432">
            <w:pPr>
              <w:adjustRightInd w:val="0"/>
              <w:snapToGrid w:val="0"/>
              <w:spacing w:beforeLines="50"/>
              <w:jc w:val="center"/>
              <w:rPr>
                <w:rFonts w:ascii="宋体" w:hAnsi="宋体" w:cs="宋体"/>
                <w:sz w:val="20"/>
                <w:szCs w:val="20"/>
              </w:rPr>
            </w:pPr>
            <w:r>
              <w:rPr>
                <w:rFonts w:hint="eastAsia" w:ascii="宋体" w:hAnsi="宋体" w:cs="宋体"/>
                <w:sz w:val="20"/>
                <w:szCs w:val="20"/>
              </w:rPr>
              <w:t>1</w:t>
            </w:r>
          </w:p>
        </w:tc>
      </w:tr>
    </w:tbl>
    <w:p w14:paraId="1C7A885E">
      <w:pPr>
        <w:jc w:val="center"/>
        <w:outlineLvl w:val="0"/>
        <w:rPr>
          <w:rFonts w:hint="eastAsia" w:ascii="宋体" w:hAnsi="宋体" w:cs="宋体"/>
          <w:b/>
          <w:bCs/>
          <w:sz w:val="28"/>
          <w:szCs w:val="28"/>
        </w:rPr>
      </w:pPr>
      <w:bookmarkStart w:id="24" w:name="_Toc18570"/>
      <w:bookmarkStart w:id="25" w:name="_Toc31420"/>
      <w:r>
        <w:rPr>
          <w:rFonts w:hint="eastAsia" w:ascii="宋体" w:hAnsi="宋体" w:cs="宋体"/>
          <w:b/>
          <w:bCs/>
          <w:sz w:val="28"/>
          <w:szCs w:val="28"/>
        </w:rPr>
        <w:t>评分办法及标准</w:t>
      </w:r>
      <w:bookmarkEnd w:id="24"/>
      <w:bookmarkEnd w:id="25"/>
      <w:bookmarkStart w:id="26" w:name="_Toc4555"/>
    </w:p>
    <w:p w14:paraId="59748CB4">
      <w:pPr>
        <w:pStyle w:val="114"/>
        <w:jc w:val="center"/>
        <w:rPr>
          <w:rFonts w:hint="eastAsia" w:ascii="宋体" w:hAnsi="宋体"/>
          <w:b/>
        </w:rPr>
      </w:pPr>
      <w:r>
        <w:rPr>
          <w:rFonts w:hint="eastAsia" w:ascii="宋体" w:hAnsi="宋体"/>
          <w:b/>
        </w:rPr>
        <w:t>价格部分评审评分表（分值100分）</w:t>
      </w:r>
    </w:p>
    <w:tbl>
      <w:tblPr>
        <w:tblStyle w:val="40"/>
        <w:tblpPr w:leftFromText="180" w:rightFromText="180" w:vertAnchor="text" w:horzAnchor="page" w:tblpX="875" w:tblpY="222"/>
        <w:tblOverlap w:val="never"/>
        <w:tblW w:w="102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7"/>
        <w:gridCol w:w="1353"/>
        <w:gridCol w:w="744"/>
        <w:gridCol w:w="7602"/>
      </w:tblGrid>
      <w:tr w14:paraId="2A44B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8" w:hRule="atLeast"/>
        </w:trPr>
        <w:tc>
          <w:tcPr>
            <w:tcW w:w="587" w:type="dxa"/>
            <w:noWrap/>
            <w:vAlign w:val="center"/>
          </w:tcPr>
          <w:p w14:paraId="3D441B5D">
            <w:pPr>
              <w:widowControl/>
              <w:spacing w:line="360" w:lineRule="auto"/>
              <w:jc w:val="center"/>
              <w:rPr>
                <w:rFonts w:ascii="宋体" w:hAnsi="宋体" w:cs="宋体"/>
                <w:b/>
                <w:bCs/>
                <w:szCs w:val="21"/>
              </w:rPr>
            </w:pPr>
            <w:r>
              <w:rPr>
                <w:rFonts w:hint="eastAsia" w:ascii="宋体" w:hAnsi="宋体" w:cs="宋体"/>
                <w:b/>
                <w:bCs/>
                <w:szCs w:val="21"/>
              </w:rPr>
              <w:t>序号</w:t>
            </w:r>
          </w:p>
        </w:tc>
        <w:tc>
          <w:tcPr>
            <w:tcW w:w="1353" w:type="dxa"/>
            <w:noWrap/>
            <w:vAlign w:val="center"/>
          </w:tcPr>
          <w:p w14:paraId="4C1E5FDA">
            <w:pPr>
              <w:widowControl/>
              <w:spacing w:line="360" w:lineRule="auto"/>
              <w:jc w:val="center"/>
              <w:rPr>
                <w:rFonts w:ascii="宋体" w:hAnsi="宋体" w:cs="宋体"/>
                <w:b/>
                <w:bCs/>
                <w:szCs w:val="21"/>
              </w:rPr>
            </w:pPr>
            <w:r>
              <w:rPr>
                <w:rFonts w:hint="eastAsia" w:ascii="宋体" w:hAnsi="宋体" w:cs="宋体"/>
                <w:b/>
                <w:bCs/>
                <w:szCs w:val="21"/>
              </w:rPr>
              <w:t>评审因素</w:t>
            </w:r>
          </w:p>
        </w:tc>
        <w:tc>
          <w:tcPr>
            <w:tcW w:w="744" w:type="dxa"/>
            <w:noWrap/>
            <w:vAlign w:val="center"/>
          </w:tcPr>
          <w:p w14:paraId="2F1692A2">
            <w:pPr>
              <w:widowControl/>
              <w:spacing w:line="360" w:lineRule="auto"/>
              <w:jc w:val="center"/>
              <w:rPr>
                <w:rFonts w:ascii="宋体" w:hAnsi="宋体" w:cs="宋体"/>
                <w:b/>
                <w:bCs/>
                <w:kern w:val="0"/>
                <w:szCs w:val="21"/>
              </w:rPr>
            </w:pPr>
            <w:r>
              <w:rPr>
                <w:rFonts w:hint="eastAsia" w:ascii="宋体" w:hAnsi="宋体" w:cs="宋体"/>
                <w:b/>
                <w:bCs/>
                <w:szCs w:val="21"/>
              </w:rPr>
              <w:t>分值</w:t>
            </w:r>
          </w:p>
        </w:tc>
        <w:tc>
          <w:tcPr>
            <w:tcW w:w="7602" w:type="dxa"/>
            <w:noWrap/>
            <w:vAlign w:val="center"/>
          </w:tcPr>
          <w:p w14:paraId="37F72176">
            <w:pPr>
              <w:widowControl/>
              <w:spacing w:line="360" w:lineRule="auto"/>
              <w:ind w:firstLine="17" w:firstLineChars="8"/>
              <w:jc w:val="center"/>
              <w:rPr>
                <w:rFonts w:ascii="宋体" w:hAnsi="宋体" w:cs="宋体"/>
                <w:b/>
                <w:bCs/>
                <w:kern w:val="0"/>
                <w:szCs w:val="21"/>
              </w:rPr>
            </w:pPr>
            <w:r>
              <w:rPr>
                <w:rFonts w:hint="eastAsia" w:ascii="宋体" w:hAnsi="宋体" w:cs="宋体"/>
                <w:b/>
                <w:bCs/>
                <w:szCs w:val="21"/>
              </w:rPr>
              <w:t>评分标准</w:t>
            </w:r>
          </w:p>
        </w:tc>
      </w:tr>
    </w:tbl>
    <w:tbl>
      <w:tblPr>
        <w:tblStyle w:val="41"/>
        <w:tblW w:w="10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1353"/>
        <w:gridCol w:w="745"/>
        <w:gridCol w:w="7688"/>
      </w:tblGrid>
      <w:tr w14:paraId="23515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9" w:hRule="atLeast"/>
          <w:jc w:val="center"/>
        </w:trPr>
        <w:tc>
          <w:tcPr>
            <w:tcW w:w="587" w:type="dxa"/>
            <w:noWrap/>
            <w:vAlign w:val="center"/>
          </w:tcPr>
          <w:p w14:paraId="0996ABAE">
            <w:pPr>
              <w:keepNext w:val="0"/>
              <w:keepLines w:val="0"/>
              <w:pageBreakBefore w:val="0"/>
              <w:widowControl w:val="0"/>
              <w:kinsoku/>
              <w:wordWrap/>
              <w:overflowPunct/>
              <w:topLinePunct w:val="0"/>
              <w:autoSpaceDE/>
              <w:autoSpaceDN/>
              <w:bidi w:val="0"/>
              <w:adjustRightInd/>
              <w:spacing w:line="360" w:lineRule="exact"/>
              <w:jc w:val="both"/>
              <w:textAlignment w:val="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c>
          <w:tcPr>
            <w:tcW w:w="1353" w:type="dxa"/>
            <w:noWrap/>
            <w:vAlign w:val="center"/>
          </w:tcPr>
          <w:p w14:paraId="7DD385E2">
            <w:pPr>
              <w:keepNext w:val="0"/>
              <w:keepLines w:val="0"/>
              <w:pageBreakBefore w:val="0"/>
              <w:widowControl w:val="0"/>
              <w:kinsoku/>
              <w:wordWrap/>
              <w:overflowPunct/>
              <w:topLinePunct w:val="0"/>
              <w:autoSpaceDE/>
              <w:autoSpaceDN/>
              <w:bidi w:val="0"/>
              <w:adjustRightInd/>
              <w:spacing w:line="360" w:lineRule="exact"/>
              <w:jc w:val="both"/>
              <w:textAlignment w:val="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价格（100分）</w:t>
            </w:r>
          </w:p>
        </w:tc>
        <w:tc>
          <w:tcPr>
            <w:tcW w:w="745" w:type="dxa"/>
            <w:noWrap/>
            <w:vAlign w:val="center"/>
          </w:tcPr>
          <w:p w14:paraId="219E5B2E">
            <w:pPr>
              <w:keepNext w:val="0"/>
              <w:keepLines w:val="0"/>
              <w:pageBreakBefore w:val="0"/>
              <w:widowControl w:val="0"/>
              <w:kinsoku/>
              <w:wordWrap/>
              <w:overflowPunct/>
              <w:topLinePunct w:val="0"/>
              <w:autoSpaceDE/>
              <w:autoSpaceDN/>
              <w:bidi w:val="0"/>
              <w:adjustRightInd/>
              <w:spacing w:line="360" w:lineRule="exact"/>
              <w:jc w:val="both"/>
              <w:textAlignment w:val="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100分</w:t>
            </w:r>
          </w:p>
        </w:tc>
        <w:tc>
          <w:tcPr>
            <w:tcW w:w="7688" w:type="dxa"/>
            <w:noWrap/>
            <w:vAlign w:val="center"/>
          </w:tcPr>
          <w:p w14:paraId="053839E5">
            <w:pPr>
              <w:keepNext w:val="0"/>
              <w:keepLines w:val="0"/>
              <w:pageBreakBefore w:val="0"/>
              <w:widowControl w:val="0"/>
              <w:kinsoku/>
              <w:wordWrap/>
              <w:overflowPunct/>
              <w:topLinePunct w:val="0"/>
              <w:autoSpaceDE/>
              <w:autoSpaceDN/>
              <w:bidi w:val="0"/>
              <w:adjustRightInd/>
              <w:spacing w:line="360" w:lineRule="exact"/>
              <w:jc w:val="both"/>
              <w:textAlignment w:val="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满足招标文件要求且经评审后投标价格最低的投标报价为评分基准价，其价格分为满分，其他有效投标人的价格分按照下列公式计算：</w:t>
            </w:r>
          </w:p>
          <w:p w14:paraId="5FECCD44">
            <w:pPr>
              <w:keepNext w:val="0"/>
              <w:keepLines w:val="0"/>
              <w:pageBreakBefore w:val="0"/>
              <w:widowControl w:val="0"/>
              <w:kinsoku/>
              <w:wordWrap/>
              <w:overflowPunct/>
              <w:topLinePunct w:val="0"/>
              <w:autoSpaceDE/>
              <w:autoSpaceDN/>
              <w:bidi w:val="0"/>
              <w:adjustRightInd/>
              <w:spacing w:line="360" w:lineRule="exact"/>
              <w:jc w:val="both"/>
              <w:textAlignment w:val="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投标报价得分=（评标基准价/投标报价）×100×价格权值 </w:t>
            </w:r>
          </w:p>
          <w:p w14:paraId="380AA04F">
            <w:pPr>
              <w:keepNext w:val="0"/>
              <w:keepLines w:val="0"/>
              <w:pageBreakBefore w:val="0"/>
              <w:widowControl w:val="0"/>
              <w:kinsoku/>
              <w:wordWrap/>
              <w:overflowPunct/>
              <w:topLinePunct w:val="0"/>
              <w:autoSpaceDE/>
              <w:autoSpaceDN/>
              <w:bidi w:val="0"/>
              <w:adjustRightInd/>
              <w:spacing w:line="360" w:lineRule="exact"/>
              <w:jc w:val="both"/>
              <w:textAlignment w:val="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注：根据“财政部令第87号”第六十条的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投标无效处理。</w:t>
            </w:r>
          </w:p>
        </w:tc>
      </w:tr>
    </w:tbl>
    <w:p w14:paraId="6B7BF4A0">
      <w:pPr>
        <w:pStyle w:val="114"/>
        <w:jc w:val="center"/>
        <w:rPr>
          <w:rFonts w:hint="eastAsia" w:ascii="宋体" w:hAnsi="宋体"/>
          <w:b/>
        </w:rPr>
      </w:pPr>
      <w:r>
        <w:rPr>
          <w:rFonts w:hint="eastAsia" w:ascii="宋体" w:hAnsi="宋体"/>
          <w:b/>
          <w:sz w:val="24"/>
        </w:rPr>
        <w:t>技术部分评审评分表（分值100分）</w:t>
      </w:r>
    </w:p>
    <w:tbl>
      <w:tblPr>
        <w:tblStyle w:val="40"/>
        <w:tblpPr w:leftFromText="180" w:rightFromText="180" w:vertAnchor="text" w:horzAnchor="page" w:tblpX="874" w:tblpY="43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1395"/>
        <w:gridCol w:w="735"/>
        <w:gridCol w:w="7519"/>
      </w:tblGrid>
      <w:tr w14:paraId="0E4FD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682" w:type="dxa"/>
            <w:noWrap/>
            <w:vAlign w:val="center"/>
          </w:tcPr>
          <w:p w14:paraId="2078B7BC">
            <w:bookmarkStart w:id="27" w:name="_Toc8756"/>
            <w:r>
              <w:rPr>
                <w:rFonts w:hint="eastAsia"/>
              </w:rPr>
              <w:t>序号</w:t>
            </w:r>
          </w:p>
        </w:tc>
        <w:tc>
          <w:tcPr>
            <w:tcW w:w="1395" w:type="dxa"/>
            <w:noWrap/>
            <w:vAlign w:val="center"/>
          </w:tcPr>
          <w:p w14:paraId="58A4E144">
            <w:r>
              <w:rPr>
                <w:rFonts w:hint="eastAsia"/>
              </w:rPr>
              <w:t>评审因素</w:t>
            </w:r>
          </w:p>
        </w:tc>
        <w:tc>
          <w:tcPr>
            <w:tcW w:w="735" w:type="dxa"/>
            <w:noWrap/>
            <w:vAlign w:val="center"/>
          </w:tcPr>
          <w:p w14:paraId="7A4193BE">
            <w:pPr>
              <w:jc w:val="center"/>
            </w:pPr>
            <w:r>
              <w:rPr>
                <w:rFonts w:hint="eastAsia"/>
              </w:rPr>
              <w:t>分值</w:t>
            </w:r>
          </w:p>
        </w:tc>
        <w:tc>
          <w:tcPr>
            <w:tcW w:w="7519" w:type="dxa"/>
            <w:noWrap/>
            <w:vAlign w:val="center"/>
          </w:tcPr>
          <w:p w14:paraId="4AE7CB2E">
            <w:pPr>
              <w:jc w:val="center"/>
            </w:pPr>
            <w:r>
              <w:rPr>
                <w:rFonts w:hint="eastAsia"/>
              </w:rPr>
              <w:t>评分标准</w:t>
            </w:r>
          </w:p>
        </w:tc>
      </w:tr>
      <w:tr w14:paraId="55FF2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2" w:type="dxa"/>
            <w:noWrap/>
            <w:vAlign w:val="center"/>
          </w:tcPr>
          <w:p w14:paraId="39D93281">
            <w:r>
              <w:t>1</w:t>
            </w:r>
          </w:p>
        </w:tc>
        <w:tc>
          <w:tcPr>
            <w:tcW w:w="1395" w:type="dxa"/>
            <w:noWrap/>
            <w:vAlign w:val="center"/>
          </w:tcPr>
          <w:p w14:paraId="2CC3FAE9">
            <w:pPr>
              <w:jc w:val="center"/>
            </w:pPr>
            <w:r>
              <w:rPr>
                <w:rFonts w:hint="eastAsia" w:ascii="宋体" w:hAnsi="宋体" w:eastAsia="宋体" w:cs="宋体"/>
                <w:color w:val="auto"/>
                <w:sz w:val="21"/>
                <w:szCs w:val="21"/>
              </w:rPr>
              <w:t>技术参数响应程度</w:t>
            </w:r>
          </w:p>
        </w:tc>
        <w:tc>
          <w:tcPr>
            <w:tcW w:w="735" w:type="dxa"/>
            <w:noWrap/>
            <w:vAlign w:val="center"/>
          </w:tcPr>
          <w:p w14:paraId="251F15BC">
            <w:pPr>
              <w:rPr>
                <w:rFonts w:hint="default" w:eastAsia="宋体"/>
                <w:lang w:val="en-US" w:eastAsia="zh-CN"/>
              </w:rPr>
            </w:pPr>
            <w:r>
              <w:rPr>
                <w:rFonts w:hint="eastAsia"/>
                <w:lang w:val="en-US" w:eastAsia="zh-CN"/>
              </w:rPr>
              <w:t>10分</w:t>
            </w:r>
          </w:p>
        </w:tc>
        <w:tc>
          <w:tcPr>
            <w:tcW w:w="7519" w:type="dxa"/>
            <w:noWrap/>
            <w:vAlign w:val="center"/>
          </w:tcPr>
          <w:p w14:paraId="67574A94">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技术参数要求完全满足招标文件技术指标的计1</w:t>
            </w:r>
            <w:r>
              <w:rPr>
                <w:rFonts w:hint="eastAsia" w:ascii="宋体" w:hAnsi="宋体" w:eastAsia="宋体" w:cs="宋体"/>
                <w:color w:val="auto"/>
                <w:sz w:val="21"/>
                <w:szCs w:val="21"/>
                <w:lang w:val="en-US" w:eastAsia="zh-CN"/>
              </w:rPr>
              <w:t>0</w:t>
            </w:r>
            <w:r>
              <w:rPr>
                <w:rFonts w:hint="eastAsia" w:ascii="宋体" w:hAnsi="宋体" w:eastAsia="宋体" w:cs="宋体"/>
                <w:color w:val="auto"/>
                <w:sz w:val="21"/>
                <w:szCs w:val="21"/>
              </w:rPr>
              <w:t>分，一般技术条款（非“★”条款）每负偏离一项扣</w:t>
            </w: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分，扣完为止；如缺项或不响应，则视同负偏离处理</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凡招标文件</w:t>
            </w:r>
            <w:r>
              <w:rPr>
                <w:rFonts w:hint="eastAsia" w:ascii="宋体" w:hAnsi="宋体" w:cs="宋体"/>
                <w:color w:val="auto"/>
                <w:sz w:val="21"/>
                <w:szCs w:val="21"/>
                <w:lang w:val="en-US" w:eastAsia="zh-CN"/>
              </w:rPr>
              <w:t>采购需</w:t>
            </w:r>
            <w:r>
              <w:rPr>
                <w:rFonts w:hint="eastAsia" w:ascii="宋体" w:hAnsi="宋体" w:eastAsia="宋体" w:cs="宋体"/>
                <w:color w:val="auto"/>
                <w:sz w:val="21"/>
                <w:szCs w:val="21"/>
              </w:rPr>
              <w:t>求中</w:t>
            </w:r>
            <w:r>
              <w:rPr>
                <w:rFonts w:hint="eastAsia" w:ascii="宋体" w:hAnsi="宋体" w:cs="宋体"/>
                <w:color w:val="auto"/>
                <w:sz w:val="21"/>
                <w:szCs w:val="21"/>
                <w:lang w:val="en-US" w:eastAsia="zh-CN"/>
              </w:rPr>
              <w:t>要求</w:t>
            </w:r>
            <w:r>
              <w:rPr>
                <w:rFonts w:hint="eastAsia" w:ascii="宋体" w:hAnsi="宋体" w:eastAsia="宋体" w:cs="宋体"/>
                <w:color w:val="auto"/>
                <w:sz w:val="21"/>
                <w:szCs w:val="21"/>
              </w:rPr>
              <w:t xml:space="preserve">提供的证明材料的必须提供相关证明材料并加盖投标人公章，未按要求提供或提供的材料不足均视为缺漏项。 </w:t>
            </w:r>
          </w:p>
          <w:p w14:paraId="188996E5">
            <w:r>
              <w:rPr>
                <w:rFonts w:hint="eastAsia" w:ascii="宋体" w:hAnsi="宋体" w:eastAsia="宋体" w:cs="宋体"/>
                <w:color w:val="auto"/>
                <w:sz w:val="21"/>
                <w:szCs w:val="21"/>
                <w:highlight w:val="none"/>
              </w:rPr>
              <w:t>投标文件没有</w:t>
            </w:r>
            <w:r>
              <w:rPr>
                <w:rFonts w:hint="eastAsia" w:ascii="宋体" w:hAnsi="宋体" w:eastAsia="宋体" w:cs="宋体"/>
                <w:color w:val="auto"/>
                <w:sz w:val="21"/>
                <w:szCs w:val="21"/>
                <w:highlight w:val="none"/>
                <w:lang w:val="en-US" w:eastAsia="zh-CN"/>
              </w:rPr>
              <w:t>货物说明响应</w:t>
            </w:r>
            <w:r>
              <w:rPr>
                <w:rFonts w:hint="eastAsia" w:ascii="宋体" w:hAnsi="宋体" w:eastAsia="宋体" w:cs="宋体"/>
                <w:color w:val="auto"/>
                <w:sz w:val="21"/>
                <w:szCs w:val="21"/>
                <w:lang w:val="en-US" w:eastAsia="zh-CN"/>
              </w:rPr>
              <w:t>一</w:t>
            </w:r>
            <w:r>
              <w:rPr>
                <w:rFonts w:hint="eastAsia" w:ascii="宋体" w:hAnsi="宋体" w:eastAsia="宋体" w:cs="宋体"/>
                <w:color w:val="auto"/>
                <w:sz w:val="21"/>
                <w:szCs w:val="21"/>
              </w:rPr>
              <w:t>览表的，不计分。</w:t>
            </w:r>
          </w:p>
        </w:tc>
      </w:tr>
      <w:tr w14:paraId="24B8B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682" w:type="dxa"/>
            <w:noWrap/>
            <w:vAlign w:val="center"/>
          </w:tcPr>
          <w:p w14:paraId="4A721E3D">
            <w:r>
              <w:rPr>
                <w:rFonts w:hint="eastAsia"/>
              </w:rPr>
              <w:t>2</w:t>
            </w:r>
          </w:p>
        </w:tc>
        <w:tc>
          <w:tcPr>
            <w:tcW w:w="1395" w:type="dxa"/>
            <w:noWrap/>
            <w:vAlign w:val="center"/>
          </w:tcPr>
          <w:p w14:paraId="0AE077FF">
            <w:r>
              <w:rPr>
                <w:rFonts w:hint="eastAsia" w:ascii="宋体" w:hAnsi="宋体" w:eastAsia="宋体" w:cs="宋体"/>
                <w:color w:val="auto"/>
                <w:sz w:val="21"/>
                <w:szCs w:val="21"/>
              </w:rPr>
              <w:t>项目实施方案</w:t>
            </w:r>
          </w:p>
        </w:tc>
        <w:tc>
          <w:tcPr>
            <w:tcW w:w="735" w:type="dxa"/>
            <w:noWrap/>
            <w:vAlign w:val="center"/>
          </w:tcPr>
          <w:p w14:paraId="1C4C442B">
            <w:pPr>
              <w:rPr>
                <w:rFonts w:hint="default" w:eastAsia="宋体"/>
                <w:lang w:val="en-US" w:eastAsia="zh-CN"/>
              </w:rPr>
            </w:pPr>
            <w:r>
              <w:rPr>
                <w:rFonts w:hint="eastAsia"/>
                <w:lang w:val="en-US" w:eastAsia="zh-CN"/>
              </w:rPr>
              <w:t>25分</w:t>
            </w:r>
          </w:p>
        </w:tc>
        <w:tc>
          <w:tcPr>
            <w:tcW w:w="7519" w:type="dxa"/>
            <w:noWrap/>
            <w:vAlign w:val="center"/>
          </w:tcPr>
          <w:p w14:paraId="3AD52586">
            <w:pP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投标人需根据采购需求提供针对本项目的项目实施方案，方案应包括但不限于：</w:t>
            </w:r>
            <w:r>
              <w:rPr>
                <w:rFonts w:hint="eastAsia" w:ascii="宋体" w:hAnsi="宋体" w:eastAsia="宋体" w:cs="宋体"/>
                <w:b/>
                <w:bCs/>
                <w:color w:val="auto"/>
                <w:sz w:val="21"/>
                <w:szCs w:val="21"/>
              </w:rPr>
              <w:t>①实施总体方案、②项目人员配备及安排、③项目进度计划及保证措施、④安装调试程序</w:t>
            </w:r>
            <w:r>
              <w:rPr>
                <w:rFonts w:hint="eastAsia" w:ascii="宋体" w:hAnsi="宋体" w:cs="宋体"/>
                <w:b/>
                <w:bCs/>
                <w:color w:val="auto"/>
                <w:sz w:val="21"/>
                <w:szCs w:val="21"/>
                <w:lang w:val="en-US" w:eastAsia="zh-CN"/>
              </w:rPr>
              <w:t>及</w:t>
            </w:r>
            <w:r>
              <w:rPr>
                <w:rFonts w:hint="eastAsia" w:ascii="宋体" w:hAnsi="宋体" w:eastAsia="宋体" w:cs="宋体"/>
                <w:b/>
                <w:bCs/>
                <w:color w:val="auto"/>
                <w:sz w:val="21"/>
                <w:szCs w:val="21"/>
              </w:rPr>
              <w:t>质量保证措施、⑤安全文明施工措施</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以上相关方案每一小项内容方案完整详细，符合采购实际需求得5分，缺项不得分，满分</w:t>
            </w:r>
            <w:r>
              <w:rPr>
                <w:rFonts w:hint="eastAsia" w:ascii="宋体" w:hAnsi="宋体" w:cs="宋体"/>
                <w:color w:val="auto"/>
                <w:sz w:val="21"/>
                <w:szCs w:val="21"/>
                <w:lang w:val="en-US" w:eastAsia="zh-CN"/>
              </w:rPr>
              <w:t>25</w:t>
            </w:r>
            <w:r>
              <w:rPr>
                <w:rFonts w:hint="eastAsia" w:ascii="宋体" w:hAnsi="宋体" w:eastAsia="宋体" w:cs="宋体"/>
                <w:color w:val="auto"/>
                <w:sz w:val="21"/>
                <w:szCs w:val="21"/>
                <w:lang w:val="en-US" w:eastAsia="zh-CN"/>
              </w:rPr>
              <w:t>分。每1小项内容出现以下缺陷情形的扣3分，每项扣完5分为止。</w:t>
            </w:r>
          </w:p>
          <w:p w14:paraId="0AD2A8F7">
            <w:r>
              <w:rPr>
                <w:rFonts w:hint="eastAsia" w:ascii="宋体" w:hAnsi="宋体" w:eastAsia="宋体" w:cs="宋体"/>
                <w:color w:val="auto"/>
                <w:sz w:val="21"/>
                <w:szCs w:val="21"/>
                <w:lang w:val="en-US" w:eastAsia="zh-CN"/>
              </w:rPr>
              <w:t>(缺陷是指:存在不适用项目实际情况的情形、凭空编造、逻辑漏洞、前后不一、科学原理错误以及不可能实现的夸大情形、涉及内容无重点、套用其他项目方案，未能体现出本项目的特点或与本项目实际需求不完全相符或内容简陋可能导致本项目无法按采购需求顺利完成的、语言错误或存在歧义、该</w:t>
            </w:r>
            <w:r>
              <w:rPr>
                <w:rFonts w:hint="eastAsia" w:ascii="宋体" w:hAnsi="宋体" w:cs="宋体"/>
                <w:color w:val="auto"/>
                <w:sz w:val="21"/>
                <w:szCs w:val="21"/>
                <w:lang w:val="en-US" w:eastAsia="zh-CN"/>
              </w:rPr>
              <w:t>项</w:t>
            </w:r>
            <w:r>
              <w:rPr>
                <w:rFonts w:hint="eastAsia" w:ascii="宋体" w:hAnsi="宋体" w:eastAsia="宋体" w:cs="宋体"/>
                <w:color w:val="auto"/>
                <w:sz w:val="21"/>
                <w:szCs w:val="21"/>
                <w:lang w:val="en-US" w:eastAsia="zh-CN"/>
              </w:rPr>
              <w:t>内容体现不齐全等)</w:t>
            </w:r>
          </w:p>
        </w:tc>
      </w:tr>
      <w:tr w14:paraId="77212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682" w:type="dxa"/>
            <w:noWrap/>
            <w:vAlign w:val="center"/>
          </w:tcPr>
          <w:p w14:paraId="3A76207E">
            <w:r>
              <w:rPr>
                <w:rFonts w:hint="eastAsia"/>
              </w:rPr>
              <w:t>3</w:t>
            </w:r>
          </w:p>
        </w:tc>
        <w:tc>
          <w:tcPr>
            <w:tcW w:w="1395" w:type="dxa"/>
            <w:noWrap/>
            <w:vAlign w:val="center"/>
          </w:tcPr>
          <w:p w14:paraId="5552BE88">
            <w:r>
              <w:rPr>
                <w:rFonts w:hint="eastAsia" w:ascii="宋体" w:hAnsi="宋体" w:eastAsia="宋体" w:cs="宋体"/>
                <w:color w:val="auto"/>
                <w:sz w:val="21"/>
                <w:szCs w:val="21"/>
                <w:lang w:val="en-US" w:eastAsia="zh-CN"/>
              </w:rPr>
              <w:t>产品性能质量</w:t>
            </w:r>
          </w:p>
        </w:tc>
        <w:tc>
          <w:tcPr>
            <w:tcW w:w="735" w:type="dxa"/>
            <w:noWrap/>
            <w:vAlign w:val="center"/>
          </w:tcPr>
          <w:p w14:paraId="18CD327D">
            <w:pPr>
              <w:rPr>
                <w:rFonts w:hint="default" w:eastAsia="宋体"/>
                <w:lang w:val="en-US" w:eastAsia="zh-CN"/>
              </w:rPr>
            </w:pPr>
            <w:r>
              <w:rPr>
                <w:rFonts w:hint="eastAsia"/>
                <w:lang w:val="en-US" w:eastAsia="zh-CN"/>
              </w:rPr>
              <w:t>42分</w:t>
            </w:r>
          </w:p>
        </w:tc>
        <w:tc>
          <w:tcPr>
            <w:tcW w:w="7519" w:type="dxa"/>
            <w:noWrap/>
            <w:vAlign w:val="center"/>
          </w:tcPr>
          <w:p w14:paraId="57C4F0A1">
            <w:pPr>
              <w:spacing w:line="330" w:lineRule="exact"/>
              <w:rPr>
                <w:rFonts w:hint="eastAsia" w:ascii="宋体" w:hAnsi="宋体"/>
              </w:rPr>
            </w:pPr>
            <w:r>
              <w:rPr>
                <w:rFonts w:hint="eastAsia" w:ascii="宋体" w:hAnsi="宋体"/>
              </w:rPr>
              <w:t>1、投标人所投电梯品牌制造商曳引主机制动器动作试验动作次数不少于2000万次及以上且工作正常的计5分；2000万次＞动作次数≥1600万次且工作正常的计2分；1600万次＞动作次数≥1200万次且工作正常的计1分；其余的不计分（提供国家电梯质量监督检验中心或省级特种设备检验检测研究院或具有CNAS认证的检测机构出具的检测（验）报告复印件</w:t>
            </w:r>
            <w:r>
              <w:rPr>
                <w:rFonts w:hint="eastAsia"/>
              </w:rPr>
              <w:t>并加盖投标人公章，否则不计分</w:t>
            </w:r>
            <w:r>
              <w:rPr>
                <w:rFonts w:hint="eastAsia" w:ascii="宋体" w:hAnsi="宋体"/>
              </w:rPr>
              <w:t>）。</w:t>
            </w:r>
          </w:p>
          <w:p w14:paraId="3AA1FB73">
            <w:pPr>
              <w:spacing w:line="276" w:lineRule="auto"/>
              <w:rPr>
                <w:rFonts w:hint="eastAsia" w:ascii="宋体" w:hAnsi="宋体"/>
              </w:rPr>
            </w:pPr>
            <w:r>
              <w:rPr>
                <w:rFonts w:hint="eastAsia" w:ascii="宋体" w:hAnsi="宋体"/>
              </w:rPr>
              <w:t>2、投标人所投电梯品牌制造商永磁同步门机开/关门运行次数不少于1600万次且开关门噪音不高于55dB(A)的计5分；运行次数不少于1000万次且开关门噪音不高于65dB(A)的计2分；运行次数不少于700万次且开关门噪音不高于65dB(A)的计1分，其余的不计分（提供国家电梯质量监督检验中心或省级特种设备检验检测研究院或具有CNAS认证的检测机构出具的检测（验）报告复印件并加盖投标人公章，否则不计分）。</w:t>
            </w:r>
          </w:p>
          <w:p w14:paraId="32E1D9E6">
            <w:pPr>
              <w:pStyle w:val="3"/>
              <w:keepLines w:val="0"/>
              <w:spacing w:line="330" w:lineRule="exact"/>
              <w:rPr>
                <w:rFonts w:hint="eastAsia" w:ascii="宋体" w:hAnsi="宋体"/>
                <w:b w:val="0"/>
                <w:sz w:val="21"/>
              </w:rPr>
            </w:pPr>
            <w:r>
              <w:rPr>
                <w:rFonts w:hint="eastAsia" w:ascii="宋体" w:hAnsi="宋体"/>
                <w:b w:val="0"/>
                <w:sz w:val="21"/>
              </w:rPr>
              <w:t>3、</w:t>
            </w:r>
            <w:r>
              <w:rPr>
                <w:rFonts w:hint="eastAsia" w:ascii="宋体" w:hAnsi="宋体"/>
                <w:b w:val="0"/>
                <w:kern w:val="2"/>
                <w:sz w:val="21"/>
              </w:rPr>
              <w:t>投标人所投电梯品牌制造商设计的控制柜满足电压波动承受能力达到±20%</w:t>
            </w:r>
            <w:r>
              <w:rPr>
                <w:rFonts w:hint="eastAsia" w:ascii="宋体" w:hAnsi="宋体"/>
                <w:b w:val="0"/>
                <w:kern w:val="2"/>
                <w:sz w:val="21"/>
                <w:lang w:eastAsia="zh-CN"/>
              </w:rPr>
              <w:t>（</w:t>
            </w:r>
            <w:r>
              <w:rPr>
                <w:rFonts w:hint="eastAsia" w:ascii="宋体" w:hAnsi="宋体"/>
                <w:b w:val="0"/>
                <w:kern w:val="2"/>
                <w:sz w:val="21"/>
              </w:rPr>
              <w:t>即设备能在额定电压的 80%-120% 范围内稳定运行</w:t>
            </w:r>
            <w:r>
              <w:rPr>
                <w:rFonts w:hint="eastAsia" w:ascii="宋体" w:hAnsi="宋体"/>
                <w:b w:val="0"/>
                <w:kern w:val="2"/>
                <w:sz w:val="21"/>
                <w:highlight w:val="none"/>
                <w:lang w:eastAsia="zh-CN"/>
              </w:rPr>
              <w:t>）</w:t>
            </w:r>
            <w:r>
              <w:rPr>
                <w:rFonts w:hint="eastAsia" w:ascii="宋体" w:hAnsi="宋体"/>
                <w:b w:val="0"/>
                <w:kern w:val="2"/>
                <w:sz w:val="21"/>
                <w:highlight w:val="none"/>
              </w:rPr>
              <w:t>的计</w:t>
            </w:r>
            <w:r>
              <w:rPr>
                <w:rFonts w:hint="eastAsia" w:ascii="宋体" w:hAnsi="宋体"/>
                <w:b w:val="0"/>
                <w:kern w:val="2"/>
                <w:sz w:val="21"/>
                <w:highlight w:val="none"/>
                <w:lang w:val="en-US" w:eastAsia="zh-CN"/>
              </w:rPr>
              <w:t>8</w:t>
            </w:r>
            <w:r>
              <w:rPr>
                <w:rFonts w:hint="eastAsia" w:ascii="宋体" w:hAnsi="宋体"/>
                <w:b w:val="0"/>
                <w:kern w:val="2"/>
                <w:sz w:val="21"/>
                <w:highlight w:val="none"/>
              </w:rPr>
              <w:t>分；</w:t>
            </w:r>
            <w:r>
              <w:rPr>
                <w:rFonts w:hint="eastAsia" w:ascii="宋体" w:hAnsi="宋体"/>
                <w:b w:val="0"/>
                <w:kern w:val="2"/>
                <w:sz w:val="21"/>
              </w:rPr>
              <w:t>控制柜满足电压波动承受能力达到±15%</w:t>
            </w:r>
            <w:r>
              <w:rPr>
                <w:rFonts w:hint="eastAsia" w:ascii="宋体" w:hAnsi="宋体"/>
                <w:b w:val="0"/>
                <w:kern w:val="2"/>
                <w:sz w:val="21"/>
                <w:lang w:eastAsia="zh-CN"/>
              </w:rPr>
              <w:t>（</w:t>
            </w:r>
            <w:r>
              <w:rPr>
                <w:rFonts w:hint="eastAsia" w:ascii="宋体" w:hAnsi="宋体"/>
                <w:b w:val="0"/>
                <w:kern w:val="2"/>
                <w:sz w:val="21"/>
              </w:rPr>
              <w:t>即能在额定电压的 85%-115% 范围内正常工作</w:t>
            </w:r>
            <w:r>
              <w:rPr>
                <w:rFonts w:hint="eastAsia" w:ascii="宋体" w:hAnsi="宋体"/>
                <w:b w:val="0"/>
                <w:kern w:val="2"/>
                <w:sz w:val="21"/>
                <w:lang w:eastAsia="zh-CN"/>
              </w:rPr>
              <w:t>）</w:t>
            </w:r>
            <w:r>
              <w:rPr>
                <w:rFonts w:hint="eastAsia" w:ascii="宋体" w:hAnsi="宋体"/>
                <w:b w:val="0"/>
                <w:kern w:val="2"/>
                <w:sz w:val="21"/>
              </w:rPr>
              <w:t>的计3分；其余的不计分（提供国家电梯质量监督检验中心或省级特种设备检验检测研究院或具有CNAS认证的检测机构出具的检测（验）报告复印件并加盖投标人公章，否则不计分）。</w:t>
            </w:r>
          </w:p>
          <w:p w14:paraId="5A73900D">
            <w:pPr>
              <w:rPr>
                <w:rFonts w:hint="eastAsia" w:ascii="宋体" w:hAnsi="宋体" w:eastAsia="宋体" w:cs="Times New Roman"/>
                <w:b w:val="0"/>
                <w:bCs/>
                <w:kern w:val="2"/>
                <w:sz w:val="21"/>
                <w:szCs w:val="32"/>
                <w:lang w:val="en-US" w:eastAsia="zh-CN" w:bidi="ar-SA"/>
              </w:rPr>
            </w:pPr>
            <w:r>
              <w:rPr>
                <w:rFonts w:hint="eastAsia" w:ascii="宋体" w:hAnsi="宋体" w:eastAsia="宋体" w:cs="Times New Roman"/>
                <w:b w:val="0"/>
                <w:bCs/>
                <w:kern w:val="2"/>
                <w:sz w:val="21"/>
                <w:szCs w:val="32"/>
                <w:lang w:val="en-US" w:eastAsia="zh-CN" w:bidi="ar-SA"/>
              </w:rPr>
              <w:t>4、投标人所投电梯品牌制造商曳引机制动器在轿厢内加载≥250%的额定荷载后能至少保持85分钟，且主机制动器各部件完好，曳引轮不转动、轿厢未发生明显位移，制动器可保持良好的静态制动性</w:t>
            </w:r>
            <w:r>
              <w:rPr>
                <w:rFonts w:hint="eastAsia" w:ascii="宋体" w:hAnsi="宋体" w:eastAsia="宋体" w:cs="Times New Roman"/>
                <w:b w:val="0"/>
                <w:bCs/>
                <w:kern w:val="2"/>
                <w:sz w:val="21"/>
                <w:szCs w:val="32"/>
                <w:highlight w:val="none"/>
                <w:lang w:val="en-US" w:eastAsia="zh-CN" w:bidi="ar-SA"/>
              </w:rPr>
              <w:t>能计</w:t>
            </w:r>
            <w:r>
              <w:rPr>
                <w:rFonts w:hint="eastAsia" w:ascii="宋体" w:hAnsi="宋体" w:cs="Times New Roman"/>
                <w:b w:val="0"/>
                <w:bCs/>
                <w:kern w:val="2"/>
                <w:sz w:val="21"/>
                <w:szCs w:val="32"/>
                <w:highlight w:val="none"/>
                <w:lang w:val="en-US" w:eastAsia="zh-CN" w:bidi="ar-SA"/>
              </w:rPr>
              <w:t>10</w:t>
            </w:r>
            <w:r>
              <w:rPr>
                <w:rFonts w:hint="eastAsia" w:ascii="宋体" w:hAnsi="宋体" w:eastAsia="宋体" w:cs="Times New Roman"/>
                <w:b w:val="0"/>
                <w:bCs/>
                <w:kern w:val="2"/>
                <w:sz w:val="21"/>
                <w:szCs w:val="32"/>
                <w:highlight w:val="none"/>
                <w:lang w:val="en-US" w:eastAsia="zh-CN" w:bidi="ar-SA"/>
              </w:rPr>
              <w:t>分；</w:t>
            </w:r>
            <w:r>
              <w:rPr>
                <w:rFonts w:hint="eastAsia" w:ascii="宋体" w:hAnsi="宋体" w:eastAsia="宋体" w:cs="Times New Roman"/>
                <w:b w:val="0"/>
                <w:bCs/>
                <w:kern w:val="2"/>
                <w:sz w:val="21"/>
                <w:szCs w:val="32"/>
                <w:lang w:val="en-US" w:eastAsia="zh-CN" w:bidi="ar-SA"/>
              </w:rPr>
              <w:t>240%的额定荷载＞曳引机制动器在轿厢内加载≥180%的额定荷载后能至少保持65分钟，且主机制动器各部件完好，曳引轮不转动、轿厢未发生明显位移，制动器可保持良好的静态制动性能计5分，180%的额定荷载＞曳引机制动器在轿厢内加载后能至少保持55分钟，且主机制动器各部件完好，曳引轮不转动、轿厢未发生明显位移，制动器可保持良好的静态制动性能计2分。（提供国家电梯质量监督检验中心或省级特种设备检验检测研究院或具有CNAS认证的检测机构出具的检测（验）报告复印件并加盖投标人公章，否则不计分）</w:t>
            </w:r>
          </w:p>
          <w:p w14:paraId="4E92C6DB">
            <w:pPr>
              <w:spacing w:line="276" w:lineRule="auto"/>
              <w:rPr>
                <w:rFonts w:hint="eastAsia" w:ascii="宋体" w:hAnsi="宋体"/>
                <w:color w:val="auto"/>
              </w:rPr>
            </w:pPr>
            <w:r>
              <w:rPr>
                <w:rFonts w:hint="eastAsia" w:ascii="宋体" w:hAnsi="宋体" w:cs="宋体"/>
                <w:szCs w:val="21"/>
              </w:rPr>
              <w:t>5、</w:t>
            </w:r>
            <w:r>
              <w:rPr>
                <w:rFonts w:hint="eastAsia" w:ascii="宋体" w:hAnsi="宋体"/>
                <w:szCs w:val="21"/>
              </w:rPr>
              <w:t>所投产品主机</w:t>
            </w:r>
            <w:r>
              <w:rPr>
                <w:rFonts w:hint="eastAsia" w:ascii="宋体" w:hAnsi="宋体"/>
                <w:szCs w:val="21"/>
                <w:lang w:val="en-US" w:eastAsia="zh-CN"/>
              </w:rPr>
              <w:t>在满负荷工作下</w:t>
            </w:r>
            <w:r>
              <w:rPr>
                <w:rFonts w:hint="eastAsia" w:ascii="宋体" w:hAnsi="宋体"/>
                <w:szCs w:val="21"/>
              </w:rPr>
              <w:t>温升</w:t>
            </w:r>
            <w:r>
              <w:rPr>
                <w:rFonts w:hint="eastAsia" w:ascii="宋体" w:hAnsi="宋体"/>
                <w:color w:val="auto"/>
                <w:szCs w:val="21"/>
              </w:rPr>
              <w:t>不高于50K（含）的计</w:t>
            </w:r>
            <w:r>
              <w:rPr>
                <w:rFonts w:hint="eastAsia" w:ascii="宋体" w:hAnsi="宋体"/>
                <w:color w:val="auto"/>
                <w:szCs w:val="21"/>
                <w:lang w:val="en-US" w:eastAsia="zh-CN"/>
              </w:rPr>
              <w:t>4</w:t>
            </w:r>
            <w:r>
              <w:rPr>
                <w:rFonts w:hint="eastAsia" w:ascii="宋体" w:hAnsi="宋体"/>
                <w:color w:val="auto"/>
                <w:szCs w:val="21"/>
              </w:rPr>
              <w:t>分，主机温升50K（不含）-60K（含）的计2分，其余不计分。（注：需提供第三方检测机构（检测机构应同时具有CMA认证、CNAS认证）出具的证明文件复印件并加盖投标人公章，否则不计分。）</w:t>
            </w:r>
          </w:p>
          <w:p w14:paraId="51D39631">
            <w:pPr>
              <w:rPr>
                <w:color w:val="auto"/>
              </w:rPr>
            </w:pPr>
            <w:r>
              <w:rPr>
                <w:rFonts w:hint="eastAsia" w:ascii="宋体" w:hAnsi="宋体" w:cs="宋体"/>
                <w:color w:val="auto"/>
                <w:szCs w:val="21"/>
              </w:rPr>
              <w:t>6</w:t>
            </w:r>
            <w:r>
              <w:rPr>
                <w:rFonts w:hint="eastAsia" w:ascii="宋体" w:hAnsi="宋体"/>
                <w:color w:val="auto"/>
                <w:szCs w:val="21"/>
              </w:rPr>
              <w:t>、</w:t>
            </w:r>
            <w:r>
              <w:rPr>
                <w:rFonts w:hint="eastAsia"/>
                <w:color w:val="auto"/>
              </w:rPr>
              <w:t>根据所投电梯产品信号系统盐雾测试，可以提供盐雾测试的得</w:t>
            </w:r>
            <w:r>
              <w:rPr>
                <w:rFonts w:hint="eastAsia"/>
                <w:color w:val="auto"/>
                <w:lang w:val="en-US" w:eastAsia="zh-CN"/>
              </w:rPr>
              <w:t>5</w:t>
            </w:r>
            <w:r>
              <w:rPr>
                <w:rFonts w:hint="eastAsia"/>
                <w:color w:val="auto"/>
              </w:rPr>
              <w:t>分，其余不得分。提供由具备</w:t>
            </w:r>
            <w:r>
              <w:rPr>
                <w:color w:val="auto"/>
              </w:rPr>
              <w:t>CMA</w:t>
            </w:r>
            <w:r>
              <w:rPr>
                <w:rFonts w:hint="eastAsia"/>
                <w:color w:val="auto"/>
              </w:rPr>
              <w:t>或者</w:t>
            </w:r>
            <w:r>
              <w:rPr>
                <w:color w:val="auto"/>
              </w:rPr>
              <w:t>CNAS</w:t>
            </w:r>
            <w:r>
              <w:rPr>
                <w:rFonts w:hint="eastAsia"/>
                <w:color w:val="auto"/>
              </w:rPr>
              <w:t>认证的检测机构出具的第三方试验报告扫描件</w:t>
            </w:r>
            <w:r>
              <w:rPr>
                <w:rFonts w:hint="eastAsia" w:ascii="宋体" w:hAnsi="宋体"/>
                <w:color w:val="auto"/>
              </w:rPr>
              <w:t>并加盖投标人公章</w:t>
            </w:r>
            <w:r>
              <w:rPr>
                <w:rFonts w:hint="eastAsia"/>
                <w:color w:val="auto"/>
              </w:rPr>
              <w:t>，未提供不得分。</w:t>
            </w:r>
          </w:p>
          <w:p w14:paraId="6B6C5389">
            <w:r>
              <w:rPr>
                <w:color w:val="auto"/>
              </w:rPr>
              <w:t>7</w:t>
            </w:r>
            <w:r>
              <w:rPr>
                <w:rFonts w:hint="eastAsia"/>
                <w:color w:val="auto"/>
              </w:rPr>
              <w:t>、根据所投产品不锈钢盐雾试验，试验后未出现腐蚀现象、大于</w:t>
            </w:r>
            <w:r>
              <w:rPr>
                <w:color w:val="auto"/>
              </w:rPr>
              <w:t>470</w:t>
            </w:r>
            <w:r>
              <w:rPr>
                <w:rFonts w:hint="eastAsia"/>
                <w:color w:val="auto"/>
              </w:rPr>
              <w:t>小时以上的得</w:t>
            </w:r>
            <w:r>
              <w:rPr>
                <w:rFonts w:hint="eastAsia"/>
                <w:color w:val="auto"/>
                <w:lang w:val="en-US" w:eastAsia="zh-CN"/>
              </w:rPr>
              <w:t>5</w:t>
            </w:r>
            <w:r>
              <w:rPr>
                <w:rFonts w:hint="eastAsia"/>
                <w:color w:val="000000"/>
              </w:rPr>
              <w:t>分，300到</w:t>
            </w:r>
            <w:r>
              <w:rPr>
                <w:rFonts w:hint="eastAsia"/>
                <w:color w:val="000000"/>
                <w:lang w:val="en-US" w:eastAsia="zh-CN"/>
              </w:rPr>
              <w:t>470</w:t>
            </w:r>
            <w:r>
              <w:rPr>
                <w:rFonts w:hint="eastAsia"/>
                <w:color w:val="000000"/>
              </w:rPr>
              <w:t>小时</w:t>
            </w:r>
            <w:r>
              <w:rPr>
                <w:rFonts w:hint="eastAsia"/>
                <w:color w:val="auto"/>
              </w:rPr>
              <w:t>之间</w:t>
            </w:r>
            <w:r>
              <w:rPr>
                <w:rFonts w:hint="eastAsia"/>
                <w:color w:val="000000"/>
              </w:rPr>
              <w:t>的得</w:t>
            </w:r>
            <w:r>
              <w:rPr>
                <w:color w:val="000000"/>
              </w:rPr>
              <w:t>3</w:t>
            </w:r>
            <w:r>
              <w:rPr>
                <w:rFonts w:hint="eastAsia"/>
                <w:color w:val="000000"/>
              </w:rPr>
              <w:t>分，低于</w:t>
            </w:r>
            <w:r>
              <w:rPr>
                <w:color w:val="000000"/>
              </w:rPr>
              <w:t>300</w:t>
            </w:r>
            <w:r>
              <w:rPr>
                <w:rFonts w:hint="eastAsia"/>
                <w:color w:val="000000"/>
              </w:rPr>
              <w:t>小时的得</w:t>
            </w:r>
            <w:r>
              <w:rPr>
                <w:color w:val="000000"/>
              </w:rPr>
              <w:t>1</w:t>
            </w:r>
            <w:r>
              <w:rPr>
                <w:rFonts w:hint="eastAsia"/>
                <w:color w:val="000000"/>
              </w:rPr>
              <w:t>分，其余不得分。提供由具备</w:t>
            </w:r>
            <w:r>
              <w:rPr>
                <w:color w:val="000000"/>
              </w:rPr>
              <w:t>CMA</w:t>
            </w:r>
            <w:r>
              <w:rPr>
                <w:rFonts w:hint="eastAsia"/>
                <w:color w:val="000000"/>
              </w:rPr>
              <w:t>或者</w:t>
            </w:r>
            <w:r>
              <w:rPr>
                <w:color w:val="000000"/>
              </w:rPr>
              <w:t>CNAS</w:t>
            </w:r>
            <w:r>
              <w:rPr>
                <w:rFonts w:hint="eastAsia"/>
                <w:color w:val="000000"/>
              </w:rPr>
              <w:t>认证的检测机构出具的第三方试验报告扫描件</w:t>
            </w:r>
            <w:r>
              <w:rPr>
                <w:rFonts w:hint="eastAsia" w:ascii="宋体" w:hAnsi="宋体"/>
              </w:rPr>
              <w:t>并加盖投标人公章</w:t>
            </w:r>
            <w:r>
              <w:rPr>
                <w:rFonts w:hint="eastAsia"/>
                <w:color w:val="000000"/>
              </w:rPr>
              <w:t>，未提供不得分。</w:t>
            </w:r>
          </w:p>
        </w:tc>
      </w:tr>
      <w:tr w14:paraId="02D40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682" w:type="dxa"/>
            <w:noWrap/>
            <w:vAlign w:val="center"/>
          </w:tcPr>
          <w:p w14:paraId="0C967F8F">
            <w:pPr>
              <w:rPr>
                <w:rFonts w:hint="default" w:eastAsia="宋体"/>
                <w:lang w:val="en-US" w:eastAsia="zh-CN"/>
              </w:rPr>
            </w:pPr>
            <w:r>
              <w:rPr>
                <w:rFonts w:hint="eastAsia"/>
                <w:lang w:val="en-US" w:eastAsia="zh-CN"/>
              </w:rPr>
              <w:t>4</w:t>
            </w:r>
          </w:p>
        </w:tc>
        <w:tc>
          <w:tcPr>
            <w:tcW w:w="1395" w:type="dxa"/>
            <w:noWrap/>
            <w:vAlign w:val="center"/>
          </w:tcPr>
          <w:p w14:paraId="0574E0FC">
            <w:pPr>
              <w:jc w:val="center"/>
              <w:rPr>
                <w:rFonts w:hint="eastAsia" w:ascii="宋体" w:hAnsi="宋体" w:eastAsia="宋体" w:cs="宋体"/>
                <w:color w:val="auto"/>
                <w:sz w:val="21"/>
                <w:szCs w:val="21"/>
                <w:lang w:val="en-US" w:eastAsia="zh-CN"/>
              </w:rPr>
            </w:pPr>
            <w:r>
              <w:rPr>
                <w:rFonts w:hint="eastAsia"/>
                <w:color w:val="000000"/>
                <w:spacing w:val="-1"/>
              </w:rPr>
              <w:t>光幕</w:t>
            </w:r>
          </w:p>
        </w:tc>
        <w:tc>
          <w:tcPr>
            <w:tcW w:w="735" w:type="dxa"/>
            <w:noWrap/>
            <w:vAlign w:val="center"/>
          </w:tcPr>
          <w:p w14:paraId="419F101F">
            <w:pPr>
              <w:rPr>
                <w:rFonts w:hint="default" w:eastAsia="宋体"/>
                <w:lang w:val="en-US" w:eastAsia="zh-CN"/>
              </w:rPr>
            </w:pPr>
            <w:r>
              <w:rPr>
                <w:rFonts w:hint="eastAsia"/>
                <w:color w:val="000000"/>
                <w:spacing w:val="-6"/>
                <w:lang w:val="en-US" w:eastAsia="zh-CN"/>
              </w:rPr>
              <w:t>10分</w:t>
            </w:r>
          </w:p>
        </w:tc>
        <w:tc>
          <w:tcPr>
            <w:tcW w:w="7519" w:type="dxa"/>
            <w:noWrap/>
            <w:vAlign w:val="center"/>
          </w:tcPr>
          <w:p w14:paraId="384BED41">
            <w:pPr>
              <w:widowControl/>
              <w:textAlignment w:val="center"/>
              <w:rPr>
                <w:color w:val="auto"/>
              </w:rPr>
            </w:pPr>
            <w:r>
              <w:rPr>
                <w:rFonts w:hint="eastAsia"/>
                <w:color w:val="000000"/>
              </w:rPr>
              <w:t>光幕</w:t>
            </w:r>
            <w:r>
              <w:rPr>
                <w:rFonts w:hint="eastAsia" w:ascii="宋体" w:hAnsi="宋体" w:eastAsia="宋体" w:cs="Times New Roman"/>
                <w:b w:val="0"/>
                <w:bCs/>
                <w:kern w:val="2"/>
                <w:sz w:val="21"/>
                <w:szCs w:val="32"/>
                <w:lang w:val="en-US" w:eastAsia="zh-CN" w:bidi="ar-SA"/>
              </w:rPr>
              <w:t>≥</w:t>
            </w:r>
            <w:r>
              <w:rPr>
                <w:color w:val="000000"/>
              </w:rPr>
              <w:t>2</w:t>
            </w:r>
            <w:r>
              <w:rPr>
                <w:rFonts w:hint="eastAsia"/>
                <w:color w:val="000000"/>
              </w:rPr>
              <w:t>6</w:t>
            </w:r>
            <w:r>
              <w:rPr>
                <w:color w:val="000000"/>
              </w:rPr>
              <w:t>1</w:t>
            </w:r>
            <w:r>
              <w:rPr>
                <w:rFonts w:hint="eastAsia"/>
                <w:color w:val="000000"/>
              </w:rPr>
              <w:t>束且达到</w:t>
            </w:r>
            <w:r>
              <w:rPr>
                <w:color w:val="000000"/>
              </w:rPr>
              <w:t>IP6</w:t>
            </w:r>
            <w:r>
              <w:rPr>
                <w:color w:val="000000"/>
                <w:highlight w:val="none"/>
              </w:rPr>
              <w:t>5</w:t>
            </w:r>
            <w:r>
              <w:rPr>
                <w:rFonts w:hint="eastAsia"/>
                <w:color w:val="000000"/>
                <w:highlight w:val="none"/>
              </w:rPr>
              <w:t>的得</w:t>
            </w:r>
            <w:r>
              <w:rPr>
                <w:rFonts w:hint="eastAsia"/>
                <w:color w:val="000000"/>
                <w:highlight w:val="none"/>
                <w:lang w:val="en-US" w:eastAsia="zh-CN"/>
              </w:rPr>
              <w:t>10</w:t>
            </w:r>
            <w:r>
              <w:rPr>
                <w:rFonts w:hint="eastAsia"/>
                <w:color w:val="000000"/>
                <w:highlight w:val="none"/>
              </w:rPr>
              <w:t>分，</w:t>
            </w:r>
            <w:r>
              <w:rPr>
                <w:rFonts w:hint="eastAsia" w:ascii="宋体" w:hAnsi="宋体" w:eastAsia="宋体" w:cs="Times New Roman"/>
                <w:b w:val="0"/>
                <w:bCs/>
                <w:kern w:val="2"/>
                <w:sz w:val="21"/>
                <w:szCs w:val="32"/>
                <w:lang w:val="en-US" w:eastAsia="zh-CN" w:bidi="ar-SA"/>
              </w:rPr>
              <w:t>≥</w:t>
            </w:r>
            <w:r>
              <w:rPr>
                <w:color w:val="000000"/>
                <w:highlight w:val="none"/>
              </w:rPr>
              <w:t>230</w:t>
            </w:r>
            <w:r>
              <w:rPr>
                <w:rFonts w:hint="eastAsia"/>
                <w:color w:val="000000"/>
                <w:highlight w:val="none"/>
              </w:rPr>
              <w:t>束且达到</w:t>
            </w:r>
            <w:r>
              <w:rPr>
                <w:color w:val="000000"/>
                <w:highlight w:val="none"/>
              </w:rPr>
              <w:t>IP65</w:t>
            </w:r>
            <w:r>
              <w:rPr>
                <w:rFonts w:hint="eastAsia"/>
                <w:color w:val="000000"/>
                <w:highlight w:val="none"/>
              </w:rPr>
              <w:t>的得</w:t>
            </w:r>
            <w:r>
              <w:rPr>
                <w:rFonts w:hint="eastAsia"/>
                <w:color w:val="000000"/>
                <w:highlight w:val="none"/>
                <w:lang w:val="en-US" w:eastAsia="zh-CN"/>
              </w:rPr>
              <w:t>5</w:t>
            </w:r>
            <w:r>
              <w:rPr>
                <w:rFonts w:hint="eastAsia"/>
                <w:color w:val="000000"/>
                <w:highlight w:val="none"/>
              </w:rPr>
              <w:t>分，</w:t>
            </w:r>
            <w:r>
              <w:rPr>
                <w:rFonts w:hint="eastAsia" w:ascii="宋体" w:hAnsi="宋体" w:eastAsia="宋体" w:cs="Times New Roman"/>
                <w:b w:val="0"/>
                <w:bCs/>
                <w:kern w:val="2"/>
                <w:sz w:val="21"/>
                <w:szCs w:val="32"/>
                <w:lang w:val="en-US" w:eastAsia="zh-CN" w:bidi="ar-SA"/>
              </w:rPr>
              <w:t>≥</w:t>
            </w:r>
            <w:r>
              <w:rPr>
                <w:color w:val="000000"/>
                <w:highlight w:val="none"/>
              </w:rPr>
              <w:t>198</w:t>
            </w:r>
            <w:r>
              <w:rPr>
                <w:rFonts w:hint="eastAsia"/>
                <w:color w:val="000000"/>
                <w:highlight w:val="none"/>
              </w:rPr>
              <w:t>束且达到</w:t>
            </w:r>
            <w:r>
              <w:rPr>
                <w:color w:val="000000"/>
                <w:highlight w:val="none"/>
              </w:rPr>
              <w:t>IP65</w:t>
            </w:r>
            <w:r>
              <w:rPr>
                <w:rFonts w:hint="eastAsia"/>
                <w:color w:val="000000"/>
                <w:highlight w:val="none"/>
              </w:rPr>
              <w:t>的得</w:t>
            </w:r>
            <w:r>
              <w:rPr>
                <w:rFonts w:hint="eastAsia"/>
                <w:color w:val="000000"/>
                <w:highlight w:val="none"/>
                <w:lang w:val="en-US" w:eastAsia="zh-CN"/>
              </w:rPr>
              <w:t>3</w:t>
            </w:r>
            <w:r>
              <w:rPr>
                <w:rFonts w:hint="eastAsia"/>
                <w:color w:val="000000"/>
                <w:highlight w:val="none"/>
              </w:rPr>
              <w:t>分</w:t>
            </w:r>
            <w:r>
              <w:rPr>
                <w:color w:val="000000"/>
                <w:highlight w:val="none"/>
              </w:rPr>
              <w:t>(</w:t>
            </w:r>
            <w:r>
              <w:rPr>
                <w:rFonts w:hint="eastAsia"/>
                <w:color w:val="000000"/>
                <w:highlight w:val="none"/>
              </w:rPr>
              <w:t>提供第三方检测报告为准，并将报告原件扫描件加盖投标人公章，未提供不得分</w:t>
            </w:r>
            <w:r>
              <w:rPr>
                <w:color w:val="000000"/>
                <w:highlight w:val="none"/>
              </w:rPr>
              <w:t>)</w:t>
            </w:r>
          </w:p>
        </w:tc>
      </w:tr>
      <w:tr w14:paraId="5177D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682" w:type="dxa"/>
            <w:noWrap/>
            <w:vAlign w:val="center"/>
          </w:tcPr>
          <w:p w14:paraId="00AE0FAE">
            <w:pPr>
              <w:rPr>
                <w:rFonts w:hint="eastAsia" w:eastAsia="宋体"/>
                <w:lang w:eastAsia="zh-CN"/>
              </w:rPr>
            </w:pPr>
            <w:r>
              <w:rPr>
                <w:rFonts w:hint="eastAsia"/>
                <w:lang w:val="en-US" w:eastAsia="zh-CN"/>
              </w:rPr>
              <w:t>5</w:t>
            </w:r>
          </w:p>
        </w:tc>
        <w:tc>
          <w:tcPr>
            <w:tcW w:w="1395" w:type="dxa"/>
            <w:noWrap/>
            <w:vAlign w:val="center"/>
          </w:tcPr>
          <w:p w14:paraId="6C2507A8">
            <w:pPr>
              <w:jc w:val="center"/>
              <w:rPr>
                <w:rFonts w:hint="default" w:eastAsia="宋体"/>
                <w:lang w:val="en-US" w:eastAsia="zh-CN"/>
              </w:rPr>
            </w:pPr>
            <w:r>
              <w:rPr>
                <w:rFonts w:hint="eastAsia" w:ascii="宋体" w:hAnsi="宋体" w:eastAsia="宋体" w:cs="宋体"/>
                <w:color w:val="auto"/>
                <w:sz w:val="21"/>
                <w:szCs w:val="21"/>
                <w:highlight w:val="none"/>
              </w:rPr>
              <w:t>设备节能性</w:t>
            </w:r>
          </w:p>
        </w:tc>
        <w:tc>
          <w:tcPr>
            <w:tcW w:w="735" w:type="dxa"/>
            <w:noWrap/>
            <w:vAlign w:val="center"/>
          </w:tcPr>
          <w:p w14:paraId="6A49DA9E">
            <w:pPr>
              <w:rPr>
                <w:rFonts w:hint="default" w:eastAsia="宋体"/>
                <w:lang w:val="en-US" w:eastAsia="zh-CN"/>
              </w:rPr>
            </w:pPr>
            <w:r>
              <w:rPr>
                <w:rFonts w:hint="eastAsia"/>
                <w:lang w:val="en-US" w:eastAsia="zh-CN"/>
              </w:rPr>
              <w:t>8分</w:t>
            </w:r>
          </w:p>
        </w:tc>
        <w:tc>
          <w:tcPr>
            <w:tcW w:w="7519" w:type="dxa"/>
            <w:noWrap/>
            <w:vAlign w:val="center"/>
          </w:tcPr>
          <w:p w14:paraId="26C71103">
            <w:pPr>
              <w:autoSpaceDE w:val="0"/>
              <w:autoSpaceDN w:val="0"/>
              <w:adjustRightInd w:val="0"/>
              <w:rPr>
                <w:rFonts w:hint="eastAsia" w:ascii="宋体" w:hAnsi="宋体" w:cs="Calibri"/>
                <w:color w:val="000000"/>
                <w:szCs w:val="21"/>
              </w:rPr>
            </w:pPr>
            <w:r>
              <w:rPr>
                <w:rFonts w:hint="eastAsia" w:ascii="宋体" w:hAnsi="宋体" w:cs="Calibri"/>
                <w:color w:val="000000"/>
                <w:szCs w:val="21"/>
              </w:rPr>
              <w:t>本项目所投产品（同类型号）获得权威机构（</w:t>
            </w:r>
            <w:r>
              <w:rPr>
                <w:rFonts w:ascii="宋体" w:hAnsi="宋体" w:cs="Calibri"/>
                <w:color w:val="000000"/>
                <w:szCs w:val="21"/>
              </w:rPr>
              <w:t>ISO</w:t>
            </w:r>
            <w:r>
              <w:rPr>
                <w:rFonts w:hint="eastAsia" w:ascii="宋体" w:hAnsi="宋体" w:cs="Calibri"/>
                <w:color w:val="000000"/>
                <w:szCs w:val="21"/>
              </w:rPr>
              <w:t>或</w:t>
            </w:r>
            <w:r>
              <w:rPr>
                <w:rFonts w:ascii="宋体" w:hAnsi="宋体" w:cs="Calibri"/>
                <w:color w:val="000000"/>
                <w:szCs w:val="21"/>
              </w:rPr>
              <w:t>TUV</w:t>
            </w:r>
            <w:r>
              <w:rPr>
                <w:rFonts w:hint="eastAsia" w:ascii="宋体" w:hAnsi="宋体" w:cs="Calibri"/>
                <w:color w:val="000000"/>
                <w:szCs w:val="21"/>
              </w:rPr>
              <w:t>）</w:t>
            </w:r>
            <w:r>
              <w:rPr>
                <w:rFonts w:ascii="宋体" w:hAnsi="宋体" w:cs="Calibri"/>
                <w:color w:val="000000"/>
                <w:szCs w:val="21"/>
              </w:rPr>
              <w:t>A</w:t>
            </w:r>
            <w:r>
              <w:rPr>
                <w:rFonts w:hint="eastAsia" w:ascii="宋体" w:hAnsi="宋体" w:cs="Calibri"/>
                <w:color w:val="000000"/>
                <w:szCs w:val="21"/>
              </w:rPr>
              <w:t>级能效认证的计</w:t>
            </w:r>
            <w:r>
              <w:rPr>
                <w:rFonts w:hint="eastAsia" w:ascii="宋体" w:hAnsi="宋体" w:cs="Calibri"/>
                <w:color w:val="000000"/>
                <w:szCs w:val="21"/>
                <w:lang w:val="en-US" w:eastAsia="zh-CN"/>
              </w:rPr>
              <w:t>8</w:t>
            </w:r>
            <w:r>
              <w:rPr>
                <w:rFonts w:hint="eastAsia" w:ascii="宋体" w:hAnsi="宋体" w:cs="Calibri"/>
                <w:color w:val="000000"/>
                <w:szCs w:val="21"/>
              </w:rPr>
              <w:t>分，B级计</w:t>
            </w:r>
            <w:r>
              <w:rPr>
                <w:rFonts w:hint="eastAsia" w:ascii="宋体" w:hAnsi="宋体" w:cs="Calibri"/>
                <w:color w:val="000000"/>
                <w:szCs w:val="21"/>
                <w:lang w:val="en-US" w:eastAsia="zh-CN"/>
              </w:rPr>
              <w:t>4</w:t>
            </w:r>
            <w:r>
              <w:rPr>
                <w:rFonts w:hint="eastAsia" w:ascii="宋体" w:hAnsi="宋体" w:cs="Calibri"/>
                <w:color w:val="000000"/>
                <w:szCs w:val="21"/>
              </w:rPr>
              <w:t xml:space="preserve">分，其余不计分。 </w:t>
            </w:r>
          </w:p>
          <w:p w14:paraId="6C33E8CA">
            <w:pPr>
              <w:widowControl/>
              <w:textAlignment w:val="center"/>
              <w:rPr>
                <w:rFonts w:ascii="宋体" w:hAnsi="宋体" w:cs="宋体"/>
                <w:szCs w:val="21"/>
              </w:rPr>
            </w:pPr>
            <w:r>
              <w:rPr>
                <w:rFonts w:hint="eastAsia" w:ascii="宋体" w:hAnsi="宋体" w:eastAsia="宋体" w:cs="宋体"/>
                <w:color w:val="auto"/>
                <w:sz w:val="21"/>
                <w:szCs w:val="21"/>
                <w:highlight w:val="none"/>
                <w:lang w:val="en-US" w:eastAsia="zh-CN"/>
              </w:rPr>
              <w:t>计分说明：</w:t>
            </w:r>
            <w:r>
              <w:rPr>
                <w:rFonts w:hint="eastAsia" w:ascii="宋体" w:hAnsi="宋体" w:eastAsia="宋体" w:cs="宋体"/>
                <w:color w:val="auto"/>
                <w:sz w:val="21"/>
                <w:szCs w:val="21"/>
                <w:lang w:val="en-US" w:eastAsia="zh-CN"/>
              </w:rPr>
              <w:t>需</w:t>
            </w:r>
            <w:r>
              <w:rPr>
                <w:rFonts w:hint="eastAsia" w:ascii="宋体" w:hAnsi="宋体" w:eastAsia="宋体" w:cs="宋体"/>
                <w:color w:val="auto"/>
                <w:sz w:val="21"/>
                <w:szCs w:val="21"/>
                <w:highlight w:val="none"/>
              </w:rPr>
              <w:t>提供</w:t>
            </w:r>
            <w:r>
              <w:rPr>
                <w:rFonts w:hint="eastAsia" w:ascii="宋体" w:hAnsi="宋体" w:eastAsia="宋体" w:cs="宋体"/>
                <w:color w:val="auto"/>
                <w:sz w:val="21"/>
                <w:szCs w:val="21"/>
                <w:highlight w:val="none"/>
                <w:lang w:val="en-US" w:eastAsia="zh-CN"/>
              </w:rPr>
              <w:t>有效</w:t>
            </w:r>
            <w:r>
              <w:rPr>
                <w:rFonts w:hint="eastAsia" w:ascii="宋体" w:hAnsi="宋体" w:eastAsia="宋体" w:cs="宋体"/>
                <w:color w:val="auto"/>
                <w:sz w:val="21"/>
                <w:szCs w:val="21"/>
                <w:highlight w:val="none"/>
              </w:rPr>
              <w:t>认证证书</w:t>
            </w:r>
            <w:r>
              <w:rPr>
                <w:rFonts w:hint="eastAsia" w:ascii="宋体" w:hAnsi="宋体" w:eastAsia="宋体" w:cs="宋体"/>
                <w:color w:val="auto"/>
                <w:sz w:val="21"/>
                <w:szCs w:val="21"/>
                <w:highlight w:val="none"/>
                <w:lang w:val="en-US" w:eastAsia="zh-CN"/>
              </w:rPr>
              <w:t>扫描</w:t>
            </w:r>
            <w:r>
              <w:rPr>
                <w:rFonts w:hint="eastAsia" w:ascii="宋体" w:hAnsi="宋体" w:eastAsia="宋体" w:cs="宋体"/>
                <w:color w:val="auto"/>
                <w:sz w:val="21"/>
                <w:szCs w:val="21"/>
                <w:highlight w:val="none"/>
              </w:rPr>
              <w:t>件</w:t>
            </w:r>
            <w:r>
              <w:rPr>
                <w:rFonts w:hint="eastAsia" w:ascii="宋体" w:hAnsi="宋体" w:eastAsia="宋体" w:cs="宋体"/>
                <w:color w:val="auto"/>
                <w:sz w:val="21"/>
                <w:szCs w:val="21"/>
                <w:highlight w:val="none"/>
                <w:lang w:val="en-US" w:eastAsia="zh-CN"/>
              </w:rPr>
              <w:t>并加盖投标人公章</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否则</w:t>
            </w:r>
            <w:r>
              <w:rPr>
                <w:rFonts w:hint="eastAsia" w:ascii="宋体" w:hAnsi="宋体" w:eastAsia="宋体" w:cs="宋体"/>
                <w:color w:val="auto"/>
                <w:sz w:val="21"/>
                <w:szCs w:val="21"/>
                <w:highlight w:val="none"/>
              </w:rPr>
              <w:t>不计分。</w:t>
            </w:r>
          </w:p>
        </w:tc>
      </w:tr>
      <w:tr w14:paraId="13F79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682" w:type="dxa"/>
            <w:noWrap/>
            <w:vAlign w:val="center"/>
          </w:tcPr>
          <w:p w14:paraId="5B0C1D0C">
            <w:pPr>
              <w:rPr>
                <w:rFonts w:hint="eastAsia" w:eastAsia="宋体"/>
                <w:lang w:eastAsia="zh-CN"/>
              </w:rPr>
            </w:pPr>
            <w:r>
              <w:rPr>
                <w:rFonts w:hint="eastAsia"/>
                <w:lang w:val="en-US" w:eastAsia="zh-CN"/>
              </w:rPr>
              <w:t>6</w:t>
            </w:r>
          </w:p>
        </w:tc>
        <w:tc>
          <w:tcPr>
            <w:tcW w:w="1395" w:type="dxa"/>
            <w:noWrap/>
            <w:vAlign w:val="center"/>
          </w:tcPr>
          <w:p w14:paraId="5D757ED3">
            <w:pPr>
              <w:jc w:val="center"/>
              <w:rPr>
                <w:rFonts w:ascii="宋体" w:hAnsi="宋体" w:cs="宋体"/>
                <w:szCs w:val="21"/>
              </w:rPr>
            </w:pPr>
            <w:r>
              <w:rPr>
                <w:rFonts w:hint="eastAsia" w:ascii="宋体" w:hAnsi="宋体" w:eastAsia="宋体" w:cs="宋体"/>
                <w:color w:val="auto"/>
                <w:sz w:val="21"/>
                <w:szCs w:val="21"/>
                <w:highlight w:val="none"/>
                <w:lang w:val="en-US" w:eastAsia="zh-CN"/>
              </w:rPr>
              <w:t>产品兼容性</w:t>
            </w:r>
          </w:p>
        </w:tc>
        <w:tc>
          <w:tcPr>
            <w:tcW w:w="735" w:type="dxa"/>
            <w:noWrap/>
            <w:vAlign w:val="center"/>
          </w:tcPr>
          <w:p w14:paraId="1BB898FB">
            <w:pPr>
              <w:rPr>
                <w:rFonts w:hint="default" w:eastAsia="宋体"/>
                <w:lang w:val="en-US" w:eastAsia="zh-CN"/>
              </w:rPr>
            </w:pPr>
            <w:r>
              <w:rPr>
                <w:rFonts w:hint="eastAsia"/>
                <w:lang w:val="en-US" w:eastAsia="zh-CN"/>
              </w:rPr>
              <w:t>5分</w:t>
            </w:r>
          </w:p>
        </w:tc>
        <w:tc>
          <w:tcPr>
            <w:tcW w:w="7519" w:type="dxa"/>
            <w:noWrap/>
            <w:vAlign w:val="center"/>
          </w:tcPr>
          <w:p w14:paraId="4803739F">
            <w:pPr>
              <w:keepLines w:val="0"/>
              <w:pageBreakBefore w:val="0"/>
              <w:widowControl w:val="0"/>
              <w:kinsoku/>
              <w:wordWrap/>
              <w:overflowPunct/>
              <w:topLinePunct w:val="0"/>
              <w:autoSpaceDE/>
              <w:autoSpaceDN/>
              <w:bidi w:val="0"/>
              <w:adjustRightInd/>
              <w:snapToGrid/>
              <w:spacing w:line="33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为保障产品的兼容性及后期维护</w:t>
            </w:r>
            <w:r>
              <w:rPr>
                <w:rFonts w:hint="eastAsia" w:ascii="宋体" w:hAnsi="宋体" w:cs="宋体"/>
                <w:color w:val="auto"/>
                <w:sz w:val="21"/>
                <w:szCs w:val="21"/>
                <w:highlight w:val="none"/>
                <w:lang w:val="en-US" w:eastAsia="zh-CN"/>
              </w:rPr>
              <w:t>便利性</w:t>
            </w:r>
            <w:r>
              <w:rPr>
                <w:rFonts w:hint="eastAsia" w:ascii="宋体" w:hAnsi="宋体" w:eastAsia="宋体" w:cs="宋体"/>
                <w:color w:val="auto"/>
                <w:sz w:val="21"/>
                <w:szCs w:val="21"/>
                <w:highlight w:val="none"/>
                <w:lang w:val="en-US" w:eastAsia="zh-CN"/>
              </w:rPr>
              <w:t>，</w:t>
            </w:r>
            <w:r>
              <w:rPr>
                <w:rFonts w:hint="eastAsia" w:ascii="宋体" w:hAnsi="宋体"/>
                <w:color w:val="000000"/>
              </w:rPr>
              <w:t>所投电梯产品曳引机</w:t>
            </w:r>
            <w:r>
              <w:rPr>
                <w:rFonts w:hint="eastAsia" w:ascii="宋体" w:hAnsi="宋体"/>
                <w:color w:val="000000"/>
                <w:szCs w:val="21"/>
              </w:rPr>
              <w:t>、控制系统（控制柜）、门机系统、限速器、安全钳采用与整机相同品牌的原厂原品牌</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计</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分；</w:t>
            </w:r>
            <w:r>
              <w:rPr>
                <w:rFonts w:hint="eastAsia" w:ascii="宋体" w:hAnsi="宋体"/>
                <w:color w:val="000000"/>
                <w:szCs w:val="21"/>
              </w:rPr>
              <w:t>有一项或多项不是原厂原品牌的计2分</w:t>
            </w:r>
            <w:r>
              <w:rPr>
                <w:rFonts w:hint="eastAsia" w:ascii="宋体" w:hAnsi="宋体"/>
                <w:color w:val="000000"/>
                <w:szCs w:val="21"/>
                <w:lang w:eastAsia="zh-CN"/>
              </w:rPr>
              <w:t>，</w:t>
            </w:r>
            <w:r>
              <w:rPr>
                <w:rFonts w:hint="eastAsia" w:ascii="宋体" w:hAnsi="宋体"/>
                <w:color w:val="000000"/>
                <w:szCs w:val="21"/>
              </w:rPr>
              <w:t>全部都不是原厂原品牌的不计分。</w:t>
            </w:r>
          </w:p>
          <w:p w14:paraId="54FA104A">
            <w:pPr>
              <w:widowControl/>
              <w:jc w:val="left"/>
            </w:pPr>
            <w:r>
              <w:rPr>
                <w:rFonts w:hint="eastAsia" w:ascii="宋体" w:hAnsi="宋体" w:eastAsia="宋体" w:cs="宋体"/>
                <w:color w:val="auto"/>
                <w:sz w:val="21"/>
                <w:szCs w:val="21"/>
                <w:highlight w:val="none"/>
                <w:lang w:val="en-US" w:eastAsia="zh-CN"/>
              </w:rPr>
              <w:t>计分说明：</w:t>
            </w:r>
            <w:r>
              <w:rPr>
                <w:rFonts w:hint="eastAsia" w:ascii="宋体" w:hAnsi="宋体"/>
                <w:color w:val="000000"/>
                <w:szCs w:val="21"/>
              </w:rPr>
              <w:t>提供送检单位名称与制造商名称一致的该部件的型式试验报告或检测（验）报告证明文件复印件并加盖</w:t>
            </w:r>
            <w:r>
              <w:rPr>
                <w:rFonts w:hint="eastAsia" w:ascii="宋体" w:hAnsi="宋体"/>
                <w:color w:val="000000"/>
                <w:szCs w:val="21"/>
                <w:lang w:val="en-US" w:eastAsia="zh-CN"/>
              </w:rPr>
              <w:t>投标人</w:t>
            </w:r>
            <w:r>
              <w:rPr>
                <w:rFonts w:hint="eastAsia" w:ascii="宋体" w:hAnsi="宋体"/>
                <w:color w:val="000000"/>
                <w:szCs w:val="21"/>
              </w:rPr>
              <w:t>公章，否则不计分。</w:t>
            </w:r>
          </w:p>
        </w:tc>
      </w:tr>
      <w:bookmarkEnd w:id="27"/>
    </w:tbl>
    <w:p w14:paraId="5A5039D7">
      <w:pPr>
        <w:spacing w:line="440" w:lineRule="exact"/>
        <w:jc w:val="center"/>
        <w:outlineLvl w:val="1"/>
        <w:rPr>
          <w:rFonts w:ascii="宋体" w:hAnsi="宋体"/>
          <w:b/>
          <w:sz w:val="24"/>
        </w:rPr>
      </w:pPr>
    </w:p>
    <w:p w14:paraId="0A9A5FDC">
      <w:pPr>
        <w:spacing w:line="440" w:lineRule="exact"/>
        <w:jc w:val="center"/>
        <w:outlineLvl w:val="1"/>
        <w:rPr>
          <w:rFonts w:ascii="宋体"/>
          <w:b/>
          <w:sz w:val="24"/>
        </w:rPr>
      </w:pPr>
      <w:bookmarkStart w:id="28" w:name="_Toc7074"/>
      <w:r>
        <w:rPr>
          <w:rFonts w:hint="eastAsia" w:ascii="宋体" w:hAnsi="宋体"/>
          <w:b/>
          <w:sz w:val="24"/>
        </w:rPr>
        <w:t>商务部分评审评分表（分值100分）</w:t>
      </w:r>
      <w:bookmarkEnd w:id="28"/>
    </w:p>
    <w:tbl>
      <w:tblPr>
        <w:tblStyle w:val="40"/>
        <w:tblpPr w:leftFromText="180" w:rightFromText="180" w:vertAnchor="text" w:horzAnchor="page" w:tblpX="872" w:tblpY="222"/>
        <w:tblOverlap w:val="never"/>
        <w:tblW w:w="104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79"/>
        <w:gridCol w:w="1364"/>
        <w:gridCol w:w="744"/>
        <w:gridCol w:w="7734"/>
      </w:tblGrid>
      <w:tr w14:paraId="3C326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8" w:hRule="atLeast"/>
        </w:trPr>
        <w:tc>
          <w:tcPr>
            <w:tcW w:w="579" w:type="dxa"/>
            <w:noWrap/>
            <w:vAlign w:val="center"/>
          </w:tcPr>
          <w:p w14:paraId="4640C309">
            <w:pPr>
              <w:widowControl/>
              <w:spacing w:line="360" w:lineRule="auto"/>
              <w:jc w:val="center"/>
              <w:rPr>
                <w:rFonts w:ascii="宋体" w:hAnsi="宋体" w:cs="宋体"/>
                <w:b/>
                <w:bCs/>
                <w:sz w:val="18"/>
                <w:szCs w:val="18"/>
              </w:rPr>
            </w:pPr>
            <w:r>
              <w:rPr>
                <w:rFonts w:hint="eastAsia" w:ascii="宋体" w:hAnsi="宋体" w:cs="宋体"/>
                <w:b/>
                <w:bCs/>
                <w:sz w:val="18"/>
                <w:szCs w:val="18"/>
              </w:rPr>
              <w:t>序号</w:t>
            </w:r>
          </w:p>
        </w:tc>
        <w:tc>
          <w:tcPr>
            <w:tcW w:w="1364" w:type="dxa"/>
            <w:noWrap/>
            <w:vAlign w:val="center"/>
          </w:tcPr>
          <w:p w14:paraId="01E804C8">
            <w:pPr>
              <w:widowControl/>
              <w:spacing w:line="360" w:lineRule="auto"/>
              <w:jc w:val="center"/>
              <w:rPr>
                <w:rFonts w:ascii="宋体" w:hAnsi="宋体" w:cs="宋体"/>
                <w:b/>
                <w:bCs/>
                <w:sz w:val="18"/>
                <w:szCs w:val="18"/>
              </w:rPr>
            </w:pPr>
            <w:r>
              <w:rPr>
                <w:rFonts w:hint="eastAsia" w:ascii="宋体" w:hAnsi="宋体" w:cs="宋体"/>
                <w:b/>
                <w:bCs/>
                <w:sz w:val="18"/>
                <w:szCs w:val="18"/>
              </w:rPr>
              <w:t>评审因素</w:t>
            </w:r>
          </w:p>
        </w:tc>
        <w:tc>
          <w:tcPr>
            <w:tcW w:w="744" w:type="dxa"/>
            <w:noWrap/>
            <w:vAlign w:val="center"/>
          </w:tcPr>
          <w:p w14:paraId="13C36A53">
            <w:pPr>
              <w:widowControl/>
              <w:spacing w:line="360" w:lineRule="auto"/>
              <w:jc w:val="center"/>
              <w:rPr>
                <w:rFonts w:ascii="宋体" w:hAnsi="宋体" w:cs="宋体"/>
                <w:b/>
                <w:bCs/>
                <w:kern w:val="0"/>
                <w:sz w:val="18"/>
                <w:szCs w:val="18"/>
              </w:rPr>
            </w:pPr>
            <w:r>
              <w:rPr>
                <w:rFonts w:hint="eastAsia" w:ascii="宋体" w:hAnsi="宋体" w:cs="宋体"/>
                <w:b/>
                <w:bCs/>
                <w:sz w:val="18"/>
                <w:szCs w:val="18"/>
              </w:rPr>
              <w:t>分值</w:t>
            </w:r>
          </w:p>
        </w:tc>
        <w:tc>
          <w:tcPr>
            <w:tcW w:w="7734" w:type="dxa"/>
            <w:noWrap/>
            <w:vAlign w:val="center"/>
          </w:tcPr>
          <w:p w14:paraId="4FB98F8C">
            <w:pPr>
              <w:widowControl/>
              <w:spacing w:line="360" w:lineRule="auto"/>
              <w:ind w:firstLine="14" w:firstLineChars="8"/>
              <w:jc w:val="center"/>
              <w:rPr>
                <w:rFonts w:ascii="宋体" w:hAnsi="宋体" w:cs="宋体"/>
                <w:b/>
                <w:bCs/>
                <w:kern w:val="0"/>
                <w:sz w:val="18"/>
                <w:szCs w:val="18"/>
              </w:rPr>
            </w:pPr>
            <w:r>
              <w:rPr>
                <w:rFonts w:hint="eastAsia" w:ascii="宋体" w:hAnsi="宋体" w:cs="宋体"/>
                <w:b/>
                <w:bCs/>
                <w:sz w:val="18"/>
                <w:szCs w:val="18"/>
              </w:rPr>
              <w:t>评分标准</w:t>
            </w:r>
          </w:p>
        </w:tc>
      </w:tr>
      <w:tr w14:paraId="5500B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1" w:hRule="atLeast"/>
        </w:trPr>
        <w:tc>
          <w:tcPr>
            <w:tcW w:w="579" w:type="dxa"/>
            <w:noWrap/>
            <w:vAlign w:val="center"/>
          </w:tcPr>
          <w:p w14:paraId="571B7AD8">
            <w:pPr>
              <w:adjustRightInd w:val="0"/>
              <w:snapToGrid w:val="0"/>
              <w:spacing w:beforeLines="50" w:line="276" w:lineRule="auto"/>
              <w:jc w:val="center"/>
              <w:rPr>
                <w:rFonts w:ascii="宋体" w:hAnsi="宋体" w:cs="宋体"/>
                <w:sz w:val="18"/>
                <w:szCs w:val="18"/>
              </w:rPr>
            </w:pPr>
            <w:r>
              <w:rPr>
                <w:rFonts w:hint="eastAsia" w:ascii="宋体" w:hAnsi="宋体" w:cs="宋体"/>
                <w:sz w:val="18"/>
                <w:szCs w:val="18"/>
              </w:rPr>
              <w:t>1</w:t>
            </w:r>
          </w:p>
        </w:tc>
        <w:tc>
          <w:tcPr>
            <w:tcW w:w="1364" w:type="dxa"/>
            <w:noWrap/>
            <w:vAlign w:val="center"/>
          </w:tcPr>
          <w:p w14:paraId="2175D17E">
            <w:pPr>
              <w:adjustRightInd w:val="0"/>
              <w:snapToGrid w:val="0"/>
              <w:spacing w:beforeLines="50" w:line="380" w:lineRule="exact"/>
              <w:jc w:val="center"/>
              <w:rPr>
                <w:rFonts w:ascii="宋体" w:hAnsi="宋体" w:cs="宋体"/>
                <w:sz w:val="18"/>
                <w:szCs w:val="18"/>
              </w:rPr>
            </w:pPr>
            <w:r>
              <w:rPr>
                <w:rFonts w:hint="eastAsia" w:ascii="宋体" w:hAnsi="宋体" w:eastAsia="宋体" w:cs="宋体"/>
                <w:color w:val="auto"/>
                <w:sz w:val="21"/>
                <w:szCs w:val="21"/>
              </w:rPr>
              <w:t>综合实力</w:t>
            </w:r>
          </w:p>
        </w:tc>
        <w:tc>
          <w:tcPr>
            <w:tcW w:w="744" w:type="dxa"/>
            <w:noWrap/>
            <w:vAlign w:val="center"/>
          </w:tcPr>
          <w:p w14:paraId="72F59CCA">
            <w:pPr>
              <w:snapToGrid w:val="0"/>
              <w:spacing w:line="380" w:lineRule="exact"/>
              <w:jc w:val="center"/>
              <w:rPr>
                <w:rFonts w:hint="default" w:ascii="宋体" w:hAnsi="宋体" w:eastAsia="宋体" w:cs="宋体"/>
                <w:sz w:val="18"/>
                <w:szCs w:val="18"/>
                <w:lang w:val="en-US" w:eastAsia="zh-CN"/>
              </w:rPr>
            </w:pPr>
            <w:r>
              <w:rPr>
                <w:rFonts w:hint="eastAsia" w:ascii="宋体" w:hAnsi="宋体" w:cs="宋体"/>
                <w:sz w:val="18"/>
                <w:szCs w:val="18"/>
                <w:lang w:val="en-US" w:eastAsia="zh-CN"/>
              </w:rPr>
              <w:t>45分</w:t>
            </w:r>
          </w:p>
        </w:tc>
        <w:tc>
          <w:tcPr>
            <w:tcW w:w="7734" w:type="dxa"/>
            <w:noWrap/>
            <w:vAlign w:val="center"/>
          </w:tcPr>
          <w:p w14:paraId="72B30237">
            <w:pPr>
              <w:keepNext w:val="0"/>
              <w:keepLines w:val="0"/>
              <w:pageBreakBefore w:val="0"/>
              <w:widowControl w:val="0"/>
              <w:numPr>
                <w:ilvl w:val="0"/>
                <w:numId w:val="0"/>
              </w:numPr>
              <w:kinsoku/>
              <w:wordWrap/>
              <w:overflowPunct/>
              <w:topLinePunct w:val="0"/>
              <w:autoSpaceDE/>
              <w:autoSpaceDN/>
              <w:bidi w:val="0"/>
              <w:adjustRightInd/>
              <w:snapToGrid w:val="0"/>
              <w:spacing w:line="336"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投标人或</w:t>
            </w:r>
            <w:r>
              <w:rPr>
                <w:rFonts w:hint="eastAsia" w:ascii="宋体" w:hAnsi="宋体" w:eastAsia="宋体" w:cs="宋体"/>
                <w:color w:val="auto"/>
                <w:sz w:val="21"/>
                <w:szCs w:val="21"/>
                <w:lang w:val="en-US" w:eastAsia="zh-CN"/>
              </w:rPr>
              <w:t>所投电梯制造商具有 ISO9001 质量管理体系认证、ISO14001 环境管理体系认证、ISO45001 职业健康安全管理体系认证证书的，认证范围</w:t>
            </w:r>
            <w:r>
              <w:rPr>
                <w:rFonts w:hint="eastAsia" w:ascii="宋体" w:hAnsi="宋体" w:cs="宋体"/>
                <w:color w:val="auto"/>
                <w:sz w:val="21"/>
                <w:szCs w:val="21"/>
                <w:lang w:val="en-US" w:eastAsia="zh-CN"/>
              </w:rPr>
              <w:t>包含</w:t>
            </w:r>
            <w:r>
              <w:rPr>
                <w:rFonts w:hint="eastAsia" w:ascii="宋体" w:hAnsi="宋体" w:eastAsia="宋体" w:cs="宋体"/>
                <w:color w:val="auto"/>
                <w:sz w:val="21"/>
                <w:szCs w:val="21"/>
                <w:lang w:val="en-US" w:eastAsia="zh-CN"/>
              </w:rPr>
              <w:t>电梯类</w:t>
            </w:r>
            <w:r>
              <w:rPr>
                <w:rFonts w:hint="eastAsia" w:ascii="宋体" w:hAnsi="宋体" w:cs="宋体"/>
                <w:color w:val="auto"/>
                <w:sz w:val="21"/>
                <w:szCs w:val="21"/>
                <w:lang w:val="en-US" w:eastAsia="zh-CN"/>
              </w:rPr>
              <w:t>相关认证</w:t>
            </w:r>
            <w:r>
              <w:rPr>
                <w:rFonts w:hint="eastAsia" w:ascii="宋体" w:hAnsi="宋体" w:eastAsia="宋体" w:cs="宋体"/>
                <w:color w:val="auto"/>
                <w:sz w:val="21"/>
                <w:szCs w:val="21"/>
                <w:lang w:val="en-US" w:eastAsia="zh-CN"/>
              </w:rPr>
              <w:t xml:space="preserve">，每提供一个计 </w:t>
            </w: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分，此项最高计</w:t>
            </w:r>
            <w:r>
              <w:rPr>
                <w:rFonts w:hint="eastAsia" w:ascii="宋体" w:hAnsi="宋体" w:cs="宋体"/>
                <w:color w:val="auto"/>
                <w:sz w:val="21"/>
                <w:szCs w:val="21"/>
                <w:lang w:val="en-US" w:eastAsia="zh-CN"/>
              </w:rPr>
              <w:t>12</w:t>
            </w:r>
            <w:r>
              <w:rPr>
                <w:rFonts w:hint="eastAsia" w:ascii="宋体" w:hAnsi="宋体" w:eastAsia="宋体" w:cs="宋体"/>
                <w:color w:val="auto"/>
                <w:sz w:val="21"/>
                <w:szCs w:val="21"/>
                <w:lang w:val="en-US" w:eastAsia="zh-CN"/>
              </w:rPr>
              <w:t>分。</w:t>
            </w:r>
          </w:p>
          <w:p w14:paraId="62AD4AE7">
            <w:pPr>
              <w:spacing w:line="380" w:lineRule="exact"/>
              <w:rPr>
                <w:rFonts w:hint="eastAsia" w:ascii="宋体" w:hAnsi="宋体" w:cs="Calibri"/>
                <w:szCs w:val="21"/>
              </w:rPr>
            </w:pPr>
            <w:r>
              <w:rPr>
                <w:rFonts w:hint="eastAsia" w:ascii="宋体" w:hAnsi="宋体" w:cs="宋体"/>
                <w:szCs w:val="21"/>
              </w:rPr>
              <w:t>2、</w:t>
            </w:r>
            <w:r>
              <w:rPr>
                <w:rFonts w:hint="eastAsia" w:ascii="宋体" w:hAnsi="宋体" w:cs="Calibri"/>
                <w:szCs w:val="21"/>
              </w:rPr>
              <w:t>投标人所投电梯品牌制造商具有中国合格评定国家认可委员会实验室认可证书（</w:t>
            </w:r>
            <w:r>
              <w:rPr>
                <w:rFonts w:ascii="宋体" w:hAnsi="宋体" w:cs="Calibri"/>
                <w:szCs w:val="21"/>
              </w:rPr>
              <w:t>CNAS</w:t>
            </w:r>
            <w:r>
              <w:rPr>
                <w:rFonts w:hint="eastAsia" w:ascii="宋体" w:hAnsi="宋体" w:cs="Calibri"/>
                <w:szCs w:val="21"/>
              </w:rPr>
              <w:t>证书）且认定为可靠性实验室的，计</w:t>
            </w:r>
            <w:r>
              <w:rPr>
                <w:rFonts w:hint="eastAsia" w:ascii="宋体" w:hAnsi="宋体" w:cs="Calibri"/>
                <w:szCs w:val="21"/>
                <w:lang w:val="en-US" w:eastAsia="zh-CN"/>
              </w:rPr>
              <w:t>7</w:t>
            </w:r>
            <w:r>
              <w:rPr>
                <w:rFonts w:hint="eastAsia" w:ascii="宋体" w:hAnsi="宋体" w:cs="Calibri"/>
                <w:szCs w:val="21"/>
              </w:rPr>
              <w:t>分，其余的不计分。（提供证书复印件并加盖投标人公章，否则不计分）。</w:t>
            </w:r>
          </w:p>
          <w:p w14:paraId="6F62B557">
            <w:pPr>
              <w:keepNext w:val="0"/>
              <w:keepLines w:val="0"/>
              <w:pageBreakBefore w:val="0"/>
              <w:widowControl w:val="0"/>
              <w:kinsoku/>
              <w:wordWrap/>
              <w:overflowPunct/>
              <w:topLinePunct w:val="0"/>
              <w:autoSpaceDE/>
              <w:autoSpaceDN/>
              <w:bidi w:val="0"/>
              <w:adjustRightInd/>
              <w:snapToGrid w:val="0"/>
              <w:spacing w:line="336" w:lineRule="exact"/>
              <w:textAlignment w:val="auto"/>
              <w:rPr>
                <w:rFonts w:hint="eastAsia" w:ascii="宋体" w:hAnsi="宋体" w:eastAsia="宋体" w:cs="Calibri"/>
                <w:szCs w:val="21"/>
                <w:lang w:val="en-US" w:eastAsia="zh-CN"/>
              </w:rPr>
            </w:pPr>
            <w:r>
              <w:rPr>
                <w:rFonts w:hint="eastAsia" w:ascii="宋体" w:hAnsi="宋体" w:cs="Calibri"/>
                <w:szCs w:val="21"/>
              </w:rPr>
              <w:t>3、</w:t>
            </w:r>
            <w:r>
              <w:rPr>
                <w:rFonts w:hint="eastAsia" w:ascii="宋体" w:hAnsi="宋体" w:eastAsia="宋体" w:cs="宋体"/>
                <w:color w:val="auto"/>
                <w:sz w:val="21"/>
                <w:szCs w:val="21"/>
                <w:lang w:val="en-US" w:eastAsia="zh-CN"/>
              </w:rPr>
              <w:t>所投电梯</w:t>
            </w:r>
            <w:r>
              <w:rPr>
                <w:rFonts w:hint="eastAsia" w:ascii="宋体" w:hAnsi="宋体" w:eastAsia="宋体" w:cs="Calibri"/>
                <w:szCs w:val="21"/>
                <w:lang w:val="en-US" w:eastAsia="zh-CN"/>
              </w:rPr>
              <w:t>制造商或投标人投标截止日前3年内获得</w:t>
            </w:r>
            <w:r>
              <w:rPr>
                <w:rFonts w:hint="eastAsia" w:ascii="宋体" w:hAnsi="宋体" w:eastAsia="宋体" w:cs="宋体"/>
                <w:color w:val="auto"/>
                <w:sz w:val="21"/>
                <w:szCs w:val="21"/>
                <w:lang w:val="en-US" w:eastAsia="zh-CN"/>
              </w:rPr>
              <w:t>政</w:t>
            </w:r>
            <w:r>
              <w:rPr>
                <w:rFonts w:hint="eastAsia" w:ascii="宋体" w:hAnsi="宋体" w:eastAsia="宋体" w:cs="Calibri"/>
                <w:szCs w:val="21"/>
                <w:lang w:val="en-US" w:eastAsia="zh-CN"/>
              </w:rPr>
              <w:t>府部门或</w:t>
            </w:r>
            <w:r>
              <w:rPr>
                <w:rFonts w:hint="eastAsia" w:ascii="宋体" w:hAnsi="宋体" w:eastAsia="宋体" w:cs="Calibri"/>
                <w:szCs w:val="21"/>
              </w:rPr>
              <w:t>中国电梯协会</w:t>
            </w:r>
            <w:r>
              <w:rPr>
                <w:rFonts w:hint="eastAsia" w:ascii="宋体" w:hAnsi="宋体" w:eastAsia="宋体" w:cs="Calibri"/>
                <w:szCs w:val="21"/>
                <w:lang w:val="en-US" w:eastAsia="zh-CN"/>
              </w:rPr>
              <w:t>或</w:t>
            </w:r>
            <w:r>
              <w:rPr>
                <w:rFonts w:hint="eastAsia" w:ascii="宋体" w:hAnsi="宋体" w:eastAsia="宋体" w:cs="Calibri"/>
                <w:szCs w:val="21"/>
              </w:rPr>
              <w:t>中国特种设备安全与节能促进会</w:t>
            </w:r>
            <w:r>
              <w:rPr>
                <w:rFonts w:hint="eastAsia" w:ascii="宋体" w:hAnsi="宋体" w:eastAsia="宋体" w:cs="Calibri"/>
                <w:szCs w:val="21"/>
                <w:lang w:val="en-US" w:eastAsia="zh-CN"/>
              </w:rPr>
              <w:t>颁发或评选的与电梯</w:t>
            </w:r>
            <w:r>
              <w:rPr>
                <w:rFonts w:hint="eastAsia" w:ascii="宋体" w:hAnsi="宋体" w:eastAsia="宋体" w:cs="宋体"/>
                <w:color w:val="auto"/>
                <w:sz w:val="21"/>
                <w:szCs w:val="21"/>
                <w:lang w:val="en-US" w:eastAsia="zh-CN"/>
              </w:rPr>
              <w:t>质量、安全相关的荣誉奖项（证书），</w:t>
            </w:r>
            <w:r>
              <w:rPr>
                <w:rFonts w:hint="eastAsia" w:ascii="宋体" w:hAnsi="宋体" w:cs="宋体"/>
                <w:color w:val="auto"/>
                <w:sz w:val="21"/>
                <w:szCs w:val="21"/>
                <w:lang w:val="en-US" w:eastAsia="zh-CN"/>
              </w:rPr>
              <w:t>每提供一个计2分，最多计6</w:t>
            </w:r>
            <w:r>
              <w:rPr>
                <w:rFonts w:hint="eastAsia" w:ascii="宋体" w:hAnsi="宋体" w:eastAsia="宋体" w:cs="Calibri"/>
                <w:szCs w:val="21"/>
                <w:lang w:val="en-US" w:eastAsia="zh-CN"/>
              </w:rPr>
              <w:t>分。“以下情形不计分：① 商业性机构（如展会主办方、媒体）颁发的付费类荣誉；② 仅针对企业规模、销售额的奖项（与质量、安全无关）；③ 存在异议或被撤销的奖项。</w:t>
            </w:r>
          </w:p>
          <w:p w14:paraId="62AD4AEA">
            <w:pPr>
              <w:snapToGrid w:val="0"/>
              <w:spacing w:line="336" w:lineRule="exact"/>
              <w:rPr>
                <w:rFonts w:hint="eastAsia" w:ascii="宋体" w:hAnsi="宋体" w:cs="宋体"/>
                <w:szCs w:val="21"/>
              </w:rPr>
            </w:pPr>
            <w:r>
              <w:rPr>
                <w:rFonts w:hint="eastAsia" w:ascii="宋体" w:hAnsi="宋体" w:cs="宋体"/>
                <w:szCs w:val="21"/>
              </w:rPr>
              <w:t>4、投标品牌的制造商</w:t>
            </w:r>
            <w:r>
              <w:rPr>
                <w:rFonts w:ascii="宋体" w:hAnsi="宋体" w:cs="宋体"/>
                <w:szCs w:val="21"/>
              </w:rPr>
              <w:t>ISO18738</w:t>
            </w:r>
            <w:r>
              <w:rPr>
                <w:rFonts w:hint="eastAsia" w:ascii="宋体" w:hAnsi="宋体" w:cs="宋体"/>
                <w:szCs w:val="21"/>
              </w:rPr>
              <w:t>舒适度认证达到</w:t>
            </w:r>
            <w:r>
              <w:rPr>
                <w:rFonts w:ascii="宋体" w:hAnsi="宋体" w:cs="宋体"/>
                <w:szCs w:val="21"/>
              </w:rPr>
              <w:t xml:space="preserve">GOOD </w:t>
            </w:r>
            <w:r>
              <w:rPr>
                <w:rFonts w:hint="eastAsia" w:ascii="宋体" w:hAnsi="宋体" w:cs="宋体"/>
                <w:szCs w:val="21"/>
              </w:rPr>
              <w:t>级，需提供第三方</w:t>
            </w:r>
            <w:r>
              <w:rPr>
                <w:rFonts w:ascii="宋体" w:hAnsi="宋体" w:cs="宋体"/>
                <w:szCs w:val="21"/>
              </w:rPr>
              <w:t>ISO18738</w:t>
            </w:r>
            <w:r>
              <w:rPr>
                <w:rFonts w:hint="eastAsia" w:ascii="宋体" w:hAnsi="宋体" w:cs="宋体"/>
                <w:szCs w:val="21"/>
              </w:rPr>
              <w:t>认证证书，得10分，不提供不得分。（提供有效证明文件扫描件并加盖投标人公章，否则不计分）</w:t>
            </w:r>
          </w:p>
          <w:p w14:paraId="3EFD59A5">
            <w:pPr>
              <w:snapToGrid w:val="0"/>
              <w:spacing w:line="336" w:lineRule="exact"/>
              <w:rPr>
                <w:rFonts w:hint="eastAsia" w:ascii="宋体" w:hAnsi="宋体" w:eastAsia="宋体" w:cs="宋体"/>
                <w:sz w:val="18"/>
                <w:szCs w:val="18"/>
                <w:lang w:val="en-US" w:eastAsia="zh-CN"/>
              </w:rPr>
            </w:pPr>
            <w:r>
              <w:rPr>
                <w:rFonts w:hint="eastAsia" w:ascii="宋体" w:hAnsi="宋体" w:cs="宋体"/>
                <w:szCs w:val="21"/>
              </w:rPr>
              <w:t>5、</w:t>
            </w:r>
            <w:r>
              <w:rPr>
                <w:rFonts w:hint="eastAsia" w:ascii="宋体" w:hAnsi="宋体"/>
              </w:rPr>
              <w:t>投标人所投电梯品牌制造商能提</w:t>
            </w:r>
            <w:r>
              <w:rPr>
                <w:rFonts w:hint="eastAsia" w:ascii="宋体" w:hAnsi="宋体" w:eastAsia="宋体" w:cs="Times New Roman"/>
              </w:rPr>
              <w:t>供</w:t>
            </w:r>
            <w:r>
              <w:rPr>
                <w:rFonts w:hint="eastAsia" w:ascii="宋体" w:hAnsi="宋体" w:eastAsia="宋体" w:cs="Times New Roman"/>
                <w:lang w:eastAsia="zh-CN"/>
              </w:rPr>
              <w:t>电梯服务支援系统</w:t>
            </w:r>
            <w:r>
              <w:rPr>
                <w:rFonts w:hint="eastAsia" w:ascii="宋体" w:hAnsi="宋体" w:eastAsia="宋体" w:cs="Times New Roman"/>
                <w:lang w:val="en-US" w:eastAsia="zh-CN"/>
              </w:rPr>
              <w:t>或</w:t>
            </w:r>
            <w:r>
              <w:rPr>
                <w:rFonts w:hint="eastAsia" w:ascii="宋体" w:hAnsi="宋体" w:eastAsia="宋体" w:cs="Times New Roman"/>
              </w:rPr>
              <w:t>电梯物联网平台系统</w:t>
            </w:r>
            <w:r>
              <w:rPr>
                <w:rFonts w:hint="eastAsia" w:ascii="宋体" w:hAnsi="宋体"/>
              </w:rPr>
              <w:t>安全等级保护3级及以上等级的计10分，安全等级保护2级及以下等级的计3分，未提供不计分，（提供</w:t>
            </w:r>
            <w:r>
              <w:rPr>
                <w:rFonts w:hint="eastAsia" w:ascii="宋体" w:hAnsi="宋体"/>
                <w:lang w:val="en-US" w:eastAsia="zh-CN"/>
              </w:rPr>
              <w:t>相关</w:t>
            </w:r>
            <w:r>
              <w:rPr>
                <w:rFonts w:hint="eastAsia" w:ascii="宋体" w:hAnsi="宋体"/>
              </w:rPr>
              <w:t>证明文件并加盖投标人公章，否则不计分）。</w:t>
            </w:r>
          </w:p>
        </w:tc>
      </w:tr>
      <w:tr w14:paraId="2CDAE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2" w:hRule="atLeast"/>
        </w:trPr>
        <w:tc>
          <w:tcPr>
            <w:tcW w:w="579" w:type="dxa"/>
            <w:noWrap/>
            <w:vAlign w:val="center"/>
          </w:tcPr>
          <w:p w14:paraId="0E2CC76E">
            <w:pPr>
              <w:adjustRightInd w:val="0"/>
              <w:snapToGrid w:val="0"/>
              <w:spacing w:beforeLines="50" w:line="276" w:lineRule="auto"/>
              <w:jc w:val="center"/>
              <w:rPr>
                <w:rFonts w:hint="eastAsia" w:ascii="宋体" w:hAnsi="宋体" w:eastAsia="宋体" w:cs="宋体"/>
                <w:sz w:val="18"/>
                <w:szCs w:val="18"/>
                <w:lang w:eastAsia="zh-CN"/>
              </w:rPr>
            </w:pPr>
            <w:r>
              <w:rPr>
                <w:rFonts w:hint="eastAsia" w:ascii="宋体" w:hAnsi="宋体" w:cs="宋体"/>
                <w:sz w:val="18"/>
                <w:szCs w:val="18"/>
                <w:lang w:val="en-US" w:eastAsia="zh-CN"/>
              </w:rPr>
              <w:t>2</w:t>
            </w:r>
          </w:p>
        </w:tc>
        <w:tc>
          <w:tcPr>
            <w:tcW w:w="1364" w:type="dxa"/>
            <w:noWrap/>
            <w:vAlign w:val="center"/>
          </w:tcPr>
          <w:p w14:paraId="68BABE13">
            <w:pPr>
              <w:jc w:val="center"/>
              <w:rPr>
                <w:rFonts w:hint="default" w:ascii="宋体" w:hAnsi="宋体" w:cs="宋体"/>
                <w:sz w:val="22"/>
                <w:szCs w:val="22"/>
                <w:lang w:val="en-US"/>
              </w:rPr>
            </w:pPr>
            <w:r>
              <w:rPr>
                <w:rFonts w:hint="eastAsia" w:ascii="宋体" w:hAnsi="宋体" w:cs="宋体"/>
                <w:i w:val="0"/>
                <w:iCs w:val="0"/>
                <w:color w:val="000000"/>
                <w:sz w:val="21"/>
                <w:szCs w:val="21"/>
                <w:u w:val="none"/>
                <w:lang w:val="en-US" w:eastAsia="zh-CN"/>
              </w:rPr>
              <w:t>维保服务能力</w:t>
            </w:r>
          </w:p>
        </w:tc>
        <w:tc>
          <w:tcPr>
            <w:tcW w:w="744" w:type="dxa"/>
            <w:noWrap/>
            <w:vAlign w:val="center"/>
          </w:tcPr>
          <w:p w14:paraId="22A5177E">
            <w:pPr>
              <w:snapToGrid w:val="0"/>
              <w:spacing w:line="380" w:lineRule="exact"/>
              <w:jc w:val="center"/>
              <w:rPr>
                <w:rFonts w:hint="default" w:ascii="宋体" w:hAnsi="宋体" w:eastAsia="宋体" w:cs="宋体"/>
                <w:sz w:val="18"/>
                <w:szCs w:val="18"/>
                <w:lang w:val="en-US" w:eastAsia="zh-CN"/>
              </w:rPr>
            </w:pPr>
            <w:r>
              <w:rPr>
                <w:rFonts w:hint="eastAsia" w:ascii="宋体" w:hAnsi="宋体" w:cs="宋体"/>
                <w:sz w:val="18"/>
                <w:szCs w:val="18"/>
                <w:lang w:val="en-US" w:eastAsia="zh-CN"/>
              </w:rPr>
              <w:t>10</w:t>
            </w:r>
            <w:r>
              <w:rPr>
                <w:rFonts w:hint="eastAsia" w:ascii="宋体" w:hAnsi="宋体" w:eastAsia="宋体" w:cs="宋体"/>
                <w:sz w:val="18"/>
                <w:szCs w:val="18"/>
                <w:lang w:val="en-US" w:eastAsia="zh-CN"/>
              </w:rPr>
              <w:t>分</w:t>
            </w:r>
          </w:p>
        </w:tc>
        <w:tc>
          <w:tcPr>
            <w:tcW w:w="7734" w:type="dxa"/>
            <w:noWrap/>
            <w:vAlign w:val="center"/>
          </w:tcPr>
          <w:p w14:paraId="3BBD3835">
            <w:pPr>
              <w:keepNext w:val="0"/>
              <w:keepLines w:val="0"/>
              <w:pageBreakBefore w:val="0"/>
              <w:widowControl w:val="0"/>
              <w:kinsoku/>
              <w:wordWrap/>
              <w:overflowPunct/>
              <w:topLinePunct w:val="0"/>
              <w:autoSpaceDE/>
              <w:autoSpaceDN/>
              <w:bidi w:val="0"/>
              <w:adjustRightInd/>
              <w:snapToGrid w:val="0"/>
              <w:spacing w:line="336" w:lineRule="exact"/>
              <w:textAlignment w:val="auto"/>
              <w:rPr>
                <w:rFonts w:ascii="宋体" w:hAnsi="宋体" w:cstheme="minorBidi"/>
                <w:b/>
                <w:bCs/>
              </w:rPr>
            </w:pPr>
            <w:r>
              <w:rPr>
                <w:rFonts w:hint="eastAsia" w:ascii="宋体" w:hAnsi="宋体" w:cs="宋体"/>
                <w:szCs w:val="21"/>
              </w:rPr>
              <w:t>投标人</w:t>
            </w:r>
            <w:r>
              <w:rPr>
                <w:rFonts w:hint="eastAsia" w:ascii="宋体" w:hAnsi="宋体" w:cs="宋体"/>
                <w:szCs w:val="21"/>
                <w:lang w:val="en-US" w:eastAsia="zh-CN"/>
              </w:rPr>
              <w:t>或</w:t>
            </w:r>
            <w:r>
              <w:rPr>
                <w:rFonts w:hint="eastAsia" w:ascii="宋体" w:hAnsi="宋体" w:cs="宋体"/>
                <w:szCs w:val="21"/>
              </w:rPr>
              <w:t>所投电梯品牌制造商直属分支机构</w:t>
            </w:r>
            <w:r>
              <w:rPr>
                <w:rFonts w:hint="eastAsia" w:ascii="宋体" w:hAnsi="宋体" w:cs="宋体"/>
                <w:szCs w:val="21"/>
                <w:lang w:val="en-US" w:eastAsia="zh-CN"/>
              </w:rPr>
              <w:t>或合作定点维保单位</w:t>
            </w:r>
            <w:r>
              <w:rPr>
                <w:rFonts w:hint="eastAsia" w:ascii="宋体" w:hAnsi="宋体" w:cs="宋体"/>
                <w:szCs w:val="21"/>
              </w:rPr>
              <w:t>近5年（2021年～2025年）中有2年被市级及以上特种设备管理协会或特种设备安全管理协会或市场监督部门评为五星级维保单位的计10分，有2年评为四星级维保单位的计</w:t>
            </w:r>
            <w:r>
              <w:rPr>
                <w:rFonts w:hint="eastAsia" w:ascii="宋体" w:hAnsi="宋体" w:cs="宋体"/>
                <w:szCs w:val="21"/>
                <w:lang w:val="en-US" w:eastAsia="zh-CN"/>
              </w:rPr>
              <w:t>7</w:t>
            </w:r>
            <w:r>
              <w:rPr>
                <w:rFonts w:hint="eastAsia" w:ascii="宋体" w:hAnsi="宋体" w:cs="宋体"/>
                <w:szCs w:val="21"/>
              </w:rPr>
              <w:t>分，有2年评为三星级维保单位的计</w:t>
            </w:r>
            <w:r>
              <w:rPr>
                <w:rFonts w:hint="eastAsia" w:ascii="宋体" w:hAnsi="宋体" w:cs="宋体"/>
                <w:szCs w:val="21"/>
                <w:lang w:val="en-US" w:eastAsia="zh-CN"/>
              </w:rPr>
              <w:t>4</w:t>
            </w:r>
            <w:r>
              <w:rPr>
                <w:rFonts w:hint="eastAsia" w:ascii="宋体" w:hAnsi="宋体" w:cs="宋体"/>
                <w:szCs w:val="21"/>
              </w:rPr>
              <w:t>分，其余的不计分。（以提供特种设备管理协会或特种设备安全管理协会或市场监督部门颁发证书复印件并加盖投标人公章为准，否则不计分）。</w:t>
            </w:r>
          </w:p>
        </w:tc>
      </w:tr>
      <w:tr w14:paraId="48B39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 w:hRule="atLeast"/>
        </w:trPr>
        <w:tc>
          <w:tcPr>
            <w:tcW w:w="579" w:type="dxa"/>
            <w:noWrap/>
            <w:vAlign w:val="center"/>
          </w:tcPr>
          <w:p w14:paraId="717D9E20">
            <w:pPr>
              <w:adjustRightInd w:val="0"/>
              <w:snapToGrid w:val="0"/>
              <w:spacing w:beforeLines="50" w:line="276" w:lineRule="auto"/>
              <w:jc w:val="center"/>
              <w:rPr>
                <w:rFonts w:hint="eastAsia" w:ascii="宋体" w:hAnsi="宋体" w:eastAsia="宋体" w:cs="宋体"/>
                <w:sz w:val="18"/>
                <w:szCs w:val="18"/>
                <w:lang w:val="en-US" w:eastAsia="zh-CN"/>
              </w:rPr>
            </w:pPr>
            <w:r>
              <w:rPr>
                <w:rFonts w:hint="eastAsia" w:ascii="宋体" w:hAnsi="宋体" w:cs="宋体"/>
                <w:sz w:val="18"/>
                <w:szCs w:val="18"/>
                <w:lang w:val="en-US" w:eastAsia="zh-CN"/>
              </w:rPr>
              <w:t>3</w:t>
            </w:r>
          </w:p>
        </w:tc>
        <w:tc>
          <w:tcPr>
            <w:tcW w:w="1364" w:type="dxa"/>
            <w:noWrap/>
            <w:vAlign w:val="center"/>
          </w:tcPr>
          <w:p w14:paraId="69620519">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售后服务方案</w:t>
            </w:r>
          </w:p>
        </w:tc>
        <w:tc>
          <w:tcPr>
            <w:tcW w:w="744" w:type="dxa"/>
            <w:noWrap/>
            <w:vAlign w:val="center"/>
          </w:tcPr>
          <w:p w14:paraId="705ED41B">
            <w:pPr>
              <w:snapToGrid w:val="0"/>
              <w:spacing w:line="380" w:lineRule="exact"/>
              <w:jc w:val="center"/>
              <w:rPr>
                <w:rFonts w:hint="default" w:ascii="宋体" w:hAnsi="宋体" w:eastAsia="宋体" w:cs="宋体"/>
                <w:sz w:val="18"/>
                <w:szCs w:val="18"/>
                <w:lang w:val="en-US" w:eastAsia="zh-CN"/>
              </w:rPr>
            </w:pPr>
            <w:r>
              <w:rPr>
                <w:rFonts w:hint="eastAsia" w:ascii="宋体" w:hAnsi="宋体" w:cs="宋体"/>
                <w:sz w:val="18"/>
                <w:szCs w:val="18"/>
                <w:lang w:val="en-US" w:eastAsia="zh-CN"/>
              </w:rPr>
              <w:t>20</w:t>
            </w:r>
            <w:r>
              <w:rPr>
                <w:rFonts w:hint="eastAsia" w:ascii="宋体" w:hAnsi="宋体" w:eastAsia="宋体" w:cs="宋体"/>
                <w:sz w:val="18"/>
                <w:szCs w:val="18"/>
                <w:lang w:val="en-US" w:eastAsia="zh-CN"/>
              </w:rPr>
              <w:t>分</w:t>
            </w:r>
          </w:p>
        </w:tc>
        <w:tc>
          <w:tcPr>
            <w:tcW w:w="7734" w:type="dxa"/>
            <w:noWrap/>
            <w:vAlign w:val="center"/>
          </w:tcPr>
          <w:p w14:paraId="6E1AF76B">
            <w:pP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投标人需根据采购需求提供针对本项目的售后服务方案，方案应包括：</w:t>
            </w:r>
            <w:r>
              <w:rPr>
                <w:rFonts w:hint="eastAsia" w:ascii="宋体" w:hAnsi="宋体" w:eastAsia="宋体" w:cs="宋体"/>
                <w:b/>
                <w:bCs/>
                <w:color w:val="auto"/>
                <w:sz w:val="21"/>
                <w:szCs w:val="21"/>
                <w:lang w:val="en-US" w:eastAsia="zh-CN"/>
              </w:rPr>
              <w:t>①售后服务机构设置、②售后维护响应计划、③质保期</w:t>
            </w:r>
            <w:r>
              <w:rPr>
                <w:rFonts w:hint="eastAsia" w:ascii="宋体" w:hAnsi="宋体" w:cs="宋体"/>
                <w:b/>
                <w:bCs/>
                <w:color w:val="auto"/>
                <w:sz w:val="21"/>
                <w:szCs w:val="21"/>
                <w:lang w:val="en-US" w:eastAsia="zh-CN"/>
              </w:rPr>
              <w:t>内和质保期</w:t>
            </w:r>
            <w:r>
              <w:rPr>
                <w:rFonts w:hint="eastAsia" w:ascii="宋体" w:hAnsi="宋体" w:eastAsia="宋体" w:cs="宋体"/>
                <w:b/>
                <w:bCs/>
                <w:color w:val="auto"/>
                <w:sz w:val="21"/>
                <w:szCs w:val="21"/>
                <w:lang w:val="en-US" w:eastAsia="zh-CN"/>
              </w:rPr>
              <w:t>满后</w:t>
            </w:r>
            <w:r>
              <w:rPr>
                <w:rFonts w:hint="eastAsia" w:ascii="宋体" w:hAnsi="宋体" w:cs="宋体"/>
                <w:b/>
                <w:bCs/>
                <w:color w:val="auto"/>
                <w:sz w:val="21"/>
                <w:szCs w:val="21"/>
                <w:lang w:val="en-US" w:eastAsia="zh-CN"/>
              </w:rPr>
              <w:t>的</w:t>
            </w:r>
            <w:r>
              <w:rPr>
                <w:rFonts w:hint="eastAsia" w:ascii="宋体" w:hAnsi="宋体" w:eastAsia="宋体" w:cs="宋体"/>
                <w:b/>
                <w:bCs/>
                <w:color w:val="auto"/>
                <w:sz w:val="21"/>
                <w:szCs w:val="21"/>
                <w:lang w:val="en-US" w:eastAsia="zh-CN"/>
              </w:rPr>
              <w:t>服务措施</w:t>
            </w:r>
            <w:r>
              <w:rPr>
                <w:rFonts w:hint="eastAsia" w:ascii="宋体" w:hAnsi="宋体" w:cs="宋体"/>
                <w:b/>
                <w:bCs/>
                <w:color w:val="auto"/>
                <w:sz w:val="21"/>
                <w:szCs w:val="21"/>
                <w:lang w:val="en-US" w:eastAsia="zh-CN"/>
              </w:rPr>
              <w:t>（含</w:t>
            </w:r>
            <w:r>
              <w:rPr>
                <w:rFonts w:hint="eastAsia" w:ascii="宋体" w:hAnsi="宋体" w:eastAsia="宋体" w:cs="宋体"/>
                <w:b/>
                <w:bCs/>
                <w:color w:val="auto"/>
                <w:sz w:val="21"/>
                <w:szCs w:val="21"/>
                <w:lang w:val="en-US" w:eastAsia="zh-CN"/>
              </w:rPr>
              <w:t>备品备件方案</w:t>
            </w:r>
            <w:r>
              <w:rPr>
                <w:rFonts w:hint="eastAsia" w:ascii="宋体" w:hAnsi="宋体" w:cs="宋体"/>
                <w:b/>
                <w:bCs/>
                <w:color w:val="auto"/>
                <w:sz w:val="21"/>
                <w:szCs w:val="21"/>
                <w:lang w:val="en-US" w:eastAsia="zh-CN"/>
              </w:rPr>
              <w:t>）</w:t>
            </w:r>
            <w:r>
              <w:rPr>
                <w:rFonts w:hint="eastAsia" w:ascii="宋体" w:hAnsi="宋体" w:eastAsia="宋体" w:cs="宋体"/>
                <w:b/>
                <w:bCs/>
                <w:color w:val="auto"/>
                <w:sz w:val="21"/>
                <w:szCs w:val="21"/>
                <w:lang w:val="en-US" w:eastAsia="zh-CN"/>
              </w:rPr>
              <w:t>、④定期巡检维护方案、⑤培训方案</w:t>
            </w:r>
            <w:r>
              <w:rPr>
                <w:rFonts w:hint="eastAsia" w:ascii="宋体" w:hAnsi="宋体" w:eastAsia="宋体" w:cs="宋体"/>
                <w:color w:val="auto"/>
                <w:sz w:val="21"/>
                <w:szCs w:val="21"/>
                <w:lang w:val="en-US" w:eastAsia="zh-CN"/>
              </w:rPr>
              <w:t>。以上相关方案每一小项内容方案完整详细，符合采购实际需求得4分，缺项不得分，满分20分。每1小项内容出现以下缺陷情形的扣2分，每项扣完4分为止。</w:t>
            </w:r>
          </w:p>
          <w:p w14:paraId="75A2AF41">
            <w:pP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缺陷是指:存在不适用项目实际情况的情形、凭空编造、逻辑漏洞、前后不一、科学原理错误以及不可能实现的夸大情形、涉及内容无重点、套用其他项目方案，未能体现出本项目的特点或与本项目实际需求不完全相符或内容简陋可能导致本项目无法按采购需求顺利完成的、语言错误或存在歧义、该</w:t>
            </w:r>
            <w:r>
              <w:rPr>
                <w:rFonts w:hint="eastAsia" w:ascii="宋体" w:hAnsi="宋体" w:cs="宋体"/>
                <w:color w:val="auto"/>
                <w:sz w:val="21"/>
                <w:szCs w:val="21"/>
                <w:lang w:val="en-US" w:eastAsia="zh-CN"/>
              </w:rPr>
              <w:t>项</w:t>
            </w:r>
            <w:r>
              <w:rPr>
                <w:rFonts w:hint="eastAsia" w:ascii="宋体" w:hAnsi="宋体" w:eastAsia="宋体" w:cs="宋体"/>
                <w:color w:val="auto"/>
                <w:sz w:val="21"/>
                <w:szCs w:val="21"/>
                <w:lang w:val="en-US" w:eastAsia="zh-CN"/>
              </w:rPr>
              <w:t>内容体现不齐全等)</w:t>
            </w:r>
          </w:p>
        </w:tc>
      </w:tr>
      <w:tr w14:paraId="31C5E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2" w:hRule="atLeast"/>
        </w:trPr>
        <w:tc>
          <w:tcPr>
            <w:tcW w:w="579" w:type="dxa"/>
            <w:noWrap/>
            <w:vAlign w:val="center"/>
          </w:tcPr>
          <w:p w14:paraId="5B3F70CF">
            <w:pPr>
              <w:adjustRightInd w:val="0"/>
              <w:snapToGrid w:val="0"/>
              <w:spacing w:beforeLines="50" w:line="276" w:lineRule="auto"/>
              <w:jc w:val="center"/>
              <w:rPr>
                <w:rFonts w:hint="eastAsia" w:ascii="宋体" w:hAnsi="宋体" w:eastAsia="宋体" w:cs="宋体"/>
                <w:sz w:val="18"/>
                <w:szCs w:val="18"/>
                <w:lang w:val="en-US" w:eastAsia="zh-CN"/>
              </w:rPr>
            </w:pPr>
            <w:r>
              <w:rPr>
                <w:rFonts w:hint="eastAsia" w:ascii="宋体" w:hAnsi="宋体" w:cs="宋体"/>
                <w:sz w:val="18"/>
                <w:szCs w:val="18"/>
                <w:lang w:val="en-US" w:eastAsia="zh-CN"/>
              </w:rPr>
              <w:t>4</w:t>
            </w:r>
          </w:p>
        </w:tc>
        <w:tc>
          <w:tcPr>
            <w:tcW w:w="1364" w:type="dxa"/>
            <w:noWrap/>
            <w:vAlign w:val="center"/>
          </w:tcPr>
          <w:p w14:paraId="58A6ACD3">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auto"/>
                <w:sz w:val="21"/>
                <w:szCs w:val="21"/>
                <w:u w:val="none"/>
                <w:lang w:val="en-US" w:eastAsia="zh-CN"/>
              </w:rPr>
              <w:t>质保期</w:t>
            </w:r>
          </w:p>
        </w:tc>
        <w:tc>
          <w:tcPr>
            <w:tcW w:w="744" w:type="dxa"/>
            <w:noWrap/>
            <w:vAlign w:val="center"/>
          </w:tcPr>
          <w:p w14:paraId="6F5C8C1A">
            <w:pPr>
              <w:snapToGrid w:val="0"/>
              <w:spacing w:line="380" w:lineRule="exact"/>
              <w:jc w:val="center"/>
              <w:rPr>
                <w:rFonts w:hint="default" w:ascii="宋体" w:hAnsi="宋体" w:eastAsia="宋体" w:cs="宋体"/>
                <w:sz w:val="18"/>
                <w:szCs w:val="18"/>
                <w:lang w:val="en-US" w:eastAsia="zh-CN"/>
              </w:rPr>
            </w:pPr>
            <w:r>
              <w:rPr>
                <w:rFonts w:hint="eastAsia" w:ascii="宋体" w:hAnsi="宋体" w:cs="宋体"/>
                <w:sz w:val="18"/>
                <w:szCs w:val="18"/>
                <w:lang w:val="en-US" w:eastAsia="zh-CN"/>
              </w:rPr>
              <w:t>10</w:t>
            </w:r>
            <w:r>
              <w:rPr>
                <w:rFonts w:hint="eastAsia" w:ascii="宋体" w:hAnsi="宋体" w:eastAsia="宋体" w:cs="宋体"/>
                <w:sz w:val="18"/>
                <w:szCs w:val="18"/>
                <w:lang w:val="en-US" w:eastAsia="zh-CN"/>
              </w:rPr>
              <w:t>分</w:t>
            </w:r>
          </w:p>
        </w:tc>
        <w:tc>
          <w:tcPr>
            <w:tcW w:w="7734" w:type="dxa"/>
            <w:noWrap/>
            <w:vAlign w:val="center"/>
          </w:tcPr>
          <w:p w14:paraId="48F10879">
            <w:pPr>
              <w:keepNext w:val="0"/>
              <w:keepLines w:val="0"/>
              <w:pageBreakBefore w:val="0"/>
              <w:widowControl w:val="0"/>
              <w:kinsoku/>
              <w:wordWrap/>
              <w:overflowPunct/>
              <w:topLinePunct w:val="0"/>
              <w:autoSpaceDE/>
              <w:autoSpaceDN/>
              <w:bidi w:val="0"/>
              <w:adjustRightInd/>
              <w:spacing w:line="360" w:lineRule="exact"/>
              <w:jc w:val="both"/>
              <w:textAlignment w:val="auto"/>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投标人在招标文件规定的质保期基础上，</w:t>
            </w:r>
            <w:r>
              <w:rPr>
                <w:rFonts w:hint="eastAsia" w:ascii="宋体" w:hAnsi="宋体" w:cs="宋体"/>
                <w:i w:val="0"/>
                <w:iCs w:val="0"/>
                <w:color w:val="auto"/>
                <w:sz w:val="21"/>
                <w:szCs w:val="21"/>
                <w:u w:val="none"/>
                <w:lang w:val="en-US" w:eastAsia="zh-CN"/>
              </w:rPr>
              <w:t>承诺</w:t>
            </w:r>
            <w:r>
              <w:rPr>
                <w:rFonts w:hint="eastAsia" w:ascii="宋体" w:hAnsi="宋体" w:eastAsia="宋体" w:cs="宋体"/>
                <w:i w:val="0"/>
                <w:iCs w:val="0"/>
                <w:color w:val="auto"/>
                <w:sz w:val="21"/>
                <w:szCs w:val="21"/>
                <w:u w:val="none"/>
                <w:lang w:val="en-US" w:eastAsia="zh-CN"/>
              </w:rPr>
              <w:t>额外增加1年质保期</w:t>
            </w:r>
            <w:r>
              <w:rPr>
                <w:rFonts w:hint="eastAsia" w:ascii="宋体" w:hAnsi="宋体" w:eastAsia="宋体" w:cs="宋体"/>
                <w:i w:val="0"/>
                <w:iCs w:val="0"/>
                <w:color w:val="auto"/>
                <w:sz w:val="21"/>
                <w:szCs w:val="21"/>
                <w:highlight w:val="none"/>
                <w:u w:val="none"/>
                <w:lang w:val="en-US" w:eastAsia="zh-CN"/>
              </w:rPr>
              <w:t>的计</w:t>
            </w:r>
            <w:r>
              <w:rPr>
                <w:rFonts w:hint="eastAsia" w:ascii="宋体" w:hAnsi="宋体" w:cs="宋体"/>
                <w:i w:val="0"/>
                <w:iCs w:val="0"/>
                <w:color w:val="auto"/>
                <w:sz w:val="21"/>
                <w:szCs w:val="21"/>
                <w:highlight w:val="none"/>
                <w:u w:val="none"/>
                <w:lang w:val="en-US" w:eastAsia="zh-CN"/>
              </w:rPr>
              <w:t>10</w:t>
            </w:r>
            <w:r>
              <w:rPr>
                <w:rFonts w:hint="eastAsia" w:ascii="宋体" w:hAnsi="宋体" w:eastAsia="宋体" w:cs="宋体"/>
                <w:i w:val="0"/>
                <w:iCs w:val="0"/>
                <w:color w:val="auto"/>
                <w:sz w:val="21"/>
                <w:szCs w:val="21"/>
                <w:highlight w:val="none"/>
                <w:u w:val="none"/>
                <w:lang w:val="en-US" w:eastAsia="zh-CN"/>
              </w:rPr>
              <w:t>分</w:t>
            </w:r>
            <w:r>
              <w:rPr>
                <w:rFonts w:hint="eastAsia" w:ascii="宋体" w:hAnsi="宋体" w:eastAsia="宋体" w:cs="宋体"/>
                <w:i w:val="0"/>
                <w:iCs w:val="0"/>
                <w:color w:val="auto"/>
                <w:sz w:val="21"/>
                <w:szCs w:val="21"/>
                <w:u w:val="none"/>
                <w:lang w:val="en-US" w:eastAsia="zh-CN"/>
              </w:rPr>
              <w:t>，此项最多计</w:t>
            </w:r>
            <w:r>
              <w:rPr>
                <w:rFonts w:hint="eastAsia" w:ascii="宋体" w:hAnsi="宋体" w:cs="宋体"/>
                <w:i w:val="0"/>
                <w:iCs w:val="0"/>
                <w:color w:val="auto"/>
                <w:sz w:val="21"/>
                <w:szCs w:val="21"/>
                <w:u w:val="none"/>
                <w:lang w:val="en-US" w:eastAsia="zh-CN"/>
              </w:rPr>
              <w:t>10</w:t>
            </w:r>
            <w:r>
              <w:rPr>
                <w:rFonts w:hint="eastAsia" w:ascii="宋体" w:hAnsi="宋体" w:eastAsia="宋体" w:cs="宋体"/>
                <w:i w:val="0"/>
                <w:iCs w:val="0"/>
                <w:color w:val="auto"/>
                <w:sz w:val="21"/>
                <w:szCs w:val="21"/>
                <w:u w:val="none"/>
                <w:lang w:val="en-US" w:eastAsia="zh-CN"/>
              </w:rPr>
              <w:t>分。</w:t>
            </w:r>
          </w:p>
          <w:p w14:paraId="4604B375">
            <w:pPr>
              <w:keepNext w:val="0"/>
              <w:keepLines w:val="0"/>
              <w:pageBreakBefore w:val="0"/>
              <w:widowControl w:val="0"/>
              <w:kinsoku/>
              <w:wordWrap/>
              <w:overflowPunct/>
              <w:topLinePunct w:val="0"/>
              <w:autoSpaceDE/>
              <w:autoSpaceDN/>
              <w:bidi w:val="0"/>
              <w:adjustRightInd/>
              <w:spacing w:line="360" w:lineRule="exact"/>
              <w:jc w:val="both"/>
              <w:textAlignment w:val="auto"/>
              <w:rPr>
                <w:rFonts w:hint="eastAsia" w:ascii="宋体" w:hAnsi="宋体" w:eastAsia="宋体" w:cs="宋体"/>
                <w:color w:val="auto"/>
                <w:sz w:val="21"/>
                <w:szCs w:val="21"/>
                <w:lang w:val="en-US" w:eastAsia="zh-CN"/>
              </w:rPr>
            </w:pPr>
            <w:r>
              <w:rPr>
                <w:rFonts w:hint="eastAsia" w:ascii="宋体" w:hAnsi="宋体" w:eastAsia="宋体" w:cs="宋体"/>
                <w:i w:val="0"/>
                <w:iCs w:val="0"/>
                <w:color w:val="auto"/>
                <w:sz w:val="21"/>
                <w:szCs w:val="21"/>
                <w:u w:val="none"/>
                <w:lang w:val="en-US" w:eastAsia="zh-CN"/>
              </w:rPr>
              <w:t>计分说明：投标人需提供书面承诺函并加盖投标人公章，否则不计分。</w:t>
            </w:r>
          </w:p>
        </w:tc>
      </w:tr>
      <w:tr w14:paraId="160F3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2" w:hRule="atLeast"/>
        </w:trPr>
        <w:tc>
          <w:tcPr>
            <w:tcW w:w="579" w:type="dxa"/>
            <w:noWrap/>
            <w:vAlign w:val="center"/>
          </w:tcPr>
          <w:p w14:paraId="043F3E33">
            <w:pPr>
              <w:adjustRightInd w:val="0"/>
              <w:snapToGrid w:val="0"/>
              <w:spacing w:beforeLines="50" w:line="276" w:lineRule="auto"/>
              <w:jc w:val="center"/>
              <w:rPr>
                <w:rFonts w:hint="eastAsia" w:ascii="宋体" w:hAnsi="宋体" w:eastAsia="宋体" w:cs="宋体"/>
                <w:sz w:val="18"/>
                <w:szCs w:val="18"/>
                <w:lang w:val="en-US" w:eastAsia="zh-CN"/>
              </w:rPr>
            </w:pPr>
            <w:r>
              <w:rPr>
                <w:rFonts w:hint="eastAsia" w:ascii="宋体" w:hAnsi="宋体" w:cs="宋体"/>
                <w:sz w:val="18"/>
                <w:szCs w:val="18"/>
                <w:lang w:val="en-US" w:eastAsia="zh-CN"/>
              </w:rPr>
              <w:t>5</w:t>
            </w:r>
          </w:p>
        </w:tc>
        <w:tc>
          <w:tcPr>
            <w:tcW w:w="1364" w:type="dxa"/>
            <w:noWrap/>
            <w:vAlign w:val="center"/>
          </w:tcPr>
          <w:p w14:paraId="6B02E0AB">
            <w:pPr>
              <w:snapToGrid w:val="0"/>
              <w:spacing w:line="360" w:lineRule="auto"/>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000000"/>
                <w:sz w:val="21"/>
                <w:szCs w:val="21"/>
                <w:u w:val="none"/>
              </w:rPr>
              <w:t>业绩</w:t>
            </w:r>
          </w:p>
        </w:tc>
        <w:tc>
          <w:tcPr>
            <w:tcW w:w="744" w:type="dxa"/>
            <w:noWrap/>
            <w:vAlign w:val="center"/>
          </w:tcPr>
          <w:p w14:paraId="73356FFC">
            <w:pPr>
              <w:snapToGrid w:val="0"/>
              <w:spacing w:line="380" w:lineRule="exact"/>
              <w:jc w:val="center"/>
              <w:rPr>
                <w:rFonts w:hint="default" w:ascii="宋体" w:hAnsi="宋体" w:eastAsia="宋体" w:cs="宋体"/>
                <w:sz w:val="18"/>
                <w:szCs w:val="18"/>
                <w:lang w:val="en-US" w:eastAsia="zh-CN"/>
              </w:rPr>
            </w:pPr>
            <w:r>
              <w:rPr>
                <w:rFonts w:hint="eastAsia" w:ascii="宋体" w:hAnsi="宋体" w:cs="宋体"/>
                <w:sz w:val="18"/>
                <w:szCs w:val="18"/>
                <w:lang w:val="en-US" w:eastAsia="zh-CN"/>
              </w:rPr>
              <w:t>15</w:t>
            </w:r>
            <w:r>
              <w:rPr>
                <w:rFonts w:hint="eastAsia" w:ascii="宋体" w:hAnsi="宋体" w:eastAsia="宋体" w:cs="宋体"/>
                <w:sz w:val="18"/>
                <w:szCs w:val="18"/>
                <w:lang w:val="en-US" w:eastAsia="zh-CN"/>
              </w:rPr>
              <w:t>分</w:t>
            </w:r>
          </w:p>
        </w:tc>
        <w:tc>
          <w:tcPr>
            <w:tcW w:w="7734" w:type="dxa"/>
            <w:noWrap/>
            <w:vAlign w:val="center"/>
          </w:tcPr>
          <w:p w14:paraId="12A6AE44">
            <w:pPr>
              <w:keepNext w:val="0"/>
              <w:keepLines w:val="0"/>
              <w:pageBreakBefore w:val="0"/>
              <w:widowControl w:val="0"/>
              <w:kinsoku/>
              <w:wordWrap/>
              <w:overflowPunct/>
              <w:topLinePunct w:val="0"/>
              <w:autoSpaceDE/>
              <w:autoSpaceDN/>
              <w:bidi w:val="0"/>
              <w:adjustRightInd/>
              <w:spacing w:line="360" w:lineRule="exact"/>
              <w:jc w:val="both"/>
              <w:textAlignment w:val="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投标人</w:t>
            </w:r>
            <w:r>
              <w:rPr>
                <w:rFonts w:hint="eastAsia" w:ascii="宋体" w:hAnsi="宋体" w:cs="宋体"/>
                <w:i w:val="0"/>
                <w:iCs w:val="0"/>
                <w:color w:val="000000"/>
                <w:sz w:val="21"/>
                <w:szCs w:val="21"/>
                <w:u w:val="none"/>
                <w:lang w:val="en-US" w:eastAsia="zh-CN"/>
              </w:rPr>
              <w:t>近三年</w:t>
            </w:r>
            <w:r>
              <w:rPr>
                <w:rFonts w:hint="eastAsia" w:ascii="宋体" w:hAnsi="宋体" w:eastAsia="宋体" w:cs="宋体"/>
                <w:i w:val="0"/>
                <w:iCs w:val="0"/>
                <w:color w:val="000000"/>
                <w:sz w:val="21"/>
                <w:szCs w:val="21"/>
                <w:u w:val="none"/>
                <w:lang w:val="en-US" w:eastAsia="zh-CN"/>
              </w:rPr>
              <w:t>（</w:t>
            </w:r>
            <w:r>
              <w:rPr>
                <w:rFonts w:hint="eastAsia" w:ascii="宋体" w:hAnsi="宋体" w:cs="宋体"/>
                <w:i w:val="0"/>
                <w:iCs w:val="0"/>
                <w:color w:val="000000"/>
                <w:sz w:val="21"/>
                <w:szCs w:val="21"/>
                <w:u w:val="none"/>
                <w:lang w:val="en-US" w:eastAsia="zh-CN"/>
              </w:rPr>
              <w:t>投标截止时间前三年</w:t>
            </w:r>
            <w:r>
              <w:rPr>
                <w:rFonts w:hint="eastAsia" w:ascii="宋体" w:hAnsi="宋体" w:eastAsia="宋体" w:cs="宋体"/>
                <w:i w:val="0"/>
                <w:iCs w:val="0"/>
                <w:color w:val="000000"/>
                <w:sz w:val="21"/>
                <w:szCs w:val="21"/>
                <w:u w:val="none"/>
                <w:lang w:val="en-US" w:eastAsia="zh-CN"/>
              </w:rPr>
              <w:t>）以来具有类似</w:t>
            </w:r>
            <w:r>
              <w:rPr>
                <w:rFonts w:hint="eastAsia" w:ascii="宋体" w:hAnsi="宋体" w:cs="宋体"/>
                <w:i w:val="0"/>
                <w:iCs w:val="0"/>
                <w:color w:val="000000"/>
                <w:sz w:val="21"/>
                <w:szCs w:val="21"/>
                <w:u w:val="none"/>
                <w:lang w:val="en-US" w:eastAsia="zh-CN"/>
              </w:rPr>
              <w:t>电梯</w:t>
            </w:r>
            <w:r>
              <w:rPr>
                <w:rFonts w:hint="eastAsia" w:ascii="宋体" w:hAnsi="宋体" w:eastAsia="宋体" w:cs="宋体"/>
                <w:i w:val="0"/>
                <w:iCs w:val="0"/>
                <w:color w:val="000000"/>
                <w:sz w:val="21"/>
                <w:szCs w:val="21"/>
                <w:u w:val="none"/>
                <w:lang w:val="en-US" w:eastAsia="zh-CN"/>
              </w:rPr>
              <w:t>业绩的，每提供一个计</w:t>
            </w:r>
            <w:r>
              <w:rPr>
                <w:rFonts w:hint="eastAsia" w:ascii="宋体" w:hAnsi="宋体" w:cs="宋体"/>
                <w:i w:val="0"/>
                <w:iCs w:val="0"/>
                <w:color w:val="000000"/>
                <w:sz w:val="21"/>
                <w:szCs w:val="21"/>
                <w:u w:val="none"/>
                <w:lang w:val="en-US" w:eastAsia="zh-CN"/>
              </w:rPr>
              <w:t>5</w:t>
            </w:r>
            <w:r>
              <w:rPr>
                <w:rFonts w:hint="eastAsia" w:ascii="宋体" w:hAnsi="宋体" w:eastAsia="宋体" w:cs="宋体"/>
                <w:i w:val="0"/>
                <w:iCs w:val="0"/>
                <w:color w:val="000000"/>
                <w:sz w:val="21"/>
                <w:szCs w:val="21"/>
                <w:u w:val="none"/>
                <w:lang w:val="en-US" w:eastAsia="zh-CN"/>
              </w:rPr>
              <w:t>分，此项最高计</w:t>
            </w:r>
            <w:r>
              <w:rPr>
                <w:rFonts w:hint="eastAsia" w:ascii="宋体" w:hAnsi="宋体" w:cs="宋体"/>
                <w:i w:val="0"/>
                <w:iCs w:val="0"/>
                <w:color w:val="000000"/>
                <w:sz w:val="21"/>
                <w:szCs w:val="21"/>
                <w:u w:val="none"/>
                <w:lang w:val="en-US" w:eastAsia="zh-CN"/>
              </w:rPr>
              <w:t>15</w:t>
            </w:r>
            <w:r>
              <w:rPr>
                <w:rFonts w:hint="eastAsia" w:ascii="宋体" w:hAnsi="宋体" w:eastAsia="宋体" w:cs="宋体"/>
                <w:i w:val="0"/>
                <w:iCs w:val="0"/>
                <w:color w:val="000000"/>
                <w:sz w:val="21"/>
                <w:szCs w:val="21"/>
                <w:u w:val="none"/>
                <w:lang w:val="en-US" w:eastAsia="zh-CN"/>
              </w:rPr>
              <w:t>分。</w:t>
            </w:r>
          </w:p>
          <w:p w14:paraId="49BB0734">
            <w:pPr>
              <w:keepNext w:val="0"/>
              <w:keepLines w:val="0"/>
              <w:pageBreakBefore w:val="0"/>
              <w:widowControl w:val="0"/>
              <w:kinsoku/>
              <w:wordWrap/>
              <w:overflowPunct/>
              <w:topLinePunct w:val="0"/>
              <w:autoSpaceDE/>
              <w:autoSpaceDN/>
              <w:bidi w:val="0"/>
              <w:adjustRightInd/>
              <w:spacing w:line="360" w:lineRule="exact"/>
              <w:jc w:val="both"/>
              <w:textAlignment w:val="auto"/>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000000"/>
                <w:sz w:val="21"/>
                <w:szCs w:val="21"/>
                <w:u w:val="none"/>
                <w:lang w:val="en-US" w:eastAsia="zh-CN"/>
              </w:rPr>
              <w:t>计分说明：需提供合同和项目验收报告或电梯检验机构检验合格的相关证明文件的扫描件并加盖投标人公章，否则不计分。</w:t>
            </w:r>
          </w:p>
        </w:tc>
      </w:tr>
    </w:tbl>
    <w:p w14:paraId="1578EAAF">
      <w:pPr>
        <w:jc w:val="center"/>
        <w:outlineLvl w:val="0"/>
        <w:rPr>
          <w:rFonts w:ascii="宋体" w:hAnsi="宋体" w:cs="宋体"/>
          <w:b/>
          <w:bCs/>
          <w:sz w:val="28"/>
          <w:szCs w:val="28"/>
        </w:rPr>
      </w:pPr>
      <w:bookmarkStart w:id="29" w:name="_Toc8264"/>
      <w:r>
        <w:rPr>
          <w:rFonts w:hint="eastAsia" w:ascii="宋体" w:hAnsi="宋体" w:cs="宋体"/>
          <w:b/>
          <w:bCs/>
          <w:sz w:val="28"/>
          <w:szCs w:val="28"/>
        </w:rPr>
        <w:t>★条款汇总</w:t>
      </w:r>
      <w:bookmarkEnd w:id="26"/>
      <w:bookmarkEnd w:id="29"/>
    </w:p>
    <w:tbl>
      <w:tblPr>
        <w:tblStyle w:val="40"/>
        <w:tblW w:w="106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9298"/>
      </w:tblGrid>
      <w:tr w14:paraId="5E6CC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384" w:type="dxa"/>
            <w:noWrap/>
            <w:vAlign w:val="center"/>
          </w:tcPr>
          <w:p w14:paraId="63CA2EDA">
            <w:pPr>
              <w:adjustRightInd w:val="0"/>
              <w:snapToGrid w:val="0"/>
              <w:spacing w:beforeLines="50" w:line="360" w:lineRule="auto"/>
              <w:jc w:val="center"/>
              <w:rPr>
                <w:rFonts w:ascii="宋体" w:hAnsi="宋体" w:cs="宋体"/>
                <w:sz w:val="20"/>
                <w:szCs w:val="20"/>
              </w:rPr>
            </w:pPr>
            <w:bookmarkStart w:id="30" w:name="T_1_3"/>
            <w:r>
              <w:rPr>
                <w:rFonts w:hint="eastAsia" w:ascii="宋体" w:hAnsi="宋体" w:cs="宋体"/>
                <w:sz w:val="20"/>
                <w:szCs w:val="20"/>
              </w:rPr>
              <w:t>序号</w:t>
            </w:r>
          </w:p>
        </w:tc>
        <w:tc>
          <w:tcPr>
            <w:tcW w:w="9298" w:type="dxa"/>
            <w:noWrap/>
            <w:vAlign w:val="center"/>
          </w:tcPr>
          <w:p w14:paraId="3AAF49F7">
            <w:pPr>
              <w:adjustRightInd w:val="0"/>
              <w:snapToGrid w:val="0"/>
              <w:spacing w:beforeLines="50" w:line="360" w:lineRule="auto"/>
              <w:jc w:val="center"/>
              <w:rPr>
                <w:rFonts w:ascii="宋体" w:hAnsi="宋体" w:cs="宋体"/>
                <w:sz w:val="20"/>
                <w:szCs w:val="20"/>
              </w:rPr>
            </w:pPr>
            <w:r>
              <w:rPr>
                <w:rFonts w:hint="eastAsia" w:ascii="宋体" w:hAnsi="宋体" w:cs="宋体"/>
                <w:sz w:val="20"/>
                <w:szCs w:val="20"/>
              </w:rPr>
              <w:t>条款内容</w:t>
            </w:r>
          </w:p>
        </w:tc>
      </w:tr>
      <w:tr w14:paraId="51668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384" w:type="dxa"/>
            <w:noWrap/>
            <w:vAlign w:val="center"/>
          </w:tcPr>
          <w:p w14:paraId="0A39DEAE">
            <w:pPr>
              <w:jc w:val="center"/>
              <w:rPr>
                <w:rFonts w:ascii="宋体" w:hAnsi="宋体" w:cs="宋体"/>
              </w:rPr>
            </w:pPr>
          </w:p>
        </w:tc>
        <w:tc>
          <w:tcPr>
            <w:tcW w:w="9298" w:type="dxa"/>
            <w:noWrap/>
            <w:vAlign w:val="center"/>
          </w:tcPr>
          <w:p w14:paraId="4DD02BF4">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00" w:firstLineChars="200"/>
              <w:textAlignment w:val="auto"/>
            </w:pPr>
          </w:p>
        </w:tc>
      </w:tr>
      <w:bookmarkEnd w:id="30"/>
    </w:tbl>
    <w:p w14:paraId="184B5FB7">
      <w:pPr>
        <w:jc w:val="left"/>
        <w:rPr>
          <w:rFonts w:ascii="宋体" w:hAnsi="宋体" w:cs="宋体"/>
        </w:rPr>
      </w:pPr>
    </w:p>
    <w:p w14:paraId="01BE4A37">
      <w:pPr>
        <w:jc w:val="left"/>
        <w:rPr>
          <w:rFonts w:ascii="宋体" w:hAnsi="宋体" w:cs="宋体"/>
        </w:rPr>
        <w:sectPr>
          <w:footerReference r:id="rId5" w:type="default"/>
          <w:pgSz w:w="11906" w:h="16838"/>
          <w:pgMar w:top="720" w:right="720" w:bottom="720" w:left="720"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宋体" w:hAnsi="宋体" w:cs="宋体"/>
        </w:rPr>
        <w:t>商务部分，技术部分★号条款未在“★条款汇总表中的”，将视为无效★号条款</w:t>
      </w:r>
    </w:p>
    <w:p w14:paraId="00BF6C02">
      <w:pPr>
        <w:pStyle w:val="2"/>
        <w:spacing w:line="480" w:lineRule="exact"/>
        <w:rPr>
          <w:rFonts w:ascii="黑体" w:hAnsi="华文中宋" w:eastAsia="黑体"/>
          <w:sz w:val="32"/>
          <w:szCs w:val="32"/>
        </w:rPr>
      </w:pPr>
      <w:bookmarkStart w:id="31" w:name="_Toc15925"/>
      <w:r>
        <w:rPr>
          <w:rFonts w:hint="eastAsia" w:hAnsi="宋体" w:cs="宋体"/>
          <w:b w:val="0"/>
          <w:sz w:val="32"/>
          <w:szCs w:val="32"/>
        </w:rPr>
        <w:t xml:space="preserve">第一章 </w:t>
      </w:r>
      <w:r>
        <w:rPr>
          <w:rFonts w:hint="eastAsia" w:ascii="黑体" w:hAnsi="华文中宋" w:eastAsia="黑体"/>
          <w:sz w:val="32"/>
          <w:szCs w:val="32"/>
        </w:rPr>
        <w:t>投标邀请</w:t>
      </w:r>
      <w:bookmarkEnd w:id="8"/>
      <w:bookmarkEnd w:id="9"/>
      <w:bookmarkEnd w:id="31"/>
      <w:r>
        <w:rPr>
          <w:rFonts w:hint="eastAsia" w:ascii="黑体" w:hAnsi="华文中宋" w:eastAsia="黑体"/>
          <w:sz w:val="32"/>
          <w:szCs w:val="32"/>
        </w:rPr>
        <w:t>（公开招标）</w:t>
      </w:r>
    </w:p>
    <w:p w14:paraId="0F4B95D6">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cs="宋体"/>
          <w:szCs w:val="21"/>
        </w:rPr>
      </w:pPr>
      <w:bookmarkStart w:id="32" w:name="OLE_LINK2"/>
      <w:bookmarkStart w:id="33" w:name="OLE_LINK6"/>
      <w:bookmarkStart w:id="34" w:name="OLE_LINK5"/>
      <w:bookmarkStart w:id="35" w:name="OLE_LINK8"/>
      <w:bookmarkStart w:id="36" w:name="_Toc6205"/>
      <w:bookmarkStart w:id="37" w:name="_Toc16909"/>
      <w:r>
        <w:rPr>
          <w:rFonts w:hint="eastAsia" w:ascii="宋体" w:hAnsi="宋体" w:cs="宋体"/>
          <w:szCs w:val="21"/>
        </w:rPr>
        <w:t>受</w:t>
      </w:r>
      <w:r>
        <w:rPr>
          <w:rFonts w:hint="eastAsia" w:ascii="宋体" w:hAnsi="宋体" w:cs="宋体"/>
          <w:szCs w:val="21"/>
          <w:lang w:eastAsia="zh-CN"/>
        </w:rPr>
        <w:t>岳阳县人民医院</w:t>
      </w:r>
      <w:r>
        <w:rPr>
          <w:rFonts w:hint="eastAsia" w:ascii="宋体" w:hAnsi="宋体" w:cs="宋体"/>
          <w:szCs w:val="21"/>
        </w:rPr>
        <w:t>的委托，本代理机构对</w:t>
      </w:r>
      <w:r>
        <w:rPr>
          <w:rFonts w:hint="eastAsia" w:ascii="宋体" w:hAnsi="宋体" w:cs="宋体"/>
          <w:szCs w:val="21"/>
          <w:lang w:eastAsia="zh-CN"/>
        </w:rPr>
        <w:t>岳阳县人民医院外科大楼建设项目电梯工程（重新立项）第二次</w:t>
      </w:r>
      <w:r>
        <w:rPr>
          <w:rFonts w:hint="eastAsia" w:ascii="宋体" w:hAnsi="宋体" w:cs="宋体"/>
          <w:szCs w:val="21"/>
        </w:rPr>
        <w:t>进行公开招标采购，现将采购事项公告如下：</w:t>
      </w:r>
      <w:bookmarkStart w:id="38" w:name="_Toc21957"/>
    </w:p>
    <w:bookmarkEnd w:id="38"/>
    <w:p w14:paraId="1C44D038">
      <w:pPr>
        <w:keepNext w:val="0"/>
        <w:keepLines w:val="0"/>
        <w:pageBreakBefore w:val="0"/>
        <w:kinsoku/>
        <w:wordWrap/>
        <w:overflowPunct/>
        <w:topLinePunct w:val="0"/>
        <w:bidi w:val="0"/>
        <w:adjustRightInd w:val="0"/>
        <w:snapToGrid w:val="0"/>
        <w:spacing w:line="480" w:lineRule="exact"/>
        <w:ind w:firstLine="422" w:firstLineChars="200"/>
        <w:textAlignment w:val="auto"/>
        <w:rPr>
          <w:rFonts w:ascii="宋体" w:hAnsi="宋体"/>
          <w:b/>
          <w:szCs w:val="21"/>
        </w:rPr>
      </w:pPr>
      <w:bookmarkStart w:id="39" w:name="_Toc29253"/>
      <w:r>
        <w:rPr>
          <w:rFonts w:hint="eastAsia" w:ascii="宋体" w:hAnsi="宋体"/>
          <w:b/>
          <w:szCs w:val="21"/>
        </w:rPr>
        <w:t>一、采购项目基本信息</w:t>
      </w:r>
    </w:p>
    <w:p w14:paraId="28DBF4FD">
      <w:pPr>
        <w:keepNext w:val="0"/>
        <w:keepLines w:val="0"/>
        <w:pageBreakBefore w:val="0"/>
        <w:kinsoku/>
        <w:wordWrap/>
        <w:overflowPunct/>
        <w:topLinePunct w:val="0"/>
        <w:bidi w:val="0"/>
        <w:adjustRightInd w:val="0"/>
        <w:snapToGrid w:val="0"/>
        <w:spacing w:line="480" w:lineRule="exact"/>
        <w:ind w:firstLine="420" w:firstLineChars="200"/>
        <w:textAlignment w:val="auto"/>
        <w:rPr>
          <w:rFonts w:hint="eastAsia" w:ascii="宋体" w:hAnsi="宋体" w:eastAsia="宋体"/>
          <w:szCs w:val="21"/>
          <w:lang w:eastAsia="zh-CN"/>
        </w:rPr>
      </w:pPr>
      <w:r>
        <w:rPr>
          <w:rFonts w:hint="eastAsia" w:ascii="宋体" w:hAnsi="宋体"/>
          <w:szCs w:val="21"/>
        </w:rPr>
        <w:t>1、采购项目名称：</w:t>
      </w:r>
      <w:r>
        <w:rPr>
          <w:rFonts w:hint="eastAsia" w:ascii="宋体" w:hAnsi="宋体"/>
          <w:szCs w:val="21"/>
          <w:u w:val="single"/>
        </w:rPr>
        <w:t xml:space="preserve"> </w:t>
      </w:r>
      <w:r>
        <w:rPr>
          <w:rFonts w:hint="eastAsia" w:ascii="宋体" w:hAnsi="宋体" w:cs="宋体"/>
          <w:szCs w:val="21"/>
          <w:u w:val="single"/>
          <w:lang w:eastAsia="zh-CN"/>
        </w:rPr>
        <w:t>岳阳县人民医院外科大楼建设项目电梯工程（重新立项）第二次</w:t>
      </w:r>
    </w:p>
    <w:p w14:paraId="7CFA3BBA">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szCs w:val="21"/>
        </w:rPr>
      </w:pPr>
      <w:r>
        <w:rPr>
          <w:rFonts w:hint="eastAsia" w:ascii="宋体" w:hAnsi="宋体"/>
          <w:szCs w:val="21"/>
        </w:rPr>
        <w:t>2、政府采购计划编号：</w:t>
      </w:r>
      <w:r>
        <w:rPr>
          <w:rFonts w:hint="eastAsia" w:ascii="宋体" w:hAnsi="宋体" w:cs="宋体"/>
          <w:szCs w:val="21"/>
          <w:u w:val="single"/>
          <w:lang w:eastAsia="zh-CN"/>
        </w:rPr>
        <w:t>岳县财采计[2025]00187</w:t>
      </w:r>
      <w:r>
        <w:rPr>
          <w:rFonts w:hint="eastAsia" w:ascii="宋体" w:hAnsi="宋体"/>
          <w:szCs w:val="21"/>
          <w:u w:val="single"/>
        </w:rPr>
        <w:t xml:space="preserve"> </w:t>
      </w:r>
    </w:p>
    <w:p w14:paraId="3947A1E6">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i/>
          <w:szCs w:val="21"/>
        </w:rPr>
      </w:pPr>
      <w:r>
        <w:rPr>
          <w:rFonts w:hint="eastAsia" w:ascii="宋体" w:hAnsi="宋体"/>
          <w:szCs w:val="21"/>
        </w:rPr>
        <w:t>3、委托代理编号：</w:t>
      </w:r>
      <w:r>
        <w:rPr>
          <w:rFonts w:hint="eastAsia" w:ascii="宋体" w:hAnsi="宋体"/>
          <w:szCs w:val="21"/>
          <w:u w:val="single"/>
        </w:rPr>
        <w:t xml:space="preserve"> </w:t>
      </w:r>
      <w:r>
        <w:rPr>
          <w:rFonts w:hint="eastAsia" w:ascii="宋体" w:hAnsi="宋体" w:cs="宋体"/>
          <w:szCs w:val="21"/>
          <w:u w:val="single"/>
          <w:lang w:eastAsia="zh-CN"/>
        </w:rPr>
        <w:t>SMD-CG-202563</w:t>
      </w:r>
      <w:r>
        <w:rPr>
          <w:rFonts w:hint="eastAsia" w:ascii="宋体" w:hAnsi="宋体"/>
          <w:szCs w:val="21"/>
          <w:u w:val="single"/>
        </w:rPr>
        <w:t xml:space="preserve"> </w:t>
      </w:r>
    </w:p>
    <w:p w14:paraId="3C7BEAFE">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bCs/>
          <w:szCs w:val="21"/>
        </w:rPr>
      </w:pPr>
      <w:r>
        <w:rPr>
          <w:rFonts w:hint="eastAsia" w:ascii="宋体" w:hAnsi="宋体"/>
          <w:bCs/>
          <w:szCs w:val="21"/>
        </w:rPr>
        <w:t>4、采购项目预算：</w:t>
      </w:r>
      <w:r>
        <w:rPr>
          <w:rFonts w:hint="eastAsia" w:ascii="宋体" w:hAnsi="宋体"/>
          <w:bCs/>
          <w:szCs w:val="21"/>
          <w:u w:val="single"/>
        </w:rPr>
        <w:t xml:space="preserve">  </w:t>
      </w:r>
      <w:r>
        <w:rPr>
          <w:rFonts w:hint="eastAsia" w:ascii="宋体" w:hAnsi="宋体" w:cs="宋体"/>
          <w:szCs w:val="21"/>
          <w:u w:val="single"/>
          <w:lang w:eastAsia="zh-CN"/>
        </w:rPr>
        <w:t>2456900.00</w:t>
      </w:r>
      <w:r>
        <w:rPr>
          <w:rFonts w:hint="eastAsia" w:ascii="宋体" w:hAnsi="宋体" w:cs="宋体"/>
          <w:szCs w:val="21"/>
          <w:u w:val="single"/>
        </w:rPr>
        <w:t>元</w:t>
      </w:r>
      <w:r>
        <w:rPr>
          <w:rFonts w:hint="eastAsia" w:ascii="宋体" w:hAnsi="宋体"/>
          <w:bCs/>
          <w:szCs w:val="21"/>
          <w:u w:val="single"/>
        </w:rPr>
        <w:t xml:space="preserve">  </w:t>
      </w:r>
    </w:p>
    <w:p w14:paraId="20938CFD">
      <w:pPr>
        <w:keepNext w:val="0"/>
        <w:keepLines w:val="0"/>
        <w:pageBreakBefore w:val="0"/>
        <w:kinsoku/>
        <w:wordWrap/>
        <w:overflowPunct/>
        <w:topLinePunct w:val="0"/>
        <w:bidi w:val="0"/>
        <w:adjustRightInd w:val="0"/>
        <w:snapToGrid w:val="0"/>
        <w:spacing w:line="480" w:lineRule="exact"/>
        <w:ind w:firstLine="630" w:firstLineChars="300"/>
        <w:textAlignment w:val="auto"/>
        <w:rPr>
          <w:rFonts w:ascii="宋体" w:hAnsi="宋体"/>
          <w:bCs/>
          <w:szCs w:val="21"/>
          <w:u w:val="single"/>
        </w:rPr>
      </w:pPr>
      <w:r>
        <w:rPr>
          <w:rFonts w:hint="eastAsia" w:ascii="宋体" w:hAnsi="宋体"/>
          <w:iCs/>
          <w:szCs w:val="21"/>
        </w:rPr>
        <w:sym w:font="Wingdings" w:char="00A8"/>
      </w:r>
      <w:r>
        <w:rPr>
          <w:rFonts w:hint="eastAsia" w:ascii="宋体" w:hAnsi="宋体"/>
          <w:iCs/>
          <w:szCs w:val="21"/>
        </w:rPr>
        <w:t>支持</w:t>
      </w:r>
      <w:r>
        <w:rPr>
          <w:rFonts w:hint="eastAsia" w:ascii="宋体" w:hAnsi="宋体"/>
          <w:bCs/>
          <w:szCs w:val="21"/>
        </w:rPr>
        <w:t>预付款，预付比例：</w:t>
      </w:r>
      <w:r>
        <w:rPr>
          <w:rFonts w:hint="eastAsia" w:ascii="宋体" w:hAnsi="宋体"/>
          <w:bCs/>
          <w:szCs w:val="21"/>
          <w:u w:val="single"/>
        </w:rPr>
        <w:t xml:space="preserve">     /      </w:t>
      </w:r>
    </w:p>
    <w:p w14:paraId="25AB79A9">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bCs/>
          <w:szCs w:val="21"/>
          <w:u w:val="single"/>
        </w:rPr>
      </w:pPr>
      <w:r>
        <w:rPr>
          <w:rFonts w:hint="eastAsia" w:ascii="宋体" w:hAnsi="宋体"/>
          <w:bCs/>
          <w:szCs w:val="21"/>
        </w:rPr>
        <w:t>5、本项目</w:t>
      </w:r>
      <w:r>
        <w:rPr>
          <w:rFonts w:hint="eastAsia" w:ascii="宋体" w:hAnsi="宋体"/>
          <w:szCs w:val="21"/>
        </w:rPr>
        <w:t>对应的中小企业划分标准所属行业：</w:t>
      </w:r>
      <w:r>
        <w:rPr>
          <w:rFonts w:hint="eastAsia" w:ascii="宋体" w:hAnsi="宋体"/>
          <w:bCs/>
          <w:szCs w:val="21"/>
          <w:u w:val="single"/>
        </w:rPr>
        <w:t xml:space="preserve">  </w:t>
      </w:r>
      <w:r>
        <w:rPr>
          <w:rFonts w:hint="eastAsia" w:ascii="宋体" w:hAnsi="宋体"/>
          <w:bCs/>
          <w:szCs w:val="21"/>
          <w:u w:val="single"/>
          <w:lang w:val="en-US" w:eastAsia="zh-CN"/>
        </w:rPr>
        <w:t>工</w:t>
      </w:r>
      <w:r>
        <w:rPr>
          <w:rFonts w:hint="eastAsia" w:ascii="宋体" w:hAnsi="宋体"/>
          <w:bCs/>
          <w:szCs w:val="21"/>
          <w:u w:val="single"/>
        </w:rPr>
        <w:t xml:space="preserve">业  </w:t>
      </w:r>
    </w:p>
    <w:p w14:paraId="3FECB50C">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bCs/>
          <w:szCs w:val="21"/>
          <w:u w:val="single"/>
        </w:rPr>
      </w:pPr>
      <w:r>
        <w:rPr>
          <w:rFonts w:hint="eastAsia" w:ascii="宋体" w:hAnsi="宋体"/>
          <w:bCs/>
          <w:szCs w:val="21"/>
        </w:rPr>
        <w:t>6、评标方法：</w:t>
      </w:r>
      <w:r>
        <w:rPr>
          <w:rFonts w:hint="eastAsia" w:ascii="宋体" w:hAnsi="宋体"/>
          <w:iCs/>
          <w:szCs w:val="21"/>
        </w:rPr>
        <w:sym w:font="Wingdings" w:char="00FE"/>
      </w:r>
      <w:r>
        <w:rPr>
          <w:rFonts w:hint="eastAsia" w:ascii="宋体" w:hAnsi="宋体"/>
          <w:iCs/>
          <w:szCs w:val="21"/>
        </w:rPr>
        <w:t xml:space="preserve">综合评分法 </w:t>
      </w:r>
      <w:r>
        <w:rPr>
          <w:rFonts w:hint="eastAsia" w:ascii="宋体" w:hAnsi="宋体"/>
          <w:iCs/>
          <w:szCs w:val="21"/>
        </w:rPr>
        <w:sym w:font="Wingdings" w:char="00A8"/>
      </w:r>
      <w:r>
        <w:rPr>
          <w:rFonts w:hint="eastAsia" w:ascii="宋体" w:hAnsi="宋体"/>
          <w:iCs/>
          <w:szCs w:val="21"/>
        </w:rPr>
        <w:t>最低评标价法</w:t>
      </w:r>
    </w:p>
    <w:p w14:paraId="04C37B9B">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bCs/>
          <w:szCs w:val="21"/>
          <w:u w:val="single"/>
        </w:rPr>
      </w:pPr>
      <w:r>
        <w:rPr>
          <w:rFonts w:hint="eastAsia" w:ascii="宋体" w:hAnsi="宋体"/>
          <w:bCs/>
          <w:szCs w:val="21"/>
        </w:rPr>
        <w:t>7、合同定价方式：</w:t>
      </w:r>
      <w:r>
        <w:rPr>
          <w:rFonts w:hint="eastAsia" w:ascii="宋体" w:hAnsi="宋体"/>
          <w:iCs/>
          <w:szCs w:val="21"/>
        </w:rPr>
        <w:sym w:font="Wingdings" w:char="00FE"/>
      </w:r>
      <w:r>
        <w:rPr>
          <w:rFonts w:hint="eastAsia" w:ascii="宋体" w:hAnsi="宋体"/>
          <w:iCs/>
          <w:szCs w:val="21"/>
        </w:rPr>
        <w:t xml:space="preserve">固定总价 </w:t>
      </w:r>
      <w:r>
        <w:rPr>
          <w:rFonts w:hint="eastAsia" w:ascii="宋体" w:hAnsi="宋体"/>
          <w:iCs/>
          <w:szCs w:val="21"/>
        </w:rPr>
        <w:sym w:font="Wingdings" w:char="00A8"/>
      </w:r>
      <w:r>
        <w:rPr>
          <w:rFonts w:hint="eastAsia" w:ascii="宋体" w:hAnsi="宋体"/>
          <w:iCs/>
          <w:szCs w:val="21"/>
        </w:rPr>
        <w:t xml:space="preserve">固定单价 </w:t>
      </w:r>
      <w:r>
        <w:rPr>
          <w:rFonts w:hint="eastAsia" w:ascii="宋体" w:hAnsi="宋体"/>
          <w:iCs/>
          <w:szCs w:val="21"/>
        </w:rPr>
        <w:sym w:font="Wingdings" w:char="00A8"/>
      </w:r>
      <w:r>
        <w:rPr>
          <w:rFonts w:hint="eastAsia" w:ascii="宋体" w:hAnsi="宋体"/>
          <w:iCs/>
          <w:szCs w:val="21"/>
        </w:rPr>
        <w:t xml:space="preserve">成本补偿 </w:t>
      </w:r>
      <w:r>
        <w:rPr>
          <w:rFonts w:hint="eastAsia" w:ascii="宋体" w:hAnsi="宋体"/>
          <w:iCs/>
          <w:szCs w:val="21"/>
        </w:rPr>
        <w:sym w:font="Wingdings" w:char="00A8"/>
      </w:r>
      <w:r>
        <w:rPr>
          <w:rFonts w:hint="eastAsia" w:ascii="宋体" w:hAnsi="宋体"/>
          <w:iCs/>
          <w:szCs w:val="21"/>
        </w:rPr>
        <w:t>绩效激励</w:t>
      </w:r>
    </w:p>
    <w:p w14:paraId="20E000CB">
      <w:pPr>
        <w:keepNext w:val="0"/>
        <w:keepLines w:val="0"/>
        <w:pageBreakBefore w:val="0"/>
        <w:kinsoku/>
        <w:wordWrap/>
        <w:overflowPunct/>
        <w:topLinePunct w:val="0"/>
        <w:bidi w:val="0"/>
        <w:adjustRightInd w:val="0"/>
        <w:snapToGrid w:val="0"/>
        <w:spacing w:line="480" w:lineRule="exact"/>
        <w:ind w:firstLine="420" w:firstLineChars="200"/>
        <w:textAlignment w:val="auto"/>
        <w:rPr>
          <w:rFonts w:hint="eastAsia" w:ascii="宋体" w:hAnsi="宋体" w:eastAsia="宋体" w:cs="Times New Roman"/>
          <w:bCs/>
          <w:szCs w:val="21"/>
          <w:u w:val="single"/>
          <w:lang w:eastAsia="zh-CN"/>
        </w:rPr>
      </w:pPr>
      <w:r>
        <w:rPr>
          <w:rFonts w:hint="eastAsia" w:ascii="宋体" w:hAnsi="宋体"/>
          <w:bCs/>
          <w:szCs w:val="21"/>
        </w:rPr>
        <w:t>8、合同履行期限：</w:t>
      </w:r>
      <w:r>
        <w:rPr>
          <w:rFonts w:hint="eastAsia" w:ascii="宋体" w:hAnsi="宋体"/>
          <w:bCs/>
          <w:szCs w:val="21"/>
          <w:u w:val="single"/>
        </w:rPr>
        <w:t>合同签订后</w:t>
      </w:r>
      <w:r>
        <w:rPr>
          <w:rFonts w:hint="eastAsia" w:ascii="宋体" w:hAnsi="宋体"/>
          <w:bCs/>
          <w:szCs w:val="21"/>
          <w:u w:val="single"/>
          <w:lang w:val="en-US" w:eastAsia="zh-CN"/>
        </w:rPr>
        <w:t>90</w:t>
      </w:r>
      <w:r>
        <w:rPr>
          <w:rFonts w:hint="eastAsia" w:ascii="宋体" w:hAnsi="宋体"/>
          <w:bCs/>
          <w:szCs w:val="21"/>
          <w:u w:val="single"/>
        </w:rPr>
        <w:t>日内全部交货、安装调试、并验收合格</w:t>
      </w:r>
      <w:r>
        <w:rPr>
          <w:rFonts w:hint="eastAsia" w:ascii="宋体" w:hAnsi="宋体" w:eastAsia="宋体" w:cs="Times New Roman"/>
          <w:bCs/>
          <w:szCs w:val="21"/>
          <w:u w:val="single"/>
        </w:rPr>
        <w:t>取得《特种设备（电梯）使用标志》</w:t>
      </w:r>
      <w:r>
        <w:rPr>
          <w:rFonts w:hint="eastAsia" w:ascii="宋体" w:hAnsi="宋体" w:eastAsia="宋体" w:cs="Times New Roman"/>
          <w:bCs/>
          <w:szCs w:val="21"/>
          <w:u w:val="single"/>
          <w:lang w:val="en-US" w:eastAsia="zh-CN"/>
        </w:rPr>
        <w:t>并交付使用</w:t>
      </w:r>
      <w:r>
        <w:rPr>
          <w:rFonts w:hint="eastAsia" w:ascii="宋体" w:hAnsi="宋体" w:eastAsia="宋体" w:cs="Times New Roman"/>
          <w:bCs/>
          <w:szCs w:val="21"/>
          <w:u w:val="single"/>
          <w:lang w:eastAsia="zh-CN"/>
        </w:rPr>
        <w:t>。</w:t>
      </w:r>
    </w:p>
    <w:p w14:paraId="5EFED9E6">
      <w:pPr>
        <w:pStyle w:val="125"/>
        <w:keepNext w:val="0"/>
        <w:keepLines w:val="0"/>
        <w:pageBreakBefore w:val="0"/>
        <w:kinsoku/>
        <w:wordWrap/>
        <w:overflowPunct/>
        <w:topLinePunct w:val="0"/>
        <w:bidi w:val="0"/>
        <w:spacing w:line="480" w:lineRule="exact"/>
        <w:textAlignment w:val="auto"/>
        <w:rPr>
          <w:color w:val="auto"/>
          <w:sz w:val="21"/>
          <w:szCs w:val="21"/>
        </w:rPr>
      </w:pPr>
      <w:r>
        <w:rPr>
          <w:rFonts w:hint="eastAsia" w:hAnsi="宋体"/>
          <w:bCs/>
          <w:color w:val="auto"/>
          <w:sz w:val="21"/>
          <w:szCs w:val="21"/>
        </w:rPr>
        <w:t>9、</w:t>
      </w:r>
      <w:r>
        <w:rPr>
          <w:rFonts w:hint="eastAsia"/>
          <w:color w:val="auto"/>
          <w:sz w:val="21"/>
          <w:szCs w:val="21"/>
        </w:rPr>
        <w:t>本项目分阶段要求投标人提供以下保证：</w:t>
      </w:r>
    </w:p>
    <w:p w14:paraId="1B264F72">
      <w:pPr>
        <w:pStyle w:val="125"/>
        <w:keepNext w:val="0"/>
        <w:keepLines w:val="0"/>
        <w:pageBreakBefore w:val="0"/>
        <w:kinsoku/>
        <w:wordWrap/>
        <w:overflowPunct/>
        <w:topLinePunct w:val="0"/>
        <w:bidi w:val="0"/>
        <w:spacing w:line="480" w:lineRule="exact"/>
        <w:textAlignment w:val="auto"/>
        <w:rPr>
          <w:rFonts w:hAnsi="宋体"/>
          <w:iCs/>
          <w:color w:val="auto"/>
          <w:sz w:val="21"/>
          <w:szCs w:val="21"/>
        </w:rPr>
      </w:pPr>
      <w:r>
        <w:rPr>
          <w:rFonts w:hint="eastAsia" w:hAnsi="宋体"/>
          <w:iCs/>
          <w:color w:val="auto"/>
          <w:sz w:val="21"/>
          <w:szCs w:val="21"/>
        </w:rPr>
        <w:sym w:font="Wingdings" w:char="00A8"/>
      </w:r>
      <w:r>
        <w:rPr>
          <w:rFonts w:hint="eastAsia" w:hAnsi="宋体"/>
          <w:color w:val="auto"/>
          <w:sz w:val="21"/>
          <w:szCs w:val="21"/>
        </w:rPr>
        <w:t>投标保证金：</w:t>
      </w:r>
      <w:r>
        <w:rPr>
          <w:rFonts w:hint="eastAsia" w:hAnsi="宋体"/>
          <w:iCs/>
          <w:color w:val="auto"/>
          <w:sz w:val="21"/>
          <w:szCs w:val="21"/>
        </w:rPr>
        <w:t>采购项目预算的</w:t>
      </w:r>
      <w:r>
        <w:rPr>
          <w:rFonts w:hint="eastAsia" w:hAnsi="宋体"/>
          <w:iCs/>
          <w:color w:val="auto"/>
          <w:sz w:val="21"/>
          <w:szCs w:val="21"/>
          <w:u w:val="single"/>
        </w:rPr>
        <w:t xml:space="preserve">  /  </w:t>
      </w:r>
      <w:r>
        <w:rPr>
          <w:rFonts w:hint="eastAsia" w:hAnsi="宋体"/>
          <w:iCs/>
          <w:color w:val="auto"/>
          <w:sz w:val="21"/>
          <w:szCs w:val="21"/>
        </w:rPr>
        <w:t>%</w:t>
      </w:r>
      <w:r>
        <w:rPr>
          <w:rFonts w:hint="eastAsia" w:hAnsi="宋体"/>
          <w:color w:val="auto"/>
          <w:sz w:val="21"/>
          <w:szCs w:val="21"/>
        </w:rPr>
        <w:t>；</w:t>
      </w:r>
    </w:p>
    <w:p w14:paraId="3D9E7490">
      <w:pPr>
        <w:pStyle w:val="125"/>
        <w:keepNext w:val="0"/>
        <w:keepLines w:val="0"/>
        <w:pageBreakBefore w:val="0"/>
        <w:kinsoku/>
        <w:wordWrap/>
        <w:overflowPunct/>
        <w:topLinePunct w:val="0"/>
        <w:bidi w:val="0"/>
        <w:spacing w:line="480" w:lineRule="exact"/>
        <w:textAlignment w:val="auto"/>
        <w:rPr>
          <w:rFonts w:hAnsi="宋体"/>
          <w:iCs/>
          <w:color w:val="auto"/>
          <w:sz w:val="21"/>
          <w:szCs w:val="21"/>
        </w:rPr>
      </w:pPr>
      <w:r>
        <w:rPr>
          <w:rFonts w:hint="eastAsia" w:hAnsi="宋体"/>
          <w:iCs/>
          <w:color w:val="auto"/>
          <w:sz w:val="21"/>
          <w:szCs w:val="21"/>
        </w:rPr>
        <w:sym w:font="Wingdings" w:char="00A8"/>
      </w:r>
      <w:r>
        <w:rPr>
          <w:rFonts w:hint="eastAsia" w:hAnsi="宋体"/>
          <w:iCs/>
          <w:color w:val="auto"/>
          <w:sz w:val="21"/>
          <w:szCs w:val="21"/>
        </w:rPr>
        <w:t>履约保证金：中标金额的</w:t>
      </w:r>
      <w:r>
        <w:rPr>
          <w:rFonts w:hint="eastAsia" w:hAnsi="宋体"/>
          <w:iCs/>
          <w:color w:val="auto"/>
          <w:sz w:val="21"/>
          <w:szCs w:val="21"/>
          <w:u w:val="single"/>
        </w:rPr>
        <w:t xml:space="preserve">  /  </w:t>
      </w:r>
      <w:r>
        <w:rPr>
          <w:rFonts w:hint="eastAsia" w:hAnsi="宋体"/>
          <w:iCs/>
          <w:color w:val="auto"/>
          <w:sz w:val="21"/>
          <w:szCs w:val="21"/>
        </w:rPr>
        <w:t>%</w:t>
      </w:r>
      <w:r>
        <w:rPr>
          <w:rFonts w:hint="eastAsia" w:hAnsi="宋体"/>
          <w:color w:val="auto"/>
          <w:sz w:val="21"/>
          <w:szCs w:val="21"/>
        </w:rPr>
        <w:t>；</w:t>
      </w:r>
    </w:p>
    <w:p w14:paraId="69E2FF47">
      <w:pPr>
        <w:pStyle w:val="125"/>
        <w:keepNext w:val="0"/>
        <w:keepLines w:val="0"/>
        <w:pageBreakBefore w:val="0"/>
        <w:kinsoku/>
        <w:wordWrap/>
        <w:overflowPunct/>
        <w:topLinePunct w:val="0"/>
        <w:bidi w:val="0"/>
        <w:spacing w:line="480" w:lineRule="exact"/>
        <w:textAlignment w:val="auto"/>
        <w:rPr>
          <w:rFonts w:hAnsi="宋体"/>
          <w:iCs/>
          <w:color w:val="auto"/>
          <w:sz w:val="21"/>
          <w:szCs w:val="21"/>
        </w:rPr>
      </w:pPr>
      <w:r>
        <w:rPr>
          <w:rFonts w:hint="eastAsia" w:hAnsi="宋体"/>
          <w:iCs/>
          <w:color w:val="auto"/>
          <w:sz w:val="21"/>
          <w:szCs w:val="21"/>
        </w:rPr>
        <w:sym w:font="Wingdings" w:char="00A8"/>
      </w:r>
      <w:r>
        <w:rPr>
          <w:rFonts w:hint="eastAsia" w:hAnsi="宋体"/>
          <w:iCs/>
          <w:color w:val="auto"/>
          <w:sz w:val="21"/>
          <w:szCs w:val="21"/>
        </w:rPr>
        <w:t>预付款保证金：预付款的</w:t>
      </w:r>
      <w:r>
        <w:rPr>
          <w:rFonts w:hint="eastAsia" w:hAnsi="宋体"/>
          <w:iCs/>
          <w:color w:val="auto"/>
          <w:sz w:val="21"/>
          <w:szCs w:val="21"/>
          <w:u w:val="single"/>
        </w:rPr>
        <w:t xml:space="preserve">  /  </w:t>
      </w:r>
      <w:r>
        <w:rPr>
          <w:rFonts w:hint="eastAsia" w:hAnsi="宋体"/>
          <w:iCs/>
          <w:color w:val="auto"/>
          <w:sz w:val="21"/>
          <w:szCs w:val="21"/>
        </w:rPr>
        <w:t>%；</w:t>
      </w:r>
    </w:p>
    <w:p w14:paraId="40B489F3">
      <w:pPr>
        <w:pStyle w:val="125"/>
        <w:keepNext w:val="0"/>
        <w:keepLines w:val="0"/>
        <w:pageBreakBefore w:val="0"/>
        <w:kinsoku/>
        <w:wordWrap/>
        <w:overflowPunct/>
        <w:topLinePunct w:val="0"/>
        <w:bidi w:val="0"/>
        <w:spacing w:line="480" w:lineRule="exact"/>
        <w:textAlignment w:val="auto"/>
        <w:rPr>
          <w:rFonts w:hAnsi="宋体"/>
          <w:iCs/>
          <w:color w:val="auto"/>
          <w:sz w:val="21"/>
          <w:szCs w:val="21"/>
        </w:rPr>
      </w:pPr>
      <w:r>
        <w:rPr>
          <w:rFonts w:hint="eastAsia" w:hAnsi="宋体"/>
          <w:iCs/>
          <w:color w:val="auto"/>
          <w:sz w:val="21"/>
          <w:szCs w:val="21"/>
        </w:rPr>
        <w:sym w:font="Wingdings" w:char="00A8"/>
      </w:r>
      <w:r>
        <w:rPr>
          <w:rFonts w:hint="eastAsia" w:hAnsi="宋体"/>
          <w:iCs/>
          <w:color w:val="auto"/>
          <w:sz w:val="21"/>
          <w:szCs w:val="21"/>
        </w:rPr>
        <w:t>质量保证金：合同金额的</w:t>
      </w:r>
      <w:r>
        <w:rPr>
          <w:rFonts w:hint="eastAsia" w:hAnsi="宋体"/>
          <w:iCs/>
          <w:color w:val="auto"/>
          <w:sz w:val="21"/>
          <w:szCs w:val="21"/>
          <w:u w:val="single"/>
        </w:rPr>
        <w:t xml:space="preserve">  /  </w:t>
      </w:r>
      <w:r>
        <w:rPr>
          <w:rFonts w:hint="eastAsia" w:hAnsi="宋体"/>
          <w:iCs/>
          <w:color w:val="auto"/>
          <w:sz w:val="21"/>
          <w:szCs w:val="21"/>
        </w:rPr>
        <w:t>%。</w:t>
      </w:r>
    </w:p>
    <w:p w14:paraId="312CC2C8">
      <w:pPr>
        <w:keepNext w:val="0"/>
        <w:keepLines w:val="0"/>
        <w:pageBreakBefore w:val="0"/>
        <w:kinsoku/>
        <w:wordWrap/>
        <w:overflowPunct/>
        <w:topLinePunct w:val="0"/>
        <w:bidi w:val="0"/>
        <w:adjustRightInd w:val="0"/>
        <w:snapToGrid w:val="0"/>
        <w:spacing w:line="480" w:lineRule="exact"/>
        <w:ind w:firstLine="422" w:firstLineChars="200"/>
        <w:textAlignment w:val="auto"/>
        <w:outlineLvl w:val="1"/>
        <w:rPr>
          <w:rFonts w:ascii="宋体" w:hAnsi="宋体" w:cs="宋体"/>
          <w:b/>
          <w:szCs w:val="21"/>
        </w:rPr>
      </w:pPr>
      <w:bookmarkStart w:id="40" w:name="_Toc9314"/>
      <w:r>
        <w:rPr>
          <w:rFonts w:hint="eastAsia" w:ascii="宋体" w:hAnsi="宋体" w:cs="宋体"/>
          <w:b/>
          <w:szCs w:val="21"/>
        </w:rPr>
        <w:t>二、采购人的采购需求</w:t>
      </w:r>
      <w:bookmarkEnd w:id="39"/>
      <w:bookmarkEnd w:id="40"/>
    </w:p>
    <w:tbl>
      <w:tblPr>
        <w:tblStyle w:val="40"/>
        <w:tblW w:w="10567" w:type="dxa"/>
        <w:tblInd w:w="-741"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37"/>
        <w:gridCol w:w="1925"/>
        <w:gridCol w:w="3650"/>
        <w:gridCol w:w="750"/>
        <w:gridCol w:w="1288"/>
        <w:gridCol w:w="1128"/>
        <w:gridCol w:w="744"/>
        <w:gridCol w:w="645"/>
      </w:tblGrid>
      <w:tr w14:paraId="59B3BD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22" w:hRule="atLeast"/>
        </w:trPr>
        <w:tc>
          <w:tcPr>
            <w:tcW w:w="437" w:type="dxa"/>
            <w:noWrap/>
            <w:vAlign w:val="center"/>
          </w:tcPr>
          <w:p w14:paraId="3EE71F48">
            <w:pPr>
              <w:keepNext w:val="0"/>
              <w:keepLines w:val="0"/>
              <w:pageBreakBefore w:val="0"/>
              <w:kinsoku/>
              <w:wordWrap/>
              <w:overflowPunct/>
              <w:topLinePunct w:val="0"/>
              <w:bidi w:val="0"/>
              <w:adjustRightInd w:val="0"/>
              <w:snapToGrid w:val="0"/>
              <w:spacing w:line="480" w:lineRule="exact"/>
              <w:jc w:val="center"/>
              <w:textAlignment w:val="auto"/>
              <w:rPr>
                <w:szCs w:val="21"/>
              </w:rPr>
            </w:pPr>
            <w:bookmarkStart w:id="41" w:name="_Toc28450"/>
            <w:bookmarkStart w:id="42" w:name="_Toc1624"/>
            <w:r>
              <w:rPr>
                <w:rFonts w:hint="eastAsia"/>
                <w:szCs w:val="21"/>
              </w:rPr>
              <w:t xml:space="preserve">包号 </w:t>
            </w:r>
          </w:p>
        </w:tc>
        <w:tc>
          <w:tcPr>
            <w:tcW w:w="1925" w:type="dxa"/>
            <w:noWrap/>
            <w:vAlign w:val="center"/>
          </w:tcPr>
          <w:p w14:paraId="677E8D87">
            <w:pPr>
              <w:keepNext w:val="0"/>
              <w:keepLines w:val="0"/>
              <w:pageBreakBefore w:val="0"/>
              <w:kinsoku/>
              <w:wordWrap/>
              <w:overflowPunct/>
              <w:topLinePunct w:val="0"/>
              <w:bidi w:val="0"/>
              <w:adjustRightInd w:val="0"/>
              <w:snapToGrid w:val="0"/>
              <w:spacing w:line="480" w:lineRule="exact"/>
              <w:jc w:val="center"/>
              <w:textAlignment w:val="auto"/>
              <w:rPr>
                <w:szCs w:val="21"/>
              </w:rPr>
            </w:pPr>
            <w:r>
              <w:rPr>
                <w:rFonts w:hint="eastAsia"/>
                <w:szCs w:val="21"/>
              </w:rPr>
              <w:t>标的名称</w:t>
            </w:r>
          </w:p>
        </w:tc>
        <w:tc>
          <w:tcPr>
            <w:tcW w:w="3650" w:type="dxa"/>
            <w:tcBorders>
              <w:left w:val="single" w:color="auto" w:sz="4" w:space="0"/>
            </w:tcBorders>
            <w:noWrap/>
            <w:vAlign w:val="center"/>
          </w:tcPr>
          <w:p w14:paraId="1B4103E3">
            <w:pPr>
              <w:keepNext w:val="0"/>
              <w:keepLines w:val="0"/>
              <w:pageBreakBefore w:val="0"/>
              <w:kinsoku/>
              <w:wordWrap/>
              <w:overflowPunct/>
              <w:topLinePunct w:val="0"/>
              <w:bidi w:val="0"/>
              <w:adjustRightInd w:val="0"/>
              <w:snapToGrid w:val="0"/>
              <w:spacing w:line="480" w:lineRule="exact"/>
              <w:jc w:val="center"/>
              <w:textAlignment w:val="auto"/>
              <w:rPr>
                <w:szCs w:val="21"/>
              </w:rPr>
            </w:pPr>
            <w:r>
              <w:rPr>
                <w:rFonts w:hint="eastAsia"/>
                <w:szCs w:val="21"/>
              </w:rPr>
              <w:t>简要技术要求</w:t>
            </w:r>
          </w:p>
        </w:tc>
        <w:tc>
          <w:tcPr>
            <w:tcW w:w="750" w:type="dxa"/>
            <w:tcBorders>
              <w:left w:val="single" w:color="auto" w:sz="4" w:space="0"/>
            </w:tcBorders>
            <w:noWrap/>
            <w:vAlign w:val="center"/>
          </w:tcPr>
          <w:p w14:paraId="1AEC2754">
            <w:pPr>
              <w:keepNext w:val="0"/>
              <w:keepLines w:val="0"/>
              <w:pageBreakBefore w:val="0"/>
              <w:kinsoku/>
              <w:wordWrap/>
              <w:overflowPunct/>
              <w:topLinePunct w:val="0"/>
              <w:bidi w:val="0"/>
              <w:adjustRightInd w:val="0"/>
              <w:snapToGrid w:val="0"/>
              <w:spacing w:line="480" w:lineRule="exact"/>
              <w:jc w:val="center"/>
              <w:textAlignment w:val="auto"/>
              <w:rPr>
                <w:rFonts w:ascii="宋体" w:hAnsi="宋体" w:cs="宋体"/>
                <w:kern w:val="0"/>
                <w:szCs w:val="21"/>
              </w:rPr>
            </w:pPr>
            <w:r>
              <w:rPr>
                <w:rFonts w:hint="eastAsia"/>
                <w:szCs w:val="21"/>
              </w:rPr>
              <w:t>数量</w:t>
            </w:r>
          </w:p>
        </w:tc>
        <w:tc>
          <w:tcPr>
            <w:tcW w:w="1288" w:type="dxa"/>
            <w:noWrap/>
            <w:vAlign w:val="center"/>
          </w:tcPr>
          <w:p w14:paraId="5F654719">
            <w:pPr>
              <w:keepNext w:val="0"/>
              <w:keepLines w:val="0"/>
              <w:pageBreakBefore w:val="0"/>
              <w:kinsoku/>
              <w:wordWrap/>
              <w:overflowPunct/>
              <w:topLinePunct w:val="0"/>
              <w:bidi w:val="0"/>
              <w:adjustRightInd w:val="0"/>
              <w:snapToGrid w:val="0"/>
              <w:spacing w:line="480" w:lineRule="exact"/>
              <w:jc w:val="center"/>
              <w:textAlignment w:val="auto"/>
              <w:rPr>
                <w:szCs w:val="21"/>
              </w:rPr>
            </w:pPr>
            <w:r>
              <w:rPr>
                <w:rFonts w:hint="eastAsia"/>
                <w:szCs w:val="21"/>
              </w:rPr>
              <w:t>标的预算(元)</w:t>
            </w:r>
          </w:p>
        </w:tc>
        <w:tc>
          <w:tcPr>
            <w:tcW w:w="1128" w:type="dxa"/>
            <w:noWrap/>
            <w:vAlign w:val="center"/>
          </w:tcPr>
          <w:p w14:paraId="28CDEF8B">
            <w:pPr>
              <w:keepNext w:val="0"/>
              <w:keepLines w:val="0"/>
              <w:pageBreakBefore w:val="0"/>
              <w:kinsoku/>
              <w:wordWrap/>
              <w:overflowPunct/>
              <w:topLinePunct w:val="0"/>
              <w:bidi w:val="0"/>
              <w:adjustRightInd w:val="0"/>
              <w:snapToGrid w:val="0"/>
              <w:spacing w:line="480" w:lineRule="exact"/>
              <w:jc w:val="center"/>
              <w:textAlignment w:val="auto"/>
              <w:rPr>
                <w:szCs w:val="21"/>
              </w:rPr>
            </w:pPr>
            <w:r>
              <w:rPr>
                <w:rFonts w:hint="eastAsia"/>
                <w:szCs w:val="21"/>
              </w:rPr>
              <w:t>最高限价(元)</w:t>
            </w:r>
          </w:p>
        </w:tc>
        <w:tc>
          <w:tcPr>
            <w:tcW w:w="744" w:type="dxa"/>
            <w:noWrap/>
            <w:vAlign w:val="center"/>
          </w:tcPr>
          <w:p w14:paraId="0C129258">
            <w:pPr>
              <w:keepNext w:val="0"/>
              <w:keepLines w:val="0"/>
              <w:pageBreakBefore w:val="0"/>
              <w:kinsoku/>
              <w:wordWrap/>
              <w:overflowPunct/>
              <w:topLinePunct w:val="0"/>
              <w:bidi w:val="0"/>
              <w:adjustRightInd w:val="0"/>
              <w:snapToGrid w:val="0"/>
              <w:spacing w:line="480" w:lineRule="exact"/>
              <w:jc w:val="center"/>
              <w:textAlignment w:val="auto"/>
              <w:rPr>
                <w:szCs w:val="21"/>
              </w:rPr>
            </w:pPr>
            <w:r>
              <w:rPr>
                <w:rFonts w:hint="eastAsia"/>
                <w:szCs w:val="21"/>
              </w:rPr>
              <w:t>节能产品</w:t>
            </w:r>
          </w:p>
        </w:tc>
        <w:tc>
          <w:tcPr>
            <w:tcW w:w="645" w:type="dxa"/>
            <w:noWrap/>
            <w:vAlign w:val="center"/>
          </w:tcPr>
          <w:p w14:paraId="154D7365">
            <w:pPr>
              <w:keepNext w:val="0"/>
              <w:keepLines w:val="0"/>
              <w:pageBreakBefore w:val="0"/>
              <w:kinsoku/>
              <w:wordWrap/>
              <w:overflowPunct/>
              <w:topLinePunct w:val="0"/>
              <w:bidi w:val="0"/>
              <w:adjustRightInd w:val="0"/>
              <w:snapToGrid w:val="0"/>
              <w:spacing w:line="480" w:lineRule="exact"/>
              <w:jc w:val="center"/>
              <w:textAlignment w:val="auto"/>
              <w:rPr>
                <w:szCs w:val="21"/>
              </w:rPr>
            </w:pPr>
            <w:r>
              <w:rPr>
                <w:rFonts w:hint="eastAsia"/>
                <w:szCs w:val="21"/>
              </w:rPr>
              <w:t>进口产品</w:t>
            </w:r>
          </w:p>
        </w:tc>
      </w:tr>
      <w:tr w14:paraId="0ECA02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58" w:hRule="atLeast"/>
        </w:trPr>
        <w:tc>
          <w:tcPr>
            <w:tcW w:w="437" w:type="dxa"/>
            <w:noWrap/>
            <w:vAlign w:val="center"/>
          </w:tcPr>
          <w:p w14:paraId="18E49D8C">
            <w:pPr>
              <w:keepNext w:val="0"/>
              <w:keepLines w:val="0"/>
              <w:pageBreakBefore w:val="0"/>
              <w:kinsoku/>
              <w:wordWrap/>
              <w:overflowPunct/>
              <w:topLinePunct w:val="0"/>
              <w:bidi w:val="0"/>
              <w:adjustRightInd w:val="0"/>
              <w:snapToGrid w:val="0"/>
              <w:spacing w:beforeLines="50" w:line="480" w:lineRule="exact"/>
              <w:jc w:val="center"/>
              <w:textAlignment w:val="auto"/>
              <w:rPr>
                <w:szCs w:val="21"/>
              </w:rPr>
            </w:pPr>
            <w:r>
              <w:rPr>
                <w:rFonts w:hint="eastAsia"/>
                <w:szCs w:val="21"/>
              </w:rPr>
              <w:t>1</w:t>
            </w:r>
          </w:p>
        </w:tc>
        <w:tc>
          <w:tcPr>
            <w:tcW w:w="1925" w:type="dxa"/>
            <w:noWrap/>
            <w:vAlign w:val="center"/>
          </w:tcPr>
          <w:p w14:paraId="5894E80E">
            <w:pPr>
              <w:keepNext w:val="0"/>
              <w:keepLines w:val="0"/>
              <w:pageBreakBefore w:val="0"/>
              <w:kinsoku/>
              <w:wordWrap/>
              <w:overflowPunct/>
              <w:topLinePunct w:val="0"/>
              <w:bidi w:val="0"/>
              <w:adjustRightInd w:val="0"/>
              <w:snapToGrid w:val="0"/>
              <w:spacing w:line="480" w:lineRule="exact"/>
              <w:jc w:val="center"/>
              <w:textAlignment w:val="auto"/>
              <w:rPr>
                <w:rFonts w:hint="eastAsia" w:eastAsia="宋体"/>
                <w:szCs w:val="21"/>
                <w:lang w:eastAsia="zh-CN"/>
              </w:rPr>
            </w:pPr>
            <w:r>
              <w:rPr>
                <w:rFonts w:hint="eastAsia"/>
                <w:szCs w:val="21"/>
                <w:lang w:eastAsia="zh-CN"/>
              </w:rPr>
              <w:t>岳阳县人民医院外科大楼建设项目电梯工程（重新立项）第二次</w:t>
            </w:r>
          </w:p>
        </w:tc>
        <w:tc>
          <w:tcPr>
            <w:tcW w:w="3650" w:type="dxa"/>
            <w:tcBorders>
              <w:left w:val="single" w:color="auto" w:sz="4" w:space="0"/>
            </w:tcBorders>
            <w:noWrap/>
            <w:vAlign w:val="center"/>
          </w:tcPr>
          <w:p w14:paraId="2D567DAF">
            <w:pPr>
              <w:keepNext w:val="0"/>
              <w:keepLines w:val="0"/>
              <w:pageBreakBefore w:val="0"/>
              <w:kinsoku/>
              <w:wordWrap/>
              <w:overflowPunct/>
              <w:topLinePunct w:val="0"/>
              <w:bidi w:val="0"/>
              <w:adjustRightInd w:val="0"/>
              <w:snapToGrid w:val="0"/>
              <w:spacing w:beforeLines="50" w:line="480" w:lineRule="exact"/>
              <w:jc w:val="center"/>
              <w:textAlignment w:val="auto"/>
              <w:rPr>
                <w:rFonts w:hint="default" w:eastAsia="宋体"/>
                <w:szCs w:val="21"/>
                <w:lang w:val="en-US" w:eastAsia="zh-CN"/>
              </w:rPr>
            </w:pPr>
            <w:r>
              <w:rPr>
                <w:rFonts w:hint="eastAsia"/>
                <w:szCs w:val="21"/>
                <w:lang w:val="en-US" w:eastAsia="zh-CN"/>
              </w:rPr>
              <w:t>本项目为</w:t>
            </w:r>
            <w:r>
              <w:rPr>
                <w:rFonts w:hint="eastAsia"/>
                <w:szCs w:val="21"/>
                <w:lang w:eastAsia="zh-CN"/>
              </w:rPr>
              <w:t>岳阳县人民医院外科大楼电梯</w:t>
            </w:r>
            <w:r>
              <w:rPr>
                <w:rFonts w:hint="eastAsia"/>
                <w:szCs w:val="21"/>
                <w:lang w:val="en-US" w:eastAsia="zh-CN"/>
              </w:rPr>
              <w:t>采购，主要采购客梯、医梯、洁梯和污梯。</w:t>
            </w:r>
          </w:p>
        </w:tc>
        <w:tc>
          <w:tcPr>
            <w:tcW w:w="750" w:type="dxa"/>
            <w:tcBorders>
              <w:left w:val="single" w:color="auto" w:sz="4" w:space="0"/>
            </w:tcBorders>
            <w:noWrap/>
            <w:vAlign w:val="center"/>
          </w:tcPr>
          <w:p w14:paraId="33B6BFE1">
            <w:pPr>
              <w:keepNext w:val="0"/>
              <w:keepLines w:val="0"/>
              <w:pageBreakBefore w:val="0"/>
              <w:kinsoku/>
              <w:wordWrap/>
              <w:overflowPunct/>
              <w:topLinePunct w:val="0"/>
              <w:bidi w:val="0"/>
              <w:adjustRightInd w:val="0"/>
              <w:snapToGrid w:val="0"/>
              <w:spacing w:beforeLines="50" w:line="480" w:lineRule="exact"/>
              <w:jc w:val="center"/>
              <w:textAlignment w:val="auto"/>
              <w:rPr>
                <w:rFonts w:hint="default" w:eastAsia="宋体"/>
                <w:szCs w:val="21"/>
                <w:lang w:val="en-US" w:eastAsia="zh-CN"/>
              </w:rPr>
            </w:pPr>
            <w:r>
              <w:rPr>
                <w:rFonts w:hint="eastAsia"/>
                <w:szCs w:val="21"/>
              </w:rPr>
              <w:t>1</w:t>
            </w:r>
            <w:r>
              <w:rPr>
                <w:rFonts w:hint="eastAsia" w:ascii="宋体" w:hAnsi="宋体" w:cs="宋体"/>
                <w:szCs w:val="21"/>
                <w:lang w:val="en-US" w:eastAsia="zh-CN"/>
              </w:rPr>
              <w:t>0台</w:t>
            </w:r>
          </w:p>
        </w:tc>
        <w:tc>
          <w:tcPr>
            <w:tcW w:w="1288" w:type="dxa"/>
            <w:noWrap/>
            <w:vAlign w:val="center"/>
          </w:tcPr>
          <w:p w14:paraId="59935D01">
            <w:pPr>
              <w:keepNext w:val="0"/>
              <w:keepLines w:val="0"/>
              <w:pageBreakBefore w:val="0"/>
              <w:kinsoku/>
              <w:wordWrap/>
              <w:overflowPunct/>
              <w:topLinePunct w:val="0"/>
              <w:bidi w:val="0"/>
              <w:adjustRightInd w:val="0"/>
              <w:snapToGrid w:val="0"/>
              <w:spacing w:line="480" w:lineRule="exact"/>
              <w:jc w:val="center"/>
              <w:textAlignment w:val="auto"/>
              <w:rPr>
                <w:szCs w:val="21"/>
              </w:rPr>
            </w:pPr>
            <w:r>
              <w:rPr>
                <w:rFonts w:hint="eastAsia" w:ascii="宋体" w:hAnsi="宋体"/>
                <w:bCs/>
                <w:color w:val="0C0C0C"/>
                <w:szCs w:val="21"/>
                <w:lang w:eastAsia="zh-CN"/>
              </w:rPr>
              <w:t>2456900.00</w:t>
            </w:r>
            <w:r>
              <w:rPr>
                <w:rFonts w:hint="eastAsia" w:ascii="宋体" w:hAnsi="宋体"/>
                <w:bCs/>
                <w:color w:val="0C0C0C"/>
                <w:szCs w:val="21"/>
              </w:rPr>
              <w:t>元</w:t>
            </w:r>
          </w:p>
        </w:tc>
        <w:tc>
          <w:tcPr>
            <w:tcW w:w="1128" w:type="dxa"/>
            <w:noWrap/>
            <w:vAlign w:val="center"/>
          </w:tcPr>
          <w:p w14:paraId="62993CCF">
            <w:pPr>
              <w:keepNext w:val="0"/>
              <w:keepLines w:val="0"/>
              <w:pageBreakBefore w:val="0"/>
              <w:kinsoku/>
              <w:wordWrap/>
              <w:overflowPunct/>
              <w:topLinePunct w:val="0"/>
              <w:bidi w:val="0"/>
              <w:adjustRightInd w:val="0"/>
              <w:snapToGrid w:val="0"/>
              <w:spacing w:line="480" w:lineRule="exact"/>
              <w:jc w:val="center"/>
              <w:textAlignment w:val="auto"/>
              <w:rPr>
                <w:szCs w:val="21"/>
              </w:rPr>
            </w:pPr>
            <w:r>
              <w:rPr>
                <w:rFonts w:hint="eastAsia" w:ascii="宋体" w:hAnsi="宋体"/>
                <w:bCs/>
                <w:color w:val="0C0C0C"/>
                <w:szCs w:val="21"/>
                <w:lang w:eastAsia="zh-CN"/>
              </w:rPr>
              <w:t>2426476.69</w:t>
            </w:r>
            <w:r>
              <w:rPr>
                <w:rFonts w:hint="eastAsia" w:ascii="宋体" w:hAnsi="宋体"/>
                <w:bCs/>
                <w:color w:val="0C0C0C"/>
                <w:szCs w:val="21"/>
              </w:rPr>
              <w:t>元</w:t>
            </w:r>
          </w:p>
        </w:tc>
        <w:tc>
          <w:tcPr>
            <w:tcW w:w="744" w:type="dxa"/>
            <w:noWrap/>
            <w:vAlign w:val="center"/>
          </w:tcPr>
          <w:p w14:paraId="7EB15817">
            <w:pPr>
              <w:keepNext w:val="0"/>
              <w:keepLines w:val="0"/>
              <w:pageBreakBefore w:val="0"/>
              <w:kinsoku/>
              <w:wordWrap/>
              <w:overflowPunct/>
              <w:topLinePunct w:val="0"/>
              <w:bidi w:val="0"/>
              <w:adjustRightInd w:val="0"/>
              <w:snapToGrid w:val="0"/>
              <w:spacing w:beforeLines="50" w:line="480" w:lineRule="exact"/>
              <w:jc w:val="center"/>
              <w:textAlignment w:val="auto"/>
              <w:rPr>
                <w:szCs w:val="21"/>
              </w:rPr>
            </w:pPr>
            <w:r>
              <w:rPr>
                <w:rFonts w:hint="eastAsia" w:ascii="宋体" w:hAnsi="宋体"/>
                <w:iCs/>
                <w:szCs w:val="21"/>
              </w:rPr>
              <w:sym w:font="Wingdings" w:char="00A8"/>
            </w:r>
          </w:p>
        </w:tc>
        <w:tc>
          <w:tcPr>
            <w:tcW w:w="645" w:type="dxa"/>
            <w:noWrap/>
            <w:vAlign w:val="center"/>
          </w:tcPr>
          <w:p w14:paraId="4856E30B">
            <w:pPr>
              <w:keepNext w:val="0"/>
              <w:keepLines w:val="0"/>
              <w:pageBreakBefore w:val="0"/>
              <w:kinsoku/>
              <w:wordWrap/>
              <w:overflowPunct/>
              <w:topLinePunct w:val="0"/>
              <w:bidi w:val="0"/>
              <w:adjustRightInd w:val="0"/>
              <w:snapToGrid w:val="0"/>
              <w:spacing w:beforeLines="50" w:line="480" w:lineRule="exact"/>
              <w:jc w:val="center"/>
              <w:textAlignment w:val="auto"/>
              <w:rPr>
                <w:szCs w:val="21"/>
              </w:rPr>
            </w:pPr>
            <w:r>
              <w:rPr>
                <w:rFonts w:hint="eastAsia" w:ascii="宋体" w:hAnsi="宋体"/>
                <w:iCs/>
                <w:szCs w:val="21"/>
              </w:rPr>
              <w:sym w:font="Wingdings" w:char="00A8"/>
            </w:r>
          </w:p>
        </w:tc>
      </w:tr>
    </w:tbl>
    <w:p w14:paraId="062B13EA">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szCs w:val="21"/>
        </w:rPr>
      </w:pPr>
      <w:r>
        <w:rPr>
          <w:rFonts w:hint="eastAsia" w:ascii="宋体" w:hAnsi="宋体"/>
          <w:szCs w:val="21"/>
        </w:rPr>
        <w:t>说明：</w:t>
      </w:r>
    </w:p>
    <w:p w14:paraId="709078B3">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szCs w:val="21"/>
        </w:rPr>
      </w:pPr>
      <w:r>
        <w:rPr>
          <w:rFonts w:hint="eastAsia" w:ascii="宋体" w:hAnsi="宋体"/>
          <w:szCs w:val="21"/>
        </w:rPr>
        <w:t>1.节能产品实行</w:t>
      </w:r>
      <w:r>
        <w:rPr>
          <w:rFonts w:hint="eastAsia" w:ascii="宋体" w:hAnsi="宋体"/>
          <w:iCs/>
          <w:szCs w:val="21"/>
        </w:rPr>
        <w:t>强制采购的</w:t>
      </w:r>
      <w:r>
        <w:rPr>
          <w:rFonts w:hint="eastAsia" w:ascii="宋体" w:hAnsi="宋体"/>
          <w:szCs w:val="21"/>
        </w:rPr>
        <w:t>，需提供国家认证机构出具的、处于有效期内的节能产品证书。</w:t>
      </w:r>
    </w:p>
    <w:p w14:paraId="59754CF2">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szCs w:val="21"/>
        </w:rPr>
      </w:pPr>
      <w:r>
        <w:rPr>
          <w:rFonts w:hint="eastAsia" w:ascii="宋体" w:hAnsi="宋体"/>
          <w:szCs w:val="21"/>
        </w:rPr>
        <w:t>2.同意购买进口产品的，不限制满足采购需求的国内产品参与投标。</w:t>
      </w:r>
    </w:p>
    <w:p w14:paraId="6E0B73D5">
      <w:pPr>
        <w:keepNext w:val="0"/>
        <w:keepLines w:val="0"/>
        <w:pageBreakBefore w:val="0"/>
        <w:kinsoku/>
        <w:wordWrap/>
        <w:overflowPunct/>
        <w:topLinePunct w:val="0"/>
        <w:bidi w:val="0"/>
        <w:adjustRightInd w:val="0"/>
        <w:snapToGrid w:val="0"/>
        <w:spacing w:line="480" w:lineRule="exact"/>
        <w:ind w:firstLine="422" w:firstLineChars="200"/>
        <w:textAlignment w:val="auto"/>
        <w:rPr>
          <w:rFonts w:ascii="宋体" w:hAnsi="宋体"/>
          <w:b/>
          <w:szCs w:val="21"/>
        </w:rPr>
      </w:pPr>
      <w:r>
        <w:rPr>
          <w:rFonts w:hint="eastAsia" w:ascii="宋体" w:hAnsi="宋体"/>
          <w:b/>
          <w:szCs w:val="21"/>
        </w:rPr>
        <w:t>三、采购项目需落实的政府采购政策</w:t>
      </w:r>
    </w:p>
    <w:p w14:paraId="26CB75DA">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szCs w:val="21"/>
        </w:rPr>
      </w:pPr>
      <w:r>
        <w:rPr>
          <w:rFonts w:hint="eastAsia" w:ascii="宋体" w:hAnsi="宋体"/>
          <w:szCs w:val="21"/>
        </w:rPr>
        <w:t>1、优先采购：节能产品、环境标志产品享受加分或价格折扣。</w:t>
      </w:r>
    </w:p>
    <w:p w14:paraId="4C2B150F">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szCs w:val="21"/>
        </w:rPr>
      </w:pPr>
      <w:r>
        <w:rPr>
          <w:rFonts w:hint="eastAsia" w:ascii="宋体" w:hAnsi="宋体"/>
          <w:szCs w:val="21"/>
        </w:rPr>
        <w:t>2、支持中小企业：中小企业享受预留采购份额或价格折扣。</w:t>
      </w:r>
    </w:p>
    <w:p w14:paraId="647D582B">
      <w:pPr>
        <w:keepNext w:val="0"/>
        <w:keepLines w:val="0"/>
        <w:pageBreakBefore w:val="0"/>
        <w:kinsoku/>
        <w:wordWrap/>
        <w:overflowPunct/>
        <w:topLinePunct w:val="0"/>
        <w:bidi w:val="0"/>
        <w:adjustRightInd w:val="0"/>
        <w:snapToGrid w:val="0"/>
        <w:spacing w:line="480" w:lineRule="exact"/>
        <w:ind w:firstLine="422" w:firstLineChars="200"/>
        <w:textAlignment w:val="auto"/>
        <w:outlineLvl w:val="1"/>
        <w:rPr>
          <w:rFonts w:ascii="宋体" w:hAnsi="宋体" w:cs="宋体"/>
          <w:szCs w:val="21"/>
        </w:rPr>
      </w:pPr>
      <w:r>
        <w:rPr>
          <w:rFonts w:hint="eastAsia" w:ascii="宋体" w:hAnsi="宋体" w:cs="宋体"/>
          <w:b/>
          <w:szCs w:val="21"/>
        </w:rPr>
        <w:t>四、投标人的资格要求</w:t>
      </w:r>
      <w:bookmarkEnd w:id="41"/>
      <w:bookmarkEnd w:id="42"/>
    </w:p>
    <w:bookmarkEnd w:id="32"/>
    <w:p w14:paraId="30BE7BFF">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szCs w:val="21"/>
        </w:rPr>
      </w:pPr>
      <w:bookmarkStart w:id="43" w:name="_Toc18325"/>
      <w:bookmarkStart w:id="44" w:name="_Toc5144"/>
      <w:r>
        <w:rPr>
          <w:rFonts w:hint="eastAsia" w:ascii="宋体" w:hAnsi="宋体"/>
          <w:szCs w:val="21"/>
        </w:rPr>
        <w:t>1、投标人的基本资格条件：投标人必须是在中华人民共和国境内注册登记的法人、其他组织或者自然人，且应当符合《政府采购法》第二十二条第一款的规定。</w:t>
      </w:r>
    </w:p>
    <w:p w14:paraId="1A7E3D52">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szCs w:val="21"/>
        </w:rPr>
      </w:pPr>
      <w:r>
        <w:rPr>
          <w:rFonts w:hint="eastAsia" w:ascii="宋体" w:hAnsi="宋体"/>
          <w:szCs w:val="21"/>
        </w:rPr>
        <w:t>（1）具有独立承担民事责任的能力；</w:t>
      </w:r>
    </w:p>
    <w:p w14:paraId="26EA0214">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szCs w:val="21"/>
        </w:rPr>
      </w:pPr>
      <w:r>
        <w:rPr>
          <w:rFonts w:hint="eastAsia" w:ascii="宋体" w:hAnsi="宋体"/>
          <w:szCs w:val="21"/>
        </w:rPr>
        <w:t>（2）具有良好的商业信誉和健全的财务会计制度；</w:t>
      </w:r>
    </w:p>
    <w:p w14:paraId="787D0DA4">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szCs w:val="21"/>
        </w:rPr>
      </w:pPr>
      <w:r>
        <w:rPr>
          <w:rFonts w:hint="eastAsia" w:ascii="宋体" w:hAnsi="宋体"/>
          <w:szCs w:val="21"/>
        </w:rPr>
        <w:t>（3）具有履行合同所必需的设备和专业技术能力；</w:t>
      </w:r>
    </w:p>
    <w:p w14:paraId="33949E95">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szCs w:val="21"/>
        </w:rPr>
      </w:pPr>
      <w:r>
        <w:rPr>
          <w:rFonts w:hint="eastAsia" w:ascii="宋体" w:hAnsi="宋体"/>
          <w:szCs w:val="21"/>
        </w:rPr>
        <w:t>（4）有依法缴纳税收和社会保障资金的良好记录；</w:t>
      </w:r>
    </w:p>
    <w:p w14:paraId="39DAA3F5">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szCs w:val="21"/>
        </w:rPr>
      </w:pPr>
      <w:r>
        <w:rPr>
          <w:rFonts w:hint="eastAsia" w:ascii="宋体" w:hAnsi="宋体"/>
          <w:szCs w:val="21"/>
        </w:rPr>
        <w:t>（5）参加政府采购活动前三年内，在经营活动中没有重大违法记录；</w:t>
      </w:r>
    </w:p>
    <w:p w14:paraId="6E72822B">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szCs w:val="21"/>
        </w:rPr>
      </w:pPr>
      <w:r>
        <w:rPr>
          <w:rFonts w:hint="eastAsia" w:ascii="宋体" w:hAnsi="宋体"/>
          <w:szCs w:val="21"/>
        </w:rPr>
        <w:t>（6）法律、行政法规规定的其他条件。</w:t>
      </w:r>
    </w:p>
    <w:p w14:paraId="611D0655">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szCs w:val="21"/>
        </w:rPr>
      </w:pPr>
      <w:r>
        <w:rPr>
          <w:rFonts w:hint="eastAsia" w:ascii="宋体" w:hAnsi="宋体"/>
          <w:szCs w:val="21"/>
        </w:rPr>
        <w:t>2、落实政府采购政策需满足的资格要求：</w:t>
      </w:r>
    </w:p>
    <w:p w14:paraId="2898F3E0">
      <w:pPr>
        <w:keepNext w:val="0"/>
        <w:keepLines w:val="0"/>
        <w:pageBreakBefore w:val="0"/>
        <w:kinsoku/>
        <w:wordWrap/>
        <w:overflowPunct/>
        <w:topLinePunct w:val="0"/>
        <w:bidi w:val="0"/>
        <w:adjustRightInd w:val="0"/>
        <w:snapToGrid w:val="0"/>
        <w:spacing w:line="480" w:lineRule="exact"/>
        <w:ind w:firstLine="630" w:firstLineChars="300"/>
        <w:textAlignment w:val="auto"/>
        <w:rPr>
          <w:rFonts w:ascii="宋体" w:hAnsi="宋体"/>
          <w:szCs w:val="21"/>
        </w:rPr>
      </w:pPr>
      <w:r>
        <w:rPr>
          <w:rFonts w:hint="eastAsia" w:ascii="宋体" w:hAnsi="宋体"/>
          <w:iCs/>
          <w:szCs w:val="21"/>
        </w:rPr>
        <w:sym w:font="Wingdings" w:char="00A8"/>
      </w:r>
      <w:r>
        <w:rPr>
          <w:rFonts w:hint="eastAsia" w:ascii="宋体" w:hAnsi="宋体"/>
          <w:iCs/>
          <w:szCs w:val="21"/>
        </w:rPr>
        <w:t>专门面向</w:t>
      </w:r>
      <w:r>
        <w:rPr>
          <w:rFonts w:hint="eastAsia" w:ascii="宋体" w:hAnsi="宋体"/>
          <w:bCs/>
          <w:szCs w:val="21"/>
        </w:rPr>
        <w:t>：</w:t>
      </w:r>
      <w:r>
        <w:rPr>
          <w:rFonts w:hint="eastAsia" w:ascii="宋体" w:hAnsi="宋体"/>
          <w:iCs/>
          <w:szCs w:val="21"/>
        </w:rPr>
        <w:sym w:font="Wingdings" w:char="00A8"/>
      </w:r>
      <w:r>
        <w:rPr>
          <w:rFonts w:hint="eastAsia" w:ascii="宋体" w:hAnsi="宋体"/>
          <w:iCs/>
          <w:szCs w:val="21"/>
        </w:rPr>
        <w:t xml:space="preserve">中小企业  </w:t>
      </w:r>
      <w:r>
        <w:rPr>
          <w:rFonts w:hint="eastAsia" w:ascii="宋体" w:hAnsi="宋体"/>
          <w:iCs/>
          <w:szCs w:val="21"/>
        </w:rPr>
        <w:sym w:font="Wingdings" w:char="00A8"/>
      </w:r>
      <w:r>
        <w:rPr>
          <w:rFonts w:hint="eastAsia" w:ascii="宋体" w:hAnsi="宋体"/>
          <w:iCs/>
          <w:szCs w:val="21"/>
        </w:rPr>
        <w:t xml:space="preserve">小微企业 </w:t>
      </w:r>
      <w:r>
        <w:rPr>
          <w:rFonts w:hint="eastAsia" w:ascii="宋体" w:hAnsi="宋体"/>
          <w:iCs/>
          <w:szCs w:val="21"/>
        </w:rPr>
        <w:sym w:font="Wingdings" w:char="00A8"/>
      </w:r>
      <w:r>
        <w:rPr>
          <w:rFonts w:hint="eastAsia" w:ascii="宋体" w:hAnsi="宋体"/>
          <w:iCs/>
          <w:szCs w:val="21"/>
        </w:rPr>
        <w:t xml:space="preserve">监狱企业 </w:t>
      </w:r>
      <w:r>
        <w:rPr>
          <w:rFonts w:hint="eastAsia" w:ascii="宋体" w:hAnsi="宋体"/>
          <w:iCs/>
          <w:szCs w:val="21"/>
        </w:rPr>
        <w:sym w:font="Wingdings" w:char="00A8"/>
      </w:r>
      <w:r>
        <w:rPr>
          <w:rFonts w:hint="eastAsia" w:ascii="宋体" w:hAnsi="宋体"/>
          <w:iCs/>
          <w:szCs w:val="21"/>
        </w:rPr>
        <w:t>福利性单位。</w:t>
      </w:r>
    </w:p>
    <w:p w14:paraId="17534E1D">
      <w:pPr>
        <w:keepNext w:val="0"/>
        <w:keepLines w:val="0"/>
        <w:pageBreakBefore w:val="0"/>
        <w:kinsoku/>
        <w:wordWrap/>
        <w:overflowPunct/>
        <w:topLinePunct w:val="0"/>
        <w:bidi w:val="0"/>
        <w:adjustRightInd w:val="0"/>
        <w:snapToGrid w:val="0"/>
        <w:spacing w:line="480" w:lineRule="exact"/>
        <w:ind w:firstLine="630" w:firstLineChars="300"/>
        <w:textAlignment w:val="auto"/>
        <w:rPr>
          <w:rFonts w:ascii="宋体" w:hAnsi="宋体"/>
          <w:bCs/>
          <w:szCs w:val="21"/>
        </w:rPr>
      </w:pPr>
      <w:r>
        <w:rPr>
          <w:rFonts w:hint="eastAsia" w:ascii="宋体" w:hAnsi="宋体"/>
          <w:iCs/>
          <w:szCs w:val="21"/>
        </w:rPr>
        <w:sym w:font="Wingdings" w:char="00A8"/>
      </w:r>
      <w:r>
        <w:rPr>
          <w:rFonts w:hint="eastAsia" w:ascii="宋体" w:hAnsi="宋体"/>
          <w:iCs/>
          <w:szCs w:val="21"/>
        </w:rPr>
        <w:t>强制</w:t>
      </w:r>
      <w:r>
        <w:rPr>
          <w:rFonts w:hint="eastAsia" w:ascii="宋体" w:hAnsi="宋体"/>
          <w:bCs/>
          <w:szCs w:val="21"/>
        </w:rPr>
        <w:t>分包：大型企业应将采购份额的</w:t>
      </w:r>
      <w:r>
        <w:rPr>
          <w:rFonts w:hint="eastAsia" w:ascii="宋体" w:hAnsi="宋体"/>
          <w:bCs/>
          <w:szCs w:val="21"/>
          <w:u w:val="single"/>
        </w:rPr>
        <w:t xml:space="preserve">         </w:t>
      </w:r>
      <w:r>
        <w:rPr>
          <w:rFonts w:hint="eastAsia" w:ascii="宋体" w:hAnsi="宋体"/>
          <w:bCs/>
          <w:szCs w:val="21"/>
        </w:rPr>
        <w:t>%分包给中小企业。</w:t>
      </w:r>
    </w:p>
    <w:p w14:paraId="7ED508E4">
      <w:pPr>
        <w:keepNext w:val="0"/>
        <w:keepLines w:val="0"/>
        <w:pageBreakBefore w:val="0"/>
        <w:kinsoku/>
        <w:wordWrap/>
        <w:overflowPunct/>
        <w:topLinePunct w:val="0"/>
        <w:bidi w:val="0"/>
        <w:adjustRightInd w:val="0"/>
        <w:snapToGrid w:val="0"/>
        <w:spacing w:line="480" w:lineRule="exact"/>
        <w:ind w:firstLine="420" w:firstLineChars="200"/>
        <w:textAlignment w:val="auto"/>
        <w:rPr>
          <w:rFonts w:hint="eastAsia" w:ascii="宋体" w:hAnsi="宋体"/>
          <w:szCs w:val="21"/>
        </w:rPr>
      </w:pPr>
      <w:r>
        <w:rPr>
          <w:rFonts w:hint="eastAsia" w:ascii="宋体" w:hAnsi="宋体"/>
          <w:szCs w:val="21"/>
        </w:rPr>
        <w:t>3、采购项目的特定资格条件：</w:t>
      </w:r>
    </w:p>
    <w:p w14:paraId="7221A06C">
      <w:pPr>
        <w:keepNext w:val="0"/>
        <w:keepLines w:val="0"/>
        <w:pageBreakBefore w:val="0"/>
        <w:kinsoku/>
        <w:wordWrap/>
        <w:overflowPunct/>
        <w:topLinePunct w:val="0"/>
        <w:bidi w:val="0"/>
        <w:spacing w:line="480" w:lineRule="exact"/>
        <w:ind w:firstLine="420" w:firstLineChars="200"/>
        <w:textAlignment w:val="auto"/>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lang w:val="en-US" w:eastAsia="zh-CN"/>
        </w:rPr>
        <w:t>3</w:t>
      </w:r>
      <w:r>
        <w:rPr>
          <w:rFonts w:hint="eastAsia" w:ascii="宋体" w:hAnsi="宋体" w:eastAsia="宋体" w:cs="宋体"/>
          <w:color w:val="auto"/>
          <w:spacing w:val="0"/>
          <w:position w:val="0"/>
          <w:sz w:val="21"/>
          <w:szCs w:val="21"/>
        </w:rPr>
        <w:t>.1 如投标人为电梯制造商则须满足如下条件（需提供证书复印件加盖公章）：</w:t>
      </w:r>
    </w:p>
    <w:p w14:paraId="68351C66">
      <w:pPr>
        <w:keepNext w:val="0"/>
        <w:keepLines w:val="0"/>
        <w:pageBreakBefore w:val="0"/>
        <w:kinsoku/>
        <w:wordWrap/>
        <w:overflowPunct/>
        <w:topLinePunct w:val="0"/>
        <w:bidi w:val="0"/>
        <w:spacing w:line="480" w:lineRule="exact"/>
        <w:ind w:firstLine="420" w:firstLineChars="200"/>
        <w:textAlignment w:val="auto"/>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rPr>
        <w:t>具有相关行政主管部门颁发的《中华人民共和国特种设备生产许可证》</w:t>
      </w:r>
      <w:r>
        <w:rPr>
          <w:rFonts w:hint="eastAsia" w:ascii="宋体" w:hAnsi="宋体" w:eastAsia="宋体" w:cs="宋体"/>
          <w:color w:val="auto"/>
          <w:spacing w:val="0"/>
          <w:position w:val="0"/>
          <w:sz w:val="21"/>
          <w:szCs w:val="21"/>
          <w:lang w:eastAsia="zh-CN"/>
        </w:rPr>
        <w:t>【</w:t>
      </w:r>
      <w:r>
        <w:rPr>
          <w:rFonts w:hint="eastAsia" w:ascii="宋体" w:hAnsi="宋体" w:eastAsia="宋体" w:cs="宋体"/>
          <w:color w:val="auto"/>
          <w:spacing w:val="0"/>
          <w:position w:val="0"/>
          <w:sz w:val="21"/>
          <w:szCs w:val="21"/>
        </w:rPr>
        <w:t>电梯制造（含安装、</w:t>
      </w:r>
      <w:r>
        <w:rPr>
          <w:rFonts w:hint="eastAsia" w:ascii="宋体" w:hAnsi="宋体" w:eastAsia="宋体" w:cs="宋体"/>
          <w:color w:val="auto"/>
          <w:spacing w:val="0"/>
          <w:position w:val="0"/>
          <w:sz w:val="21"/>
          <w:szCs w:val="21"/>
          <w:lang w:val="en-US" w:eastAsia="zh-CN"/>
        </w:rPr>
        <w:t>修理</w:t>
      </w:r>
      <w:r>
        <w:rPr>
          <w:rFonts w:hint="eastAsia" w:ascii="宋体" w:hAnsi="宋体" w:eastAsia="宋体" w:cs="宋体"/>
          <w:color w:val="auto"/>
          <w:spacing w:val="0"/>
          <w:position w:val="0"/>
          <w:sz w:val="21"/>
          <w:szCs w:val="21"/>
        </w:rPr>
        <w:t>）</w:t>
      </w:r>
      <w:r>
        <w:rPr>
          <w:rFonts w:hint="eastAsia" w:ascii="宋体" w:hAnsi="宋体" w:eastAsia="宋体" w:cs="宋体"/>
          <w:color w:val="auto"/>
          <w:spacing w:val="0"/>
          <w:position w:val="0"/>
          <w:sz w:val="21"/>
          <w:szCs w:val="21"/>
          <w:lang w:eastAsia="zh-CN"/>
        </w:rPr>
        <w:t>】</w:t>
      </w:r>
      <w:r>
        <w:rPr>
          <w:rFonts w:hint="eastAsia" w:ascii="宋体" w:hAnsi="宋体" w:eastAsia="宋体" w:cs="宋体"/>
          <w:color w:val="auto"/>
          <w:spacing w:val="0"/>
          <w:position w:val="0"/>
          <w:sz w:val="21"/>
          <w:szCs w:val="21"/>
        </w:rPr>
        <w:t>曳引驱动乘客电梯资质，证书须处于有效期内。</w:t>
      </w:r>
    </w:p>
    <w:p w14:paraId="3B404840">
      <w:pPr>
        <w:keepNext w:val="0"/>
        <w:keepLines w:val="0"/>
        <w:pageBreakBefore w:val="0"/>
        <w:kinsoku/>
        <w:wordWrap/>
        <w:overflowPunct/>
        <w:topLinePunct w:val="0"/>
        <w:bidi w:val="0"/>
        <w:spacing w:line="480" w:lineRule="exact"/>
        <w:ind w:firstLine="420" w:firstLineChars="200"/>
        <w:textAlignment w:val="auto"/>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lang w:val="en-US" w:eastAsia="zh-CN"/>
        </w:rPr>
        <w:t>3</w:t>
      </w:r>
      <w:r>
        <w:rPr>
          <w:rFonts w:hint="eastAsia" w:ascii="宋体" w:hAnsi="宋体" w:eastAsia="宋体" w:cs="宋体"/>
          <w:color w:val="auto"/>
          <w:spacing w:val="0"/>
          <w:position w:val="0"/>
          <w:sz w:val="21"/>
          <w:szCs w:val="21"/>
        </w:rPr>
        <w:t>.2如投标人为电梯代理商则须满足如下条件（需提供证书复印件加盖公章）：</w:t>
      </w:r>
    </w:p>
    <w:p w14:paraId="0CF7A438">
      <w:pPr>
        <w:keepNext w:val="0"/>
        <w:keepLines w:val="0"/>
        <w:pageBreakBefore w:val="0"/>
        <w:kinsoku/>
        <w:wordWrap/>
        <w:overflowPunct/>
        <w:topLinePunct w:val="0"/>
        <w:bidi w:val="0"/>
        <w:spacing w:line="480" w:lineRule="exact"/>
        <w:ind w:firstLine="420" w:firstLineChars="200"/>
        <w:textAlignment w:val="auto"/>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lang w:val="en-US" w:eastAsia="zh-CN"/>
        </w:rPr>
        <w:t>3</w:t>
      </w:r>
      <w:r>
        <w:rPr>
          <w:rFonts w:hint="eastAsia" w:ascii="宋体" w:hAnsi="宋体" w:eastAsia="宋体" w:cs="宋体"/>
          <w:color w:val="auto"/>
          <w:spacing w:val="0"/>
          <w:position w:val="0"/>
          <w:sz w:val="21"/>
          <w:szCs w:val="21"/>
        </w:rPr>
        <w:t>.2.1 提供电梯制造商的《中华人民共和国特种设备生产许可证》</w:t>
      </w:r>
      <w:r>
        <w:rPr>
          <w:rFonts w:hint="eastAsia" w:ascii="宋体" w:hAnsi="宋体" w:eastAsia="宋体" w:cs="宋体"/>
          <w:color w:val="auto"/>
          <w:spacing w:val="0"/>
          <w:position w:val="0"/>
          <w:sz w:val="21"/>
          <w:szCs w:val="21"/>
          <w:lang w:eastAsia="zh-CN"/>
        </w:rPr>
        <w:t>【</w:t>
      </w:r>
      <w:r>
        <w:rPr>
          <w:rFonts w:hint="eastAsia" w:ascii="宋体" w:hAnsi="宋体" w:eastAsia="宋体" w:cs="宋体"/>
          <w:color w:val="auto"/>
          <w:spacing w:val="0"/>
          <w:position w:val="0"/>
          <w:sz w:val="21"/>
          <w:szCs w:val="21"/>
        </w:rPr>
        <w:t>电梯制造（含安装、</w:t>
      </w:r>
      <w:r>
        <w:rPr>
          <w:rFonts w:hint="eastAsia" w:ascii="宋体" w:hAnsi="宋体" w:eastAsia="宋体" w:cs="宋体"/>
          <w:color w:val="auto"/>
          <w:spacing w:val="0"/>
          <w:position w:val="0"/>
          <w:sz w:val="21"/>
          <w:szCs w:val="21"/>
          <w:lang w:val="en-US" w:eastAsia="zh-CN"/>
        </w:rPr>
        <w:t>修理</w:t>
      </w:r>
      <w:r>
        <w:rPr>
          <w:rFonts w:hint="eastAsia" w:ascii="宋体" w:hAnsi="宋体" w:eastAsia="宋体" w:cs="宋体"/>
          <w:color w:val="auto"/>
          <w:spacing w:val="0"/>
          <w:position w:val="0"/>
          <w:sz w:val="21"/>
          <w:szCs w:val="21"/>
          <w:lang w:eastAsia="zh-CN"/>
        </w:rPr>
        <w:t>】</w:t>
      </w:r>
      <w:r>
        <w:rPr>
          <w:rFonts w:hint="eastAsia" w:ascii="宋体" w:hAnsi="宋体" w:eastAsia="宋体" w:cs="宋体"/>
          <w:color w:val="auto"/>
          <w:spacing w:val="0"/>
          <w:position w:val="0"/>
          <w:sz w:val="21"/>
          <w:szCs w:val="21"/>
        </w:rPr>
        <w:t>曳引驱动乘客电梯资质，证书须处于有效期内。</w:t>
      </w:r>
    </w:p>
    <w:p w14:paraId="452D97BC">
      <w:pPr>
        <w:keepNext w:val="0"/>
        <w:keepLines w:val="0"/>
        <w:pageBreakBefore w:val="0"/>
        <w:kinsoku/>
        <w:wordWrap/>
        <w:overflowPunct/>
        <w:topLinePunct w:val="0"/>
        <w:bidi w:val="0"/>
        <w:spacing w:line="480" w:lineRule="exact"/>
        <w:ind w:firstLine="420" w:firstLineChars="200"/>
        <w:textAlignment w:val="auto"/>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lang w:val="en-US" w:eastAsia="zh-CN"/>
        </w:rPr>
        <w:t>3</w:t>
      </w:r>
      <w:r>
        <w:rPr>
          <w:rFonts w:hint="eastAsia" w:ascii="宋体" w:hAnsi="宋体" w:eastAsia="宋体" w:cs="宋体"/>
          <w:color w:val="auto"/>
          <w:spacing w:val="0"/>
          <w:position w:val="0"/>
          <w:sz w:val="21"/>
          <w:szCs w:val="21"/>
        </w:rPr>
        <w:t>.2.2 提供投标人的相关行政主管部门颁发的《中华人民共和国特种设备生产许可证》</w:t>
      </w:r>
      <w:r>
        <w:rPr>
          <w:rFonts w:hint="eastAsia" w:ascii="宋体" w:hAnsi="宋体" w:eastAsia="宋体" w:cs="宋体"/>
          <w:color w:val="auto"/>
          <w:spacing w:val="0"/>
          <w:position w:val="0"/>
          <w:sz w:val="21"/>
          <w:szCs w:val="21"/>
          <w:lang w:eastAsia="zh-CN"/>
        </w:rPr>
        <w:t>【</w:t>
      </w:r>
      <w:r>
        <w:rPr>
          <w:rFonts w:hint="eastAsia" w:ascii="宋体" w:hAnsi="宋体" w:eastAsia="宋体" w:cs="宋体"/>
          <w:color w:val="auto"/>
          <w:spacing w:val="0"/>
          <w:position w:val="0"/>
          <w:sz w:val="21"/>
          <w:szCs w:val="21"/>
        </w:rPr>
        <w:t>电梯安装（含</w:t>
      </w:r>
      <w:r>
        <w:rPr>
          <w:rFonts w:hint="eastAsia" w:ascii="宋体" w:hAnsi="宋体" w:eastAsia="宋体" w:cs="宋体"/>
          <w:color w:val="auto"/>
          <w:spacing w:val="0"/>
          <w:position w:val="0"/>
          <w:sz w:val="21"/>
          <w:szCs w:val="21"/>
          <w:lang w:val="en-US" w:eastAsia="zh-CN"/>
        </w:rPr>
        <w:t>修理</w:t>
      </w:r>
      <w:r>
        <w:rPr>
          <w:rFonts w:hint="eastAsia" w:ascii="宋体" w:hAnsi="宋体" w:eastAsia="宋体" w:cs="宋体"/>
          <w:color w:val="auto"/>
          <w:spacing w:val="0"/>
          <w:position w:val="0"/>
          <w:sz w:val="21"/>
          <w:szCs w:val="21"/>
        </w:rPr>
        <w:t>）</w:t>
      </w:r>
      <w:r>
        <w:rPr>
          <w:rFonts w:hint="eastAsia" w:ascii="宋体" w:hAnsi="宋体" w:eastAsia="宋体" w:cs="宋体"/>
          <w:color w:val="auto"/>
          <w:spacing w:val="0"/>
          <w:position w:val="0"/>
          <w:sz w:val="21"/>
          <w:szCs w:val="21"/>
          <w:lang w:eastAsia="zh-CN"/>
        </w:rPr>
        <w:t>】</w:t>
      </w:r>
      <w:r>
        <w:rPr>
          <w:rFonts w:hint="eastAsia" w:ascii="宋体" w:hAnsi="宋体" w:eastAsia="宋体" w:cs="宋体"/>
          <w:color w:val="auto"/>
          <w:spacing w:val="0"/>
          <w:position w:val="0"/>
          <w:sz w:val="21"/>
          <w:szCs w:val="21"/>
        </w:rPr>
        <w:t>曳引驱动乘客电梯资质，证书须处于有效期内。</w:t>
      </w:r>
    </w:p>
    <w:p w14:paraId="38D49E6C">
      <w:pPr>
        <w:keepNext w:val="0"/>
        <w:keepLines w:val="0"/>
        <w:pageBreakBefore w:val="0"/>
        <w:kinsoku/>
        <w:wordWrap/>
        <w:overflowPunct/>
        <w:topLinePunct w:val="0"/>
        <w:bidi w:val="0"/>
        <w:spacing w:line="480" w:lineRule="exact"/>
        <w:ind w:firstLine="420" w:firstLineChars="200"/>
        <w:textAlignment w:val="auto"/>
        <w:rPr>
          <w:rFonts w:hint="eastAsia" w:ascii="宋体" w:hAnsi="宋体" w:eastAsia="宋体" w:cs="宋体"/>
          <w:color w:val="auto"/>
          <w:spacing w:val="0"/>
          <w:position w:val="0"/>
          <w:sz w:val="21"/>
          <w:szCs w:val="21"/>
        </w:rPr>
      </w:pPr>
      <w:r>
        <w:rPr>
          <w:rFonts w:hint="eastAsia" w:ascii="宋体" w:hAnsi="宋体" w:cs="宋体"/>
          <w:color w:val="auto"/>
          <w:spacing w:val="0"/>
          <w:position w:val="0"/>
          <w:sz w:val="21"/>
          <w:szCs w:val="21"/>
          <w:lang w:val="en-US" w:eastAsia="zh-CN"/>
        </w:rPr>
        <w:t>满足上述要求</w:t>
      </w:r>
      <w:r>
        <w:rPr>
          <w:rFonts w:hint="eastAsia" w:ascii="宋体" w:hAnsi="宋体" w:eastAsia="宋体" w:cs="宋体"/>
          <w:color w:val="auto"/>
          <w:spacing w:val="0"/>
          <w:position w:val="0"/>
          <w:sz w:val="21"/>
          <w:szCs w:val="21"/>
        </w:rPr>
        <w:t>需同时提供①证书复印件（加盖投标人公章）；②“全国特种设备公示信息查询平台” 该证书的查询截图（截图需包含查询网址、证书状态及许可项目）。</w:t>
      </w:r>
    </w:p>
    <w:p w14:paraId="500BD1D4">
      <w:pPr>
        <w:keepNext w:val="0"/>
        <w:keepLines w:val="0"/>
        <w:pageBreakBefore w:val="0"/>
        <w:kinsoku/>
        <w:wordWrap/>
        <w:overflowPunct/>
        <w:topLinePunct w:val="0"/>
        <w:bidi w:val="0"/>
        <w:adjustRightInd w:val="0"/>
        <w:snapToGrid w:val="0"/>
        <w:spacing w:line="480" w:lineRule="exact"/>
        <w:ind w:firstLine="420" w:firstLineChars="200"/>
        <w:jc w:val="left"/>
        <w:textAlignment w:val="auto"/>
        <w:rPr>
          <w:rFonts w:ascii="宋体" w:hAnsi="宋体"/>
          <w:szCs w:val="21"/>
        </w:rPr>
      </w:pPr>
      <w:r>
        <w:rPr>
          <w:rFonts w:hint="eastAsia" w:ascii="宋体" w:hAnsi="宋体"/>
          <w:szCs w:val="21"/>
        </w:rPr>
        <w:t>注：</w:t>
      </w:r>
      <w:r>
        <w:rPr>
          <w:rFonts w:hint="eastAsia" w:ascii="宋体" w:hAnsi="宋体"/>
          <w:szCs w:val="21"/>
          <w:lang w:val="en-US" w:eastAsia="zh-CN"/>
        </w:rPr>
        <w:t>1.</w:t>
      </w:r>
      <w:r>
        <w:rPr>
          <w:rFonts w:hint="eastAsia" w:ascii="宋体" w:hAnsi="宋体"/>
          <w:szCs w:val="21"/>
        </w:rPr>
        <w:t>被“信用中国”网站（www.creditchina.gov.cn）或“湖南信用网”（https://credit.fgw.hunan.gov.cn/)列入失信被执行人和重大税收违法失信主体的、被“中国政府采购网”（www.ccgp.gov.cn）或“湖南政府采购网”（www.ccgp-hunan.gov.cn)网站列入政府采购严重违法失信行为记录名单（处罚期限尚未届满的），不得参与本项目的政府采购活动；提供投标截止日前一个月内以上网站查询记录的网上截图。</w:t>
      </w:r>
    </w:p>
    <w:p w14:paraId="096BFF73">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szCs w:val="21"/>
        </w:rPr>
      </w:pPr>
      <w:r>
        <w:rPr>
          <w:rFonts w:hint="eastAsia" w:ascii="宋体" w:hAnsi="宋体"/>
          <w:szCs w:val="21"/>
          <w:lang w:val="en-US" w:eastAsia="zh-CN"/>
        </w:rPr>
        <w:t>2.</w:t>
      </w:r>
      <w:r>
        <w:rPr>
          <w:rFonts w:hint="eastAsia" w:ascii="宋体" w:hAnsi="宋体"/>
          <w:szCs w:val="21"/>
        </w:rPr>
        <w:t>根据《湖南省财政厅湖南省工业和信息化厅关于运用政府采购促进中小企业发展有关事项的通知》（湘财购【2021】16号文）和《湖南省财政厅关于政府采购促进中小企业发展有关措施的通知》（湘财购【2022】17号文），符合法定条件的供应商凭《湖南省政府采购供应商资格承诺函》（格式详见（湘财购【2022】17号文））参与政府采购活动，也可通过在金融机构办理电子增信取得对应信用星级参与政府采购活动和电子卖场交易，无需提供财务状况、缴纳税收和社会保障资金等资格证明材料。经采购人或监管部门查实，提供虚假承诺的供应商将以虚假资料谋取中标（成交）的违法行为，被列入不良记录名单，采购人有权取消其中标资格。</w:t>
      </w:r>
    </w:p>
    <w:p w14:paraId="61804743">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szCs w:val="21"/>
        </w:rPr>
      </w:pPr>
      <w:r>
        <w:rPr>
          <w:rFonts w:hint="eastAsia" w:ascii="宋体" w:hAnsi="宋体"/>
          <w:szCs w:val="21"/>
        </w:rPr>
        <w:t>4、单位负责人为同一人或者存在直接控股、管理关系的不同投标人，不得参加同一合同项下的政府采购活动。</w:t>
      </w:r>
    </w:p>
    <w:p w14:paraId="268BC1B1">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szCs w:val="21"/>
        </w:rPr>
      </w:pPr>
      <w:r>
        <w:rPr>
          <w:rFonts w:hint="eastAsia" w:ascii="宋体" w:hAnsi="宋体"/>
          <w:szCs w:val="21"/>
        </w:rPr>
        <w:t>5、为本采购项目提供整体设计、规范编制或者项目管理、监理、检测等服务的，不得再参加此项目的其他采购活动。</w:t>
      </w:r>
    </w:p>
    <w:p w14:paraId="0BABD0A6">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szCs w:val="21"/>
        </w:rPr>
      </w:pPr>
      <w:r>
        <w:rPr>
          <w:rFonts w:hint="eastAsia" w:ascii="宋体" w:hAnsi="宋体"/>
          <w:szCs w:val="21"/>
        </w:rPr>
        <w:t>6、列入失信被执行人、重大税收违法失信主体名单、政府采购严重违法失信行为记录名单的，拒绝其参与政府采购活动。</w:t>
      </w:r>
    </w:p>
    <w:p w14:paraId="49FA5240">
      <w:pPr>
        <w:keepNext w:val="0"/>
        <w:keepLines w:val="0"/>
        <w:pageBreakBefore w:val="0"/>
        <w:kinsoku/>
        <w:wordWrap/>
        <w:overflowPunct/>
        <w:topLinePunct w:val="0"/>
        <w:bidi w:val="0"/>
        <w:adjustRightInd w:val="0"/>
        <w:snapToGrid w:val="0"/>
        <w:spacing w:line="480" w:lineRule="exact"/>
        <w:ind w:left="420" w:leftChars="200"/>
        <w:textAlignment w:val="auto"/>
        <w:rPr>
          <w:rFonts w:hint="eastAsia" w:ascii="宋体" w:hAnsi="宋体"/>
          <w:szCs w:val="21"/>
        </w:rPr>
      </w:pPr>
      <w:r>
        <w:rPr>
          <w:rFonts w:hint="eastAsia" w:ascii="宋体" w:hAnsi="宋体"/>
          <w:szCs w:val="21"/>
        </w:rPr>
        <w:t>7、联合体投标。本次招标</w:t>
      </w:r>
      <w:r>
        <w:rPr>
          <w:rFonts w:hint="eastAsia" w:ascii="宋体" w:hAnsi="宋体"/>
          <w:szCs w:val="21"/>
          <w:u w:val="single"/>
        </w:rPr>
        <w:t>不接受</w:t>
      </w:r>
      <w:r>
        <w:rPr>
          <w:rFonts w:hint="eastAsia" w:ascii="宋体" w:hAnsi="宋体"/>
          <w:szCs w:val="21"/>
        </w:rPr>
        <w:t>联合体投标。接受联合体投标的，联合体应当具备下列条件：</w:t>
      </w:r>
      <w:r>
        <w:rPr>
          <w:rFonts w:hint="eastAsia" w:ascii="宋体" w:hAnsi="宋体"/>
          <w:szCs w:val="21"/>
          <w:u w:val="single"/>
        </w:rPr>
        <w:t xml:space="preserve">  /  </w:t>
      </w:r>
      <w:r>
        <w:rPr>
          <w:rFonts w:hint="eastAsia" w:ascii="宋体" w:hAnsi="宋体"/>
          <w:szCs w:val="21"/>
        </w:rPr>
        <w:t>。</w:t>
      </w:r>
    </w:p>
    <w:p w14:paraId="2C04F986">
      <w:pPr>
        <w:keepNext w:val="0"/>
        <w:keepLines w:val="0"/>
        <w:pageBreakBefore w:val="0"/>
        <w:kinsoku/>
        <w:wordWrap/>
        <w:overflowPunct/>
        <w:topLinePunct w:val="0"/>
        <w:bidi w:val="0"/>
        <w:adjustRightInd w:val="0"/>
        <w:snapToGrid w:val="0"/>
        <w:spacing w:line="480" w:lineRule="exact"/>
        <w:ind w:left="420" w:leftChars="200"/>
        <w:textAlignment w:val="auto"/>
        <w:rPr>
          <w:rFonts w:ascii="宋体" w:hAnsi="宋体" w:cs="宋体"/>
          <w:b/>
          <w:szCs w:val="21"/>
        </w:rPr>
      </w:pPr>
      <w:r>
        <w:rPr>
          <w:rFonts w:hint="eastAsia" w:ascii="宋体" w:hAnsi="宋体" w:cs="宋体"/>
          <w:b/>
          <w:szCs w:val="21"/>
        </w:rPr>
        <w:t>五、招标文件的获取</w:t>
      </w:r>
      <w:bookmarkEnd w:id="43"/>
      <w:bookmarkEnd w:id="44"/>
    </w:p>
    <w:p w14:paraId="47FC9C7F">
      <w:pPr>
        <w:keepNext w:val="0"/>
        <w:keepLines w:val="0"/>
        <w:pageBreakBefore w:val="0"/>
        <w:tabs>
          <w:tab w:val="left" w:pos="4700"/>
          <w:tab w:val="left" w:pos="6000"/>
          <w:tab w:val="left" w:pos="7160"/>
          <w:tab w:val="left" w:pos="8520"/>
        </w:tabs>
        <w:kinsoku/>
        <w:wordWrap/>
        <w:overflowPunct/>
        <w:topLinePunct w:val="0"/>
        <w:autoSpaceDE w:val="0"/>
        <w:autoSpaceDN w:val="0"/>
        <w:bidi w:val="0"/>
        <w:adjustRightInd w:val="0"/>
        <w:snapToGrid w:val="0"/>
        <w:spacing w:line="480" w:lineRule="exact"/>
        <w:ind w:right="-23" w:firstLine="420" w:firstLineChars="200"/>
        <w:jc w:val="left"/>
        <w:textAlignment w:val="auto"/>
        <w:rPr>
          <w:rFonts w:ascii="宋体" w:hAnsi="宋体" w:cs="微软雅黑"/>
          <w:spacing w:val="-14"/>
          <w:kern w:val="0"/>
          <w:szCs w:val="21"/>
        </w:rPr>
      </w:pPr>
      <w:bookmarkStart w:id="45" w:name="_Toc14553"/>
      <w:bookmarkStart w:id="46" w:name="_Toc4885"/>
      <w:r>
        <w:rPr>
          <w:rFonts w:hint="eastAsia" w:ascii="宋体" w:hAnsi="宋体" w:cs="微软雅黑"/>
          <w:kern w:val="0"/>
          <w:szCs w:val="21"/>
        </w:rPr>
        <w:t>有</w:t>
      </w:r>
      <w:r>
        <w:rPr>
          <w:rFonts w:hint="eastAsia" w:ascii="宋体" w:hAnsi="宋体" w:cs="微软雅黑"/>
          <w:spacing w:val="-2"/>
          <w:kern w:val="0"/>
          <w:szCs w:val="21"/>
        </w:rPr>
        <w:t>意</w:t>
      </w:r>
      <w:r>
        <w:rPr>
          <w:rFonts w:hint="eastAsia" w:ascii="宋体" w:hAnsi="宋体" w:cs="微软雅黑"/>
          <w:kern w:val="0"/>
          <w:szCs w:val="21"/>
        </w:rPr>
        <w:t>参</w:t>
      </w:r>
      <w:r>
        <w:rPr>
          <w:rFonts w:hint="eastAsia" w:ascii="宋体" w:hAnsi="宋体" w:cs="微软雅黑"/>
          <w:spacing w:val="-2"/>
          <w:kern w:val="0"/>
          <w:szCs w:val="21"/>
        </w:rPr>
        <w:t>加</w:t>
      </w:r>
      <w:r>
        <w:rPr>
          <w:rFonts w:hint="eastAsia" w:ascii="宋体" w:hAnsi="宋体" w:cs="微软雅黑"/>
          <w:kern w:val="0"/>
          <w:szCs w:val="21"/>
        </w:rPr>
        <w:t>投</w:t>
      </w:r>
      <w:r>
        <w:rPr>
          <w:rFonts w:hint="eastAsia" w:ascii="宋体" w:hAnsi="宋体" w:cs="微软雅黑"/>
          <w:spacing w:val="-2"/>
          <w:kern w:val="0"/>
          <w:szCs w:val="21"/>
        </w:rPr>
        <w:t>标</w:t>
      </w:r>
      <w:r>
        <w:rPr>
          <w:rFonts w:hint="eastAsia" w:ascii="宋体" w:hAnsi="宋体" w:cs="微软雅黑"/>
          <w:kern w:val="0"/>
          <w:szCs w:val="21"/>
        </w:rPr>
        <w:t>者，</w:t>
      </w:r>
      <w:r>
        <w:rPr>
          <w:rFonts w:hint="eastAsia" w:ascii="宋体" w:hAnsi="宋体" w:cs="微软雅黑"/>
          <w:spacing w:val="-2"/>
          <w:kern w:val="0"/>
          <w:szCs w:val="21"/>
          <w:u w:val="single"/>
        </w:rPr>
        <w:t>于</w:t>
      </w:r>
      <w:r>
        <w:rPr>
          <w:rFonts w:hint="eastAsia" w:ascii="宋体" w:hAnsi="宋体" w:cs="微软雅黑"/>
          <w:spacing w:val="-2"/>
          <w:kern w:val="0"/>
          <w:szCs w:val="21"/>
          <w:u w:val="single"/>
          <w:lang w:eastAsia="zh-CN"/>
        </w:rPr>
        <w:t>2025年10月31日</w:t>
      </w:r>
      <w:r>
        <w:rPr>
          <w:rFonts w:hint="eastAsia" w:ascii="宋体" w:hAnsi="宋体" w:cs="微软雅黑"/>
          <w:spacing w:val="-2"/>
          <w:kern w:val="0"/>
          <w:szCs w:val="21"/>
          <w:u w:val="single"/>
        </w:rPr>
        <w:t>至</w:t>
      </w:r>
      <w:r>
        <w:rPr>
          <w:rFonts w:hint="eastAsia" w:ascii="宋体" w:hAnsi="宋体" w:cs="微软雅黑"/>
          <w:spacing w:val="-2"/>
          <w:kern w:val="0"/>
          <w:szCs w:val="21"/>
          <w:u w:val="single"/>
          <w:lang w:eastAsia="zh-CN"/>
        </w:rPr>
        <w:t>2025年11月07日</w:t>
      </w:r>
      <w:r>
        <w:rPr>
          <w:rFonts w:hint="eastAsia" w:ascii="宋体" w:hAnsi="宋体" w:cs="微软雅黑"/>
          <w:spacing w:val="-2"/>
          <w:kern w:val="0"/>
          <w:szCs w:val="21"/>
        </w:rPr>
        <w:t>，09:00-17:00，</w:t>
      </w:r>
      <w:r>
        <w:rPr>
          <w:rFonts w:hint="eastAsia" w:ascii="宋体" w:hAnsi="宋体" w:cs="微软雅黑"/>
          <w:kern w:val="0"/>
          <w:szCs w:val="21"/>
        </w:rPr>
        <w:t xml:space="preserve">在 </w:t>
      </w:r>
      <w:r>
        <w:rPr>
          <w:rFonts w:hint="eastAsia" w:ascii="宋体" w:hAnsi="宋体" w:cs="微软雅黑"/>
          <w:kern w:val="0"/>
          <w:szCs w:val="21"/>
          <w:u w:val="single"/>
        </w:rPr>
        <w:t>岳阳市公共资源交易平台（http://222.242.228.197:8083/TPBidder/memberLogin）</w:t>
      </w:r>
      <w:r>
        <w:rPr>
          <w:rFonts w:hint="eastAsia" w:ascii="宋体" w:hAnsi="宋体" w:cs="微软雅黑"/>
          <w:spacing w:val="-2"/>
          <w:kern w:val="0"/>
          <w:szCs w:val="21"/>
        </w:rPr>
        <w:t>获取</w:t>
      </w:r>
      <w:r>
        <w:rPr>
          <w:rFonts w:hint="eastAsia" w:ascii="宋体" w:hAnsi="宋体" w:cs="微软雅黑"/>
          <w:kern w:val="0"/>
          <w:szCs w:val="21"/>
        </w:rPr>
        <w:t>招标</w:t>
      </w:r>
      <w:r>
        <w:rPr>
          <w:rFonts w:hint="eastAsia" w:ascii="宋体" w:hAnsi="宋体" w:cs="微软雅黑"/>
          <w:spacing w:val="-2"/>
          <w:kern w:val="0"/>
          <w:szCs w:val="21"/>
        </w:rPr>
        <w:t>文件</w:t>
      </w:r>
      <w:r>
        <w:rPr>
          <w:rFonts w:hint="eastAsia" w:ascii="宋体" w:hAnsi="宋体" w:cs="微软雅黑"/>
          <w:spacing w:val="-14"/>
          <w:kern w:val="0"/>
          <w:szCs w:val="21"/>
        </w:rPr>
        <w:t>。</w:t>
      </w:r>
    </w:p>
    <w:p w14:paraId="3D0AEE73">
      <w:pPr>
        <w:keepNext w:val="0"/>
        <w:keepLines w:val="0"/>
        <w:pageBreakBefore w:val="0"/>
        <w:tabs>
          <w:tab w:val="left" w:pos="4700"/>
          <w:tab w:val="left" w:pos="6000"/>
          <w:tab w:val="left" w:pos="7160"/>
          <w:tab w:val="left" w:pos="8520"/>
        </w:tabs>
        <w:kinsoku/>
        <w:wordWrap/>
        <w:overflowPunct/>
        <w:topLinePunct w:val="0"/>
        <w:autoSpaceDE w:val="0"/>
        <w:autoSpaceDN w:val="0"/>
        <w:bidi w:val="0"/>
        <w:adjustRightInd w:val="0"/>
        <w:snapToGrid w:val="0"/>
        <w:spacing w:line="480" w:lineRule="exact"/>
        <w:ind w:right="-23" w:firstLine="420" w:firstLineChars="200"/>
        <w:jc w:val="left"/>
        <w:textAlignment w:val="auto"/>
        <w:rPr>
          <w:rFonts w:ascii="宋体" w:hAnsi="宋体" w:cs="微软雅黑"/>
          <w:spacing w:val="-14"/>
          <w:kern w:val="0"/>
          <w:szCs w:val="21"/>
        </w:rPr>
      </w:pPr>
      <w:r>
        <w:rPr>
          <w:rFonts w:hint="eastAsia" w:ascii="宋体" w:hAnsi="宋体"/>
          <w:iCs/>
          <w:szCs w:val="21"/>
        </w:rPr>
        <w:sym w:font="Wingdings" w:char="00FE"/>
      </w:r>
      <w:r>
        <w:rPr>
          <w:rFonts w:hint="eastAsia" w:ascii="宋体" w:hAnsi="宋体"/>
          <w:iCs/>
          <w:szCs w:val="21"/>
        </w:rPr>
        <w:t>本项目</w:t>
      </w:r>
      <w:r>
        <w:rPr>
          <w:rFonts w:hint="eastAsia" w:ascii="宋体" w:hAnsi="宋体" w:cs="微软雅黑"/>
          <w:spacing w:val="-14"/>
          <w:kern w:val="0"/>
          <w:szCs w:val="21"/>
        </w:rPr>
        <w:t>实行电子交易，</w:t>
      </w:r>
      <w:r>
        <w:rPr>
          <w:rFonts w:hint="eastAsia" w:ascii="宋体" w:hAnsi="宋体" w:cs="微软雅黑"/>
          <w:kern w:val="0"/>
          <w:szCs w:val="21"/>
        </w:rPr>
        <w:t>有</w:t>
      </w:r>
      <w:r>
        <w:rPr>
          <w:rFonts w:hint="eastAsia" w:ascii="宋体" w:hAnsi="宋体" w:cs="微软雅黑"/>
          <w:spacing w:val="-2"/>
          <w:kern w:val="0"/>
          <w:szCs w:val="21"/>
        </w:rPr>
        <w:t>意</w:t>
      </w:r>
      <w:r>
        <w:rPr>
          <w:rFonts w:hint="eastAsia" w:ascii="宋体" w:hAnsi="宋体" w:cs="微软雅黑"/>
          <w:kern w:val="0"/>
          <w:szCs w:val="21"/>
        </w:rPr>
        <w:t>参</w:t>
      </w:r>
      <w:r>
        <w:rPr>
          <w:rFonts w:hint="eastAsia" w:ascii="宋体" w:hAnsi="宋体" w:cs="微软雅黑"/>
          <w:spacing w:val="-2"/>
          <w:kern w:val="0"/>
          <w:szCs w:val="21"/>
        </w:rPr>
        <w:t>加</w:t>
      </w:r>
      <w:r>
        <w:rPr>
          <w:rFonts w:hint="eastAsia" w:ascii="宋体" w:hAnsi="宋体" w:cs="微软雅黑"/>
          <w:kern w:val="0"/>
          <w:szCs w:val="21"/>
        </w:rPr>
        <w:t>投</w:t>
      </w:r>
      <w:r>
        <w:rPr>
          <w:rFonts w:hint="eastAsia" w:ascii="宋体" w:hAnsi="宋体" w:cs="微软雅黑"/>
          <w:spacing w:val="-2"/>
          <w:kern w:val="0"/>
          <w:szCs w:val="21"/>
        </w:rPr>
        <w:t>标</w:t>
      </w:r>
      <w:r>
        <w:rPr>
          <w:rFonts w:hint="eastAsia" w:ascii="宋体" w:hAnsi="宋体" w:cs="微软雅黑"/>
          <w:kern w:val="0"/>
          <w:szCs w:val="21"/>
        </w:rPr>
        <w:t>者，在</w:t>
      </w:r>
      <w:r>
        <w:rPr>
          <w:rFonts w:hint="eastAsia" w:ascii="宋体" w:hAnsi="宋体" w:cs="微软雅黑"/>
          <w:kern w:val="0"/>
          <w:szCs w:val="21"/>
          <w:u w:val="single"/>
        </w:rPr>
        <w:t xml:space="preserve">岳阳市公共资源交易平台（http://222.242.228.197:8083/TPBidder/memberLogin）  </w:t>
      </w:r>
      <w:r>
        <w:rPr>
          <w:rFonts w:hint="eastAsia" w:ascii="宋体" w:hAnsi="宋体" w:cs="微软雅黑"/>
          <w:spacing w:val="-2"/>
          <w:kern w:val="0"/>
          <w:szCs w:val="21"/>
        </w:rPr>
        <w:t>获取电子版</w:t>
      </w:r>
      <w:r>
        <w:rPr>
          <w:rFonts w:hint="eastAsia" w:ascii="宋体" w:hAnsi="宋体" w:cs="微软雅黑"/>
          <w:kern w:val="0"/>
          <w:szCs w:val="21"/>
        </w:rPr>
        <w:t>招标</w:t>
      </w:r>
      <w:r>
        <w:rPr>
          <w:rFonts w:hint="eastAsia" w:ascii="宋体" w:hAnsi="宋体" w:cs="微软雅黑"/>
          <w:spacing w:val="-2"/>
          <w:kern w:val="0"/>
          <w:szCs w:val="21"/>
        </w:rPr>
        <w:t>文件</w:t>
      </w:r>
      <w:r>
        <w:rPr>
          <w:rFonts w:hint="eastAsia" w:ascii="宋体" w:hAnsi="宋体" w:cs="微软雅黑"/>
          <w:spacing w:val="-14"/>
          <w:kern w:val="0"/>
          <w:szCs w:val="21"/>
        </w:rPr>
        <w:t>。</w:t>
      </w:r>
    </w:p>
    <w:p w14:paraId="4BBC919B">
      <w:pPr>
        <w:keepNext w:val="0"/>
        <w:keepLines w:val="0"/>
        <w:pageBreakBefore w:val="0"/>
        <w:tabs>
          <w:tab w:val="left" w:pos="4700"/>
          <w:tab w:val="left" w:pos="6000"/>
          <w:tab w:val="left" w:pos="7160"/>
          <w:tab w:val="left" w:pos="8520"/>
        </w:tabs>
        <w:kinsoku/>
        <w:wordWrap/>
        <w:overflowPunct/>
        <w:topLinePunct w:val="0"/>
        <w:autoSpaceDE w:val="0"/>
        <w:autoSpaceDN w:val="0"/>
        <w:bidi w:val="0"/>
        <w:adjustRightInd w:val="0"/>
        <w:snapToGrid w:val="0"/>
        <w:spacing w:line="480" w:lineRule="exact"/>
        <w:ind w:right="-23" w:firstLine="420" w:firstLineChars="200"/>
        <w:jc w:val="left"/>
        <w:textAlignment w:val="auto"/>
        <w:rPr>
          <w:rFonts w:ascii="宋体" w:hAnsi="宋体"/>
          <w:iCs/>
          <w:szCs w:val="21"/>
        </w:rPr>
      </w:pPr>
      <w:r>
        <w:rPr>
          <w:rFonts w:hint="eastAsia" w:ascii="宋体" w:hAnsi="宋体"/>
          <w:iCs/>
          <w:szCs w:val="21"/>
        </w:rPr>
        <w:sym w:font="Wingdings" w:char="00A8"/>
      </w:r>
      <w:r>
        <w:rPr>
          <w:rFonts w:hint="eastAsia" w:ascii="宋体" w:hAnsi="宋体"/>
          <w:iCs/>
          <w:szCs w:val="21"/>
        </w:rPr>
        <w:t>本项目进行资格预审，招标文件将向所有通过资格预审的供应商提供。</w:t>
      </w:r>
    </w:p>
    <w:p w14:paraId="41B08C15">
      <w:pPr>
        <w:keepNext w:val="0"/>
        <w:keepLines w:val="0"/>
        <w:pageBreakBefore w:val="0"/>
        <w:kinsoku/>
        <w:wordWrap/>
        <w:overflowPunct/>
        <w:topLinePunct w:val="0"/>
        <w:bidi w:val="0"/>
        <w:adjustRightInd w:val="0"/>
        <w:snapToGrid w:val="0"/>
        <w:spacing w:line="480" w:lineRule="exact"/>
        <w:ind w:firstLine="422" w:firstLineChars="200"/>
        <w:textAlignment w:val="auto"/>
        <w:outlineLvl w:val="1"/>
        <w:rPr>
          <w:rFonts w:ascii="宋体" w:hAnsi="宋体" w:cs="宋体"/>
          <w:b/>
          <w:bCs/>
          <w:szCs w:val="21"/>
        </w:rPr>
      </w:pPr>
      <w:r>
        <w:rPr>
          <w:rFonts w:hint="eastAsia" w:ascii="宋体" w:hAnsi="宋体" w:cs="宋体"/>
          <w:b/>
          <w:bCs/>
          <w:szCs w:val="21"/>
        </w:rPr>
        <w:t>六、投标文件的制作</w:t>
      </w:r>
      <w:bookmarkEnd w:id="45"/>
      <w:bookmarkEnd w:id="46"/>
    </w:p>
    <w:p w14:paraId="4A6DEE94">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cs="宋体"/>
          <w:szCs w:val="21"/>
        </w:rPr>
      </w:pPr>
      <w:r>
        <w:rPr>
          <w:rFonts w:hint="eastAsia" w:ascii="宋体" w:hAnsi="宋体" w:cs="宋体"/>
          <w:szCs w:val="21"/>
        </w:rPr>
        <w:t>投标人在“岳阳市公共资源交易网”（http://ggzy.yueyang.gov.cn/）服务指南中及时下载安装最新版本“新点投标文件制作软件（湖南公共资源版）”。参与投标的投标人需使用电子标书编制软件制作YYGCZF格式投标文件。本项目电子投标文件最大容量为200MB，超过此容量的文件将被拒绝。制作电子投标文件时，投标人须编制投标文件的内容目录和详细页码，其制作软件的下载安装和电子投标文件的制件说明（含电子签章的操作流程）可详见“岳阳市公共资源交易网”（http://ggzy.yueyang.gov.cn/）的服务指南《全流程电子化招投标操作手册》。</w:t>
      </w:r>
    </w:p>
    <w:p w14:paraId="426B68DE">
      <w:pPr>
        <w:pStyle w:val="39"/>
        <w:keepNext w:val="0"/>
        <w:keepLines w:val="0"/>
        <w:pageBreakBefore w:val="0"/>
        <w:kinsoku/>
        <w:wordWrap/>
        <w:overflowPunct/>
        <w:topLinePunct w:val="0"/>
        <w:bidi w:val="0"/>
        <w:spacing w:line="480" w:lineRule="exact"/>
        <w:ind w:left="0" w:leftChars="0" w:firstLine="422"/>
        <w:textAlignment w:val="auto"/>
        <w:rPr>
          <w:rFonts w:ascii="宋体" w:hAnsi="宋体"/>
          <w:b/>
        </w:rPr>
      </w:pPr>
      <w:bookmarkStart w:id="47" w:name="_Toc5590"/>
      <w:bookmarkStart w:id="48" w:name="_Toc18798"/>
      <w:r>
        <w:rPr>
          <w:rFonts w:hint="eastAsia" w:ascii="宋体" w:hAnsi="宋体"/>
          <w:b/>
        </w:rPr>
        <w:t>七、投标文件的递交</w:t>
      </w:r>
    </w:p>
    <w:p w14:paraId="2BCA0113">
      <w:pPr>
        <w:pStyle w:val="125"/>
        <w:keepNext w:val="0"/>
        <w:keepLines w:val="0"/>
        <w:pageBreakBefore w:val="0"/>
        <w:kinsoku/>
        <w:wordWrap/>
        <w:overflowPunct/>
        <w:topLinePunct w:val="0"/>
        <w:bidi w:val="0"/>
        <w:spacing w:line="480" w:lineRule="exact"/>
        <w:textAlignment w:val="auto"/>
        <w:rPr>
          <w:rFonts w:hAnsi="宋体" w:cs="宋体"/>
          <w:color w:val="auto"/>
          <w:kern w:val="2"/>
          <w:sz w:val="21"/>
          <w:szCs w:val="21"/>
        </w:rPr>
      </w:pPr>
      <w:r>
        <w:rPr>
          <w:rFonts w:hint="eastAsia" w:hAnsi="宋体" w:cs="宋体"/>
          <w:color w:val="auto"/>
          <w:kern w:val="2"/>
          <w:sz w:val="21"/>
          <w:szCs w:val="21"/>
        </w:rPr>
        <w:t>投标文件递交截止时间（投标截止时间，下同）</w:t>
      </w:r>
      <w:r>
        <w:rPr>
          <w:rFonts w:hint="eastAsia" w:hAnsi="宋体" w:cs="宋体"/>
          <w:color w:val="auto"/>
          <w:kern w:val="2"/>
          <w:sz w:val="21"/>
          <w:szCs w:val="21"/>
          <w:u w:val="single"/>
          <w:lang w:eastAsia="zh-CN"/>
        </w:rPr>
        <w:t>2025年11月21日</w:t>
      </w:r>
      <w:r>
        <w:rPr>
          <w:rFonts w:hint="eastAsia" w:hAnsi="宋体" w:cs="宋体"/>
          <w:color w:val="auto"/>
          <w:kern w:val="2"/>
          <w:sz w:val="21"/>
          <w:szCs w:val="21"/>
          <w:u w:val="single"/>
        </w:rPr>
        <w:t>09 时30分（北京时间）</w:t>
      </w:r>
      <w:r>
        <w:rPr>
          <w:rFonts w:hint="eastAsia" w:hAnsi="宋体" w:cs="宋体"/>
          <w:color w:val="auto"/>
          <w:kern w:val="2"/>
          <w:sz w:val="21"/>
          <w:szCs w:val="21"/>
        </w:rPr>
        <w:t>，投标人应在投标截止时间前通过岳阳市公共资源交易平台递交数据电文形式的电子投标文件并完成在线签到。其递交的电子投标文件具备法律效力，逾期递交的电子投标文件，电子交易平台将予以拒收。</w:t>
      </w:r>
    </w:p>
    <w:p w14:paraId="4728642B">
      <w:pPr>
        <w:keepNext w:val="0"/>
        <w:keepLines w:val="0"/>
        <w:pageBreakBefore w:val="0"/>
        <w:widowControl/>
        <w:kinsoku/>
        <w:wordWrap/>
        <w:overflowPunct/>
        <w:topLinePunct w:val="0"/>
        <w:bidi w:val="0"/>
        <w:spacing w:line="480" w:lineRule="exact"/>
        <w:ind w:firstLine="422" w:firstLineChars="200"/>
        <w:textAlignment w:val="auto"/>
        <w:rPr>
          <w:rFonts w:ascii="宋体" w:hAnsi="宋体"/>
          <w:b/>
          <w:szCs w:val="21"/>
        </w:rPr>
      </w:pPr>
      <w:r>
        <w:rPr>
          <w:rFonts w:hint="eastAsia" w:ascii="宋体" w:hAnsi="宋体"/>
          <w:b/>
          <w:szCs w:val="21"/>
        </w:rPr>
        <w:t>八、投标文件的解密</w:t>
      </w:r>
    </w:p>
    <w:p w14:paraId="2C8EA7FA">
      <w:pPr>
        <w:keepNext w:val="0"/>
        <w:keepLines w:val="0"/>
        <w:pageBreakBefore w:val="0"/>
        <w:widowControl/>
        <w:kinsoku/>
        <w:wordWrap/>
        <w:overflowPunct/>
        <w:topLinePunct w:val="0"/>
        <w:bidi w:val="0"/>
        <w:spacing w:line="480" w:lineRule="exact"/>
        <w:ind w:firstLine="420" w:firstLineChars="200"/>
        <w:textAlignment w:val="auto"/>
        <w:rPr>
          <w:rFonts w:ascii="宋体" w:hAnsi="宋体"/>
          <w:szCs w:val="21"/>
        </w:rPr>
      </w:pPr>
      <w:r>
        <w:rPr>
          <w:rFonts w:hint="eastAsia" w:ascii="宋体" w:hAnsi="宋体"/>
          <w:szCs w:val="21"/>
        </w:rPr>
        <w:t>1、电子投标文件的解密截止时间为</w:t>
      </w:r>
      <w:r>
        <w:rPr>
          <w:rFonts w:hint="eastAsia" w:ascii="宋体" w:hAnsi="宋体"/>
          <w:szCs w:val="21"/>
          <w:u w:val="single"/>
          <w:lang w:eastAsia="zh-CN"/>
        </w:rPr>
        <w:t>2025年11月21日</w:t>
      </w:r>
      <w:r>
        <w:rPr>
          <w:rFonts w:hint="eastAsia" w:ascii="宋体" w:hAnsi="宋体"/>
          <w:szCs w:val="21"/>
          <w:u w:val="single"/>
        </w:rPr>
        <w:t>10时00分（北京时间）</w:t>
      </w:r>
      <w:r>
        <w:rPr>
          <w:rFonts w:hint="eastAsia" w:ascii="宋体" w:hAnsi="宋体"/>
          <w:szCs w:val="21"/>
        </w:rPr>
        <w:t>（系统设置为开标后30分钟内），投标人可在单位在线解密。逾期未解密的，视为放弃投标资格。</w:t>
      </w:r>
    </w:p>
    <w:p w14:paraId="58BA36BC">
      <w:pPr>
        <w:keepNext w:val="0"/>
        <w:keepLines w:val="0"/>
        <w:pageBreakBefore w:val="0"/>
        <w:kinsoku/>
        <w:wordWrap/>
        <w:overflowPunct/>
        <w:topLinePunct w:val="0"/>
        <w:bidi w:val="0"/>
        <w:adjustRightInd w:val="0"/>
        <w:snapToGrid w:val="0"/>
        <w:spacing w:line="480" w:lineRule="exact"/>
        <w:ind w:firstLine="422" w:firstLineChars="200"/>
        <w:textAlignment w:val="auto"/>
        <w:rPr>
          <w:rFonts w:ascii="宋体" w:hAnsi="宋体"/>
          <w:b/>
          <w:szCs w:val="21"/>
        </w:rPr>
      </w:pPr>
      <w:r>
        <w:rPr>
          <w:rFonts w:hint="eastAsia" w:ascii="宋体" w:hAnsi="宋体"/>
          <w:b/>
          <w:szCs w:val="21"/>
        </w:rPr>
        <w:t>九、投标截止时间、开标时间及地点</w:t>
      </w:r>
    </w:p>
    <w:p w14:paraId="578DFE91">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szCs w:val="21"/>
        </w:rPr>
      </w:pPr>
      <w:r>
        <w:rPr>
          <w:rFonts w:hint="eastAsia" w:ascii="宋体" w:hAnsi="宋体"/>
          <w:szCs w:val="21"/>
        </w:rPr>
        <w:t>1、提交投标文件的截止时间：</w:t>
      </w:r>
      <w:r>
        <w:rPr>
          <w:rFonts w:hint="eastAsia" w:ascii="宋体" w:hAnsi="宋体"/>
          <w:szCs w:val="21"/>
          <w:u w:val="single"/>
        </w:rPr>
        <w:t xml:space="preserve"> </w:t>
      </w:r>
      <w:r>
        <w:rPr>
          <w:rFonts w:hint="eastAsia" w:ascii="宋体" w:hAnsi="宋体"/>
          <w:szCs w:val="21"/>
          <w:u w:val="single"/>
          <w:lang w:val="en-US" w:eastAsia="zh-CN"/>
        </w:rPr>
        <w:t>2025年11月21日09</w:t>
      </w:r>
      <w:r>
        <w:rPr>
          <w:rFonts w:hint="eastAsia" w:ascii="宋体" w:hAnsi="宋体"/>
          <w:szCs w:val="21"/>
          <w:u w:val="single"/>
        </w:rPr>
        <w:t>时</w:t>
      </w:r>
      <w:r>
        <w:rPr>
          <w:rFonts w:hint="eastAsia" w:ascii="宋体" w:hAnsi="宋体"/>
          <w:szCs w:val="21"/>
          <w:u w:val="single"/>
          <w:lang w:val="en-US" w:eastAsia="zh-CN"/>
        </w:rPr>
        <w:t>30</w:t>
      </w:r>
      <w:r>
        <w:rPr>
          <w:rFonts w:hint="eastAsia" w:ascii="宋体" w:hAnsi="宋体"/>
          <w:szCs w:val="21"/>
          <w:u w:val="single"/>
        </w:rPr>
        <w:t>分（北京时间）</w:t>
      </w:r>
      <w:r>
        <w:rPr>
          <w:rFonts w:hint="eastAsia" w:ascii="宋体" w:hAnsi="宋体"/>
          <w:szCs w:val="21"/>
        </w:rPr>
        <w:t>；</w:t>
      </w:r>
    </w:p>
    <w:p w14:paraId="01ED63CD">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cs="宋体"/>
        </w:rPr>
      </w:pPr>
      <w:r>
        <w:rPr>
          <w:rFonts w:hint="eastAsia" w:ascii="宋体" w:hAnsi="宋体"/>
          <w:szCs w:val="21"/>
        </w:rPr>
        <w:t>2、投标地点：</w:t>
      </w:r>
      <w:r>
        <w:rPr>
          <w:rFonts w:hint="eastAsia" w:ascii="宋体" w:hAnsi="宋体"/>
          <w:szCs w:val="21"/>
          <w:u w:val="single"/>
        </w:rPr>
        <w:t xml:space="preserve"> 不见面开标，提交电子投标文件“岳阳市公共资源交易中心电子交易平台”（http://222.242.228.197:8083/TPBidder/memberLogin）。本项目实行网上开评标、全流程电子化，具体操作方式详见岳阳市公共资源交易网服务指南全流程电子化招投标操作手册。  </w:t>
      </w:r>
    </w:p>
    <w:p w14:paraId="44E7517C">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szCs w:val="21"/>
        </w:rPr>
      </w:pPr>
      <w:r>
        <w:rPr>
          <w:rFonts w:hint="eastAsia" w:ascii="宋体" w:hAnsi="宋体"/>
          <w:szCs w:val="21"/>
        </w:rPr>
        <w:t>3、开标时间：</w:t>
      </w:r>
      <w:r>
        <w:rPr>
          <w:rFonts w:hint="eastAsia" w:ascii="宋体" w:hAnsi="宋体"/>
          <w:szCs w:val="21"/>
          <w:u w:val="single"/>
          <w:lang w:eastAsia="zh-CN"/>
        </w:rPr>
        <w:t>2025年11月21日</w:t>
      </w:r>
      <w:r>
        <w:rPr>
          <w:rFonts w:hint="eastAsia" w:ascii="宋体" w:hAnsi="宋体"/>
          <w:szCs w:val="21"/>
          <w:u w:val="single"/>
          <w:lang w:val="en-US" w:eastAsia="zh-CN"/>
        </w:rPr>
        <w:t>09</w:t>
      </w:r>
      <w:r>
        <w:rPr>
          <w:rFonts w:hint="eastAsia" w:ascii="宋体" w:hAnsi="宋体"/>
          <w:szCs w:val="21"/>
          <w:u w:val="single"/>
        </w:rPr>
        <w:t>时</w:t>
      </w:r>
      <w:r>
        <w:rPr>
          <w:rFonts w:hint="eastAsia" w:ascii="宋体" w:hAnsi="宋体"/>
          <w:szCs w:val="21"/>
          <w:u w:val="single"/>
          <w:lang w:val="en-US" w:eastAsia="zh-CN"/>
        </w:rPr>
        <w:t>30</w:t>
      </w:r>
      <w:r>
        <w:rPr>
          <w:rFonts w:hint="eastAsia" w:ascii="宋体" w:hAnsi="宋体"/>
          <w:szCs w:val="21"/>
          <w:u w:val="single"/>
        </w:rPr>
        <w:t>分（北京时间）</w:t>
      </w:r>
      <w:r>
        <w:rPr>
          <w:rFonts w:hint="eastAsia" w:ascii="宋体" w:hAnsi="宋体"/>
          <w:szCs w:val="21"/>
        </w:rPr>
        <w:t xml:space="preserve">。 </w:t>
      </w:r>
    </w:p>
    <w:p w14:paraId="715EED6A">
      <w:pPr>
        <w:keepNext w:val="0"/>
        <w:keepLines w:val="0"/>
        <w:pageBreakBefore w:val="0"/>
        <w:kinsoku/>
        <w:wordWrap/>
        <w:overflowPunct/>
        <w:topLinePunct w:val="0"/>
        <w:bidi w:val="0"/>
        <w:adjustRightInd w:val="0"/>
        <w:snapToGrid w:val="0"/>
        <w:spacing w:line="480" w:lineRule="exact"/>
        <w:ind w:firstLine="420" w:firstLineChars="200"/>
        <w:textAlignment w:val="auto"/>
        <w:rPr>
          <w:rFonts w:hint="eastAsia" w:ascii="宋体" w:hAnsi="宋体" w:eastAsia="宋体"/>
          <w:szCs w:val="21"/>
          <w:lang w:eastAsia="zh-CN"/>
        </w:rPr>
      </w:pPr>
      <w:r>
        <w:rPr>
          <w:rFonts w:hint="eastAsia" w:ascii="宋体" w:hAnsi="宋体"/>
          <w:szCs w:val="21"/>
        </w:rPr>
        <w:t>4、开标地点：</w:t>
      </w:r>
      <w:r>
        <w:rPr>
          <w:rFonts w:hint="eastAsia" w:ascii="宋体" w:hAnsi="宋体"/>
          <w:szCs w:val="21"/>
          <w:u w:val="single"/>
        </w:rPr>
        <w:t>岳阳市公共资源交易中心（岳阳经开区民兴路与狮子山南路交叉口丘山大厦）</w:t>
      </w:r>
      <w:r>
        <w:rPr>
          <w:rFonts w:hint="eastAsia" w:ascii="宋体" w:hAnsi="宋体"/>
          <w:szCs w:val="21"/>
          <w:u w:val="single"/>
          <w:lang w:eastAsia="zh-CN"/>
        </w:rPr>
        <w:t>。</w:t>
      </w:r>
    </w:p>
    <w:p w14:paraId="62BAD928">
      <w:pPr>
        <w:keepNext w:val="0"/>
        <w:keepLines w:val="0"/>
        <w:pageBreakBefore w:val="0"/>
        <w:kinsoku/>
        <w:wordWrap/>
        <w:overflowPunct/>
        <w:topLinePunct w:val="0"/>
        <w:bidi w:val="0"/>
        <w:adjustRightInd w:val="0"/>
        <w:snapToGrid w:val="0"/>
        <w:spacing w:line="480" w:lineRule="exact"/>
        <w:ind w:firstLine="422" w:firstLineChars="200"/>
        <w:textAlignment w:val="auto"/>
        <w:rPr>
          <w:rFonts w:ascii="宋体" w:hAnsi="宋体"/>
          <w:szCs w:val="21"/>
        </w:rPr>
      </w:pPr>
      <w:r>
        <w:rPr>
          <w:rFonts w:hint="eastAsia" w:ascii="宋体" w:hAnsi="宋体"/>
          <w:b/>
          <w:szCs w:val="21"/>
        </w:rPr>
        <w:t>十、公告期限</w:t>
      </w:r>
      <w:r>
        <w:rPr>
          <w:rFonts w:hint="eastAsia" w:ascii="宋体" w:hAnsi="宋体"/>
          <w:szCs w:val="21"/>
        </w:rPr>
        <w:t>：</w:t>
      </w:r>
    </w:p>
    <w:p w14:paraId="0B05A0C0">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szCs w:val="21"/>
        </w:rPr>
      </w:pPr>
      <w:r>
        <w:rPr>
          <w:rFonts w:hint="eastAsia" w:ascii="宋体" w:hAnsi="宋体"/>
          <w:szCs w:val="21"/>
        </w:rPr>
        <w:t>1、本招标公告在中国湖南政府采购网（www.ccgp-hunan.gov.cn）发布。公告期限从本招标公告发布之日起5个工作日。</w:t>
      </w:r>
    </w:p>
    <w:p w14:paraId="35A0BF1E">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szCs w:val="21"/>
        </w:rPr>
      </w:pPr>
      <w:r>
        <w:rPr>
          <w:rFonts w:hint="eastAsia" w:ascii="宋体" w:hAnsi="宋体"/>
          <w:szCs w:val="21"/>
        </w:rPr>
        <w:t>2、在其他媒体发布的招标公告，公告内容以本招标公告指定媒体发布的公告为准；公告期限自本招标公告指定媒体最先发布公告之日起算。</w:t>
      </w:r>
    </w:p>
    <w:p w14:paraId="74A4B971">
      <w:pPr>
        <w:keepNext w:val="0"/>
        <w:keepLines w:val="0"/>
        <w:pageBreakBefore w:val="0"/>
        <w:kinsoku/>
        <w:wordWrap/>
        <w:overflowPunct/>
        <w:topLinePunct w:val="0"/>
        <w:bidi w:val="0"/>
        <w:adjustRightInd w:val="0"/>
        <w:snapToGrid w:val="0"/>
        <w:spacing w:line="480" w:lineRule="exact"/>
        <w:ind w:firstLine="422" w:firstLineChars="200"/>
        <w:textAlignment w:val="auto"/>
        <w:rPr>
          <w:rFonts w:ascii="宋体" w:hAnsi="宋体"/>
          <w:szCs w:val="21"/>
        </w:rPr>
      </w:pPr>
      <w:r>
        <w:rPr>
          <w:rFonts w:hint="eastAsia" w:ascii="宋体" w:hAnsi="宋体"/>
          <w:b/>
          <w:szCs w:val="21"/>
        </w:rPr>
        <w:t>十一、询问及质疑</w:t>
      </w:r>
      <w:r>
        <w:rPr>
          <w:rFonts w:hint="eastAsia" w:ascii="宋体" w:hAnsi="宋体"/>
          <w:szCs w:val="21"/>
        </w:rPr>
        <w:t>：</w:t>
      </w:r>
    </w:p>
    <w:p w14:paraId="46DBF1B8">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szCs w:val="21"/>
        </w:rPr>
      </w:pPr>
      <w:r>
        <w:rPr>
          <w:rFonts w:hint="eastAsia" w:ascii="宋体" w:hAnsi="宋体"/>
          <w:szCs w:val="21"/>
        </w:rPr>
        <w:t>1、投标人对政府采购活动事项如有疑问的，可以向采购人、采购代理机构提出询问。采购人、采购代理机构将在3个工作日内作出答复。</w:t>
      </w:r>
    </w:p>
    <w:p w14:paraId="66EF700A">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szCs w:val="21"/>
        </w:rPr>
      </w:pPr>
      <w:r>
        <w:rPr>
          <w:rFonts w:hint="eastAsia" w:ascii="宋体" w:hAnsi="宋体"/>
          <w:szCs w:val="21"/>
        </w:rPr>
        <w:t>2、投标人对电子交易平台办理CA证书、操作等如有疑问，请咨询电子交易平台服务机构。</w:t>
      </w:r>
    </w:p>
    <w:p w14:paraId="3AA23873">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szCs w:val="21"/>
        </w:rPr>
      </w:pPr>
      <w:r>
        <w:rPr>
          <w:rFonts w:hint="eastAsia" w:ascii="宋体" w:hAnsi="宋体"/>
          <w:szCs w:val="21"/>
        </w:rPr>
        <w:t>3、潜在投标人认为招标文件或招标公告使自己的合法权益受到损害的，可以在收到招标文件之日或招标公告期限届满之日起7个工作日内，按《湖南省财政厅关于印发＜政府采购质疑答复和投诉处理操作规程＞的通知》(湘财购〔2019〕20号)规定，以纸质书面形式向采购人、采购代理机构提出质疑。</w:t>
      </w:r>
    </w:p>
    <w:p w14:paraId="12BC96A5">
      <w:pPr>
        <w:keepNext w:val="0"/>
        <w:keepLines w:val="0"/>
        <w:pageBreakBefore w:val="0"/>
        <w:kinsoku/>
        <w:wordWrap/>
        <w:overflowPunct/>
        <w:topLinePunct w:val="0"/>
        <w:bidi w:val="0"/>
        <w:adjustRightInd w:val="0"/>
        <w:snapToGrid w:val="0"/>
        <w:spacing w:line="480" w:lineRule="exact"/>
        <w:ind w:firstLine="422" w:firstLineChars="200"/>
        <w:textAlignment w:val="auto"/>
        <w:rPr>
          <w:rFonts w:ascii="宋体" w:hAnsi="宋体"/>
          <w:b/>
          <w:szCs w:val="21"/>
        </w:rPr>
      </w:pPr>
      <w:r>
        <w:rPr>
          <w:rFonts w:hint="eastAsia" w:ascii="宋体" w:hAnsi="宋体"/>
          <w:b/>
          <w:szCs w:val="21"/>
        </w:rPr>
        <w:t>十二、投标说明</w:t>
      </w:r>
    </w:p>
    <w:p w14:paraId="30A3341E">
      <w:pPr>
        <w:keepNext w:val="0"/>
        <w:keepLines w:val="0"/>
        <w:pageBreakBefore w:val="0"/>
        <w:tabs>
          <w:tab w:val="left" w:pos="4700"/>
          <w:tab w:val="left" w:pos="6000"/>
          <w:tab w:val="left" w:pos="7160"/>
          <w:tab w:val="left" w:pos="8520"/>
        </w:tabs>
        <w:kinsoku/>
        <w:wordWrap/>
        <w:overflowPunct/>
        <w:topLinePunct w:val="0"/>
        <w:autoSpaceDE w:val="0"/>
        <w:autoSpaceDN w:val="0"/>
        <w:bidi w:val="0"/>
        <w:adjustRightInd w:val="0"/>
        <w:snapToGrid w:val="0"/>
        <w:spacing w:line="480" w:lineRule="exact"/>
        <w:ind w:right="-23" w:firstLine="420" w:firstLineChars="200"/>
        <w:jc w:val="left"/>
        <w:textAlignment w:val="auto"/>
        <w:rPr>
          <w:rFonts w:ascii="宋体" w:hAnsi="宋体"/>
          <w:szCs w:val="21"/>
        </w:rPr>
      </w:pPr>
      <w:r>
        <w:rPr>
          <w:rFonts w:hint="eastAsia" w:ascii="宋体" w:hAnsi="宋体"/>
          <w:szCs w:val="21"/>
        </w:rPr>
        <w:t>1、本公告选项：</w:t>
      </w:r>
      <w:r>
        <w:rPr>
          <w:rFonts w:hint="eastAsia" w:ascii="宋体" w:hAnsi="宋体"/>
          <w:szCs w:val="21"/>
        </w:rPr>
        <w:sym w:font="Wingdings" w:char="00FE"/>
      </w:r>
      <w:r>
        <w:rPr>
          <w:rFonts w:hint="eastAsia" w:ascii="宋体" w:hAnsi="宋体"/>
          <w:szCs w:val="21"/>
        </w:rPr>
        <w:t>表示选择，</w:t>
      </w:r>
      <w:r>
        <w:rPr>
          <w:rFonts w:hint="eastAsia" w:ascii="宋体" w:hAnsi="宋体"/>
          <w:szCs w:val="21"/>
        </w:rPr>
        <w:sym w:font="Wingdings" w:char="00A8"/>
      </w:r>
      <w:r>
        <w:rPr>
          <w:rFonts w:hint="eastAsia" w:ascii="宋体" w:hAnsi="宋体"/>
          <w:szCs w:val="21"/>
        </w:rPr>
        <w:t>表示未选择。</w:t>
      </w:r>
    </w:p>
    <w:p w14:paraId="69C96263">
      <w:pPr>
        <w:keepNext w:val="0"/>
        <w:keepLines w:val="0"/>
        <w:pageBreakBefore w:val="0"/>
        <w:tabs>
          <w:tab w:val="left" w:pos="4700"/>
          <w:tab w:val="left" w:pos="6000"/>
          <w:tab w:val="left" w:pos="7160"/>
          <w:tab w:val="left" w:pos="8520"/>
        </w:tabs>
        <w:kinsoku/>
        <w:wordWrap/>
        <w:overflowPunct/>
        <w:topLinePunct w:val="0"/>
        <w:autoSpaceDE w:val="0"/>
        <w:autoSpaceDN w:val="0"/>
        <w:bidi w:val="0"/>
        <w:adjustRightInd w:val="0"/>
        <w:snapToGrid w:val="0"/>
        <w:spacing w:line="480" w:lineRule="exact"/>
        <w:ind w:right="-23" w:firstLine="420" w:firstLineChars="200"/>
        <w:jc w:val="left"/>
        <w:textAlignment w:val="auto"/>
      </w:pPr>
      <w:r>
        <w:rPr>
          <w:rFonts w:hint="eastAsia" w:ascii="宋体" w:hAnsi="宋体"/>
          <w:szCs w:val="21"/>
        </w:rPr>
        <w:t>2、投标人参与政府采购活动，无需向采购人、代理机构、交易平台缴纳任何费用。</w:t>
      </w:r>
    </w:p>
    <w:p w14:paraId="69E71F4D">
      <w:pPr>
        <w:keepNext w:val="0"/>
        <w:keepLines w:val="0"/>
        <w:pageBreakBefore w:val="0"/>
        <w:kinsoku/>
        <w:wordWrap/>
        <w:overflowPunct/>
        <w:topLinePunct w:val="0"/>
        <w:bidi w:val="0"/>
        <w:adjustRightInd w:val="0"/>
        <w:snapToGrid w:val="0"/>
        <w:spacing w:line="480" w:lineRule="exact"/>
        <w:ind w:firstLine="422" w:firstLineChars="200"/>
        <w:textAlignment w:val="auto"/>
        <w:outlineLvl w:val="1"/>
        <w:rPr>
          <w:rFonts w:ascii="宋体" w:hAnsi="宋体" w:cs="宋体"/>
          <w:b/>
          <w:bCs/>
          <w:szCs w:val="21"/>
        </w:rPr>
      </w:pPr>
      <w:r>
        <w:rPr>
          <w:rFonts w:hint="eastAsia" w:ascii="宋体" w:hAnsi="宋体" w:cs="宋体"/>
          <w:b/>
          <w:bCs/>
          <w:szCs w:val="21"/>
        </w:rPr>
        <w:t>十三、</w:t>
      </w:r>
      <w:bookmarkEnd w:id="47"/>
      <w:bookmarkEnd w:id="48"/>
      <w:r>
        <w:rPr>
          <w:rFonts w:hint="eastAsia" w:ascii="宋体" w:hAnsi="宋体" w:cs="宋体"/>
          <w:b/>
          <w:bCs/>
          <w:szCs w:val="21"/>
        </w:rPr>
        <w:t>投标保证金</w:t>
      </w:r>
    </w:p>
    <w:p w14:paraId="635CD9A8">
      <w:pPr>
        <w:keepNext w:val="0"/>
        <w:keepLines w:val="0"/>
        <w:pageBreakBefore w:val="0"/>
        <w:kinsoku/>
        <w:wordWrap/>
        <w:overflowPunct/>
        <w:topLinePunct w:val="0"/>
        <w:bidi w:val="0"/>
        <w:adjustRightInd w:val="0"/>
        <w:snapToGrid w:val="0"/>
        <w:spacing w:line="480" w:lineRule="exact"/>
        <w:ind w:firstLine="420" w:firstLineChars="200"/>
        <w:textAlignment w:val="auto"/>
        <w:outlineLvl w:val="1"/>
        <w:rPr>
          <w:rFonts w:ascii="宋体" w:hAnsi="宋体" w:cs="宋体"/>
          <w:szCs w:val="21"/>
        </w:rPr>
      </w:pPr>
      <w:bookmarkStart w:id="49" w:name="_Toc31157"/>
      <w:r>
        <w:rPr>
          <w:rFonts w:hint="eastAsia" w:ascii="宋体" w:hAnsi="宋体" w:cs="宋体"/>
          <w:szCs w:val="21"/>
        </w:rPr>
        <w:t>根据岳财函【2020】46号文规定，本项目不缴纳投标保证金。</w:t>
      </w:r>
      <w:bookmarkEnd w:id="49"/>
    </w:p>
    <w:p w14:paraId="1E6039CE">
      <w:pPr>
        <w:keepNext w:val="0"/>
        <w:keepLines w:val="0"/>
        <w:pageBreakBefore w:val="0"/>
        <w:kinsoku/>
        <w:wordWrap/>
        <w:overflowPunct/>
        <w:topLinePunct w:val="0"/>
        <w:bidi w:val="0"/>
        <w:adjustRightInd w:val="0"/>
        <w:snapToGrid w:val="0"/>
        <w:spacing w:line="480" w:lineRule="exact"/>
        <w:ind w:firstLine="422" w:firstLineChars="200"/>
        <w:textAlignment w:val="auto"/>
        <w:outlineLvl w:val="1"/>
        <w:rPr>
          <w:rFonts w:ascii="宋体" w:hAnsi="宋体" w:cs="宋体"/>
          <w:b/>
          <w:bCs/>
          <w:szCs w:val="21"/>
        </w:rPr>
      </w:pPr>
      <w:bookmarkStart w:id="50" w:name="_Toc20897"/>
      <w:bookmarkStart w:id="51" w:name="_Toc2260"/>
      <w:r>
        <w:rPr>
          <w:rFonts w:hint="eastAsia" w:ascii="宋体" w:hAnsi="宋体" w:cs="宋体"/>
          <w:b/>
          <w:bCs/>
          <w:szCs w:val="21"/>
        </w:rPr>
        <w:t>十四、</w:t>
      </w:r>
      <w:bookmarkEnd w:id="50"/>
      <w:bookmarkEnd w:id="51"/>
      <w:r>
        <w:rPr>
          <w:rFonts w:hint="eastAsia" w:ascii="宋体" w:hAnsi="宋体" w:cs="宋体"/>
          <w:b/>
          <w:bCs/>
          <w:szCs w:val="21"/>
        </w:rPr>
        <w:t>采购人及采购代理机构的名称、地址和联系方式</w:t>
      </w:r>
    </w:p>
    <w:p w14:paraId="615D0CC4">
      <w:pPr>
        <w:keepNext w:val="0"/>
        <w:keepLines w:val="0"/>
        <w:pageBreakBefore w:val="0"/>
        <w:kinsoku/>
        <w:wordWrap/>
        <w:overflowPunct/>
        <w:topLinePunct w:val="0"/>
        <w:bidi w:val="0"/>
        <w:adjustRightInd w:val="0"/>
        <w:snapToGrid w:val="0"/>
        <w:spacing w:line="480" w:lineRule="exact"/>
        <w:ind w:firstLine="413" w:firstLineChars="196"/>
        <w:textAlignment w:val="auto"/>
        <w:rPr>
          <w:rFonts w:hint="eastAsia" w:ascii="宋体" w:hAnsi="宋体" w:eastAsia="宋体" w:cs="宋体"/>
          <w:szCs w:val="21"/>
          <w:lang w:eastAsia="zh-CN"/>
        </w:rPr>
      </w:pPr>
      <w:r>
        <w:rPr>
          <w:rFonts w:hint="eastAsia" w:ascii="宋体" w:hAnsi="宋体" w:cs="宋体"/>
          <w:b/>
          <w:bCs/>
          <w:szCs w:val="21"/>
        </w:rPr>
        <w:t>采购人：</w:t>
      </w:r>
      <w:r>
        <w:rPr>
          <w:rFonts w:hint="eastAsia" w:ascii="宋体" w:hAnsi="宋体" w:cs="宋体"/>
          <w:szCs w:val="21"/>
          <w:lang w:eastAsia="zh-CN"/>
        </w:rPr>
        <w:t>岳阳县人民医院</w:t>
      </w:r>
    </w:p>
    <w:p w14:paraId="526688F0">
      <w:pPr>
        <w:keepNext w:val="0"/>
        <w:keepLines w:val="0"/>
        <w:pageBreakBefore w:val="0"/>
        <w:kinsoku/>
        <w:wordWrap/>
        <w:overflowPunct/>
        <w:topLinePunct w:val="0"/>
        <w:bidi w:val="0"/>
        <w:adjustRightInd w:val="0"/>
        <w:snapToGrid w:val="0"/>
        <w:spacing w:line="480" w:lineRule="exact"/>
        <w:ind w:firstLine="411" w:firstLineChars="196"/>
        <w:textAlignment w:val="auto"/>
        <w:rPr>
          <w:rFonts w:hint="eastAsia" w:ascii="宋体" w:hAnsi="宋体" w:cs="宋体"/>
          <w:szCs w:val="21"/>
          <w:lang w:eastAsia="zh-CN"/>
        </w:rPr>
      </w:pPr>
      <w:r>
        <w:rPr>
          <w:rFonts w:hint="eastAsia" w:ascii="宋体" w:hAnsi="宋体" w:cs="宋体"/>
          <w:szCs w:val="21"/>
        </w:rPr>
        <w:t>地  址：</w:t>
      </w:r>
      <w:r>
        <w:rPr>
          <w:rFonts w:hint="eastAsia" w:ascii="宋体" w:hAnsi="宋体" w:cs="宋体"/>
          <w:szCs w:val="21"/>
          <w:lang w:eastAsia="zh-CN"/>
        </w:rPr>
        <w:t>岳阳县城关镇天鹅路65号</w:t>
      </w:r>
    </w:p>
    <w:p w14:paraId="338FA673">
      <w:pPr>
        <w:keepNext w:val="0"/>
        <w:keepLines w:val="0"/>
        <w:pageBreakBefore w:val="0"/>
        <w:kinsoku/>
        <w:wordWrap/>
        <w:overflowPunct/>
        <w:topLinePunct w:val="0"/>
        <w:bidi w:val="0"/>
        <w:adjustRightInd w:val="0"/>
        <w:snapToGrid w:val="0"/>
        <w:spacing w:line="480" w:lineRule="exact"/>
        <w:ind w:firstLine="411" w:firstLineChars="196"/>
        <w:textAlignment w:val="auto"/>
        <w:rPr>
          <w:rFonts w:hint="eastAsia" w:ascii="宋体" w:hAnsi="宋体" w:eastAsia="宋体" w:cs="宋体"/>
          <w:szCs w:val="21"/>
          <w:highlight w:val="none"/>
          <w:lang w:eastAsia="zh-CN"/>
        </w:rPr>
      </w:pPr>
      <w:r>
        <w:rPr>
          <w:rFonts w:hint="eastAsia" w:ascii="宋体" w:hAnsi="宋体" w:cs="宋体"/>
          <w:szCs w:val="21"/>
          <w:highlight w:val="none"/>
        </w:rPr>
        <w:t>联系人：</w:t>
      </w:r>
      <w:r>
        <w:rPr>
          <w:rFonts w:hint="eastAsia" w:ascii="宋体" w:hAnsi="宋体" w:cs="宋体"/>
          <w:szCs w:val="21"/>
          <w:highlight w:val="none"/>
          <w:lang w:eastAsia="zh-CN"/>
        </w:rPr>
        <w:t>姜先生</w:t>
      </w:r>
    </w:p>
    <w:p w14:paraId="30208054">
      <w:pPr>
        <w:keepNext w:val="0"/>
        <w:keepLines w:val="0"/>
        <w:pageBreakBefore w:val="0"/>
        <w:kinsoku/>
        <w:wordWrap/>
        <w:overflowPunct/>
        <w:topLinePunct w:val="0"/>
        <w:bidi w:val="0"/>
        <w:adjustRightInd w:val="0"/>
        <w:snapToGrid w:val="0"/>
        <w:spacing w:line="480" w:lineRule="exact"/>
        <w:ind w:firstLine="420" w:firstLineChars="200"/>
        <w:textAlignment w:val="auto"/>
        <w:rPr>
          <w:rFonts w:hint="eastAsia" w:ascii="宋体" w:hAnsi="宋体" w:eastAsia="宋体" w:cs="宋体"/>
          <w:szCs w:val="21"/>
          <w:highlight w:val="none"/>
          <w:lang w:eastAsia="zh-CN"/>
        </w:rPr>
      </w:pPr>
      <w:r>
        <w:rPr>
          <w:rFonts w:hint="eastAsia" w:ascii="宋体" w:hAnsi="宋体" w:cs="宋体"/>
          <w:bCs/>
          <w:szCs w:val="21"/>
          <w:highlight w:val="none"/>
        </w:rPr>
        <w:t>电  话：</w:t>
      </w:r>
      <w:r>
        <w:rPr>
          <w:rFonts w:hint="eastAsia" w:ascii="宋体" w:hAnsi="宋体" w:cs="宋体"/>
          <w:szCs w:val="21"/>
          <w:highlight w:val="none"/>
          <w:lang w:eastAsia="zh-CN"/>
        </w:rPr>
        <w:t>13874018191</w:t>
      </w:r>
    </w:p>
    <w:p w14:paraId="528619F9">
      <w:pPr>
        <w:keepNext w:val="0"/>
        <w:keepLines w:val="0"/>
        <w:pageBreakBefore w:val="0"/>
        <w:kinsoku/>
        <w:wordWrap/>
        <w:overflowPunct/>
        <w:topLinePunct w:val="0"/>
        <w:bidi w:val="0"/>
        <w:adjustRightInd w:val="0"/>
        <w:snapToGrid w:val="0"/>
        <w:spacing w:line="480" w:lineRule="exact"/>
        <w:ind w:firstLine="413" w:firstLineChars="196"/>
        <w:textAlignment w:val="auto"/>
        <w:rPr>
          <w:rFonts w:ascii="宋体" w:hAnsi="宋体" w:cs="宋体"/>
          <w:szCs w:val="21"/>
        </w:rPr>
      </w:pPr>
      <w:r>
        <w:rPr>
          <w:rFonts w:hint="eastAsia" w:ascii="宋体" w:hAnsi="宋体" w:cs="宋体"/>
          <w:b/>
          <w:bCs/>
          <w:szCs w:val="21"/>
        </w:rPr>
        <w:t>采购代理机构：</w:t>
      </w:r>
      <w:r>
        <w:rPr>
          <w:rFonts w:hint="eastAsia" w:ascii="宋体" w:hAnsi="宋体" w:cs="宋体"/>
          <w:szCs w:val="21"/>
        </w:rPr>
        <w:t>湖南晟美达工程管理咨询有限公司</w:t>
      </w:r>
    </w:p>
    <w:p w14:paraId="717CCD40">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cs="宋体"/>
          <w:szCs w:val="21"/>
        </w:rPr>
      </w:pPr>
      <w:r>
        <w:rPr>
          <w:rFonts w:hint="eastAsia" w:ascii="宋体" w:hAnsi="宋体" w:cs="宋体"/>
          <w:szCs w:val="21"/>
        </w:rPr>
        <w:t>地  址：</w:t>
      </w:r>
      <w:r>
        <w:rPr>
          <w:rFonts w:hint="eastAsia"/>
        </w:rPr>
        <w:t>湖南省岳阳市岳阳楼区金鹗山街道万家坡社区原恒立公司办公楼三楼</w:t>
      </w:r>
    </w:p>
    <w:p w14:paraId="78A8B2FF">
      <w:pPr>
        <w:keepNext w:val="0"/>
        <w:keepLines w:val="0"/>
        <w:pageBreakBefore w:val="0"/>
        <w:kinsoku/>
        <w:wordWrap/>
        <w:overflowPunct/>
        <w:topLinePunct w:val="0"/>
        <w:bidi w:val="0"/>
        <w:adjustRightInd w:val="0"/>
        <w:snapToGrid w:val="0"/>
        <w:spacing w:line="480" w:lineRule="exact"/>
        <w:ind w:firstLine="420" w:firstLineChars="200"/>
        <w:textAlignment w:val="auto"/>
        <w:rPr>
          <w:rFonts w:ascii="宋体" w:hAnsi="宋体" w:cs="宋体"/>
          <w:szCs w:val="21"/>
        </w:rPr>
      </w:pPr>
      <w:r>
        <w:rPr>
          <w:rFonts w:hint="eastAsia" w:ascii="宋体" w:hAnsi="宋体" w:cs="宋体"/>
          <w:szCs w:val="21"/>
        </w:rPr>
        <w:t>联系人：</w:t>
      </w:r>
      <w:r>
        <w:rPr>
          <w:rFonts w:hint="eastAsia"/>
        </w:rPr>
        <w:t>陈先生</w:t>
      </w:r>
    </w:p>
    <w:p w14:paraId="22447921">
      <w:pPr>
        <w:keepNext w:val="0"/>
        <w:keepLines w:val="0"/>
        <w:pageBreakBefore w:val="0"/>
        <w:kinsoku/>
        <w:wordWrap/>
        <w:overflowPunct/>
        <w:topLinePunct w:val="0"/>
        <w:bidi w:val="0"/>
        <w:adjustRightInd w:val="0"/>
        <w:snapToGrid w:val="0"/>
        <w:spacing w:line="480" w:lineRule="exact"/>
        <w:ind w:left="2940" w:leftChars="200" w:hanging="2520" w:hangingChars="1200"/>
        <w:jc w:val="left"/>
        <w:textAlignment w:val="auto"/>
        <w:rPr>
          <w:rFonts w:ascii="宋体" w:hAnsi="宋体" w:cs="宋体"/>
          <w:szCs w:val="21"/>
        </w:rPr>
      </w:pPr>
      <w:r>
        <w:rPr>
          <w:rFonts w:hint="eastAsia" w:ascii="宋体" w:hAnsi="宋体" w:cs="宋体"/>
          <w:szCs w:val="21"/>
        </w:rPr>
        <w:t>电  话：</w:t>
      </w:r>
      <w:bookmarkEnd w:id="33"/>
      <w:r>
        <w:t>0730-8908399</w:t>
      </w:r>
    </w:p>
    <w:bookmarkEnd w:id="34"/>
    <w:bookmarkEnd w:id="35"/>
    <w:p w14:paraId="2BF9C849">
      <w:pPr>
        <w:adjustRightInd w:val="0"/>
        <w:snapToGrid w:val="0"/>
        <w:spacing w:line="360" w:lineRule="auto"/>
        <w:ind w:left="2940" w:leftChars="200" w:hanging="2520" w:hangingChars="1200"/>
        <w:jc w:val="left"/>
        <w:rPr>
          <w:rFonts w:ascii="宋体" w:hAnsi="宋体" w:cs="宋体"/>
          <w:szCs w:val="21"/>
        </w:rPr>
      </w:pPr>
    </w:p>
    <w:p w14:paraId="30AB7526">
      <w:pPr>
        <w:adjustRightInd w:val="0"/>
        <w:snapToGrid w:val="0"/>
        <w:spacing w:line="360" w:lineRule="auto"/>
        <w:ind w:left="2940" w:leftChars="200" w:hanging="2520" w:hangingChars="1200"/>
        <w:jc w:val="left"/>
        <w:rPr>
          <w:rFonts w:ascii="宋体" w:hAnsi="宋体" w:cs="宋体"/>
          <w:szCs w:val="21"/>
        </w:rPr>
      </w:pPr>
    </w:p>
    <w:p w14:paraId="4416EB85">
      <w:pPr>
        <w:adjustRightInd w:val="0"/>
        <w:snapToGrid w:val="0"/>
        <w:spacing w:line="360" w:lineRule="auto"/>
        <w:jc w:val="center"/>
        <w:rPr>
          <w:rFonts w:hAnsi="宋体" w:cs="宋体"/>
        </w:rPr>
      </w:pPr>
      <w:r>
        <w:rPr>
          <w:rFonts w:hint="eastAsia" w:hAnsi="宋体" w:cs="宋体"/>
          <w:b/>
          <w:sz w:val="32"/>
          <w:szCs w:val="32"/>
        </w:rPr>
        <w:t>第二章 投标须知</w:t>
      </w:r>
      <w:bookmarkEnd w:id="10"/>
      <w:bookmarkEnd w:id="11"/>
      <w:bookmarkEnd w:id="12"/>
      <w:bookmarkEnd w:id="13"/>
      <w:bookmarkEnd w:id="14"/>
      <w:bookmarkEnd w:id="15"/>
      <w:bookmarkEnd w:id="16"/>
      <w:bookmarkEnd w:id="17"/>
      <w:bookmarkEnd w:id="36"/>
      <w:bookmarkEnd w:id="37"/>
    </w:p>
    <w:p w14:paraId="49134E17">
      <w:pPr>
        <w:pStyle w:val="3"/>
        <w:ind w:firstLine="140" w:firstLineChars="50"/>
        <w:jc w:val="center"/>
        <w:rPr>
          <w:rFonts w:ascii="宋体" w:hAnsi="宋体" w:cs="宋体"/>
          <w:b w:val="0"/>
          <w:spacing w:val="100"/>
          <w:sz w:val="28"/>
          <w:szCs w:val="28"/>
        </w:rPr>
      </w:pPr>
      <w:bookmarkStart w:id="52" w:name="_Toc11427"/>
      <w:bookmarkStart w:id="53" w:name="_Toc19654"/>
      <w:r>
        <w:rPr>
          <w:rFonts w:hint="eastAsia" w:ascii="宋体" w:hAnsi="宋体" w:cs="宋体"/>
          <w:b w:val="0"/>
          <w:sz w:val="28"/>
          <w:szCs w:val="28"/>
        </w:rPr>
        <w:t>投标须知前附表</w:t>
      </w:r>
      <w:bookmarkEnd w:id="52"/>
      <w:bookmarkEnd w:id="53"/>
    </w:p>
    <w:p w14:paraId="6F2EA6E1">
      <w:pPr>
        <w:adjustRightInd w:val="0"/>
        <w:snapToGrid w:val="0"/>
        <w:rPr>
          <w:rFonts w:ascii="宋体" w:hAnsi="宋体" w:cs="宋体"/>
          <w:szCs w:val="21"/>
        </w:rPr>
      </w:pPr>
      <w:r>
        <w:rPr>
          <w:rFonts w:hint="eastAsia" w:ascii="宋体" w:hAnsi="宋体" w:cs="宋体"/>
          <w:b/>
          <w:szCs w:val="21"/>
        </w:rPr>
        <w:t>注：本项目启用的条款请在“编列内容规定”栏内以“■”标注。</w:t>
      </w:r>
    </w:p>
    <w:tbl>
      <w:tblPr>
        <w:tblStyle w:val="40"/>
        <w:tblpPr w:leftFromText="180" w:rightFromText="180" w:vertAnchor="text" w:horzAnchor="page" w:tblpX="1169" w:tblpY="489"/>
        <w:tblOverlap w:val="never"/>
        <w:tblW w:w="9889"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080"/>
        <w:gridCol w:w="6533"/>
      </w:tblGrid>
      <w:tr w14:paraId="346BCB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blHeader/>
        </w:trPr>
        <w:tc>
          <w:tcPr>
            <w:tcW w:w="1276" w:type="dxa"/>
            <w:noWrap/>
            <w:vAlign w:val="center"/>
          </w:tcPr>
          <w:p w14:paraId="2C85AB67">
            <w:pPr>
              <w:adjustRightInd w:val="0"/>
              <w:snapToGrid w:val="0"/>
              <w:spacing w:line="240" w:lineRule="auto"/>
              <w:jc w:val="center"/>
              <w:rPr>
                <w:rFonts w:ascii="宋体" w:hAnsi="宋体" w:cs="宋体"/>
                <w:b/>
                <w:szCs w:val="21"/>
              </w:rPr>
            </w:pPr>
            <w:r>
              <w:rPr>
                <w:rFonts w:hint="eastAsia" w:ascii="宋体" w:hAnsi="宋体" w:cs="宋体"/>
                <w:b/>
                <w:szCs w:val="21"/>
              </w:rPr>
              <w:t>条款号</w:t>
            </w:r>
          </w:p>
        </w:tc>
        <w:tc>
          <w:tcPr>
            <w:tcW w:w="2080" w:type="dxa"/>
            <w:noWrap/>
            <w:vAlign w:val="center"/>
          </w:tcPr>
          <w:p w14:paraId="1EE797CE">
            <w:pPr>
              <w:adjustRightInd w:val="0"/>
              <w:snapToGrid w:val="0"/>
              <w:spacing w:line="240" w:lineRule="auto"/>
              <w:jc w:val="center"/>
              <w:rPr>
                <w:rFonts w:ascii="宋体" w:hAnsi="宋体" w:cs="宋体"/>
                <w:b/>
                <w:szCs w:val="21"/>
              </w:rPr>
            </w:pPr>
            <w:r>
              <w:rPr>
                <w:rFonts w:hint="eastAsia" w:ascii="宋体" w:hAnsi="宋体" w:cs="宋体"/>
                <w:b/>
                <w:szCs w:val="21"/>
              </w:rPr>
              <w:t>条款名称</w:t>
            </w:r>
          </w:p>
        </w:tc>
        <w:tc>
          <w:tcPr>
            <w:tcW w:w="6533" w:type="dxa"/>
            <w:noWrap/>
            <w:vAlign w:val="center"/>
          </w:tcPr>
          <w:p w14:paraId="6AD30D95">
            <w:pPr>
              <w:adjustRightInd w:val="0"/>
              <w:snapToGrid w:val="0"/>
              <w:spacing w:line="240" w:lineRule="auto"/>
              <w:jc w:val="center"/>
              <w:rPr>
                <w:rFonts w:ascii="宋体" w:hAnsi="宋体" w:cs="宋体"/>
                <w:b/>
                <w:szCs w:val="21"/>
              </w:rPr>
            </w:pPr>
            <w:r>
              <w:rPr>
                <w:rFonts w:hint="eastAsia" w:ascii="宋体" w:hAnsi="宋体" w:cs="宋体"/>
                <w:b/>
                <w:szCs w:val="21"/>
              </w:rPr>
              <w:t>编列内容规定</w:t>
            </w:r>
          </w:p>
        </w:tc>
      </w:tr>
      <w:tr w14:paraId="055665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9889" w:type="dxa"/>
            <w:gridSpan w:val="3"/>
            <w:noWrap/>
            <w:vAlign w:val="center"/>
          </w:tcPr>
          <w:p w14:paraId="0BABEFD3">
            <w:pPr>
              <w:adjustRightInd w:val="0"/>
              <w:snapToGrid w:val="0"/>
              <w:spacing w:line="240" w:lineRule="auto"/>
              <w:rPr>
                <w:rFonts w:ascii="宋体" w:hAnsi="宋体" w:cs="宋体"/>
                <w:szCs w:val="21"/>
              </w:rPr>
            </w:pPr>
            <w:r>
              <w:rPr>
                <w:rFonts w:hint="eastAsia" w:ascii="宋体" w:hAnsi="宋体" w:cs="宋体"/>
                <w:b/>
                <w:szCs w:val="21"/>
              </w:rPr>
              <w:t>一、说明</w:t>
            </w:r>
          </w:p>
        </w:tc>
      </w:tr>
      <w:tr w14:paraId="63A805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276" w:type="dxa"/>
            <w:noWrap/>
            <w:vAlign w:val="center"/>
          </w:tcPr>
          <w:p w14:paraId="68D40AF0">
            <w:pPr>
              <w:adjustRightInd w:val="0"/>
              <w:snapToGrid w:val="0"/>
              <w:spacing w:line="240" w:lineRule="auto"/>
              <w:jc w:val="center"/>
              <w:rPr>
                <w:rFonts w:ascii="宋体" w:hAnsi="宋体" w:cs="宋体"/>
                <w:szCs w:val="21"/>
              </w:rPr>
            </w:pPr>
            <w:r>
              <w:rPr>
                <w:rFonts w:hint="eastAsia" w:ascii="宋体" w:hAnsi="宋体" w:cs="宋体"/>
                <w:szCs w:val="21"/>
              </w:rPr>
              <w:t>第1.1</w:t>
            </w:r>
            <w:r>
              <w:rPr>
                <w:rFonts w:hint="eastAsia" w:ascii="宋体" w:hAnsi="宋体" w:cs="宋体"/>
                <w:kern w:val="0"/>
                <w:szCs w:val="21"/>
                <w:lang w:val="zh-CN"/>
              </w:rPr>
              <w:t>款</w:t>
            </w:r>
          </w:p>
        </w:tc>
        <w:tc>
          <w:tcPr>
            <w:tcW w:w="2080" w:type="dxa"/>
            <w:noWrap/>
            <w:vAlign w:val="center"/>
          </w:tcPr>
          <w:p w14:paraId="1E85F045">
            <w:pPr>
              <w:adjustRightInd w:val="0"/>
              <w:snapToGrid w:val="0"/>
              <w:spacing w:line="240" w:lineRule="auto"/>
              <w:jc w:val="center"/>
              <w:rPr>
                <w:rFonts w:ascii="宋体" w:hAnsi="宋体" w:cs="宋体"/>
                <w:szCs w:val="21"/>
              </w:rPr>
            </w:pPr>
            <w:r>
              <w:rPr>
                <w:rFonts w:hint="eastAsia" w:ascii="宋体" w:hAnsi="宋体" w:cs="宋体"/>
                <w:szCs w:val="21"/>
              </w:rPr>
              <w:t>采购项目</w:t>
            </w:r>
          </w:p>
        </w:tc>
        <w:tc>
          <w:tcPr>
            <w:tcW w:w="6533" w:type="dxa"/>
            <w:noWrap/>
            <w:vAlign w:val="center"/>
          </w:tcPr>
          <w:p w14:paraId="33389BE3">
            <w:pPr>
              <w:adjustRightInd w:val="0"/>
              <w:snapToGrid w:val="0"/>
              <w:spacing w:line="240" w:lineRule="auto"/>
              <w:rPr>
                <w:rFonts w:hint="eastAsia" w:ascii="宋体" w:hAnsi="宋体" w:eastAsia="宋体" w:cs="宋体"/>
                <w:szCs w:val="21"/>
                <w:lang w:eastAsia="zh-CN"/>
              </w:rPr>
            </w:pPr>
            <w:r>
              <w:rPr>
                <w:rFonts w:hint="eastAsia" w:ascii="宋体" w:hAnsi="宋体" w:cs="宋体"/>
                <w:szCs w:val="21"/>
                <w:lang w:eastAsia="zh-CN"/>
              </w:rPr>
              <w:t>岳阳县人民医院外科大楼建设项目电梯工程（重新立项）第二次</w:t>
            </w:r>
          </w:p>
        </w:tc>
      </w:tr>
      <w:tr w14:paraId="5B909F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93" w:hRule="atLeast"/>
        </w:trPr>
        <w:tc>
          <w:tcPr>
            <w:tcW w:w="1276" w:type="dxa"/>
            <w:noWrap/>
            <w:vAlign w:val="center"/>
          </w:tcPr>
          <w:p w14:paraId="2FCE1987">
            <w:pPr>
              <w:adjustRightInd w:val="0"/>
              <w:snapToGrid w:val="0"/>
              <w:spacing w:line="240" w:lineRule="auto"/>
              <w:jc w:val="center"/>
              <w:rPr>
                <w:rFonts w:ascii="宋体" w:hAnsi="宋体" w:cs="宋体"/>
                <w:szCs w:val="21"/>
              </w:rPr>
            </w:pPr>
            <w:r>
              <w:rPr>
                <w:rFonts w:hint="eastAsia" w:ascii="宋体" w:hAnsi="宋体" w:cs="宋体"/>
                <w:szCs w:val="21"/>
              </w:rPr>
              <w:t>第2.1</w:t>
            </w:r>
            <w:r>
              <w:rPr>
                <w:rFonts w:hint="eastAsia" w:ascii="宋体" w:hAnsi="宋体" w:cs="宋体"/>
                <w:kern w:val="0"/>
                <w:szCs w:val="21"/>
                <w:lang w:val="zh-CN"/>
              </w:rPr>
              <w:t>款</w:t>
            </w:r>
          </w:p>
        </w:tc>
        <w:tc>
          <w:tcPr>
            <w:tcW w:w="2080" w:type="dxa"/>
            <w:noWrap/>
            <w:vAlign w:val="center"/>
          </w:tcPr>
          <w:p w14:paraId="4735CE9D">
            <w:pPr>
              <w:adjustRightInd w:val="0"/>
              <w:snapToGrid w:val="0"/>
              <w:spacing w:line="240" w:lineRule="auto"/>
              <w:jc w:val="center"/>
              <w:rPr>
                <w:rFonts w:ascii="宋体" w:hAnsi="宋体" w:cs="宋体"/>
                <w:szCs w:val="21"/>
              </w:rPr>
            </w:pPr>
            <w:r>
              <w:rPr>
                <w:rFonts w:hint="eastAsia" w:ascii="宋体" w:hAnsi="宋体" w:cs="宋体"/>
                <w:szCs w:val="21"/>
              </w:rPr>
              <w:t>采购人</w:t>
            </w:r>
          </w:p>
        </w:tc>
        <w:tc>
          <w:tcPr>
            <w:tcW w:w="6533" w:type="dxa"/>
            <w:noWrap/>
            <w:vAlign w:val="center"/>
          </w:tcPr>
          <w:p w14:paraId="723B42A1">
            <w:pPr>
              <w:adjustRightInd w:val="0"/>
              <w:snapToGrid w:val="0"/>
              <w:spacing w:line="240" w:lineRule="auto"/>
              <w:rPr>
                <w:rFonts w:hint="eastAsia" w:ascii="宋体" w:hAnsi="宋体" w:eastAsia="宋体" w:cs="宋体"/>
                <w:szCs w:val="21"/>
                <w:lang w:eastAsia="zh-CN"/>
              </w:rPr>
            </w:pPr>
            <w:r>
              <w:rPr>
                <w:rFonts w:hint="eastAsia" w:ascii="宋体" w:hAnsi="宋体" w:cs="宋体"/>
                <w:szCs w:val="21"/>
              </w:rPr>
              <w:t>名  称：</w:t>
            </w:r>
            <w:r>
              <w:rPr>
                <w:rFonts w:hint="eastAsia" w:ascii="宋体" w:hAnsi="宋体" w:cs="宋体"/>
                <w:szCs w:val="21"/>
                <w:lang w:eastAsia="zh-CN"/>
              </w:rPr>
              <w:t>岳阳县人民医院</w:t>
            </w:r>
          </w:p>
          <w:p w14:paraId="2783C22C">
            <w:pPr>
              <w:adjustRightInd w:val="0"/>
              <w:snapToGrid w:val="0"/>
              <w:spacing w:line="240" w:lineRule="auto"/>
              <w:rPr>
                <w:rFonts w:hint="eastAsia" w:ascii="宋体" w:hAnsi="宋体" w:cs="宋体"/>
                <w:szCs w:val="21"/>
                <w:lang w:eastAsia="zh-CN"/>
              </w:rPr>
            </w:pPr>
            <w:r>
              <w:rPr>
                <w:rFonts w:hint="eastAsia" w:ascii="宋体" w:hAnsi="宋体" w:cs="宋体"/>
                <w:szCs w:val="21"/>
              </w:rPr>
              <w:t>地  址：</w:t>
            </w:r>
            <w:r>
              <w:rPr>
                <w:rFonts w:hint="eastAsia" w:ascii="宋体" w:hAnsi="宋体" w:cs="宋体"/>
                <w:szCs w:val="21"/>
                <w:lang w:eastAsia="zh-CN"/>
              </w:rPr>
              <w:t>岳阳县城关镇天鹅路65号</w:t>
            </w:r>
          </w:p>
          <w:p w14:paraId="430BF913">
            <w:pPr>
              <w:adjustRightInd w:val="0"/>
              <w:snapToGrid w:val="0"/>
              <w:spacing w:line="240" w:lineRule="auto"/>
              <w:rPr>
                <w:rFonts w:hint="eastAsia" w:ascii="宋体" w:hAnsi="宋体" w:cs="宋体"/>
                <w:szCs w:val="21"/>
                <w:lang w:eastAsia="zh-CN"/>
              </w:rPr>
            </w:pPr>
            <w:r>
              <w:rPr>
                <w:rFonts w:hint="eastAsia" w:ascii="宋体" w:hAnsi="宋体" w:cs="宋体"/>
                <w:szCs w:val="21"/>
                <w:lang w:eastAsia="zh-CN"/>
              </w:rPr>
              <w:t>联系人：姜先生</w:t>
            </w:r>
          </w:p>
          <w:p w14:paraId="070C7B95">
            <w:pPr>
              <w:adjustRightInd w:val="0"/>
              <w:snapToGrid w:val="0"/>
              <w:spacing w:line="240" w:lineRule="auto"/>
              <w:rPr>
                <w:rFonts w:hint="eastAsia" w:ascii="宋体" w:hAnsi="宋体" w:eastAsia="宋体" w:cs="宋体"/>
                <w:szCs w:val="21"/>
                <w:lang w:eastAsia="zh-CN"/>
              </w:rPr>
            </w:pPr>
            <w:r>
              <w:rPr>
                <w:rFonts w:hint="eastAsia" w:ascii="宋体" w:hAnsi="宋体" w:cs="宋体"/>
                <w:szCs w:val="21"/>
                <w:lang w:eastAsia="zh-CN"/>
              </w:rPr>
              <w:t>电  话：13874018191</w:t>
            </w:r>
          </w:p>
        </w:tc>
      </w:tr>
      <w:tr w14:paraId="7C440C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ign w:val="center"/>
          </w:tcPr>
          <w:p w14:paraId="56304CBF">
            <w:pPr>
              <w:adjustRightInd w:val="0"/>
              <w:snapToGrid w:val="0"/>
              <w:spacing w:line="240" w:lineRule="auto"/>
              <w:jc w:val="center"/>
              <w:rPr>
                <w:rFonts w:ascii="宋体" w:hAnsi="宋体" w:cs="宋体"/>
                <w:szCs w:val="21"/>
              </w:rPr>
            </w:pPr>
            <w:r>
              <w:rPr>
                <w:rFonts w:hint="eastAsia" w:ascii="宋体" w:hAnsi="宋体" w:cs="宋体"/>
                <w:szCs w:val="21"/>
              </w:rPr>
              <w:t>第2.2</w:t>
            </w:r>
            <w:r>
              <w:rPr>
                <w:rFonts w:hint="eastAsia" w:ascii="宋体" w:hAnsi="宋体" w:cs="宋体"/>
                <w:kern w:val="0"/>
                <w:szCs w:val="21"/>
                <w:lang w:val="zh-CN"/>
              </w:rPr>
              <w:t>款</w:t>
            </w:r>
          </w:p>
        </w:tc>
        <w:tc>
          <w:tcPr>
            <w:tcW w:w="2080" w:type="dxa"/>
            <w:noWrap/>
            <w:vAlign w:val="center"/>
          </w:tcPr>
          <w:p w14:paraId="55618CFC">
            <w:pPr>
              <w:adjustRightInd w:val="0"/>
              <w:snapToGrid w:val="0"/>
              <w:spacing w:line="240" w:lineRule="auto"/>
              <w:jc w:val="center"/>
              <w:rPr>
                <w:rFonts w:ascii="宋体" w:hAnsi="宋体" w:cs="宋体"/>
                <w:szCs w:val="21"/>
              </w:rPr>
            </w:pPr>
            <w:r>
              <w:rPr>
                <w:rFonts w:hint="eastAsia" w:ascii="宋体" w:hAnsi="宋体" w:cs="宋体"/>
                <w:szCs w:val="21"/>
              </w:rPr>
              <w:t>采购代理机构</w:t>
            </w:r>
          </w:p>
        </w:tc>
        <w:tc>
          <w:tcPr>
            <w:tcW w:w="6533" w:type="dxa"/>
            <w:noWrap/>
            <w:vAlign w:val="center"/>
          </w:tcPr>
          <w:p w14:paraId="75928943">
            <w:pPr>
              <w:adjustRightInd w:val="0"/>
              <w:snapToGrid w:val="0"/>
              <w:spacing w:line="240" w:lineRule="auto"/>
              <w:rPr>
                <w:rFonts w:ascii="宋体" w:hAnsi="宋体" w:cs="宋体"/>
                <w:szCs w:val="21"/>
              </w:rPr>
            </w:pPr>
            <w:r>
              <w:rPr>
                <w:rFonts w:hint="eastAsia" w:ascii="宋体" w:hAnsi="宋体" w:cs="宋体"/>
                <w:szCs w:val="21"/>
              </w:rPr>
              <w:t>名  称：湖南晟美达工程管理咨询有限公司</w:t>
            </w:r>
          </w:p>
          <w:p w14:paraId="57FB07E0">
            <w:pPr>
              <w:adjustRightInd w:val="0"/>
              <w:snapToGrid w:val="0"/>
              <w:spacing w:line="240" w:lineRule="auto"/>
              <w:rPr>
                <w:rFonts w:ascii="宋体" w:hAnsi="宋体" w:cs="宋体"/>
                <w:color w:val="0000FF"/>
                <w:szCs w:val="21"/>
              </w:rPr>
            </w:pPr>
            <w:r>
              <w:rPr>
                <w:rFonts w:hint="eastAsia" w:ascii="宋体" w:hAnsi="宋体" w:cs="宋体"/>
                <w:szCs w:val="21"/>
              </w:rPr>
              <w:t>地  址：湖南省岳阳市岳阳楼区金鹗山街道万家坡社区原恒立公司办公楼三楼</w:t>
            </w:r>
          </w:p>
          <w:p w14:paraId="4589B931">
            <w:pPr>
              <w:adjustRightInd w:val="0"/>
              <w:snapToGrid w:val="0"/>
              <w:spacing w:line="240" w:lineRule="auto"/>
              <w:rPr>
                <w:rFonts w:ascii="宋体" w:hAnsi="宋体" w:cs="宋体"/>
                <w:szCs w:val="21"/>
              </w:rPr>
            </w:pPr>
            <w:r>
              <w:rPr>
                <w:rFonts w:hint="eastAsia" w:ascii="宋体" w:hAnsi="宋体" w:cs="宋体"/>
                <w:szCs w:val="21"/>
              </w:rPr>
              <w:t>联系人：</w:t>
            </w:r>
            <w:r>
              <w:rPr>
                <w:rFonts w:hint="eastAsia"/>
              </w:rPr>
              <w:t>陈先生</w:t>
            </w:r>
          </w:p>
          <w:p w14:paraId="4BC54A63">
            <w:pPr>
              <w:adjustRightInd w:val="0"/>
              <w:snapToGrid w:val="0"/>
              <w:spacing w:line="240" w:lineRule="auto"/>
              <w:rPr>
                <w:rFonts w:ascii="宋体" w:hAnsi="宋体" w:cs="宋体"/>
                <w:szCs w:val="21"/>
              </w:rPr>
            </w:pPr>
            <w:r>
              <w:rPr>
                <w:rFonts w:hint="eastAsia" w:ascii="宋体" w:hAnsi="宋体" w:cs="宋体"/>
                <w:szCs w:val="21"/>
              </w:rPr>
              <w:t>联系电话：</w:t>
            </w:r>
            <w:r>
              <w:t>0730-8908399</w:t>
            </w:r>
          </w:p>
        </w:tc>
      </w:tr>
      <w:tr w14:paraId="46CBF1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ign w:val="center"/>
          </w:tcPr>
          <w:p w14:paraId="2939E76F">
            <w:pPr>
              <w:adjustRightInd w:val="0"/>
              <w:snapToGrid w:val="0"/>
              <w:spacing w:line="240" w:lineRule="auto"/>
              <w:jc w:val="center"/>
              <w:rPr>
                <w:rFonts w:ascii="宋体" w:hAnsi="宋体" w:cs="宋体"/>
                <w:szCs w:val="21"/>
              </w:rPr>
            </w:pPr>
            <w:r>
              <w:rPr>
                <w:rFonts w:hint="eastAsia" w:ascii="宋体" w:hAnsi="宋体" w:cs="宋体"/>
                <w:szCs w:val="21"/>
              </w:rPr>
              <w:t>第2.6款</w:t>
            </w:r>
          </w:p>
        </w:tc>
        <w:tc>
          <w:tcPr>
            <w:tcW w:w="2080" w:type="dxa"/>
            <w:noWrap/>
            <w:vAlign w:val="center"/>
          </w:tcPr>
          <w:p w14:paraId="4201C98E">
            <w:pPr>
              <w:adjustRightInd w:val="0"/>
              <w:snapToGrid w:val="0"/>
              <w:spacing w:line="240" w:lineRule="auto"/>
              <w:jc w:val="center"/>
              <w:rPr>
                <w:rFonts w:ascii="宋体" w:hAnsi="宋体" w:cs="宋体"/>
                <w:bCs/>
                <w:szCs w:val="21"/>
              </w:rPr>
            </w:pPr>
            <w:r>
              <w:rPr>
                <w:rFonts w:hint="eastAsia" w:ascii="宋体" w:hAnsi="宋体" w:cs="宋体"/>
                <w:bCs/>
                <w:szCs w:val="21"/>
              </w:rPr>
              <w:t>采购进口产品</w:t>
            </w:r>
          </w:p>
        </w:tc>
        <w:tc>
          <w:tcPr>
            <w:tcW w:w="6533" w:type="dxa"/>
            <w:noWrap/>
            <w:vAlign w:val="center"/>
          </w:tcPr>
          <w:p w14:paraId="7DAE5117">
            <w:pPr>
              <w:adjustRightInd w:val="0"/>
              <w:snapToGrid w:val="0"/>
              <w:spacing w:line="240" w:lineRule="auto"/>
              <w:rPr>
                <w:rFonts w:ascii="宋体" w:hAnsi="宋体" w:cs="宋体"/>
                <w:szCs w:val="21"/>
              </w:rPr>
            </w:pPr>
            <w:r>
              <w:rPr>
                <w:rFonts w:hint="eastAsia" w:ascii="宋体" w:hAnsi="宋体" w:cs="宋体"/>
                <w:szCs w:val="21"/>
              </w:rPr>
              <w:t>■ 本采购项目拒绝</w:t>
            </w:r>
            <w:r>
              <w:rPr>
                <w:rFonts w:hint="eastAsia" w:ascii="宋体" w:hAnsi="宋体" w:cs="宋体"/>
                <w:kern w:val="0"/>
                <w:szCs w:val="21"/>
              </w:rPr>
              <w:t>进口产品参加投标</w:t>
            </w:r>
          </w:p>
          <w:p w14:paraId="3D9BA1F9">
            <w:pPr>
              <w:adjustRightInd w:val="0"/>
              <w:snapToGrid w:val="0"/>
              <w:spacing w:line="240" w:lineRule="auto"/>
              <w:rPr>
                <w:rFonts w:ascii="宋体" w:hAnsi="宋体" w:cs="宋体"/>
                <w:szCs w:val="21"/>
              </w:rPr>
            </w:pPr>
            <w:r>
              <w:rPr>
                <w:rFonts w:hint="eastAsia" w:ascii="宋体" w:hAnsi="宋体" w:cs="宋体"/>
                <w:szCs w:val="21"/>
              </w:rPr>
              <w:t>□ 本采购项目已经</w:t>
            </w:r>
            <w:r>
              <w:rPr>
                <w:rFonts w:hint="eastAsia" w:ascii="宋体" w:hAnsi="宋体" w:cs="宋体"/>
                <w:kern w:val="0"/>
                <w:szCs w:val="21"/>
              </w:rPr>
              <w:t>财政部门审核同意购买进口产品</w:t>
            </w:r>
          </w:p>
        </w:tc>
      </w:tr>
      <w:tr w14:paraId="6659C6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ign w:val="center"/>
          </w:tcPr>
          <w:p w14:paraId="1D495A91">
            <w:pPr>
              <w:adjustRightInd w:val="0"/>
              <w:snapToGrid w:val="0"/>
              <w:spacing w:line="240" w:lineRule="auto"/>
              <w:jc w:val="center"/>
              <w:rPr>
                <w:rFonts w:ascii="宋体" w:hAnsi="宋体" w:cs="宋体"/>
                <w:szCs w:val="21"/>
              </w:rPr>
            </w:pPr>
            <w:r>
              <w:rPr>
                <w:rFonts w:hint="eastAsia" w:ascii="宋体" w:hAnsi="宋体" w:cs="宋体"/>
                <w:szCs w:val="21"/>
              </w:rPr>
              <w:t>第3.1</w:t>
            </w:r>
            <w:r>
              <w:rPr>
                <w:rFonts w:hint="eastAsia" w:ascii="宋体" w:hAnsi="宋体" w:cs="宋体"/>
                <w:kern w:val="0"/>
                <w:szCs w:val="21"/>
                <w:lang w:val="zh-CN"/>
              </w:rPr>
              <w:t>款</w:t>
            </w:r>
          </w:p>
        </w:tc>
        <w:tc>
          <w:tcPr>
            <w:tcW w:w="2080" w:type="dxa"/>
            <w:noWrap/>
            <w:vAlign w:val="center"/>
          </w:tcPr>
          <w:p w14:paraId="62D9EDAA">
            <w:pPr>
              <w:adjustRightInd w:val="0"/>
              <w:snapToGrid w:val="0"/>
              <w:spacing w:line="240" w:lineRule="auto"/>
              <w:jc w:val="center"/>
              <w:rPr>
                <w:rFonts w:ascii="宋体" w:hAnsi="宋体" w:cs="宋体"/>
                <w:szCs w:val="21"/>
              </w:rPr>
            </w:pPr>
            <w:r>
              <w:rPr>
                <w:rFonts w:hint="eastAsia" w:ascii="宋体" w:hAnsi="宋体" w:cs="宋体"/>
                <w:bCs/>
                <w:szCs w:val="21"/>
              </w:rPr>
              <w:t>投标人</w:t>
            </w:r>
            <w:r>
              <w:rPr>
                <w:rFonts w:hint="eastAsia" w:ascii="宋体" w:hAnsi="宋体" w:cs="宋体"/>
                <w:szCs w:val="21"/>
              </w:rPr>
              <w:t>资格条件</w:t>
            </w:r>
          </w:p>
        </w:tc>
        <w:tc>
          <w:tcPr>
            <w:tcW w:w="6533" w:type="dxa"/>
            <w:noWrap/>
            <w:vAlign w:val="center"/>
          </w:tcPr>
          <w:p w14:paraId="788A1059">
            <w:pPr>
              <w:adjustRightInd w:val="0"/>
              <w:snapToGrid w:val="0"/>
              <w:spacing w:line="240" w:lineRule="auto"/>
              <w:rPr>
                <w:rFonts w:ascii="宋体" w:hAnsi="宋体" w:cs="宋体"/>
              </w:rPr>
            </w:pPr>
            <w:r>
              <w:rPr>
                <w:rFonts w:hint="eastAsia" w:ascii="宋体" w:hAnsi="宋体" w:cs="宋体"/>
              </w:rPr>
              <w:t>1、基本资格条件：投标人应提供资格审查资料：投标人应当符合《政府采购法》第二十二条第一款的规定，即：</w:t>
            </w:r>
          </w:p>
          <w:p w14:paraId="7C9BEA20">
            <w:pPr>
              <w:adjustRightInd w:val="0"/>
              <w:snapToGrid w:val="0"/>
              <w:spacing w:line="240" w:lineRule="auto"/>
              <w:rPr>
                <w:rFonts w:ascii="宋体" w:hAnsi="宋体" w:cs="宋体"/>
              </w:rPr>
            </w:pPr>
            <w:r>
              <w:rPr>
                <w:rFonts w:hint="eastAsia" w:ascii="宋体" w:hAnsi="宋体" w:cs="宋体"/>
              </w:rPr>
              <w:t>（1）具有独立承担民事责任的能力；</w:t>
            </w:r>
          </w:p>
          <w:p w14:paraId="00BAAC72">
            <w:pPr>
              <w:adjustRightInd w:val="0"/>
              <w:snapToGrid w:val="0"/>
              <w:spacing w:line="240" w:lineRule="auto"/>
              <w:rPr>
                <w:rFonts w:ascii="宋体" w:hAnsi="宋体" w:cs="宋体"/>
              </w:rPr>
            </w:pPr>
            <w:r>
              <w:rPr>
                <w:rFonts w:hint="eastAsia" w:ascii="宋体" w:hAnsi="宋体" w:cs="宋体"/>
              </w:rPr>
              <w:t>（2）具有良好的商业信誉和健全的财务会计制度；</w:t>
            </w:r>
          </w:p>
          <w:p w14:paraId="620094EF">
            <w:pPr>
              <w:adjustRightInd w:val="0"/>
              <w:snapToGrid w:val="0"/>
              <w:spacing w:line="240" w:lineRule="auto"/>
              <w:rPr>
                <w:rFonts w:ascii="宋体" w:hAnsi="宋体" w:cs="宋体"/>
              </w:rPr>
            </w:pPr>
            <w:r>
              <w:rPr>
                <w:rFonts w:hint="eastAsia" w:ascii="宋体" w:hAnsi="宋体" w:cs="宋体"/>
              </w:rPr>
              <w:t>（3）具有履行合同所必需的设备和专业技术能力；</w:t>
            </w:r>
          </w:p>
          <w:p w14:paraId="020ACB4E">
            <w:pPr>
              <w:adjustRightInd w:val="0"/>
              <w:snapToGrid w:val="0"/>
              <w:spacing w:line="240" w:lineRule="auto"/>
              <w:rPr>
                <w:rFonts w:ascii="宋体" w:hAnsi="宋体" w:cs="宋体"/>
              </w:rPr>
            </w:pPr>
            <w:r>
              <w:rPr>
                <w:rFonts w:hint="eastAsia" w:ascii="宋体" w:hAnsi="宋体" w:cs="宋体"/>
              </w:rPr>
              <w:t>（4）有依法缴纳税收和社会保障资金的良好记录；</w:t>
            </w:r>
          </w:p>
          <w:p w14:paraId="1DC4C4DB">
            <w:pPr>
              <w:adjustRightInd w:val="0"/>
              <w:snapToGrid w:val="0"/>
              <w:spacing w:line="240" w:lineRule="auto"/>
              <w:rPr>
                <w:rFonts w:ascii="宋体" w:hAnsi="宋体" w:cs="宋体"/>
              </w:rPr>
            </w:pPr>
            <w:r>
              <w:rPr>
                <w:rFonts w:hint="eastAsia" w:ascii="宋体" w:hAnsi="宋体" w:cs="宋体"/>
              </w:rPr>
              <w:t>（5）参加政府采购活动前三年内，在经营活动中没有重大违法记录；</w:t>
            </w:r>
          </w:p>
          <w:p w14:paraId="16C31251">
            <w:pPr>
              <w:adjustRightInd w:val="0"/>
              <w:snapToGrid w:val="0"/>
              <w:spacing w:line="240" w:lineRule="auto"/>
              <w:rPr>
                <w:rFonts w:ascii="宋体" w:hAnsi="宋体" w:cs="宋体"/>
              </w:rPr>
            </w:pPr>
            <w:r>
              <w:rPr>
                <w:rFonts w:hint="eastAsia" w:ascii="宋体" w:hAnsi="宋体" w:cs="宋体"/>
              </w:rPr>
              <w:t>（6）法律、行政法规规定的其他条件。</w:t>
            </w:r>
          </w:p>
          <w:p w14:paraId="5BD6CE58">
            <w:pPr>
              <w:adjustRightInd w:val="0"/>
              <w:snapToGrid w:val="0"/>
              <w:spacing w:line="240" w:lineRule="auto"/>
              <w:rPr>
                <w:rFonts w:ascii="宋体" w:hAnsi="宋体" w:cs="宋体"/>
              </w:rPr>
            </w:pPr>
            <w:r>
              <w:rPr>
                <w:rFonts w:hint="eastAsia" w:ascii="宋体" w:hAnsi="宋体" w:cs="宋体"/>
              </w:rPr>
              <w:t>2、特定资格条件：</w:t>
            </w:r>
          </w:p>
          <w:p w14:paraId="128B3F17">
            <w:pPr>
              <w:keepNext w:val="0"/>
              <w:keepLines w:val="0"/>
              <w:pageBreakBefore w:val="0"/>
              <w:kinsoku/>
              <w:wordWrap/>
              <w:overflowPunct/>
              <w:topLinePunct w:val="0"/>
              <w:bidi w:val="0"/>
              <w:spacing w:line="480" w:lineRule="exact"/>
              <w:ind w:firstLine="420" w:firstLineChars="200"/>
              <w:textAlignment w:val="auto"/>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rPr>
              <w:t>具有相关行政主管部门颁发的《中华人民共和国特种设备生产许可证》</w:t>
            </w:r>
            <w:r>
              <w:rPr>
                <w:rFonts w:hint="eastAsia" w:ascii="宋体" w:hAnsi="宋体" w:eastAsia="宋体" w:cs="宋体"/>
                <w:color w:val="auto"/>
                <w:spacing w:val="0"/>
                <w:position w:val="0"/>
                <w:sz w:val="21"/>
                <w:szCs w:val="21"/>
                <w:lang w:eastAsia="zh-CN"/>
              </w:rPr>
              <w:t>【</w:t>
            </w:r>
            <w:r>
              <w:rPr>
                <w:rFonts w:hint="eastAsia" w:ascii="宋体" w:hAnsi="宋体" w:eastAsia="宋体" w:cs="宋体"/>
                <w:color w:val="auto"/>
                <w:spacing w:val="0"/>
                <w:position w:val="0"/>
                <w:sz w:val="21"/>
                <w:szCs w:val="21"/>
              </w:rPr>
              <w:t>电梯制造（含安装、</w:t>
            </w:r>
            <w:r>
              <w:rPr>
                <w:rFonts w:hint="eastAsia" w:ascii="宋体" w:hAnsi="宋体" w:eastAsia="宋体" w:cs="宋体"/>
                <w:color w:val="auto"/>
                <w:spacing w:val="0"/>
                <w:position w:val="0"/>
                <w:sz w:val="21"/>
                <w:szCs w:val="21"/>
                <w:lang w:val="en-US" w:eastAsia="zh-CN"/>
              </w:rPr>
              <w:t>修理</w:t>
            </w:r>
            <w:r>
              <w:rPr>
                <w:rFonts w:hint="eastAsia" w:ascii="宋体" w:hAnsi="宋体" w:eastAsia="宋体" w:cs="宋体"/>
                <w:color w:val="auto"/>
                <w:spacing w:val="0"/>
                <w:position w:val="0"/>
                <w:sz w:val="21"/>
                <w:szCs w:val="21"/>
              </w:rPr>
              <w:t>）</w:t>
            </w:r>
            <w:r>
              <w:rPr>
                <w:rFonts w:hint="eastAsia" w:ascii="宋体" w:hAnsi="宋体" w:eastAsia="宋体" w:cs="宋体"/>
                <w:color w:val="auto"/>
                <w:spacing w:val="0"/>
                <w:position w:val="0"/>
                <w:sz w:val="21"/>
                <w:szCs w:val="21"/>
                <w:lang w:eastAsia="zh-CN"/>
              </w:rPr>
              <w:t>】</w:t>
            </w:r>
            <w:r>
              <w:rPr>
                <w:rFonts w:hint="eastAsia" w:ascii="宋体" w:hAnsi="宋体" w:eastAsia="宋体" w:cs="宋体"/>
                <w:color w:val="auto"/>
                <w:spacing w:val="0"/>
                <w:position w:val="0"/>
                <w:sz w:val="21"/>
                <w:szCs w:val="21"/>
              </w:rPr>
              <w:t>曳引驱动乘客电梯资质，证书须处于有效期内。</w:t>
            </w:r>
          </w:p>
          <w:p w14:paraId="6B3CCE28">
            <w:pPr>
              <w:keepNext w:val="0"/>
              <w:keepLines w:val="0"/>
              <w:pageBreakBefore w:val="0"/>
              <w:kinsoku/>
              <w:wordWrap/>
              <w:overflowPunct/>
              <w:topLinePunct w:val="0"/>
              <w:bidi w:val="0"/>
              <w:spacing w:line="480" w:lineRule="exact"/>
              <w:ind w:firstLine="420" w:firstLineChars="200"/>
              <w:textAlignment w:val="auto"/>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lang w:val="en-US" w:eastAsia="zh-CN"/>
              </w:rPr>
              <w:t>3</w:t>
            </w:r>
            <w:r>
              <w:rPr>
                <w:rFonts w:hint="eastAsia" w:ascii="宋体" w:hAnsi="宋体" w:eastAsia="宋体" w:cs="宋体"/>
                <w:color w:val="auto"/>
                <w:spacing w:val="0"/>
                <w:position w:val="0"/>
                <w:sz w:val="21"/>
                <w:szCs w:val="21"/>
              </w:rPr>
              <w:t>.2如投标人为电梯代理商则须满足如下条件（需提供证书复印件加盖公章）：</w:t>
            </w:r>
          </w:p>
          <w:p w14:paraId="157863DE">
            <w:pPr>
              <w:keepNext w:val="0"/>
              <w:keepLines w:val="0"/>
              <w:pageBreakBefore w:val="0"/>
              <w:kinsoku/>
              <w:wordWrap/>
              <w:overflowPunct/>
              <w:topLinePunct w:val="0"/>
              <w:bidi w:val="0"/>
              <w:spacing w:line="480" w:lineRule="exact"/>
              <w:ind w:firstLine="420" w:firstLineChars="200"/>
              <w:textAlignment w:val="auto"/>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lang w:val="en-US" w:eastAsia="zh-CN"/>
              </w:rPr>
              <w:t>3</w:t>
            </w:r>
            <w:r>
              <w:rPr>
                <w:rFonts w:hint="eastAsia" w:ascii="宋体" w:hAnsi="宋体" w:eastAsia="宋体" w:cs="宋体"/>
                <w:color w:val="auto"/>
                <w:spacing w:val="0"/>
                <w:position w:val="0"/>
                <w:sz w:val="21"/>
                <w:szCs w:val="21"/>
              </w:rPr>
              <w:t>.2.1 提供电梯制造商的《中华人民共和国特种设备生产许可证》</w:t>
            </w:r>
            <w:r>
              <w:rPr>
                <w:rFonts w:hint="eastAsia" w:ascii="宋体" w:hAnsi="宋体" w:eastAsia="宋体" w:cs="宋体"/>
                <w:color w:val="auto"/>
                <w:spacing w:val="0"/>
                <w:position w:val="0"/>
                <w:sz w:val="21"/>
                <w:szCs w:val="21"/>
                <w:lang w:eastAsia="zh-CN"/>
              </w:rPr>
              <w:t>【</w:t>
            </w:r>
            <w:r>
              <w:rPr>
                <w:rFonts w:hint="eastAsia" w:ascii="宋体" w:hAnsi="宋体" w:eastAsia="宋体" w:cs="宋体"/>
                <w:color w:val="auto"/>
                <w:spacing w:val="0"/>
                <w:position w:val="0"/>
                <w:sz w:val="21"/>
                <w:szCs w:val="21"/>
              </w:rPr>
              <w:t>电梯制造（含安装、</w:t>
            </w:r>
            <w:r>
              <w:rPr>
                <w:rFonts w:hint="eastAsia" w:ascii="宋体" w:hAnsi="宋体" w:eastAsia="宋体" w:cs="宋体"/>
                <w:color w:val="auto"/>
                <w:spacing w:val="0"/>
                <w:position w:val="0"/>
                <w:sz w:val="21"/>
                <w:szCs w:val="21"/>
                <w:lang w:val="en-US" w:eastAsia="zh-CN"/>
              </w:rPr>
              <w:t>修理</w:t>
            </w:r>
            <w:r>
              <w:rPr>
                <w:rFonts w:hint="eastAsia" w:ascii="宋体" w:hAnsi="宋体" w:eastAsia="宋体" w:cs="宋体"/>
                <w:color w:val="auto"/>
                <w:spacing w:val="0"/>
                <w:position w:val="0"/>
                <w:sz w:val="21"/>
                <w:szCs w:val="21"/>
                <w:lang w:eastAsia="zh-CN"/>
              </w:rPr>
              <w:t>】</w:t>
            </w:r>
            <w:r>
              <w:rPr>
                <w:rFonts w:hint="eastAsia" w:ascii="宋体" w:hAnsi="宋体" w:eastAsia="宋体" w:cs="宋体"/>
                <w:color w:val="auto"/>
                <w:spacing w:val="0"/>
                <w:position w:val="0"/>
                <w:sz w:val="21"/>
                <w:szCs w:val="21"/>
              </w:rPr>
              <w:t>曳引驱动乘客电梯资质，证书须处于有效期内。</w:t>
            </w:r>
          </w:p>
          <w:p w14:paraId="0ADA7572">
            <w:pPr>
              <w:keepNext w:val="0"/>
              <w:keepLines w:val="0"/>
              <w:pageBreakBefore w:val="0"/>
              <w:kinsoku/>
              <w:wordWrap/>
              <w:overflowPunct/>
              <w:topLinePunct w:val="0"/>
              <w:bidi w:val="0"/>
              <w:spacing w:line="480" w:lineRule="exact"/>
              <w:ind w:firstLine="420" w:firstLineChars="200"/>
              <w:textAlignment w:val="auto"/>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lang w:val="en-US" w:eastAsia="zh-CN"/>
              </w:rPr>
              <w:t>3</w:t>
            </w:r>
            <w:r>
              <w:rPr>
                <w:rFonts w:hint="eastAsia" w:ascii="宋体" w:hAnsi="宋体" w:eastAsia="宋体" w:cs="宋体"/>
                <w:color w:val="auto"/>
                <w:spacing w:val="0"/>
                <w:position w:val="0"/>
                <w:sz w:val="21"/>
                <w:szCs w:val="21"/>
              </w:rPr>
              <w:t>.2.2 提供投标人的相关行政主管部门颁发的《中华人民共和国特种设备生产许可证》</w:t>
            </w:r>
            <w:r>
              <w:rPr>
                <w:rFonts w:hint="eastAsia" w:ascii="宋体" w:hAnsi="宋体" w:eastAsia="宋体" w:cs="宋体"/>
                <w:color w:val="auto"/>
                <w:spacing w:val="0"/>
                <w:position w:val="0"/>
                <w:sz w:val="21"/>
                <w:szCs w:val="21"/>
                <w:lang w:eastAsia="zh-CN"/>
              </w:rPr>
              <w:t>【</w:t>
            </w:r>
            <w:r>
              <w:rPr>
                <w:rFonts w:hint="eastAsia" w:ascii="宋体" w:hAnsi="宋体" w:eastAsia="宋体" w:cs="宋体"/>
                <w:color w:val="auto"/>
                <w:spacing w:val="0"/>
                <w:position w:val="0"/>
                <w:sz w:val="21"/>
                <w:szCs w:val="21"/>
              </w:rPr>
              <w:t>电梯安装（含</w:t>
            </w:r>
            <w:r>
              <w:rPr>
                <w:rFonts w:hint="eastAsia" w:ascii="宋体" w:hAnsi="宋体" w:eastAsia="宋体" w:cs="宋体"/>
                <w:color w:val="auto"/>
                <w:spacing w:val="0"/>
                <w:position w:val="0"/>
                <w:sz w:val="21"/>
                <w:szCs w:val="21"/>
                <w:lang w:val="en-US" w:eastAsia="zh-CN"/>
              </w:rPr>
              <w:t>修理</w:t>
            </w:r>
            <w:r>
              <w:rPr>
                <w:rFonts w:hint="eastAsia" w:ascii="宋体" w:hAnsi="宋体" w:eastAsia="宋体" w:cs="宋体"/>
                <w:color w:val="auto"/>
                <w:spacing w:val="0"/>
                <w:position w:val="0"/>
                <w:sz w:val="21"/>
                <w:szCs w:val="21"/>
              </w:rPr>
              <w:t>）</w:t>
            </w:r>
            <w:r>
              <w:rPr>
                <w:rFonts w:hint="eastAsia" w:ascii="宋体" w:hAnsi="宋体" w:eastAsia="宋体" w:cs="宋体"/>
                <w:color w:val="auto"/>
                <w:spacing w:val="0"/>
                <w:position w:val="0"/>
                <w:sz w:val="21"/>
                <w:szCs w:val="21"/>
                <w:lang w:eastAsia="zh-CN"/>
              </w:rPr>
              <w:t>】</w:t>
            </w:r>
            <w:r>
              <w:rPr>
                <w:rFonts w:hint="eastAsia" w:ascii="宋体" w:hAnsi="宋体" w:eastAsia="宋体" w:cs="宋体"/>
                <w:color w:val="auto"/>
                <w:spacing w:val="0"/>
                <w:position w:val="0"/>
                <w:sz w:val="21"/>
                <w:szCs w:val="21"/>
              </w:rPr>
              <w:t>曳引驱动乘客电梯资质，证书须处于有效期内。</w:t>
            </w:r>
          </w:p>
          <w:p w14:paraId="7D04742E">
            <w:pPr>
              <w:adjustRightInd w:val="0"/>
              <w:snapToGrid w:val="0"/>
              <w:spacing w:line="240" w:lineRule="auto"/>
              <w:ind w:firstLine="420" w:firstLineChars="200"/>
              <w:rPr>
                <w:rFonts w:hint="eastAsia" w:ascii="宋体" w:hAnsi="宋体" w:eastAsia="宋体" w:cs="宋体"/>
                <w:color w:val="auto"/>
                <w:spacing w:val="0"/>
                <w:position w:val="0"/>
                <w:sz w:val="21"/>
                <w:szCs w:val="21"/>
              </w:rPr>
            </w:pPr>
            <w:r>
              <w:rPr>
                <w:rFonts w:hint="eastAsia" w:ascii="宋体" w:hAnsi="宋体" w:cs="宋体"/>
                <w:color w:val="auto"/>
                <w:spacing w:val="0"/>
                <w:position w:val="0"/>
                <w:sz w:val="21"/>
                <w:szCs w:val="21"/>
                <w:lang w:val="en-US" w:eastAsia="zh-CN"/>
              </w:rPr>
              <w:t>满足上述要求</w:t>
            </w:r>
            <w:r>
              <w:rPr>
                <w:rFonts w:hint="eastAsia" w:ascii="宋体" w:hAnsi="宋体" w:eastAsia="宋体" w:cs="宋体"/>
                <w:color w:val="auto"/>
                <w:spacing w:val="0"/>
                <w:position w:val="0"/>
                <w:sz w:val="21"/>
                <w:szCs w:val="21"/>
              </w:rPr>
              <w:t>需同时提供①证书复印件（加盖投标人公章）；②“全国特种设备公示信息查询平台” 该证书的查询截图（截图需包含查询网址、证书状态及许可项目）。</w:t>
            </w:r>
          </w:p>
          <w:p w14:paraId="2C813149">
            <w:pPr>
              <w:adjustRightInd w:val="0"/>
              <w:snapToGrid w:val="0"/>
              <w:spacing w:line="240" w:lineRule="auto"/>
              <w:ind w:firstLine="420" w:firstLineChars="200"/>
              <w:rPr>
                <w:rFonts w:hint="eastAsia" w:ascii="宋体" w:hAnsi="宋体"/>
                <w:szCs w:val="21"/>
              </w:rPr>
            </w:pPr>
            <w:r>
              <w:rPr>
                <w:rFonts w:hint="eastAsia" w:ascii="宋体" w:hAnsi="宋体"/>
                <w:szCs w:val="21"/>
                <w:lang w:val="en-US" w:eastAsia="zh-CN"/>
              </w:rPr>
              <w:t>注:1.</w:t>
            </w:r>
            <w:r>
              <w:rPr>
                <w:rFonts w:hint="eastAsia" w:ascii="宋体" w:hAnsi="宋体"/>
                <w:szCs w:val="21"/>
              </w:rPr>
              <w:t>被“信用中国”网站（www.creditchina.gov.cn）或“湖南信用网”（https://credit.fgw.hunan.gov.cn/)列入失信被执行人和重大税收违法失信主体的、被“中国政府采购网”（www.ccgp.gov.cn）或“湖南政府采购网”（www.ccgp-hunan.gov.cn)网站列入政府采购严重违法失信行为记录名单（处罚期限尚未届满的），不得参与本项目的政府采购活动；提供投标截止日前一个月内以上网站查询记录的网上截图。</w:t>
            </w:r>
          </w:p>
          <w:p w14:paraId="49D8E77B">
            <w:pPr>
              <w:adjustRightInd w:val="0"/>
              <w:snapToGrid w:val="0"/>
              <w:spacing w:line="240" w:lineRule="auto"/>
              <w:ind w:firstLine="420" w:firstLineChars="200"/>
              <w:rPr>
                <w:rFonts w:ascii="宋体" w:hAnsi="宋体"/>
                <w:szCs w:val="21"/>
              </w:rPr>
            </w:pPr>
            <w:r>
              <w:rPr>
                <w:rFonts w:hint="eastAsia" w:ascii="宋体" w:hAnsi="宋体"/>
                <w:szCs w:val="21"/>
                <w:lang w:val="en-US" w:eastAsia="zh-CN"/>
              </w:rPr>
              <w:t>2.</w:t>
            </w:r>
            <w:r>
              <w:rPr>
                <w:rFonts w:hint="eastAsia" w:ascii="宋体" w:hAnsi="宋体"/>
                <w:szCs w:val="21"/>
              </w:rPr>
              <w:t>根据《湖南省财政厅湖南省工业和信息化厅关于运用政府采购促进中小企业发展有关事项的通知》（湘财购【2021】16号文）和《湖南省财政厅关于政府采购促进中小企业发展有关措施的通知》（湘财购【2022】17号文），符合法定条件的供应商凭《湖南省政府采购供应商资格承诺函》（格式详见（湘财购【2022】17号文））参与政府采购活动，也可通过在金融机构办理电子增信取得对应信用星级参与政府采购活动和电子卖场交易，无需提供财务状况、缴纳税收和社会保障资金等资格证明材料。经采购人或监管部门查实，提供虚假承诺的供应商将以虚假资料谋取中标（成交）的违法行为，被列入不良记录名单，采购人有权取消其中标资格。</w:t>
            </w:r>
          </w:p>
          <w:p w14:paraId="43DED041">
            <w:pPr>
              <w:adjustRightInd w:val="0"/>
              <w:snapToGrid w:val="0"/>
              <w:spacing w:line="240" w:lineRule="auto"/>
              <w:rPr>
                <w:rFonts w:ascii="宋体" w:hAnsi="宋体"/>
                <w:szCs w:val="21"/>
              </w:rPr>
            </w:pPr>
            <w:r>
              <w:rPr>
                <w:rFonts w:hint="eastAsia" w:ascii="宋体" w:hAnsi="宋体"/>
                <w:szCs w:val="21"/>
              </w:rPr>
              <w:t>3、单位负责人为同一人或者存在直接控股、管理关系的不同投标人，不得参加同一合同项下的政府采购活动。</w:t>
            </w:r>
          </w:p>
          <w:p w14:paraId="418EE5B9">
            <w:pPr>
              <w:adjustRightInd w:val="0"/>
              <w:snapToGrid w:val="0"/>
              <w:spacing w:line="240" w:lineRule="auto"/>
              <w:rPr>
                <w:rFonts w:ascii="宋体" w:hAnsi="宋体"/>
                <w:szCs w:val="21"/>
              </w:rPr>
            </w:pPr>
            <w:r>
              <w:rPr>
                <w:rFonts w:hint="eastAsia" w:ascii="宋体" w:hAnsi="宋体"/>
                <w:szCs w:val="21"/>
              </w:rPr>
              <w:t>4、为本采购项目提供整体设计、规范编制或者项目管理、监理、检测等服务的，不得再参加此项目的其他采购活动。</w:t>
            </w:r>
          </w:p>
          <w:p w14:paraId="335653DD">
            <w:pPr>
              <w:adjustRightInd w:val="0"/>
              <w:snapToGrid w:val="0"/>
              <w:spacing w:line="240" w:lineRule="auto"/>
              <w:rPr>
                <w:rFonts w:ascii="宋体" w:hAnsi="宋体"/>
                <w:szCs w:val="21"/>
              </w:rPr>
            </w:pPr>
            <w:r>
              <w:rPr>
                <w:rFonts w:hint="eastAsia" w:ascii="宋体" w:hAnsi="宋体"/>
                <w:szCs w:val="21"/>
              </w:rPr>
              <w:t>5、列入失信被执行人、重大税收违法失信主体名单、政府采购严重违法失信行为记录名单的，拒绝其参与政府采购活动。</w:t>
            </w:r>
          </w:p>
          <w:p w14:paraId="36BF2FA7">
            <w:pPr>
              <w:adjustRightInd w:val="0"/>
              <w:snapToGrid w:val="0"/>
              <w:spacing w:line="240" w:lineRule="auto"/>
              <w:rPr>
                <w:rFonts w:ascii="宋体" w:hAnsi="宋体" w:cs="宋体"/>
              </w:rPr>
            </w:pPr>
            <w:r>
              <w:rPr>
                <w:rFonts w:hint="eastAsia" w:ascii="宋体" w:hAnsi="宋体"/>
                <w:szCs w:val="21"/>
              </w:rPr>
              <w:t>6、联合体投标。本次招标</w:t>
            </w:r>
            <w:r>
              <w:rPr>
                <w:rFonts w:hint="eastAsia" w:ascii="宋体" w:hAnsi="宋体"/>
                <w:szCs w:val="21"/>
                <w:u w:val="single"/>
              </w:rPr>
              <w:t>不接受</w:t>
            </w:r>
            <w:r>
              <w:rPr>
                <w:rFonts w:hint="eastAsia" w:ascii="宋体" w:hAnsi="宋体"/>
                <w:szCs w:val="21"/>
              </w:rPr>
              <w:t>联合体投标。接受联合体投标的，联合体应当具备下列条件：</w:t>
            </w:r>
            <w:r>
              <w:rPr>
                <w:rFonts w:hint="eastAsia" w:ascii="宋体" w:hAnsi="宋体"/>
                <w:szCs w:val="21"/>
                <w:u w:val="single"/>
              </w:rPr>
              <w:t xml:space="preserve">  /  </w:t>
            </w:r>
            <w:r>
              <w:rPr>
                <w:rFonts w:hint="eastAsia" w:ascii="宋体" w:hAnsi="宋体"/>
                <w:szCs w:val="21"/>
              </w:rPr>
              <w:t>。</w:t>
            </w:r>
          </w:p>
        </w:tc>
      </w:tr>
      <w:tr w14:paraId="429893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ign w:val="center"/>
          </w:tcPr>
          <w:p w14:paraId="02BCC367">
            <w:pPr>
              <w:adjustRightInd w:val="0"/>
              <w:snapToGrid w:val="0"/>
              <w:spacing w:line="240" w:lineRule="auto"/>
              <w:jc w:val="center"/>
              <w:rPr>
                <w:rFonts w:ascii="宋体" w:hAnsi="宋体" w:cs="宋体"/>
                <w:szCs w:val="21"/>
              </w:rPr>
            </w:pPr>
            <w:r>
              <w:rPr>
                <w:rFonts w:hint="eastAsia" w:ascii="宋体" w:hAnsi="宋体" w:cs="宋体"/>
                <w:szCs w:val="21"/>
              </w:rPr>
              <w:t>第6.1</w:t>
            </w:r>
            <w:r>
              <w:rPr>
                <w:rFonts w:hint="eastAsia" w:ascii="宋体" w:hAnsi="宋体" w:cs="宋体"/>
                <w:kern w:val="0"/>
                <w:szCs w:val="21"/>
                <w:lang w:val="zh-CN"/>
              </w:rPr>
              <w:t>款</w:t>
            </w:r>
          </w:p>
        </w:tc>
        <w:tc>
          <w:tcPr>
            <w:tcW w:w="2080" w:type="dxa"/>
            <w:noWrap/>
            <w:vAlign w:val="center"/>
          </w:tcPr>
          <w:p w14:paraId="4656CF91">
            <w:pPr>
              <w:adjustRightInd w:val="0"/>
              <w:snapToGrid w:val="0"/>
              <w:spacing w:line="240" w:lineRule="auto"/>
              <w:jc w:val="center"/>
              <w:rPr>
                <w:rFonts w:ascii="宋体" w:hAnsi="宋体" w:cs="宋体"/>
                <w:szCs w:val="21"/>
              </w:rPr>
            </w:pPr>
            <w:r>
              <w:rPr>
                <w:rFonts w:hint="eastAsia" w:ascii="宋体" w:hAnsi="宋体" w:cs="宋体"/>
                <w:szCs w:val="21"/>
              </w:rPr>
              <w:t>组织现场考察或者召开答疑会</w:t>
            </w:r>
          </w:p>
        </w:tc>
        <w:tc>
          <w:tcPr>
            <w:tcW w:w="6533" w:type="dxa"/>
            <w:noWrap/>
            <w:vAlign w:val="center"/>
          </w:tcPr>
          <w:p w14:paraId="2314BC37">
            <w:pPr>
              <w:adjustRightInd w:val="0"/>
              <w:snapToGrid w:val="0"/>
              <w:spacing w:line="240" w:lineRule="auto"/>
              <w:rPr>
                <w:rFonts w:ascii="宋体" w:hAnsi="宋体" w:cs="宋体"/>
                <w:szCs w:val="21"/>
              </w:rPr>
            </w:pPr>
            <w:r>
              <w:rPr>
                <w:rFonts w:hint="eastAsia" w:ascii="宋体" w:hAnsi="宋体" w:cs="宋体"/>
                <w:szCs w:val="21"/>
              </w:rPr>
              <w:t>■ 不组织</w:t>
            </w:r>
          </w:p>
          <w:p w14:paraId="3E5F04A2">
            <w:pPr>
              <w:adjustRightInd w:val="0"/>
              <w:snapToGrid w:val="0"/>
              <w:spacing w:line="240" w:lineRule="auto"/>
              <w:rPr>
                <w:rFonts w:ascii="宋体" w:hAnsi="宋体" w:cs="宋体"/>
                <w:szCs w:val="21"/>
              </w:rPr>
            </w:pPr>
            <w:r>
              <w:rPr>
                <w:rFonts w:hint="eastAsia" w:ascii="宋体" w:hAnsi="宋体" w:cs="宋体"/>
                <w:szCs w:val="21"/>
              </w:rPr>
              <w:t>□ 组织，时间：</w:t>
            </w:r>
            <w:r>
              <w:rPr>
                <w:rFonts w:hint="eastAsia" w:ascii="宋体" w:hAnsi="宋体" w:cs="宋体"/>
                <w:szCs w:val="21"/>
                <w:u w:val="single"/>
              </w:rPr>
              <w:t xml:space="preserve">        </w:t>
            </w:r>
            <w:r>
              <w:rPr>
                <w:rFonts w:hint="eastAsia" w:ascii="宋体" w:hAnsi="宋体" w:cs="宋体"/>
                <w:szCs w:val="21"/>
              </w:rPr>
              <w:t>地点：</w:t>
            </w:r>
            <w:r>
              <w:rPr>
                <w:rFonts w:hint="eastAsia" w:ascii="宋体" w:hAnsi="宋体" w:cs="宋体"/>
                <w:szCs w:val="21"/>
                <w:u w:val="single"/>
              </w:rPr>
              <w:t xml:space="preserve">        </w:t>
            </w:r>
            <w:r>
              <w:rPr>
                <w:rFonts w:hint="eastAsia" w:ascii="宋体" w:hAnsi="宋体" w:cs="宋体"/>
                <w:szCs w:val="21"/>
              </w:rPr>
              <w:t xml:space="preserve"> 联系人：</w:t>
            </w:r>
            <w:r>
              <w:rPr>
                <w:rFonts w:hint="eastAsia" w:ascii="宋体" w:hAnsi="宋体" w:cs="宋体"/>
                <w:szCs w:val="21"/>
                <w:u w:val="single"/>
              </w:rPr>
              <w:t xml:space="preserve">        </w:t>
            </w:r>
            <w:r>
              <w:rPr>
                <w:rFonts w:hint="eastAsia" w:ascii="宋体" w:hAnsi="宋体" w:cs="宋体"/>
                <w:szCs w:val="21"/>
              </w:rPr>
              <w:t>，或者在招标文件提供期限截止后以书面形式通知所有获取招标文件的潜在投标人。</w:t>
            </w:r>
          </w:p>
        </w:tc>
      </w:tr>
      <w:tr w14:paraId="5BDA3D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ign w:val="center"/>
          </w:tcPr>
          <w:p w14:paraId="6E2DDE98">
            <w:pPr>
              <w:adjustRightInd w:val="0"/>
              <w:snapToGrid w:val="0"/>
              <w:spacing w:line="240" w:lineRule="auto"/>
              <w:jc w:val="center"/>
              <w:rPr>
                <w:rFonts w:ascii="宋体" w:hAnsi="宋体" w:cs="宋体"/>
                <w:szCs w:val="21"/>
              </w:rPr>
            </w:pPr>
            <w:r>
              <w:rPr>
                <w:rFonts w:hint="eastAsia" w:ascii="宋体" w:hAnsi="宋体" w:cs="宋体"/>
                <w:szCs w:val="21"/>
              </w:rPr>
              <w:t>第6.2</w:t>
            </w:r>
            <w:r>
              <w:rPr>
                <w:rFonts w:hint="eastAsia" w:ascii="宋体" w:hAnsi="宋体" w:cs="宋体"/>
                <w:kern w:val="0"/>
                <w:szCs w:val="21"/>
                <w:lang w:val="zh-CN"/>
              </w:rPr>
              <w:t>款</w:t>
            </w:r>
          </w:p>
        </w:tc>
        <w:tc>
          <w:tcPr>
            <w:tcW w:w="2080" w:type="dxa"/>
            <w:noWrap/>
            <w:vAlign w:val="center"/>
          </w:tcPr>
          <w:p w14:paraId="17B76FDE">
            <w:pPr>
              <w:adjustRightInd w:val="0"/>
              <w:snapToGrid w:val="0"/>
              <w:spacing w:line="240" w:lineRule="auto"/>
              <w:jc w:val="center"/>
              <w:rPr>
                <w:rFonts w:ascii="宋体" w:hAnsi="宋体" w:cs="宋体"/>
                <w:szCs w:val="21"/>
              </w:rPr>
            </w:pPr>
            <w:r>
              <w:rPr>
                <w:rFonts w:hint="eastAsia" w:ascii="宋体" w:hAnsi="宋体" w:cs="宋体"/>
                <w:szCs w:val="21"/>
              </w:rPr>
              <w:t>投标人要求澄清招标文件的时间</w:t>
            </w:r>
          </w:p>
        </w:tc>
        <w:tc>
          <w:tcPr>
            <w:tcW w:w="6533" w:type="dxa"/>
            <w:noWrap/>
            <w:vAlign w:val="center"/>
          </w:tcPr>
          <w:p w14:paraId="1BD2CA86">
            <w:pPr>
              <w:adjustRightInd w:val="0"/>
              <w:snapToGrid w:val="0"/>
              <w:spacing w:line="240" w:lineRule="auto"/>
              <w:rPr>
                <w:rFonts w:ascii="宋体" w:hAnsi="宋体"/>
                <w:szCs w:val="21"/>
              </w:rPr>
            </w:pPr>
            <w:r>
              <w:rPr>
                <w:rFonts w:hint="eastAsia" w:ascii="宋体" w:hAnsi="宋体"/>
                <w:szCs w:val="21"/>
              </w:rPr>
              <w:t>投标人对政府采购活动事项如有疑问的，可以向采购人或采购代理机构提出询问。采购人或采购代理机构将在3个工作日内作出答复。</w:t>
            </w:r>
          </w:p>
          <w:p w14:paraId="695EF6D3">
            <w:pPr>
              <w:adjustRightInd w:val="0"/>
              <w:snapToGrid w:val="0"/>
              <w:spacing w:line="240" w:lineRule="auto"/>
              <w:rPr>
                <w:rFonts w:ascii="宋体" w:hAnsi="宋体" w:cs="宋体"/>
                <w:szCs w:val="21"/>
              </w:rPr>
            </w:pPr>
            <w:r>
              <w:rPr>
                <w:rFonts w:hint="eastAsia" w:ascii="宋体" w:hAnsi="宋体"/>
                <w:szCs w:val="21"/>
              </w:rPr>
              <w:t>潜在投标人认为招标文件或招标公告使自己的合法权益受到损害的，可以在收到招标文件之日或招标公告期限届满之日起7个工作日内，按《湖南省财政厅关于印发＜政府采购质疑答复和投诉处理操作规程＞的通知》(湘财购〔2019〕20号)规定，以书面形式向采购人、采购代理机构提出质疑。</w:t>
            </w:r>
          </w:p>
        </w:tc>
      </w:tr>
      <w:tr w14:paraId="246FBD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9889" w:type="dxa"/>
            <w:gridSpan w:val="3"/>
            <w:noWrap/>
            <w:vAlign w:val="center"/>
          </w:tcPr>
          <w:p w14:paraId="5A85F0A3">
            <w:pPr>
              <w:adjustRightInd w:val="0"/>
              <w:snapToGrid w:val="0"/>
              <w:spacing w:line="240" w:lineRule="auto"/>
              <w:rPr>
                <w:rFonts w:ascii="宋体" w:hAnsi="宋体" w:cs="宋体"/>
                <w:b/>
                <w:szCs w:val="21"/>
              </w:rPr>
            </w:pPr>
            <w:r>
              <w:rPr>
                <w:rFonts w:hint="eastAsia" w:ascii="宋体" w:hAnsi="宋体" w:cs="宋体"/>
                <w:b/>
                <w:szCs w:val="21"/>
              </w:rPr>
              <w:t>二、招标文件</w:t>
            </w:r>
          </w:p>
        </w:tc>
      </w:tr>
      <w:tr w14:paraId="789C4B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3" w:hRule="atLeast"/>
        </w:trPr>
        <w:tc>
          <w:tcPr>
            <w:tcW w:w="1276" w:type="dxa"/>
            <w:noWrap/>
            <w:vAlign w:val="center"/>
          </w:tcPr>
          <w:p w14:paraId="3B03DC07">
            <w:pPr>
              <w:adjustRightInd w:val="0"/>
              <w:snapToGrid w:val="0"/>
              <w:spacing w:line="240" w:lineRule="auto"/>
              <w:jc w:val="center"/>
              <w:rPr>
                <w:rFonts w:ascii="宋体" w:hAnsi="宋体" w:cs="宋体"/>
                <w:szCs w:val="21"/>
              </w:rPr>
            </w:pPr>
            <w:r>
              <w:rPr>
                <w:rFonts w:hint="eastAsia" w:ascii="宋体" w:hAnsi="宋体" w:cs="宋体"/>
                <w:szCs w:val="21"/>
              </w:rPr>
              <w:t>第7.3</w:t>
            </w:r>
            <w:r>
              <w:rPr>
                <w:rFonts w:hint="eastAsia" w:ascii="宋体" w:hAnsi="宋体" w:cs="宋体"/>
                <w:kern w:val="0"/>
                <w:szCs w:val="21"/>
                <w:lang w:val="zh-CN"/>
              </w:rPr>
              <w:t>款</w:t>
            </w:r>
          </w:p>
        </w:tc>
        <w:tc>
          <w:tcPr>
            <w:tcW w:w="2080" w:type="dxa"/>
            <w:noWrap/>
            <w:vAlign w:val="center"/>
          </w:tcPr>
          <w:p w14:paraId="3BF52897">
            <w:pPr>
              <w:adjustRightInd w:val="0"/>
              <w:snapToGrid w:val="0"/>
              <w:spacing w:line="240" w:lineRule="auto"/>
              <w:jc w:val="center"/>
              <w:rPr>
                <w:rFonts w:ascii="宋体" w:hAnsi="宋体" w:cs="宋体"/>
                <w:szCs w:val="21"/>
              </w:rPr>
            </w:pPr>
            <w:r>
              <w:rPr>
                <w:rFonts w:hint="eastAsia" w:ascii="宋体" w:hAnsi="宋体" w:cs="宋体"/>
                <w:szCs w:val="21"/>
              </w:rPr>
              <w:t>信息公告媒体</w:t>
            </w:r>
          </w:p>
        </w:tc>
        <w:tc>
          <w:tcPr>
            <w:tcW w:w="6533" w:type="dxa"/>
            <w:noWrap/>
            <w:vAlign w:val="center"/>
          </w:tcPr>
          <w:p w14:paraId="0F8D3DB1">
            <w:pPr>
              <w:adjustRightInd w:val="0"/>
              <w:snapToGrid w:val="0"/>
              <w:spacing w:line="240" w:lineRule="auto"/>
              <w:jc w:val="left"/>
              <w:rPr>
                <w:rFonts w:ascii="宋体" w:hAnsi="宋体" w:cs="宋体"/>
                <w:szCs w:val="21"/>
              </w:rPr>
            </w:pPr>
            <w:r>
              <w:rPr>
                <w:rFonts w:hint="eastAsia" w:ascii="宋体" w:hAnsi="宋体" w:cs="宋体"/>
                <w:szCs w:val="21"/>
              </w:rPr>
              <w:t>湖南省岳阳市政府采购网（http://www.ccgp-hunan.gov.cn/portal_city.jsp?area_id=54</w:t>
            </w:r>
            <w:r>
              <w:rPr>
                <w:rFonts w:hint="eastAsia" w:ascii="宋体" w:hAnsi="宋体" w:cs="宋体"/>
                <w:bCs/>
                <w:szCs w:val="21"/>
              </w:rPr>
              <w:t>）</w:t>
            </w:r>
          </w:p>
          <w:p w14:paraId="445536DF">
            <w:pPr>
              <w:adjustRightInd w:val="0"/>
              <w:snapToGrid w:val="0"/>
              <w:spacing w:line="240" w:lineRule="auto"/>
              <w:jc w:val="left"/>
              <w:rPr>
                <w:rFonts w:ascii="宋体" w:hAnsi="宋体" w:cs="宋体"/>
                <w:szCs w:val="21"/>
              </w:rPr>
            </w:pPr>
            <w:r>
              <w:rPr>
                <w:rFonts w:hint="eastAsia" w:ascii="宋体" w:hAnsi="宋体" w:cs="宋体"/>
              </w:rPr>
              <w:t>岳阳市公共资源交易网（</w:t>
            </w:r>
            <w:r>
              <w:fldChar w:fldCharType="begin"/>
            </w:r>
            <w:r>
              <w:instrText xml:space="preserve"> HYPERLINK "http://ggzy.yueyang.gov.cn/" </w:instrText>
            </w:r>
            <w:r>
              <w:fldChar w:fldCharType="separate"/>
            </w:r>
            <w:r>
              <w:rPr>
                <w:rStyle w:val="51"/>
                <w:rFonts w:hint="eastAsia" w:ascii="宋体" w:hAnsi="宋体" w:cs="宋体"/>
                <w:color w:val="auto"/>
              </w:rPr>
              <w:t>http://ggzy.yueyang.gov.cn/</w:t>
            </w:r>
            <w:r>
              <w:rPr>
                <w:rStyle w:val="51"/>
                <w:rFonts w:hint="eastAsia" w:ascii="宋体" w:hAnsi="宋体" w:cs="宋体"/>
                <w:color w:val="auto"/>
              </w:rPr>
              <w:fldChar w:fldCharType="end"/>
            </w:r>
            <w:r>
              <w:rPr>
                <w:rFonts w:hint="eastAsia" w:ascii="宋体" w:hAnsi="宋体" w:cs="宋体"/>
              </w:rPr>
              <w:t>）</w:t>
            </w:r>
          </w:p>
        </w:tc>
      </w:tr>
      <w:tr w14:paraId="19F53C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276" w:type="dxa"/>
            <w:noWrap/>
            <w:vAlign w:val="center"/>
          </w:tcPr>
          <w:p w14:paraId="4EE35560">
            <w:pPr>
              <w:adjustRightInd w:val="0"/>
              <w:snapToGrid w:val="0"/>
              <w:spacing w:line="240" w:lineRule="auto"/>
              <w:jc w:val="center"/>
              <w:rPr>
                <w:rFonts w:ascii="宋体" w:hAnsi="宋体" w:cs="宋体"/>
                <w:szCs w:val="21"/>
              </w:rPr>
            </w:pPr>
            <w:r>
              <w:rPr>
                <w:rFonts w:hint="eastAsia" w:ascii="宋体" w:hAnsi="宋体" w:cs="宋体"/>
                <w:szCs w:val="21"/>
              </w:rPr>
              <w:t>第8.2</w:t>
            </w:r>
            <w:r>
              <w:rPr>
                <w:rFonts w:hint="eastAsia" w:ascii="宋体" w:hAnsi="宋体" w:cs="宋体"/>
                <w:kern w:val="0"/>
                <w:szCs w:val="21"/>
                <w:lang w:val="zh-CN"/>
              </w:rPr>
              <w:t>款</w:t>
            </w:r>
          </w:p>
        </w:tc>
        <w:tc>
          <w:tcPr>
            <w:tcW w:w="2080" w:type="dxa"/>
            <w:noWrap/>
            <w:vAlign w:val="center"/>
          </w:tcPr>
          <w:p w14:paraId="1CE504B2">
            <w:pPr>
              <w:adjustRightInd w:val="0"/>
              <w:snapToGrid w:val="0"/>
              <w:spacing w:line="240" w:lineRule="auto"/>
              <w:jc w:val="center"/>
              <w:rPr>
                <w:rFonts w:ascii="宋体" w:hAnsi="宋体" w:cs="宋体"/>
                <w:szCs w:val="21"/>
              </w:rPr>
            </w:pPr>
            <w:r>
              <w:rPr>
                <w:rFonts w:hint="eastAsia" w:ascii="宋体" w:hAnsi="宋体" w:cs="宋体"/>
                <w:szCs w:val="21"/>
              </w:rPr>
              <w:t>非实质性要求条款允许偏离的最多项数或范围</w:t>
            </w:r>
          </w:p>
        </w:tc>
        <w:tc>
          <w:tcPr>
            <w:tcW w:w="6533" w:type="dxa"/>
            <w:noWrap/>
            <w:vAlign w:val="center"/>
          </w:tcPr>
          <w:p w14:paraId="15751970">
            <w:pPr>
              <w:adjustRightInd w:val="0"/>
              <w:snapToGrid w:val="0"/>
              <w:spacing w:line="240" w:lineRule="auto"/>
              <w:rPr>
                <w:rFonts w:ascii="宋体" w:hAnsi="宋体" w:cs="宋体"/>
                <w:szCs w:val="21"/>
                <w:u w:val="single"/>
              </w:rPr>
            </w:pPr>
            <w:r>
              <w:rPr>
                <w:rFonts w:hint="eastAsia" w:ascii="宋体" w:hAnsi="宋体"/>
                <w:szCs w:val="21"/>
              </w:rPr>
              <w:t xml:space="preserve">非实质性要求条款允许偏离的最多项数≥ </w:t>
            </w:r>
            <w:r>
              <w:rPr>
                <w:rFonts w:hint="eastAsia" w:ascii="宋体" w:hAnsi="宋体"/>
                <w:szCs w:val="21"/>
                <w:lang w:val="en-US" w:eastAsia="zh-CN"/>
              </w:rPr>
              <w:t xml:space="preserve">10 </w:t>
            </w:r>
            <w:r>
              <w:rPr>
                <w:rFonts w:hint="eastAsia" w:ascii="宋体" w:hAnsi="宋体"/>
                <w:szCs w:val="21"/>
              </w:rPr>
              <w:t>项将导致投标无效。</w:t>
            </w:r>
          </w:p>
        </w:tc>
      </w:tr>
      <w:tr w14:paraId="41076C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00" w:hRule="atLeast"/>
        </w:trPr>
        <w:tc>
          <w:tcPr>
            <w:tcW w:w="1276" w:type="dxa"/>
            <w:noWrap/>
            <w:vAlign w:val="center"/>
          </w:tcPr>
          <w:p w14:paraId="11EF1E9E">
            <w:pPr>
              <w:adjustRightInd w:val="0"/>
              <w:snapToGrid w:val="0"/>
              <w:spacing w:line="240" w:lineRule="auto"/>
              <w:jc w:val="center"/>
              <w:rPr>
                <w:rFonts w:ascii="宋体" w:hAnsi="宋体" w:cs="宋体"/>
                <w:szCs w:val="21"/>
              </w:rPr>
            </w:pPr>
            <w:r>
              <w:rPr>
                <w:rFonts w:hint="eastAsia" w:ascii="宋体" w:hAnsi="宋体" w:cs="宋体"/>
                <w:szCs w:val="21"/>
              </w:rPr>
              <w:t>第10.2</w:t>
            </w:r>
            <w:r>
              <w:rPr>
                <w:rFonts w:hint="eastAsia" w:ascii="宋体" w:hAnsi="宋体" w:cs="宋体"/>
                <w:kern w:val="0"/>
                <w:szCs w:val="21"/>
                <w:lang w:val="zh-CN"/>
              </w:rPr>
              <w:t>款</w:t>
            </w:r>
          </w:p>
        </w:tc>
        <w:tc>
          <w:tcPr>
            <w:tcW w:w="2080" w:type="dxa"/>
            <w:noWrap/>
            <w:vAlign w:val="center"/>
          </w:tcPr>
          <w:p w14:paraId="0AFF310A">
            <w:pPr>
              <w:adjustRightInd w:val="0"/>
              <w:snapToGrid w:val="0"/>
              <w:spacing w:line="240" w:lineRule="auto"/>
              <w:jc w:val="center"/>
              <w:rPr>
                <w:rFonts w:ascii="宋体" w:hAnsi="宋体" w:cs="宋体"/>
                <w:szCs w:val="21"/>
              </w:rPr>
            </w:pPr>
            <w:r>
              <w:rPr>
                <w:rFonts w:hint="eastAsia" w:ascii="宋体" w:hAnsi="宋体" w:cs="宋体"/>
                <w:szCs w:val="21"/>
              </w:rPr>
              <w:t>提交投标文件截止期时间</w:t>
            </w:r>
          </w:p>
        </w:tc>
        <w:tc>
          <w:tcPr>
            <w:tcW w:w="6533" w:type="dxa"/>
            <w:noWrap/>
            <w:vAlign w:val="center"/>
          </w:tcPr>
          <w:p w14:paraId="3C2D2A5C">
            <w:pPr>
              <w:adjustRightInd w:val="0"/>
              <w:snapToGrid w:val="0"/>
              <w:spacing w:line="240" w:lineRule="auto"/>
              <w:rPr>
                <w:rFonts w:ascii="宋体" w:hAnsi="宋体" w:cs="宋体"/>
                <w:szCs w:val="21"/>
              </w:rPr>
            </w:pPr>
            <w:r>
              <w:rPr>
                <w:rFonts w:hint="eastAsia" w:ascii="宋体" w:hAnsi="宋体" w:cs="宋体"/>
                <w:szCs w:val="21"/>
                <w:u w:val="single"/>
                <w:lang w:eastAsia="zh-CN"/>
              </w:rPr>
              <w:t>2025年11月21日</w:t>
            </w:r>
            <w:r>
              <w:rPr>
                <w:rFonts w:hint="eastAsia" w:ascii="宋体" w:hAnsi="宋体" w:cs="宋体"/>
                <w:szCs w:val="21"/>
                <w:u w:val="single"/>
              </w:rPr>
              <w:t>（星期</w:t>
            </w:r>
            <w:r>
              <w:rPr>
                <w:rFonts w:hint="eastAsia" w:ascii="宋体" w:hAnsi="宋体" w:cs="宋体"/>
                <w:szCs w:val="21"/>
                <w:u w:val="single"/>
                <w:lang w:val="en-US" w:eastAsia="zh-CN"/>
              </w:rPr>
              <w:t>五</w:t>
            </w:r>
            <w:r>
              <w:rPr>
                <w:rFonts w:hint="eastAsia" w:ascii="宋体" w:hAnsi="宋体" w:cs="宋体"/>
                <w:szCs w:val="21"/>
                <w:u w:val="single"/>
              </w:rPr>
              <w:t>）09时30分（北京时间）</w:t>
            </w:r>
          </w:p>
        </w:tc>
      </w:tr>
      <w:tr w14:paraId="16C5EF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5" w:hRule="atLeast"/>
        </w:trPr>
        <w:tc>
          <w:tcPr>
            <w:tcW w:w="9889" w:type="dxa"/>
            <w:gridSpan w:val="3"/>
            <w:noWrap/>
            <w:vAlign w:val="center"/>
          </w:tcPr>
          <w:p w14:paraId="6C7E50F4">
            <w:pPr>
              <w:adjustRightInd w:val="0"/>
              <w:snapToGrid w:val="0"/>
              <w:spacing w:line="240" w:lineRule="auto"/>
              <w:rPr>
                <w:rFonts w:ascii="宋体" w:hAnsi="宋体" w:cs="宋体"/>
                <w:szCs w:val="21"/>
              </w:rPr>
            </w:pPr>
            <w:r>
              <w:rPr>
                <w:rFonts w:hint="eastAsia" w:ascii="宋体" w:hAnsi="宋体" w:cs="宋体"/>
                <w:b/>
                <w:szCs w:val="21"/>
              </w:rPr>
              <w:t>三、投标文件</w:t>
            </w:r>
          </w:p>
        </w:tc>
      </w:tr>
      <w:tr w14:paraId="797409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276" w:type="dxa"/>
            <w:noWrap/>
            <w:vAlign w:val="center"/>
          </w:tcPr>
          <w:p w14:paraId="79D876B1">
            <w:pPr>
              <w:adjustRightInd w:val="0"/>
              <w:snapToGrid w:val="0"/>
              <w:spacing w:line="240" w:lineRule="auto"/>
              <w:jc w:val="center"/>
              <w:rPr>
                <w:rFonts w:ascii="宋体" w:hAnsi="宋体" w:cs="宋体"/>
                <w:szCs w:val="21"/>
              </w:rPr>
            </w:pPr>
            <w:r>
              <w:rPr>
                <w:rFonts w:hint="eastAsia" w:ascii="宋体" w:hAnsi="宋体" w:cs="宋体"/>
                <w:szCs w:val="21"/>
              </w:rPr>
              <w:t>第14.1款</w:t>
            </w:r>
          </w:p>
        </w:tc>
        <w:tc>
          <w:tcPr>
            <w:tcW w:w="2080" w:type="dxa"/>
            <w:noWrap/>
            <w:vAlign w:val="center"/>
          </w:tcPr>
          <w:p w14:paraId="6823AECF">
            <w:pPr>
              <w:adjustRightInd w:val="0"/>
              <w:snapToGrid w:val="0"/>
              <w:spacing w:line="240" w:lineRule="auto"/>
              <w:jc w:val="center"/>
              <w:rPr>
                <w:rFonts w:ascii="宋体" w:hAnsi="宋体" w:cs="宋体"/>
                <w:szCs w:val="21"/>
              </w:rPr>
            </w:pPr>
            <w:r>
              <w:rPr>
                <w:rFonts w:hint="eastAsia"/>
              </w:rPr>
              <w:t>投标报价的规定</w:t>
            </w:r>
          </w:p>
        </w:tc>
        <w:tc>
          <w:tcPr>
            <w:tcW w:w="6533" w:type="dxa"/>
            <w:noWrap/>
            <w:vAlign w:val="center"/>
          </w:tcPr>
          <w:p w14:paraId="3669654D">
            <w:pPr>
              <w:spacing w:line="240" w:lineRule="auto"/>
            </w:pPr>
            <w:r>
              <w:rPr>
                <w:rFonts w:hint="eastAsia"/>
              </w:rPr>
              <w:t>1、投标总价不得缺漏招标文件所要求的内容，否则在评标时将视为无效投标。</w:t>
            </w:r>
          </w:p>
          <w:p w14:paraId="43CF7B9A">
            <w:pPr>
              <w:spacing w:line="240" w:lineRule="auto"/>
            </w:pPr>
            <w:r>
              <w:rPr>
                <w:rFonts w:hint="eastAsia"/>
              </w:rPr>
              <w:t>2、投标人对每种服务或货物只允许有一个报价，不接受选择性报价，否则在评标时将视为无效投标。</w:t>
            </w:r>
          </w:p>
          <w:p w14:paraId="2882C55D">
            <w:pPr>
              <w:spacing w:line="240" w:lineRule="auto"/>
            </w:pPr>
            <w:r>
              <w:rPr>
                <w:rFonts w:hint="eastAsia"/>
              </w:rPr>
              <w:t>3、投标报价不得超过预算或者最高限价，否则在评标时将视为无效投标。</w:t>
            </w:r>
          </w:p>
          <w:p w14:paraId="04DE923F">
            <w:pPr>
              <w:spacing w:line="240" w:lineRule="auto"/>
            </w:pPr>
            <w:r>
              <w:rPr>
                <w:rFonts w:hint="eastAsia"/>
              </w:rPr>
              <w:t>4、任何包含价格调整要求和条件的投标报价，在评标时将视为无效投标。</w:t>
            </w:r>
          </w:p>
          <w:p w14:paraId="672ACCC2">
            <w:pPr>
              <w:adjustRightInd w:val="0"/>
              <w:snapToGrid w:val="0"/>
              <w:spacing w:line="240" w:lineRule="auto"/>
              <w:jc w:val="left"/>
            </w:pPr>
            <w:r>
              <w:rPr>
                <w:rFonts w:hint="eastAsia"/>
              </w:rPr>
              <w:t>5、评标委员会认为投标人的报价明显低于其他通过符合性审查投标人的报价，有可能影响服务质量或者不能诚信履约的，可要求其在合理时间内采用数据电文形式，并根据要求进行电子签章，提供书面说明，必要时提交相关证明材料；投标人不能证明其报价合理性的，评标委员会将其作为无效投标处理。</w:t>
            </w:r>
          </w:p>
        </w:tc>
      </w:tr>
      <w:tr w14:paraId="317813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ign w:val="center"/>
          </w:tcPr>
          <w:p w14:paraId="40CC1748">
            <w:pPr>
              <w:adjustRightInd w:val="0"/>
              <w:snapToGrid w:val="0"/>
              <w:spacing w:line="240" w:lineRule="auto"/>
              <w:jc w:val="center"/>
              <w:rPr>
                <w:rFonts w:ascii="宋体" w:hAnsi="宋体" w:cs="宋体"/>
                <w:szCs w:val="21"/>
              </w:rPr>
            </w:pPr>
            <w:r>
              <w:rPr>
                <w:rFonts w:hint="eastAsia" w:ascii="宋体" w:hAnsi="宋体" w:cs="宋体"/>
                <w:szCs w:val="21"/>
              </w:rPr>
              <w:t>第14.5</w:t>
            </w:r>
            <w:r>
              <w:rPr>
                <w:rFonts w:hint="eastAsia" w:ascii="宋体" w:hAnsi="宋体" w:cs="宋体"/>
                <w:kern w:val="0"/>
                <w:szCs w:val="21"/>
                <w:lang w:val="zh-CN"/>
              </w:rPr>
              <w:t>款</w:t>
            </w:r>
          </w:p>
        </w:tc>
        <w:tc>
          <w:tcPr>
            <w:tcW w:w="2080" w:type="dxa"/>
            <w:noWrap/>
            <w:vAlign w:val="center"/>
          </w:tcPr>
          <w:p w14:paraId="0B7033A2">
            <w:pPr>
              <w:adjustRightInd w:val="0"/>
              <w:snapToGrid w:val="0"/>
              <w:spacing w:line="240" w:lineRule="auto"/>
              <w:rPr>
                <w:rFonts w:ascii="宋体" w:hAnsi="宋体" w:cs="宋体"/>
                <w:szCs w:val="21"/>
              </w:rPr>
            </w:pPr>
            <w:r>
              <w:rPr>
                <w:rFonts w:hint="eastAsia" w:ascii="宋体" w:hAnsi="宋体" w:cs="宋体"/>
                <w:szCs w:val="21"/>
              </w:rPr>
              <w:t>采购预算、最高限价（如果设）</w:t>
            </w:r>
          </w:p>
        </w:tc>
        <w:tc>
          <w:tcPr>
            <w:tcW w:w="6533" w:type="dxa"/>
            <w:noWrap/>
            <w:vAlign w:val="center"/>
          </w:tcPr>
          <w:p w14:paraId="07A1EA1C">
            <w:pPr>
              <w:adjustRightInd w:val="0"/>
              <w:snapToGrid w:val="0"/>
              <w:spacing w:beforeLines="50" w:line="240" w:lineRule="auto"/>
            </w:pPr>
            <w:r>
              <w:rPr>
                <w:rFonts w:hint="eastAsia" w:ascii="宋体" w:hAnsi="宋体" w:cs="宋体"/>
              </w:rPr>
              <w:t>采购预算:</w:t>
            </w:r>
            <w:r>
              <w:rPr>
                <w:rFonts w:hint="eastAsia" w:ascii="宋体" w:hAnsi="宋体" w:cs="宋体"/>
                <w:lang w:eastAsia="zh-CN"/>
              </w:rPr>
              <w:t>2456900.00</w:t>
            </w:r>
            <w:r>
              <w:rPr>
                <w:rFonts w:hint="eastAsia" w:ascii="宋体" w:hAnsi="宋体" w:cs="宋体"/>
              </w:rPr>
              <w:t>元；  最高限价：</w:t>
            </w:r>
            <w:r>
              <w:rPr>
                <w:rFonts w:hint="eastAsia" w:ascii="宋体" w:hAnsi="宋体" w:cs="宋体"/>
                <w:lang w:eastAsia="zh-CN"/>
              </w:rPr>
              <w:t>2426476.69</w:t>
            </w:r>
            <w:r>
              <w:rPr>
                <w:rFonts w:hint="eastAsia" w:ascii="宋体" w:hAnsi="宋体" w:cs="宋体"/>
              </w:rPr>
              <w:t xml:space="preserve">元，（投标报价总价不得超过最高限价，否则其报价无效，作无效投标处理。） </w:t>
            </w:r>
          </w:p>
        </w:tc>
      </w:tr>
      <w:tr w14:paraId="1CF26B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8" w:hRule="atLeast"/>
        </w:trPr>
        <w:tc>
          <w:tcPr>
            <w:tcW w:w="1276" w:type="dxa"/>
            <w:noWrap/>
            <w:vAlign w:val="center"/>
          </w:tcPr>
          <w:p w14:paraId="78C62F90">
            <w:pPr>
              <w:adjustRightInd w:val="0"/>
              <w:snapToGrid w:val="0"/>
              <w:spacing w:beforeLines="50" w:line="240" w:lineRule="auto"/>
              <w:jc w:val="center"/>
              <w:rPr>
                <w:rFonts w:ascii="宋体" w:hAnsi="宋体" w:cs="宋体"/>
                <w:szCs w:val="21"/>
              </w:rPr>
            </w:pPr>
            <w:r>
              <w:rPr>
                <w:rFonts w:hint="eastAsia" w:ascii="宋体" w:hAnsi="宋体" w:cs="宋体"/>
                <w:szCs w:val="21"/>
              </w:rPr>
              <w:t>第16.4</w:t>
            </w:r>
            <w:r>
              <w:rPr>
                <w:rFonts w:hint="eastAsia" w:ascii="宋体" w:hAnsi="宋体" w:cs="宋体"/>
                <w:kern w:val="0"/>
                <w:szCs w:val="21"/>
                <w:lang w:val="zh-CN"/>
              </w:rPr>
              <w:t>款</w:t>
            </w:r>
          </w:p>
        </w:tc>
        <w:tc>
          <w:tcPr>
            <w:tcW w:w="2080" w:type="dxa"/>
            <w:noWrap/>
            <w:vAlign w:val="center"/>
          </w:tcPr>
          <w:p w14:paraId="5C36D5F4">
            <w:pPr>
              <w:adjustRightInd w:val="0"/>
              <w:snapToGrid w:val="0"/>
              <w:spacing w:beforeLines="50" w:line="240" w:lineRule="auto"/>
              <w:jc w:val="center"/>
              <w:rPr>
                <w:rFonts w:ascii="宋体" w:hAnsi="宋体" w:cs="宋体"/>
                <w:szCs w:val="21"/>
              </w:rPr>
            </w:pPr>
            <w:r>
              <w:rPr>
                <w:rFonts w:hint="eastAsia" w:ascii="宋体" w:hAnsi="宋体" w:cs="宋体"/>
                <w:szCs w:val="21"/>
              </w:rPr>
              <w:t>样品提供的规定</w:t>
            </w:r>
          </w:p>
        </w:tc>
        <w:tc>
          <w:tcPr>
            <w:tcW w:w="6533" w:type="dxa"/>
            <w:noWrap/>
            <w:vAlign w:val="center"/>
          </w:tcPr>
          <w:p w14:paraId="2D9EF5E2">
            <w:pPr>
              <w:adjustRightInd w:val="0"/>
              <w:snapToGrid w:val="0"/>
              <w:spacing w:beforeLines="50" w:line="240" w:lineRule="auto"/>
              <w:rPr>
                <w:rFonts w:ascii="宋体" w:hAnsi="宋体" w:cs="宋体"/>
                <w:szCs w:val="21"/>
              </w:rPr>
            </w:pPr>
            <w:r>
              <w:rPr>
                <w:rFonts w:hint="eastAsia" w:ascii="宋体" w:hAnsi="宋体" w:cs="宋体"/>
                <w:szCs w:val="21"/>
              </w:rPr>
              <w:t>■不要求提供</w:t>
            </w:r>
          </w:p>
          <w:p w14:paraId="5B57A920">
            <w:pPr>
              <w:adjustRightInd w:val="0"/>
              <w:snapToGrid w:val="0"/>
              <w:spacing w:beforeLines="50" w:line="240" w:lineRule="auto"/>
              <w:rPr>
                <w:rFonts w:ascii="宋体" w:hAnsi="宋体" w:cs="宋体"/>
                <w:szCs w:val="21"/>
                <w:u w:val="single"/>
              </w:rPr>
            </w:pPr>
            <w:r>
              <w:rPr>
                <w:rFonts w:hint="eastAsia" w:ascii="宋体" w:hAnsi="宋体" w:cs="宋体"/>
                <w:szCs w:val="21"/>
              </w:rPr>
              <w:t>□ 要求提供</w:t>
            </w:r>
          </w:p>
        </w:tc>
      </w:tr>
      <w:tr w14:paraId="0AC2BD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ign w:val="center"/>
          </w:tcPr>
          <w:p w14:paraId="69433EF2">
            <w:pPr>
              <w:adjustRightInd w:val="0"/>
              <w:snapToGrid w:val="0"/>
              <w:spacing w:line="240" w:lineRule="auto"/>
              <w:jc w:val="center"/>
              <w:rPr>
                <w:rFonts w:ascii="宋体" w:hAnsi="宋体" w:cs="宋体"/>
                <w:szCs w:val="21"/>
              </w:rPr>
            </w:pPr>
            <w:r>
              <w:rPr>
                <w:rFonts w:hint="eastAsia" w:ascii="宋体" w:hAnsi="宋体" w:cs="宋体"/>
                <w:szCs w:val="21"/>
              </w:rPr>
              <w:t>第17.1</w:t>
            </w:r>
            <w:r>
              <w:rPr>
                <w:rFonts w:hint="eastAsia" w:ascii="宋体" w:hAnsi="宋体" w:cs="宋体"/>
                <w:kern w:val="0"/>
                <w:szCs w:val="21"/>
                <w:lang w:val="zh-CN"/>
              </w:rPr>
              <w:t>款</w:t>
            </w:r>
          </w:p>
        </w:tc>
        <w:tc>
          <w:tcPr>
            <w:tcW w:w="2080" w:type="dxa"/>
            <w:noWrap/>
            <w:vAlign w:val="center"/>
          </w:tcPr>
          <w:p w14:paraId="1439FEDE">
            <w:pPr>
              <w:adjustRightInd w:val="0"/>
              <w:snapToGrid w:val="0"/>
              <w:spacing w:line="240" w:lineRule="auto"/>
              <w:jc w:val="center"/>
              <w:rPr>
                <w:rFonts w:ascii="宋体" w:hAnsi="宋体" w:cs="宋体"/>
                <w:bCs/>
                <w:szCs w:val="21"/>
              </w:rPr>
            </w:pPr>
            <w:r>
              <w:rPr>
                <w:rFonts w:hint="eastAsia" w:ascii="宋体" w:hAnsi="宋体" w:cs="宋体"/>
                <w:bCs/>
                <w:szCs w:val="21"/>
              </w:rPr>
              <w:t>投标有效期</w:t>
            </w:r>
          </w:p>
        </w:tc>
        <w:tc>
          <w:tcPr>
            <w:tcW w:w="6533" w:type="dxa"/>
            <w:noWrap/>
            <w:vAlign w:val="center"/>
          </w:tcPr>
          <w:p w14:paraId="66F2C0D0">
            <w:pPr>
              <w:adjustRightInd w:val="0"/>
              <w:snapToGrid w:val="0"/>
              <w:spacing w:line="240" w:lineRule="auto"/>
              <w:rPr>
                <w:rFonts w:ascii="宋体" w:hAnsi="宋体" w:cs="宋体"/>
                <w:bCs/>
                <w:szCs w:val="21"/>
              </w:rPr>
            </w:pPr>
            <w:r>
              <w:rPr>
                <w:rFonts w:hint="eastAsia" w:ascii="宋体" w:hAnsi="宋体" w:cs="宋体"/>
                <w:szCs w:val="21"/>
                <w:u w:val="single"/>
              </w:rPr>
              <w:t>90</w:t>
            </w:r>
            <w:r>
              <w:rPr>
                <w:rFonts w:hint="eastAsia" w:ascii="宋体" w:hAnsi="宋体" w:cs="宋体"/>
                <w:szCs w:val="21"/>
              </w:rPr>
              <w:t>日（日历日）</w:t>
            </w:r>
          </w:p>
        </w:tc>
      </w:tr>
      <w:tr w14:paraId="42D744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ign w:val="center"/>
          </w:tcPr>
          <w:p w14:paraId="2332CBD1">
            <w:pPr>
              <w:adjustRightInd w:val="0"/>
              <w:snapToGrid w:val="0"/>
              <w:spacing w:line="240" w:lineRule="auto"/>
              <w:jc w:val="center"/>
              <w:rPr>
                <w:rFonts w:ascii="宋体" w:hAnsi="宋体" w:cs="宋体"/>
                <w:szCs w:val="21"/>
              </w:rPr>
            </w:pPr>
            <w:r>
              <w:rPr>
                <w:rFonts w:hint="eastAsia" w:ascii="宋体" w:hAnsi="宋体" w:cs="宋体"/>
                <w:szCs w:val="21"/>
              </w:rPr>
              <w:t>第18.1</w:t>
            </w:r>
            <w:r>
              <w:rPr>
                <w:rFonts w:hint="eastAsia" w:ascii="宋体" w:hAnsi="宋体" w:cs="宋体"/>
                <w:kern w:val="0"/>
                <w:szCs w:val="21"/>
                <w:lang w:val="zh-CN"/>
              </w:rPr>
              <w:t>款</w:t>
            </w:r>
          </w:p>
        </w:tc>
        <w:tc>
          <w:tcPr>
            <w:tcW w:w="2080" w:type="dxa"/>
            <w:noWrap/>
            <w:vAlign w:val="center"/>
          </w:tcPr>
          <w:p w14:paraId="47BCA021">
            <w:pPr>
              <w:adjustRightInd w:val="0"/>
              <w:snapToGrid w:val="0"/>
              <w:spacing w:line="240" w:lineRule="auto"/>
              <w:ind w:left="-533" w:leftChars="-254" w:firstLine="533" w:firstLineChars="254"/>
              <w:jc w:val="center"/>
              <w:rPr>
                <w:rFonts w:ascii="宋体" w:hAnsi="宋体" w:cs="宋体"/>
                <w:szCs w:val="21"/>
              </w:rPr>
            </w:pPr>
            <w:r>
              <w:rPr>
                <w:rFonts w:hint="eastAsia" w:ascii="宋体" w:hAnsi="宋体" w:cs="宋体"/>
                <w:szCs w:val="21"/>
              </w:rPr>
              <w:t>投标保证金</w:t>
            </w:r>
          </w:p>
        </w:tc>
        <w:tc>
          <w:tcPr>
            <w:tcW w:w="6533" w:type="dxa"/>
            <w:noWrap/>
            <w:vAlign w:val="center"/>
          </w:tcPr>
          <w:p w14:paraId="23B4DF74">
            <w:pPr>
              <w:adjustRightInd w:val="0"/>
              <w:snapToGrid w:val="0"/>
              <w:spacing w:line="240" w:lineRule="auto"/>
            </w:pPr>
            <w:r>
              <w:rPr>
                <w:rFonts w:hint="eastAsia"/>
              </w:rPr>
              <w:t>■不要求提供。</w:t>
            </w:r>
          </w:p>
          <w:p w14:paraId="3B15957E">
            <w:pPr>
              <w:adjustRightInd w:val="0"/>
              <w:snapToGrid w:val="0"/>
              <w:spacing w:line="240" w:lineRule="auto"/>
              <w:rPr>
                <w:rFonts w:ascii="宋体" w:hAnsi="宋体" w:cs="宋体"/>
                <w:szCs w:val="21"/>
              </w:rPr>
            </w:pPr>
            <w:r>
              <w:rPr>
                <w:rFonts w:hint="eastAsia" w:ascii="宋体" w:hAnsi="宋体"/>
                <w:szCs w:val="21"/>
              </w:rPr>
              <w:t xml:space="preserve">□ </w:t>
            </w:r>
            <w:r>
              <w:rPr>
                <w:rFonts w:hint="eastAsia"/>
              </w:rPr>
              <w:t>要求提供，数额为：</w:t>
            </w:r>
            <w:r>
              <w:rPr>
                <w:rFonts w:hint="eastAsia"/>
                <w:u w:val="single"/>
              </w:rPr>
              <w:t xml:space="preserve">  /  </w:t>
            </w:r>
            <w:r>
              <w:rPr>
                <w:rFonts w:hint="eastAsia"/>
              </w:rPr>
              <w:t>元（人民币）。</w:t>
            </w:r>
          </w:p>
        </w:tc>
      </w:tr>
      <w:tr w14:paraId="5D15F1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ign w:val="center"/>
          </w:tcPr>
          <w:p w14:paraId="3CE2A48A">
            <w:pPr>
              <w:adjustRightInd w:val="0"/>
              <w:snapToGrid w:val="0"/>
              <w:spacing w:line="240" w:lineRule="auto"/>
              <w:jc w:val="center"/>
              <w:rPr>
                <w:rFonts w:ascii="宋体" w:hAnsi="宋体" w:cs="宋体"/>
                <w:szCs w:val="21"/>
              </w:rPr>
            </w:pPr>
            <w:r>
              <w:rPr>
                <w:rFonts w:hint="eastAsia" w:ascii="宋体" w:hAnsi="宋体" w:cs="宋体"/>
                <w:szCs w:val="21"/>
              </w:rPr>
              <w:t>第21条</w:t>
            </w:r>
          </w:p>
        </w:tc>
        <w:tc>
          <w:tcPr>
            <w:tcW w:w="2080" w:type="dxa"/>
            <w:noWrap/>
            <w:vAlign w:val="center"/>
          </w:tcPr>
          <w:p w14:paraId="7CD657DB">
            <w:pPr>
              <w:adjustRightInd w:val="0"/>
              <w:snapToGrid w:val="0"/>
              <w:spacing w:line="240" w:lineRule="auto"/>
              <w:jc w:val="center"/>
              <w:rPr>
                <w:rFonts w:ascii="宋体" w:hAnsi="宋体" w:cs="宋体"/>
                <w:szCs w:val="21"/>
              </w:rPr>
            </w:pPr>
            <w:r>
              <w:rPr>
                <w:rFonts w:hint="eastAsia" w:ascii="宋体" w:hAnsi="宋体" w:cs="宋体"/>
                <w:szCs w:val="21"/>
              </w:rPr>
              <w:t>电子投标文件</w:t>
            </w:r>
          </w:p>
          <w:p w14:paraId="04295350">
            <w:pPr>
              <w:adjustRightInd w:val="0"/>
              <w:snapToGrid w:val="0"/>
              <w:spacing w:line="240" w:lineRule="auto"/>
              <w:jc w:val="center"/>
              <w:rPr>
                <w:rFonts w:ascii="宋体" w:hAnsi="宋体" w:cs="宋体"/>
                <w:szCs w:val="21"/>
              </w:rPr>
            </w:pPr>
            <w:r>
              <w:rPr>
                <w:rFonts w:hint="eastAsia" w:ascii="宋体" w:hAnsi="宋体" w:cs="宋体"/>
                <w:szCs w:val="21"/>
              </w:rPr>
              <w:t>制作要求</w:t>
            </w:r>
          </w:p>
        </w:tc>
        <w:tc>
          <w:tcPr>
            <w:tcW w:w="6533" w:type="dxa"/>
            <w:noWrap/>
            <w:vAlign w:val="center"/>
          </w:tcPr>
          <w:p w14:paraId="7D2807A0">
            <w:pPr>
              <w:spacing w:line="240" w:lineRule="auto"/>
              <w:rPr>
                <w:rFonts w:ascii="宋体" w:hAnsi="宋体" w:cs="宋体"/>
                <w:szCs w:val="21"/>
              </w:rPr>
            </w:pPr>
            <w:r>
              <w:rPr>
                <w:rFonts w:hint="eastAsia" w:ascii="宋体" w:hAnsi="宋体" w:cs="宋体"/>
                <w:szCs w:val="21"/>
              </w:rPr>
              <w:t>电子投标文件必须使用岳阳市公共资源交易网发布的“电子投标文件制作工具”编制生成。</w:t>
            </w:r>
          </w:p>
        </w:tc>
      </w:tr>
      <w:tr w14:paraId="628177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ign w:val="center"/>
          </w:tcPr>
          <w:p w14:paraId="532461D3">
            <w:pPr>
              <w:adjustRightInd w:val="0"/>
              <w:snapToGrid w:val="0"/>
              <w:spacing w:line="240" w:lineRule="auto"/>
              <w:jc w:val="center"/>
              <w:rPr>
                <w:rFonts w:ascii="宋体" w:hAnsi="宋体" w:cs="宋体"/>
                <w:szCs w:val="21"/>
              </w:rPr>
            </w:pPr>
            <w:r>
              <w:rPr>
                <w:rFonts w:hint="eastAsia" w:ascii="宋体" w:hAnsi="宋体" w:cs="宋体"/>
                <w:szCs w:val="21"/>
              </w:rPr>
              <w:t>第20条</w:t>
            </w:r>
          </w:p>
        </w:tc>
        <w:tc>
          <w:tcPr>
            <w:tcW w:w="2080" w:type="dxa"/>
            <w:noWrap/>
            <w:vAlign w:val="center"/>
          </w:tcPr>
          <w:p w14:paraId="12912A2D">
            <w:pPr>
              <w:spacing w:line="240" w:lineRule="auto"/>
              <w:jc w:val="center"/>
              <w:rPr>
                <w:rFonts w:ascii="宋体" w:hAnsi="宋体" w:cs="宋体"/>
                <w:szCs w:val="21"/>
              </w:rPr>
            </w:pPr>
            <w:r>
              <w:rPr>
                <w:rFonts w:hint="eastAsia" w:ascii="宋体" w:hAnsi="宋体" w:cs="宋体"/>
                <w:szCs w:val="21"/>
              </w:rPr>
              <w:t>投标文件份数</w:t>
            </w:r>
          </w:p>
        </w:tc>
        <w:tc>
          <w:tcPr>
            <w:tcW w:w="6533" w:type="dxa"/>
            <w:noWrap/>
            <w:vAlign w:val="center"/>
          </w:tcPr>
          <w:p w14:paraId="7C34A269">
            <w:pPr>
              <w:spacing w:line="240" w:lineRule="auto"/>
              <w:rPr>
                <w:rFonts w:ascii="宋体" w:hAnsi="宋体" w:cs="宋体"/>
                <w:szCs w:val="21"/>
              </w:rPr>
            </w:pPr>
            <w:r>
              <w:rPr>
                <w:rFonts w:hint="eastAsia" w:ascii="宋体" w:hAnsi="宋体" w:cs="宋体"/>
                <w:szCs w:val="21"/>
              </w:rPr>
              <w:t>1、电子版投标文件以上传至岳阳市公共资源交易平台的为准。</w:t>
            </w:r>
          </w:p>
          <w:p w14:paraId="46A2CF8F">
            <w:pPr>
              <w:spacing w:line="240" w:lineRule="auto"/>
              <w:rPr>
                <w:rFonts w:hint="eastAsia" w:ascii="宋体" w:hAnsi="宋体" w:eastAsia="宋体" w:cs="宋体"/>
                <w:szCs w:val="21"/>
                <w:lang w:eastAsia="zh-CN"/>
              </w:rPr>
            </w:pPr>
            <w:r>
              <w:rPr>
                <w:rFonts w:hint="eastAsia" w:ascii="宋体" w:hAnsi="宋体" w:cs="宋体"/>
                <w:szCs w:val="21"/>
              </w:rPr>
              <w:t>2、中标单位在中标后提交纸质文件：正本一份、副本贰份</w:t>
            </w:r>
            <w:r>
              <w:rPr>
                <w:rFonts w:hint="eastAsia" w:ascii="宋体" w:hAnsi="宋体" w:cs="宋体"/>
                <w:szCs w:val="21"/>
                <w:lang w:eastAsia="zh-CN"/>
              </w:rPr>
              <w:t>，</w:t>
            </w:r>
            <w:r>
              <w:rPr>
                <w:rFonts w:hint="eastAsia" w:ascii="宋体" w:hAnsi="宋体" w:cs="宋体"/>
                <w:sz w:val="21"/>
                <w:szCs w:val="21"/>
              </w:rPr>
              <w:t>纸质文件备案使用。</w:t>
            </w:r>
          </w:p>
          <w:p w14:paraId="54816C73">
            <w:pPr>
              <w:pStyle w:val="39"/>
              <w:spacing w:line="240" w:lineRule="auto"/>
              <w:ind w:left="0" w:leftChars="0" w:firstLine="0"/>
              <w:rPr>
                <w:rFonts w:ascii="宋体" w:hAnsi="宋体" w:cs="宋体"/>
                <w:kern w:val="2"/>
                <w:sz w:val="21"/>
                <w:szCs w:val="21"/>
              </w:rPr>
            </w:pPr>
            <w:r>
              <w:rPr>
                <w:rFonts w:hint="eastAsia" w:ascii="宋体" w:hAnsi="宋体" w:cs="宋体"/>
                <w:sz w:val="21"/>
                <w:szCs w:val="21"/>
              </w:rPr>
              <w:t>说明：投标文件</w:t>
            </w:r>
            <w:r>
              <w:rPr>
                <w:rFonts w:hint="eastAsia" w:ascii="宋体" w:hAnsi="宋体" w:cs="宋体"/>
                <w:sz w:val="21"/>
                <w:szCs w:val="21"/>
                <w:lang w:val="en-US" w:eastAsia="zh-CN"/>
              </w:rPr>
              <w:t>纸质与电子投标文件不一致时</w:t>
            </w:r>
            <w:r>
              <w:rPr>
                <w:rFonts w:hint="eastAsia" w:ascii="宋体" w:hAnsi="宋体" w:cs="宋体"/>
                <w:sz w:val="21"/>
                <w:szCs w:val="21"/>
              </w:rPr>
              <w:t>以电子投标文件为准，</w:t>
            </w:r>
          </w:p>
        </w:tc>
      </w:tr>
      <w:tr w14:paraId="5B677D3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889" w:type="dxa"/>
            <w:gridSpan w:val="3"/>
            <w:noWrap/>
            <w:vAlign w:val="center"/>
          </w:tcPr>
          <w:p w14:paraId="74A5926A">
            <w:pPr>
              <w:adjustRightInd w:val="0"/>
              <w:snapToGrid w:val="0"/>
              <w:spacing w:line="240" w:lineRule="auto"/>
              <w:rPr>
                <w:rFonts w:ascii="宋体" w:hAnsi="宋体" w:cs="宋体"/>
                <w:b/>
                <w:bCs/>
                <w:szCs w:val="21"/>
              </w:rPr>
            </w:pPr>
            <w:r>
              <w:rPr>
                <w:rFonts w:hint="eastAsia" w:ascii="宋体" w:hAnsi="宋体" w:cs="宋体"/>
                <w:b/>
                <w:szCs w:val="21"/>
              </w:rPr>
              <w:t>四、投标</w:t>
            </w:r>
          </w:p>
        </w:tc>
      </w:tr>
      <w:tr w14:paraId="76C577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276" w:type="dxa"/>
            <w:noWrap/>
            <w:vAlign w:val="center"/>
          </w:tcPr>
          <w:p w14:paraId="7C7A74BF">
            <w:pPr>
              <w:adjustRightInd w:val="0"/>
              <w:snapToGrid w:val="0"/>
              <w:spacing w:line="240" w:lineRule="auto"/>
              <w:jc w:val="center"/>
              <w:rPr>
                <w:rFonts w:ascii="宋体" w:hAnsi="宋体" w:cs="宋体"/>
                <w:szCs w:val="21"/>
              </w:rPr>
            </w:pPr>
            <w:r>
              <w:rPr>
                <w:rFonts w:hint="eastAsia" w:ascii="宋体" w:hAnsi="宋体" w:cs="宋体"/>
                <w:szCs w:val="21"/>
              </w:rPr>
              <w:t xml:space="preserve">第22条 </w:t>
            </w:r>
          </w:p>
        </w:tc>
        <w:tc>
          <w:tcPr>
            <w:tcW w:w="2080" w:type="dxa"/>
            <w:noWrap/>
            <w:vAlign w:val="center"/>
          </w:tcPr>
          <w:p w14:paraId="21E6CC22">
            <w:pPr>
              <w:adjustRightInd w:val="0"/>
              <w:snapToGrid w:val="0"/>
              <w:spacing w:line="240" w:lineRule="auto"/>
              <w:jc w:val="center"/>
              <w:rPr>
                <w:rFonts w:ascii="宋体" w:hAnsi="宋体" w:cs="宋体"/>
                <w:szCs w:val="21"/>
              </w:rPr>
            </w:pPr>
            <w:r>
              <w:rPr>
                <w:rFonts w:hint="eastAsia" w:ascii="宋体" w:hAnsi="宋体" w:cs="宋体"/>
                <w:szCs w:val="21"/>
              </w:rPr>
              <w:t>投标文件的递交</w:t>
            </w:r>
          </w:p>
        </w:tc>
        <w:tc>
          <w:tcPr>
            <w:tcW w:w="6533" w:type="dxa"/>
            <w:noWrap/>
            <w:vAlign w:val="center"/>
          </w:tcPr>
          <w:p w14:paraId="43C4B99D">
            <w:pPr>
              <w:spacing w:line="240" w:lineRule="auto"/>
              <w:rPr>
                <w:rFonts w:ascii="宋体" w:hAnsi="宋体" w:cs="宋体"/>
              </w:rPr>
            </w:pPr>
            <w:r>
              <w:rPr>
                <w:rFonts w:hint="eastAsia" w:ascii="宋体" w:hAnsi="宋体" w:cs="宋体"/>
              </w:rPr>
              <w:t>1、</w:t>
            </w:r>
            <w:r>
              <w:rPr>
                <w:rFonts w:hint="eastAsia"/>
              </w:rPr>
              <w:t>实行网上投标，投标人必须在招标文件规定的投标截止时间前用电子密钥登录“岳阳市公共资源交易中心电子交易平台”（http://222.242.228.197:8083/TPBidder/memberLogin）完成文件递交。</w:t>
            </w:r>
          </w:p>
        </w:tc>
      </w:tr>
      <w:tr w14:paraId="56640C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79" w:hRule="atLeast"/>
        </w:trPr>
        <w:tc>
          <w:tcPr>
            <w:tcW w:w="1276" w:type="dxa"/>
            <w:noWrap/>
            <w:vAlign w:val="center"/>
          </w:tcPr>
          <w:p w14:paraId="65B4AF8F">
            <w:pPr>
              <w:adjustRightInd w:val="0"/>
              <w:snapToGrid w:val="0"/>
              <w:spacing w:line="240" w:lineRule="auto"/>
              <w:jc w:val="center"/>
              <w:rPr>
                <w:rFonts w:ascii="宋体" w:hAnsi="宋体" w:cs="宋体"/>
                <w:szCs w:val="21"/>
              </w:rPr>
            </w:pPr>
            <w:r>
              <w:rPr>
                <w:rFonts w:hint="eastAsia" w:ascii="宋体" w:hAnsi="宋体" w:cs="宋体"/>
                <w:szCs w:val="21"/>
              </w:rPr>
              <w:t>第24.1</w:t>
            </w:r>
            <w:r>
              <w:rPr>
                <w:rFonts w:hint="eastAsia" w:ascii="宋体" w:hAnsi="宋体" w:cs="宋体"/>
                <w:kern w:val="0"/>
                <w:szCs w:val="21"/>
                <w:lang w:val="zh-CN"/>
              </w:rPr>
              <w:t>款</w:t>
            </w:r>
          </w:p>
        </w:tc>
        <w:tc>
          <w:tcPr>
            <w:tcW w:w="2080" w:type="dxa"/>
            <w:noWrap/>
            <w:vAlign w:val="center"/>
          </w:tcPr>
          <w:p w14:paraId="778EB895">
            <w:pPr>
              <w:adjustRightInd w:val="0"/>
              <w:snapToGrid w:val="0"/>
              <w:spacing w:line="240" w:lineRule="auto"/>
              <w:jc w:val="center"/>
              <w:rPr>
                <w:rFonts w:ascii="宋体" w:hAnsi="宋体" w:cs="宋体"/>
                <w:szCs w:val="21"/>
              </w:rPr>
            </w:pPr>
            <w:r>
              <w:rPr>
                <w:rFonts w:hint="eastAsia" w:ascii="宋体" w:hAnsi="宋体" w:cs="宋体"/>
                <w:bCs/>
                <w:szCs w:val="21"/>
              </w:rPr>
              <w:t>分包</w:t>
            </w:r>
          </w:p>
        </w:tc>
        <w:tc>
          <w:tcPr>
            <w:tcW w:w="6533" w:type="dxa"/>
            <w:noWrap/>
            <w:vAlign w:val="center"/>
          </w:tcPr>
          <w:p w14:paraId="06AFAA49">
            <w:pPr>
              <w:adjustRightInd w:val="0"/>
              <w:snapToGrid w:val="0"/>
              <w:spacing w:line="240" w:lineRule="auto"/>
              <w:rPr>
                <w:rFonts w:ascii="宋体" w:hAnsi="宋体" w:cs="宋体"/>
                <w:szCs w:val="21"/>
              </w:rPr>
            </w:pPr>
            <w:r>
              <w:rPr>
                <w:rFonts w:hint="eastAsia" w:ascii="宋体" w:hAnsi="宋体" w:cs="宋体"/>
                <w:szCs w:val="21"/>
              </w:rPr>
              <w:t>□允许分包。</w:t>
            </w:r>
          </w:p>
          <w:p w14:paraId="6038DF7B">
            <w:pPr>
              <w:adjustRightInd w:val="0"/>
              <w:snapToGrid w:val="0"/>
              <w:spacing w:line="240" w:lineRule="auto"/>
              <w:rPr>
                <w:rFonts w:ascii="宋体" w:hAnsi="宋体" w:cs="宋体"/>
                <w:b/>
                <w:bCs/>
                <w:szCs w:val="21"/>
              </w:rPr>
            </w:pPr>
            <w:r>
              <w:rPr>
                <w:rFonts w:hint="eastAsia" w:ascii="宋体" w:hAnsi="宋体" w:cs="宋体"/>
                <w:bCs/>
                <w:szCs w:val="21"/>
              </w:rPr>
              <w:t>■不允许分包</w:t>
            </w:r>
          </w:p>
        </w:tc>
      </w:tr>
      <w:tr w14:paraId="344E47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889" w:type="dxa"/>
            <w:gridSpan w:val="3"/>
            <w:noWrap/>
            <w:vAlign w:val="center"/>
          </w:tcPr>
          <w:p w14:paraId="0A0B3BE5">
            <w:pPr>
              <w:adjustRightInd w:val="0"/>
              <w:snapToGrid w:val="0"/>
              <w:spacing w:line="240" w:lineRule="auto"/>
              <w:rPr>
                <w:rFonts w:ascii="宋体" w:hAnsi="宋体" w:cs="宋体"/>
                <w:szCs w:val="21"/>
              </w:rPr>
            </w:pPr>
            <w:r>
              <w:rPr>
                <w:rFonts w:hint="eastAsia" w:ascii="宋体" w:hAnsi="宋体" w:cs="宋体"/>
                <w:b/>
                <w:bCs/>
                <w:szCs w:val="21"/>
              </w:rPr>
              <w:t>五、开标、资格审查和评标</w:t>
            </w:r>
          </w:p>
        </w:tc>
      </w:tr>
      <w:tr w14:paraId="601488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ign w:val="center"/>
          </w:tcPr>
          <w:p w14:paraId="4AF53118">
            <w:pPr>
              <w:adjustRightInd w:val="0"/>
              <w:snapToGrid w:val="0"/>
              <w:spacing w:line="240" w:lineRule="auto"/>
              <w:jc w:val="center"/>
              <w:rPr>
                <w:rFonts w:ascii="宋体" w:hAnsi="宋体" w:cs="宋体"/>
                <w:szCs w:val="21"/>
              </w:rPr>
            </w:pPr>
            <w:r>
              <w:rPr>
                <w:rFonts w:hint="eastAsia" w:ascii="宋体" w:hAnsi="宋体" w:cs="宋体"/>
                <w:szCs w:val="21"/>
              </w:rPr>
              <w:t>第26.2</w:t>
            </w:r>
            <w:r>
              <w:rPr>
                <w:rFonts w:hint="eastAsia" w:ascii="宋体" w:hAnsi="宋体" w:cs="宋体"/>
                <w:kern w:val="0"/>
                <w:szCs w:val="21"/>
                <w:lang w:val="zh-CN"/>
              </w:rPr>
              <w:t>款</w:t>
            </w:r>
          </w:p>
        </w:tc>
        <w:tc>
          <w:tcPr>
            <w:tcW w:w="2080" w:type="dxa"/>
            <w:noWrap/>
            <w:vAlign w:val="center"/>
          </w:tcPr>
          <w:p w14:paraId="5AD493B7">
            <w:pPr>
              <w:adjustRightInd w:val="0"/>
              <w:snapToGrid w:val="0"/>
              <w:spacing w:line="240" w:lineRule="auto"/>
              <w:jc w:val="center"/>
              <w:rPr>
                <w:rFonts w:ascii="宋体" w:hAnsi="宋体" w:cs="宋体"/>
                <w:szCs w:val="21"/>
              </w:rPr>
            </w:pPr>
            <w:r>
              <w:rPr>
                <w:rFonts w:hint="eastAsia" w:ascii="宋体" w:hAnsi="宋体" w:cs="宋体"/>
                <w:szCs w:val="21"/>
              </w:rPr>
              <w:t>解密时长</w:t>
            </w:r>
          </w:p>
        </w:tc>
        <w:tc>
          <w:tcPr>
            <w:tcW w:w="6533" w:type="dxa"/>
            <w:noWrap/>
            <w:vAlign w:val="center"/>
          </w:tcPr>
          <w:p w14:paraId="214EED27">
            <w:pPr>
              <w:adjustRightInd w:val="0"/>
              <w:snapToGrid w:val="0"/>
              <w:spacing w:line="240" w:lineRule="auto"/>
              <w:rPr>
                <w:rFonts w:ascii="宋体" w:hAnsi="宋体" w:cs="宋体"/>
                <w:szCs w:val="21"/>
                <w:u w:val="single"/>
              </w:rPr>
            </w:pPr>
            <w:r>
              <w:rPr>
                <w:rFonts w:hint="eastAsia" w:ascii="宋体" w:hAnsi="宋体" w:cs="宋体"/>
                <w:szCs w:val="21"/>
                <w:u w:val="single"/>
              </w:rPr>
              <w:t>系统提示解密开始后 30 分钟</w:t>
            </w:r>
          </w:p>
        </w:tc>
      </w:tr>
      <w:tr w14:paraId="5FDCF3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889" w:type="dxa"/>
            <w:gridSpan w:val="3"/>
            <w:noWrap/>
            <w:vAlign w:val="center"/>
          </w:tcPr>
          <w:p w14:paraId="321A8A44">
            <w:pPr>
              <w:adjustRightInd w:val="0"/>
              <w:snapToGrid w:val="0"/>
              <w:spacing w:line="240" w:lineRule="auto"/>
              <w:rPr>
                <w:rFonts w:ascii="宋体" w:hAnsi="宋体" w:cs="宋体"/>
                <w:b/>
                <w:szCs w:val="21"/>
              </w:rPr>
            </w:pPr>
            <w:r>
              <w:rPr>
                <w:rFonts w:hint="eastAsia" w:ascii="宋体" w:hAnsi="宋体" w:cs="宋体"/>
                <w:b/>
                <w:szCs w:val="21"/>
              </w:rPr>
              <w:t>六、中标信息公布</w:t>
            </w:r>
          </w:p>
        </w:tc>
      </w:tr>
      <w:tr w14:paraId="2A6D1C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ign w:val="center"/>
          </w:tcPr>
          <w:p w14:paraId="5719D8D7">
            <w:pPr>
              <w:adjustRightInd w:val="0"/>
              <w:snapToGrid w:val="0"/>
              <w:spacing w:line="240" w:lineRule="auto"/>
              <w:jc w:val="center"/>
              <w:rPr>
                <w:rFonts w:ascii="宋体" w:hAnsi="宋体" w:cs="宋体"/>
                <w:szCs w:val="21"/>
              </w:rPr>
            </w:pPr>
            <w:r>
              <w:rPr>
                <w:rFonts w:hint="eastAsia" w:ascii="宋体" w:hAnsi="宋体" w:cs="宋体"/>
                <w:szCs w:val="21"/>
              </w:rPr>
              <w:t>第31.2</w:t>
            </w:r>
            <w:r>
              <w:rPr>
                <w:rFonts w:hint="eastAsia" w:ascii="宋体" w:hAnsi="宋体" w:cs="宋体"/>
                <w:kern w:val="0"/>
                <w:szCs w:val="21"/>
                <w:lang w:val="zh-CN"/>
              </w:rPr>
              <w:t>款</w:t>
            </w:r>
          </w:p>
        </w:tc>
        <w:tc>
          <w:tcPr>
            <w:tcW w:w="2080" w:type="dxa"/>
            <w:noWrap/>
            <w:vAlign w:val="center"/>
          </w:tcPr>
          <w:p w14:paraId="7C08E471">
            <w:pPr>
              <w:adjustRightInd w:val="0"/>
              <w:snapToGrid w:val="0"/>
              <w:spacing w:beforeLines="50" w:line="240" w:lineRule="auto"/>
              <w:rPr>
                <w:rFonts w:ascii="宋体" w:hAnsi="宋体" w:cs="宋体"/>
                <w:szCs w:val="21"/>
              </w:rPr>
            </w:pPr>
            <w:r>
              <w:rPr>
                <w:rFonts w:hint="eastAsia" w:ascii="宋体" w:hAnsi="宋体" w:cs="宋体"/>
                <w:szCs w:val="21"/>
              </w:rPr>
              <w:t>确定中标人的方式</w:t>
            </w:r>
          </w:p>
        </w:tc>
        <w:tc>
          <w:tcPr>
            <w:tcW w:w="6533" w:type="dxa"/>
            <w:noWrap/>
            <w:vAlign w:val="center"/>
          </w:tcPr>
          <w:p w14:paraId="43F7F59F">
            <w:pPr>
              <w:adjustRightInd w:val="0"/>
              <w:snapToGrid w:val="0"/>
              <w:spacing w:beforeLines="50" w:line="240" w:lineRule="auto"/>
              <w:rPr>
                <w:rFonts w:ascii="宋体" w:hAnsi="宋体" w:cs="宋体"/>
                <w:szCs w:val="21"/>
              </w:rPr>
            </w:pPr>
            <w:r>
              <w:rPr>
                <w:rFonts w:hint="eastAsia" w:ascii="宋体" w:hAnsi="宋体" w:cs="宋体"/>
                <w:szCs w:val="21"/>
              </w:rPr>
              <w:t>■得分相同的，按投标报价由低到高顺序排列。得分且投标报价相同的，按技术指标优劣顺序排列。</w:t>
            </w:r>
          </w:p>
          <w:p w14:paraId="61BCD089">
            <w:pPr>
              <w:adjustRightInd w:val="0"/>
              <w:snapToGrid w:val="0"/>
              <w:spacing w:beforeLines="50" w:line="240" w:lineRule="auto"/>
              <w:rPr>
                <w:rFonts w:ascii="宋体" w:hAnsi="宋体" w:cs="宋体"/>
                <w:szCs w:val="21"/>
              </w:rPr>
            </w:pPr>
            <w:r>
              <w:rPr>
                <w:rFonts w:hint="eastAsia" w:ascii="宋体" w:hAnsi="宋体" w:cs="宋体"/>
                <w:szCs w:val="21"/>
              </w:rPr>
              <w:t>□随机抽取的方式。</w:t>
            </w:r>
          </w:p>
        </w:tc>
      </w:tr>
      <w:tr w14:paraId="14413C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ign w:val="center"/>
          </w:tcPr>
          <w:p w14:paraId="699E2E9D">
            <w:pPr>
              <w:adjustRightInd w:val="0"/>
              <w:snapToGrid w:val="0"/>
              <w:spacing w:line="240" w:lineRule="auto"/>
              <w:jc w:val="center"/>
              <w:rPr>
                <w:rFonts w:ascii="宋体" w:hAnsi="宋体" w:cs="宋体"/>
                <w:szCs w:val="21"/>
              </w:rPr>
            </w:pPr>
            <w:r>
              <w:rPr>
                <w:rFonts w:hint="eastAsia" w:ascii="宋体" w:hAnsi="宋体"/>
                <w:szCs w:val="21"/>
              </w:rPr>
              <w:t>第29.3</w:t>
            </w:r>
            <w:r>
              <w:rPr>
                <w:rFonts w:hint="eastAsia" w:ascii="宋体" w:hAnsi="宋体" w:cs="宋体"/>
                <w:kern w:val="0"/>
                <w:szCs w:val="21"/>
                <w:lang w:val="zh-CN"/>
              </w:rPr>
              <w:t>款</w:t>
            </w:r>
          </w:p>
        </w:tc>
        <w:tc>
          <w:tcPr>
            <w:tcW w:w="2080" w:type="dxa"/>
            <w:noWrap/>
            <w:vAlign w:val="center"/>
          </w:tcPr>
          <w:p w14:paraId="66DB771A">
            <w:pPr>
              <w:adjustRightInd w:val="0"/>
              <w:snapToGrid w:val="0"/>
              <w:spacing w:line="240" w:lineRule="auto"/>
              <w:jc w:val="left"/>
              <w:rPr>
                <w:rFonts w:ascii="宋体" w:hAnsi="宋体" w:cs="宋体"/>
                <w:szCs w:val="21"/>
              </w:rPr>
            </w:pPr>
            <w:r>
              <w:rPr>
                <w:rFonts w:hint="eastAsia" w:ascii="宋体" w:hAnsi="宋体"/>
                <w:szCs w:val="21"/>
              </w:rPr>
              <w:t>接收质疑函的联系部门、联系电话和通讯地址</w:t>
            </w:r>
          </w:p>
        </w:tc>
        <w:tc>
          <w:tcPr>
            <w:tcW w:w="6533" w:type="dxa"/>
            <w:noWrap/>
            <w:vAlign w:val="center"/>
          </w:tcPr>
          <w:p w14:paraId="1C2E88CA">
            <w:pPr>
              <w:adjustRightInd w:val="0"/>
              <w:snapToGrid w:val="0"/>
              <w:spacing w:line="240" w:lineRule="auto"/>
              <w:rPr>
                <w:rFonts w:ascii="宋体" w:hAnsi="宋体" w:cs="宋体"/>
                <w:szCs w:val="21"/>
              </w:rPr>
            </w:pPr>
            <w:r>
              <w:rPr>
                <w:rFonts w:hint="eastAsia" w:ascii="宋体" w:hAnsi="宋体" w:cs="宋体"/>
                <w:szCs w:val="21"/>
              </w:rPr>
              <w:t>名  称：</w:t>
            </w:r>
            <w:r>
              <w:rPr>
                <w:rFonts w:hint="eastAsia" w:ascii="宋体" w:hAnsi="宋体" w:cs="宋体"/>
                <w:szCs w:val="21"/>
                <w:u w:val="single"/>
              </w:rPr>
              <w:t>湖南晟美达工程管理咨询有限公司</w:t>
            </w:r>
          </w:p>
          <w:p w14:paraId="71CC6032">
            <w:pPr>
              <w:adjustRightInd w:val="0"/>
              <w:snapToGrid w:val="0"/>
              <w:spacing w:line="240" w:lineRule="auto"/>
              <w:rPr>
                <w:rFonts w:ascii="宋体" w:hAnsi="宋体" w:cs="宋体"/>
                <w:color w:val="0000FF"/>
                <w:szCs w:val="21"/>
              </w:rPr>
            </w:pPr>
            <w:r>
              <w:rPr>
                <w:rFonts w:hint="eastAsia" w:ascii="宋体" w:hAnsi="宋体" w:cs="宋体"/>
                <w:szCs w:val="21"/>
              </w:rPr>
              <w:t>地  址：</w:t>
            </w:r>
            <w:r>
              <w:rPr>
                <w:rFonts w:hint="eastAsia" w:ascii="宋体" w:hAnsi="宋体" w:cs="宋体"/>
                <w:szCs w:val="21"/>
                <w:u w:val="single"/>
              </w:rPr>
              <w:t>湖南省岳阳市岳阳楼区金鹗山街道万家坡社区原恒立公司办公楼三楼</w:t>
            </w:r>
          </w:p>
          <w:p w14:paraId="36FD2476">
            <w:pPr>
              <w:adjustRightInd w:val="0"/>
              <w:snapToGrid w:val="0"/>
              <w:spacing w:line="240" w:lineRule="auto"/>
              <w:rPr>
                <w:rFonts w:ascii="宋体" w:hAnsi="宋体" w:cs="宋体"/>
                <w:szCs w:val="21"/>
              </w:rPr>
            </w:pPr>
            <w:r>
              <w:rPr>
                <w:rFonts w:hint="eastAsia" w:ascii="宋体" w:hAnsi="宋体" w:cs="宋体"/>
                <w:szCs w:val="21"/>
              </w:rPr>
              <w:t>联系人：</w:t>
            </w:r>
            <w:r>
              <w:rPr>
                <w:rFonts w:hint="eastAsia" w:ascii="宋体" w:hAnsi="宋体" w:cs="宋体"/>
                <w:szCs w:val="21"/>
                <w:u w:val="single"/>
              </w:rPr>
              <w:t xml:space="preserve">陈先生  </w:t>
            </w:r>
            <w:r>
              <w:rPr>
                <w:rFonts w:hint="eastAsia" w:ascii="宋体" w:hAnsi="宋体" w:cs="宋体"/>
                <w:szCs w:val="21"/>
              </w:rPr>
              <w:t>联系电话：</w:t>
            </w:r>
            <w:r>
              <w:rPr>
                <w:rFonts w:hint="eastAsia" w:ascii="宋体" w:hAnsi="宋体" w:cs="宋体"/>
                <w:szCs w:val="21"/>
                <w:u w:val="single"/>
              </w:rPr>
              <w:t>17718904996</w:t>
            </w:r>
          </w:p>
        </w:tc>
      </w:tr>
      <w:tr w14:paraId="20D4F2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9889" w:type="dxa"/>
            <w:gridSpan w:val="3"/>
            <w:noWrap/>
            <w:vAlign w:val="center"/>
          </w:tcPr>
          <w:p w14:paraId="4DE40DC6">
            <w:pPr>
              <w:adjustRightInd w:val="0"/>
              <w:snapToGrid w:val="0"/>
              <w:spacing w:beforeLines="50" w:line="240" w:lineRule="auto"/>
              <w:rPr>
                <w:rFonts w:ascii="宋体" w:hAnsi="宋体" w:cs="宋体"/>
                <w:szCs w:val="21"/>
              </w:rPr>
            </w:pPr>
            <w:r>
              <w:rPr>
                <w:rFonts w:hint="eastAsia" w:ascii="宋体" w:hAnsi="宋体" w:cs="宋体"/>
                <w:szCs w:val="21"/>
              </w:rPr>
              <w:t>七、合同签订</w:t>
            </w:r>
          </w:p>
        </w:tc>
      </w:tr>
      <w:tr w14:paraId="2DACEA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62" w:hRule="atLeast"/>
        </w:trPr>
        <w:tc>
          <w:tcPr>
            <w:tcW w:w="1276" w:type="dxa"/>
            <w:noWrap/>
            <w:vAlign w:val="center"/>
          </w:tcPr>
          <w:p w14:paraId="6D7E722F">
            <w:pPr>
              <w:adjustRightInd w:val="0"/>
              <w:snapToGrid w:val="0"/>
              <w:spacing w:line="240" w:lineRule="auto"/>
              <w:jc w:val="center"/>
              <w:rPr>
                <w:rFonts w:ascii="宋体" w:hAnsi="宋体" w:cs="宋体"/>
                <w:szCs w:val="21"/>
              </w:rPr>
            </w:pPr>
            <w:r>
              <w:rPr>
                <w:rFonts w:hint="eastAsia" w:ascii="宋体" w:hAnsi="宋体" w:cs="宋体"/>
                <w:szCs w:val="21"/>
              </w:rPr>
              <w:t>第34.1</w:t>
            </w:r>
            <w:r>
              <w:rPr>
                <w:rFonts w:hint="eastAsia" w:ascii="宋体" w:hAnsi="宋体" w:cs="宋体"/>
                <w:kern w:val="0"/>
                <w:szCs w:val="21"/>
                <w:lang w:val="zh-CN"/>
              </w:rPr>
              <w:t>款</w:t>
            </w:r>
          </w:p>
        </w:tc>
        <w:tc>
          <w:tcPr>
            <w:tcW w:w="2080" w:type="dxa"/>
            <w:noWrap/>
            <w:vAlign w:val="center"/>
          </w:tcPr>
          <w:p w14:paraId="7BD54BB9">
            <w:pPr>
              <w:adjustRightInd w:val="0"/>
              <w:snapToGrid w:val="0"/>
              <w:spacing w:beforeLines="50" w:line="240" w:lineRule="auto"/>
              <w:jc w:val="center"/>
              <w:rPr>
                <w:rFonts w:ascii="宋体" w:hAnsi="宋体" w:cs="宋体"/>
                <w:szCs w:val="21"/>
              </w:rPr>
            </w:pPr>
            <w:r>
              <w:rPr>
                <w:rFonts w:hint="eastAsia" w:ascii="宋体" w:hAnsi="宋体" w:cs="宋体"/>
                <w:szCs w:val="21"/>
              </w:rPr>
              <w:t>履约担保</w:t>
            </w:r>
          </w:p>
        </w:tc>
        <w:tc>
          <w:tcPr>
            <w:tcW w:w="6533" w:type="dxa"/>
            <w:noWrap/>
            <w:vAlign w:val="center"/>
          </w:tcPr>
          <w:p w14:paraId="7591A07D">
            <w:pPr>
              <w:adjustRightInd w:val="0"/>
              <w:snapToGrid w:val="0"/>
              <w:spacing w:beforeLines="50" w:line="240" w:lineRule="auto"/>
              <w:rPr>
                <w:rFonts w:ascii="宋体" w:hAnsi="宋体"/>
                <w:szCs w:val="21"/>
              </w:rPr>
            </w:pPr>
            <w:r>
              <w:rPr>
                <w:rFonts w:hint="eastAsia" w:ascii="宋体" w:hAnsi="宋体"/>
                <w:szCs w:val="21"/>
              </w:rPr>
              <w:t>■ 不要求提供</w:t>
            </w:r>
          </w:p>
          <w:p w14:paraId="4381ECDE">
            <w:pPr>
              <w:adjustRightInd w:val="0"/>
              <w:snapToGrid w:val="0"/>
              <w:spacing w:beforeLines="50" w:line="240" w:lineRule="auto"/>
              <w:rPr>
                <w:rFonts w:ascii="宋体" w:hAnsi="宋体" w:cs="宋体"/>
                <w:szCs w:val="21"/>
              </w:rPr>
            </w:pPr>
            <w:r>
              <w:rPr>
                <w:rFonts w:hint="eastAsia" w:ascii="宋体" w:hAnsi="宋体"/>
                <w:szCs w:val="21"/>
              </w:rPr>
              <w:t>□ 要求提供，履约担保的金额为：_________。</w:t>
            </w:r>
          </w:p>
        </w:tc>
      </w:tr>
      <w:tr w14:paraId="6F3323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3" w:hRule="atLeast"/>
        </w:trPr>
        <w:tc>
          <w:tcPr>
            <w:tcW w:w="9889" w:type="dxa"/>
            <w:gridSpan w:val="3"/>
            <w:noWrap/>
            <w:vAlign w:val="center"/>
          </w:tcPr>
          <w:p w14:paraId="33B45D5F">
            <w:pPr>
              <w:adjustRightInd w:val="0"/>
              <w:snapToGrid w:val="0"/>
              <w:spacing w:beforeLines="50" w:line="240" w:lineRule="auto"/>
              <w:rPr>
                <w:rFonts w:ascii="宋体" w:hAnsi="宋体" w:cs="宋体"/>
                <w:szCs w:val="21"/>
              </w:rPr>
            </w:pPr>
            <w:r>
              <w:rPr>
                <w:rFonts w:hint="eastAsia" w:ascii="宋体" w:hAnsi="宋体" w:cs="宋体"/>
                <w:szCs w:val="21"/>
              </w:rPr>
              <w:t>八、其他规定</w:t>
            </w:r>
          </w:p>
        </w:tc>
      </w:tr>
      <w:tr w14:paraId="0F2300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ign w:val="center"/>
          </w:tcPr>
          <w:p w14:paraId="14369C68">
            <w:pPr>
              <w:adjustRightInd w:val="0"/>
              <w:snapToGrid w:val="0"/>
              <w:spacing w:line="240" w:lineRule="auto"/>
              <w:jc w:val="center"/>
              <w:rPr>
                <w:rFonts w:ascii="宋体" w:hAnsi="宋体" w:cs="宋体"/>
                <w:szCs w:val="21"/>
              </w:rPr>
            </w:pPr>
            <w:r>
              <w:rPr>
                <w:rFonts w:hint="eastAsia" w:ascii="宋体" w:hAnsi="宋体" w:cs="宋体"/>
                <w:szCs w:val="21"/>
              </w:rPr>
              <w:t>第38.2</w:t>
            </w:r>
            <w:r>
              <w:rPr>
                <w:rFonts w:hint="eastAsia" w:ascii="宋体" w:hAnsi="宋体" w:cs="宋体"/>
                <w:kern w:val="0"/>
                <w:szCs w:val="21"/>
                <w:lang w:val="zh-CN"/>
              </w:rPr>
              <w:t>款</w:t>
            </w:r>
          </w:p>
        </w:tc>
        <w:tc>
          <w:tcPr>
            <w:tcW w:w="2080" w:type="dxa"/>
            <w:noWrap/>
            <w:vAlign w:val="center"/>
          </w:tcPr>
          <w:p w14:paraId="540F5C56">
            <w:pPr>
              <w:adjustRightInd w:val="0"/>
              <w:snapToGrid w:val="0"/>
              <w:spacing w:line="240" w:lineRule="auto"/>
              <w:jc w:val="center"/>
              <w:rPr>
                <w:rFonts w:ascii="宋体" w:hAnsi="宋体" w:cs="宋体"/>
                <w:szCs w:val="21"/>
              </w:rPr>
            </w:pPr>
            <w:r>
              <w:rPr>
                <w:rFonts w:hint="eastAsia" w:ascii="宋体" w:hAnsi="宋体" w:cs="宋体"/>
                <w:szCs w:val="21"/>
              </w:rPr>
              <w:t>招标代理服务费</w:t>
            </w:r>
          </w:p>
        </w:tc>
        <w:tc>
          <w:tcPr>
            <w:tcW w:w="6533" w:type="dxa"/>
            <w:noWrap/>
            <w:vAlign w:val="center"/>
          </w:tcPr>
          <w:p w14:paraId="60D9A48F">
            <w:pPr>
              <w:adjustRightInd w:val="0"/>
              <w:snapToGrid w:val="0"/>
              <w:spacing w:line="240" w:lineRule="auto"/>
              <w:rPr>
                <w:rFonts w:hint="default" w:ascii="宋体" w:hAnsi="宋体" w:eastAsia="宋体" w:cs="宋体"/>
                <w:szCs w:val="21"/>
                <w:lang w:val="en-US" w:eastAsia="zh-CN"/>
              </w:rPr>
            </w:pPr>
            <w:r>
              <w:rPr>
                <w:rFonts w:hint="eastAsia" w:ascii="宋体" w:hAnsi="宋体" w:cs="宋体"/>
                <w:szCs w:val="21"/>
              </w:rPr>
              <w:t>招标代理服务费</w:t>
            </w:r>
            <w:r>
              <w:rPr>
                <w:rFonts w:hint="eastAsia" w:ascii="宋体" w:hAnsi="宋体" w:cs="宋体"/>
                <w:szCs w:val="21"/>
                <w:u w:val="single"/>
              </w:rPr>
              <w:t>：采购代理机构按照</w:t>
            </w:r>
            <w:r>
              <w:rPr>
                <w:rFonts w:hint="eastAsia" w:ascii="宋体" w:hAnsi="宋体" w:cs="宋体"/>
                <w:szCs w:val="21"/>
                <w:u w:val="single"/>
                <w:lang w:val="en-US" w:eastAsia="zh-CN"/>
              </w:rPr>
              <w:t>合同约</w:t>
            </w:r>
            <w:r>
              <w:rPr>
                <w:rFonts w:hint="eastAsia" w:ascii="宋体" w:hAnsi="宋体" w:cs="宋体"/>
                <w:szCs w:val="21"/>
                <w:u w:val="single"/>
              </w:rPr>
              <w:t>定向采购人收取代理服务费</w:t>
            </w:r>
            <w:r>
              <w:rPr>
                <w:rFonts w:hint="eastAsia" w:ascii="宋体" w:hAnsi="宋体" w:cs="宋体"/>
                <w:szCs w:val="21"/>
                <w:u w:val="single"/>
                <w:lang w:val="en-US" w:eastAsia="zh-CN"/>
              </w:rPr>
              <w:t>25800</w:t>
            </w:r>
            <w:r>
              <w:rPr>
                <w:rFonts w:hint="eastAsia" w:ascii="宋体" w:hAnsi="宋体" w:cs="宋体"/>
                <w:szCs w:val="21"/>
                <w:u w:val="single"/>
              </w:rPr>
              <w:t>.00元</w:t>
            </w:r>
            <w:r>
              <w:rPr>
                <w:rFonts w:hint="eastAsia" w:ascii="宋体" w:hAnsi="宋体" w:cs="宋体"/>
                <w:szCs w:val="21"/>
                <w:u w:val="single"/>
                <w:lang w:eastAsia="zh-CN"/>
              </w:rPr>
              <w:t>，</w:t>
            </w:r>
            <w:r>
              <w:rPr>
                <w:rFonts w:hint="eastAsia" w:ascii="宋体" w:hAnsi="宋体" w:cs="宋体"/>
                <w:szCs w:val="21"/>
                <w:u w:val="single"/>
                <w:lang w:val="en-US" w:eastAsia="zh-CN"/>
              </w:rPr>
              <w:t>招标采购程序完成后支付，支付方式为采购人向代理机构转账支付。</w:t>
            </w:r>
          </w:p>
        </w:tc>
      </w:tr>
      <w:tr w14:paraId="2010F0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ign w:val="center"/>
          </w:tcPr>
          <w:p w14:paraId="268E5915">
            <w:pPr>
              <w:adjustRightInd w:val="0"/>
              <w:snapToGrid w:val="0"/>
              <w:spacing w:line="240" w:lineRule="auto"/>
              <w:jc w:val="center"/>
              <w:rPr>
                <w:rFonts w:ascii="宋体" w:hAnsi="宋体" w:cs="宋体"/>
                <w:szCs w:val="21"/>
              </w:rPr>
            </w:pPr>
            <w:r>
              <w:rPr>
                <w:rFonts w:hint="eastAsia" w:ascii="宋体" w:hAnsi="宋体" w:cs="宋体"/>
                <w:szCs w:val="21"/>
              </w:rPr>
              <w:t>第39.1</w:t>
            </w:r>
            <w:r>
              <w:rPr>
                <w:rFonts w:hint="eastAsia" w:ascii="宋体" w:hAnsi="宋体" w:cs="宋体"/>
                <w:kern w:val="0"/>
                <w:szCs w:val="21"/>
                <w:lang w:val="zh-CN"/>
              </w:rPr>
              <w:t>款</w:t>
            </w:r>
          </w:p>
        </w:tc>
        <w:tc>
          <w:tcPr>
            <w:tcW w:w="2080" w:type="dxa"/>
            <w:noWrap/>
            <w:vAlign w:val="center"/>
          </w:tcPr>
          <w:p w14:paraId="1FCAD577">
            <w:pPr>
              <w:adjustRightInd w:val="0"/>
              <w:snapToGrid w:val="0"/>
              <w:spacing w:line="240" w:lineRule="auto"/>
              <w:jc w:val="center"/>
              <w:rPr>
                <w:rFonts w:ascii="宋体" w:hAnsi="宋体" w:cs="宋体"/>
                <w:szCs w:val="21"/>
              </w:rPr>
            </w:pPr>
            <w:r>
              <w:rPr>
                <w:rFonts w:hint="eastAsia" w:ascii="宋体" w:hAnsi="宋体" w:cs="宋体"/>
                <w:szCs w:val="21"/>
              </w:rPr>
              <w:t>其他规定</w:t>
            </w:r>
          </w:p>
        </w:tc>
        <w:tc>
          <w:tcPr>
            <w:tcW w:w="6533" w:type="dxa"/>
            <w:noWrap/>
            <w:vAlign w:val="center"/>
          </w:tcPr>
          <w:p w14:paraId="65B2C0C6">
            <w:pPr>
              <w:adjustRightInd w:val="0"/>
              <w:snapToGrid w:val="0"/>
              <w:spacing w:line="240" w:lineRule="auto"/>
              <w:rPr>
                <w:rFonts w:ascii="宋体" w:hAnsi="宋体" w:cs="宋体"/>
              </w:rPr>
            </w:pPr>
            <w:r>
              <w:rPr>
                <w:rFonts w:hint="eastAsia" w:ascii="宋体" w:hAnsi="宋体" w:cs="宋体"/>
              </w:rPr>
              <w:t>对列入失信被执行人、重大税收违法案件当事人名单、政府采购严重违法失信行为记录名单及其他不符合《中华人民共和国政府采购法》第二十二条规定条件的供应商，应当拒绝其参与政府采购活动。</w:t>
            </w:r>
          </w:p>
          <w:p w14:paraId="74590B5E">
            <w:pPr>
              <w:adjustRightInd w:val="0"/>
              <w:snapToGrid w:val="0"/>
              <w:spacing w:line="240" w:lineRule="auto"/>
              <w:rPr>
                <w:rFonts w:ascii="宋体" w:hAnsi="宋体" w:cs="宋体"/>
              </w:rPr>
            </w:pPr>
            <w:r>
              <w:rPr>
                <w:rFonts w:hint="eastAsia" w:ascii="宋体" w:hAnsi="宋体" w:cs="宋体"/>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7276B539">
            <w:pPr>
              <w:adjustRightInd w:val="0"/>
              <w:snapToGrid w:val="0"/>
              <w:spacing w:line="240" w:lineRule="auto"/>
              <w:jc w:val="left"/>
              <w:rPr>
                <w:rFonts w:ascii="宋体" w:hAnsi="宋体" w:cs="宋体"/>
              </w:rPr>
            </w:pPr>
            <w:r>
              <w:rPr>
                <w:rFonts w:hint="eastAsia" w:ascii="宋体" w:hAnsi="宋体" w:cs="宋体"/>
              </w:rPr>
              <w:t>1、信用信息查询的查询渠道：信用中国网站（www.creditchina.gov.cn）、中国政府采购网（www.ccgp.gov.cn）、湖南信用网（www.hncredit.gov.cn）和湖南省政府采购网（</w:t>
            </w:r>
            <w:r>
              <w:fldChar w:fldCharType="begin"/>
            </w:r>
            <w:r>
              <w:instrText xml:space="preserve"> HYPERLINK "http://www.ccgp-hunan.gov.cn" </w:instrText>
            </w:r>
            <w:r>
              <w:fldChar w:fldCharType="separate"/>
            </w:r>
            <w:r>
              <w:rPr>
                <w:rFonts w:hint="eastAsia" w:ascii="宋体" w:hAnsi="宋体" w:cs="宋体"/>
              </w:rPr>
              <w:t>www.ccgp-hunan.gov.cn</w:t>
            </w:r>
            <w:r>
              <w:rPr>
                <w:rFonts w:hint="eastAsia" w:ascii="宋体" w:hAnsi="宋体" w:cs="宋体"/>
              </w:rPr>
              <w:fldChar w:fldCharType="end"/>
            </w:r>
            <w:r>
              <w:rPr>
                <w:rFonts w:hint="eastAsia" w:ascii="宋体" w:hAnsi="宋体" w:cs="宋体"/>
              </w:rPr>
              <w:t>）。</w:t>
            </w:r>
          </w:p>
          <w:p w14:paraId="25E931DF">
            <w:pPr>
              <w:adjustRightInd w:val="0"/>
              <w:snapToGrid w:val="0"/>
              <w:spacing w:line="240" w:lineRule="auto"/>
              <w:rPr>
                <w:rFonts w:ascii="宋体" w:hAnsi="宋体" w:cs="宋体"/>
              </w:rPr>
            </w:pPr>
            <w:r>
              <w:rPr>
                <w:rFonts w:hint="eastAsia" w:ascii="宋体" w:hAnsi="宋体" w:cs="宋体"/>
              </w:rPr>
              <w:t>2、信用信息查询的截止时点：至本项目投标截止时间止。</w:t>
            </w:r>
          </w:p>
          <w:p w14:paraId="693D2942">
            <w:pPr>
              <w:adjustRightInd w:val="0"/>
              <w:snapToGrid w:val="0"/>
              <w:spacing w:line="240" w:lineRule="auto"/>
              <w:rPr>
                <w:rFonts w:ascii="宋体" w:hAnsi="宋体" w:cs="宋体"/>
              </w:rPr>
            </w:pPr>
            <w:r>
              <w:rPr>
                <w:rFonts w:hint="eastAsia" w:ascii="宋体" w:hAnsi="宋体" w:cs="宋体"/>
              </w:rPr>
              <w:t>3、信用信息查询记录的具体方式：由采购人或采购代理机构在规定的查询渠道进行查询。</w:t>
            </w:r>
          </w:p>
          <w:p w14:paraId="42F6DF75">
            <w:pPr>
              <w:adjustRightInd w:val="0"/>
              <w:snapToGrid w:val="0"/>
              <w:spacing w:line="240" w:lineRule="auto"/>
              <w:rPr>
                <w:rFonts w:ascii="宋体" w:hAnsi="宋体" w:cs="宋体"/>
              </w:rPr>
            </w:pPr>
            <w:r>
              <w:rPr>
                <w:rFonts w:hint="eastAsia" w:ascii="宋体" w:hAnsi="宋体" w:cs="宋体"/>
              </w:rPr>
              <w:t>4、信用信息查询记录证据留存的具体方式：查询记录的网上打印件。</w:t>
            </w:r>
          </w:p>
          <w:p w14:paraId="66DA884B">
            <w:pPr>
              <w:adjustRightInd w:val="0"/>
              <w:snapToGrid w:val="0"/>
              <w:spacing w:line="240" w:lineRule="auto"/>
              <w:rPr>
                <w:rFonts w:ascii="宋体" w:hAnsi="宋体" w:cs="宋体"/>
              </w:rPr>
            </w:pPr>
            <w:r>
              <w:rPr>
                <w:rFonts w:hint="eastAsia" w:ascii="宋体" w:hAnsi="宋体" w:cs="宋体"/>
              </w:rPr>
              <w:t>5、信用信息的使用规则：留存备查。</w:t>
            </w:r>
          </w:p>
          <w:p w14:paraId="43D11CAF">
            <w:pPr>
              <w:adjustRightInd w:val="0"/>
              <w:snapToGrid w:val="0"/>
              <w:spacing w:line="240" w:lineRule="auto"/>
            </w:pPr>
            <w:r>
              <w:rPr>
                <w:rFonts w:hint="eastAsia"/>
              </w:rPr>
              <w:t>6、供应商如有本文件中规定的价格扣除因素，在投标文件中必须提供依据，并将该部分产品分别单独列表且计算该部分产品占总投标报价的比重，否则评审时不对该部分产品实行价格扣除。</w:t>
            </w:r>
          </w:p>
          <w:p w14:paraId="4E7594B4">
            <w:pPr>
              <w:adjustRightInd w:val="0"/>
              <w:snapToGrid w:val="0"/>
              <w:spacing w:line="240" w:lineRule="auto"/>
            </w:pPr>
            <w:r>
              <w:rPr>
                <w:rFonts w:hint="eastAsia"/>
              </w:rPr>
              <w:t>7、质疑处理：本项目如果引起质疑，则由过错方承担质疑费用，如果是供应商某方过错，则由供应商过错方承担相关费用。</w:t>
            </w:r>
          </w:p>
          <w:p w14:paraId="7FD92F88">
            <w:pPr>
              <w:adjustRightInd w:val="0"/>
              <w:snapToGrid w:val="0"/>
              <w:spacing w:line="240" w:lineRule="auto"/>
              <w:rPr>
                <w:rFonts w:ascii="宋体" w:hAnsi="宋体" w:cs="宋体"/>
              </w:rPr>
            </w:pPr>
            <w:r>
              <w:rPr>
                <w:rFonts w:hint="eastAsia"/>
              </w:rPr>
              <w:t>8、</w:t>
            </w:r>
            <w:r>
              <w:rPr>
                <w:rFonts w:hint="eastAsia" w:ascii="宋体" w:hAnsi="宋体" w:cs="宋体"/>
              </w:rPr>
              <w:t>其他未尽事项，在合同中约定。</w:t>
            </w:r>
          </w:p>
        </w:tc>
      </w:tr>
    </w:tbl>
    <w:p w14:paraId="60A27706">
      <w:pPr>
        <w:adjustRightInd w:val="0"/>
        <w:snapToGrid w:val="0"/>
        <w:spacing w:line="360" w:lineRule="auto"/>
        <w:rPr>
          <w:rFonts w:ascii="宋体" w:hAnsi="宋体" w:cs="宋体"/>
          <w:kern w:val="0"/>
          <w:szCs w:val="21"/>
        </w:rPr>
      </w:pPr>
    </w:p>
    <w:p w14:paraId="3AC23666">
      <w:pPr>
        <w:pStyle w:val="120"/>
        <w:rPr>
          <w:rFonts w:ascii="宋体" w:hAnsi="宋体" w:cs="宋体"/>
          <w:szCs w:val="21"/>
        </w:rPr>
      </w:pPr>
    </w:p>
    <w:p w14:paraId="3B40DF78">
      <w:pPr>
        <w:pStyle w:val="120"/>
        <w:ind w:firstLine="0"/>
        <w:rPr>
          <w:rFonts w:ascii="宋体" w:hAnsi="宋体" w:cs="宋体"/>
          <w:szCs w:val="21"/>
        </w:rPr>
      </w:pPr>
      <w:r>
        <w:rPr>
          <w:rFonts w:hint="eastAsia" w:ascii="宋体" w:hAnsi="宋体" w:cs="宋体"/>
          <w:szCs w:val="21"/>
        </w:rPr>
        <w:t>附页2-1</w:t>
      </w:r>
    </w:p>
    <w:p w14:paraId="1FA99712">
      <w:pPr>
        <w:adjustRightInd w:val="0"/>
        <w:snapToGrid w:val="0"/>
        <w:spacing w:line="360" w:lineRule="auto"/>
        <w:jc w:val="center"/>
        <w:rPr>
          <w:rFonts w:eastAsia="方正小标宋简体"/>
          <w:bCs/>
          <w:sz w:val="20"/>
          <w:szCs w:val="20"/>
        </w:rPr>
      </w:pPr>
      <w:r>
        <w:rPr>
          <w:rFonts w:hint="eastAsia" w:ascii="宋体" w:hAnsi="宋体" w:cs="宋体"/>
          <w:b/>
          <w:sz w:val="32"/>
          <w:szCs w:val="32"/>
        </w:rPr>
        <w:t>政府采购招标文件“中标贷”推广介绍</w:t>
      </w:r>
    </w:p>
    <w:p w14:paraId="44DA8928">
      <w:pPr>
        <w:pStyle w:val="90"/>
        <w:widowControl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为进一步优化营商环境，帮助企业解决融资难、融资贵的问题，所有在岳阳市成交的政府采购类项目，中标企业都可以通过中标贷平台在线向银行提出贷款申请。</w:t>
      </w:r>
    </w:p>
    <w:p w14:paraId="741496DE">
      <w:pPr>
        <w:pStyle w:val="90"/>
        <w:widowControl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中标贷是银行、担保公司等金融机构以工程建设、政府采购合同为载体，以财政支付为保障，以企业参与公共资源交易形成的信用为融资依据，向中标企业发放的信用贷款。</w:t>
      </w:r>
    </w:p>
    <w:p w14:paraId="4B9EE916">
      <w:pPr>
        <w:pStyle w:val="90"/>
        <w:widowControl w:val="0"/>
        <w:spacing w:line="360" w:lineRule="auto"/>
        <w:ind w:firstLine="420" w:firstLineChars="200"/>
        <w:outlineLvl w:val="0"/>
        <w:rPr>
          <w:rFonts w:hint="eastAsia" w:ascii="宋体" w:hAnsi="宋体" w:eastAsia="宋体" w:cs="宋体"/>
          <w:sz w:val="21"/>
          <w:szCs w:val="21"/>
        </w:rPr>
      </w:pPr>
      <w:bookmarkStart w:id="54" w:name="_Toc9918"/>
      <w:r>
        <w:rPr>
          <w:rFonts w:hint="eastAsia" w:ascii="宋体" w:hAnsi="宋体" w:eastAsia="宋体" w:cs="宋体"/>
          <w:sz w:val="21"/>
          <w:szCs w:val="21"/>
        </w:rPr>
        <w:t>一、中标贷的特点</w:t>
      </w:r>
      <w:bookmarkEnd w:id="54"/>
    </w:p>
    <w:p w14:paraId="5BC1C365">
      <w:pPr>
        <w:pStyle w:val="90"/>
        <w:widowControl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在线申请，快捷方便：中标企业用CA证书即可登录中标贷平台，进行在线申请。银行贷前、贷中调查需要的企业相关资料，都可以在线提交。</w:t>
      </w:r>
    </w:p>
    <w:p w14:paraId="2AA0B382">
      <w:pPr>
        <w:pStyle w:val="90"/>
        <w:widowControl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信用贷款，无需抵押：凭中标通知书，中标合同即可申请，无需抵押。</w:t>
      </w:r>
    </w:p>
    <w:p w14:paraId="6A224CCE">
      <w:pPr>
        <w:pStyle w:val="90"/>
        <w:widowControl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平台渠道，利率优惠：相比其他渠道的同类贷款，银行针对中标贷给出的利率优惠力度更大。</w:t>
      </w:r>
    </w:p>
    <w:p w14:paraId="2B701A07">
      <w:pPr>
        <w:pStyle w:val="90"/>
        <w:widowControl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专用产品，放款快速：银行提供专用产品匹配中标贷，中标企业提交中标合同、约定还款账号等关键资料后，符合条件的，不超过15天即可放款。</w:t>
      </w:r>
    </w:p>
    <w:p w14:paraId="2240813C">
      <w:pPr>
        <w:pStyle w:val="90"/>
        <w:widowControl w:val="0"/>
        <w:spacing w:line="360" w:lineRule="auto"/>
        <w:ind w:firstLine="420" w:firstLineChars="200"/>
        <w:outlineLvl w:val="0"/>
        <w:rPr>
          <w:rFonts w:hint="eastAsia" w:ascii="宋体" w:hAnsi="宋体" w:eastAsia="宋体" w:cs="宋体"/>
          <w:sz w:val="21"/>
          <w:szCs w:val="21"/>
        </w:rPr>
      </w:pPr>
      <w:bookmarkStart w:id="55" w:name="_Toc31275"/>
      <w:r>
        <w:rPr>
          <w:rFonts w:hint="eastAsia" w:ascii="宋体" w:hAnsi="宋体" w:eastAsia="宋体" w:cs="宋体"/>
          <w:sz w:val="21"/>
          <w:szCs w:val="21"/>
        </w:rPr>
        <w:t>二、中标贷的操作</w:t>
      </w:r>
      <w:bookmarkEnd w:id="55"/>
    </w:p>
    <w:p w14:paraId="761B71C2">
      <w:pPr>
        <w:pStyle w:val="90"/>
        <w:widowControl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登录入口：</w:t>
      </w:r>
    </w:p>
    <w:p w14:paraId="037D7EDC">
      <w:pPr>
        <w:pStyle w:val="90"/>
        <w:widowControl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岳阳市公共资源交易中心官网-中标贷平台，</w:t>
      </w:r>
    </w:p>
    <w:p w14:paraId="511D0888">
      <w:pPr>
        <w:pStyle w:val="90"/>
        <w:widowControl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或https://hnyy.biddingloan.com</w:t>
      </w:r>
    </w:p>
    <w:p w14:paraId="57557B4C">
      <w:pPr>
        <w:pStyle w:val="90"/>
        <w:widowControl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登录工具：企业CA（湖南CA办理电话：0730-8181828）</w:t>
      </w:r>
    </w:p>
    <w:p w14:paraId="6D1B1921">
      <w:pPr>
        <w:pStyle w:val="90"/>
        <w:widowControl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贷款申请：详见“中标贷操作手册 ”。</w:t>
      </w:r>
    </w:p>
    <w:p w14:paraId="7C22BB79">
      <w:pPr>
        <w:pStyle w:val="90"/>
        <w:widowControl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岳阳市公共资源交易中心官网-办事服务-政府采购-【中标贷手册V1.2.4】，或下载</w:t>
      </w:r>
    </w:p>
    <w:p w14:paraId="6EACD89D">
      <w:pPr>
        <w:pStyle w:val="90"/>
        <w:widowControl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"http://ggzy.yueyang.gov.cn/uploadfiles/202009/20200917151230447.pdf" </w:instrText>
      </w:r>
      <w:r>
        <w:rPr>
          <w:rFonts w:hint="eastAsia" w:ascii="宋体" w:hAnsi="宋体" w:eastAsia="宋体" w:cs="宋体"/>
          <w:sz w:val="21"/>
          <w:szCs w:val="21"/>
        </w:rPr>
        <w:fldChar w:fldCharType="separate"/>
      </w:r>
      <w:r>
        <w:rPr>
          <w:rStyle w:val="83"/>
          <w:rFonts w:hint="eastAsia" w:ascii="宋体" w:hAnsi="宋体" w:eastAsia="宋体" w:cs="宋体"/>
          <w:color w:val="auto"/>
          <w:sz w:val="21"/>
          <w:szCs w:val="21"/>
          <w:u w:val="none"/>
        </w:rPr>
        <w:t>http://ggzy.yueyang.gov.cn/uploadfiles/202009/20200917151230447.pdf</w:t>
      </w:r>
      <w:r>
        <w:rPr>
          <w:rStyle w:val="83"/>
          <w:rFonts w:hint="eastAsia" w:ascii="宋体" w:hAnsi="宋体" w:eastAsia="宋体" w:cs="宋体"/>
          <w:color w:val="auto"/>
          <w:sz w:val="21"/>
          <w:szCs w:val="21"/>
          <w:u w:val="none"/>
        </w:rPr>
        <w:fldChar w:fldCharType="end"/>
      </w:r>
    </w:p>
    <w:p w14:paraId="7A994BEE">
      <w:pPr>
        <w:pStyle w:val="90"/>
        <w:widowControl w:val="0"/>
        <w:spacing w:line="360" w:lineRule="auto"/>
        <w:ind w:firstLine="420" w:firstLineChars="200"/>
        <w:outlineLvl w:val="0"/>
        <w:rPr>
          <w:rFonts w:hint="eastAsia" w:ascii="宋体" w:hAnsi="宋体" w:eastAsia="宋体" w:cs="宋体"/>
          <w:sz w:val="21"/>
          <w:szCs w:val="21"/>
        </w:rPr>
      </w:pPr>
      <w:bookmarkStart w:id="56" w:name="_Toc11226"/>
      <w:r>
        <w:rPr>
          <w:rFonts w:hint="eastAsia" w:ascii="宋体" w:hAnsi="宋体" w:eastAsia="宋体" w:cs="宋体"/>
          <w:sz w:val="21"/>
          <w:szCs w:val="21"/>
        </w:rPr>
        <w:t>三、业务咨询电话</w:t>
      </w:r>
      <w:bookmarkEnd w:id="56"/>
    </w:p>
    <w:p w14:paraId="52743E18">
      <w:pPr>
        <w:pStyle w:val="90"/>
        <w:widowControl w:val="0"/>
        <w:autoSpaceDN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0730-2966626，张女士</w:t>
      </w:r>
    </w:p>
    <w:p w14:paraId="20EA901E">
      <w:pPr>
        <w:pStyle w:val="90"/>
        <w:widowControl w:val="0"/>
        <w:autoSpaceDN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16673063296，陈工</w:t>
      </w:r>
    </w:p>
    <w:p w14:paraId="6F5771E9">
      <w:pPr>
        <w:pStyle w:val="90"/>
        <w:widowControl w:val="0"/>
        <w:autoSpaceDN w:val="0"/>
        <w:spacing w:line="360" w:lineRule="auto"/>
        <w:ind w:firstLine="480" w:firstLineChars="200"/>
        <w:rPr>
          <w:rFonts w:hint="default" w:ascii="宋体" w:hAnsi="宋体" w:eastAsia="宋体" w:cs="宋体"/>
          <w:sz w:val="21"/>
          <w:szCs w:val="21"/>
          <w:lang w:val="en-US" w:eastAsia="zh-CN"/>
        </w:rPr>
      </w:pPr>
      <w:r>
        <w:rPr>
          <w:rFonts w:ascii="Segoe UI" w:hAnsi="Segoe UI" w:eastAsia="Segoe UI" w:cs="Segoe UI"/>
          <w:i w:val="0"/>
          <w:iCs w:val="0"/>
          <w:caps w:val="0"/>
          <w:spacing w:val="0"/>
          <w:sz w:val="24"/>
          <w:szCs w:val="24"/>
          <w:shd w:val="clear" w:fill="FFFFFF"/>
        </w:rPr>
        <w:t>“中标贷为自愿申请，不影响中标资格</w:t>
      </w:r>
      <w:r>
        <w:rPr>
          <w:rFonts w:hint="eastAsia" w:ascii="Segoe UI" w:hAnsi="Segoe UI" w:eastAsia="宋体" w:cs="Segoe UI"/>
          <w:i w:val="0"/>
          <w:iCs w:val="0"/>
          <w:caps w:val="0"/>
          <w:spacing w:val="0"/>
          <w:sz w:val="24"/>
          <w:szCs w:val="24"/>
          <w:shd w:val="clear" w:fill="FFFFFF"/>
          <w:lang w:eastAsia="zh-CN"/>
        </w:rPr>
        <w:t>，</w:t>
      </w:r>
      <w:r>
        <w:rPr>
          <w:rFonts w:hint="eastAsia" w:ascii="Segoe UI" w:hAnsi="Segoe UI" w:eastAsia="宋体" w:cs="Segoe UI"/>
          <w:i w:val="0"/>
          <w:iCs w:val="0"/>
          <w:caps w:val="0"/>
          <w:spacing w:val="0"/>
          <w:sz w:val="24"/>
          <w:szCs w:val="24"/>
          <w:shd w:val="clear" w:fill="FFFFFF"/>
          <w:lang w:val="en-US" w:eastAsia="zh-CN"/>
        </w:rPr>
        <w:t>详情咨询业务联系电话。</w:t>
      </w:r>
    </w:p>
    <w:p w14:paraId="70A14A7F">
      <w:pPr>
        <w:pStyle w:val="90"/>
        <w:widowControl w:val="0"/>
        <w:autoSpaceDN w:val="0"/>
        <w:spacing w:line="360" w:lineRule="auto"/>
        <w:ind w:firstLine="420" w:firstLineChars="200"/>
        <w:rPr>
          <w:rFonts w:hint="eastAsia" w:ascii="宋体" w:hAnsi="宋体" w:eastAsia="宋体" w:cs="宋体"/>
          <w:sz w:val="21"/>
          <w:szCs w:val="21"/>
        </w:rPr>
      </w:pPr>
    </w:p>
    <w:p w14:paraId="3D758BB2">
      <w:pPr>
        <w:pStyle w:val="90"/>
        <w:widowControl w:val="0"/>
        <w:autoSpaceDN w:val="0"/>
        <w:spacing w:line="360" w:lineRule="auto"/>
        <w:ind w:firstLine="420" w:firstLineChars="200"/>
        <w:rPr>
          <w:rFonts w:hint="eastAsia" w:ascii="宋体" w:hAnsi="宋体" w:eastAsia="宋体" w:cs="宋体"/>
          <w:sz w:val="21"/>
          <w:szCs w:val="21"/>
        </w:rPr>
      </w:pPr>
    </w:p>
    <w:p w14:paraId="009CADCC">
      <w:pPr>
        <w:pStyle w:val="90"/>
        <w:widowControl w:val="0"/>
        <w:autoSpaceDN w:val="0"/>
        <w:spacing w:line="360" w:lineRule="auto"/>
        <w:ind w:firstLine="420" w:firstLineChars="200"/>
        <w:rPr>
          <w:rFonts w:hint="eastAsia" w:ascii="宋体" w:hAnsi="宋体" w:eastAsia="宋体" w:cs="宋体"/>
          <w:sz w:val="21"/>
          <w:szCs w:val="21"/>
        </w:rPr>
      </w:pPr>
    </w:p>
    <w:p w14:paraId="743DC3D7">
      <w:pPr>
        <w:pStyle w:val="90"/>
        <w:widowControl w:val="0"/>
        <w:autoSpaceDN w:val="0"/>
        <w:spacing w:line="360" w:lineRule="auto"/>
        <w:ind w:firstLine="420" w:firstLineChars="200"/>
        <w:rPr>
          <w:rFonts w:hint="eastAsia" w:ascii="宋体" w:hAnsi="宋体" w:eastAsia="宋体" w:cs="宋体"/>
          <w:sz w:val="21"/>
          <w:szCs w:val="21"/>
        </w:rPr>
      </w:pPr>
    </w:p>
    <w:p w14:paraId="0273889D">
      <w:pPr>
        <w:pStyle w:val="90"/>
        <w:widowControl w:val="0"/>
        <w:autoSpaceDN w:val="0"/>
        <w:spacing w:line="360" w:lineRule="auto"/>
        <w:ind w:firstLine="420" w:firstLineChars="200"/>
        <w:rPr>
          <w:rFonts w:hint="eastAsia" w:ascii="宋体" w:hAnsi="宋体" w:eastAsia="宋体" w:cs="宋体"/>
          <w:sz w:val="21"/>
          <w:szCs w:val="21"/>
        </w:rPr>
      </w:pPr>
    </w:p>
    <w:p w14:paraId="5F58FA11">
      <w:pPr>
        <w:pStyle w:val="90"/>
        <w:widowControl w:val="0"/>
        <w:autoSpaceDN w:val="0"/>
        <w:spacing w:line="360" w:lineRule="auto"/>
        <w:ind w:firstLine="420" w:firstLineChars="200"/>
        <w:rPr>
          <w:rFonts w:hint="eastAsia" w:ascii="宋体" w:hAnsi="宋体" w:eastAsia="宋体" w:cs="宋体"/>
          <w:sz w:val="21"/>
          <w:szCs w:val="21"/>
        </w:rPr>
      </w:pPr>
    </w:p>
    <w:p w14:paraId="5EF83B3A">
      <w:pPr>
        <w:adjustRightInd w:val="0"/>
        <w:snapToGrid w:val="0"/>
        <w:spacing w:line="360" w:lineRule="auto"/>
        <w:rPr>
          <w:rFonts w:ascii="宋体" w:hAnsi="宋体" w:cs="宋体"/>
          <w:kern w:val="0"/>
          <w:szCs w:val="21"/>
        </w:rPr>
      </w:pPr>
      <w:r>
        <w:rPr>
          <w:rFonts w:hint="eastAsia" w:ascii="宋体" w:hAnsi="宋体" w:cs="宋体"/>
          <w:kern w:val="0"/>
          <w:szCs w:val="21"/>
        </w:rPr>
        <w:t>附页2-2</w:t>
      </w:r>
    </w:p>
    <w:p w14:paraId="4EAEDA5B">
      <w:pPr>
        <w:spacing w:line="360" w:lineRule="exact"/>
        <w:ind w:right="-58"/>
        <w:jc w:val="center"/>
        <w:outlineLvl w:val="1"/>
        <w:rPr>
          <w:rFonts w:ascii="宋体" w:hAnsi="宋体" w:cs="宋体"/>
          <w:b/>
          <w:sz w:val="32"/>
          <w:szCs w:val="32"/>
        </w:rPr>
      </w:pPr>
      <w:bookmarkStart w:id="57" w:name="_Toc11776"/>
      <w:bookmarkStart w:id="58" w:name="_Toc25370"/>
      <w:r>
        <w:rPr>
          <w:rFonts w:hint="eastAsia" w:ascii="宋体" w:hAnsi="宋体" w:cs="宋体"/>
          <w:b/>
          <w:sz w:val="32"/>
          <w:szCs w:val="32"/>
        </w:rPr>
        <w:t>岳阳市公共资源交易事前信用承诺书</w:t>
      </w:r>
      <w:bookmarkEnd w:id="57"/>
      <w:bookmarkEnd w:id="58"/>
    </w:p>
    <w:p w14:paraId="7010575E">
      <w:pPr>
        <w:spacing w:line="560" w:lineRule="exact"/>
        <w:ind w:right="-58" w:firstLine="843" w:firstLineChars="300"/>
        <w:outlineLvl w:val="1"/>
        <w:rPr>
          <w:rFonts w:ascii="宋体" w:hAnsi="宋体" w:cs="宋体"/>
          <w:kern w:val="0"/>
          <w:sz w:val="32"/>
          <w:szCs w:val="32"/>
        </w:rPr>
      </w:pPr>
      <w:bookmarkStart w:id="59" w:name="_Toc12761"/>
      <w:bookmarkStart w:id="60" w:name="_Toc10211"/>
      <w:r>
        <w:rPr>
          <w:rFonts w:hint="eastAsia" w:ascii="宋体" w:hAnsi="宋体" w:cs="宋体"/>
          <w:b/>
          <w:sz w:val="28"/>
          <w:szCs w:val="28"/>
        </w:rPr>
        <w:t>（投标人、供应商、竞买人、受让人等交易主体适用范本）</w:t>
      </w:r>
      <w:bookmarkEnd w:id="59"/>
      <w:bookmarkEnd w:id="60"/>
    </w:p>
    <w:p w14:paraId="3635BAD3">
      <w:pPr>
        <w:widowControl/>
        <w:spacing w:line="360" w:lineRule="auto"/>
        <w:ind w:firstLine="420" w:firstLineChars="200"/>
        <w:rPr>
          <w:rFonts w:ascii="宋体" w:hAnsi="宋体" w:cs="宋体"/>
          <w:kern w:val="0"/>
          <w:szCs w:val="21"/>
        </w:rPr>
      </w:pPr>
      <w:r>
        <w:rPr>
          <w:rFonts w:hint="eastAsia" w:ascii="宋体" w:hAnsi="宋体" w:cs="宋体"/>
          <w:kern w:val="0"/>
          <w:szCs w:val="21"/>
        </w:rPr>
        <w:t>为推进社会信用体系建设，营造诚实守信的公共资源交易环境，树立诚信守法、公平竞争的交易形象，本人作为（单位名称）的法定代表人（或负责人）代表本单位作出以下诚信承诺：</w:t>
      </w:r>
    </w:p>
    <w:p w14:paraId="614C96F7">
      <w:pPr>
        <w:widowControl/>
        <w:spacing w:line="360" w:lineRule="auto"/>
        <w:ind w:firstLine="420" w:firstLineChars="200"/>
        <w:rPr>
          <w:rFonts w:ascii="宋体" w:hAnsi="宋体" w:cs="宋体"/>
          <w:kern w:val="0"/>
          <w:szCs w:val="21"/>
        </w:rPr>
      </w:pPr>
      <w:r>
        <w:rPr>
          <w:rFonts w:hint="eastAsia" w:ascii="宋体" w:hAnsi="宋体" w:cs="宋体"/>
          <w:kern w:val="0"/>
          <w:szCs w:val="21"/>
        </w:rPr>
        <w:t>（一）本单位填报或提交的单位基本信息、单位负责人、项目负责人、技术负责人、从业资质和资格、业绩、财务状况、信誉等所有资料和信息，均合法、真实、准确、有效，无任何伪造、篡改、虚假成份。</w:t>
      </w:r>
    </w:p>
    <w:p w14:paraId="17FDF73A">
      <w:pPr>
        <w:widowControl/>
        <w:spacing w:line="360" w:lineRule="auto"/>
        <w:ind w:firstLine="420" w:firstLineChars="200"/>
        <w:rPr>
          <w:rFonts w:ascii="宋体" w:hAnsi="宋体" w:cs="宋体"/>
          <w:kern w:val="0"/>
          <w:szCs w:val="21"/>
        </w:rPr>
      </w:pPr>
      <w:r>
        <w:rPr>
          <w:rFonts w:hint="eastAsia" w:ascii="宋体" w:hAnsi="宋体" w:cs="宋体"/>
          <w:kern w:val="0"/>
          <w:szCs w:val="21"/>
        </w:rPr>
        <w:t>（二）严格依照国家、湖南省和岳阳市关于公共资源交易的法律、法规、规章、规范性文件，参加公共资源交易活动；积极履行社会责任，促进廉政建设。</w:t>
      </w:r>
    </w:p>
    <w:p w14:paraId="5CC3BB26">
      <w:pPr>
        <w:widowControl/>
        <w:spacing w:line="360" w:lineRule="auto"/>
        <w:ind w:firstLine="420" w:firstLineChars="200"/>
        <w:rPr>
          <w:rFonts w:ascii="宋体" w:hAnsi="宋体" w:cs="宋体"/>
          <w:kern w:val="0"/>
          <w:szCs w:val="21"/>
        </w:rPr>
      </w:pPr>
      <w:r>
        <w:rPr>
          <w:rFonts w:hint="eastAsia" w:ascii="宋体" w:hAnsi="宋体" w:cs="宋体"/>
          <w:kern w:val="0"/>
          <w:szCs w:val="21"/>
        </w:rPr>
        <w:t>（三）严格遵守岳阳市公共资源交易市场主体信息公示规定，及时维护和更新公共资源交易市场主体信息库中信息。</w:t>
      </w:r>
    </w:p>
    <w:p w14:paraId="6AAE1EEB">
      <w:pPr>
        <w:widowControl/>
        <w:spacing w:line="360" w:lineRule="auto"/>
        <w:ind w:firstLine="420" w:firstLineChars="200"/>
        <w:rPr>
          <w:rFonts w:ascii="宋体" w:hAnsi="宋体" w:cs="宋体"/>
          <w:kern w:val="0"/>
          <w:szCs w:val="21"/>
        </w:rPr>
      </w:pPr>
      <w:r>
        <w:rPr>
          <w:rFonts w:hint="eastAsia" w:ascii="宋体" w:hAnsi="宋体" w:cs="宋体"/>
          <w:kern w:val="0"/>
          <w:szCs w:val="21"/>
        </w:rPr>
        <w:t>（四）参与公共资源交易活动系本单位自愿行为。保证无组织或参与围标、串标、出卖（借）、转让资质证书或接受他人挂靠投标、以他人名义参与竞争或以其他方式弄虚作假骗取中标（成交）、恶意报价、恶意投诉等违法违规行为。</w:t>
      </w:r>
    </w:p>
    <w:p w14:paraId="661B36C6">
      <w:pPr>
        <w:widowControl/>
        <w:spacing w:line="360" w:lineRule="auto"/>
        <w:ind w:firstLine="420" w:firstLineChars="200"/>
        <w:rPr>
          <w:rFonts w:ascii="宋体" w:hAnsi="宋体" w:cs="宋体"/>
          <w:kern w:val="0"/>
          <w:szCs w:val="21"/>
        </w:rPr>
      </w:pPr>
      <w:r>
        <w:rPr>
          <w:rFonts w:hint="eastAsia" w:ascii="宋体" w:hAnsi="宋体" w:cs="宋体"/>
          <w:kern w:val="0"/>
          <w:szCs w:val="21"/>
        </w:rPr>
        <w:t>（五）守合同、重信用，加强单位诚信建设。保证无恶意提高造价、违约毁约等行为。自觉维护公共资源交易良好秩序，自觉接受行政监督部门、纪检监察机关、行业组织、社会公众、新闻舆论的监督。</w:t>
      </w:r>
    </w:p>
    <w:p w14:paraId="5699DD3B">
      <w:pPr>
        <w:widowControl/>
        <w:spacing w:line="360" w:lineRule="auto"/>
        <w:ind w:firstLine="420" w:firstLineChars="200"/>
        <w:rPr>
          <w:rFonts w:ascii="宋体" w:hAnsi="宋体" w:cs="宋体"/>
          <w:kern w:val="0"/>
          <w:szCs w:val="21"/>
        </w:rPr>
      </w:pPr>
      <w:r>
        <w:rPr>
          <w:rFonts w:hint="eastAsia" w:ascii="宋体" w:hAnsi="宋体" w:cs="宋体"/>
          <w:kern w:val="0"/>
          <w:szCs w:val="21"/>
        </w:rPr>
        <w:t>（六）本单位自愿接受公共资源交易监督管理机构和有关行政监督部门的依法检查。如发生违法违规或不良行为，自愿接受有关行政监督部门依法给予的行政处罚（处理），执行诚信不良行为记录联合惩戒措施，触犯法律的，依法承担法律责任。</w:t>
      </w:r>
    </w:p>
    <w:p w14:paraId="1B3D36DC">
      <w:pPr>
        <w:widowControl/>
        <w:spacing w:line="360" w:lineRule="auto"/>
        <w:ind w:firstLine="420" w:firstLineChars="200"/>
        <w:rPr>
          <w:rFonts w:ascii="宋体" w:hAnsi="宋体" w:cs="宋体"/>
          <w:kern w:val="0"/>
          <w:szCs w:val="21"/>
        </w:rPr>
      </w:pPr>
      <w:r>
        <w:rPr>
          <w:rFonts w:hint="eastAsia" w:ascii="宋体" w:hAnsi="宋体" w:cs="宋体"/>
          <w:kern w:val="0"/>
          <w:szCs w:val="21"/>
        </w:rPr>
        <w:t>（七）本人郑重作出上述承诺。本人和单位员工均已熟悉诚信承诺内容并认真践行承诺。</w:t>
      </w:r>
    </w:p>
    <w:p w14:paraId="4D828DE2">
      <w:pPr>
        <w:widowControl/>
        <w:spacing w:line="360" w:lineRule="auto"/>
        <w:ind w:right="-57" w:firstLine="5040" w:firstLineChars="2400"/>
        <w:jc w:val="left"/>
        <w:rPr>
          <w:rFonts w:ascii="宋体" w:hAnsi="宋体" w:cs="宋体"/>
          <w:kern w:val="0"/>
          <w:szCs w:val="21"/>
        </w:rPr>
      </w:pPr>
      <w:r>
        <w:rPr>
          <w:rFonts w:hint="eastAsia" w:ascii="宋体" w:hAnsi="宋体" w:cs="宋体"/>
          <w:kern w:val="0"/>
          <w:szCs w:val="21"/>
        </w:rPr>
        <w:t>法定代表人（或负责人）签名：</w:t>
      </w:r>
    </w:p>
    <w:p w14:paraId="605A0706">
      <w:pPr>
        <w:widowControl/>
        <w:spacing w:line="360" w:lineRule="auto"/>
        <w:ind w:right="-57" w:firstLine="6090" w:firstLineChars="2900"/>
        <w:jc w:val="left"/>
        <w:rPr>
          <w:rFonts w:ascii="宋体" w:hAnsi="宋体" w:cs="宋体"/>
          <w:kern w:val="0"/>
          <w:szCs w:val="21"/>
        </w:rPr>
      </w:pPr>
      <w:r>
        <w:rPr>
          <w:rFonts w:hint="eastAsia" w:ascii="宋体" w:hAnsi="宋体" w:cs="宋体"/>
          <w:kern w:val="0"/>
          <w:szCs w:val="21"/>
        </w:rPr>
        <w:t>单位名称（盖章）：</w:t>
      </w:r>
    </w:p>
    <w:p w14:paraId="7C1FBEC0">
      <w:pPr>
        <w:adjustRightInd w:val="0"/>
        <w:snapToGrid w:val="0"/>
        <w:spacing w:line="520" w:lineRule="exact"/>
        <w:jc w:val="left"/>
        <w:rPr>
          <w:rFonts w:ascii="宋体" w:hAnsi="宋体" w:cs="宋体"/>
          <w:b/>
        </w:rPr>
      </w:pPr>
      <w:r>
        <w:rPr>
          <w:rFonts w:hint="eastAsia" w:ascii="宋体" w:hAnsi="宋体" w:cs="宋体"/>
          <w:kern w:val="0"/>
          <w:szCs w:val="21"/>
        </w:rPr>
        <w:t xml:space="preserve">                                                               年    月    日</w:t>
      </w:r>
    </w:p>
    <w:p w14:paraId="4415F233">
      <w:pPr>
        <w:adjustRightInd w:val="0"/>
        <w:snapToGrid w:val="0"/>
        <w:spacing w:line="360" w:lineRule="auto"/>
        <w:rPr>
          <w:rFonts w:ascii="宋体" w:hAnsi="宋体" w:cs="宋体"/>
          <w:bCs/>
          <w:szCs w:val="21"/>
        </w:rPr>
      </w:pPr>
    </w:p>
    <w:p w14:paraId="615AB12E">
      <w:pPr>
        <w:adjustRightInd w:val="0"/>
        <w:snapToGrid w:val="0"/>
        <w:spacing w:line="360" w:lineRule="auto"/>
        <w:rPr>
          <w:rFonts w:ascii="宋体" w:hAnsi="宋体" w:cs="宋体"/>
          <w:bCs/>
          <w:szCs w:val="21"/>
        </w:rPr>
      </w:pPr>
    </w:p>
    <w:p w14:paraId="25A6B3E1">
      <w:pPr>
        <w:adjustRightInd w:val="0"/>
        <w:snapToGrid w:val="0"/>
        <w:spacing w:line="360" w:lineRule="auto"/>
        <w:rPr>
          <w:rFonts w:ascii="宋体" w:hAnsi="宋体" w:cs="宋体"/>
          <w:bCs/>
          <w:szCs w:val="21"/>
        </w:rPr>
      </w:pPr>
    </w:p>
    <w:p w14:paraId="0472D1B5">
      <w:pPr>
        <w:adjustRightInd w:val="0"/>
        <w:snapToGrid w:val="0"/>
        <w:spacing w:line="360" w:lineRule="auto"/>
        <w:rPr>
          <w:rFonts w:ascii="宋体" w:hAnsi="宋体" w:cs="宋体"/>
          <w:bCs/>
          <w:szCs w:val="21"/>
        </w:rPr>
      </w:pPr>
    </w:p>
    <w:p w14:paraId="5CD68BCD">
      <w:pPr>
        <w:adjustRightInd w:val="0"/>
        <w:snapToGrid w:val="0"/>
        <w:spacing w:line="360" w:lineRule="auto"/>
        <w:rPr>
          <w:rFonts w:hint="eastAsia" w:ascii="宋体" w:hAnsi="宋体" w:cs="宋体"/>
          <w:bCs/>
          <w:szCs w:val="21"/>
        </w:rPr>
      </w:pPr>
    </w:p>
    <w:p w14:paraId="7A2EF347">
      <w:pPr>
        <w:adjustRightInd w:val="0"/>
        <w:snapToGrid w:val="0"/>
        <w:spacing w:line="360" w:lineRule="auto"/>
        <w:rPr>
          <w:rFonts w:ascii="宋体" w:hAnsi="宋体" w:cs="宋体"/>
          <w:bCs/>
          <w:szCs w:val="21"/>
        </w:rPr>
      </w:pPr>
      <w:r>
        <w:rPr>
          <w:rFonts w:hint="eastAsia" w:ascii="宋体" w:hAnsi="宋体" w:cs="宋体"/>
          <w:bCs/>
          <w:szCs w:val="21"/>
        </w:rPr>
        <w:t>附页2-3</w:t>
      </w:r>
    </w:p>
    <w:p w14:paraId="4BB9069E">
      <w:pPr>
        <w:adjustRightInd w:val="0"/>
        <w:snapToGrid w:val="0"/>
        <w:spacing w:line="360" w:lineRule="auto"/>
        <w:jc w:val="center"/>
        <w:rPr>
          <w:rFonts w:ascii="宋体"/>
          <w:b/>
          <w:bCs/>
          <w:color w:val="auto"/>
          <w:sz w:val="28"/>
          <w:szCs w:val="28"/>
          <w:highlight w:val="none"/>
        </w:rPr>
      </w:pPr>
      <w:bookmarkStart w:id="61" w:name="_Toc3047"/>
      <w:bookmarkStart w:id="62" w:name="_Toc27337"/>
      <w:r>
        <w:rPr>
          <w:rFonts w:hint="eastAsia" w:ascii="宋体" w:hAnsi="宋体" w:cs="宋体"/>
          <w:b/>
          <w:bCs/>
          <w:color w:val="auto"/>
          <w:kern w:val="0"/>
          <w:sz w:val="28"/>
          <w:szCs w:val="28"/>
          <w:highlight w:val="none"/>
        </w:rPr>
        <w:t>湖南省政府采购支持中小企业融资合作银行及联系人名单</w:t>
      </w:r>
    </w:p>
    <w:tbl>
      <w:tblPr>
        <w:tblStyle w:val="40"/>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700"/>
        <w:gridCol w:w="1080"/>
        <w:gridCol w:w="3060"/>
        <w:gridCol w:w="2340"/>
      </w:tblGrid>
      <w:tr w14:paraId="78A8F4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00" w:hRule="atLeast"/>
        </w:trPr>
        <w:tc>
          <w:tcPr>
            <w:tcW w:w="2700" w:type="dxa"/>
            <w:tcBorders>
              <w:top w:val="double" w:color="auto" w:sz="4" w:space="0"/>
            </w:tcBorders>
            <w:vAlign w:val="center"/>
          </w:tcPr>
          <w:p w14:paraId="34C90134">
            <w:pPr>
              <w:adjustRightInd w:val="0"/>
              <w:snapToGrid w:val="0"/>
              <w:spacing w:before="156" w:beforeLines="50" w:line="360" w:lineRule="auto"/>
              <w:jc w:val="center"/>
              <w:rPr>
                <w:rFonts w:ascii="宋体"/>
                <w:b/>
                <w:color w:val="auto"/>
                <w:szCs w:val="21"/>
                <w:highlight w:val="none"/>
              </w:rPr>
            </w:pPr>
            <w:r>
              <w:rPr>
                <w:rFonts w:hint="eastAsia" w:ascii="宋体" w:hAnsi="宋体" w:cs="宋体"/>
                <w:b/>
                <w:bCs/>
                <w:color w:val="auto"/>
                <w:kern w:val="0"/>
                <w:szCs w:val="21"/>
                <w:highlight w:val="none"/>
              </w:rPr>
              <w:t>银行名称</w:t>
            </w:r>
          </w:p>
        </w:tc>
        <w:tc>
          <w:tcPr>
            <w:tcW w:w="1080" w:type="dxa"/>
            <w:tcBorders>
              <w:top w:val="double" w:color="auto" w:sz="4" w:space="0"/>
            </w:tcBorders>
            <w:vAlign w:val="center"/>
          </w:tcPr>
          <w:p w14:paraId="2D007F61">
            <w:pPr>
              <w:adjustRightInd w:val="0"/>
              <w:snapToGrid w:val="0"/>
              <w:spacing w:before="156" w:beforeLines="50" w:line="360" w:lineRule="auto"/>
              <w:jc w:val="center"/>
              <w:rPr>
                <w:rFonts w:ascii="宋体"/>
                <w:b/>
                <w:color w:val="auto"/>
                <w:szCs w:val="21"/>
                <w:highlight w:val="none"/>
              </w:rPr>
            </w:pPr>
            <w:r>
              <w:rPr>
                <w:rFonts w:hint="eastAsia" w:ascii="宋体" w:hAnsi="宋体" w:cs="宋体"/>
                <w:b/>
                <w:bCs/>
                <w:color w:val="auto"/>
                <w:kern w:val="0"/>
                <w:szCs w:val="21"/>
                <w:highlight w:val="none"/>
              </w:rPr>
              <w:t>联系人</w:t>
            </w:r>
          </w:p>
        </w:tc>
        <w:tc>
          <w:tcPr>
            <w:tcW w:w="3060" w:type="dxa"/>
            <w:tcBorders>
              <w:top w:val="double" w:color="auto" w:sz="4" w:space="0"/>
            </w:tcBorders>
            <w:vAlign w:val="center"/>
          </w:tcPr>
          <w:p w14:paraId="51323722">
            <w:pPr>
              <w:adjustRightInd w:val="0"/>
              <w:snapToGrid w:val="0"/>
              <w:spacing w:before="156" w:beforeLines="50" w:line="360" w:lineRule="auto"/>
              <w:jc w:val="center"/>
              <w:rPr>
                <w:rFonts w:ascii="宋体"/>
                <w:b/>
                <w:color w:val="auto"/>
                <w:szCs w:val="21"/>
                <w:highlight w:val="none"/>
              </w:rPr>
            </w:pPr>
            <w:r>
              <w:rPr>
                <w:rFonts w:hint="eastAsia" w:ascii="宋体" w:hAnsi="宋体" w:cs="宋体"/>
                <w:b/>
                <w:bCs/>
                <w:color w:val="auto"/>
                <w:kern w:val="0"/>
                <w:szCs w:val="21"/>
                <w:highlight w:val="none"/>
              </w:rPr>
              <w:t>职</w:t>
            </w:r>
            <w:r>
              <w:rPr>
                <w:rFonts w:ascii="宋体" w:cs="宋体"/>
                <w:b/>
                <w:bCs/>
                <w:color w:val="auto"/>
                <w:kern w:val="0"/>
                <w:szCs w:val="21"/>
                <w:highlight w:val="none"/>
              </w:rPr>
              <w:t> </w:t>
            </w:r>
            <w:r>
              <w:rPr>
                <w:rFonts w:hint="eastAsia" w:ascii="宋体" w:hAnsi="宋体" w:cs="宋体"/>
                <w:b/>
                <w:bCs/>
                <w:color w:val="auto"/>
                <w:kern w:val="0"/>
                <w:szCs w:val="21"/>
                <w:highlight w:val="none"/>
              </w:rPr>
              <w:t>务</w:t>
            </w:r>
          </w:p>
        </w:tc>
        <w:tc>
          <w:tcPr>
            <w:tcW w:w="2340" w:type="dxa"/>
            <w:tcBorders>
              <w:top w:val="double" w:color="auto" w:sz="4" w:space="0"/>
            </w:tcBorders>
            <w:vAlign w:val="center"/>
          </w:tcPr>
          <w:p w14:paraId="1FFF2931">
            <w:pPr>
              <w:adjustRightInd w:val="0"/>
              <w:snapToGrid w:val="0"/>
              <w:spacing w:before="156" w:beforeLines="50" w:line="360" w:lineRule="auto"/>
              <w:jc w:val="center"/>
              <w:rPr>
                <w:rFonts w:ascii="宋体"/>
                <w:b/>
                <w:color w:val="auto"/>
                <w:szCs w:val="21"/>
                <w:highlight w:val="none"/>
              </w:rPr>
            </w:pPr>
            <w:r>
              <w:rPr>
                <w:rFonts w:hint="eastAsia" w:ascii="宋体" w:hAnsi="宋体" w:cs="宋体"/>
                <w:b/>
                <w:bCs/>
                <w:color w:val="auto"/>
                <w:kern w:val="0"/>
                <w:szCs w:val="21"/>
                <w:highlight w:val="none"/>
              </w:rPr>
              <w:t>联系电话</w:t>
            </w:r>
          </w:p>
        </w:tc>
      </w:tr>
      <w:tr w14:paraId="0AB274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2700" w:type="dxa"/>
            <w:vAlign w:val="center"/>
          </w:tcPr>
          <w:p w14:paraId="257F0CA8">
            <w:pPr>
              <w:adjustRightInd w:val="0"/>
              <w:snapToGrid w:val="0"/>
              <w:spacing w:before="156" w:beforeLines="50" w:line="360" w:lineRule="auto"/>
              <w:rPr>
                <w:rFonts w:ascii="宋体"/>
                <w:color w:val="auto"/>
                <w:szCs w:val="21"/>
                <w:highlight w:val="none"/>
              </w:rPr>
            </w:pPr>
            <w:r>
              <w:rPr>
                <w:rFonts w:hint="eastAsia" w:ascii="宋体" w:hAnsi="宋体" w:cs="宋体"/>
                <w:color w:val="auto"/>
                <w:kern w:val="0"/>
                <w:szCs w:val="21"/>
                <w:highlight w:val="none"/>
              </w:rPr>
              <w:t>交通银行湖南省分行</w:t>
            </w:r>
          </w:p>
        </w:tc>
        <w:tc>
          <w:tcPr>
            <w:tcW w:w="1080" w:type="dxa"/>
            <w:vAlign w:val="center"/>
          </w:tcPr>
          <w:p w14:paraId="4F711E8C">
            <w:pPr>
              <w:adjustRightInd w:val="0"/>
              <w:snapToGrid w:val="0"/>
              <w:spacing w:before="156" w:beforeLines="50" w:line="360" w:lineRule="auto"/>
              <w:jc w:val="center"/>
              <w:rPr>
                <w:rFonts w:ascii="宋体"/>
                <w:color w:val="auto"/>
                <w:szCs w:val="21"/>
                <w:highlight w:val="none"/>
              </w:rPr>
            </w:pPr>
            <w:r>
              <w:rPr>
                <w:rFonts w:hint="eastAsia" w:ascii="宋体" w:hAnsi="宋体" w:cs="宋体"/>
                <w:color w:val="auto"/>
                <w:kern w:val="0"/>
                <w:szCs w:val="21"/>
                <w:highlight w:val="none"/>
              </w:rPr>
              <w:t>刘</w:t>
            </w:r>
            <w:r>
              <w:rPr>
                <w:rFonts w:ascii="宋体" w:hAnsi="宋体" w:cs="宋体"/>
                <w:color w:val="auto"/>
                <w:kern w:val="0"/>
                <w:szCs w:val="21"/>
                <w:highlight w:val="none"/>
              </w:rPr>
              <w:t xml:space="preserve">  </w:t>
            </w:r>
            <w:r>
              <w:rPr>
                <w:rFonts w:hint="eastAsia" w:ascii="宋体" w:hAnsi="宋体" w:cs="宋体"/>
                <w:color w:val="auto"/>
                <w:kern w:val="0"/>
                <w:szCs w:val="21"/>
                <w:highlight w:val="none"/>
              </w:rPr>
              <w:t>波</w:t>
            </w:r>
          </w:p>
        </w:tc>
        <w:tc>
          <w:tcPr>
            <w:tcW w:w="3060" w:type="dxa"/>
            <w:vAlign w:val="center"/>
          </w:tcPr>
          <w:p w14:paraId="311AFA37">
            <w:pPr>
              <w:adjustRightInd w:val="0"/>
              <w:snapToGrid w:val="0"/>
              <w:spacing w:before="156" w:beforeLines="50" w:line="360" w:lineRule="auto"/>
              <w:rPr>
                <w:rFonts w:ascii="宋体"/>
                <w:color w:val="auto"/>
                <w:szCs w:val="21"/>
                <w:highlight w:val="none"/>
              </w:rPr>
            </w:pPr>
            <w:r>
              <w:rPr>
                <w:rFonts w:hint="eastAsia" w:ascii="宋体" w:hAnsi="宋体" w:cs="宋体"/>
                <w:color w:val="auto"/>
                <w:kern w:val="0"/>
                <w:szCs w:val="21"/>
                <w:highlight w:val="none"/>
              </w:rPr>
              <w:t>名城支行客户经理</w:t>
            </w:r>
          </w:p>
        </w:tc>
        <w:tc>
          <w:tcPr>
            <w:tcW w:w="2340" w:type="dxa"/>
            <w:vAlign w:val="center"/>
          </w:tcPr>
          <w:p w14:paraId="23E5427E">
            <w:pPr>
              <w:adjustRightInd w:val="0"/>
              <w:snapToGrid w:val="0"/>
              <w:spacing w:before="156" w:beforeLines="50" w:line="360" w:lineRule="auto"/>
              <w:jc w:val="center"/>
              <w:rPr>
                <w:rFonts w:ascii="宋体"/>
                <w:color w:val="auto"/>
                <w:szCs w:val="21"/>
                <w:highlight w:val="none"/>
              </w:rPr>
            </w:pPr>
            <w:r>
              <w:rPr>
                <w:rFonts w:ascii="宋体" w:hAnsi="宋体" w:cs="宋体"/>
                <w:color w:val="auto"/>
                <w:kern w:val="0"/>
                <w:szCs w:val="21"/>
                <w:highlight w:val="none"/>
              </w:rPr>
              <w:t>13874998873</w:t>
            </w:r>
          </w:p>
        </w:tc>
      </w:tr>
      <w:tr w14:paraId="5B2C0F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80" w:hRule="atLeast"/>
        </w:trPr>
        <w:tc>
          <w:tcPr>
            <w:tcW w:w="2700" w:type="dxa"/>
            <w:vAlign w:val="center"/>
          </w:tcPr>
          <w:p w14:paraId="05F33033">
            <w:pPr>
              <w:adjustRightInd w:val="0"/>
              <w:snapToGrid w:val="0"/>
              <w:spacing w:before="156" w:beforeLines="50" w:line="360" w:lineRule="auto"/>
              <w:rPr>
                <w:rFonts w:ascii="宋体"/>
                <w:color w:val="auto"/>
                <w:szCs w:val="21"/>
                <w:highlight w:val="none"/>
              </w:rPr>
            </w:pPr>
            <w:r>
              <w:rPr>
                <w:rFonts w:hint="eastAsia" w:ascii="宋体" w:hAnsi="宋体" w:cs="宋体"/>
                <w:color w:val="auto"/>
                <w:kern w:val="0"/>
                <w:szCs w:val="21"/>
                <w:highlight w:val="none"/>
              </w:rPr>
              <w:t>交通银行湖南省分行</w:t>
            </w:r>
          </w:p>
        </w:tc>
        <w:tc>
          <w:tcPr>
            <w:tcW w:w="1080" w:type="dxa"/>
            <w:vAlign w:val="center"/>
          </w:tcPr>
          <w:p w14:paraId="5FE77AB7">
            <w:pPr>
              <w:adjustRightInd w:val="0"/>
              <w:snapToGrid w:val="0"/>
              <w:spacing w:before="156" w:beforeLines="50" w:line="360" w:lineRule="auto"/>
              <w:jc w:val="center"/>
              <w:rPr>
                <w:rFonts w:ascii="宋体"/>
                <w:color w:val="auto"/>
                <w:szCs w:val="21"/>
                <w:highlight w:val="none"/>
              </w:rPr>
            </w:pPr>
            <w:r>
              <w:rPr>
                <w:rFonts w:hint="eastAsia" w:ascii="宋体" w:hAnsi="宋体" w:cs="宋体"/>
                <w:color w:val="auto"/>
                <w:kern w:val="0"/>
                <w:szCs w:val="21"/>
                <w:highlight w:val="none"/>
              </w:rPr>
              <w:t>肖勇光</w:t>
            </w:r>
          </w:p>
        </w:tc>
        <w:tc>
          <w:tcPr>
            <w:tcW w:w="3060" w:type="dxa"/>
            <w:vAlign w:val="center"/>
          </w:tcPr>
          <w:p w14:paraId="3D9CAAFB">
            <w:pPr>
              <w:adjustRightInd w:val="0"/>
              <w:snapToGrid w:val="0"/>
              <w:spacing w:before="156" w:beforeLines="50" w:line="360" w:lineRule="auto"/>
              <w:rPr>
                <w:rFonts w:ascii="宋体"/>
                <w:color w:val="auto"/>
                <w:szCs w:val="21"/>
                <w:highlight w:val="none"/>
              </w:rPr>
            </w:pPr>
            <w:r>
              <w:rPr>
                <w:rFonts w:hint="eastAsia" w:ascii="宋体" w:hAnsi="宋体" w:cs="宋体"/>
                <w:color w:val="auto"/>
                <w:kern w:val="0"/>
                <w:szCs w:val="21"/>
                <w:highlight w:val="none"/>
              </w:rPr>
              <w:t>分行高级经理</w:t>
            </w:r>
          </w:p>
        </w:tc>
        <w:tc>
          <w:tcPr>
            <w:tcW w:w="2340" w:type="dxa"/>
            <w:vAlign w:val="center"/>
          </w:tcPr>
          <w:p w14:paraId="733E707D">
            <w:pPr>
              <w:adjustRightInd w:val="0"/>
              <w:snapToGrid w:val="0"/>
              <w:spacing w:before="156" w:beforeLines="50" w:line="360" w:lineRule="auto"/>
              <w:jc w:val="center"/>
              <w:rPr>
                <w:rFonts w:ascii="宋体"/>
                <w:color w:val="auto"/>
                <w:szCs w:val="21"/>
                <w:highlight w:val="none"/>
              </w:rPr>
            </w:pPr>
            <w:r>
              <w:rPr>
                <w:rFonts w:ascii="宋体" w:hAnsi="宋体" w:cs="宋体"/>
                <w:color w:val="auto"/>
                <w:kern w:val="0"/>
                <w:szCs w:val="21"/>
                <w:highlight w:val="none"/>
              </w:rPr>
              <w:t>13755192647</w:t>
            </w:r>
          </w:p>
        </w:tc>
      </w:tr>
      <w:tr w14:paraId="281002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trPr>
        <w:tc>
          <w:tcPr>
            <w:tcW w:w="2700" w:type="dxa"/>
            <w:vAlign w:val="center"/>
          </w:tcPr>
          <w:p w14:paraId="7A07E260">
            <w:pPr>
              <w:adjustRightInd w:val="0"/>
              <w:snapToGrid w:val="0"/>
              <w:spacing w:before="156" w:beforeLines="50" w:line="360" w:lineRule="auto"/>
              <w:rPr>
                <w:rFonts w:ascii="宋体"/>
                <w:color w:val="auto"/>
                <w:szCs w:val="21"/>
                <w:highlight w:val="none"/>
              </w:rPr>
            </w:pPr>
            <w:r>
              <w:rPr>
                <w:rFonts w:hint="eastAsia" w:ascii="宋体" w:hAnsi="宋体" w:cs="宋体"/>
                <w:color w:val="auto"/>
                <w:kern w:val="0"/>
                <w:szCs w:val="21"/>
                <w:highlight w:val="none"/>
              </w:rPr>
              <w:t>中国民生银行长沙分行</w:t>
            </w:r>
          </w:p>
        </w:tc>
        <w:tc>
          <w:tcPr>
            <w:tcW w:w="1080" w:type="dxa"/>
            <w:vAlign w:val="center"/>
          </w:tcPr>
          <w:p w14:paraId="14379568">
            <w:pPr>
              <w:adjustRightInd w:val="0"/>
              <w:snapToGrid w:val="0"/>
              <w:spacing w:before="156" w:beforeLines="50" w:line="360" w:lineRule="auto"/>
              <w:jc w:val="center"/>
              <w:rPr>
                <w:rFonts w:ascii="宋体"/>
                <w:color w:val="auto"/>
                <w:szCs w:val="21"/>
                <w:highlight w:val="none"/>
              </w:rPr>
            </w:pPr>
            <w:r>
              <w:rPr>
                <w:rFonts w:hint="eastAsia" w:ascii="宋体" w:hAnsi="宋体" w:cs="宋体"/>
                <w:color w:val="auto"/>
                <w:kern w:val="0"/>
                <w:szCs w:val="21"/>
                <w:highlight w:val="none"/>
              </w:rPr>
              <w:t>黄飞燕</w:t>
            </w:r>
          </w:p>
        </w:tc>
        <w:tc>
          <w:tcPr>
            <w:tcW w:w="3060" w:type="dxa"/>
            <w:vAlign w:val="center"/>
          </w:tcPr>
          <w:p w14:paraId="0470779E">
            <w:pPr>
              <w:adjustRightInd w:val="0"/>
              <w:snapToGrid w:val="0"/>
              <w:spacing w:before="156" w:beforeLines="50" w:line="360" w:lineRule="auto"/>
              <w:rPr>
                <w:rFonts w:ascii="宋体"/>
                <w:color w:val="auto"/>
                <w:szCs w:val="21"/>
                <w:highlight w:val="none"/>
              </w:rPr>
            </w:pPr>
            <w:r>
              <w:rPr>
                <w:rFonts w:hint="eastAsia" w:ascii="宋体" w:hAnsi="宋体" w:cs="宋体"/>
                <w:color w:val="auto"/>
                <w:kern w:val="0"/>
                <w:szCs w:val="21"/>
                <w:highlight w:val="none"/>
              </w:rPr>
              <w:t>营业部总经理</w:t>
            </w:r>
          </w:p>
        </w:tc>
        <w:tc>
          <w:tcPr>
            <w:tcW w:w="2340" w:type="dxa"/>
            <w:vAlign w:val="center"/>
          </w:tcPr>
          <w:p w14:paraId="5C0A2D5B">
            <w:pPr>
              <w:adjustRightInd w:val="0"/>
              <w:snapToGrid w:val="0"/>
              <w:spacing w:before="156" w:beforeLines="50" w:line="360" w:lineRule="auto"/>
              <w:jc w:val="center"/>
              <w:rPr>
                <w:rFonts w:ascii="宋体"/>
                <w:color w:val="auto"/>
                <w:szCs w:val="21"/>
                <w:highlight w:val="none"/>
              </w:rPr>
            </w:pPr>
            <w:r>
              <w:rPr>
                <w:rFonts w:ascii="宋体" w:hAnsi="宋体" w:cs="宋体"/>
                <w:color w:val="auto"/>
                <w:kern w:val="0"/>
                <w:szCs w:val="21"/>
                <w:highlight w:val="none"/>
              </w:rPr>
              <w:t>13308463468</w:t>
            </w:r>
          </w:p>
        </w:tc>
      </w:tr>
      <w:tr w14:paraId="4ADFD4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trPr>
        <w:tc>
          <w:tcPr>
            <w:tcW w:w="2700" w:type="dxa"/>
            <w:vAlign w:val="center"/>
          </w:tcPr>
          <w:p w14:paraId="5E0B1779">
            <w:pPr>
              <w:adjustRightInd w:val="0"/>
              <w:snapToGrid w:val="0"/>
              <w:spacing w:before="156" w:beforeLines="50" w:line="360" w:lineRule="auto"/>
              <w:rPr>
                <w:rFonts w:ascii="宋体"/>
                <w:color w:val="auto"/>
                <w:szCs w:val="21"/>
                <w:highlight w:val="none"/>
              </w:rPr>
            </w:pPr>
            <w:r>
              <w:rPr>
                <w:rFonts w:hint="eastAsia" w:ascii="宋体" w:hAnsi="宋体" w:cs="宋体"/>
                <w:color w:val="auto"/>
                <w:kern w:val="0"/>
                <w:szCs w:val="21"/>
                <w:highlight w:val="none"/>
              </w:rPr>
              <w:t>中国民生银行长沙分行</w:t>
            </w:r>
          </w:p>
        </w:tc>
        <w:tc>
          <w:tcPr>
            <w:tcW w:w="1080" w:type="dxa"/>
            <w:vAlign w:val="center"/>
          </w:tcPr>
          <w:p w14:paraId="2470DBF2">
            <w:pPr>
              <w:adjustRightInd w:val="0"/>
              <w:snapToGrid w:val="0"/>
              <w:spacing w:before="156" w:beforeLines="50" w:line="360" w:lineRule="auto"/>
              <w:jc w:val="center"/>
              <w:rPr>
                <w:rFonts w:ascii="宋体"/>
                <w:color w:val="auto"/>
                <w:szCs w:val="21"/>
                <w:highlight w:val="none"/>
              </w:rPr>
            </w:pPr>
            <w:r>
              <w:rPr>
                <w:rFonts w:hint="eastAsia" w:ascii="宋体" w:hAnsi="宋体" w:cs="宋体"/>
                <w:color w:val="auto"/>
                <w:kern w:val="0"/>
                <w:szCs w:val="21"/>
                <w:highlight w:val="none"/>
              </w:rPr>
              <w:t>蒋寒奇</w:t>
            </w:r>
          </w:p>
        </w:tc>
        <w:tc>
          <w:tcPr>
            <w:tcW w:w="3060" w:type="dxa"/>
            <w:vAlign w:val="center"/>
          </w:tcPr>
          <w:p w14:paraId="6FFF59C7">
            <w:pPr>
              <w:adjustRightInd w:val="0"/>
              <w:snapToGrid w:val="0"/>
              <w:spacing w:before="156" w:beforeLines="50" w:line="360" w:lineRule="auto"/>
              <w:rPr>
                <w:rFonts w:ascii="宋体"/>
                <w:color w:val="auto"/>
                <w:szCs w:val="21"/>
                <w:highlight w:val="none"/>
              </w:rPr>
            </w:pPr>
            <w:r>
              <w:rPr>
                <w:rFonts w:hint="eastAsia" w:ascii="宋体" w:hAnsi="宋体" w:cs="宋体"/>
                <w:color w:val="auto"/>
                <w:kern w:val="0"/>
                <w:szCs w:val="21"/>
                <w:highlight w:val="none"/>
              </w:rPr>
              <w:t>营业部中小企业客户经理</w:t>
            </w:r>
          </w:p>
        </w:tc>
        <w:tc>
          <w:tcPr>
            <w:tcW w:w="2340" w:type="dxa"/>
            <w:vAlign w:val="center"/>
          </w:tcPr>
          <w:p w14:paraId="24B8F3EB">
            <w:pPr>
              <w:adjustRightInd w:val="0"/>
              <w:snapToGrid w:val="0"/>
              <w:spacing w:before="156" w:beforeLines="50" w:line="360" w:lineRule="auto"/>
              <w:jc w:val="center"/>
              <w:rPr>
                <w:rFonts w:ascii="宋体"/>
                <w:color w:val="auto"/>
                <w:szCs w:val="21"/>
                <w:highlight w:val="none"/>
              </w:rPr>
            </w:pPr>
            <w:r>
              <w:rPr>
                <w:rFonts w:ascii="宋体" w:hAnsi="宋体" w:cs="宋体"/>
                <w:color w:val="auto"/>
                <w:kern w:val="0"/>
                <w:szCs w:val="21"/>
                <w:highlight w:val="none"/>
              </w:rPr>
              <w:t>13548982975</w:t>
            </w:r>
          </w:p>
        </w:tc>
      </w:tr>
      <w:tr w14:paraId="08609E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0" w:hRule="atLeast"/>
        </w:trPr>
        <w:tc>
          <w:tcPr>
            <w:tcW w:w="2700" w:type="dxa"/>
            <w:vAlign w:val="center"/>
          </w:tcPr>
          <w:p w14:paraId="54BE6620">
            <w:pPr>
              <w:adjustRightInd w:val="0"/>
              <w:snapToGrid w:val="0"/>
              <w:spacing w:before="156" w:beforeLines="50" w:line="360" w:lineRule="auto"/>
              <w:rPr>
                <w:rFonts w:ascii="宋体"/>
                <w:color w:val="auto"/>
                <w:szCs w:val="21"/>
                <w:highlight w:val="none"/>
              </w:rPr>
            </w:pPr>
            <w:r>
              <w:rPr>
                <w:rFonts w:hint="eastAsia" w:ascii="宋体" w:hAnsi="宋体" w:cs="宋体"/>
                <w:color w:val="auto"/>
                <w:kern w:val="0"/>
                <w:szCs w:val="21"/>
                <w:highlight w:val="none"/>
              </w:rPr>
              <w:t>兴业银行长沙分行</w:t>
            </w:r>
          </w:p>
        </w:tc>
        <w:tc>
          <w:tcPr>
            <w:tcW w:w="1080" w:type="dxa"/>
            <w:vAlign w:val="center"/>
          </w:tcPr>
          <w:p w14:paraId="16220497">
            <w:pPr>
              <w:adjustRightInd w:val="0"/>
              <w:snapToGrid w:val="0"/>
              <w:spacing w:before="156" w:beforeLines="50" w:line="360" w:lineRule="auto"/>
              <w:jc w:val="center"/>
              <w:rPr>
                <w:rFonts w:ascii="宋体"/>
                <w:color w:val="auto"/>
                <w:szCs w:val="21"/>
                <w:highlight w:val="none"/>
              </w:rPr>
            </w:pPr>
            <w:r>
              <w:rPr>
                <w:rFonts w:hint="eastAsia" w:ascii="宋体" w:hAnsi="宋体" w:cs="宋体"/>
                <w:color w:val="auto"/>
                <w:kern w:val="0"/>
                <w:szCs w:val="21"/>
                <w:highlight w:val="none"/>
              </w:rPr>
              <w:t>刘栅延</w:t>
            </w:r>
          </w:p>
        </w:tc>
        <w:tc>
          <w:tcPr>
            <w:tcW w:w="3060" w:type="dxa"/>
            <w:vAlign w:val="center"/>
          </w:tcPr>
          <w:p w14:paraId="4C121587">
            <w:pPr>
              <w:adjustRightInd w:val="0"/>
              <w:snapToGrid w:val="0"/>
              <w:spacing w:before="156" w:beforeLines="50" w:line="360" w:lineRule="auto"/>
              <w:rPr>
                <w:rFonts w:ascii="宋体"/>
                <w:color w:val="auto"/>
                <w:szCs w:val="21"/>
                <w:highlight w:val="none"/>
              </w:rPr>
            </w:pPr>
            <w:r>
              <w:rPr>
                <w:rFonts w:hint="eastAsia" w:ascii="宋体" w:hAnsi="宋体" w:cs="宋体"/>
                <w:color w:val="auto"/>
                <w:kern w:val="0"/>
                <w:szCs w:val="21"/>
                <w:highlight w:val="none"/>
              </w:rPr>
              <w:t>支行行长</w:t>
            </w:r>
          </w:p>
        </w:tc>
        <w:tc>
          <w:tcPr>
            <w:tcW w:w="2340" w:type="dxa"/>
            <w:vAlign w:val="center"/>
          </w:tcPr>
          <w:p w14:paraId="45270FCF">
            <w:pPr>
              <w:adjustRightInd w:val="0"/>
              <w:snapToGrid w:val="0"/>
              <w:spacing w:before="156" w:beforeLines="50" w:line="360" w:lineRule="auto"/>
              <w:jc w:val="center"/>
              <w:rPr>
                <w:rFonts w:ascii="宋体"/>
                <w:color w:val="auto"/>
                <w:szCs w:val="21"/>
                <w:highlight w:val="none"/>
              </w:rPr>
            </w:pPr>
            <w:r>
              <w:rPr>
                <w:rFonts w:ascii="宋体" w:hAnsi="宋体" w:cs="宋体"/>
                <w:color w:val="auto"/>
                <w:kern w:val="0"/>
                <w:szCs w:val="21"/>
                <w:highlight w:val="none"/>
              </w:rPr>
              <w:t>13337316405</w:t>
            </w:r>
          </w:p>
        </w:tc>
      </w:tr>
      <w:tr w14:paraId="75DFAD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2700" w:type="dxa"/>
            <w:vAlign w:val="center"/>
          </w:tcPr>
          <w:p w14:paraId="0F6E9A03">
            <w:pPr>
              <w:adjustRightInd w:val="0"/>
              <w:snapToGrid w:val="0"/>
              <w:spacing w:before="156" w:beforeLines="50" w:line="360" w:lineRule="auto"/>
              <w:rPr>
                <w:rFonts w:ascii="宋体"/>
                <w:color w:val="auto"/>
                <w:szCs w:val="21"/>
                <w:highlight w:val="none"/>
              </w:rPr>
            </w:pPr>
            <w:r>
              <w:rPr>
                <w:rFonts w:hint="eastAsia" w:ascii="宋体" w:hAnsi="宋体" w:cs="宋体"/>
                <w:color w:val="auto"/>
                <w:kern w:val="0"/>
                <w:szCs w:val="21"/>
                <w:highlight w:val="none"/>
              </w:rPr>
              <w:t>兴业银行长沙分行</w:t>
            </w:r>
          </w:p>
        </w:tc>
        <w:tc>
          <w:tcPr>
            <w:tcW w:w="1080" w:type="dxa"/>
            <w:vAlign w:val="center"/>
          </w:tcPr>
          <w:p w14:paraId="528938E8">
            <w:pPr>
              <w:adjustRightInd w:val="0"/>
              <w:snapToGrid w:val="0"/>
              <w:spacing w:before="156" w:beforeLines="50" w:line="360" w:lineRule="auto"/>
              <w:jc w:val="center"/>
              <w:rPr>
                <w:rFonts w:ascii="宋体"/>
                <w:color w:val="auto"/>
                <w:szCs w:val="21"/>
                <w:highlight w:val="none"/>
              </w:rPr>
            </w:pPr>
            <w:r>
              <w:rPr>
                <w:rFonts w:hint="eastAsia" w:ascii="宋体" w:hAnsi="宋体" w:cs="宋体"/>
                <w:color w:val="auto"/>
                <w:kern w:val="0"/>
                <w:szCs w:val="21"/>
                <w:highlight w:val="none"/>
              </w:rPr>
              <w:t>蒋修远</w:t>
            </w:r>
          </w:p>
        </w:tc>
        <w:tc>
          <w:tcPr>
            <w:tcW w:w="3060" w:type="dxa"/>
            <w:vAlign w:val="center"/>
          </w:tcPr>
          <w:p w14:paraId="6BC13C4C">
            <w:pPr>
              <w:adjustRightInd w:val="0"/>
              <w:snapToGrid w:val="0"/>
              <w:spacing w:before="156" w:beforeLines="50" w:line="360" w:lineRule="auto"/>
              <w:rPr>
                <w:rFonts w:ascii="宋体"/>
                <w:color w:val="auto"/>
                <w:szCs w:val="21"/>
                <w:highlight w:val="none"/>
              </w:rPr>
            </w:pPr>
            <w:r>
              <w:rPr>
                <w:rFonts w:hint="eastAsia" w:ascii="宋体" w:hAnsi="宋体" w:cs="宋体"/>
                <w:color w:val="auto"/>
                <w:kern w:val="0"/>
                <w:szCs w:val="21"/>
                <w:highlight w:val="none"/>
              </w:rPr>
              <w:t>支行客户经理</w:t>
            </w:r>
          </w:p>
        </w:tc>
        <w:tc>
          <w:tcPr>
            <w:tcW w:w="2340" w:type="dxa"/>
            <w:vAlign w:val="center"/>
          </w:tcPr>
          <w:p w14:paraId="2EF4773B">
            <w:pPr>
              <w:adjustRightInd w:val="0"/>
              <w:snapToGrid w:val="0"/>
              <w:spacing w:before="156" w:beforeLines="50" w:line="360" w:lineRule="auto"/>
              <w:jc w:val="center"/>
              <w:rPr>
                <w:rFonts w:ascii="宋体"/>
                <w:color w:val="auto"/>
                <w:szCs w:val="21"/>
                <w:highlight w:val="none"/>
              </w:rPr>
            </w:pPr>
            <w:r>
              <w:rPr>
                <w:rFonts w:ascii="宋体" w:hAnsi="宋体" w:cs="宋体"/>
                <w:color w:val="auto"/>
                <w:kern w:val="0"/>
                <w:szCs w:val="21"/>
                <w:highlight w:val="none"/>
              </w:rPr>
              <w:t>18607310422</w:t>
            </w:r>
          </w:p>
        </w:tc>
      </w:tr>
      <w:tr w14:paraId="64BABB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25" w:hRule="atLeast"/>
        </w:trPr>
        <w:tc>
          <w:tcPr>
            <w:tcW w:w="2700" w:type="dxa"/>
            <w:vAlign w:val="center"/>
          </w:tcPr>
          <w:p w14:paraId="6B21D078">
            <w:pPr>
              <w:adjustRightInd w:val="0"/>
              <w:snapToGrid w:val="0"/>
              <w:spacing w:before="156" w:beforeLines="50" w:line="360" w:lineRule="auto"/>
              <w:rPr>
                <w:rFonts w:ascii="宋体"/>
                <w:color w:val="auto"/>
                <w:szCs w:val="21"/>
                <w:highlight w:val="none"/>
              </w:rPr>
            </w:pPr>
            <w:r>
              <w:rPr>
                <w:rFonts w:hint="eastAsia" w:ascii="宋体" w:hAnsi="宋体" w:cs="宋体"/>
                <w:color w:val="auto"/>
                <w:kern w:val="0"/>
                <w:szCs w:val="21"/>
                <w:highlight w:val="none"/>
              </w:rPr>
              <w:t>中国光大银行长沙分行</w:t>
            </w:r>
          </w:p>
        </w:tc>
        <w:tc>
          <w:tcPr>
            <w:tcW w:w="1080" w:type="dxa"/>
            <w:vAlign w:val="center"/>
          </w:tcPr>
          <w:p w14:paraId="0F2E98AD">
            <w:pPr>
              <w:adjustRightInd w:val="0"/>
              <w:snapToGrid w:val="0"/>
              <w:spacing w:before="156" w:beforeLines="50" w:line="360" w:lineRule="auto"/>
              <w:jc w:val="center"/>
              <w:rPr>
                <w:rFonts w:ascii="宋体"/>
                <w:color w:val="auto"/>
                <w:szCs w:val="21"/>
                <w:highlight w:val="none"/>
              </w:rPr>
            </w:pPr>
            <w:r>
              <w:rPr>
                <w:rFonts w:hint="eastAsia" w:ascii="宋体" w:hAnsi="宋体" w:cs="宋体"/>
                <w:color w:val="auto"/>
                <w:kern w:val="0"/>
                <w:szCs w:val="21"/>
                <w:highlight w:val="none"/>
              </w:rPr>
              <w:t>邓永胜</w:t>
            </w:r>
          </w:p>
        </w:tc>
        <w:tc>
          <w:tcPr>
            <w:tcW w:w="3060" w:type="dxa"/>
            <w:vAlign w:val="center"/>
          </w:tcPr>
          <w:p w14:paraId="2B9F818E">
            <w:pPr>
              <w:adjustRightInd w:val="0"/>
              <w:snapToGrid w:val="0"/>
              <w:spacing w:before="156" w:beforeLines="50" w:line="360" w:lineRule="auto"/>
              <w:rPr>
                <w:rFonts w:ascii="宋体"/>
                <w:color w:val="auto"/>
                <w:szCs w:val="21"/>
                <w:highlight w:val="none"/>
              </w:rPr>
            </w:pPr>
            <w:r>
              <w:rPr>
                <w:rFonts w:hint="eastAsia" w:ascii="宋体" w:hAnsi="宋体" w:cs="宋体"/>
                <w:color w:val="auto"/>
                <w:kern w:val="0"/>
                <w:szCs w:val="21"/>
                <w:highlight w:val="none"/>
              </w:rPr>
              <w:t>岳麓支行副行长</w:t>
            </w:r>
          </w:p>
        </w:tc>
        <w:tc>
          <w:tcPr>
            <w:tcW w:w="2340" w:type="dxa"/>
            <w:vAlign w:val="center"/>
          </w:tcPr>
          <w:p w14:paraId="41CD77FE">
            <w:pPr>
              <w:adjustRightInd w:val="0"/>
              <w:snapToGrid w:val="0"/>
              <w:spacing w:before="156" w:beforeLines="50" w:line="360" w:lineRule="auto"/>
              <w:jc w:val="center"/>
              <w:rPr>
                <w:rFonts w:ascii="宋体"/>
                <w:color w:val="auto"/>
                <w:szCs w:val="21"/>
                <w:highlight w:val="none"/>
              </w:rPr>
            </w:pPr>
            <w:r>
              <w:rPr>
                <w:rFonts w:ascii="宋体" w:hAnsi="宋体" w:cs="宋体"/>
                <w:color w:val="auto"/>
                <w:kern w:val="0"/>
                <w:szCs w:val="21"/>
                <w:highlight w:val="none"/>
              </w:rPr>
              <w:t>13617319650</w:t>
            </w:r>
          </w:p>
        </w:tc>
      </w:tr>
      <w:tr w14:paraId="469439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2700" w:type="dxa"/>
            <w:vAlign w:val="center"/>
          </w:tcPr>
          <w:p w14:paraId="39F5D368">
            <w:pPr>
              <w:adjustRightInd w:val="0"/>
              <w:snapToGrid w:val="0"/>
              <w:spacing w:before="156" w:beforeLines="50" w:line="360" w:lineRule="auto"/>
              <w:rPr>
                <w:rFonts w:ascii="宋体"/>
                <w:color w:val="auto"/>
                <w:szCs w:val="21"/>
                <w:highlight w:val="none"/>
              </w:rPr>
            </w:pPr>
            <w:r>
              <w:rPr>
                <w:rFonts w:hint="eastAsia" w:ascii="宋体" w:hAnsi="宋体" w:cs="宋体"/>
                <w:color w:val="auto"/>
                <w:kern w:val="0"/>
                <w:szCs w:val="21"/>
                <w:highlight w:val="none"/>
              </w:rPr>
              <w:t>中信银行长沙分行</w:t>
            </w:r>
          </w:p>
        </w:tc>
        <w:tc>
          <w:tcPr>
            <w:tcW w:w="1080" w:type="dxa"/>
            <w:vAlign w:val="center"/>
          </w:tcPr>
          <w:p w14:paraId="77C0BE81">
            <w:pPr>
              <w:adjustRightInd w:val="0"/>
              <w:snapToGrid w:val="0"/>
              <w:spacing w:before="156" w:beforeLines="50" w:line="360" w:lineRule="auto"/>
              <w:jc w:val="center"/>
              <w:rPr>
                <w:rFonts w:ascii="宋体"/>
                <w:color w:val="auto"/>
                <w:szCs w:val="21"/>
                <w:highlight w:val="none"/>
              </w:rPr>
            </w:pPr>
            <w:r>
              <w:rPr>
                <w:rFonts w:hint="eastAsia" w:ascii="宋体" w:hAnsi="宋体" w:cs="宋体"/>
                <w:color w:val="auto"/>
                <w:kern w:val="0"/>
                <w:szCs w:val="21"/>
                <w:highlight w:val="none"/>
              </w:rPr>
              <w:t>蔡学军</w:t>
            </w:r>
          </w:p>
        </w:tc>
        <w:tc>
          <w:tcPr>
            <w:tcW w:w="3060" w:type="dxa"/>
            <w:vAlign w:val="center"/>
          </w:tcPr>
          <w:p w14:paraId="414AE682">
            <w:pPr>
              <w:adjustRightInd w:val="0"/>
              <w:snapToGrid w:val="0"/>
              <w:spacing w:before="156" w:beforeLines="50" w:line="360" w:lineRule="auto"/>
              <w:rPr>
                <w:rFonts w:ascii="宋体"/>
                <w:color w:val="auto"/>
                <w:szCs w:val="21"/>
                <w:highlight w:val="none"/>
              </w:rPr>
            </w:pPr>
            <w:r>
              <w:rPr>
                <w:rFonts w:hint="eastAsia" w:ascii="宋体" w:hAnsi="宋体" w:cs="宋体"/>
                <w:color w:val="auto"/>
                <w:kern w:val="0"/>
                <w:szCs w:val="21"/>
                <w:highlight w:val="none"/>
              </w:rPr>
              <w:t>公司银行部负责人</w:t>
            </w:r>
          </w:p>
        </w:tc>
        <w:tc>
          <w:tcPr>
            <w:tcW w:w="2340" w:type="dxa"/>
            <w:vAlign w:val="center"/>
          </w:tcPr>
          <w:p w14:paraId="6B0A895B">
            <w:pPr>
              <w:adjustRightInd w:val="0"/>
              <w:snapToGrid w:val="0"/>
              <w:spacing w:before="156" w:beforeLines="50" w:line="360" w:lineRule="auto"/>
              <w:jc w:val="center"/>
              <w:rPr>
                <w:rFonts w:ascii="宋体"/>
                <w:color w:val="auto"/>
                <w:szCs w:val="21"/>
                <w:highlight w:val="none"/>
              </w:rPr>
            </w:pPr>
            <w:r>
              <w:rPr>
                <w:rFonts w:ascii="宋体" w:hAnsi="宋体" w:cs="宋体"/>
                <w:color w:val="auto"/>
                <w:kern w:val="0"/>
                <w:szCs w:val="21"/>
                <w:highlight w:val="none"/>
              </w:rPr>
              <w:t>13055167195</w:t>
            </w:r>
          </w:p>
        </w:tc>
      </w:tr>
      <w:tr w14:paraId="5309AC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trPr>
        <w:tc>
          <w:tcPr>
            <w:tcW w:w="2700" w:type="dxa"/>
            <w:tcBorders>
              <w:bottom w:val="double" w:color="auto" w:sz="4" w:space="0"/>
            </w:tcBorders>
            <w:vAlign w:val="center"/>
          </w:tcPr>
          <w:p w14:paraId="233F5248">
            <w:pPr>
              <w:adjustRightInd w:val="0"/>
              <w:snapToGrid w:val="0"/>
              <w:spacing w:before="156" w:beforeLines="50" w:line="360" w:lineRule="auto"/>
              <w:rPr>
                <w:rFonts w:ascii="宋体"/>
                <w:color w:val="auto"/>
                <w:szCs w:val="21"/>
                <w:highlight w:val="none"/>
              </w:rPr>
            </w:pPr>
            <w:r>
              <w:rPr>
                <w:rFonts w:hint="eastAsia" w:ascii="宋体" w:hAnsi="宋体" w:cs="宋体"/>
                <w:color w:val="auto"/>
                <w:kern w:val="0"/>
                <w:szCs w:val="21"/>
                <w:highlight w:val="none"/>
              </w:rPr>
              <w:t>中信银行长沙分行</w:t>
            </w:r>
          </w:p>
        </w:tc>
        <w:tc>
          <w:tcPr>
            <w:tcW w:w="1080" w:type="dxa"/>
            <w:tcBorders>
              <w:bottom w:val="double" w:color="auto" w:sz="4" w:space="0"/>
            </w:tcBorders>
            <w:vAlign w:val="center"/>
          </w:tcPr>
          <w:p w14:paraId="27582994">
            <w:pPr>
              <w:adjustRightInd w:val="0"/>
              <w:snapToGrid w:val="0"/>
              <w:spacing w:before="156" w:beforeLines="50" w:line="360" w:lineRule="auto"/>
              <w:jc w:val="center"/>
              <w:rPr>
                <w:rFonts w:ascii="宋体"/>
                <w:color w:val="auto"/>
                <w:szCs w:val="21"/>
                <w:highlight w:val="none"/>
              </w:rPr>
            </w:pPr>
            <w:r>
              <w:rPr>
                <w:rFonts w:hint="eastAsia" w:ascii="宋体" w:hAnsi="宋体" w:cs="宋体"/>
                <w:color w:val="auto"/>
                <w:kern w:val="0"/>
                <w:szCs w:val="21"/>
                <w:highlight w:val="none"/>
              </w:rPr>
              <w:t>宋学农</w:t>
            </w:r>
          </w:p>
        </w:tc>
        <w:tc>
          <w:tcPr>
            <w:tcW w:w="3060" w:type="dxa"/>
            <w:tcBorders>
              <w:bottom w:val="double" w:color="auto" w:sz="4" w:space="0"/>
            </w:tcBorders>
            <w:vAlign w:val="center"/>
          </w:tcPr>
          <w:p w14:paraId="4B10AFA2">
            <w:pPr>
              <w:adjustRightInd w:val="0"/>
              <w:snapToGrid w:val="0"/>
              <w:spacing w:before="156" w:beforeLines="50" w:line="360" w:lineRule="auto"/>
              <w:rPr>
                <w:rFonts w:ascii="宋体"/>
                <w:color w:val="auto"/>
                <w:szCs w:val="21"/>
                <w:highlight w:val="none"/>
              </w:rPr>
            </w:pPr>
            <w:r>
              <w:rPr>
                <w:rFonts w:hint="eastAsia" w:ascii="宋体" w:hAnsi="宋体" w:cs="宋体"/>
                <w:color w:val="auto"/>
                <w:kern w:val="0"/>
                <w:szCs w:val="21"/>
                <w:highlight w:val="none"/>
              </w:rPr>
              <w:t>银行部综合管理部副总经理</w:t>
            </w:r>
          </w:p>
        </w:tc>
        <w:tc>
          <w:tcPr>
            <w:tcW w:w="2340" w:type="dxa"/>
            <w:tcBorders>
              <w:bottom w:val="double" w:color="auto" w:sz="4" w:space="0"/>
            </w:tcBorders>
            <w:vAlign w:val="center"/>
          </w:tcPr>
          <w:p w14:paraId="05339757">
            <w:pPr>
              <w:adjustRightInd w:val="0"/>
              <w:snapToGrid w:val="0"/>
              <w:spacing w:before="156" w:beforeLines="50" w:line="360" w:lineRule="auto"/>
              <w:jc w:val="center"/>
              <w:rPr>
                <w:rFonts w:ascii="宋体"/>
                <w:color w:val="auto"/>
                <w:szCs w:val="21"/>
                <w:highlight w:val="none"/>
              </w:rPr>
            </w:pPr>
            <w:r>
              <w:rPr>
                <w:rFonts w:ascii="宋体" w:hAnsi="宋体" w:cs="宋体"/>
                <w:color w:val="auto"/>
                <w:kern w:val="0"/>
                <w:szCs w:val="21"/>
                <w:highlight w:val="none"/>
              </w:rPr>
              <w:t>0731-845822141</w:t>
            </w:r>
          </w:p>
        </w:tc>
      </w:tr>
    </w:tbl>
    <w:p w14:paraId="523B34A8">
      <w:pPr>
        <w:jc w:val="center"/>
        <w:rPr>
          <w:rFonts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岳阳市政府采购合同融资合作银行及联系人名单</w:t>
      </w:r>
    </w:p>
    <w:tbl>
      <w:tblPr>
        <w:tblStyle w:val="40"/>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3289"/>
        <w:gridCol w:w="803"/>
        <w:gridCol w:w="2748"/>
        <w:gridCol w:w="2214"/>
      </w:tblGrid>
      <w:tr w14:paraId="1C7748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1" w:hRule="atLeast"/>
        </w:trPr>
        <w:tc>
          <w:tcPr>
            <w:tcW w:w="1816" w:type="pct"/>
            <w:noWrap/>
            <w:vAlign w:val="center"/>
          </w:tcPr>
          <w:p w14:paraId="4E6A7456">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bCs/>
                <w:color w:val="auto"/>
                <w:kern w:val="0"/>
                <w:sz w:val="18"/>
                <w:szCs w:val="18"/>
                <w:highlight w:val="none"/>
              </w:rPr>
              <w:t>银行名称</w:t>
            </w:r>
          </w:p>
        </w:tc>
        <w:tc>
          <w:tcPr>
            <w:tcW w:w="443" w:type="pct"/>
            <w:noWrap/>
            <w:vAlign w:val="center"/>
          </w:tcPr>
          <w:p w14:paraId="6FFA9523">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bCs/>
                <w:color w:val="auto"/>
                <w:kern w:val="0"/>
                <w:sz w:val="18"/>
                <w:szCs w:val="18"/>
                <w:highlight w:val="none"/>
              </w:rPr>
              <w:t>联系人</w:t>
            </w:r>
          </w:p>
        </w:tc>
        <w:tc>
          <w:tcPr>
            <w:tcW w:w="1517" w:type="pct"/>
            <w:noWrap/>
            <w:vAlign w:val="center"/>
          </w:tcPr>
          <w:p w14:paraId="0F38E700">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bCs/>
                <w:color w:val="auto"/>
                <w:kern w:val="0"/>
                <w:sz w:val="18"/>
                <w:szCs w:val="18"/>
                <w:highlight w:val="none"/>
              </w:rPr>
              <w:t>职  务</w:t>
            </w:r>
          </w:p>
        </w:tc>
        <w:tc>
          <w:tcPr>
            <w:tcW w:w="1222" w:type="pct"/>
            <w:noWrap/>
            <w:vAlign w:val="center"/>
          </w:tcPr>
          <w:p w14:paraId="60674EF5">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bCs/>
                <w:color w:val="auto"/>
                <w:kern w:val="0"/>
                <w:sz w:val="18"/>
                <w:szCs w:val="18"/>
                <w:highlight w:val="none"/>
              </w:rPr>
              <w:t>联系电话</w:t>
            </w:r>
          </w:p>
        </w:tc>
      </w:tr>
      <w:tr w14:paraId="5FE928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57935D31">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lang w:bidi="ar"/>
              </w:rPr>
              <w:t>交通银行岳阳分行</w:t>
            </w:r>
          </w:p>
        </w:tc>
        <w:tc>
          <w:tcPr>
            <w:tcW w:w="443" w:type="pct"/>
            <w:noWrap/>
            <w:vAlign w:val="center"/>
          </w:tcPr>
          <w:p w14:paraId="7344278B">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lang w:bidi="ar"/>
              </w:rPr>
              <w:t>黄  颖</w:t>
            </w:r>
          </w:p>
        </w:tc>
        <w:tc>
          <w:tcPr>
            <w:tcW w:w="1517" w:type="pct"/>
            <w:noWrap/>
            <w:vAlign w:val="center"/>
          </w:tcPr>
          <w:p w14:paraId="636E7B7F">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lang w:bidi="ar"/>
              </w:rPr>
              <w:t>公司、普惠部总经理</w:t>
            </w:r>
          </w:p>
        </w:tc>
        <w:tc>
          <w:tcPr>
            <w:tcW w:w="1222" w:type="pct"/>
            <w:noWrap/>
            <w:vAlign w:val="center"/>
          </w:tcPr>
          <w:p w14:paraId="5FF3576C">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lang w:bidi="ar"/>
              </w:rPr>
              <w:t>18873011060</w:t>
            </w:r>
          </w:p>
        </w:tc>
      </w:tr>
      <w:tr w14:paraId="3B8242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61129B3D">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lang w:bidi="ar"/>
              </w:rPr>
              <w:t>交通银行岳阳分行府东支行</w:t>
            </w:r>
          </w:p>
        </w:tc>
        <w:tc>
          <w:tcPr>
            <w:tcW w:w="443" w:type="pct"/>
            <w:noWrap/>
            <w:vAlign w:val="center"/>
          </w:tcPr>
          <w:p w14:paraId="4C2CE1C0">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lang w:bidi="ar"/>
              </w:rPr>
              <w:t>蒋莉华</w:t>
            </w:r>
          </w:p>
        </w:tc>
        <w:tc>
          <w:tcPr>
            <w:tcW w:w="1517" w:type="pct"/>
            <w:noWrap/>
            <w:vAlign w:val="center"/>
          </w:tcPr>
          <w:p w14:paraId="26E516F3">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lang w:bidi="ar"/>
              </w:rPr>
              <w:t>支行行长</w:t>
            </w:r>
          </w:p>
        </w:tc>
        <w:tc>
          <w:tcPr>
            <w:tcW w:w="1222" w:type="pct"/>
            <w:noWrap/>
            <w:vAlign w:val="center"/>
          </w:tcPr>
          <w:p w14:paraId="717D6797">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lang w:bidi="ar"/>
              </w:rPr>
              <w:t>13973004180</w:t>
            </w:r>
          </w:p>
        </w:tc>
      </w:tr>
      <w:tr w14:paraId="3EA0B6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7E6A32C8">
            <w:pPr>
              <w:adjustRightInd w:val="0"/>
              <w:snapToGrid w:val="0"/>
              <w:spacing w:before="156" w:beforeLines="50" w:line="360" w:lineRule="auto"/>
              <w:jc w:val="center"/>
              <w:rPr>
                <w:rFonts w:ascii="宋体" w:hAnsi="宋体" w:cs="宋体"/>
                <w:color w:val="auto"/>
                <w:sz w:val="18"/>
                <w:szCs w:val="18"/>
                <w:highlight w:val="none"/>
              </w:rPr>
            </w:pPr>
            <w:r>
              <w:rPr>
                <w:rFonts w:ascii="宋体" w:hAnsi="宋体" w:cs="宋体"/>
                <w:color w:val="auto"/>
                <w:sz w:val="18"/>
                <w:szCs w:val="18"/>
                <w:highlight w:val="none"/>
              </w:rPr>
              <w:t>湖南岳阳农村商业银行股份有限公司</w:t>
            </w:r>
          </w:p>
        </w:tc>
        <w:tc>
          <w:tcPr>
            <w:tcW w:w="443" w:type="pct"/>
            <w:noWrap/>
            <w:vAlign w:val="center"/>
          </w:tcPr>
          <w:p w14:paraId="4F02B2AA">
            <w:pPr>
              <w:adjustRightInd w:val="0"/>
              <w:snapToGrid w:val="0"/>
              <w:spacing w:before="156" w:beforeLines="50" w:line="360" w:lineRule="auto"/>
              <w:jc w:val="center"/>
              <w:rPr>
                <w:rFonts w:ascii="宋体" w:hAnsi="宋体" w:cs="宋体"/>
                <w:color w:val="auto"/>
                <w:sz w:val="18"/>
                <w:szCs w:val="18"/>
                <w:highlight w:val="none"/>
              </w:rPr>
            </w:pPr>
            <w:r>
              <w:rPr>
                <w:rFonts w:ascii="宋体" w:hAnsi="宋体" w:cs="宋体"/>
                <w:color w:val="auto"/>
                <w:sz w:val="18"/>
                <w:szCs w:val="18"/>
                <w:highlight w:val="none"/>
              </w:rPr>
              <w:t>徐顶龙</w:t>
            </w:r>
          </w:p>
        </w:tc>
        <w:tc>
          <w:tcPr>
            <w:tcW w:w="1517" w:type="pct"/>
            <w:noWrap/>
            <w:vAlign w:val="center"/>
          </w:tcPr>
          <w:p w14:paraId="0F0B0D2D">
            <w:pPr>
              <w:adjustRightInd w:val="0"/>
              <w:snapToGrid w:val="0"/>
              <w:spacing w:before="156" w:beforeLines="50" w:line="360" w:lineRule="auto"/>
              <w:jc w:val="center"/>
              <w:rPr>
                <w:rFonts w:ascii="宋体" w:hAnsi="宋体" w:cs="宋体"/>
                <w:color w:val="auto"/>
                <w:sz w:val="18"/>
                <w:szCs w:val="18"/>
                <w:highlight w:val="none"/>
              </w:rPr>
            </w:pPr>
            <w:r>
              <w:rPr>
                <w:rFonts w:ascii="宋体" w:hAnsi="宋体" w:cs="宋体"/>
                <w:color w:val="auto"/>
                <w:sz w:val="18"/>
                <w:szCs w:val="18"/>
                <w:highlight w:val="none"/>
              </w:rPr>
              <w:t>总行副行长</w:t>
            </w:r>
          </w:p>
        </w:tc>
        <w:tc>
          <w:tcPr>
            <w:tcW w:w="1222" w:type="pct"/>
            <w:noWrap/>
            <w:vAlign w:val="center"/>
          </w:tcPr>
          <w:p w14:paraId="50304CAC">
            <w:pPr>
              <w:adjustRightInd w:val="0"/>
              <w:snapToGrid w:val="0"/>
              <w:spacing w:before="156" w:beforeLines="50" w:line="360" w:lineRule="auto"/>
              <w:jc w:val="center"/>
              <w:rPr>
                <w:rFonts w:ascii="宋体" w:hAnsi="宋体" w:cs="宋体"/>
                <w:color w:val="auto"/>
                <w:sz w:val="18"/>
                <w:szCs w:val="18"/>
                <w:highlight w:val="none"/>
              </w:rPr>
            </w:pPr>
            <w:r>
              <w:rPr>
                <w:rFonts w:ascii="宋体" w:hAnsi="宋体" w:cs="宋体"/>
                <w:color w:val="auto"/>
                <w:sz w:val="18"/>
                <w:szCs w:val="18"/>
                <w:highlight w:val="none"/>
              </w:rPr>
              <w:t>18173002929</w:t>
            </w:r>
          </w:p>
        </w:tc>
      </w:tr>
      <w:tr w14:paraId="0364AC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64CA5D99">
            <w:pPr>
              <w:adjustRightInd w:val="0"/>
              <w:snapToGrid w:val="0"/>
              <w:spacing w:before="156" w:beforeLines="50" w:line="360" w:lineRule="auto"/>
              <w:jc w:val="center"/>
              <w:rPr>
                <w:rFonts w:ascii="宋体" w:hAnsi="宋体" w:cs="宋体"/>
                <w:color w:val="auto"/>
                <w:sz w:val="18"/>
                <w:szCs w:val="18"/>
                <w:highlight w:val="none"/>
              </w:rPr>
            </w:pPr>
            <w:r>
              <w:rPr>
                <w:rFonts w:ascii="宋体" w:hAnsi="宋体" w:cs="宋体"/>
                <w:color w:val="auto"/>
                <w:sz w:val="18"/>
                <w:szCs w:val="18"/>
                <w:highlight w:val="none"/>
              </w:rPr>
              <w:t>湖南岳阳农村商业银行股份有限公司</w:t>
            </w:r>
          </w:p>
        </w:tc>
        <w:tc>
          <w:tcPr>
            <w:tcW w:w="443" w:type="pct"/>
            <w:noWrap/>
            <w:vAlign w:val="center"/>
          </w:tcPr>
          <w:p w14:paraId="25D50272">
            <w:pPr>
              <w:adjustRightInd w:val="0"/>
              <w:snapToGrid w:val="0"/>
              <w:spacing w:before="156" w:beforeLines="50" w:line="360" w:lineRule="auto"/>
              <w:jc w:val="center"/>
              <w:rPr>
                <w:rFonts w:ascii="宋体" w:hAnsi="宋体" w:cs="宋体"/>
                <w:color w:val="auto"/>
                <w:sz w:val="18"/>
                <w:szCs w:val="18"/>
                <w:highlight w:val="none"/>
              </w:rPr>
            </w:pPr>
            <w:r>
              <w:rPr>
                <w:rFonts w:ascii="宋体" w:hAnsi="宋体" w:cs="宋体"/>
                <w:color w:val="auto"/>
                <w:sz w:val="18"/>
                <w:szCs w:val="18"/>
                <w:highlight w:val="none"/>
              </w:rPr>
              <w:t>彭靖夫</w:t>
            </w:r>
          </w:p>
        </w:tc>
        <w:tc>
          <w:tcPr>
            <w:tcW w:w="1517" w:type="pct"/>
            <w:noWrap/>
            <w:vAlign w:val="center"/>
          </w:tcPr>
          <w:p w14:paraId="56986D65">
            <w:pPr>
              <w:adjustRightInd w:val="0"/>
              <w:snapToGrid w:val="0"/>
              <w:spacing w:before="156" w:beforeLines="50" w:line="360" w:lineRule="auto"/>
              <w:jc w:val="center"/>
              <w:rPr>
                <w:rFonts w:ascii="宋体" w:hAnsi="宋体" w:cs="宋体"/>
                <w:color w:val="auto"/>
                <w:sz w:val="18"/>
                <w:szCs w:val="18"/>
                <w:highlight w:val="none"/>
              </w:rPr>
            </w:pPr>
            <w:r>
              <w:rPr>
                <w:rFonts w:ascii="宋体" w:hAnsi="宋体" w:cs="宋体"/>
                <w:color w:val="auto"/>
                <w:sz w:val="18"/>
                <w:szCs w:val="18"/>
                <w:highlight w:val="none"/>
              </w:rPr>
              <w:t>总行营业部副主任</w:t>
            </w:r>
          </w:p>
        </w:tc>
        <w:tc>
          <w:tcPr>
            <w:tcW w:w="1222" w:type="pct"/>
            <w:noWrap/>
            <w:vAlign w:val="center"/>
          </w:tcPr>
          <w:p w14:paraId="3C5497D4">
            <w:pPr>
              <w:adjustRightInd w:val="0"/>
              <w:snapToGrid w:val="0"/>
              <w:spacing w:before="156" w:beforeLines="50" w:line="360" w:lineRule="auto"/>
              <w:jc w:val="center"/>
              <w:rPr>
                <w:rFonts w:ascii="宋体" w:hAnsi="宋体" w:cs="宋体"/>
                <w:color w:val="auto"/>
                <w:sz w:val="18"/>
                <w:szCs w:val="18"/>
                <w:highlight w:val="none"/>
              </w:rPr>
            </w:pPr>
            <w:r>
              <w:rPr>
                <w:rFonts w:ascii="宋体" w:hAnsi="宋体" w:cs="宋体"/>
                <w:color w:val="auto"/>
                <w:sz w:val="18"/>
                <w:szCs w:val="18"/>
                <w:highlight w:val="none"/>
              </w:rPr>
              <w:t>18273053888</w:t>
            </w:r>
          </w:p>
        </w:tc>
      </w:tr>
      <w:tr w14:paraId="4519FE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162E7E3E">
            <w:pPr>
              <w:adjustRightInd w:val="0"/>
              <w:snapToGrid w:val="0"/>
              <w:spacing w:before="156" w:beforeLines="50" w:line="360" w:lineRule="auto"/>
              <w:jc w:val="center"/>
              <w:rPr>
                <w:rFonts w:ascii="宋体" w:hAnsi="宋体" w:cs="宋体"/>
                <w:color w:val="auto"/>
                <w:sz w:val="18"/>
                <w:szCs w:val="18"/>
                <w:highlight w:val="none"/>
              </w:rPr>
            </w:pPr>
            <w:r>
              <w:rPr>
                <w:rFonts w:ascii="宋体" w:hAnsi="宋体" w:cs="宋体"/>
                <w:color w:val="auto"/>
                <w:sz w:val="18"/>
                <w:szCs w:val="18"/>
                <w:highlight w:val="none"/>
              </w:rPr>
              <w:t>农业</w:t>
            </w:r>
            <w:r>
              <w:rPr>
                <w:rFonts w:hint="eastAsia" w:ascii="宋体" w:hAnsi="宋体" w:cs="宋体"/>
                <w:color w:val="auto"/>
                <w:sz w:val="18"/>
                <w:szCs w:val="18"/>
                <w:highlight w:val="none"/>
              </w:rPr>
              <w:t>银行岳阳分行</w:t>
            </w:r>
          </w:p>
        </w:tc>
        <w:tc>
          <w:tcPr>
            <w:tcW w:w="443" w:type="pct"/>
            <w:noWrap/>
            <w:vAlign w:val="center"/>
          </w:tcPr>
          <w:p w14:paraId="083E5488">
            <w:pPr>
              <w:adjustRightInd w:val="0"/>
              <w:snapToGrid w:val="0"/>
              <w:spacing w:before="156" w:beforeLines="50" w:line="360" w:lineRule="auto"/>
              <w:jc w:val="center"/>
              <w:rPr>
                <w:rFonts w:ascii="宋体" w:hAnsi="宋体" w:cs="宋体"/>
                <w:color w:val="auto"/>
                <w:sz w:val="18"/>
                <w:szCs w:val="18"/>
                <w:highlight w:val="none"/>
              </w:rPr>
            </w:pPr>
            <w:r>
              <w:rPr>
                <w:rFonts w:ascii="宋体" w:hAnsi="宋体" w:cs="宋体"/>
                <w:color w:val="auto"/>
                <w:sz w:val="18"/>
                <w:szCs w:val="18"/>
                <w:highlight w:val="none"/>
              </w:rPr>
              <w:t>黄立军</w:t>
            </w:r>
          </w:p>
        </w:tc>
        <w:tc>
          <w:tcPr>
            <w:tcW w:w="1517" w:type="pct"/>
            <w:noWrap/>
            <w:vAlign w:val="center"/>
          </w:tcPr>
          <w:p w14:paraId="37B9E381">
            <w:pPr>
              <w:adjustRightInd w:val="0"/>
              <w:snapToGrid w:val="0"/>
              <w:spacing w:before="156" w:beforeLines="50" w:line="360" w:lineRule="auto"/>
              <w:jc w:val="center"/>
              <w:rPr>
                <w:rFonts w:ascii="宋体" w:hAnsi="宋体" w:cs="宋体"/>
                <w:color w:val="auto"/>
                <w:sz w:val="18"/>
                <w:szCs w:val="18"/>
                <w:highlight w:val="none"/>
              </w:rPr>
            </w:pPr>
            <w:r>
              <w:rPr>
                <w:rFonts w:ascii="宋体" w:hAnsi="宋体" w:cs="宋体"/>
                <w:color w:val="auto"/>
                <w:sz w:val="18"/>
                <w:szCs w:val="18"/>
                <w:highlight w:val="none"/>
              </w:rPr>
              <w:t>普惠</w:t>
            </w:r>
            <w:r>
              <w:rPr>
                <w:rFonts w:hint="eastAsia" w:ascii="宋体" w:hAnsi="宋体" w:cs="宋体"/>
                <w:color w:val="auto"/>
                <w:sz w:val="18"/>
                <w:szCs w:val="18"/>
                <w:highlight w:val="none"/>
              </w:rPr>
              <w:t>部负责人</w:t>
            </w:r>
          </w:p>
        </w:tc>
        <w:tc>
          <w:tcPr>
            <w:tcW w:w="1222" w:type="pct"/>
            <w:noWrap/>
            <w:vAlign w:val="center"/>
          </w:tcPr>
          <w:p w14:paraId="02B94C4A">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1</w:t>
            </w:r>
            <w:r>
              <w:rPr>
                <w:rFonts w:ascii="宋体" w:hAnsi="宋体" w:cs="宋体"/>
                <w:color w:val="auto"/>
                <w:sz w:val="18"/>
                <w:szCs w:val="18"/>
                <w:highlight w:val="none"/>
              </w:rPr>
              <w:t>8973061212</w:t>
            </w:r>
          </w:p>
        </w:tc>
      </w:tr>
      <w:tr w14:paraId="2B1C52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08FF914B">
            <w:pPr>
              <w:adjustRightInd w:val="0"/>
              <w:snapToGrid w:val="0"/>
              <w:spacing w:before="156" w:beforeLines="50" w:line="360" w:lineRule="auto"/>
              <w:jc w:val="center"/>
              <w:rPr>
                <w:rFonts w:ascii="宋体" w:hAnsi="宋体" w:cs="宋体"/>
                <w:color w:val="auto"/>
                <w:sz w:val="18"/>
                <w:szCs w:val="18"/>
                <w:highlight w:val="none"/>
              </w:rPr>
            </w:pPr>
            <w:r>
              <w:rPr>
                <w:rFonts w:ascii="宋体" w:hAnsi="宋体" w:cs="宋体"/>
                <w:color w:val="auto"/>
                <w:sz w:val="18"/>
                <w:szCs w:val="18"/>
                <w:highlight w:val="none"/>
              </w:rPr>
              <w:t>农业银行岳阳分行</w:t>
            </w:r>
          </w:p>
        </w:tc>
        <w:tc>
          <w:tcPr>
            <w:tcW w:w="443" w:type="pct"/>
            <w:noWrap/>
            <w:vAlign w:val="center"/>
          </w:tcPr>
          <w:p w14:paraId="3CFC5ED6">
            <w:pPr>
              <w:adjustRightInd w:val="0"/>
              <w:snapToGrid w:val="0"/>
              <w:spacing w:before="156" w:beforeLines="50" w:line="360" w:lineRule="auto"/>
              <w:jc w:val="center"/>
              <w:rPr>
                <w:rFonts w:ascii="宋体" w:hAnsi="宋体" w:cs="宋体"/>
                <w:color w:val="auto"/>
                <w:sz w:val="18"/>
                <w:szCs w:val="18"/>
                <w:highlight w:val="none"/>
              </w:rPr>
            </w:pPr>
            <w:r>
              <w:rPr>
                <w:rFonts w:ascii="宋体" w:hAnsi="宋体" w:cs="宋体"/>
                <w:color w:val="auto"/>
                <w:sz w:val="18"/>
                <w:szCs w:val="18"/>
                <w:highlight w:val="none"/>
              </w:rPr>
              <w:t>周</w:t>
            </w:r>
            <w:r>
              <w:rPr>
                <w:rFonts w:hint="eastAsia" w:ascii="宋体" w:hAnsi="宋体" w:cs="宋体"/>
                <w:color w:val="auto"/>
                <w:sz w:val="18"/>
                <w:szCs w:val="18"/>
                <w:highlight w:val="none"/>
              </w:rPr>
              <w:t xml:space="preserve">  </w:t>
            </w:r>
            <w:r>
              <w:rPr>
                <w:rFonts w:ascii="宋体" w:hAnsi="宋体" w:cs="宋体"/>
                <w:color w:val="auto"/>
                <w:sz w:val="18"/>
                <w:szCs w:val="18"/>
                <w:highlight w:val="none"/>
              </w:rPr>
              <w:t>芊</w:t>
            </w:r>
          </w:p>
        </w:tc>
        <w:tc>
          <w:tcPr>
            <w:tcW w:w="1517" w:type="pct"/>
            <w:noWrap/>
            <w:vAlign w:val="center"/>
          </w:tcPr>
          <w:p w14:paraId="6D53DAE4">
            <w:pPr>
              <w:adjustRightInd w:val="0"/>
              <w:snapToGrid w:val="0"/>
              <w:spacing w:before="156" w:beforeLines="50" w:line="360" w:lineRule="auto"/>
              <w:jc w:val="center"/>
              <w:rPr>
                <w:rFonts w:ascii="宋体" w:hAnsi="宋体" w:cs="宋体"/>
                <w:color w:val="auto"/>
                <w:sz w:val="18"/>
                <w:szCs w:val="18"/>
                <w:highlight w:val="none"/>
              </w:rPr>
            </w:pPr>
            <w:r>
              <w:rPr>
                <w:rFonts w:ascii="宋体" w:hAnsi="宋体" w:cs="宋体"/>
                <w:color w:val="auto"/>
                <w:sz w:val="18"/>
                <w:szCs w:val="18"/>
                <w:highlight w:val="none"/>
              </w:rPr>
              <w:t>普惠部经办人</w:t>
            </w:r>
          </w:p>
        </w:tc>
        <w:tc>
          <w:tcPr>
            <w:tcW w:w="1222" w:type="pct"/>
            <w:noWrap/>
            <w:vAlign w:val="center"/>
          </w:tcPr>
          <w:p w14:paraId="2B374B43">
            <w:pPr>
              <w:adjustRightInd w:val="0"/>
              <w:snapToGrid w:val="0"/>
              <w:spacing w:before="156" w:beforeLines="50" w:line="360" w:lineRule="auto"/>
              <w:jc w:val="center"/>
              <w:rPr>
                <w:rFonts w:ascii="宋体" w:hAnsi="宋体" w:cs="宋体"/>
                <w:color w:val="auto"/>
                <w:sz w:val="18"/>
                <w:szCs w:val="18"/>
                <w:highlight w:val="none"/>
              </w:rPr>
            </w:pPr>
            <w:r>
              <w:rPr>
                <w:rFonts w:ascii="宋体" w:hAnsi="宋体" w:cs="宋体"/>
                <w:color w:val="auto"/>
                <w:sz w:val="18"/>
                <w:szCs w:val="18"/>
                <w:highlight w:val="none"/>
              </w:rPr>
              <w:t>13975036393</w:t>
            </w:r>
          </w:p>
        </w:tc>
      </w:tr>
      <w:tr w14:paraId="07E6EF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5545A5ED">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湖南银行岳阳分行</w:t>
            </w:r>
          </w:p>
        </w:tc>
        <w:tc>
          <w:tcPr>
            <w:tcW w:w="443" w:type="pct"/>
            <w:noWrap/>
            <w:vAlign w:val="center"/>
          </w:tcPr>
          <w:p w14:paraId="1319971C">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何昌林</w:t>
            </w:r>
          </w:p>
        </w:tc>
        <w:tc>
          <w:tcPr>
            <w:tcW w:w="1517" w:type="pct"/>
            <w:noWrap/>
            <w:vAlign w:val="center"/>
          </w:tcPr>
          <w:p w14:paraId="38F61271">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分行副行长</w:t>
            </w:r>
          </w:p>
        </w:tc>
        <w:tc>
          <w:tcPr>
            <w:tcW w:w="1222" w:type="pct"/>
            <w:noWrap/>
            <w:vAlign w:val="center"/>
          </w:tcPr>
          <w:p w14:paraId="0DB0C85A">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15707306666</w:t>
            </w:r>
          </w:p>
        </w:tc>
      </w:tr>
      <w:tr w14:paraId="2AC1B0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78AE019C">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湖南银行岳阳分行财源支行</w:t>
            </w:r>
          </w:p>
        </w:tc>
        <w:tc>
          <w:tcPr>
            <w:tcW w:w="443" w:type="pct"/>
            <w:noWrap/>
            <w:vAlign w:val="center"/>
          </w:tcPr>
          <w:p w14:paraId="3579F990">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张  璐</w:t>
            </w:r>
          </w:p>
        </w:tc>
        <w:tc>
          <w:tcPr>
            <w:tcW w:w="1517" w:type="pct"/>
            <w:noWrap/>
            <w:vAlign w:val="center"/>
          </w:tcPr>
          <w:p w14:paraId="632ABA9A">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客户经理</w:t>
            </w:r>
          </w:p>
        </w:tc>
        <w:tc>
          <w:tcPr>
            <w:tcW w:w="1222" w:type="pct"/>
            <w:noWrap/>
            <w:vAlign w:val="center"/>
          </w:tcPr>
          <w:p w14:paraId="0BCB1921">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13707308320</w:t>
            </w:r>
          </w:p>
        </w:tc>
      </w:tr>
      <w:tr w14:paraId="51490D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655E180B">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巴陵农村商业银行</w:t>
            </w:r>
          </w:p>
        </w:tc>
        <w:tc>
          <w:tcPr>
            <w:tcW w:w="443" w:type="pct"/>
            <w:noWrap/>
            <w:vAlign w:val="center"/>
          </w:tcPr>
          <w:p w14:paraId="0B7B0E8B">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柳  斌</w:t>
            </w:r>
          </w:p>
        </w:tc>
        <w:tc>
          <w:tcPr>
            <w:tcW w:w="1517" w:type="pct"/>
            <w:noWrap/>
            <w:vAlign w:val="center"/>
          </w:tcPr>
          <w:p w14:paraId="2010BE18">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总行党委-副行长</w:t>
            </w:r>
          </w:p>
        </w:tc>
        <w:tc>
          <w:tcPr>
            <w:tcW w:w="1222" w:type="pct"/>
            <w:noWrap/>
            <w:vAlign w:val="center"/>
          </w:tcPr>
          <w:p w14:paraId="40573299">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13789029698</w:t>
            </w:r>
          </w:p>
        </w:tc>
      </w:tr>
      <w:tr w14:paraId="707F31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603B71B9">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巴陵农商行德胜路分理处</w:t>
            </w:r>
          </w:p>
        </w:tc>
        <w:tc>
          <w:tcPr>
            <w:tcW w:w="443" w:type="pct"/>
            <w:noWrap/>
            <w:vAlign w:val="center"/>
          </w:tcPr>
          <w:p w14:paraId="49017B17">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付素洁</w:t>
            </w:r>
          </w:p>
        </w:tc>
        <w:tc>
          <w:tcPr>
            <w:tcW w:w="1517" w:type="pct"/>
            <w:noWrap/>
            <w:vAlign w:val="center"/>
          </w:tcPr>
          <w:p w14:paraId="0DCEBD80">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支行副行长</w:t>
            </w:r>
          </w:p>
        </w:tc>
        <w:tc>
          <w:tcPr>
            <w:tcW w:w="1222" w:type="pct"/>
            <w:noWrap/>
            <w:vAlign w:val="center"/>
          </w:tcPr>
          <w:p w14:paraId="104A8976">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13907309327</w:t>
            </w:r>
          </w:p>
        </w:tc>
      </w:tr>
      <w:tr w14:paraId="494128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44C9F618">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highlight w:val="none"/>
              </w:rPr>
              <w:t>中国建设银行岳阳市分行营业部</w:t>
            </w:r>
          </w:p>
        </w:tc>
        <w:tc>
          <w:tcPr>
            <w:tcW w:w="443" w:type="pct"/>
            <w:noWrap/>
            <w:vAlign w:val="center"/>
          </w:tcPr>
          <w:p w14:paraId="6ED45944">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highlight w:val="none"/>
              </w:rPr>
              <w:t>邹鸿志</w:t>
            </w:r>
          </w:p>
        </w:tc>
        <w:tc>
          <w:tcPr>
            <w:tcW w:w="1517" w:type="pct"/>
            <w:noWrap/>
            <w:vAlign w:val="center"/>
          </w:tcPr>
          <w:p w14:paraId="2912897C">
            <w:pPr>
              <w:adjustRightInd w:val="0"/>
              <w:snapToGrid w:val="0"/>
              <w:spacing w:before="156" w:beforeLines="50" w:line="360" w:lineRule="auto"/>
              <w:jc w:val="center"/>
              <w:rPr>
                <w:rFonts w:ascii="宋体" w:hAnsi="宋体" w:cs="宋体"/>
                <w:color w:val="auto"/>
                <w:sz w:val="18"/>
                <w:szCs w:val="18"/>
                <w:highlight w:val="none"/>
              </w:rPr>
            </w:pPr>
            <w:r>
              <w:rPr>
                <w:rFonts w:ascii="宋体" w:hAnsi="宋体" w:cs="宋体"/>
                <w:color w:val="auto"/>
                <w:sz w:val="18"/>
                <w:highlight w:val="none"/>
              </w:rPr>
              <w:t>分行营业部副行长</w:t>
            </w:r>
          </w:p>
        </w:tc>
        <w:tc>
          <w:tcPr>
            <w:tcW w:w="1222" w:type="pct"/>
            <w:noWrap/>
            <w:vAlign w:val="center"/>
          </w:tcPr>
          <w:p w14:paraId="2B78FB7D">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highlight w:val="none"/>
              </w:rPr>
              <w:t>18711236688</w:t>
            </w:r>
          </w:p>
        </w:tc>
      </w:tr>
      <w:tr w14:paraId="7B1E22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2C097FB0">
            <w:pPr>
              <w:adjustRightInd w:val="0"/>
              <w:snapToGrid w:val="0"/>
              <w:spacing w:before="156" w:beforeLines="50" w:line="360" w:lineRule="auto"/>
              <w:jc w:val="center"/>
              <w:rPr>
                <w:rFonts w:ascii="宋体" w:hAnsi="宋体" w:cs="宋体"/>
                <w:color w:val="auto"/>
                <w:sz w:val="18"/>
                <w:szCs w:val="18"/>
                <w:highlight w:val="none"/>
              </w:rPr>
            </w:pPr>
            <w:r>
              <w:rPr>
                <w:rFonts w:ascii="宋体" w:hAnsi="宋体" w:cs="宋体"/>
                <w:color w:val="auto"/>
                <w:sz w:val="18"/>
                <w:highlight w:val="none"/>
              </w:rPr>
              <w:t>中国建设银行岳阳市分行营业部</w:t>
            </w:r>
          </w:p>
        </w:tc>
        <w:tc>
          <w:tcPr>
            <w:tcW w:w="443" w:type="pct"/>
            <w:noWrap/>
            <w:vAlign w:val="center"/>
          </w:tcPr>
          <w:p w14:paraId="5FCDFB16">
            <w:pPr>
              <w:adjustRightInd w:val="0"/>
              <w:snapToGrid w:val="0"/>
              <w:spacing w:before="156" w:beforeLines="50" w:line="360" w:lineRule="auto"/>
              <w:jc w:val="center"/>
              <w:rPr>
                <w:rFonts w:ascii="宋体" w:hAnsi="宋体" w:cs="宋体"/>
                <w:color w:val="auto"/>
                <w:sz w:val="18"/>
                <w:szCs w:val="18"/>
                <w:highlight w:val="none"/>
              </w:rPr>
            </w:pPr>
            <w:r>
              <w:rPr>
                <w:rFonts w:ascii="宋体" w:hAnsi="宋体" w:cs="宋体"/>
                <w:color w:val="auto"/>
                <w:sz w:val="18"/>
                <w:highlight w:val="none"/>
              </w:rPr>
              <w:t>刘紫薇</w:t>
            </w:r>
          </w:p>
        </w:tc>
        <w:tc>
          <w:tcPr>
            <w:tcW w:w="1517" w:type="pct"/>
            <w:noWrap/>
            <w:vAlign w:val="center"/>
          </w:tcPr>
          <w:p w14:paraId="4D00B99E">
            <w:pPr>
              <w:adjustRightInd w:val="0"/>
              <w:snapToGrid w:val="0"/>
              <w:spacing w:before="156" w:beforeLines="50" w:line="360" w:lineRule="auto"/>
              <w:jc w:val="center"/>
              <w:rPr>
                <w:rFonts w:ascii="宋体" w:hAnsi="宋体" w:cs="宋体"/>
                <w:color w:val="auto"/>
                <w:sz w:val="18"/>
                <w:szCs w:val="18"/>
                <w:highlight w:val="none"/>
              </w:rPr>
            </w:pPr>
            <w:r>
              <w:rPr>
                <w:rFonts w:ascii="宋体" w:hAnsi="宋体" w:cs="宋体"/>
                <w:color w:val="auto"/>
                <w:sz w:val="18"/>
                <w:highlight w:val="none"/>
              </w:rPr>
              <w:t>分行普惠部客户经理</w:t>
            </w:r>
          </w:p>
        </w:tc>
        <w:tc>
          <w:tcPr>
            <w:tcW w:w="1222" w:type="pct"/>
            <w:noWrap/>
            <w:vAlign w:val="center"/>
          </w:tcPr>
          <w:p w14:paraId="196C7435">
            <w:pPr>
              <w:adjustRightInd w:val="0"/>
              <w:snapToGrid w:val="0"/>
              <w:spacing w:before="156" w:beforeLines="50" w:line="360" w:lineRule="auto"/>
              <w:jc w:val="center"/>
              <w:rPr>
                <w:rFonts w:ascii="宋体" w:hAnsi="宋体" w:cs="宋体"/>
                <w:color w:val="auto"/>
                <w:sz w:val="18"/>
                <w:szCs w:val="18"/>
                <w:highlight w:val="none"/>
              </w:rPr>
            </w:pPr>
            <w:r>
              <w:rPr>
                <w:rFonts w:ascii="宋体" w:hAnsi="宋体" w:cs="宋体"/>
                <w:color w:val="auto"/>
                <w:sz w:val="18"/>
                <w:highlight w:val="none"/>
              </w:rPr>
              <w:t>19967060009</w:t>
            </w:r>
          </w:p>
        </w:tc>
      </w:tr>
      <w:tr w14:paraId="4A0B09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03DEEF1F">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中国建设银行岳阳市分行营业部</w:t>
            </w:r>
          </w:p>
        </w:tc>
        <w:tc>
          <w:tcPr>
            <w:tcW w:w="443" w:type="pct"/>
            <w:noWrap/>
            <w:vAlign w:val="center"/>
          </w:tcPr>
          <w:p w14:paraId="0985D178">
            <w:pPr>
              <w:adjustRightInd w:val="0"/>
              <w:snapToGrid w:val="0"/>
              <w:spacing w:before="156" w:beforeLines="50" w:line="360" w:lineRule="auto"/>
              <w:jc w:val="center"/>
              <w:rPr>
                <w:rFonts w:ascii="宋体" w:hAnsi="宋体" w:cs="宋体"/>
                <w:color w:val="auto"/>
                <w:sz w:val="18"/>
                <w:szCs w:val="18"/>
                <w:highlight w:val="none"/>
              </w:rPr>
            </w:pPr>
            <w:r>
              <w:rPr>
                <w:rFonts w:ascii="宋体" w:hAnsi="宋体" w:cs="宋体"/>
                <w:color w:val="auto"/>
                <w:sz w:val="18"/>
                <w:highlight w:val="none"/>
              </w:rPr>
              <w:t>李润泽</w:t>
            </w:r>
          </w:p>
        </w:tc>
        <w:tc>
          <w:tcPr>
            <w:tcW w:w="1517" w:type="pct"/>
            <w:noWrap/>
            <w:vAlign w:val="center"/>
          </w:tcPr>
          <w:p w14:paraId="36B6A807">
            <w:pPr>
              <w:adjustRightInd w:val="0"/>
              <w:snapToGrid w:val="0"/>
              <w:spacing w:before="156" w:beforeLines="50" w:line="360" w:lineRule="auto"/>
              <w:jc w:val="center"/>
              <w:rPr>
                <w:rFonts w:ascii="宋体" w:hAnsi="宋体" w:cs="宋体"/>
                <w:color w:val="auto"/>
                <w:sz w:val="18"/>
                <w:szCs w:val="18"/>
                <w:highlight w:val="none"/>
              </w:rPr>
            </w:pPr>
            <w:r>
              <w:rPr>
                <w:rFonts w:ascii="宋体" w:hAnsi="宋体" w:cs="宋体"/>
                <w:color w:val="auto"/>
                <w:sz w:val="18"/>
                <w:highlight w:val="none"/>
              </w:rPr>
              <w:t>分行营业部客户经理</w:t>
            </w:r>
          </w:p>
        </w:tc>
        <w:tc>
          <w:tcPr>
            <w:tcW w:w="1222" w:type="pct"/>
            <w:noWrap/>
            <w:vAlign w:val="center"/>
          </w:tcPr>
          <w:p w14:paraId="1F54C508">
            <w:pPr>
              <w:adjustRightInd w:val="0"/>
              <w:snapToGrid w:val="0"/>
              <w:spacing w:before="156" w:beforeLines="50" w:line="360" w:lineRule="auto"/>
              <w:jc w:val="center"/>
              <w:rPr>
                <w:rFonts w:ascii="宋体" w:hAnsi="宋体" w:cs="宋体"/>
                <w:color w:val="auto"/>
                <w:sz w:val="18"/>
                <w:szCs w:val="18"/>
                <w:highlight w:val="none"/>
              </w:rPr>
            </w:pPr>
            <w:r>
              <w:rPr>
                <w:rFonts w:ascii="宋体" w:hAnsi="宋体" w:cs="宋体"/>
                <w:color w:val="auto"/>
                <w:sz w:val="18"/>
                <w:highlight w:val="none"/>
              </w:rPr>
              <w:t>13337309009</w:t>
            </w:r>
          </w:p>
        </w:tc>
      </w:tr>
      <w:tr w14:paraId="26EDA4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5D0F5CD5">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兴业银行岳阳分行营业部</w:t>
            </w:r>
          </w:p>
        </w:tc>
        <w:tc>
          <w:tcPr>
            <w:tcW w:w="443" w:type="pct"/>
            <w:noWrap/>
            <w:vAlign w:val="center"/>
          </w:tcPr>
          <w:p w14:paraId="69486C88">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谭  丽</w:t>
            </w:r>
          </w:p>
        </w:tc>
        <w:tc>
          <w:tcPr>
            <w:tcW w:w="1517" w:type="pct"/>
            <w:noWrap/>
            <w:vAlign w:val="center"/>
          </w:tcPr>
          <w:p w14:paraId="5BEFB02F">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总经理</w:t>
            </w:r>
          </w:p>
        </w:tc>
        <w:tc>
          <w:tcPr>
            <w:tcW w:w="1222" w:type="pct"/>
            <w:noWrap/>
            <w:vAlign w:val="center"/>
          </w:tcPr>
          <w:p w14:paraId="47906C92">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18773081188</w:t>
            </w:r>
          </w:p>
        </w:tc>
      </w:tr>
      <w:tr w14:paraId="23EB43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733706F4">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兴业银行岳阳分行营业部</w:t>
            </w:r>
          </w:p>
        </w:tc>
        <w:tc>
          <w:tcPr>
            <w:tcW w:w="443" w:type="pct"/>
            <w:noWrap/>
            <w:vAlign w:val="center"/>
          </w:tcPr>
          <w:p w14:paraId="2D1B3834">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李江天</w:t>
            </w:r>
          </w:p>
        </w:tc>
        <w:tc>
          <w:tcPr>
            <w:tcW w:w="1517" w:type="pct"/>
            <w:noWrap/>
            <w:vAlign w:val="center"/>
          </w:tcPr>
          <w:p w14:paraId="77351A69">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客户经理</w:t>
            </w:r>
          </w:p>
        </w:tc>
        <w:tc>
          <w:tcPr>
            <w:tcW w:w="1222" w:type="pct"/>
            <w:noWrap/>
            <w:vAlign w:val="center"/>
          </w:tcPr>
          <w:p w14:paraId="32F0CC9B">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19573070611</w:t>
            </w:r>
          </w:p>
        </w:tc>
      </w:tr>
      <w:tr w14:paraId="146EDB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616CF5BD">
            <w:pPr>
              <w:adjustRightInd w:val="0"/>
              <w:snapToGrid w:val="0"/>
              <w:spacing w:before="156" w:beforeLines="50" w:line="360" w:lineRule="auto"/>
              <w:jc w:val="center"/>
              <w:rPr>
                <w:rFonts w:ascii="宋体" w:hAnsi="宋体" w:cs="宋体"/>
                <w:color w:val="auto"/>
                <w:sz w:val="18"/>
                <w:szCs w:val="18"/>
                <w:highlight w:val="none"/>
              </w:rPr>
            </w:pPr>
            <w:r>
              <w:rPr>
                <w:rFonts w:ascii="宋体" w:hAnsi="宋体" w:cs="宋体"/>
                <w:color w:val="auto"/>
                <w:sz w:val="18"/>
                <w:szCs w:val="18"/>
                <w:highlight w:val="none"/>
              </w:rPr>
              <w:t>中信</w:t>
            </w:r>
            <w:r>
              <w:rPr>
                <w:rFonts w:hint="eastAsia" w:ascii="宋体" w:hAnsi="宋体" w:cs="宋体"/>
                <w:color w:val="auto"/>
                <w:sz w:val="18"/>
                <w:szCs w:val="18"/>
                <w:highlight w:val="none"/>
              </w:rPr>
              <w:t>银行岳阳分行</w:t>
            </w:r>
          </w:p>
        </w:tc>
        <w:tc>
          <w:tcPr>
            <w:tcW w:w="443" w:type="pct"/>
            <w:noWrap/>
            <w:vAlign w:val="center"/>
          </w:tcPr>
          <w:p w14:paraId="537D5C9D">
            <w:pPr>
              <w:adjustRightInd w:val="0"/>
              <w:snapToGrid w:val="0"/>
              <w:spacing w:before="156" w:beforeLines="50" w:line="360" w:lineRule="auto"/>
              <w:jc w:val="center"/>
              <w:rPr>
                <w:rFonts w:ascii="宋体" w:hAnsi="宋体" w:cs="宋体"/>
                <w:color w:val="auto"/>
                <w:sz w:val="18"/>
                <w:szCs w:val="18"/>
                <w:highlight w:val="none"/>
              </w:rPr>
            </w:pPr>
            <w:r>
              <w:rPr>
                <w:rFonts w:ascii="宋体" w:hAnsi="宋体" w:cs="宋体"/>
                <w:color w:val="auto"/>
                <w:sz w:val="18"/>
                <w:szCs w:val="18"/>
                <w:highlight w:val="none"/>
              </w:rPr>
              <w:t>李箐笛</w:t>
            </w:r>
          </w:p>
        </w:tc>
        <w:tc>
          <w:tcPr>
            <w:tcW w:w="1517" w:type="pct"/>
            <w:noWrap/>
            <w:vAlign w:val="center"/>
          </w:tcPr>
          <w:p w14:paraId="650AC2FC">
            <w:pPr>
              <w:adjustRightInd w:val="0"/>
              <w:snapToGrid w:val="0"/>
              <w:spacing w:before="156" w:beforeLines="50" w:line="360" w:lineRule="auto"/>
              <w:jc w:val="center"/>
              <w:rPr>
                <w:rFonts w:ascii="宋体" w:hAnsi="宋体" w:cs="宋体"/>
                <w:color w:val="auto"/>
                <w:sz w:val="18"/>
                <w:szCs w:val="18"/>
                <w:highlight w:val="none"/>
              </w:rPr>
            </w:pPr>
            <w:r>
              <w:rPr>
                <w:rFonts w:ascii="宋体" w:hAnsi="宋体" w:cs="宋体"/>
                <w:color w:val="auto"/>
                <w:sz w:val="18"/>
                <w:szCs w:val="18"/>
                <w:highlight w:val="none"/>
              </w:rPr>
              <w:t>公司部客户经理</w:t>
            </w:r>
          </w:p>
        </w:tc>
        <w:tc>
          <w:tcPr>
            <w:tcW w:w="1222" w:type="pct"/>
            <w:noWrap/>
            <w:vAlign w:val="center"/>
          </w:tcPr>
          <w:p w14:paraId="5A92513E">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13</w:t>
            </w:r>
            <w:r>
              <w:rPr>
                <w:rFonts w:ascii="宋体" w:hAnsi="宋体" w:cs="宋体"/>
                <w:color w:val="auto"/>
                <w:sz w:val="18"/>
                <w:szCs w:val="18"/>
                <w:highlight w:val="none"/>
              </w:rPr>
              <w:t>117516881</w:t>
            </w:r>
          </w:p>
        </w:tc>
      </w:tr>
      <w:tr w14:paraId="269A90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550D479A">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工商银行岳阳分行</w:t>
            </w:r>
          </w:p>
        </w:tc>
        <w:tc>
          <w:tcPr>
            <w:tcW w:w="443" w:type="pct"/>
            <w:noWrap/>
            <w:vAlign w:val="center"/>
          </w:tcPr>
          <w:p w14:paraId="6DC14885">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杨文韬</w:t>
            </w:r>
          </w:p>
        </w:tc>
        <w:tc>
          <w:tcPr>
            <w:tcW w:w="1517" w:type="pct"/>
            <w:noWrap/>
            <w:vAlign w:val="center"/>
          </w:tcPr>
          <w:p w14:paraId="3AA7F20C">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普惠部负责人</w:t>
            </w:r>
          </w:p>
        </w:tc>
        <w:tc>
          <w:tcPr>
            <w:tcW w:w="1222" w:type="pct"/>
            <w:noWrap/>
            <w:vAlign w:val="center"/>
          </w:tcPr>
          <w:p w14:paraId="15635EC3">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13789018303</w:t>
            </w:r>
          </w:p>
        </w:tc>
      </w:tr>
      <w:tr w14:paraId="4D3C65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noWrap/>
            <w:vAlign w:val="center"/>
          </w:tcPr>
          <w:p w14:paraId="6655E8BF">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工商银行岳阳分行</w:t>
            </w:r>
          </w:p>
        </w:tc>
        <w:tc>
          <w:tcPr>
            <w:tcW w:w="443" w:type="pct"/>
            <w:noWrap/>
            <w:vAlign w:val="center"/>
          </w:tcPr>
          <w:p w14:paraId="234B849F">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陈  盈</w:t>
            </w:r>
          </w:p>
        </w:tc>
        <w:tc>
          <w:tcPr>
            <w:tcW w:w="1517" w:type="pct"/>
            <w:noWrap/>
            <w:vAlign w:val="center"/>
          </w:tcPr>
          <w:p w14:paraId="5010E3EF">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普惠部经办人</w:t>
            </w:r>
          </w:p>
        </w:tc>
        <w:tc>
          <w:tcPr>
            <w:tcW w:w="1222" w:type="pct"/>
            <w:noWrap/>
            <w:vAlign w:val="center"/>
          </w:tcPr>
          <w:p w14:paraId="09FA9C2D">
            <w:pPr>
              <w:adjustRightInd w:val="0"/>
              <w:snapToGrid w:val="0"/>
              <w:spacing w:before="156" w:beforeLines="50" w:line="360" w:lineRule="auto"/>
              <w:jc w:val="center"/>
              <w:rPr>
                <w:rFonts w:ascii="宋体" w:hAnsi="宋体" w:cs="宋体"/>
                <w:color w:val="auto"/>
                <w:sz w:val="18"/>
                <w:szCs w:val="18"/>
                <w:highlight w:val="none"/>
              </w:rPr>
            </w:pPr>
            <w:r>
              <w:rPr>
                <w:rFonts w:hint="eastAsia" w:ascii="宋体" w:hAnsi="宋体" w:cs="宋体"/>
                <w:color w:val="auto"/>
                <w:sz w:val="18"/>
                <w:szCs w:val="18"/>
                <w:highlight w:val="none"/>
              </w:rPr>
              <w:t>17872007507</w:t>
            </w:r>
          </w:p>
        </w:tc>
      </w:tr>
    </w:tbl>
    <w:p w14:paraId="6A9474F0">
      <w:pPr>
        <w:adjustRightInd w:val="0"/>
        <w:snapToGrid w:val="0"/>
        <w:spacing w:line="360" w:lineRule="auto"/>
        <w:rPr>
          <w:rFonts w:ascii="宋体"/>
          <w:b/>
          <w:bCs/>
          <w:color w:val="auto"/>
          <w:szCs w:val="21"/>
          <w:highlight w:val="none"/>
        </w:rPr>
      </w:pPr>
    </w:p>
    <w:p w14:paraId="4CDE98A8">
      <w:pPr>
        <w:adjustRightInd w:val="0"/>
        <w:snapToGrid w:val="0"/>
        <w:spacing w:line="360" w:lineRule="auto"/>
        <w:rPr>
          <w:rFonts w:ascii="宋体"/>
          <w:b/>
          <w:bCs/>
          <w:color w:val="auto"/>
          <w:szCs w:val="21"/>
          <w:highlight w:val="none"/>
        </w:rPr>
      </w:pPr>
      <w:r>
        <w:rPr>
          <w:rFonts w:hint="eastAsia" w:ascii="宋体" w:hAnsi="宋体"/>
          <w:b/>
          <w:bCs/>
          <w:color w:val="auto"/>
          <w:szCs w:val="21"/>
          <w:highlight w:val="none"/>
        </w:rPr>
        <w:t>附页</w:t>
      </w:r>
      <w:r>
        <w:rPr>
          <w:rFonts w:ascii="宋体" w:hAnsi="宋体"/>
          <w:b/>
          <w:bCs/>
          <w:color w:val="auto"/>
          <w:szCs w:val="21"/>
          <w:highlight w:val="none"/>
        </w:rPr>
        <w:t>2</w:t>
      </w:r>
    </w:p>
    <w:p w14:paraId="1847832D">
      <w:pPr>
        <w:adjustRightInd w:val="0"/>
        <w:snapToGrid w:val="0"/>
        <w:spacing w:line="360" w:lineRule="auto"/>
        <w:jc w:val="center"/>
        <w:rPr>
          <w:rFonts w:ascii="宋体"/>
          <w:b/>
          <w:bCs/>
          <w:color w:val="auto"/>
          <w:sz w:val="28"/>
          <w:szCs w:val="28"/>
          <w:highlight w:val="none"/>
        </w:rPr>
      </w:pPr>
      <w:r>
        <w:rPr>
          <w:rFonts w:hint="eastAsia" w:ascii="宋体" w:hAnsi="宋体" w:cs="宋体"/>
          <w:b/>
          <w:bCs/>
          <w:color w:val="auto"/>
          <w:kern w:val="0"/>
          <w:sz w:val="28"/>
          <w:szCs w:val="28"/>
          <w:highlight w:val="none"/>
        </w:rPr>
        <w:t>湖南省政府采购信用担保试点工作的</w:t>
      </w:r>
      <w:r>
        <w:rPr>
          <w:rFonts w:hint="eastAsia" w:ascii="宋体" w:hAnsi="宋体"/>
          <w:b/>
          <w:color w:val="auto"/>
          <w:sz w:val="28"/>
          <w:szCs w:val="28"/>
          <w:highlight w:val="none"/>
        </w:rPr>
        <w:t>信用担保机构名单</w:t>
      </w:r>
    </w:p>
    <w:tbl>
      <w:tblPr>
        <w:tblStyle w:val="40"/>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320"/>
        <w:gridCol w:w="1080"/>
        <w:gridCol w:w="3780"/>
      </w:tblGrid>
      <w:tr w14:paraId="4F5EF7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0" w:hRule="atLeast"/>
        </w:trPr>
        <w:tc>
          <w:tcPr>
            <w:tcW w:w="4320" w:type="dxa"/>
            <w:tcBorders>
              <w:top w:val="double" w:color="auto" w:sz="4" w:space="0"/>
            </w:tcBorders>
            <w:vAlign w:val="center"/>
          </w:tcPr>
          <w:p w14:paraId="344173A1">
            <w:pPr>
              <w:adjustRightInd w:val="0"/>
              <w:snapToGrid w:val="0"/>
              <w:spacing w:line="240" w:lineRule="exact"/>
              <w:jc w:val="center"/>
              <w:rPr>
                <w:rFonts w:ascii="宋体" w:cs="宋体"/>
                <w:b/>
                <w:bCs/>
                <w:color w:val="auto"/>
                <w:kern w:val="0"/>
                <w:szCs w:val="21"/>
                <w:highlight w:val="none"/>
              </w:rPr>
            </w:pPr>
            <w:r>
              <w:rPr>
                <w:rFonts w:hint="eastAsia" w:ascii="宋体" w:hAnsi="宋体"/>
                <w:b/>
                <w:color w:val="auto"/>
                <w:szCs w:val="21"/>
                <w:highlight w:val="none"/>
              </w:rPr>
              <w:t>信用担保机构</w:t>
            </w:r>
          </w:p>
        </w:tc>
        <w:tc>
          <w:tcPr>
            <w:tcW w:w="1080" w:type="dxa"/>
            <w:tcBorders>
              <w:top w:val="double" w:color="auto" w:sz="4" w:space="0"/>
            </w:tcBorders>
            <w:vAlign w:val="center"/>
          </w:tcPr>
          <w:p w14:paraId="70AFC0D9">
            <w:pPr>
              <w:adjustRightInd w:val="0"/>
              <w:snapToGrid w:val="0"/>
              <w:spacing w:line="240" w:lineRule="exact"/>
              <w:jc w:val="center"/>
              <w:rPr>
                <w:rFonts w:ascii="宋体" w:cs="宋体"/>
                <w:b/>
                <w:bCs/>
                <w:color w:val="auto"/>
                <w:kern w:val="0"/>
                <w:szCs w:val="21"/>
                <w:highlight w:val="none"/>
              </w:rPr>
            </w:pPr>
            <w:r>
              <w:rPr>
                <w:rFonts w:hint="eastAsia" w:ascii="宋体" w:hAnsi="宋体"/>
                <w:b/>
                <w:color w:val="auto"/>
                <w:szCs w:val="21"/>
                <w:highlight w:val="none"/>
              </w:rPr>
              <w:t>联系人</w:t>
            </w:r>
          </w:p>
        </w:tc>
        <w:tc>
          <w:tcPr>
            <w:tcW w:w="3780" w:type="dxa"/>
            <w:tcBorders>
              <w:top w:val="double" w:color="auto" w:sz="4" w:space="0"/>
            </w:tcBorders>
            <w:vAlign w:val="center"/>
          </w:tcPr>
          <w:p w14:paraId="34F46F77">
            <w:pPr>
              <w:adjustRightInd w:val="0"/>
              <w:snapToGrid w:val="0"/>
              <w:spacing w:line="240" w:lineRule="exact"/>
              <w:jc w:val="center"/>
              <w:rPr>
                <w:rFonts w:ascii="宋体" w:cs="宋体"/>
                <w:b/>
                <w:bCs/>
                <w:color w:val="auto"/>
                <w:kern w:val="0"/>
                <w:szCs w:val="21"/>
                <w:highlight w:val="none"/>
              </w:rPr>
            </w:pPr>
            <w:r>
              <w:rPr>
                <w:rFonts w:hint="eastAsia" w:ascii="宋体" w:hAnsi="宋体"/>
                <w:b/>
                <w:color w:val="auto"/>
                <w:szCs w:val="21"/>
                <w:highlight w:val="none"/>
              </w:rPr>
              <w:t>联系电话</w:t>
            </w:r>
          </w:p>
        </w:tc>
      </w:tr>
      <w:tr w14:paraId="42F35E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4320" w:type="dxa"/>
            <w:vAlign w:val="center"/>
          </w:tcPr>
          <w:p w14:paraId="0A44F456">
            <w:pPr>
              <w:adjustRightInd w:val="0"/>
              <w:snapToGrid w:val="0"/>
              <w:spacing w:line="360" w:lineRule="auto"/>
              <w:jc w:val="left"/>
              <w:rPr>
                <w:rFonts w:ascii="宋体" w:cs="宋体"/>
                <w:bCs/>
                <w:color w:val="auto"/>
                <w:kern w:val="0"/>
                <w:szCs w:val="21"/>
                <w:highlight w:val="none"/>
              </w:rPr>
            </w:pPr>
            <w:r>
              <w:rPr>
                <w:rFonts w:hint="eastAsia" w:ascii="宋体" w:hAnsi="宋体"/>
                <w:color w:val="auto"/>
                <w:szCs w:val="21"/>
                <w:highlight w:val="none"/>
              </w:rPr>
              <w:t>中国投资担保公司</w:t>
            </w:r>
          </w:p>
        </w:tc>
        <w:tc>
          <w:tcPr>
            <w:tcW w:w="1080" w:type="dxa"/>
            <w:vAlign w:val="center"/>
          </w:tcPr>
          <w:p w14:paraId="36C44FD6">
            <w:pPr>
              <w:adjustRightInd w:val="0"/>
              <w:snapToGrid w:val="0"/>
              <w:spacing w:line="360" w:lineRule="auto"/>
              <w:jc w:val="center"/>
              <w:rPr>
                <w:rFonts w:ascii="宋体" w:cs="宋体"/>
                <w:bCs/>
                <w:color w:val="auto"/>
                <w:kern w:val="0"/>
                <w:szCs w:val="21"/>
                <w:highlight w:val="none"/>
              </w:rPr>
            </w:pPr>
            <w:r>
              <w:rPr>
                <w:rFonts w:hint="eastAsia" w:ascii="宋体" w:hAnsi="宋体"/>
                <w:color w:val="auto"/>
                <w:szCs w:val="21"/>
                <w:highlight w:val="none"/>
              </w:rPr>
              <w:t>何</w:t>
            </w:r>
            <w:r>
              <w:rPr>
                <w:rFonts w:ascii="宋体" w:hAnsi="宋体"/>
                <w:color w:val="auto"/>
                <w:szCs w:val="21"/>
                <w:highlight w:val="none"/>
              </w:rPr>
              <w:t xml:space="preserve">  </w:t>
            </w:r>
            <w:r>
              <w:rPr>
                <w:rFonts w:hint="eastAsia" w:ascii="宋体" w:hAnsi="宋体"/>
                <w:color w:val="auto"/>
                <w:szCs w:val="21"/>
                <w:highlight w:val="none"/>
              </w:rPr>
              <w:t>嘉</w:t>
            </w:r>
          </w:p>
        </w:tc>
        <w:tc>
          <w:tcPr>
            <w:tcW w:w="3780" w:type="dxa"/>
            <w:vAlign w:val="center"/>
          </w:tcPr>
          <w:p w14:paraId="1F5A950A">
            <w:pPr>
              <w:adjustRightInd w:val="0"/>
              <w:snapToGrid w:val="0"/>
              <w:spacing w:line="360" w:lineRule="auto"/>
              <w:jc w:val="left"/>
              <w:rPr>
                <w:rFonts w:ascii="宋体" w:cs="宋体"/>
                <w:bCs/>
                <w:color w:val="auto"/>
                <w:kern w:val="0"/>
                <w:szCs w:val="21"/>
                <w:highlight w:val="none"/>
              </w:rPr>
            </w:pPr>
            <w:r>
              <w:rPr>
                <w:rFonts w:ascii="宋体" w:hAnsi="宋体"/>
                <w:color w:val="auto"/>
                <w:szCs w:val="21"/>
                <w:highlight w:val="none"/>
              </w:rPr>
              <w:t>010-88822659/13718642233</w:t>
            </w:r>
          </w:p>
        </w:tc>
      </w:tr>
      <w:tr w14:paraId="043C4E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5" w:hRule="atLeast"/>
        </w:trPr>
        <w:tc>
          <w:tcPr>
            <w:tcW w:w="4320" w:type="dxa"/>
            <w:vAlign w:val="center"/>
          </w:tcPr>
          <w:p w14:paraId="369C3163">
            <w:pPr>
              <w:adjustRightInd w:val="0"/>
              <w:snapToGrid w:val="0"/>
              <w:spacing w:line="360" w:lineRule="auto"/>
              <w:jc w:val="left"/>
              <w:rPr>
                <w:rFonts w:ascii="宋体" w:cs="宋体"/>
                <w:bCs/>
                <w:color w:val="auto"/>
                <w:kern w:val="0"/>
                <w:szCs w:val="21"/>
                <w:highlight w:val="none"/>
              </w:rPr>
            </w:pPr>
            <w:r>
              <w:rPr>
                <w:rFonts w:hint="eastAsia" w:ascii="宋体" w:hAnsi="宋体"/>
                <w:color w:val="auto"/>
                <w:szCs w:val="21"/>
                <w:highlight w:val="none"/>
              </w:rPr>
              <w:t>湖南省中小企业信用担保有限责任公司</w:t>
            </w:r>
          </w:p>
        </w:tc>
        <w:tc>
          <w:tcPr>
            <w:tcW w:w="1080" w:type="dxa"/>
            <w:vAlign w:val="center"/>
          </w:tcPr>
          <w:p w14:paraId="56D504A6">
            <w:pPr>
              <w:adjustRightInd w:val="0"/>
              <w:snapToGrid w:val="0"/>
              <w:spacing w:line="360" w:lineRule="auto"/>
              <w:jc w:val="center"/>
              <w:rPr>
                <w:rFonts w:ascii="宋体" w:cs="宋体"/>
                <w:bCs/>
                <w:color w:val="auto"/>
                <w:kern w:val="0"/>
                <w:szCs w:val="21"/>
                <w:highlight w:val="none"/>
              </w:rPr>
            </w:pPr>
            <w:r>
              <w:rPr>
                <w:rFonts w:hint="eastAsia" w:ascii="宋体" w:hAnsi="宋体"/>
                <w:color w:val="auto"/>
                <w:szCs w:val="21"/>
                <w:highlight w:val="none"/>
              </w:rPr>
              <w:t>蔡建雄</w:t>
            </w:r>
          </w:p>
        </w:tc>
        <w:tc>
          <w:tcPr>
            <w:tcW w:w="3780" w:type="dxa"/>
            <w:vAlign w:val="center"/>
          </w:tcPr>
          <w:p w14:paraId="55FF862E">
            <w:pPr>
              <w:adjustRightInd w:val="0"/>
              <w:snapToGrid w:val="0"/>
              <w:spacing w:line="360" w:lineRule="auto"/>
              <w:jc w:val="left"/>
              <w:rPr>
                <w:rFonts w:ascii="宋体" w:cs="宋体"/>
                <w:bCs/>
                <w:color w:val="auto"/>
                <w:kern w:val="0"/>
                <w:szCs w:val="21"/>
                <w:highlight w:val="none"/>
              </w:rPr>
            </w:pPr>
            <w:r>
              <w:rPr>
                <w:rFonts w:ascii="宋体" w:hAnsi="宋体"/>
                <w:color w:val="auto"/>
                <w:szCs w:val="21"/>
                <w:highlight w:val="none"/>
              </w:rPr>
              <w:t>0731-84172390-201/15573193555</w:t>
            </w:r>
          </w:p>
        </w:tc>
      </w:tr>
      <w:tr w14:paraId="0DD5AA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98" w:hRule="atLeast"/>
        </w:trPr>
        <w:tc>
          <w:tcPr>
            <w:tcW w:w="4320" w:type="dxa"/>
            <w:tcBorders>
              <w:bottom w:val="double" w:color="auto" w:sz="4" w:space="0"/>
            </w:tcBorders>
            <w:vAlign w:val="center"/>
          </w:tcPr>
          <w:p w14:paraId="758B00A2">
            <w:pPr>
              <w:adjustRightInd w:val="0"/>
              <w:snapToGrid w:val="0"/>
              <w:spacing w:line="360" w:lineRule="auto"/>
              <w:rPr>
                <w:rFonts w:ascii="宋体" w:cs="宋体"/>
                <w:color w:val="auto"/>
                <w:szCs w:val="21"/>
                <w:highlight w:val="none"/>
              </w:rPr>
            </w:pPr>
            <w:r>
              <w:rPr>
                <w:rFonts w:hint="eastAsia" w:ascii="宋体" w:hAnsi="宋体"/>
                <w:color w:val="auto"/>
                <w:szCs w:val="21"/>
                <w:highlight w:val="none"/>
              </w:rPr>
              <w:t>湖南农业信用担保有限公司</w:t>
            </w:r>
          </w:p>
        </w:tc>
        <w:tc>
          <w:tcPr>
            <w:tcW w:w="1080" w:type="dxa"/>
            <w:tcBorders>
              <w:bottom w:val="double" w:color="auto" w:sz="4" w:space="0"/>
            </w:tcBorders>
            <w:vAlign w:val="center"/>
          </w:tcPr>
          <w:p w14:paraId="3FBC98D2">
            <w:pPr>
              <w:adjustRightInd w:val="0"/>
              <w:snapToGrid w:val="0"/>
              <w:spacing w:line="360" w:lineRule="auto"/>
              <w:jc w:val="center"/>
              <w:rPr>
                <w:rFonts w:ascii="宋体"/>
                <w:color w:val="auto"/>
                <w:szCs w:val="21"/>
                <w:highlight w:val="none"/>
              </w:rPr>
            </w:pPr>
            <w:r>
              <w:rPr>
                <w:rFonts w:hint="eastAsia" w:ascii="宋体" w:hAnsi="宋体"/>
                <w:color w:val="auto"/>
                <w:szCs w:val="21"/>
                <w:highlight w:val="none"/>
              </w:rPr>
              <w:t>彭</w:t>
            </w:r>
            <w:r>
              <w:rPr>
                <w:rFonts w:ascii="宋体" w:hAnsi="宋体"/>
                <w:color w:val="auto"/>
                <w:szCs w:val="21"/>
                <w:highlight w:val="none"/>
              </w:rPr>
              <w:t xml:space="preserve">  </w:t>
            </w:r>
            <w:r>
              <w:rPr>
                <w:rFonts w:hint="eastAsia" w:ascii="宋体" w:hAnsi="宋体"/>
                <w:color w:val="auto"/>
                <w:szCs w:val="21"/>
                <w:highlight w:val="none"/>
              </w:rPr>
              <w:t>球</w:t>
            </w:r>
          </w:p>
          <w:p w14:paraId="04544E27">
            <w:pPr>
              <w:adjustRightInd w:val="0"/>
              <w:snapToGrid w:val="0"/>
              <w:spacing w:line="360" w:lineRule="auto"/>
              <w:jc w:val="center"/>
              <w:rPr>
                <w:rFonts w:ascii="宋体" w:cs="宋体"/>
                <w:bCs/>
                <w:color w:val="auto"/>
                <w:kern w:val="0"/>
                <w:szCs w:val="21"/>
                <w:highlight w:val="none"/>
              </w:rPr>
            </w:pPr>
            <w:r>
              <w:rPr>
                <w:rFonts w:hint="eastAsia" w:ascii="宋体" w:hAnsi="宋体"/>
                <w:color w:val="auto"/>
                <w:szCs w:val="21"/>
                <w:highlight w:val="none"/>
              </w:rPr>
              <w:t>邓霞英</w:t>
            </w:r>
          </w:p>
        </w:tc>
        <w:tc>
          <w:tcPr>
            <w:tcW w:w="3780" w:type="dxa"/>
            <w:tcBorders>
              <w:bottom w:val="double" w:color="auto" w:sz="4" w:space="0"/>
            </w:tcBorders>
            <w:vAlign w:val="center"/>
          </w:tcPr>
          <w:p w14:paraId="1AEF5C3D">
            <w:pPr>
              <w:adjustRightInd w:val="0"/>
              <w:snapToGrid w:val="0"/>
              <w:spacing w:line="360" w:lineRule="auto"/>
              <w:jc w:val="left"/>
              <w:rPr>
                <w:rFonts w:ascii="宋体" w:cs="宋体"/>
                <w:bCs/>
                <w:color w:val="auto"/>
                <w:kern w:val="0"/>
                <w:szCs w:val="21"/>
                <w:highlight w:val="none"/>
              </w:rPr>
            </w:pPr>
            <w:r>
              <w:rPr>
                <w:rFonts w:ascii="宋体" w:hAnsi="宋体"/>
                <w:color w:val="auto"/>
                <w:szCs w:val="21"/>
                <w:highlight w:val="none"/>
              </w:rPr>
              <w:t>0731-89761702/13875980906 0731-89761706/13574125851</w:t>
            </w:r>
          </w:p>
        </w:tc>
      </w:tr>
    </w:tbl>
    <w:p w14:paraId="784C5CA9">
      <w:pPr>
        <w:adjustRightInd w:val="0"/>
        <w:snapToGrid w:val="0"/>
        <w:spacing w:line="360" w:lineRule="auto"/>
        <w:jc w:val="center"/>
        <w:outlineLvl w:val="0"/>
        <w:rPr>
          <w:rFonts w:ascii="宋体" w:hAnsi="宋体" w:cs="宋体"/>
          <w:b/>
          <w:bCs/>
          <w:color w:val="auto"/>
          <w:kern w:val="0"/>
          <w:sz w:val="28"/>
          <w:szCs w:val="28"/>
          <w:highlight w:val="none"/>
        </w:rPr>
      </w:pPr>
      <w:bookmarkStart w:id="63" w:name="_Toc32043"/>
    </w:p>
    <w:p w14:paraId="6FECF0FB">
      <w:pPr>
        <w:adjustRightInd w:val="0"/>
        <w:snapToGrid w:val="0"/>
        <w:spacing w:line="360" w:lineRule="auto"/>
        <w:jc w:val="center"/>
        <w:outlineLvl w:val="0"/>
        <w:rPr>
          <w:rFonts w:ascii="宋体" w:hAnsi="宋体" w:cs="宋体"/>
          <w:b/>
          <w:bCs/>
          <w:color w:val="auto"/>
          <w:sz w:val="28"/>
          <w:szCs w:val="28"/>
          <w:highlight w:val="none"/>
        </w:rPr>
      </w:pPr>
      <w:r>
        <w:rPr>
          <w:rFonts w:hint="eastAsia" w:ascii="宋体" w:hAnsi="宋体" w:cs="宋体"/>
          <w:b/>
          <w:bCs/>
          <w:color w:val="auto"/>
          <w:kern w:val="0"/>
          <w:sz w:val="28"/>
          <w:szCs w:val="28"/>
          <w:highlight w:val="none"/>
        </w:rPr>
        <w:t>岳阳市政府采购信用担保试点工作的信用担保机构名</w:t>
      </w:r>
      <w:r>
        <w:rPr>
          <w:rFonts w:hint="eastAsia" w:ascii="宋体" w:hAnsi="宋体" w:cs="宋体"/>
          <w:b/>
          <w:color w:val="auto"/>
          <w:sz w:val="28"/>
          <w:szCs w:val="28"/>
          <w:highlight w:val="none"/>
        </w:rPr>
        <w:t>单</w:t>
      </w:r>
      <w:bookmarkEnd w:id="63"/>
    </w:p>
    <w:tbl>
      <w:tblPr>
        <w:tblStyle w:val="40"/>
        <w:tblW w:w="9258"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357"/>
        <w:gridCol w:w="1088"/>
        <w:gridCol w:w="3813"/>
      </w:tblGrid>
      <w:tr w14:paraId="119663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9" w:hRule="atLeast"/>
          <w:jc w:val="center"/>
        </w:trPr>
        <w:tc>
          <w:tcPr>
            <w:tcW w:w="4357" w:type="dxa"/>
            <w:vAlign w:val="center"/>
          </w:tcPr>
          <w:p w14:paraId="4DB74B28">
            <w:pPr>
              <w:adjustRightInd w:val="0"/>
              <w:snapToGrid w:val="0"/>
              <w:spacing w:line="320" w:lineRule="exact"/>
              <w:jc w:val="center"/>
              <w:rPr>
                <w:rFonts w:ascii="宋体" w:hAnsi="宋体" w:cs="宋体"/>
                <w:b/>
                <w:bCs/>
                <w:color w:val="auto"/>
                <w:kern w:val="0"/>
                <w:sz w:val="22"/>
                <w:szCs w:val="22"/>
                <w:highlight w:val="none"/>
              </w:rPr>
            </w:pPr>
            <w:r>
              <w:rPr>
                <w:rFonts w:hint="eastAsia" w:ascii="宋体" w:hAnsi="宋体" w:cs="宋体"/>
                <w:b/>
                <w:color w:val="auto"/>
                <w:sz w:val="22"/>
                <w:szCs w:val="22"/>
                <w:highlight w:val="none"/>
              </w:rPr>
              <w:t>信用担保机构</w:t>
            </w:r>
          </w:p>
        </w:tc>
        <w:tc>
          <w:tcPr>
            <w:tcW w:w="1088" w:type="dxa"/>
            <w:vAlign w:val="center"/>
          </w:tcPr>
          <w:p w14:paraId="634F588D">
            <w:pPr>
              <w:adjustRightInd w:val="0"/>
              <w:snapToGrid w:val="0"/>
              <w:spacing w:line="320" w:lineRule="exact"/>
              <w:jc w:val="center"/>
              <w:rPr>
                <w:rFonts w:ascii="宋体" w:hAnsi="宋体" w:cs="宋体"/>
                <w:b/>
                <w:bCs/>
                <w:color w:val="auto"/>
                <w:kern w:val="0"/>
                <w:sz w:val="22"/>
                <w:szCs w:val="22"/>
                <w:highlight w:val="none"/>
              </w:rPr>
            </w:pPr>
            <w:r>
              <w:rPr>
                <w:rFonts w:hint="eastAsia" w:ascii="宋体" w:hAnsi="宋体" w:cs="宋体"/>
                <w:b/>
                <w:color w:val="auto"/>
                <w:sz w:val="22"/>
                <w:szCs w:val="22"/>
                <w:highlight w:val="none"/>
              </w:rPr>
              <w:t>联系人</w:t>
            </w:r>
          </w:p>
        </w:tc>
        <w:tc>
          <w:tcPr>
            <w:tcW w:w="3813" w:type="dxa"/>
            <w:vAlign w:val="center"/>
          </w:tcPr>
          <w:p w14:paraId="6BF72DB4">
            <w:pPr>
              <w:adjustRightInd w:val="0"/>
              <w:snapToGrid w:val="0"/>
              <w:spacing w:line="320" w:lineRule="exact"/>
              <w:jc w:val="center"/>
              <w:rPr>
                <w:rFonts w:ascii="宋体" w:hAnsi="宋体" w:cs="宋体"/>
                <w:b/>
                <w:bCs/>
                <w:color w:val="auto"/>
                <w:kern w:val="0"/>
                <w:sz w:val="22"/>
                <w:szCs w:val="22"/>
                <w:highlight w:val="none"/>
              </w:rPr>
            </w:pPr>
            <w:r>
              <w:rPr>
                <w:rFonts w:hint="eastAsia" w:ascii="宋体" w:hAnsi="宋体" w:cs="宋体"/>
                <w:b/>
                <w:color w:val="auto"/>
                <w:sz w:val="22"/>
                <w:szCs w:val="22"/>
                <w:highlight w:val="none"/>
              </w:rPr>
              <w:t>联系电话</w:t>
            </w:r>
          </w:p>
        </w:tc>
      </w:tr>
      <w:tr w14:paraId="12E9D0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4" w:hRule="atLeast"/>
          <w:jc w:val="center"/>
        </w:trPr>
        <w:tc>
          <w:tcPr>
            <w:tcW w:w="4357" w:type="dxa"/>
            <w:vAlign w:val="center"/>
          </w:tcPr>
          <w:p w14:paraId="6608059F">
            <w:pPr>
              <w:adjustRightInd w:val="0"/>
              <w:snapToGrid w:val="0"/>
              <w:spacing w:line="320" w:lineRule="exact"/>
              <w:jc w:val="center"/>
              <w:rPr>
                <w:rFonts w:ascii="宋体" w:hAnsi="宋体" w:cs="宋体"/>
                <w:bCs/>
                <w:color w:val="auto"/>
                <w:kern w:val="0"/>
                <w:sz w:val="22"/>
                <w:szCs w:val="22"/>
                <w:highlight w:val="none"/>
              </w:rPr>
            </w:pPr>
            <w:r>
              <w:rPr>
                <w:rFonts w:hint="eastAsia" w:ascii="宋体" w:hAnsi="宋体" w:cs="宋体"/>
                <w:color w:val="auto"/>
                <w:sz w:val="22"/>
                <w:szCs w:val="22"/>
                <w:highlight w:val="none"/>
              </w:rPr>
              <w:t>岳阳市融资担保有限责任公司</w:t>
            </w:r>
          </w:p>
        </w:tc>
        <w:tc>
          <w:tcPr>
            <w:tcW w:w="1088" w:type="dxa"/>
            <w:vAlign w:val="center"/>
          </w:tcPr>
          <w:p w14:paraId="640A5C68">
            <w:pPr>
              <w:adjustRightInd w:val="0"/>
              <w:snapToGrid w:val="0"/>
              <w:spacing w:line="320" w:lineRule="exact"/>
              <w:jc w:val="center"/>
              <w:rPr>
                <w:rFonts w:ascii="宋体" w:hAnsi="宋体" w:cs="宋体"/>
                <w:bCs/>
                <w:color w:val="auto"/>
                <w:kern w:val="0"/>
                <w:sz w:val="22"/>
                <w:szCs w:val="22"/>
                <w:highlight w:val="none"/>
              </w:rPr>
            </w:pPr>
            <w:r>
              <w:rPr>
                <w:rFonts w:hint="eastAsia" w:ascii="宋体" w:hAnsi="宋体" w:cs="宋体"/>
                <w:color w:val="auto"/>
                <w:sz w:val="22"/>
                <w:szCs w:val="22"/>
                <w:highlight w:val="none"/>
              </w:rPr>
              <w:t>陈会亮</w:t>
            </w:r>
          </w:p>
        </w:tc>
        <w:tc>
          <w:tcPr>
            <w:tcW w:w="3813" w:type="dxa"/>
            <w:vAlign w:val="center"/>
          </w:tcPr>
          <w:p w14:paraId="0C7B6E8A">
            <w:pPr>
              <w:adjustRightInd w:val="0"/>
              <w:snapToGrid w:val="0"/>
              <w:spacing w:line="320" w:lineRule="exact"/>
              <w:jc w:val="left"/>
              <w:rPr>
                <w:rFonts w:ascii="宋体" w:hAnsi="宋体" w:cs="宋体"/>
                <w:bCs/>
                <w:color w:val="auto"/>
                <w:kern w:val="0"/>
                <w:sz w:val="22"/>
                <w:szCs w:val="22"/>
                <w:highlight w:val="none"/>
              </w:rPr>
            </w:pPr>
            <w:r>
              <w:rPr>
                <w:rFonts w:hint="eastAsia" w:ascii="宋体" w:hAnsi="宋体" w:cs="宋体"/>
                <w:color w:val="auto"/>
                <w:sz w:val="22"/>
                <w:szCs w:val="22"/>
                <w:highlight w:val="none"/>
              </w:rPr>
              <w:t>0730-8717032/18907300076</w:t>
            </w:r>
          </w:p>
        </w:tc>
      </w:tr>
      <w:tr w14:paraId="415E70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4" w:hRule="atLeast"/>
          <w:jc w:val="center"/>
        </w:trPr>
        <w:tc>
          <w:tcPr>
            <w:tcW w:w="4357" w:type="dxa"/>
            <w:vAlign w:val="center"/>
          </w:tcPr>
          <w:p w14:paraId="4AB1CF2E">
            <w:pPr>
              <w:adjustRightInd w:val="0"/>
              <w:snapToGrid w:val="0"/>
              <w:spacing w:line="320" w:lineRule="exact"/>
              <w:jc w:val="center"/>
              <w:rPr>
                <w:rFonts w:ascii="宋体" w:hAnsi="宋体" w:cs="宋体"/>
                <w:color w:val="auto"/>
                <w:sz w:val="22"/>
                <w:szCs w:val="22"/>
                <w:highlight w:val="none"/>
              </w:rPr>
            </w:pPr>
            <w:r>
              <w:rPr>
                <w:rFonts w:hint="eastAsia" w:ascii="宋体" w:hAnsi="宋体" w:cs="宋体"/>
                <w:color w:val="auto"/>
                <w:sz w:val="22"/>
                <w:szCs w:val="22"/>
                <w:highlight w:val="none"/>
              </w:rPr>
              <w:t>岳阳市融资担保有限责任公司</w:t>
            </w:r>
          </w:p>
        </w:tc>
        <w:tc>
          <w:tcPr>
            <w:tcW w:w="1088" w:type="dxa"/>
            <w:vAlign w:val="center"/>
          </w:tcPr>
          <w:p w14:paraId="2657E163">
            <w:pPr>
              <w:adjustRightInd w:val="0"/>
              <w:snapToGrid w:val="0"/>
              <w:spacing w:line="320" w:lineRule="exact"/>
              <w:jc w:val="center"/>
              <w:rPr>
                <w:rFonts w:ascii="宋体" w:hAnsi="宋体" w:cs="宋体"/>
                <w:color w:val="auto"/>
                <w:sz w:val="22"/>
                <w:szCs w:val="22"/>
                <w:highlight w:val="none"/>
              </w:rPr>
            </w:pPr>
            <w:r>
              <w:rPr>
                <w:rFonts w:hint="eastAsia" w:ascii="宋体" w:hAnsi="宋体" w:cs="宋体"/>
                <w:color w:val="auto"/>
                <w:sz w:val="22"/>
                <w:szCs w:val="22"/>
                <w:highlight w:val="none"/>
              </w:rPr>
              <w:t>黎子龙</w:t>
            </w:r>
          </w:p>
        </w:tc>
        <w:tc>
          <w:tcPr>
            <w:tcW w:w="3813" w:type="dxa"/>
            <w:vAlign w:val="center"/>
          </w:tcPr>
          <w:p w14:paraId="1E0F08D2">
            <w:pPr>
              <w:adjustRightInd w:val="0"/>
              <w:snapToGrid w:val="0"/>
              <w:spacing w:line="320" w:lineRule="exact"/>
              <w:jc w:val="left"/>
              <w:rPr>
                <w:rFonts w:ascii="宋体" w:hAnsi="宋体" w:cs="宋体"/>
                <w:color w:val="auto"/>
                <w:sz w:val="22"/>
                <w:szCs w:val="22"/>
                <w:highlight w:val="none"/>
              </w:rPr>
            </w:pPr>
            <w:r>
              <w:rPr>
                <w:rFonts w:hint="eastAsia" w:ascii="宋体" w:hAnsi="宋体" w:cs="宋体"/>
                <w:color w:val="auto"/>
                <w:sz w:val="22"/>
                <w:szCs w:val="22"/>
                <w:highlight w:val="none"/>
              </w:rPr>
              <w:t>0730-8717032/17773021899</w:t>
            </w:r>
          </w:p>
        </w:tc>
      </w:tr>
      <w:tr w14:paraId="7FA944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4" w:hRule="atLeast"/>
          <w:jc w:val="center"/>
        </w:trPr>
        <w:tc>
          <w:tcPr>
            <w:tcW w:w="4357" w:type="dxa"/>
            <w:vAlign w:val="center"/>
          </w:tcPr>
          <w:p w14:paraId="2FBC244E">
            <w:pPr>
              <w:adjustRightInd w:val="0"/>
              <w:snapToGrid w:val="0"/>
              <w:spacing w:line="320" w:lineRule="exact"/>
              <w:jc w:val="center"/>
              <w:rPr>
                <w:rFonts w:ascii="宋体" w:hAnsi="宋体" w:cs="宋体"/>
                <w:color w:val="auto"/>
                <w:sz w:val="22"/>
                <w:szCs w:val="22"/>
                <w:highlight w:val="none"/>
              </w:rPr>
            </w:pPr>
            <w:r>
              <w:rPr>
                <w:rFonts w:hint="eastAsia" w:ascii="宋体" w:hAnsi="宋体" w:cs="宋体"/>
                <w:color w:val="auto"/>
                <w:sz w:val="22"/>
                <w:szCs w:val="22"/>
                <w:highlight w:val="none"/>
              </w:rPr>
              <w:t>湖南省农业信用担保有限公司</w:t>
            </w:r>
          </w:p>
          <w:p w14:paraId="5D722E09">
            <w:pPr>
              <w:adjustRightInd w:val="0"/>
              <w:snapToGrid w:val="0"/>
              <w:spacing w:line="320" w:lineRule="exact"/>
              <w:jc w:val="center"/>
              <w:rPr>
                <w:rFonts w:ascii="宋体" w:hAnsi="宋体" w:cs="宋体"/>
                <w:color w:val="auto"/>
                <w:sz w:val="22"/>
                <w:szCs w:val="22"/>
                <w:highlight w:val="none"/>
              </w:rPr>
            </w:pPr>
            <w:r>
              <w:rPr>
                <w:rFonts w:hint="eastAsia" w:ascii="宋体" w:hAnsi="宋体" w:cs="宋体"/>
                <w:color w:val="auto"/>
                <w:sz w:val="22"/>
                <w:szCs w:val="22"/>
                <w:highlight w:val="none"/>
              </w:rPr>
              <w:t>岳阳市分公司</w:t>
            </w:r>
          </w:p>
        </w:tc>
        <w:tc>
          <w:tcPr>
            <w:tcW w:w="1088" w:type="dxa"/>
            <w:vAlign w:val="center"/>
          </w:tcPr>
          <w:p w14:paraId="062433C2">
            <w:pPr>
              <w:adjustRightInd w:val="0"/>
              <w:snapToGrid w:val="0"/>
              <w:spacing w:line="320" w:lineRule="exact"/>
              <w:jc w:val="center"/>
              <w:rPr>
                <w:rFonts w:ascii="宋体" w:hAnsi="宋体" w:cs="宋体"/>
                <w:color w:val="auto"/>
                <w:sz w:val="22"/>
                <w:szCs w:val="22"/>
                <w:highlight w:val="none"/>
              </w:rPr>
            </w:pPr>
            <w:r>
              <w:rPr>
                <w:rFonts w:hint="eastAsia" w:ascii="宋体" w:hAnsi="宋体" w:cs="宋体"/>
                <w:color w:val="auto"/>
                <w:sz w:val="22"/>
                <w:szCs w:val="22"/>
                <w:highlight w:val="none"/>
              </w:rPr>
              <w:t>张  武</w:t>
            </w:r>
          </w:p>
        </w:tc>
        <w:tc>
          <w:tcPr>
            <w:tcW w:w="3813" w:type="dxa"/>
            <w:vAlign w:val="center"/>
          </w:tcPr>
          <w:p w14:paraId="332F9E5C">
            <w:pPr>
              <w:adjustRightInd w:val="0"/>
              <w:snapToGrid w:val="0"/>
              <w:spacing w:line="320" w:lineRule="exact"/>
              <w:jc w:val="left"/>
              <w:rPr>
                <w:rFonts w:ascii="宋体" w:hAnsi="宋体" w:cs="宋体"/>
                <w:color w:val="auto"/>
                <w:sz w:val="22"/>
                <w:szCs w:val="22"/>
                <w:highlight w:val="none"/>
              </w:rPr>
            </w:pPr>
            <w:r>
              <w:rPr>
                <w:rFonts w:hint="eastAsia" w:ascii="宋体" w:hAnsi="宋体" w:cs="宋体"/>
                <w:color w:val="auto"/>
                <w:sz w:val="22"/>
                <w:szCs w:val="22"/>
                <w:highlight w:val="none"/>
              </w:rPr>
              <w:t>0730-5220262/18973170258</w:t>
            </w:r>
          </w:p>
        </w:tc>
      </w:tr>
    </w:tbl>
    <w:p w14:paraId="2101D899">
      <w:pPr>
        <w:jc w:val="center"/>
        <w:outlineLvl w:val="0"/>
        <w:rPr>
          <w:rFonts w:ascii="宋体" w:hAnsi="宋体" w:cs="宋体"/>
          <w:b/>
          <w:bCs/>
          <w:sz w:val="28"/>
          <w:szCs w:val="36"/>
        </w:rPr>
      </w:pPr>
    </w:p>
    <w:p w14:paraId="6AD65561">
      <w:pPr>
        <w:jc w:val="center"/>
        <w:outlineLvl w:val="0"/>
        <w:rPr>
          <w:rFonts w:ascii="宋体" w:hAnsi="宋体" w:cs="宋体"/>
          <w:b/>
          <w:bCs/>
          <w:sz w:val="28"/>
          <w:szCs w:val="36"/>
        </w:rPr>
      </w:pPr>
    </w:p>
    <w:p w14:paraId="662525FF">
      <w:pPr>
        <w:jc w:val="center"/>
        <w:outlineLvl w:val="0"/>
        <w:rPr>
          <w:rFonts w:ascii="宋体" w:hAnsi="宋体" w:cs="宋体"/>
          <w:b/>
          <w:bCs/>
          <w:sz w:val="28"/>
          <w:szCs w:val="36"/>
        </w:rPr>
      </w:pPr>
      <w:r>
        <w:rPr>
          <w:rFonts w:hint="eastAsia" w:ascii="宋体" w:hAnsi="宋体" w:cs="宋体"/>
          <w:b/>
          <w:bCs/>
          <w:sz w:val="28"/>
          <w:szCs w:val="36"/>
        </w:rPr>
        <w:t>正文</w:t>
      </w:r>
      <w:bookmarkEnd w:id="61"/>
      <w:bookmarkEnd w:id="62"/>
    </w:p>
    <w:p w14:paraId="71AECA27">
      <w:pPr>
        <w:jc w:val="center"/>
        <w:outlineLvl w:val="0"/>
        <w:rPr>
          <w:rFonts w:ascii="宋体" w:hAnsi="宋体" w:cs="宋体"/>
          <w:b/>
          <w:bCs/>
          <w:sz w:val="24"/>
          <w:szCs w:val="32"/>
        </w:rPr>
      </w:pPr>
      <w:bookmarkStart w:id="64" w:name="_Toc5533"/>
      <w:bookmarkStart w:id="65" w:name="_Toc13171"/>
      <w:r>
        <w:rPr>
          <w:rFonts w:hint="eastAsia" w:ascii="宋体" w:hAnsi="宋体" w:cs="宋体"/>
          <w:b/>
          <w:bCs/>
          <w:sz w:val="24"/>
          <w:szCs w:val="32"/>
        </w:rPr>
        <w:t>一、总则</w:t>
      </w:r>
      <w:bookmarkEnd w:id="64"/>
      <w:bookmarkEnd w:id="65"/>
    </w:p>
    <w:p w14:paraId="7D7F7089">
      <w:pPr>
        <w:adjustRightInd w:val="0"/>
        <w:snapToGrid w:val="0"/>
        <w:spacing w:line="360" w:lineRule="auto"/>
        <w:jc w:val="left"/>
        <w:rPr>
          <w:rFonts w:ascii="宋体" w:hAnsi="宋体" w:cs="宋体"/>
          <w:b/>
          <w:bCs/>
          <w:szCs w:val="21"/>
        </w:rPr>
      </w:pPr>
      <w:r>
        <w:rPr>
          <w:rFonts w:hint="eastAsia" w:ascii="宋体" w:hAnsi="宋体" w:cs="宋体"/>
          <w:b/>
          <w:bCs/>
          <w:szCs w:val="21"/>
        </w:rPr>
        <w:t>1.适用范围</w:t>
      </w:r>
    </w:p>
    <w:p w14:paraId="1110E8AB">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1.1本招标文件仅适用于本章“投标须知前附表”（以下简称</w:t>
      </w:r>
      <w:r>
        <w:rPr>
          <w:rFonts w:hint="eastAsia" w:ascii="宋体" w:hAnsi="宋体" w:cs="宋体"/>
          <w:b/>
          <w:szCs w:val="21"/>
        </w:rPr>
        <w:t>【投标须知前附表】</w:t>
      </w:r>
      <w:r>
        <w:rPr>
          <w:rFonts w:hint="eastAsia" w:ascii="宋体" w:hAnsi="宋体" w:cs="宋体"/>
          <w:szCs w:val="21"/>
        </w:rPr>
        <w:t>）中所叙述的采购项目。</w:t>
      </w:r>
    </w:p>
    <w:p w14:paraId="04A4783F">
      <w:pPr>
        <w:adjustRightInd w:val="0"/>
        <w:snapToGrid w:val="0"/>
        <w:spacing w:line="360" w:lineRule="auto"/>
        <w:jc w:val="left"/>
        <w:rPr>
          <w:rFonts w:ascii="宋体" w:hAnsi="宋体" w:cs="宋体"/>
          <w:b/>
          <w:bCs/>
          <w:szCs w:val="21"/>
        </w:rPr>
      </w:pPr>
      <w:r>
        <w:rPr>
          <w:rFonts w:hint="eastAsia" w:ascii="宋体" w:hAnsi="宋体" w:cs="宋体"/>
          <w:b/>
          <w:bCs/>
          <w:szCs w:val="21"/>
        </w:rPr>
        <w:t>2.定义</w:t>
      </w:r>
    </w:p>
    <w:p w14:paraId="7D1BD05D">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2.1采购人名称、地址、电话、联系人见</w:t>
      </w:r>
      <w:r>
        <w:rPr>
          <w:rFonts w:hint="eastAsia" w:ascii="宋体" w:hAnsi="宋体" w:cs="宋体"/>
          <w:b/>
          <w:szCs w:val="21"/>
        </w:rPr>
        <w:t>【投标须知前附表】</w:t>
      </w:r>
      <w:r>
        <w:rPr>
          <w:rFonts w:hint="eastAsia" w:ascii="宋体" w:hAnsi="宋体" w:cs="宋体"/>
          <w:szCs w:val="21"/>
        </w:rPr>
        <w:t>。</w:t>
      </w:r>
    </w:p>
    <w:p w14:paraId="45213EF8">
      <w:pPr>
        <w:adjustRightInd w:val="0"/>
        <w:snapToGrid w:val="0"/>
        <w:spacing w:line="360" w:lineRule="auto"/>
        <w:ind w:firstLine="420" w:firstLineChars="200"/>
        <w:jc w:val="left"/>
        <w:rPr>
          <w:rFonts w:ascii="宋体" w:hAnsi="宋体" w:cs="宋体"/>
          <w:b/>
          <w:szCs w:val="21"/>
        </w:rPr>
      </w:pPr>
      <w:r>
        <w:rPr>
          <w:rFonts w:hint="eastAsia" w:ascii="宋体" w:hAnsi="宋体" w:cs="宋体"/>
          <w:szCs w:val="21"/>
        </w:rPr>
        <w:t>2.2采购代理机构名称、地址、电话、联系人见</w:t>
      </w:r>
      <w:r>
        <w:rPr>
          <w:rFonts w:hint="eastAsia" w:ascii="宋体" w:hAnsi="宋体" w:cs="宋体"/>
          <w:b/>
          <w:szCs w:val="21"/>
        </w:rPr>
        <w:t>【投标须知前附表】。</w:t>
      </w:r>
    </w:p>
    <w:p w14:paraId="35586391">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2.3投标人系指响应招标、参加投标竞争的法人、其他组织或自然人。</w:t>
      </w:r>
    </w:p>
    <w:p w14:paraId="5533A6E1">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2.4货物是指各种形态和种类的物品，包括原材料、燃料、设备、产品等，详见《政府采购品目分类目录》（财库[2013]189号）。</w:t>
      </w:r>
    </w:p>
    <w:p w14:paraId="10661331">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2.5服务是政府自身需要的服务和政府向社会公众提供的服务，详见《政府采购品目分类目录》（财库[2013]189号）。</w:t>
      </w:r>
    </w:p>
    <w:p w14:paraId="07D82487">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2.6</w:t>
      </w:r>
      <w:r>
        <w:rPr>
          <w:rFonts w:hint="eastAsia" w:ascii="宋体" w:hAnsi="宋体" w:cs="宋体"/>
          <w:kern w:val="0"/>
          <w:szCs w:val="21"/>
        </w:rPr>
        <w:t>进口产品是指通过中国海关报关验放进入中国境内且产自关境外的产品，详见《关于政府采购进口产品管理有关问题的通知》（财库[2007]119号）。除</w:t>
      </w:r>
      <w:r>
        <w:rPr>
          <w:rFonts w:hint="eastAsia" w:ascii="宋体" w:hAnsi="宋体" w:cs="宋体"/>
          <w:b/>
          <w:szCs w:val="21"/>
        </w:rPr>
        <w:t>【投标须知前附表】</w:t>
      </w:r>
      <w:r>
        <w:rPr>
          <w:rFonts w:hint="eastAsia" w:ascii="宋体" w:hAnsi="宋体" w:cs="宋体"/>
          <w:kern w:val="0"/>
          <w:szCs w:val="21"/>
        </w:rPr>
        <w:t>另有规定外，采购项目拒绝进口产品参加投标。本款规定同意购买进口产品的，不限制满足招标文件要求的国内产品参与投标竞争。</w:t>
      </w:r>
    </w:p>
    <w:p w14:paraId="2E011F71">
      <w:pPr>
        <w:adjustRightInd w:val="0"/>
        <w:snapToGrid w:val="0"/>
        <w:spacing w:line="360" w:lineRule="auto"/>
        <w:jc w:val="left"/>
        <w:rPr>
          <w:rFonts w:ascii="宋体" w:hAnsi="宋体" w:cs="宋体"/>
          <w:b/>
          <w:bCs/>
          <w:szCs w:val="21"/>
        </w:rPr>
      </w:pPr>
      <w:r>
        <w:rPr>
          <w:rFonts w:hint="eastAsia" w:ascii="宋体" w:hAnsi="宋体" w:cs="宋体"/>
          <w:b/>
          <w:bCs/>
          <w:szCs w:val="21"/>
        </w:rPr>
        <w:t>3.投标人的资格要求</w:t>
      </w:r>
    </w:p>
    <w:p w14:paraId="0FB7A24C">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3.1投标人应当符合</w:t>
      </w:r>
      <w:r>
        <w:rPr>
          <w:rFonts w:hint="eastAsia" w:ascii="宋体" w:hAnsi="宋体" w:cs="宋体"/>
          <w:b/>
          <w:szCs w:val="21"/>
        </w:rPr>
        <w:t>【投标须知前附表】</w:t>
      </w:r>
      <w:r>
        <w:rPr>
          <w:rFonts w:hint="eastAsia" w:ascii="宋体" w:hAnsi="宋体" w:cs="宋体"/>
          <w:szCs w:val="21"/>
        </w:rPr>
        <w:t>中规定的投标人基本资格条件和特定资格条件。</w:t>
      </w:r>
    </w:p>
    <w:p w14:paraId="653DF943">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3.2本章第3.1款规定接受联合体形式投标的，投标人除应符合本章第3.1</w:t>
      </w:r>
      <w:r>
        <w:rPr>
          <w:rFonts w:hint="eastAsia" w:ascii="宋体" w:hAnsi="宋体" w:cs="宋体"/>
          <w:kern w:val="0"/>
          <w:szCs w:val="21"/>
          <w:lang w:val="zh-CN"/>
        </w:rPr>
        <w:t>款</w:t>
      </w:r>
      <w:r>
        <w:rPr>
          <w:rFonts w:hint="eastAsia" w:ascii="宋体" w:hAnsi="宋体" w:cs="宋体"/>
          <w:szCs w:val="21"/>
        </w:rPr>
        <w:t xml:space="preserve">规定外，还应遵守以下规定： </w:t>
      </w:r>
    </w:p>
    <w:p w14:paraId="34AF37A1">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（l）联合体中有同类资质的投标人按照联合体分工承担相同工作的，应当按照资质等级较低的投标人确定资质等级。</w:t>
      </w:r>
    </w:p>
    <w:p w14:paraId="53CD5118">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（2）联合体各方应按招标文件提供的格式签订联合体协议书，明确联合体牵头人和各方的权利义务、合同工作量比例，以及合同款项支付具体规定。</w:t>
      </w:r>
    </w:p>
    <w:p w14:paraId="2200F88B">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（3）联合体各方签订联合体协议书后，不得再单独参加或者与其他投标人组成新的联合体参加同一项目的采购活动。</w:t>
      </w:r>
    </w:p>
    <w:p w14:paraId="31F1A990">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3.3投标人不得存在下列情形之一：</w:t>
      </w:r>
    </w:p>
    <w:p w14:paraId="483FA087">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（l）与采购人、采购代理机构存在</w:t>
      </w:r>
      <w:r>
        <w:rPr>
          <w:rFonts w:hint="eastAsia" w:ascii="宋体" w:hAnsi="宋体" w:cs="宋体"/>
          <w:bCs/>
          <w:szCs w:val="21"/>
        </w:rPr>
        <w:t>隶属关系或者其他利害关系</w:t>
      </w:r>
      <w:r>
        <w:rPr>
          <w:rFonts w:hint="eastAsia" w:ascii="宋体" w:hAnsi="宋体" w:cs="宋体"/>
          <w:szCs w:val="21"/>
        </w:rPr>
        <w:t>。</w:t>
      </w:r>
    </w:p>
    <w:p w14:paraId="447C57BE">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（2）单位负责人为同一人或者存在直接控股、管理关系的不同投标人，不得参加同一合同项下的政府采购活动。</w:t>
      </w:r>
    </w:p>
    <w:p w14:paraId="41B2112C">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（3）为采购项目提供整体设计、规范编制或者项目管理、监理、检测等服务的投标人，不得再参加该采购项目的其他采购活动。</w:t>
      </w:r>
    </w:p>
    <w:p w14:paraId="57280B1B">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4）列入失信被执行人、重大税收违法案件当事人名单、政府采购严重违法失信行为记录名单及其他不符合《中华人民共和国政府采购法》第二十二条规定条件（联合体形式投标的，联合体成员存在不良信用记录，视同联合体存在不良信用记录）。</w:t>
      </w:r>
    </w:p>
    <w:p w14:paraId="4537435C">
      <w:pPr>
        <w:adjustRightInd w:val="0"/>
        <w:snapToGrid w:val="0"/>
        <w:spacing w:line="360" w:lineRule="auto"/>
        <w:jc w:val="left"/>
        <w:rPr>
          <w:rFonts w:ascii="宋体" w:hAnsi="宋体" w:cs="宋体"/>
          <w:b/>
          <w:bCs/>
          <w:szCs w:val="21"/>
        </w:rPr>
      </w:pPr>
      <w:r>
        <w:rPr>
          <w:rFonts w:hint="eastAsia" w:ascii="宋体" w:hAnsi="宋体" w:cs="宋体"/>
          <w:b/>
          <w:bCs/>
          <w:szCs w:val="21"/>
        </w:rPr>
        <w:t xml:space="preserve">4.投标费用 </w:t>
      </w:r>
    </w:p>
    <w:p w14:paraId="799F5210">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4.1投标人应自行承担所有参与投标的相关费用，不论投标的结果如何，采购人或者采购代理机构均无义务和责任承担这些费用。</w:t>
      </w:r>
    </w:p>
    <w:p w14:paraId="6D5529DE">
      <w:pPr>
        <w:adjustRightInd w:val="0"/>
        <w:snapToGrid w:val="0"/>
        <w:spacing w:line="360" w:lineRule="auto"/>
        <w:jc w:val="left"/>
        <w:rPr>
          <w:rFonts w:ascii="宋体" w:hAnsi="宋体" w:cs="宋体"/>
          <w:b/>
        </w:rPr>
      </w:pPr>
      <w:r>
        <w:rPr>
          <w:rFonts w:hint="eastAsia" w:ascii="宋体" w:hAnsi="宋体" w:cs="宋体"/>
          <w:b/>
          <w:bCs/>
        </w:rPr>
        <w:t>5.</w:t>
      </w:r>
      <w:r>
        <w:rPr>
          <w:rFonts w:hint="eastAsia" w:ascii="宋体" w:hAnsi="宋体" w:cs="宋体"/>
          <w:b/>
        </w:rPr>
        <w:t>保密</w:t>
      </w:r>
    </w:p>
    <w:p w14:paraId="19717BF4">
      <w:pPr>
        <w:adjustRightInd w:val="0"/>
        <w:snapToGrid w:val="0"/>
        <w:spacing w:line="360" w:lineRule="auto"/>
        <w:ind w:firstLine="420" w:firstLineChars="200"/>
        <w:jc w:val="left"/>
        <w:rPr>
          <w:rFonts w:ascii="宋体" w:hAnsi="宋体" w:cs="宋体"/>
        </w:rPr>
      </w:pPr>
      <w:r>
        <w:rPr>
          <w:rFonts w:hint="eastAsia" w:ascii="宋体" w:hAnsi="宋体" w:cs="宋体"/>
        </w:rPr>
        <w:t>5.1参与招标投标活动的各方应对招标文件和投标文件中的商业和技术等秘密保密，违者应对由此造成的后果承担法律责任。</w:t>
      </w:r>
    </w:p>
    <w:p w14:paraId="762EAFCD">
      <w:pPr>
        <w:adjustRightInd w:val="0"/>
        <w:snapToGrid w:val="0"/>
        <w:spacing w:line="360" w:lineRule="auto"/>
        <w:jc w:val="left"/>
        <w:rPr>
          <w:rFonts w:ascii="宋体" w:hAnsi="宋体" w:cs="宋体"/>
          <w:b/>
        </w:rPr>
      </w:pPr>
      <w:r>
        <w:rPr>
          <w:rFonts w:hint="eastAsia" w:ascii="宋体" w:hAnsi="宋体" w:cs="宋体"/>
          <w:b/>
        </w:rPr>
        <w:t>6．组织现场考察或者召开答疑会</w:t>
      </w:r>
    </w:p>
    <w:p w14:paraId="1F0DB6A5">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6.1采购人或者采购代理机构组织现场考察或者召开开标前答疑会的，获取招标文件的潜在投标人应按【投标须知前附表】规定参加现场考察或者答疑会；如不参加，其风险由其自行承担。</w:t>
      </w:r>
    </w:p>
    <w:p w14:paraId="2BBE4C7D">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6.2采购人或者采购代理机构召开开标前答疑会的，获取招标文件的潜在投标人应按【投标须知前附表】规定的时间，以书面形式将提出的问题送达采购代理机构，以便采购人或者采购代理机构在会议期间澄清。答疑会后，对投标人所提问题的澄清，采购代理机构将按本章第10.1款或第10.2款相应规定办理。</w:t>
      </w:r>
    </w:p>
    <w:p w14:paraId="2D678EB5">
      <w:pPr>
        <w:adjustRightInd w:val="0"/>
        <w:snapToGrid w:val="0"/>
        <w:spacing w:line="360" w:lineRule="auto"/>
        <w:ind w:firstLine="420" w:firstLineChars="200"/>
        <w:jc w:val="left"/>
        <w:rPr>
          <w:rFonts w:ascii="宋体" w:hAnsi="宋体" w:cs="宋体"/>
        </w:rPr>
      </w:pPr>
      <w:r>
        <w:rPr>
          <w:rFonts w:hint="eastAsia" w:ascii="宋体" w:hAnsi="宋体" w:cs="宋体"/>
        </w:rPr>
        <w:t>6.3潜在投标人现场考察或者参加答疑会的费用由自己承担，现场考察期间所发生的人身伤害及财产损失由自己负责。</w:t>
      </w:r>
    </w:p>
    <w:p w14:paraId="234192E8">
      <w:pPr>
        <w:adjustRightInd w:val="0"/>
        <w:snapToGrid w:val="0"/>
        <w:spacing w:line="360" w:lineRule="auto"/>
        <w:ind w:firstLine="420" w:firstLineChars="200"/>
        <w:jc w:val="left"/>
        <w:rPr>
          <w:rFonts w:ascii="宋体" w:hAnsi="宋体" w:cs="宋体"/>
        </w:rPr>
      </w:pPr>
      <w:r>
        <w:rPr>
          <w:rFonts w:hint="eastAsia" w:ascii="宋体" w:hAnsi="宋体" w:cs="宋体"/>
        </w:rPr>
        <w:t>6.4采购人或者采购代理机构不对投标人据此而做出的推论、理解和结论负责。投标人一旦中标，不得以任何借口，提出额外补偿，或延长合同期限的要求。</w:t>
      </w:r>
    </w:p>
    <w:p w14:paraId="438A917E">
      <w:pPr>
        <w:jc w:val="center"/>
        <w:outlineLvl w:val="0"/>
        <w:rPr>
          <w:rFonts w:ascii="宋体" w:hAnsi="宋体" w:cs="宋体"/>
          <w:b/>
          <w:bCs/>
          <w:sz w:val="24"/>
          <w:szCs w:val="32"/>
        </w:rPr>
      </w:pPr>
      <w:bookmarkStart w:id="66" w:name="_Toc27180"/>
      <w:bookmarkStart w:id="67" w:name="_Toc15430"/>
      <w:r>
        <w:rPr>
          <w:rFonts w:hint="eastAsia" w:ascii="宋体" w:hAnsi="宋体" w:cs="宋体"/>
          <w:b/>
          <w:bCs/>
          <w:sz w:val="24"/>
          <w:szCs w:val="32"/>
        </w:rPr>
        <w:t>二、招标文件</w:t>
      </w:r>
      <w:bookmarkEnd w:id="66"/>
      <w:bookmarkEnd w:id="67"/>
    </w:p>
    <w:p w14:paraId="07A1B6E9">
      <w:pPr>
        <w:adjustRightInd w:val="0"/>
        <w:snapToGrid w:val="0"/>
        <w:spacing w:line="360" w:lineRule="auto"/>
        <w:jc w:val="left"/>
        <w:rPr>
          <w:rFonts w:ascii="宋体" w:hAnsi="宋体" w:cs="宋体"/>
          <w:b/>
          <w:bCs/>
          <w:szCs w:val="21"/>
        </w:rPr>
      </w:pPr>
      <w:r>
        <w:rPr>
          <w:rFonts w:hint="eastAsia" w:ascii="宋体" w:hAnsi="宋体" w:cs="宋体"/>
          <w:b/>
          <w:bCs/>
          <w:szCs w:val="21"/>
        </w:rPr>
        <w:t>7.招标文件的构成</w:t>
      </w:r>
    </w:p>
    <w:p w14:paraId="450D8D09">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7.1 招标文件共六章，各章内容如下：</w:t>
      </w:r>
    </w:p>
    <w:p w14:paraId="4FF5B79E">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第一章 投标邀请</w:t>
      </w:r>
    </w:p>
    <w:p w14:paraId="0C68F94E">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第二章 投标须知</w:t>
      </w:r>
    </w:p>
    <w:p w14:paraId="261EE3EE">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第三章 评标方法及标准</w:t>
      </w:r>
    </w:p>
    <w:p w14:paraId="4E4CC0EF">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第四章 技术规格、参数及要求</w:t>
      </w:r>
    </w:p>
    <w:p w14:paraId="4F4D3579">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第五章 政府采购合同</w:t>
      </w:r>
    </w:p>
    <w:p w14:paraId="5342B442">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第六章 投标文件的组成</w:t>
      </w:r>
    </w:p>
    <w:p w14:paraId="5F522E66">
      <w:pPr>
        <w:adjustRightInd w:val="0"/>
        <w:snapToGrid w:val="0"/>
        <w:spacing w:line="360" w:lineRule="auto"/>
        <w:ind w:firstLine="420" w:firstLineChars="200"/>
        <w:jc w:val="left"/>
        <w:rPr>
          <w:rFonts w:ascii="宋体" w:hAnsi="宋体" w:cs="宋体"/>
          <w:b/>
          <w:szCs w:val="21"/>
        </w:rPr>
      </w:pPr>
      <w:r>
        <w:rPr>
          <w:rFonts w:hint="eastAsia" w:ascii="宋体" w:hAnsi="宋体" w:cs="宋体"/>
          <w:szCs w:val="21"/>
        </w:rPr>
        <w:t>7.2本章第10.1</w:t>
      </w:r>
      <w:r>
        <w:rPr>
          <w:rFonts w:hint="eastAsia" w:ascii="宋体" w:hAnsi="宋体" w:cs="宋体"/>
          <w:kern w:val="0"/>
          <w:szCs w:val="21"/>
          <w:lang w:val="zh-CN"/>
        </w:rPr>
        <w:t>款</w:t>
      </w:r>
      <w:r>
        <w:rPr>
          <w:rFonts w:hint="eastAsia" w:ascii="宋体" w:hAnsi="宋体" w:cs="宋体"/>
          <w:szCs w:val="21"/>
        </w:rPr>
        <w:t>对招标文件所作的澄清或者修改，构成招标文件的组成部分。</w:t>
      </w:r>
    </w:p>
    <w:p w14:paraId="3ADFBC8D">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7.3采购项目需要公开的有关信息，包括招标公告、招标文件澄清或修改公告、中标结果公告等通知，采购代理机构将通过</w:t>
      </w:r>
      <w:r>
        <w:rPr>
          <w:rFonts w:hint="eastAsia" w:ascii="宋体" w:hAnsi="宋体" w:cs="宋体"/>
          <w:b/>
        </w:rPr>
        <w:t>【投标须知前附表】</w:t>
      </w:r>
      <w:r>
        <w:rPr>
          <w:rFonts w:hint="eastAsia" w:ascii="宋体" w:hAnsi="宋体" w:cs="宋体"/>
          <w:szCs w:val="21"/>
        </w:rPr>
        <w:t>指定媒体公开发布，</w:t>
      </w:r>
      <w:r>
        <w:rPr>
          <w:rFonts w:hint="eastAsia" w:ascii="宋体" w:hAnsi="宋体" w:cs="宋体"/>
          <w:b/>
        </w:rPr>
        <w:t>【投标须知前附表】</w:t>
      </w:r>
      <w:r>
        <w:rPr>
          <w:rFonts w:hint="eastAsia" w:ascii="宋体" w:hAnsi="宋体" w:cs="宋体"/>
          <w:szCs w:val="21"/>
        </w:rPr>
        <w:t>指定媒体信息发布内容存在差异的，以岳阳市政府采购网发布的公告为准。投标人在参与本采购项目招投标活动期间，请及时关注指定媒体的相关信息，投标人因没有及时关注而未能如期获取相关信息，是投标人的风险，采购人或者采购代理机构对此不承担任何责任。</w:t>
      </w:r>
    </w:p>
    <w:p w14:paraId="1B34DB3B">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7.4投标人应仔细阅读招标文件的全部内容，按照招标文件要求编制投标文件。任何对招标文件的忽略或误解不能作为投标文件存在缺陷或瑕疵的理由，其风险由投标人承担。</w:t>
      </w:r>
    </w:p>
    <w:p w14:paraId="36CC6808">
      <w:pPr>
        <w:adjustRightInd w:val="0"/>
        <w:snapToGrid w:val="0"/>
        <w:spacing w:line="360" w:lineRule="auto"/>
        <w:jc w:val="left"/>
        <w:rPr>
          <w:rFonts w:ascii="宋体" w:hAnsi="宋体" w:cs="宋体"/>
          <w:b/>
        </w:rPr>
      </w:pPr>
      <w:r>
        <w:rPr>
          <w:rFonts w:hint="eastAsia" w:ascii="宋体" w:hAnsi="宋体" w:cs="宋体"/>
          <w:b/>
        </w:rPr>
        <w:t>8．偏离与实质性响应</w:t>
      </w:r>
    </w:p>
    <w:p w14:paraId="7B8296D3">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8.1除法律、法规和规章规定外，招标文件中用“★”符号标明的条款为实质性要求和条件，对其中任何一条的偏离，在评标时将其视为投标无效。</w:t>
      </w:r>
    </w:p>
    <w:p w14:paraId="3E5E8A5B">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8.2投标文件偏离招标文件的非实质性要求和条件，在超出允许偏离的最多项数（条款数之和）或范围时，在评标时将其视为投标无效。非实质性要求条款允许偏离的最多项数或范围见【投标须知前附表】。</w:t>
      </w:r>
    </w:p>
    <w:p w14:paraId="31CD8F03">
      <w:pPr>
        <w:adjustRightInd w:val="0"/>
        <w:snapToGrid w:val="0"/>
        <w:spacing w:line="360" w:lineRule="auto"/>
        <w:jc w:val="left"/>
        <w:rPr>
          <w:rFonts w:ascii="宋体" w:hAnsi="宋体" w:cs="宋体"/>
          <w:b/>
        </w:rPr>
      </w:pPr>
      <w:r>
        <w:rPr>
          <w:rFonts w:hint="eastAsia" w:ascii="宋体" w:hAnsi="宋体" w:cs="宋体"/>
          <w:b/>
        </w:rPr>
        <w:t>9.招标文件的获取</w:t>
      </w:r>
    </w:p>
    <w:p w14:paraId="1F3D061A">
      <w:pPr>
        <w:spacing w:line="400" w:lineRule="exact"/>
        <w:ind w:firstLine="420" w:firstLineChars="200"/>
        <w:rPr>
          <w:rFonts w:ascii="宋体" w:hAnsi="宋体" w:cs="宋体"/>
          <w:szCs w:val="21"/>
        </w:rPr>
      </w:pPr>
      <w:r>
        <w:rPr>
          <w:rFonts w:hint="eastAsia" w:ascii="宋体" w:hAnsi="宋体" w:cs="宋体"/>
          <w:szCs w:val="21"/>
        </w:rPr>
        <w:t>9.1招标文件提供期限自开始发出之日起不少于五个工作日。</w:t>
      </w:r>
    </w:p>
    <w:p w14:paraId="57DAB245">
      <w:pPr>
        <w:spacing w:line="400" w:lineRule="exact"/>
        <w:ind w:firstLine="420" w:firstLineChars="200"/>
        <w:rPr>
          <w:rFonts w:ascii="宋体" w:hAnsi="宋体" w:cs="宋体"/>
          <w:bCs/>
          <w:szCs w:val="21"/>
        </w:rPr>
      </w:pPr>
      <w:r>
        <w:rPr>
          <w:rFonts w:hint="eastAsia" w:ascii="宋体" w:hAnsi="宋体" w:cs="宋体"/>
          <w:bCs/>
          <w:szCs w:val="21"/>
        </w:rPr>
        <w:t>9.2凡符合资格要求并有意参加投标的投标人,</w:t>
      </w:r>
      <w:r>
        <w:rPr>
          <w:rFonts w:hint="eastAsia" w:ascii="宋体" w:hAnsi="宋体" w:cs="宋体"/>
          <w:szCs w:val="21"/>
        </w:rPr>
        <w:t xml:space="preserve"> 登录</w:t>
      </w:r>
      <w:r>
        <w:rPr>
          <w:rFonts w:hint="eastAsia" w:ascii="宋体" w:hAnsi="宋体" w:cs="宋体"/>
          <w:b/>
        </w:rPr>
        <w:t>投标须知前附表</w:t>
      </w:r>
      <w:r>
        <w:rPr>
          <w:rFonts w:hint="eastAsia" w:ascii="宋体" w:hAnsi="宋体" w:cs="宋体"/>
        </w:rPr>
        <w:t>指定的信息公告媒体</w:t>
      </w:r>
      <w:r>
        <w:rPr>
          <w:rFonts w:hint="eastAsia" w:ascii="宋体" w:hAnsi="宋体" w:cs="宋体"/>
          <w:szCs w:val="21"/>
        </w:rPr>
        <w:t>下载招标文件，</w:t>
      </w:r>
      <w:r>
        <w:rPr>
          <w:rFonts w:hint="eastAsia" w:ascii="宋体" w:hAnsi="宋体" w:cs="宋体"/>
        </w:rPr>
        <w:t>指定的媒体名称见</w:t>
      </w:r>
      <w:r>
        <w:rPr>
          <w:rFonts w:hint="eastAsia" w:ascii="宋体" w:hAnsi="宋体" w:cs="宋体"/>
          <w:b/>
        </w:rPr>
        <w:t>投标须知前附表</w:t>
      </w:r>
      <w:r>
        <w:rPr>
          <w:rFonts w:hint="eastAsia" w:ascii="宋体" w:hAnsi="宋体" w:cs="宋体"/>
        </w:rPr>
        <w:t>，代理机构不再收取任何招标文件费用。</w:t>
      </w:r>
    </w:p>
    <w:p w14:paraId="41A269DB">
      <w:pPr>
        <w:pStyle w:val="33"/>
        <w:spacing w:line="400" w:lineRule="exact"/>
        <w:ind w:firstLine="400" w:firstLineChars="200"/>
        <w:rPr>
          <w:rFonts w:ascii="宋体" w:hAnsi="宋体" w:cs="宋体"/>
          <w:szCs w:val="21"/>
        </w:rPr>
      </w:pPr>
      <w:r>
        <w:rPr>
          <w:rFonts w:hint="eastAsia" w:ascii="宋体" w:hAnsi="宋体" w:cs="宋体"/>
          <w:szCs w:val="21"/>
        </w:rPr>
        <w:t>9.3各投标人自行在</w:t>
      </w:r>
      <w:r>
        <w:rPr>
          <w:rFonts w:hint="eastAsia" w:ascii="宋体" w:hAnsi="宋体" w:cs="宋体"/>
          <w:b/>
          <w:szCs w:val="21"/>
        </w:rPr>
        <w:t>投标须知前附表</w:t>
      </w:r>
      <w:r>
        <w:rPr>
          <w:rFonts w:hint="eastAsia" w:ascii="宋体" w:hAnsi="宋体" w:cs="宋体"/>
          <w:szCs w:val="21"/>
        </w:rPr>
        <w:t>指定的网站下载或查阅招标相关文件和资料等，恕不另行通知，如有遗漏采购人、代理机构概不负责。</w:t>
      </w:r>
    </w:p>
    <w:p w14:paraId="4F0EF259">
      <w:pPr>
        <w:pStyle w:val="33"/>
        <w:spacing w:line="400" w:lineRule="exact"/>
        <w:ind w:firstLine="400" w:firstLineChars="200"/>
        <w:rPr>
          <w:rFonts w:ascii="宋体" w:hAnsi="宋体" w:cs="宋体"/>
          <w:szCs w:val="21"/>
        </w:rPr>
      </w:pPr>
      <w:r>
        <w:rPr>
          <w:rFonts w:hint="eastAsia" w:ascii="宋体" w:hAnsi="宋体" w:cs="宋体"/>
        </w:rPr>
        <w:t>9.4招标文件的电子版本，以在政府采购网站公告的为准。</w:t>
      </w:r>
    </w:p>
    <w:p w14:paraId="0507D647">
      <w:pPr>
        <w:adjustRightInd w:val="0"/>
        <w:snapToGrid w:val="0"/>
        <w:spacing w:line="360" w:lineRule="auto"/>
        <w:jc w:val="left"/>
        <w:rPr>
          <w:rFonts w:ascii="宋体" w:hAnsi="宋体" w:cs="宋体"/>
          <w:b/>
          <w:bCs/>
          <w:szCs w:val="21"/>
        </w:rPr>
      </w:pPr>
      <w:r>
        <w:rPr>
          <w:rFonts w:hint="eastAsia" w:ascii="宋体" w:hAnsi="宋体" w:cs="宋体"/>
          <w:b/>
          <w:bCs/>
          <w:szCs w:val="21"/>
        </w:rPr>
        <w:t>10.招标文件的澄清或者修改</w:t>
      </w:r>
    </w:p>
    <w:p w14:paraId="2F431CD2">
      <w:pPr>
        <w:adjustRightInd w:val="0"/>
        <w:snapToGrid w:val="0"/>
        <w:spacing w:line="360" w:lineRule="auto"/>
        <w:ind w:firstLine="420" w:firstLineChars="200"/>
        <w:jc w:val="left"/>
        <w:rPr>
          <w:rFonts w:ascii="宋体" w:hAnsi="宋体" w:cs="宋体"/>
          <w:szCs w:val="21"/>
        </w:rPr>
      </w:pPr>
      <w:r>
        <w:rPr>
          <w:rFonts w:hint="eastAsia" w:ascii="宋体" w:hAnsi="宋体" w:cs="宋体"/>
        </w:rPr>
        <w:t>10.1采购人或采购代理机构可以对已发出的招标文件进行必要</w:t>
      </w:r>
      <w:r>
        <w:rPr>
          <w:rFonts w:hint="eastAsia" w:ascii="宋体" w:hAnsi="宋体" w:cs="宋体"/>
          <w:szCs w:val="21"/>
        </w:rPr>
        <w:t>澄清或者修改，澄清或者修改应在招标文件指定的媒体上发布澄清或者修改公告，澄清或者修改的内容为招标文件的组成部分。</w:t>
      </w:r>
    </w:p>
    <w:p w14:paraId="18473914">
      <w:pPr>
        <w:adjustRightInd w:val="0"/>
        <w:snapToGrid w:val="0"/>
        <w:spacing w:line="360" w:lineRule="auto"/>
        <w:ind w:firstLine="420" w:firstLineChars="200"/>
        <w:jc w:val="left"/>
        <w:rPr>
          <w:rFonts w:ascii="宋体" w:hAnsi="宋体" w:cs="宋体"/>
        </w:rPr>
      </w:pPr>
      <w:r>
        <w:rPr>
          <w:rFonts w:hint="eastAsia" w:ascii="宋体" w:hAnsi="宋体" w:cs="宋体"/>
          <w:szCs w:val="21"/>
        </w:rPr>
        <w:t>10.2 澄清或者修改的内容可能影响投标文件编制的，采购代理机构将在【</w:t>
      </w:r>
      <w:r>
        <w:rPr>
          <w:rFonts w:hint="eastAsia" w:ascii="宋体" w:hAnsi="宋体" w:cs="宋体"/>
          <w:b/>
          <w:szCs w:val="21"/>
        </w:rPr>
        <w:t>投标须知前附表</w:t>
      </w:r>
      <w:r>
        <w:rPr>
          <w:rFonts w:hint="eastAsia" w:ascii="宋体" w:hAnsi="宋体" w:cs="宋体"/>
          <w:szCs w:val="21"/>
        </w:rPr>
        <w:t>】规定的提交投标文件截止时间15日前，以公告形式通知所有获取招标文件的潜在投标人；不</w:t>
      </w:r>
      <w:r>
        <w:rPr>
          <w:rFonts w:hint="eastAsia" w:ascii="宋体" w:hAnsi="宋体" w:cs="宋体"/>
        </w:rPr>
        <w:t>足15日的，将相应延长提交投标文件的截止时间。</w:t>
      </w:r>
    </w:p>
    <w:p w14:paraId="70D15D97">
      <w:pPr>
        <w:jc w:val="center"/>
        <w:outlineLvl w:val="0"/>
        <w:rPr>
          <w:rFonts w:ascii="宋体" w:hAnsi="宋体" w:cs="宋体"/>
          <w:b/>
          <w:bCs/>
          <w:sz w:val="28"/>
          <w:szCs w:val="36"/>
        </w:rPr>
      </w:pPr>
      <w:bookmarkStart w:id="68" w:name="_Toc25055"/>
      <w:bookmarkStart w:id="69" w:name="_Toc6022"/>
      <w:r>
        <w:rPr>
          <w:rFonts w:hint="eastAsia" w:ascii="宋体" w:hAnsi="宋体" w:cs="宋体"/>
          <w:b/>
          <w:bCs/>
          <w:sz w:val="28"/>
          <w:szCs w:val="36"/>
        </w:rPr>
        <w:t>三、投标文件</w:t>
      </w:r>
      <w:bookmarkEnd w:id="68"/>
      <w:bookmarkEnd w:id="69"/>
    </w:p>
    <w:p w14:paraId="120A80DA">
      <w:pPr>
        <w:adjustRightInd w:val="0"/>
        <w:snapToGrid w:val="0"/>
        <w:spacing w:line="360" w:lineRule="auto"/>
        <w:jc w:val="left"/>
        <w:rPr>
          <w:rFonts w:ascii="宋体" w:hAnsi="宋体" w:cs="宋体"/>
          <w:b/>
          <w:bCs/>
          <w:szCs w:val="21"/>
        </w:rPr>
      </w:pPr>
      <w:r>
        <w:rPr>
          <w:rFonts w:hint="eastAsia" w:ascii="宋体" w:hAnsi="宋体" w:cs="宋体"/>
          <w:b/>
          <w:bCs/>
          <w:szCs w:val="21"/>
        </w:rPr>
        <w:t>11.</w:t>
      </w:r>
      <w:r>
        <w:rPr>
          <w:rFonts w:hint="eastAsia" w:ascii="宋体" w:hAnsi="宋体" w:cs="宋体"/>
          <w:b/>
          <w:szCs w:val="21"/>
        </w:rPr>
        <w:t xml:space="preserve"> </w:t>
      </w:r>
      <w:r>
        <w:rPr>
          <w:rFonts w:hint="eastAsia" w:ascii="宋体" w:hAnsi="宋体" w:cs="宋体"/>
          <w:b/>
          <w:bCs/>
          <w:szCs w:val="21"/>
        </w:rPr>
        <w:t>投标语言</w:t>
      </w:r>
    </w:p>
    <w:p w14:paraId="056CAFD2">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11.1除专用术语外，投标人提交的投标文件及投标人与采购代理机构就有关投标的所有来往函电均使用中文。投标人可以提交其它语言的资料，但应附有中文注释，有差异时以中文为准。</w:t>
      </w:r>
    </w:p>
    <w:p w14:paraId="17BF24A5">
      <w:pPr>
        <w:adjustRightInd w:val="0"/>
        <w:snapToGrid w:val="0"/>
        <w:spacing w:line="360" w:lineRule="auto"/>
        <w:jc w:val="left"/>
        <w:rPr>
          <w:rFonts w:ascii="宋体" w:hAnsi="宋体" w:cs="宋体"/>
          <w:b/>
          <w:szCs w:val="21"/>
        </w:rPr>
      </w:pPr>
      <w:r>
        <w:rPr>
          <w:rFonts w:hint="eastAsia" w:ascii="宋体" w:hAnsi="宋体" w:cs="宋体"/>
          <w:b/>
          <w:bCs/>
          <w:szCs w:val="21"/>
        </w:rPr>
        <w:t>12.</w:t>
      </w:r>
      <w:r>
        <w:rPr>
          <w:rFonts w:hint="eastAsia" w:ascii="宋体" w:hAnsi="宋体" w:cs="宋体"/>
          <w:b/>
          <w:szCs w:val="21"/>
        </w:rPr>
        <w:t xml:space="preserve"> 计量单位</w:t>
      </w:r>
    </w:p>
    <w:p w14:paraId="2C06AEB3">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12.1所有计量均采用中华人民共和国法定计量单位。</w:t>
      </w:r>
    </w:p>
    <w:p w14:paraId="624842D6">
      <w:pPr>
        <w:adjustRightInd w:val="0"/>
        <w:snapToGrid w:val="0"/>
        <w:spacing w:line="360" w:lineRule="auto"/>
        <w:jc w:val="left"/>
        <w:rPr>
          <w:rFonts w:ascii="宋体" w:hAnsi="宋体" w:cs="宋体"/>
          <w:b/>
          <w:bCs/>
          <w:szCs w:val="21"/>
        </w:rPr>
      </w:pPr>
      <w:r>
        <w:rPr>
          <w:rFonts w:hint="eastAsia" w:ascii="宋体" w:hAnsi="宋体" w:cs="宋体"/>
          <w:b/>
          <w:szCs w:val="21"/>
        </w:rPr>
        <w:t>13.</w:t>
      </w:r>
      <w:r>
        <w:rPr>
          <w:rFonts w:hint="eastAsia" w:ascii="宋体" w:hAnsi="宋体" w:cs="宋体"/>
          <w:b/>
          <w:bCs/>
          <w:szCs w:val="21"/>
        </w:rPr>
        <w:t xml:space="preserve"> 投标文件的组成</w:t>
      </w:r>
    </w:p>
    <w:p w14:paraId="036343A4">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13.1投标文件由商务技术文件、资格证明文件两册组成。各册的内容如下：</w:t>
      </w:r>
    </w:p>
    <w:p w14:paraId="0B252842">
      <w:pPr>
        <w:adjustRightInd w:val="0"/>
        <w:snapToGrid w:val="0"/>
        <w:spacing w:line="360" w:lineRule="auto"/>
        <w:ind w:firstLine="422" w:firstLineChars="200"/>
        <w:jc w:val="left"/>
        <w:rPr>
          <w:rFonts w:ascii="宋体" w:hAnsi="宋体"/>
          <w:b/>
          <w:szCs w:val="21"/>
        </w:rPr>
      </w:pPr>
      <w:r>
        <w:rPr>
          <w:rFonts w:hint="eastAsia" w:ascii="宋体" w:hAnsi="宋体"/>
          <w:b/>
          <w:szCs w:val="21"/>
        </w:rPr>
        <w:t>第一部分 资格证明文件</w:t>
      </w:r>
    </w:p>
    <w:p w14:paraId="76F120F9">
      <w:pPr>
        <w:adjustRightInd w:val="0"/>
        <w:snapToGrid w:val="0"/>
        <w:spacing w:line="360" w:lineRule="auto"/>
        <w:ind w:firstLine="420" w:firstLineChars="200"/>
        <w:jc w:val="left"/>
        <w:rPr>
          <w:rFonts w:ascii="宋体" w:hAnsi="宋体"/>
          <w:szCs w:val="21"/>
        </w:rPr>
      </w:pPr>
      <w:r>
        <w:rPr>
          <w:rFonts w:hint="eastAsia" w:ascii="宋体" w:hAnsi="宋体"/>
          <w:szCs w:val="21"/>
        </w:rPr>
        <w:t>（1）开标一览表</w:t>
      </w:r>
    </w:p>
    <w:p w14:paraId="3C7643D6">
      <w:pPr>
        <w:adjustRightInd w:val="0"/>
        <w:snapToGrid w:val="0"/>
        <w:spacing w:line="360" w:lineRule="auto"/>
        <w:ind w:firstLine="420" w:firstLineChars="200"/>
        <w:jc w:val="left"/>
        <w:rPr>
          <w:rFonts w:ascii="宋体" w:hAnsi="宋体"/>
          <w:szCs w:val="21"/>
        </w:rPr>
      </w:pPr>
      <w:r>
        <w:rPr>
          <w:rFonts w:hint="eastAsia" w:ascii="宋体" w:hAnsi="宋体"/>
          <w:szCs w:val="21"/>
        </w:rPr>
        <w:t>（2）法定代表人（单位负责人）身份证明</w:t>
      </w:r>
    </w:p>
    <w:p w14:paraId="7C92080F">
      <w:pPr>
        <w:adjustRightInd w:val="0"/>
        <w:snapToGrid w:val="0"/>
        <w:spacing w:line="360" w:lineRule="auto"/>
        <w:ind w:firstLine="420" w:firstLineChars="200"/>
        <w:jc w:val="left"/>
        <w:rPr>
          <w:rFonts w:ascii="宋体" w:hAnsi="宋体"/>
          <w:szCs w:val="21"/>
        </w:rPr>
      </w:pPr>
      <w:r>
        <w:rPr>
          <w:rFonts w:hint="eastAsia" w:ascii="宋体" w:hAnsi="宋体"/>
          <w:szCs w:val="21"/>
        </w:rPr>
        <w:t>（3）授权委托书</w:t>
      </w:r>
    </w:p>
    <w:p w14:paraId="11897446">
      <w:pPr>
        <w:adjustRightInd w:val="0"/>
        <w:snapToGrid w:val="0"/>
        <w:spacing w:line="360" w:lineRule="auto"/>
        <w:ind w:firstLine="420" w:firstLineChars="200"/>
        <w:jc w:val="left"/>
        <w:rPr>
          <w:rFonts w:ascii="宋体" w:hAnsi="宋体"/>
          <w:szCs w:val="21"/>
        </w:rPr>
      </w:pPr>
      <w:r>
        <w:rPr>
          <w:rFonts w:hint="eastAsia" w:ascii="宋体" w:hAnsi="宋体"/>
          <w:szCs w:val="21"/>
        </w:rPr>
        <w:t>（4）投标人提供的资格证明文件</w:t>
      </w:r>
    </w:p>
    <w:p w14:paraId="7B6C66B0">
      <w:pPr>
        <w:adjustRightInd w:val="0"/>
        <w:snapToGrid w:val="0"/>
        <w:spacing w:line="360" w:lineRule="auto"/>
        <w:ind w:firstLine="422" w:firstLineChars="200"/>
        <w:jc w:val="left"/>
        <w:rPr>
          <w:rFonts w:ascii="宋体" w:hAnsi="宋体"/>
          <w:b/>
          <w:szCs w:val="21"/>
        </w:rPr>
      </w:pPr>
      <w:r>
        <w:rPr>
          <w:rFonts w:hint="eastAsia" w:ascii="宋体" w:hAnsi="宋体"/>
          <w:b/>
          <w:szCs w:val="21"/>
        </w:rPr>
        <w:t>第二部分 商务和技术文件</w:t>
      </w:r>
    </w:p>
    <w:p w14:paraId="79DF02E2">
      <w:pPr>
        <w:adjustRightInd w:val="0"/>
        <w:snapToGrid w:val="0"/>
        <w:spacing w:line="360" w:lineRule="auto"/>
        <w:ind w:firstLine="420" w:firstLineChars="200"/>
        <w:jc w:val="left"/>
        <w:rPr>
          <w:rFonts w:ascii="宋体" w:hAnsi="宋体"/>
          <w:szCs w:val="21"/>
        </w:rPr>
      </w:pPr>
      <w:r>
        <w:rPr>
          <w:rFonts w:hint="eastAsia" w:ascii="宋体" w:hAnsi="宋体"/>
          <w:szCs w:val="21"/>
        </w:rPr>
        <w:t>（5）投标函</w:t>
      </w:r>
    </w:p>
    <w:p w14:paraId="63066040">
      <w:pPr>
        <w:adjustRightInd w:val="0"/>
        <w:snapToGrid w:val="0"/>
        <w:spacing w:line="360" w:lineRule="auto"/>
        <w:ind w:firstLine="420" w:firstLineChars="200"/>
        <w:jc w:val="left"/>
        <w:rPr>
          <w:rFonts w:ascii="宋体" w:hAnsi="宋体"/>
          <w:szCs w:val="21"/>
        </w:rPr>
      </w:pPr>
      <w:r>
        <w:rPr>
          <w:rFonts w:hint="eastAsia" w:ascii="宋体" w:hAnsi="宋体"/>
          <w:szCs w:val="21"/>
        </w:rPr>
        <w:t>（6）分项报价</w:t>
      </w:r>
    </w:p>
    <w:p w14:paraId="6165AA45">
      <w:pPr>
        <w:adjustRightInd w:val="0"/>
        <w:snapToGrid w:val="0"/>
        <w:spacing w:line="360" w:lineRule="auto"/>
        <w:ind w:firstLine="420" w:firstLineChars="200"/>
        <w:jc w:val="left"/>
        <w:rPr>
          <w:rFonts w:ascii="宋体" w:hAnsi="宋体"/>
          <w:szCs w:val="21"/>
        </w:rPr>
      </w:pPr>
      <w:r>
        <w:rPr>
          <w:rFonts w:hint="eastAsia" w:ascii="宋体" w:hAnsi="宋体"/>
          <w:szCs w:val="21"/>
        </w:rPr>
        <w:t>（7）采购需求响应</w:t>
      </w:r>
    </w:p>
    <w:p w14:paraId="4B46C848">
      <w:pPr>
        <w:adjustRightInd w:val="0"/>
        <w:snapToGrid w:val="0"/>
        <w:spacing w:line="360" w:lineRule="auto"/>
        <w:ind w:firstLine="420" w:firstLineChars="200"/>
        <w:jc w:val="left"/>
        <w:rPr>
          <w:rFonts w:ascii="宋体" w:hAnsi="宋体"/>
          <w:szCs w:val="21"/>
        </w:rPr>
      </w:pPr>
      <w:r>
        <w:rPr>
          <w:rFonts w:hint="eastAsia" w:ascii="宋体" w:hAnsi="宋体"/>
          <w:szCs w:val="21"/>
        </w:rPr>
        <w:t>（8）合同条款偏离表</w:t>
      </w:r>
    </w:p>
    <w:p w14:paraId="5D7F8089">
      <w:pPr>
        <w:adjustRightInd w:val="0"/>
        <w:snapToGrid w:val="0"/>
        <w:spacing w:line="360" w:lineRule="auto"/>
        <w:ind w:firstLine="420" w:firstLineChars="200"/>
        <w:jc w:val="left"/>
        <w:rPr>
          <w:rFonts w:ascii="宋体" w:hAnsi="宋体"/>
          <w:szCs w:val="21"/>
        </w:rPr>
      </w:pPr>
      <w:r>
        <w:rPr>
          <w:rFonts w:hint="eastAsia" w:ascii="宋体" w:hAnsi="宋体"/>
          <w:szCs w:val="21"/>
        </w:rPr>
        <w:t>（9）采购需求偏离表</w:t>
      </w:r>
    </w:p>
    <w:p w14:paraId="2BED4D11">
      <w:pPr>
        <w:adjustRightInd w:val="0"/>
        <w:snapToGrid w:val="0"/>
        <w:spacing w:line="360" w:lineRule="auto"/>
        <w:ind w:firstLine="420" w:firstLineChars="200"/>
        <w:jc w:val="left"/>
        <w:rPr>
          <w:rFonts w:ascii="宋体" w:hAnsi="宋体"/>
          <w:szCs w:val="21"/>
        </w:rPr>
      </w:pPr>
      <w:r>
        <w:rPr>
          <w:rFonts w:hint="eastAsia" w:ascii="宋体" w:hAnsi="宋体"/>
          <w:szCs w:val="21"/>
        </w:rPr>
        <w:t>（10）享受政府采购政策优惠的证明资料</w:t>
      </w:r>
    </w:p>
    <w:p w14:paraId="5784A8B0">
      <w:pPr>
        <w:adjustRightInd w:val="0"/>
        <w:snapToGrid w:val="0"/>
        <w:spacing w:line="360" w:lineRule="auto"/>
        <w:ind w:firstLine="420" w:firstLineChars="200"/>
        <w:jc w:val="left"/>
        <w:rPr>
          <w:rFonts w:ascii="宋体" w:hAnsi="宋体"/>
          <w:szCs w:val="21"/>
        </w:rPr>
      </w:pPr>
      <w:r>
        <w:rPr>
          <w:rFonts w:hint="eastAsia" w:ascii="宋体" w:hAnsi="宋体"/>
          <w:szCs w:val="21"/>
        </w:rPr>
        <w:t>（11）投标人认为需提供的其他资料</w:t>
      </w:r>
    </w:p>
    <w:p w14:paraId="0DFDD2D2">
      <w:pPr>
        <w:spacing w:line="360" w:lineRule="auto"/>
        <w:ind w:firstLine="420" w:firstLineChars="200"/>
        <w:rPr>
          <w:rFonts w:ascii="宋体" w:hAnsi="宋体" w:cs="宋体"/>
          <w:sz w:val="32"/>
          <w:szCs w:val="32"/>
        </w:rPr>
      </w:pPr>
      <w:r>
        <w:rPr>
          <w:rFonts w:hint="eastAsia" w:ascii="宋体" w:hAnsi="宋体" w:cs="宋体"/>
          <w:szCs w:val="21"/>
        </w:rPr>
        <w:t>13.2投标人应当按照招标文件的要求编制投标文件</w:t>
      </w:r>
      <w:r>
        <w:rPr>
          <w:rFonts w:hint="eastAsia" w:ascii="宋体" w:hAnsi="宋体" w:cs="宋体"/>
          <w:sz w:val="24"/>
        </w:rPr>
        <w:t>。</w:t>
      </w:r>
      <w:r>
        <w:rPr>
          <w:rFonts w:hint="eastAsia" w:ascii="宋体" w:hAnsi="宋体" w:cs="宋体"/>
          <w:szCs w:val="21"/>
        </w:rPr>
        <w:t>投标文件应当对招标文件提出的要求和条件作出明确响应。</w:t>
      </w:r>
      <w:r>
        <w:rPr>
          <w:rFonts w:hint="eastAsia" w:ascii="宋体" w:hAnsi="宋体" w:cs="宋体"/>
          <w:b/>
        </w:rPr>
        <w:t>在投标文件目录中属于本节点内容的必须上传或填写在本节点的对应位置，未按要求填写或上传的，相应责任由投标人自行承担。</w:t>
      </w:r>
    </w:p>
    <w:p w14:paraId="26D346D1">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13.3根据《政府采购法》第四十二条的规定，投标人无论中标与否，其投标文件不予退还。</w:t>
      </w:r>
    </w:p>
    <w:p w14:paraId="5E0C7906">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13.4资格审查时仅查阅资格证明文件册，资格证明相关文件由于投标人疏忽未装入资格证明文件册的视同未提交。 专家评标时，商务技术相关文件由于投标人疏忽未装入商务技术册的视同未提交。</w:t>
      </w:r>
    </w:p>
    <w:p w14:paraId="44EB5C94">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13.5有关扫描件的尺寸和清晰度应该能够在电脑上被阅读、识别和判断。若投标人未按要求提供证明材料或提供的是部分证明材料或提供不清晰的扫描件的，评审委员会有权认定其投标文件未对招标文件有关需求进行响应，涉及资格性检查或符合性检查的予以废标处理，涉及打分项的则该项评分予以0分处理。</w:t>
      </w:r>
    </w:p>
    <w:p w14:paraId="2870BCC8">
      <w:pPr>
        <w:adjustRightInd w:val="0"/>
        <w:snapToGrid w:val="0"/>
        <w:spacing w:line="360" w:lineRule="auto"/>
        <w:jc w:val="left"/>
        <w:rPr>
          <w:rFonts w:ascii="宋体" w:hAnsi="宋体" w:cs="宋体"/>
          <w:b/>
          <w:bCs/>
          <w:szCs w:val="21"/>
        </w:rPr>
      </w:pPr>
      <w:r>
        <w:rPr>
          <w:rFonts w:hint="eastAsia" w:ascii="宋体" w:hAnsi="宋体" w:cs="宋体"/>
          <w:b/>
          <w:bCs/>
          <w:szCs w:val="21"/>
        </w:rPr>
        <w:t>14. 投标报价</w:t>
      </w:r>
    </w:p>
    <w:p w14:paraId="588D9B7A">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14.1 投标人应按招标文件规定的供货及服务要求、责任范围和合同条件，按</w:t>
      </w:r>
      <w:r>
        <w:rPr>
          <w:rFonts w:hint="eastAsia" w:ascii="宋体" w:hAnsi="宋体" w:cs="宋体"/>
          <w:b/>
          <w:szCs w:val="21"/>
        </w:rPr>
        <w:t>【投标须知前附表】</w:t>
      </w:r>
      <w:r>
        <w:rPr>
          <w:rFonts w:hint="eastAsia" w:ascii="宋体" w:hAnsi="宋体" w:cs="宋体"/>
          <w:szCs w:val="21"/>
        </w:rPr>
        <w:t>的规定进行报价。</w:t>
      </w:r>
    </w:p>
    <w:p w14:paraId="19EDC568">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14.2投标总价中不得包含招标文件要求以外的内容。否则，在评标时不予核减。</w:t>
      </w:r>
    </w:p>
    <w:p w14:paraId="6B44BA9F">
      <w:pPr>
        <w:adjustRightInd w:val="0"/>
        <w:snapToGrid w:val="0"/>
        <w:spacing w:line="360" w:lineRule="auto"/>
        <w:ind w:firstLine="420" w:firstLineChars="200"/>
        <w:jc w:val="left"/>
        <w:rPr>
          <w:rFonts w:ascii="宋体" w:hAnsi="宋体" w:cs="宋体"/>
        </w:rPr>
      </w:pPr>
      <w:r>
        <w:rPr>
          <w:rFonts w:hint="eastAsia" w:ascii="宋体" w:hAnsi="宋体" w:cs="宋体"/>
        </w:rPr>
        <w:t>14.3投标人对每种货物及服务只允许有一个报价，不接受选择性报价。否则，在评标时将其视为无效投标。</w:t>
      </w:r>
    </w:p>
    <w:p w14:paraId="2AF4D1B5">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14.4投标人在提交投标文件的截止时间前修改投标报价的，应同时修改投标文件中相应内容。此修改应符合本章第22.1款的相关规定。</w:t>
      </w:r>
    </w:p>
    <w:p w14:paraId="4B2EDC70">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14.5采购人可以在采购预算额度内合理设定最高限价。投标人的投标报价不得超过采购项目最高限价。采购项目采购预算、最高限价（如果设）见【投标须知前附表】。</w:t>
      </w:r>
    </w:p>
    <w:p w14:paraId="3BD71447">
      <w:pPr>
        <w:adjustRightInd w:val="0"/>
        <w:snapToGrid w:val="0"/>
        <w:spacing w:line="360" w:lineRule="auto"/>
        <w:ind w:firstLine="420" w:firstLineChars="200"/>
        <w:jc w:val="left"/>
        <w:rPr>
          <w:rFonts w:ascii="宋体" w:hAnsi="宋体" w:cs="宋体"/>
        </w:rPr>
      </w:pPr>
      <w:r>
        <w:rPr>
          <w:rFonts w:hint="eastAsia" w:ascii="宋体" w:hAnsi="宋体" w:cs="宋体"/>
        </w:rPr>
        <w:t>14.6 投标文件中标明的价格在合同执行过程中是固定不变的，不得以任何理由予以变更。任何包含价格调整要求和条件的投标，在评标时将其视为投标无效。</w:t>
      </w:r>
    </w:p>
    <w:p w14:paraId="6FA8168D">
      <w:pPr>
        <w:adjustRightInd w:val="0"/>
        <w:snapToGrid w:val="0"/>
        <w:spacing w:line="360" w:lineRule="auto"/>
        <w:jc w:val="left"/>
        <w:rPr>
          <w:rFonts w:ascii="宋体" w:hAnsi="宋体" w:cs="宋体"/>
          <w:b/>
          <w:bCs/>
          <w:szCs w:val="21"/>
        </w:rPr>
      </w:pPr>
      <w:r>
        <w:rPr>
          <w:rFonts w:hint="eastAsia" w:ascii="宋体" w:hAnsi="宋体" w:cs="宋体"/>
          <w:b/>
        </w:rPr>
        <w:t xml:space="preserve">15. </w:t>
      </w:r>
      <w:r>
        <w:rPr>
          <w:rFonts w:hint="eastAsia" w:ascii="宋体" w:hAnsi="宋体" w:cs="宋体"/>
          <w:b/>
          <w:bCs/>
          <w:szCs w:val="21"/>
        </w:rPr>
        <w:t>投标人的资格证明文件</w:t>
      </w:r>
    </w:p>
    <w:p w14:paraId="3F209DA7">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15.1投标人应提交满足本章第3.1</w:t>
      </w:r>
      <w:r>
        <w:rPr>
          <w:rFonts w:hint="eastAsia" w:ascii="宋体" w:hAnsi="宋体" w:cs="宋体"/>
          <w:kern w:val="0"/>
          <w:szCs w:val="21"/>
          <w:lang w:val="zh-CN"/>
        </w:rPr>
        <w:t>款</w:t>
      </w:r>
      <w:r>
        <w:rPr>
          <w:rFonts w:hint="eastAsia" w:ascii="宋体" w:hAnsi="宋体" w:cs="宋体"/>
          <w:szCs w:val="21"/>
        </w:rPr>
        <w:t>规定的资格条件要求的证明文件,该证明文件作为投标文件的一部分。</w:t>
      </w:r>
    </w:p>
    <w:p w14:paraId="0C1AD118">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15.2如果投标人为联合体，则应提交联合体各方资格证明文件、联合体协议。否则，在评标时将其视为无效投标。</w:t>
      </w:r>
    </w:p>
    <w:p w14:paraId="36A9B7FB">
      <w:pPr>
        <w:adjustRightInd w:val="0"/>
        <w:snapToGrid w:val="0"/>
        <w:spacing w:line="360" w:lineRule="auto"/>
        <w:jc w:val="left"/>
        <w:rPr>
          <w:rFonts w:ascii="宋体" w:hAnsi="宋体" w:cs="宋体"/>
          <w:b/>
          <w:bCs/>
          <w:szCs w:val="21"/>
        </w:rPr>
      </w:pPr>
      <w:r>
        <w:rPr>
          <w:rFonts w:hint="eastAsia" w:ascii="宋体" w:hAnsi="宋体" w:cs="宋体"/>
          <w:b/>
          <w:bCs/>
          <w:szCs w:val="21"/>
        </w:rPr>
        <w:t>16. 投标货物符合招标文件规定的证明文件</w:t>
      </w:r>
    </w:p>
    <w:p w14:paraId="467CBC5F">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16.1 投标人应当提交其拟供的合同项下货物及其服务符合招标文件规定的证明文件,该证明文件作为投标文件的一部分。</w:t>
      </w:r>
    </w:p>
    <w:p w14:paraId="500A72FB">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16.2 投标人在货物说明一览表中应当说明货物的品牌型号、规格参数、制造商及原产地等，交货时应出具原产地证明及出厂合格证明。</w:t>
      </w:r>
    </w:p>
    <w:p w14:paraId="4E74C0EF">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16.3 上述证明文件可以是文字资料、图纸和数据，并须提供：</w:t>
      </w:r>
    </w:p>
    <w:p w14:paraId="361BC3C2">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（1）货物主要性能和参数的详细说明；</w:t>
      </w:r>
    </w:p>
    <w:p w14:paraId="1A580CCB">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（2）对照招标文件技术规格，逐条说明所提供货物和服务对招标文件的技术规格条文的响应与偏离。对有具体参数要求的指标，投标人应提供具体参数值。</w:t>
      </w:r>
    </w:p>
    <w:p w14:paraId="767E4533">
      <w:pPr>
        <w:widowControl/>
        <w:spacing w:before="100" w:beforeAutospacing="1" w:after="100" w:afterAutospacing="1" w:line="380" w:lineRule="atLeast"/>
        <w:jc w:val="left"/>
        <w:rPr>
          <w:rFonts w:ascii="宋体" w:hAnsi="宋体" w:cs="宋体"/>
          <w:szCs w:val="21"/>
        </w:rPr>
      </w:pPr>
      <w:r>
        <w:rPr>
          <w:rFonts w:hint="eastAsia" w:ascii="宋体" w:hAnsi="宋体" w:cs="宋体"/>
          <w:szCs w:val="21"/>
        </w:rPr>
        <w:t xml:space="preserve">    16.4 采购人、采购代理机构一般不得要求投标人提供样品，仅凭书面方式不能准确描述采购需求或者需要对样品进行主观判断以确认是否满足采购需求等特殊情况除外。</w:t>
      </w:r>
    </w:p>
    <w:p w14:paraId="3C46CB66">
      <w:pPr>
        <w:adjustRightInd w:val="0"/>
        <w:snapToGrid w:val="0"/>
        <w:spacing w:beforeLines="50" w:line="360" w:lineRule="auto"/>
        <w:ind w:firstLine="422" w:firstLineChars="200"/>
        <w:jc w:val="left"/>
        <w:rPr>
          <w:rFonts w:ascii="宋体" w:hAnsi="宋体" w:cs="宋体"/>
          <w:szCs w:val="21"/>
        </w:rPr>
      </w:pPr>
      <w:r>
        <w:rPr>
          <w:rFonts w:hint="eastAsia" w:ascii="宋体" w:hAnsi="宋体" w:cs="宋体"/>
          <w:b/>
          <w:szCs w:val="21"/>
        </w:rPr>
        <w:t>投标须知前附表</w:t>
      </w:r>
      <w:r>
        <w:rPr>
          <w:rFonts w:hint="eastAsia" w:ascii="宋体" w:hAnsi="宋体" w:cs="宋体"/>
          <w:szCs w:val="21"/>
        </w:rPr>
        <w:t>规定投标人在投标时提供样品的，投标人有以下情形之一的，在评标时将其视为无效投标。</w:t>
      </w:r>
    </w:p>
    <w:p w14:paraId="0977042B">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（1）未在投标须知前附表规定的提交时间、地点提交的；</w:t>
      </w:r>
    </w:p>
    <w:p w14:paraId="091EB600">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（2）投标人提供的样品与投标文件提供样品的规格、型号不一致的。</w:t>
      </w:r>
    </w:p>
    <w:p w14:paraId="712742A0">
      <w:pPr>
        <w:adjustRightInd w:val="0"/>
        <w:snapToGrid w:val="0"/>
        <w:spacing w:line="360" w:lineRule="auto"/>
        <w:jc w:val="left"/>
        <w:rPr>
          <w:rFonts w:ascii="宋体" w:hAnsi="宋体" w:cs="宋体"/>
          <w:b/>
          <w:bCs/>
          <w:szCs w:val="21"/>
        </w:rPr>
      </w:pPr>
      <w:r>
        <w:rPr>
          <w:rFonts w:hint="eastAsia" w:ascii="宋体" w:hAnsi="宋体" w:cs="宋体"/>
          <w:b/>
          <w:bCs/>
          <w:szCs w:val="21"/>
        </w:rPr>
        <w:t>17. 投标有效期</w:t>
      </w:r>
    </w:p>
    <w:p w14:paraId="218F096B">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17.1 除</w:t>
      </w:r>
      <w:r>
        <w:rPr>
          <w:rFonts w:hint="eastAsia" w:ascii="宋体" w:hAnsi="宋体" w:cs="宋体"/>
          <w:b/>
          <w:szCs w:val="21"/>
        </w:rPr>
        <w:t>【投标须知前附表】</w:t>
      </w:r>
      <w:r>
        <w:rPr>
          <w:rFonts w:hint="eastAsia" w:ascii="宋体" w:hAnsi="宋体" w:cs="宋体"/>
          <w:szCs w:val="21"/>
        </w:rPr>
        <w:t>另有规定外，投标有效期为90日，投标有效期从提交投标文件的截止之日起算。投标有效期不足的投标，在评标时将其视为投标无效。</w:t>
      </w:r>
    </w:p>
    <w:p w14:paraId="63144B02">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17.2 特殊情况需延长投标有效期的，采购代理机构可于投标有效期届满之前，要求投标人同意延长有效期，采购代理机构的要求与投标人的答复均应为书面形式。投标人拒绝延长的，其投标在原投标有效期期届满后将不再有效，但有权收回其投标保证金；投标人同意延长的，应相应延长其投标保证金的有效期，但不允许修改或撤回投标文件。</w:t>
      </w:r>
    </w:p>
    <w:p w14:paraId="54463EBA">
      <w:pPr>
        <w:adjustRightInd w:val="0"/>
        <w:snapToGrid w:val="0"/>
        <w:spacing w:line="360" w:lineRule="auto"/>
        <w:jc w:val="left"/>
        <w:rPr>
          <w:rFonts w:ascii="宋体" w:hAnsi="宋体" w:cs="宋体"/>
          <w:b/>
          <w:bCs/>
          <w:szCs w:val="21"/>
        </w:rPr>
      </w:pPr>
      <w:r>
        <w:rPr>
          <w:rFonts w:hint="eastAsia" w:ascii="宋体" w:hAnsi="宋体" w:cs="宋体"/>
          <w:b/>
          <w:bCs/>
          <w:szCs w:val="21"/>
        </w:rPr>
        <w:t>18. 投标保证金</w:t>
      </w:r>
    </w:p>
    <w:p w14:paraId="24A3FB0E">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 xml:space="preserve">18.1 </w:t>
      </w:r>
      <w:r>
        <w:rPr>
          <w:rFonts w:hint="eastAsia" w:ascii="宋体" w:hAnsi="宋体" w:cs="宋体"/>
          <w:b/>
          <w:szCs w:val="21"/>
        </w:rPr>
        <w:t>【投标须知前附表】</w:t>
      </w:r>
      <w:r>
        <w:rPr>
          <w:rFonts w:hint="eastAsia" w:ascii="宋体" w:hAnsi="宋体" w:cs="宋体"/>
          <w:szCs w:val="21"/>
        </w:rPr>
        <w:t>要求投标人提交</w:t>
      </w:r>
      <w:r>
        <w:rPr>
          <w:rFonts w:hint="eastAsia" w:ascii="宋体" w:hAnsi="宋体" w:cs="宋体"/>
          <w:bCs/>
          <w:szCs w:val="21"/>
        </w:rPr>
        <w:t>投标保证金的</w:t>
      </w:r>
      <w:r>
        <w:rPr>
          <w:rFonts w:hint="eastAsia" w:ascii="宋体" w:hAnsi="宋体" w:cs="宋体"/>
          <w:szCs w:val="21"/>
        </w:rPr>
        <w:t>，</w:t>
      </w:r>
      <w:r>
        <w:rPr>
          <w:rFonts w:hint="eastAsia" w:ascii="宋体" w:hAnsi="宋体" w:cs="宋体"/>
          <w:bCs/>
          <w:szCs w:val="21"/>
        </w:rPr>
        <w:t>投标人应</w:t>
      </w:r>
      <w:r>
        <w:rPr>
          <w:rFonts w:hint="eastAsia" w:ascii="宋体" w:hAnsi="宋体" w:cs="宋体"/>
          <w:szCs w:val="21"/>
        </w:rPr>
        <w:t>以支票、汇票、本票或金融机构、担保机构出具的保函等非现金形式，</w:t>
      </w:r>
      <w:r>
        <w:rPr>
          <w:rFonts w:hint="eastAsia" w:ascii="宋体" w:hAnsi="宋体" w:cs="宋体"/>
          <w:bCs/>
          <w:szCs w:val="21"/>
        </w:rPr>
        <w:t>在</w:t>
      </w:r>
      <w:r>
        <w:rPr>
          <w:rFonts w:hint="eastAsia" w:ascii="宋体" w:hAnsi="宋体" w:cs="宋体"/>
          <w:szCs w:val="21"/>
        </w:rPr>
        <w:t>提交投标文件的截止时间</w:t>
      </w:r>
      <w:r>
        <w:rPr>
          <w:rFonts w:hint="eastAsia" w:ascii="宋体" w:hAnsi="宋体" w:cs="宋体"/>
          <w:bCs/>
          <w:szCs w:val="21"/>
        </w:rPr>
        <w:t>前提交投标保证金</w:t>
      </w:r>
      <w:r>
        <w:rPr>
          <w:rFonts w:hint="eastAsia" w:ascii="宋体" w:hAnsi="宋体" w:cs="宋体"/>
          <w:szCs w:val="21"/>
        </w:rPr>
        <w:t>。</w:t>
      </w:r>
      <w:r>
        <w:rPr>
          <w:rFonts w:hint="eastAsia" w:ascii="宋体" w:hAnsi="宋体" w:cs="宋体"/>
          <w:bCs/>
          <w:szCs w:val="21"/>
        </w:rPr>
        <w:t>投标保证金有效期应与投标有效期一致。</w:t>
      </w:r>
    </w:p>
    <w:p w14:paraId="2722F9AF">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18.2 投标保证金应以投标人自身名义缴纳，其名称应与投标人名称一致，不得以分支机构等他人名义缴纳。联合体投标的，其投标保证金由牵头方缴纳。</w:t>
      </w:r>
    </w:p>
    <w:p w14:paraId="01B8FFFE">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18.3 联合体投标的，可以由联合体中的一方或者共同提交投标保证金。以一方名义提交投标保证金的，对联合体各方均具有约束力。</w:t>
      </w:r>
    </w:p>
    <w:p w14:paraId="37B80E96">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18.4投标保证金的退还按以下规定办理：</w:t>
      </w:r>
    </w:p>
    <w:p w14:paraId="5F381FE1">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（1）中标投标人的投标保证金，将在政府采购合同签订后5个工作日内退还。</w:t>
      </w:r>
    </w:p>
    <w:p w14:paraId="40350094">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（2）未中标的投标人的投标保证金，将在中标通知书发出后5个工作日内退还。</w:t>
      </w:r>
    </w:p>
    <w:p w14:paraId="6E940251">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（3）终止招标的。对于已递交投标保证金的，采购代理机构在终止招标公告发布后5个工作日内退还。</w:t>
      </w:r>
    </w:p>
    <w:p w14:paraId="58A85746">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（4）在投标截止日前撤回投标的，对于已递交投标保证金的，采购代理机构在收到投标人书面撤回投标通知之日起5个工作日内退还。</w:t>
      </w:r>
    </w:p>
    <w:p w14:paraId="1A9C10F3">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18.5 有以下情形之一的，投标保证金将不予退还，上缴国库：</w:t>
      </w:r>
    </w:p>
    <w:p w14:paraId="08E7C8BC">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 xml:space="preserve">（1）投标人在投标有效期内撤销投标文件； </w:t>
      </w:r>
    </w:p>
    <w:p w14:paraId="2B92E036">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（2）提供虚假材料谋取中标的；</w:t>
      </w:r>
    </w:p>
    <w:p w14:paraId="4EE37FE4">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 xml:space="preserve">（3）确定为中标人后，中标人放弃中标的； </w:t>
      </w:r>
    </w:p>
    <w:p w14:paraId="53EB985E">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（4）中标通知书发出后，中标人不签订合同或转让、分包项目以及拒绝履行合同义务的；</w:t>
      </w:r>
    </w:p>
    <w:p w14:paraId="783A6257">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（5）投标人有25.1和25.2规定的串通投标行为的</w:t>
      </w:r>
    </w:p>
    <w:p w14:paraId="4B7C5BBB">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（6）法律法规或招标文件规定的其他情形。</w:t>
      </w:r>
    </w:p>
    <w:p w14:paraId="3F6EAD12">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上款第（3）、（4）项对因严重自然灾害和其他不可抗力事件产生的情形除外。</w:t>
      </w:r>
    </w:p>
    <w:p w14:paraId="1EF7A2EE">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19. 投标文件的签署</w:t>
      </w:r>
    </w:p>
    <w:p w14:paraId="7D1A1C00">
      <w:pPr>
        <w:spacing w:line="400" w:lineRule="atLeast"/>
        <w:ind w:firstLine="420" w:firstLineChars="200"/>
        <w:rPr>
          <w:rFonts w:ascii="宋体" w:hAnsi="宋体" w:cs="宋体"/>
          <w:szCs w:val="21"/>
        </w:rPr>
      </w:pPr>
      <w:r>
        <w:rPr>
          <w:rFonts w:hint="eastAsia" w:ascii="宋体" w:hAnsi="宋体" w:cs="宋体"/>
          <w:szCs w:val="21"/>
        </w:rPr>
        <w:t>19.1电子投标文件：投标人应按照电子招标文件要求制作投标文件，并进行电子签名和盖章。</w:t>
      </w:r>
    </w:p>
    <w:p w14:paraId="57003E2A">
      <w:pPr>
        <w:spacing w:line="400" w:lineRule="exact"/>
        <w:ind w:right="31" w:firstLine="420" w:firstLineChars="200"/>
        <w:rPr>
          <w:rFonts w:ascii="宋体" w:hAnsi="宋体" w:cs="宋体"/>
          <w:szCs w:val="21"/>
        </w:rPr>
      </w:pPr>
      <w:r>
        <w:rPr>
          <w:rFonts w:hint="eastAsia" w:ascii="宋体" w:hAnsi="宋体" w:cs="宋体"/>
          <w:szCs w:val="21"/>
        </w:rPr>
        <w:t>19.2投标人确认投标后，应从交易平台上下载“政府采购电子招标文件制作工具”，并使用此工具编制电子投标文件，否则将可能影响电子投标文件的上传而导致投标无效。</w:t>
      </w:r>
    </w:p>
    <w:p w14:paraId="7BD8CBB1">
      <w:pPr>
        <w:spacing w:line="400" w:lineRule="exact"/>
        <w:ind w:right="31" w:firstLine="420" w:firstLineChars="200"/>
        <w:rPr>
          <w:rFonts w:ascii="宋体" w:hAnsi="宋体" w:cs="宋体"/>
          <w:szCs w:val="21"/>
        </w:rPr>
      </w:pPr>
      <w:r>
        <w:rPr>
          <w:rFonts w:hint="eastAsia" w:ascii="宋体" w:hAnsi="宋体" w:cs="宋体"/>
          <w:szCs w:val="21"/>
        </w:rPr>
        <w:t>19.3投标人因自身原因导致电子投标文件无法导入电子评标系统的，该投标文件视为无效投标文件。</w:t>
      </w:r>
    </w:p>
    <w:p w14:paraId="071E8A9D">
      <w:pPr>
        <w:spacing w:line="400" w:lineRule="exact"/>
        <w:ind w:right="31" w:firstLine="420" w:firstLineChars="200"/>
        <w:rPr>
          <w:rFonts w:ascii="宋体" w:hAnsi="宋体" w:cs="宋体"/>
          <w:szCs w:val="21"/>
        </w:rPr>
      </w:pPr>
      <w:r>
        <w:rPr>
          <w:rFonts w:hint="eastAsia" w:ascii="宋体" w:hAnsi="宋体" w:cs="宋体"/>
          <w:szCs w:val="21"/>
        </w:rPr>
        <w:t>19.4电子招投标文件具有法律效力，若投标文件与招标文件要求不一致，其内容影响中标结果时，责任由投标人自行承担。</w:t>
      </w:r>
    </w:p>
    <w:p w14:paraId="58E81D1F">
      <w:pPr>
        <w:jc w:val="center"/>
        <w:outlineLvl w:val="0"/>
        <w:rPr>
          <w:rFonts w:ascii="宋体" w:hAnsi="宋体" w:cs="宋体"/>
          <w:b/>
          <w:bCs/>
          <w:sz w:val="28"/>
          <w:szCs w:val="36"/>
        </w:rPr>
      </w:pPr>
      <w:bookmarkStart w:id="70" w:name="_Toc27892"/>
      <w:bookmarkStart w:id="71" w:name="_Toc15181"/>
      <w:r>
        <w:rPr>
          <w:rFonts w:hint="eastAsia" w:ascii="宋体" w:hAnsi="宋体" w:cs="宋体"/>
          <w:b/>
          <w:bCs/>
          <w:sz w:val="28"/>
          <w:szCs w:val="36"/>
        </w:rPr>
        <w:t>四、投标</w:t>
      </w:r>
      <w:bookmarkEnd w:id="70"/>
      <w:bookmarkEnd w:id="71"/>
    </w:p>
    <w:p w14:paraId="1931AFAC">
      <w:pPr>
        <w:spacing w:line="360" w:lineRule="atLeast"/>
        <w:ind w:firstLine="420" w:firstLineChars="200"/>
        <w:rPr>
          <w:rFonts w:ascii="宋体" w:hAnsi="宋体" w:cs="宋体"/>
        </w:rPr>
      </w:pPr>
      <w:r>
        <w:rPr>
          <w:rFonts w:hint="eastAsia" w:ascii="宋体" w:hAnsi="宋体" w:cs="宋体"/>
        </w:rPr>
        <w:t>20．投标人应准备所投项目的电子投标文件一份，此投标文件须根据招标人提供的后缀名为YYZY</w:t>
      </w:r>
      <w:r>
        <w:rPr>
          <w:rFonts w:hint="eastAsia" w:ascii="宋体" w:hAnsi="宋体" w:cs="宋体"/>
          <w:szCs w:val="21"/>
        </w:rPr>
        <w:t>格式</w:t>
      </w:r>
      <w:r>
        <w:rPr>
          <w:rFonts w:hint="eastAsia" w:ascii="宋体" w:hAnsi="宋体" w:cs="宋体"/>
        </w:rPr>
        <w:t>的电子招标文件进行制作，电子投标文件制作工具可登录</w:t>
      </w:r>
      <w:r>
        <w:rPr>
          <w:rFonts w:hint="eastAsia" w:ascii="宋体" w:hAnsi="宋体" w:cs="宋体"/>
          <w:kern w:val="0"/>
          <w:szCs w:val="21"/>
        </w:rPr>
        <w:t>“</w:t>
      </w:r>
      <w:r>
        <w:rPr>
          <w:rFonts w:hint="eastAsia" w:ascii="宋体" w:hAnsi="宋体" w:cs="宋体"/>
          <w:szCs w:val="21"/>
        </w:rPr>
        <w:t>岳阳市公共资源交易网</w:t>
      </w:r>
      <w:r>
        <w:rPr>
          <w:rFonts w:hint="eastAsia" w:ascii="宋体" w:hAnsi="宋体" w:cs="宋体"/>
          <w:kern w:val="0"/>
          <w:szCs w:val="21"/>
        </w:rPr>
        <w:t>”</w:t>
      </w:r>
      <w:r>
        <w:rPr>
          <w:rFonts w:hint="eastAsia" w:ascii="宋体" w:hAnsi="宋体" w:cs="宋体"/>
          <w:szCs w:val="21"/>
        </w:rPr>
        <w:t xml:space="preserve"> （http://ggzy.yueyang.gov.cn/）</w:t>
      </w:r>
      <w:r>
        <w:rPr>
          <w:rFonts w:hint="eastAsia" w:ascii="宋体" w:hAnsi="宋体" w:cs="宋体"/>
        </w:rPr>
        <w:t>服务指南中及时下载安装最新版本“新点投标文件制作软件（湖南公共资源版）”。在安装此软件之前，须先安装office2010及以上版本。）</w:t>
      </w:r>
    </w:p>
    <w:p w14:paraId="2391762A">
      <w:pPr>
        <w:adjustRightInd w:val="0"/>
        <w:snapToGrid w:val="0"/>
        <w:spacing w:line="360" w:lineRule="auto"/>
        <w:ind w:firstLine="420" w:firstLineChars="200"/>
        <w:jc w:val="left"/>
        <w:rPr>
          <w:rFonts w:ascii="宋体" w:hAnsi="宋体" w:cs="宋体"/>
          <w:b/>
          <w:szCs w:val="21"/>
        </w:rPr>
      </w:pPr>
      <w:r>
        <w:rPr>
          <w:rFonts w:hint="eastAsia" w:ascii="宋体" w:hAnsi="宋体" w:cs="宋体"/>
          <w:szCs w:val="21"/>
        </w:rPr>
        <w:t>21．</w:t>
      </w:r>
      <w:bookmarkStart w:id="72" w:name="_Hlk499715941"/>
      <w:r>
        <w:rPr>
          <w:rFonts w:hint="eastAsia" w:ascii="宋体" w:hAnsi="宋体" w:cs="宋体"/>
          <w:b/>
          <w:szCs w:val="21"/>
        </w:rPr>
        <w:t>电子投标文件的编制</w:t>
      </w:r>
    </w:p>
    <w:p w14:paraId="6B16471E">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21. 1投标人应当使用岳阳市公共资源交易中心电子交易平台认可的“新点投标文件制作软件（湖南公共资源版）”制作投标文件（ 含澄清、说明文件）并进行固化、加密；</w:t>
      </w:r>
    </w:p>
    <w:p w14:paraId="0ADD0DB7">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21. 2“电子标书软件加密锁” 具有唯一性，仅限于本单位在电子化招标投标活动中使用，不得转让和出借；</w:t>
      </w:r>
    </w:p>
    <w:p w14:paraId="43189F76">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21. 3投标人在编制电子投标文件时应当建立分级目录，并按照标签提示导入相关内容，请投标人注意压缩文件；</w:t>
      </w:r>
    </w:p>
    <w:p w14:paraId="442F8402">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21. 4电子投标文件盖章及签字</w:t>
      </w:r>
    </w:p>
    <w:p w14:paraId="0C8E6AF0">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投标文件的指定盖章处应采用电子平台认可的CA数字证书（含电子印章）</w:t>
      </w:r>
    </w:p>
    <w:bookmarkEnd w:id="72"/>
    <w:p w14:paraId="50A501DC">
      <w:pPr>
        <w:spacing w:line="360" w:lineRule="exact"/>
        <w:ind w:firstLine="411" w:firstLineChars="196"/>
        <w:rPr>
          <w:rFonts w:ascii="宋体" w:hAnsi="宋体" w:cs="宋体"/>
          <w:b/>
        </w:rPr>
      </w:pPr>
      <w:r>
        <w:rPr>
          <w:rFonts w:hint="eastAsia" w:ascii="宋体" w:hAnsi="宋体" w:cs="宋体"/>
        </w:rPr>
        <w:t>21. 5投标人在编辑投标文件时，</w:t>
      </w:r>
      <w:r>
        <w:rPr>
          <w:rFonts w:hint="eastAsia" w:ascii="宋体" w:hAnsi="宋体" w:cs="宋体"/>
          <w:b/>
        </w:rPr>
        <w:t>在投标文件目录中属于本节点内容的必须上传或填写在本节点的对应位置，未按要求填写或上传的，相应责任由投标人自行承担。</w:t>
      </w:r>
    </w:p>
    <w:p w14:paraId="2AC1208F">
      <w:pPr>
        <w:spacing w:line="360" w:lineRule="exact"/>
        <w:ind w:firstLine="411" w:firstLineChars="196"/>
        <w:rPr>
          <w:rFonts w:ascii="宋体" w:hAnsi="宋体" w:cs="宋体"/>
        </w:rPr>
      </w:pPr>
      <w:r>
        <w:rPr>
          <w:rFonts w:hint="eastAsia" w:ascii="宋体" w:hAnsi="宋体" w:cs="宋体"/>
        </w:rPr>
        <w:t>21. 6投标书编写完成后，</w:t>
      </w:r>
      <w:r>
        <w:rPr>
          <w:rFonts w:hint="eastAsia" w:ascii="宋体" w:hAnsi="宋体" w:cs="宋体"/>
          <w:b/>
        </w:rPr>
        <w:t>必须用本系统自带的电子密钥进行加密，如果误选了非本项目的规则文件导致不能在开标时解密投标文件，该投标文件将被电子开标系统拒绝，将导致投标文件无效。</w:t>
      </w:r>
    </w:p>
    <w:p w14:paraId="0BEE06C4">
      <w:pPr>
        <w:spacing w:line="360" w:lineRule="exact"/>
        <w:ind w:firstLine="411" w:firstLineChars="196"/>
        <w:rPr>
          <w:rFonts w:ascii="宋体" w:hAnsi="宋体" w:cs="宋体"/>
        </w:rPr>
      </w:pPr>
      <w:r>
        <w:rPr>
          <w:rFonts w:hint="eastAsia" w:ascii="宋体" w:hAnsi="宋体" w:cs="宋体"/>
        </w:rPr>
        <w:t>21. 7岳阳市公共资源交易中心不接受投标截止时间后递交的纸质、电子、传真等所有形式的投标文件。由于对网上招投标操作不熟悉或自身电脑、个人网络等原因导致不能在投标截止时间之前上传投标文件的，相</w:t>
      </w:r>
      <w:r>
        <w:rPr>
          <w:rFonts w:hint="eastAsia" w:ascii="宋体" w:hAnsi="宋体" w:cs="宋体"/>
          <w:b/>
        </w:rPr>
        <w:t>应责任由投标人自行承担</w:t>
      </w:r>
      <w:r>
        <w:rPr>
          <w:rFonts w:hint="eastAsia" w:ascii="宋体" w:hAnsi="宋体" w:cs="宋体"/>
        </w:rPr>
        <w:t>。建议于开标前一个工作日完成投标文件的制作与上传，如果上传有困难，请及时咨询。</w:t>
      </w:r>
    </w:p>
    <w:p w14:paraId="19160D12">
      <w:pPr>
        <w:spacing w:line="360" w:lineRule="exact"/>
        <w:ind w:firstLine="411" w:firstLineChars="196"/>
        <w:rPr>
          <w:rFonts w:ascii="宋体" w:hAnsi="宋体" w:cs="宋体"/>
        </w:rPr>
      </w:pPr>
      <w:r>
        <w:rPr>
          <w:rFonts w:hint="eastAsia" w:ascii="宋体" w:hAnsi="宋体" w:cs="宋体"/>
        </w:rPr>
        <w:t>21. 8如果开标时出现网络故障、技术故障，影响了招投标活动，采购人可采取措施如延期、延长上传的投标书和解密时间等，以保障招投标活动的公开、公平和公正，投标人不得对此持有异议。</w:t>
      </w:r>
    </w:p>
    <w:p w14:paraId="0606CFE9">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22. 投标文件的递交</w:t>
      </w:r>
    </w:p>
    <w:p w14:paraId="5F4723E1">
      <w:pPr>
        <w:spacing w:line="360" w:lineRule="exact"/>
        <w:ind w:firstLine="411" w:firstLineChars="196"/>
        <w:rPr>
          <w:rFonts w:ascii="宋体" w:hAnsi="宋体" w:cs="宋体"/>
          <w:u w:val="single"/>
        </w:rPr>
      </w:pPr>
      <w:r>
        <w:rPr>
          <w:rFonts w:hint="eastAsia" w:ascii="宋体" w:hAnsi="宋体" w:cs="宋体"/>
        </w:rPr>
        <w:t>22.1电子标实行网上投标，投标人必须在采购文件规定的投标截止时间前用电子密钥在“岳阳市公共资源交易网</w:t>
      </w:r>
      <w:r>
        <w:rPr>
          <w:rFonts w:hint="eastAsia" w:ascii="宋体" w:hAnsi="宋体" w:cs="宋体"/>
          <w:szCs w:val="21"/>
        </w:rPr>
        <w:t xml:space="preserve"> ”</w:t>
      </w:r>
      <w:r>
        <w:rPr>
          <w:rFonts w:hint="eastAsia" w:ascii="宋体" w:hAnsi="宋体" w:cs="宋体"/>
        </w:rPr>
        <w:t xml:space="preserve">（ </w:t>
      </w:r>
      <w:r>
        <w:rPr>
          <w:rFonts w:hint="eastAsia" w:ascii="宋体" w:hAnsi="宋体" w:cs="宋体"/>
          <w:szCs w:val="21"/>
        </w:rPr>
        <w:t>http://ggzy.yueyang.gov.cn/</w:t>
      </w:r>
      <w:r>
        <w:rPr>
          <w:rFonts w:hint="eastAsia" w:ascii="宋体" w:hAnsi="宋体" w:cs="宋体"/>
        </w:rPr>
        <w:t>）中</w:t>
      </w:r>
      <w:r>
        <w:rPr>
          <w:rFonts w:hint="eastAsia" w:ascii="宋体" w:hAnsi="宋体" w:cs="宋体"/>
          <w:kern w:val="0"/>
          <w:szCs w:val="21"/>
        </w:rPr>
        <w:t>登录“岳阳市公共资源交易中心</w:t>
      </w:r>
      <w:r>
        <w:rPr>
          <w:rFonts w:hint="eastAsia" w:ascii="宋体" w:hAnsi="宋体" w:cs="宋体"/>
          <w:szCs w:val="21"/>
        </w:rPr>
        <w:t>电子交易平台</w:t>
      </w:r>
      <w:r>
        <w:rPr>
          <w:rFonts w:hint="eastAsia" w:ascii="宋体" w:hAnsi="宋体" w:cs="宋体"/>
          <w:kern w:val="0"/>
          <w:szCs w:val="21"/>
        </w:rPr>
        <w:t>”上传投标文件</w:t>
      </w:r>
      <w:r>
        <w:rPr>
          <w:rFonts w:hint="eastAsia" w:ascii="宋体" w:hAnsi="宋体" w:cs="宋体"/>
        </w:rPr>
        <w:t>。本项目电子投标文件最大容量为200MB，超过此容量的文件将被拒绝。如果多次上传均告失败，请拨打咨询电话（</w:t>
      </w:r>
      <w:r>
        <w:rPr>
          <w:rFonts w:hint="eastAsia" w:ascii="宋体" w:hAnsi="宋体" w:cs="宋体"/>
          <w:u w:val="single"/>
        </w:rPr>
        <w:t>0730-2966692 信息技术科</w:t>
      </w:r>
      <w:r>
        <w:rPr>
          <w:rFonts w:hint="eastAsia" w:ascii="宋体" w:hAnsi="宋体" w:cs="宋体"/>
        </w:rPr>
        <w:t>）。</w:t>
      </w:r>
    </w:p>
    <w:p w14:paraId="1FF9A606">
      <w:pPr>
        <w:spacing w:line="360" w:lineRule="exact"/>
        <w:ind w:firstLine="411" w:firstLineChars="196"/>
        <w:rPr>
          <w:rFonts w:ascii="宋体" w:hAnsi="宋体" w:cs="宋体"/>
        </w:rPr>
      </w:pPr>
      <w:r>
        <w:rPr>
          <w:rFonts w:hint="eastAsia" w:ascii="宋体" w:hAnsi="宋体" w:cs="宋体"/>
        </w:rPr>
        <w:t>22.1.1按本通用条款第10条规定，招标文件发生实质性修改后，投标人须撤回原电子投标文件，根据最新招标文件重新制作投标文件并再次上传。</w:t>
      </w:r>
    </w:p>
    <w:p w14:paraId="6DD04D06">
      <w:pPr>
        <w:spacing w:line="360" w:lineRule="exact"/>
        <w:ind w:firstLine="411" w:firstLineChars="196"/>
        <w:rPr>
          <w:rFonts w:ascii="宋体" w:hAnsi="宋体" w:cs="宋体"/>
        </w:rPr>
      </w:pPr>
      <w:r>
        <w:rPr>
          <w:rFonts w:hint="eastAsia" w:ascii="宋体" w:hAnsi="宋体" w:cs="宋体"/>
        </w:rPr>
        <w:t>22.1.2投标截止时间到达以后不再接收投标文件。</w:t>
      </w:r>
    </w:p>
    <w:p w14:paraId="660D46F0">
      <w:pPr>
        <w:spacing w:line="360" w:lineRule="exact"/>
        <w:ind w:firstLine="411" w:firstLineChars="196"/>
        <w:rPr>
          <w:rFonts w:ascii="宋体" w:hAnsi="宋体" w:cs="宋体"/>
        </w:rPr>
      </w:pPr>
      <w:r>
        <w:rPr>
          <w:rFonts w:hint="eastAsia" w:ascii="宋体" w:hAnsi="宋体" w:cs="宋体"/>
        </w:rPr>
        <w:t>22.2</w:t>
      </w:r>
      <w:r>
        <w:rPr>
          <w:rFonts w:hint="eastAsia"/>
        </w:rPr>
        <w:t>中标单位在领取中标通知书之前，需提供一正贰副的纸质投标文件用于备案。当提供的纸质文件资料与岳阳市公共资源交易网的电子文件资料不一致时，以电子文件资料为准。</w:t>
      </w:r>
    </w:p>
    <w:p w14:paraId="18BD67DD">
      <w:pPr>
        <w:tabs>
          <w:tab w:val="left" w:pos="6195"/>
        </w:tabs>
        <w:adjustRightInd w:val="0"/>
        <w:snapToGrid w:val="0"/>
        <w:spacing w:line="360" w:lineRule="auto"/>
        <w:jc w:val="left"/>
        <w:rPr>
          <w:rFonts w:ascii="宋体" w:hAnsi="宋体" w:cs="宋体"/>
          <w:b/>
          <w:bCs/>
          <w:szCs w:val="21"/>
        </w:rPr>
      </w:pPr>
      <w:r>
        <w:rPr>
          <w:rFonts w:hint="eastAsia" w:ascii="宋体" w:hAnsi="宋体" w:cs="宋体"/>
          <w:b/>
          <w:bCs/>
          <w:szCs w:val="21"/>
        </w:rPr>
        <w:t>23. 投标文件的修改和撤回</w:t>
      </w:r>
      <w:r>
        <w:rPr>
          <w:rFonts w:hint="eastAsia" w:ascii="宋体" w:hAnsi="宋体" w:cs="宋体"/>
          <w:b/>
          <w:bCs/>
          <w:szCs w:val="21"/>
        </w:rPr>
        <w:tab/>
      </w:r>
    </w:p>
    <w:p w14:paraId="661E0B7A">
      <w:pPr>
        <w:spacing w:line="360" w:lineRule="auto"/>
        <w:ind w:firstLine="411" w:firstLineChars="196"/>
        <w:rPr>
          <w:rFonts w:ascii="宋体" w:hAnsi="宋体" w:cs="宋体"/>
        </w:rPr>
      </w:pPr>
      <w:r>
        <w:rPr>
          <w:rFonts w:hint="eastAsia" w:ascii="宋体" w:hAnsi="宋体" w:cs="宋体"/>
          <w:szCs w:val="21"/>
        </w:rPr>
        <w:t>23.1</w:t>
      </w:r>
      <w:r>
        <w:rPr>
          <w:rFonts w:hint="eastAsia" w:ascii="宋体" w:hAnsi="宋体" w:cs="宋体"/>
        </w:rPr>
        <w:t>投标方在提交</w:t>
      </w:r>
      <w:r>
        <w:rPr>
          <w:rFonts w:hint="eastAsia" w:ascii="宋体" w:hAnsi="宋体" w:cs="宋体"/>
          <w:szCs w:val="21"/>
        </w:rPr>
        <w:t>电子</w:t>
      </w:r>
      <w:r>
        <w:rPr>
          <w:rFonts w:hint="eastAsia" w:ascii="宋体" w:hAnsi="宋体" w:cs="宋体"/>
        </w:rPr>
        <w:t>投标文件后可对其投标文件进行修改并重新上传投标文件或在网上进行撤销投标的操作。</w:t>
      </w:r>
    </w:p>
    <w:p w14:paraId="48885FD3">
      <w:pPr>
        <w:spacing w:line="360" w:lineRule="auto"/>
        <w:ind w:firstLine="411" w:firstLineChars="196"/>
        <w:rPr>
          <w:rFonts w:ascii="宋体" w:hAnsi="宋体" w:cs="宋体"/>
        </w:rPr>
      </w:pPr>
      <w:r>
        <w:rPr>
          <w:rFonts w:hint="eastAsia" w:ascii="宋体" w:hAnsi="宋体" w:cs="宋体"/>
        </w:rPr>
        <w:t>23.2投标截止时间以后不得修改投标文件。</w:t>
      </w:r>
    </w:p>
    <w:p w14:paraId="0D55963A">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23.3投标人在提交投标文件的截止时间前撤回已提交的投标文件的，采购代理机构应当自收到投标人撤回通知之日起５个工作日内，退还已收取的投标保证金，但因投标人自身原因导致无法及时退还的除外。</w:t>
      </w:r>
    </w:p>
    <w:p w14:paraId="1F737228">
      <w:pPr>
        <w:adjustRightInd w:val="0"/>
        <w:snapToGrid w:val="0"/>
        <w:spacing w:line="360" w:lineRule="auto"/>
        <w:jc w:val="left"/>
        <w:rPr>
          <w:rFonts w:ascii="宋体" w:hAnsi="宋体" w:cs="宋体"/>
          <w:b/>
        </w:rPr>
      </w:pPr>
      <w:r>
        <w:rPr>
          <w:rFonts w:hint="eastAsia" w:ascii="宋体" w:hAnsi="宋体" w:cs="宋体"/>
          <w:b/>
        </w:rPr>
        <w:t>24.分包</w:t>
      </w:r>
    </w:p>
    <w:p w14:paraId="28F2120D">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24.1 投标人拟在中标后将中标项目的非主体、非关键性工作进行分包的，应符合【</w:t>
      </w:r>
      <w:r>
        <w:rPr>
          <w:rFonts w:hint="eastAsia" w:ascii="宋体" w:hAnsi="宋体" w:cs="宋体"/>
          <w:b/>
          <w:szCs w:val="21"/>
        </w:rPr>
        <w:t>投标须知前附表</w:t>
      </w:r>
      <w:r>
        <w:rPr>
          <w:rFonts w:hint="eastAsia" w:ascii="宋体" w:hAnsi="宋体" w:cs="宋体"/>
          <w:szCs w:val="21"/>
        </w:rPr>
        <w:t>】规定的分包内容、分包金额和资质要求等限制性条件，并在投标文件中载明分包承担主体，且分包承担主体不得再次分包。</w:t>
      </w:r>
    </w:p>
    <w:p w14:paraId="52AB79E1">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24.2中标人应当就分包项目向采购人负责，分包承担主体就分包项目承担连带责任。</w:t>
      </w:r>
    </w:p>
    <w:p w14:paraId="2CE04C24">
      <w:pPr>
        <w:adjustRightInd w:val="0"/>
        <w:snapToGrid w:val="0"/>
        <w:spacing w:line="360" w:lineRule="auto"/>
        <w:ind w:firstLine="420" w:firstLineChars="200"/>
        <w:jc w:val="left"/>
        <w:rPr>
          <w:rFonts w:ascii="宋体" w:hAnsi="宋体" w:cs="宋体"/>
        </w:rPr>
      </w:pPr>
      <w:r>
        <w:rPr>
          <w:rFonts w:hint="eastAsia" w:ascii="宋体" w:hAnsi="宋体" w:cs="宋体"/>
          <w:szCs w:val="21"/>
        </w:rPr>
        <w:t>24.3 不符合招标文件中有关分包、转包规定的，其投标将被拒绝。</w:t>
      </w:r>
    </w:p>
    <w:p w14:paraId="02FEF78B">
      <w:pPr>
        <w:adjustRightInd w:val="0"/>
        <w:snapToGrid w:val="0"/>
        <w:spacing w:line="360" w:lineRule="auto"/>
        <w:jc w:val="left"/>
        <w:rPr>
          <w:rFonts w:ascii="宋体" w:hAnsi="宋体" w:cs="宋体"/>
          <w:b/>
        </w:rPr>
      </w:pPr>
      <w:r>
        <w:rPr>
          <w:rFonts w:hint="eastAsia" w:ascii="宋体" w:hAnsi="宋体" w:cs="宋体"/>
          <w:b/>
          <w:bCs/>
        </w:rPr>
        <w:t>25.</w:t>
      </w:r>
      <w:r>
        <w:rPr>
          <w:rFonts w:hint="eastAsia" w:ascii="宋体" w:hAnsi="宋体" w:cs="宋体"/>
          <w:b/>
        </w:rPr>
        <w:t xml:space="preserve"> 串通投标行为</w:t>
      </w:r>
    </w:p>
    <w:p w14:paraId="2CA75522">
      <w:pPr>
        <w:adjustRightInd w:val="0"/>
        <w:snapToGrid w:val="0"/>
        <w:spacing w:line="360" w:lineRule="auto"/>
        <w:ind w:firstLine="396" w:firstLineChars="200"/>
        <w:jc w:val="left"/>
        <w:rPr>
          <w:rFonts w:ascii="宋体" w:hAnsi="宋体" w:cs="宋体"/>
          <w:spacing w:val="-6"/>
          <w:szCs w:val="21"/>
        </w:rPr>
      </w:pPr>
      <w:r>
        <w:rPr>
          <w:rFonts w:hint="eastAsia" w:ascii="宋体" w:hAnsi="宋体" w:cs="宋体"/>
          <w:spacing w:val="-6"/>
          <w:szCs w:val="21"/>
        </w:rPr>
        <w:t>25.1有下列情形之一的，属于恶意串通，对投标人依照政府采购法第七十七条第一款的规定追究法律责任：</w:t>
      </w:r>
    </w:p>
    <w:p w14:paraId="0DD24CA1">
      <w:pPr>
        <w:adjustRightInd w:val="0"/>
        <w:snapToGrid w:val="0"/>
        <w:spacing w:line="360" w:lineRule="auto"/>
        <w:ind w:firstLine="396" w:firstLineChars="200"/>
        <w:jc w:val="left"/>
        <w:rPr>
          <w:rFonts w:ascii="宋体" w:hAnsi="宋体" w:cs="宋体"/>
          <w:spacing w:val="-6"/>
          <w:szCs w:val="21"/>
        </w:rPr>
      </w:pPr>
      <w:r>
        <w:rPr>
          <w:rFonts w:hint="eastAsia" w:ascii="宋体" w:hAnsi="宋体" w:cs="宋体"/>
          <w:spacing w:val="-6"/>
          <w:szCs w:val="21"/>
        </w:rPr>
        <w:t>（1）投标人直接或者间接从采购人或者采购代理机构处获得其他投标人的相关情况并修改其投标文件；</w:t>
      </w:r>
    </w:p>
    <w:p w14:paraId="1C61253D">
      <w:pPr>
        <w:adjustRightInd w:val="0"/>
        <w:snapToGrid w:val="0"/>
        <w:spacing w:line="360" w:lineRule="auto"/>
        <w:ind w:firstLine="396" w:firstLineChars="200"/>
        <w:jc w:val="left"/>
        <w:rPr>
          <w:rFonts w:ascii="宋体" w:hAnsi="宋体" w:cs="宋体"/>
          <w:spacing w:val="-6"/>
          <w:szCs w:val="21"/>
        </w:rPr>
      </w:pPr>
      <w:r>
        <w:rPr>
          <w:rFonts w:hint="eastAsia" w:ascii="宋体" w:hAnsi="宋体" w:cs="宋体"/>
          <w:spacing w:val="-6"/>
          <w:szCs w:val="21"/>
        </w:rPr>
        <w:t>（2）投标人按照采购人或者采购代理机构的授意撤换、修改投标文件；</w:t>
      </w:r>
    </w:p>
    <w:p w14:paraId="51AA8443">
      <w:pPr>
        <w:adjustRightInd w:val="0"/>
        <w:snapToGrid w:val="0"/>
        <w:spacing w:line="360" w:lineRule="auto"/>
        <w:ind w:firstLine="396" w:firstLineChars="200"/>
        <w:jc w:val="left"/>
        <w:rPr>
          <w:rFonts w:ascii="宋体" w:hAnsi="宋体" w:cs="宋体"/>
          <w:spacing w:val="-6"/>
          <w:szCs w:val="21"/>
        </w:rPr>
      </w:pPr>
      <w:r>
        <w:rPr>
          <w:rFonts w:hint="eastAsia" w:ascii="宋体" w:hAnsi="宋体" w:cs="宋体"/>
          <w:spacing w:val="-6"/>
          <w:szCs w:val="21"/>
        </w:rPr>
        <w:t>（3）投标人之间协商报价、技术方案等投标文件的实质性内容；</w:t>
      </w:r>
    </w:p>
    <w:p w14:paraId="60937CE3">
      <w:pPr>
        <w:adjustRightInd w:val="0"/>
        <w:snapToGrid w:val="0"/>
        <w:spacing w:line="360" w:lineRule="auto"/>
        <w:ind w:firstLine="396" w:firstLineChars="200"/>
        <w:jc w:val="left"/>
        <w:rPr>
          <w:rFonts w:ascii="宋体" w:hAnsi="宋体" w:cs="宋体"/>
          <w:spacing w:val="-6"/>
          <w:szCs w:val="21"/>
        </w:rPr>
      </w:pPr>
      <w:r>
        <w:rPr>
          <w:rFonts w:hint="eastAsia" w:ascii="宋体" w:hAnsi="宋体" w:cs="宋体"/>
          <w:spacing w:val="-6"/>
          <w:szCs w:val="21"/>
        </w:rPr>
        <w:t>（4）属于同一集团、协会、商会等组织成员的投标人按照该组织要求协同参加政府采购活动；</w:t>
      </w:r>
    </w:p>
    <w:p w14:paraId="2B0F0B75">
      <w:pPr>
        <w:adjustRightInd w:val="0"/>
        <w:snapToGrid w:val="0"/>
        <w:spacing w:line="360" w:lineRule="auto"/>
        <w:ind w:firstLine="396" w:firstLineChars="200"/>
        <w:jc w:val="left"/>
        <w:rPr>
          <w:rFonts w:ascii="宋体" w:hAnsi="宋体" w:cs="宋体"/>
          <w:spacing w:val="-6"/>
          <w:szCs w:val="21"/>
        </w:rPr>
      </w:pPr>
      <w:r>
        <w:rPr>
          <w:rFonts w:hint="eastAsia" w:ascii="宋体" w:hAnsi="宋体" w:cs="宋体"/>
          <w:spacing w:val="-6"/>
          <w:szCs w:val="21"/>
        </w:rPr>
        <w:t>（5）投标人之间事先约定由某一特定投标人中标；</w:t>
      </w:r>
    </w:p>
    <w:p w14:paraId="144EFEFC">
      <w:pPr>
        <w:adjustRightInd w:val="0"/>
        <w:snapToGrid w:val="0"/>
        <w:spacing w:line="360" w:lineRule="auto"/>
        <w:ind w:firstLine="396" w:firstLineChars="200"/>
        <w:jc w:val="left"/>
        <w:rPr>
          <w:rFonts w:ascii="宋体" w:hAnsi="宋体" w:cs="宋体"/>
          <w:spacing w:val="-6"/>
          <w:szCs w:val="21"/>
        </w:rPr>
      </w:pPr>
      <w:r>
        <w:rPr>
          <w:rFonts w:hint="eastAsia" w:ascii="宋体" w:hAnsi="宋体" w:cs="宋体"/>
          <w:spacing w:val="-6"/>
          <w:szCs w:val="21"/>
        </w:rPr>
        <w:t>（6）投标人之间商定部分投标人放弃参加政府采购活动或者放弃中标；</w:t>
      </w:r>
    </w:p>
    <w:p w14:paraId="587F4997">
      <w:pPr>
        <w:adjustRightInd w:val="0"/>
        <w:snapToGrid w:val="0"/>
        <w:spacing w:line="360" w:lineRule="auto"/>
        <w:ind w:firstLine="396" w:firstLineChars="200"/>
        <w:jc w:val="left"/>
        <w:rPr>
          <w:rFonts w:ascii="宋体" w:hAnsi="宋体" w:cs="宋体"/>
          <w:spacing w:val="-6"/>
          <w:szCs w:val="21"/>
        </w:rPr>
      </w:pPr>
      <w:r>
        <w:rPr>
          <w:rFonts w:hint="eastAsia" w:ascii="宋体" w:hAnsi="宋体" w:cs="宋体"/>
          <w:spacing w:val="-6"/>
          <w:szCs w:val="21"/>
        </w:rPr>
        <w:t>（7）投标人与采购人或者采购代理机构之间、投标人相互之间，为谋求特定投标人中标或者排斥其他投标人的其他串通行为。</w:t>
      </w:r>
    </w:p>
    <w:p w14:paraId="1759BFDB">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25.2有下列情形之一的，视为投标人串通投标，其投标无效：</w:t>
      </w:r>
    </w:p>
    <w:p w14:paraId="26BA4960">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（1）不同投标人的投标文件由同一单位或者个人编制；</w:t>
      </w:r>
    </w:p>
    <w:p w14:paraId="3DCB685E">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（2）不同投标人委托同一单位或者个人办理投标事宜；</w:t>
      </w:r>
    </w:p>
    <w:p w14:paraId="6211CBEA">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（3）不同投标人的投标文件载明的项目管理成员或者联系人员为同一人；</w:t>
      </w:r>
    </w:p>
    <w:p w14:paraId="4D42AD24">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（4）不同投标人的投标文件异常一致或者投标报价呈规律性差异；</w:t>
      </w:r>
    </w:p>
    <w:p w14:paraId="3FB30E04">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（5）不同投标人的投标文件相互混装；</w:t>
      </w:r>
    </w:p>
    <w:p w14:paraId="247A9A85">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（6）不同投标人的投标保证金从同一单位或者个人的账户转出。</w:t>
      </w:r>
    </w:p>
    <w:p w14:paraId="2E62AB09">
      <w:pPr>
        <w:jc w:val="center"/>
        <w:outlineLvl w:val="0"/>
        <w:rPr>
          <w:rFonts w:ascii="宋体" w:hAnsi="宋体" w:cs="宋体"/>
          <w:b/>
          <w:bCs/>
          <w:sz w:val="28"/>
          <w:szCs w:val="36"/>
        </w:rPr>
      </w:pPr>
      <w:bookmarkStart w:id="73" w:name="_Toc24831"/>
      <w:bookmarkStart w:id="74" w:name="_Toc7823"/>
      <w:r>
        <w:rPr>
          <w:rFonts w:hint="eastAsia" w:ascii="宋体" w:hAnsi="宋体" w:cs="宋体"/>
          <w:b/>
          <w:bCs/>
          <w:sz w:val="28"/>
          <w:szCs w:val="36"/>
        </w:rPr>
        <w:t>五、开标，资格审查和评标</w:t>
      </w:r>
      <w:bookmarkEnd w:id="73"/>
      <w:bookmarkEnd w:id="74"/>
    </w:p>
    <w:p w14:paraId="5AE6723D">
      <w:pPr>
        <w:adjustRightInd w:val="0"/>
        <w:snapToGrid w:val="0"/>
        <w:spacing w:line="360" w:lineRule="auto"/>
        <w:jc w:val="left"/>
        <w:rPr>
          <w:rFonts w:ascii="宋体" w:hAnsi="宋体" w:cs="宋体"/>
          <w:b/>
          <w:bCs/>
          <w:szCs w:val="21"/>
        </w:rPr>
      </w:pPr>
      <w:r>
        <w:rPr>
          <w:rFonts w:hint="eastAsia" w:ascii="宋体" w:hAnsi="宋体" w:cs="宋体"/>
          <w:b/>
          <w:bCs/>
          <w:szCs w:val="21"/>
        </w:rPr>
        <w:t>26. 开标</w:t>
      </w:r>
    </w:p>
    <w:p w14:paraId="3D5F240A">
      <w:pPr>
        <w:spacing w:line="360" w:lineRule="auto"/>
        <w:ind w:firstLine="315" w:firstLineChars="150"/>
        <w:rPr>
          <w:rFonts w:ascii="宋体" w:hAnsi="宋体" w:cs="宋体"/>
          <w:szCs w:val="21"/>
        </w:rPr>
      </w:pPr>
      <w:r>
        <w:rPr>
          <w:rFonts w:hint="eastAsia" w:ascii="宋体" w:hAnsi="宋体" w:cs="宋体"/>
          <w:szCs w:val="21"/>
        </w:rPr>
        <w:t>26.1采购代理机构在规定时间组织网上开标。投标人在岳阳市公共资源交易电子服务平台中登陆“岳阳政府采购不见面开标大厅”，参与项目网上开标会。</w:t>
      </w:r>
    </w:p>
    <w:p w14:paraId="7BEE54AC">
      <w:pPr>
        <w:spacing w:line="360" w:lineRule="auto"/>
        <w:ind w:firstLine="315" w:firstLineChars="150"/>
        <w:rPr>
          <w:rFonts w:ascii="宋体" w:hAnsi="宋体" w:cs="宋体"/>
          <w:szCs w:val="21"/>
        </w:rPr>
      </w:pPr>
      <w:r>
        <w:rPr>
          <w:rFonts w:hint="eastAsia" w:ascii="宋体" w:hAnsi="宋体" w:cs="宋体"/>
          <w:szCs w:val="21"/>
        </w:rPr>
        <w:t>26.2投标截止时间到达以后，投标人在规定时限内对电子投标文件进行解密并在网上进行开标、唱标，同步在网上公布开标结果。解密时长应符合【</w:t>
      </w:r>
      <w:r>
        <w:rPr>
          <w:rFonts w:hint="eastAsia" w:ascii="宋体" w:hAnsi="宋体" w:cs="宋体"/>
          <w:b/>
          <w:szCs w:val="21"/>
        </w:rPr>
        <w:t>投标须知前附表</w:t>
      </w:r>
      <w:r>
        <w:rPr>
          <w:rFonts w:hint="eastAsia" w:ascii="宋体" w:hAnsi="宋体" w:cs="宋体"/>
          <w:szCs w:val="21"/>
        </w:rPr>
        <w:t>】的规定。</w:t>
      </w:r>
    </w:p>
    <w:p w14:paraId="2B031023">
      <w:pPr>
        <w:spacing w:line="360" w:lineRule="exact"/>
        <w:ind w:firstLine="315" w:firstLineChars="150"/>
        <w:rPr>
          <w:rFonts w:ascii="宋体" w:hAnsi="宋体" w:cs="宋体"/>
          <w:sz w:val="32"/>
          <w:szCs w:val="32"/>
        </w:rPr>
      </w:pPr>
      <w:r>
        <w:rPr>
          <w:rFonts w:hint="eastAsia" w:ascii="宋体" w:hAnsi="宋体" w:cs="宋体"/>
          <w:szCs w:val="21"/>
        </w:rPr>
        <w:t>26.3开标注意事项：因投标人原因未按时限解密或无法解密的投标文件视为无效投标文件，相应责任由投标人自行承担。</w:t>
      </w:r>
    </w:p>
    <w:p w14:paraId="4EF5E302">
      <w:pPr>
        <w:adjustRightInd w:val="0"/>
        <w:snapToGrid w:val="0"/>
        <w:spacing w:line="360" w:lineRule="auto"/>
        <w:jc w:val="left"/>
        <w:rPr>
          <w:rFonts w:ascii="宋体" w:hAnsi="宋体" w:cs="宋体"/>
          <w:b/>
          <w:szCs w:val="21"/>
        </w:rPr>
      </w:pPr>
      <w:r>
        <w:rPr>
          <w:rStyle w:val="43"/>
          <w:rFonts w:hint="eastAsia" w:ascii="宋体" w:hAnsi="宋体" w:cs="宋体"/>
          <w:szCs w:val="21"/>
        </w:rPr>
        <w:t>27.</w:t>
      </w:r>
      <w:r>
        <w:rPr>
          <w:rFonts w:hint="eastAsia" w:ascii="宋体" w:hAnsi="宋体" w:cs="宋体"/>
          <w:b/>
          <w:szCs w:val="21"/>
        </w:rPr>
        <w:t xml:space="preserve"> </w:t>
      </w:r>
      <w:r>
        <w:rPr>
          <w:rFonts w:hint="eastAsia" w:ascii="宋体" w:hAnsi="宋体" w:cs="宋体"/>
          <w:b/>
          <w:bCs/>
          <w:szCs w:val="21"/>
        </w:rPr>
        <w:t>资格审查</w:t>
      </w:r>
    </w:p>
    <w:p w14:paraId="7B289879">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27.1开标结束后，采购人及采购代理机构将依法对投标人的资格进行审查。</w:t>
      </w:r>
    </w:p>
    <w:p w14:paraId="0646E36B">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27.2在资格审查时，采购人及采购代理机构将对投标人信用记录进行甄别。</w:t>
      </w:r>
    </w:p>
    <w:p w14:paraId="6879BFB9">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（1）信用信息查询的查询内容：本章第3.3款第（4）项规定；</w:t>
      </w:r>
    </w:p>
    <w:p w14:paraId="5B1D72FD">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（2）信用信息查询的查询渠道：信用中国网站（www.creditchina.gov.cn）、中国政府采购网（www.ccgp.gov.cn）、湖南信用网（www.hncredit.gov.cn）和湖南省政府采购网（</w:t>
      </w:r>
      <w:r>
        <w:fldChar w:fldCharType="begin"/>
      </w:r>
      <w:r>
        <w:instrText xml:space="preserve"> HYPERLINK "http://www.ccgp-hunan.gov.cn" </w:instrText>
      </w:r>
      <w:r>
        <w:fldChar w:fldCharType="separate"/>
      </w:r>
      <w:r>
        <w:rPr>
          <w:rFonts w:hint="eastAsia" w:ascii="宋体" w:hAnsi="宋体" w:cs="宋体"/>
        </w:rPr>
        <w:t>www.ccgp-hunan.gov.cn</w:t>
      </w:r>
      <w:r>
        <w:rPr>
          <w:rFonts w:hint="eastAsia" w:ascii="宋体" w:hAnsi="宋体" w:cs="宋体"/>
        </w:rPr>
        <w:fldChar w:fldCharType="end"/>
      </w:r>
      <w:r>
        <w:rPr>
          <w:rFonts w:hint="eastAsia" w:ascii="宋体" w:hAnsi="宋体" w:cs="宋体"/>
          <w:szCs w:val="21"/>
        </w:rPr>
        <w:t>）；</w:t>
      </w:r>
    </w:p>
    <w:p w14:paraId="5E2B276E">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（3）信用信息查询的截止时点：提交投标文件的截止时间；</w:t>
      </w:r>
    </w:p>
    <w:p w14:paraId="042A1165">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4）信用信息的使用原则：被列入失信被执行人、重大税收违法案件当事人名单、政府采购严重违法失信行为记录名单及其他不符合《中华人民共和国政府采购法》第二十二条规定条件的投标人，将拒绝其参与政府采购活动。</w:t>
      </w:r>
    </w:p>
    <w:p w14:paraId="6D7F2871">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（5）信用信息查询记录和证据留存具体方式：查询结果网页截图作为查询记录和证据，与其他采购文件一并保存。</w:t>
      </w:r>
    </w:p>
    <w:p w14:paraId="4AA9B994">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27.3投标文件属下列情况之一的，投标无效：</w:t>
      </w:r>
    </w:p>
    <w:p w14:paraId="5D45550C">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（1）不符合本章第3条投标人的资格要求的；</w:t>
      </w:r>
    </w:p>
    <w:p w14:paraId="6E382138">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（2）联合体没有提交联合体协议书，或未提交联合体各方资格证明文件的；（本项目不适用）</w:t>
      </w:r>
    </w:p>
    <w:p w14:paraId="220431C3">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w:t>
      </w:r>
      <w:r>
        <w:rPr>
          <w:rFonts w:hint="eastAsia" w:ascii="宋体" w:hAnsi="宋体" w:cs="宋体"/>
          <w:bCs/>
          <w:szCs w:val="21"/>
        </w:rPr>
        <w:t>未按招标文件要求提交资格证明文件或</w:t>
      </w:r>
      <w:r>
        <w:rPr>
          <w:rFonts w:hint="eastAsia" w:ascii="宋体" w:hAnsi="宋体" w:cs="宋体"/>
          <w:szCs w:val="21"/>
        </w:rPr>
        <w:t>投标文件中资格证明文件未按照招标文件要求签署、盖章的；</w:t>
      </w:r>
    </w:p>
    <w:p w14:paraId="0B471BA7">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（4）应缴未缴投标保证金或金额不足、投标保证金缴纳形式不符合招标文件要求的。（本项目不适用）</w:t>
      </w:r>
    </w:p>
    <w:p w14:paraId="450867F0">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（5）不符合法律、法规和招标文件规定的其他投标无效情形的。</w:t>
      </w:r>
    </w:p>
    <w:p w14:paraId="0342E237">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27.4对未通过资格审查的投标人，采购人及采购代理机构应当告知其未通过的原因。</w:t>
      </w:r>
    </w:p>
    <w:p w14:paraId="7A82BE5C">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27.5合格投标人不足3家的，不得进入评标环节。</w:t>
      </w:r>
    </w:p>
    <w:p w14:paraId="4AC702BB">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27.6已进行资格预审的，可以不再对投标人资格进行审查。资格预审合格的投标人在提交投标文件的截止时间前资格发生变化的，应当通知采购人和采购代理机构，并按新情况更新或补充其在申请资格预审时提供的证明资料，以证实其各项资格条件仍能继续满足资格预审公告的要求。</w:t>
      </w:r>
    </w:p>
    <w:p w14:paraId="3B226EAA">
      <w:pPr>
        <w:adjustRightInd w:val="0"/>
        <w:snapToGrid w:val="0"/>
        <w:spacing w:line="360" w:lineRule="auto"/>
        <w:jc w:val="left"/>
        <w:rPr>
          <w:rFonts w:ascii="宋体" w:hAnsi="宋体" w:cs="宋体"/>
          <w:b/>
          <w:szCs w:val="21"/>
        </w:rPr>
      </w:pPr>
      <w:r>
        <w:rPr>
          <w:rFonts w:hint="eastAsia" w:ascii="宋体" w:hAnsi="宋体" w:cs="宋体"/>
          <w:b/>
          <w:bCs/>
          <w:szCs w:val="21"/>
        </w:rPr>
        <w:t>28.</w:t>
      </w:r>
      <w:r>
        <w:rPr>
          <w:rFonts w:hint="eastAsia" w:ascii="宋体" w:hAnsi="宋体" w:cs="宋体"/>
          <w:b/>
          <w:szCs w:val="21"/>
        </w:rPr>
        <w:t xml:space="preserve"> 评标委员会</w:t>
      </w:r>
    </w:p>
    <w:p w14:paraId="2A247502">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28.1评标由依法组建的评标委员会负责，评标委员会由采购人代表和评审专家组成。</w:t>
      </w:r>
    </w:p>
    <w:p w14:paraId="6545584A">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28.2评标委员会成员有下列情形之一的，应当回避：</w:t>
      </w:r>
    </w:p>
    <w:p w14:paraId="7AEE220C">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（1）参加采购活动前3年内与投标人存在劳动关系；</w:t>
      </w:r>
    </w:p>
    <w:p w14:paraId="46838E23">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（2）参加采购活动前3年内担任投标人的董事、监事；</w:t>
      </w:r>
    </w:p>
    <w:p w14:paraId="55D6DA79">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（3）参加采购活动前3年内是投标人的控股股东或者实际控制人；</w:t>
      </w:r>
    </w:p>
    <w:p w14:paraId="40330816">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（4）与投标人的法定代表人或者负责人有夫妻、直系血亲、三代以内旁系血亲或者近姻亲关系；</w:t>
      </w:r>
    </w:p>
    <w:p w14:paraId="5F2ACEEA">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（5）与投标人有其他可能影响政府采购活动公平、公正进行的关系。</w:t>
      </w:r>
    </w:p>
    <w:p w14:paraId="13BD2805">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28.3评标委员会负责具体评标事务，并独立履行下列职责：</w:t>
      </w:r>
    </w:p>
    <w:p w14:paraId="52C88556">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（1）审查、评价投标文件是否符合招标文件的商务、技术等实质性要求；</w:t>
      </w:r>
    </w:p>
    <w:p w14:paraId="34127031">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（2）要求投标人对投标文件有关事项作出澄清或者说明；</w:t>
      </w:r>
    </w:p>
    <w:p w14:paraId="360939A9">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（3）对投标文件进行比较和评价；</w:t>
      </w:r>
    </w:p>
    <w:p w14:paraId="05577321">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（4）确定中标候选人名单，以及根据采购人委托直接确定中标人。</w:t>
      </w:r>
    </w:p>
    <w:p w14:paraId="6D873820">
      <w:pPr>
        <w:adjustRightInd w:val="0"/>
        <w:snapToGrid w:val="0"/>
        <w:spacing w:line="360" w:lineRule="auto"/>
        <w:jc w:val="left"/>
        <w:rPr>
          <w:rFonts w:ascii="宋体" w:hAnsi="宋体" w:cs="宋体"/>
          <w:b/>
          <w:bCs/>
        </w:rPr>
      </w:pPr>
      <w:r>
        <w:rPr>
          <w:rFonts w:hint="eastAsia" w:ascii="宋体" w:hAnsi="宋体" w:cs="宋体"/>
          <w:b/>
          <w:szCs w:val="21"/>
        </w:rPr>
        <w:t>29.</w:t>
      </w:r>
      <w:r>
        <w:rPr>
          <w:rFonts w:hint="eastAsia" w:ascii="宋体" w:hAnsi="宋体" w:cs="宋体"/>
          <w:b/>
          <w:bCs/>
        </w:rPr>
        <w:t xml:space="preserve"> 评标</w:t>
      </w:r>
    </w:p>
    <w:p w14:paraId="2B422A18">
      <w:pPr>
        <w:adjustRightInd w:val="0"/>
        <w:snapToGrid w:val="0"/>
        <w:spacing w:line="360" w:lineRule="auto"/>
        <w:ind w:firstLine="420" w:firstLineChars="200"/>
        <w:jc w:val="left"/>
        <w:rPr>
          <w:rFonts w:ascii="宋体" w:hAnsi="宋体" w:cs="宋体"/>
        </w:rPr>
      </w:pPr>
      <w:r>
        <w:rPr>
          <w:rFonts w:hint="eastAsia" w:ascii="宋体" w:hAnsi="宋体" w:cs="宋体"/>
        </w:rPr>
        <w:t>29.1 评标委员会按照</w:t>
      </w:r>
      <w:r>
        <w:rPr>
          <w:rFonts w:hint="eastAsia" w:ascii="宋体" w:hAnsi="宋体" w:cs="宋体"/>
          <w:bCs/>
        </w:rPr>
        <w:t>第三章评标方法及标准</w:t>
      </w:r>
      <w:r>
        <w:rPr>
          <w:rFonts w:hint="eastAsia" w:ascii="宋体" w:hAnsi="宋体" w:cs="宋体"/>
        </w:rPr>
        <w:t>规定的评标方法、评审因素、标准和程序以及有关法律、法规及规章对投标文件进行评审。</w:t>
      </w:r>
    </w:p>
    <w:p w14:paraId="7160A210">
      <w:pPr>
        <w:spacing w:line="360" w:lineRule="auto"/>
        <w:rPr>
          <w:rFonts w:ascii="宋体" w:hAnsi="宋体" w:cs="宋体"/>
          <w:b/>
          <w:bCs/>
          <w:szCs w:val="21"/>
        </w:rPr>
      </w:pPr>
      <w:r>
        <w:rPr>
          <w:rFonts w:hint="eastAsia" w:ascii="宋体" w:hAnsi="宋体" w:cs="宋体"/>
          <w:b/>
          <w:bCs/>
          <w:szCs w:val="21"/>
        </w:rPr>
        <w:t>30.电子招投标的应急措施</w:t>
      </w:r>
    </w:p>
    <w:p w14:paraId="171AC877">
      <w:pPr>
        <w:adjustRightInd w:val="0"/>
        <w:snapToGrid w:val="0"/>
        <w:spacing w:line="360" w:lineRule="auto"/>
        <w:ind w:firstLine="420" w:firstLineChars="200"/>
        <w:jc w:val="center"/>
        <w:rPr>
          <w:rFonts w:ascii="宋体" w:hAnsi="宋体" w:cs="宋体"/>
        </w:rPr>
      </w:pPr>
      <w:r>
        <w:rPr>
          <w:rFonts w:hint="eastAsia" w:ascii="宋体" w:hAnsi="宋体" w:cs="宋体"/>
          <w:bCs/>
        </w:rPr>
        <w:t>在电子化政府采购交易过程中，如遇不可抗力及停电、系统故障等情况短时内无法恢复正常的，采购人应暂停开、评标等交易活动，并如实记录相关情况。待故障和问题解除后，恢复交易活动。</w:t>
      </w:r>
      <w:r>
        <w:rPr>
          <w:rFonts w:hint="eastAsia" w:ascii="宋体" w:hAnsi="宋体" w:cs="宋体"/>
        </w:rPr>
        <w:t xml:space="preserve">  </w:t>
      </w:r>
      <w:bookmarkStart w:id="75" w:name="_Toc4297"/>
    </w:p>
    <w:p w14:paraId="2378637E">
      <w:pPr>
        <w:adjustRightInd w:val="0"/>
        <w:snapToGrid w:val="0"/>
        <w:spacing w:line="360" w:lineRule="auto"/>
        <w:jc w:val="center"/>
        <w:outlineLvl w:val="0"/>
        <w:rPr>
          <w:rFonts w:ascii="宋体" w:hAnsi="宋体" w:cs="宋体"/>
          <w:b/>
          <w:bCs/>
          <w:sz w:val="28"/>
          <w:szCs w:val="36"/>
        </w:rPr>
      </w:pPr>
      <w:bookmarkStart w:id="76" w:name="_Toc11992"/>
      <w:r>
        <w:rPr>
          <w:rFonts w:hint="eastAsia" w:ascii="宋体" w:hAnsi="宋体" w:cs="宋体"/>
          <w:b/>
          <w:bCs/>
          <w:sz w:val="28"/>
          <w:szCs w:val="36"/>
        </w:rPr>
        <w:t>六、中标信息公布</w:t>
      </w:r>
      <w:bookmarkEnd w:id="75"/>
      <w:bookmarkEnd w:id="76"/>
    </w:p>
    <w:p w14:paraId="74DD2AA5">
      <w:pPr>
        <w:adjustRightInd w:val="0"/>
        <w:snapToGrid w:val="0"/>
        <w:spacing w:line="360" w:lineRule="auto"/>
        <w:jc w:val="left"/>
        <w:rPr>
          <w:rFonts w:ascii="宋体" w:hAnsi="宋体" w:cs="宋体"/>
          <w:b/>
          <w:bCs/>
          <w:szCs w:val="21"/>
        </w:rPr>
      </w:pPr>
      <w:r>
        <w:rPr>
          <w:rFonts w:hint="eastAsia" w:ascii="宋体" w:hAnsi="宋体" w:cs="宋体"/>
          <w:b/>
          <w:szCs w:val="21"/>
        </w:rPr>
        <w:t>31.</w:t>
      </w:r>
      <w:r>
        <w:rPr>
          <w:rFonts w:hint="eastAsia" w:ascii="宋体" w:hAnsi="宋体" w:cs="宋体"/>
        </w:rPr>
        <w:t xml:space="preserve"> </w:t>
      </w:r>
      <w:r>
        <w:rPr>
          <w:rFonts w:hint="eastAsia" w:ascii="宋体" w:hAnsi="宋体" w:cs="宋体"/>
          <w:b/>
          <w:bCs/>
          <w:szCs w:val="21"/>
        </w:rPr>
        <w:t>中标通知书与中标信息公布</w:t>
      </w:r>
    </w:p>
    <w:p w14:paraId="43DA52F8">
      <w:pPr>
        <w:adjustRightInd w:val="0"/>
        <w:snapToGrid w:val="0"/>
        <w:spacing w:line="360" w:lineRule="auto"/>
        <w:ind w:firstLine="420" w:firstLineChars="200"/>
        <w:jc w:val="left"/>
        <w:rPr>
          <w:rFonts w:ascii="宋体" w:hAnsi="宋体" w:cs="宋体"/>
          <w:bCs/>
        </w:rPr>
      </w:pPr>
      <w:r>
        <w:rPr>
          <w:rFonts w:hint="eastAsia" w:ascii="宋体" w:hAnsi="宋体" w:cs="宋体"/>
          <w:szCs w:val="21"/>
        </w:rPr>
        <w:t>31.1采购代理机构应当在评标结束后2个工作日内将</w:t>
      </w:r>
      <w:r>
        <w:rPr>
          <w:rFonts w:hint="eastAsia" w:ascii="宋体" w:hAnsi="宋体" w:cs="宋体"/>
          <w:bCs/>
        </w:rPr>
        <w:t>资格审查报告和评标报告送采购人。</w:t>
      </w:r>
    </w:p>
    <w:p w14:paraId="11AFE8ED">
      <w:pPr>
        <w:adjustRightInd w:val="0"/>
        <w:snapToGrid w:val="0"/>
        <w:spacing w:line="360" w:lineRule="auto"/>
        <w:ind w:firstLine="420" w:firstLineChars="200"/>
        <w:jc w:val="left"/>
        <w:rPr>
          <w:rFonts w:ascii="宋体" w:hAnsi="宋体" w:cs="宋体"/>
          <w:bCs/>
        </w:rPr>
      </w:pPr>
      <w:r>
        <w:rPr>
          <w:rFonts w:hint="eastAsia" w:ascii="宋体" w:hAnsi="宋体" w:cs="宋体"/>
          <w:bCs/>
        </w:rPr>
        <w:t>31.2采购人应当自收到资格审查报告和评标报告之日起５个工作日内，在评标报告确定的中标候选人名单中按顺序确定中标人。中标候选人并列的，由采购人或者采购人委托评标委员会按照【</w:t>
      </w:r>
      <w:r>
        <w:rPr>
          <w:rFonts w:hint="eastAsia" w:ascii="宋体" w:hAnsi="宋体" w:cs="宋体"/>
          <w:b/>
          <w:bCs/>
        </w:rPr>
        <w:t>投标须知前附表</w:t>
      </w:r>
      <w:r>
        <w:rPr>
          <w:rFonts w:hint="eastAsia" w:ascii="宋体" w:hAnsi="宋体" w:cs="宋体"/>
          <w:bCs/>
        </w:rPr>
        <w:t>】规定的方式确定中标人；招标文件未规定的，采取随机抽取的方式确定。</w:t>
      </w:r>
    </w:p>
    <w:p w14:paraId="06A2A89A">
      <w:pPr>
        <w:adjustRightInd w:val="0"/>
        <w:snapToGrid w:val="0"/>
        <w:spacing w:line="360" w:lineRule="auto"/>
        <w:ind w:firstLine="420" w:firstLineChars="200"/>
        <w:jc w:val="left"/>
        <w:rPr>
          <w:rFonts w:ascii="宋体" w:hAnsi="宋体" w:cs="宋体"/>
          <w:bCs/>
        </w:rPr>
      </w:pPr>
      <w:r>
        <w:rPr>
          <w:rFonts w:hint="eastAsia" w:ascii="宋体" w:hAnsi="宋体" w:cs="宋体"/>
          <w:bCs/>
        </w:rPr>
        <w:t>31.3采购代理机构应当自采购人确定中标投标人之日起2个工作日内，发出中标通知书，并在招标文件指定的媒体公告中标结果，招标文件随中标结果同时公告，中标结果公告期限为１个工作日。</w:t>
      </w:r>
    </w:p>
    <w:p w14:paraId="3D515EE8">
      <w:pPr>
        <w:adjustRightInd w:val="0"/>
        <w:snapToGrid w:val="0"/>
        <w:spacing w:line="360" w:lineRule="auto"/>
        <w:ind w:firstLine="420" w:firstLineChars="200"/>
        <w:jc w:val="left"/>
        <w:rPr>
          <w:rFonts w:ascii="宋体" w:hAnsi="宋体" w:cs="宋体"/>
          <w:bCs/>
        </w:rPr>
      </w:pPr>
      <w:r>
        <w:rPr>
          <w:rFonts w:hint="eastAsia" w:ascii="宋体" w:hAnsi="宋体" w:cs="宋体"/>
          <w:bCs/>
        </w:rPr>
        <w:t>31.4采用综合评分法评审的，还应当告知未中标人本人的评审得分与排序。</w:t>
      </w:r>
    </w:p>
    <w:p w14:paraId="214E61B2">
      <w:pPr>
        <w:adjustRightInd w:val="0"/>
        <w:snapToGrid w:val="0"/>
        <w:spacing w:line="360" w:lineRule="auto"/>
        <w:jc w:val="left"/>
        <w:rPr>
          <w:rFonts w:ascii="宋体" w:hAnsi="宋体" w:cs="宋体"/>
          <w:b/>
          <w:bCs/>
          <w:szCs w:val="21"/>
        </w:rPr>
      </w:pPr>
      <w:r>
        <w:rPr>
          <w:rFonts w:hint="eastAsia" w:ascii="宋体" w:hAnsi="宋体" w:cs="宋体"/>
          <w:b/>
          <w:bCs/>
        </w:rPr>
        <w:t>32.</w:t>
      </w:r>
      <w:r>
        <w:rPr>
          <w:rFonts w:hint="eastAsia" w:ascii="宋体" w:hAnsi="宋体" w:cs="宋体"/>
          <w:b/>
          <w:szCs w:val="21"/>
        </w:rPr>
        <w:t xml:space="preserve"> 投标人询问及</w:t>
      </w:r>
      <w:r>
        <w:rPr>
          <w:rFonts w:hint="eastAsia" w:ascii="宋体" w:hAnsi="宋体" w:cs="宋体"/>
          <w:b/>
          <w:bCs/>
          <w:szCs w:val="21"/>
        </w:rPr>
        <w:t>质疑</w:t>
      </w:r>
    </w:p>
    <w:p w14:paraId="0CA31EB4">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32.1投标人对政府采购活动事项有疑问的，可以向采购人或采购代理机构提出询问。采购人或采购代理机构将在3个工作日内作出答复。</w:t>
      </w:r>
    </w:p>
    <w:p w14:paraId="541E0B8D">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32.2投标人认为招标文件、采购过程和中标结果使自己的权益受到损害的，可以在知道或者应知其权益受到损害之日起7个工作日内，以书面形式向采购人提出质疑。</w:t>
      </w:r>
    </w:p>
    <w:p w14:paraId="18243FB1">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32.3本章第32.2款所称投标人应知其权益受到损害之日，是指：</w:t>
      </w:r>
    </w:p>
    <w:p w14:paraId="6D602A17">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（1）对可以质疑的招标文件提出质疑的，为收到招标文件之日或者招标公告期限届满之日；</w:t>
      </w:r>
    </w:p>
    <w:p w14:paraId="61661281">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（2）对采购过程提出质疑的，为各采购程序环节结束之日；</w:t>
      </w:r>
    </w:p>
    <w:p w14:paraId="0878DFC2">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（3）对中标结果提出质疑的，为中标结果公告期限届满之日。</w:t>
      </w:r>
    </w:p>
    <w:p w14:paraId="1AE076A1">
      <w:pPr>
        <w:adjustRightInd w:val="0"/>
        <w:snapToGrid w:val="0"/>
        <w:spacing w:line="360" w:lineRule="auto"/>
        <w:ind w:firstLine="420" w:firstLineChars="200"/>
        <w:jc w:val="left"/>
        <w:rPr>
          <w:rFonts w:ascii="宋体" w:hAnsi="宋体" w:cs="宋体"/>
        </w:rPr>
      </w:pPr>
      <w:r>
        <w:rPr>
          <w:rFonts w:hint="eastAsia" w:ascii="宋体" w:hAnsi="宋体" w:cs="宋体"/>
        </w:rPr>
        <w:t>32.4投标人提出质疑的，应提供质疑书原件。采购人或采购代理机构应当向质疑投标人签收回执。</w:t>
      </w:r>
    </w:p>
    <w:p w14:paraId="16A53F76">
      <w:pPr>
        <w:adjustRightInd w:val="0"/>
        <w:snapToGrid w:val="0"/>
        <w:spacing w:line="360" w:lineRule="auto"/>
        <w:ind w:firstLine="420" w:firstLineChars="200"/>
        <w:jc w:val="left"/>
        <w:rPr>
          <w:rFonts w:ascii="宋体" w:hAnsi="宋体" w:cs="宋体"/>
        </w:rPr>
      </w:pPr>
      <w:r>
        <w:rPr>
          <w:rFonts w:hint="eastAsia" w:ascii="宋体" w:hAnsi="宋体" w:cs="宋体"/>
        </w:rPr>
        <w:t>32.5质疑书应当包括下列内容：</w:t>
      </w:r>
    </w:p>
    <w:p w14:paraId="15A2FF6F">
      <w:pPr>
        <w:adjustRightInd w:val="0"/>
        <w:snapToGrid w:val="0"/>
        <w:spacing w:line="360" w:lineRule="auto"/>
        <w:ind w:firstLine="420" w:firstLineChars="200"/>
        <w:jc w:val="left"/>
        <w:rPr>
          <w:rFonts w:ascii="宋体" w:hAnsi="宋体" w:cs="宋体"/>
        </w:rPr>
      </w:pPr>
      <w:r>
        <w:rPr>
          <w:rFonts w:hint="eastAsia" w:ascii="宋体" w:hAnsi="宋体" w:cs="宋体"/>
        </w:rPr>
        <w:t>（1）质疑投标人的名称、地址及有效联系方式；</w:t>
      </w:r>
    </w:p>
    <w:p w14:paraId="1BBF4C21">
      <w:pPr>
        <w:adjustRightInd w:val="0"/>
        <w:snapToGrid w:val="0"/>
        <w:spacing w:line="360" w:lineRule="auto"/>
        <w:ind w:firstLine="420" w:firstLineChars="200"/>
        <w:jc w:val="left"/>
        <w:rPr>
          <w:rFonts w:ascii="宋体" w:hAnsi="宋体" w:cs="宋体"/>
        </w:rPr>
      </w:pPr>
      <w:r>
        <w:rPr>
          <w:rFonts w:hint="eastAsia" w:ascii="宋体" w:hAnsi="宋体" w:cs="宋体"/>
        </w:rPr>
        <w:t>（2）质疑事项；</w:t>
      </w:r>
    </w:p>
    <w:p w14:paraId="7DF6B5C3">
      <w:pPr>
        <w:adjustRightInd w:val="0"/>
        <w:snapToGrid w:val="0"/>
        <w:spacing w:line="360" w:lineRule="auto"/>
        <w:ind w:firstLine="420" w:firstLineChars="200"/>
        <w:jc w:val="left"/>
        <w:rPr>
          <w:rFonts w:ascii="宋体" w:hAnsi="宋体" w:cs="宋体"/>
        </w:rPr>
      </w:pPr>
      <w:r>
        <w:rPr>
          <w:rFonts w:hint="eastAsia" w:ascii="宋体" w:hAnsi="宋体" w:cs="宋体"/>
        </w:rPr>
        <w:t>（3）事实依据及相关证明材料；</w:t>
      </w:r>
    </w:p>
    <w:p w14:paraId="3498DB15">
      <w:pPr>
        <w:adjustRightInd w:val="0"/>
        <w:snapToGrid w:val="0"/>
        <w:spacing w:line="360" w:lineRule="auto"/>
        <w:ind w:firstLine="420" w:firstLineChars="200"/>
        <w:jc w:val="left"/>
        <w:rPr>
          <w:rFonts w:ascii="宋体" w:hAnsi="宋体" w:cs="宋体"/>
        </w:rPr>
      </w:pPr>
      <w:r>
        <w:rPr>
          <w:rFonts w:hint="eastAsia" w:ascii="宋体" w:hAnsi="宋体" w:cs="宋体"/>
        </w:rPr>
        <w:t>（4）相关请求及主张。</w:t>
      </w:r>
    </w:p>
    <w:p w14:paraId="043BFA71">
      <w:pPr>
        <w:adjustRightInd w:val="0"/>
        <w:snapToGrid w:val="0"/>
        <w:spacing w:line="360" w:lineRule="auto"/>
        <w:ind w:firstLine="420" w:firstLineChars="200"/>
        <w:jc w:val="left"/>
        <w:rPr>
          <w:rFonts w:ascii="宋体" w:hAnsi="宋体" w:cs="宋体"/>
        </w:rPr>
      </w:pPr>
      <w:r>
        <w:rPr>
          <w:rFonts w:hint="eastAsia" w:ascii="宋体" w:hAnsi="宋体" w:cs="宋体"/>
          <w:szCs w:val="21"/>
        </w:rPr>
        <w:t>32.6</w:t>
      </w:r>
      <w:r>
        <w:rPr>
          <w:rFonts w:hint="eastAsia" w:ascii="宋体" w:hAnsi="宋体" w:cs="宋体"/>
        </w:rPr>
        <w:t>质疑书应当由投标人法定代表人（或负责人）或其授权的代理人签字并加盖投标人单位章。质疑书由授权代理人签字的应附投标人法定代表人（或负责人）委托授权书。</w:t>
      </w:r>
    </w:p>
    <w:p w14:paraId="496890BE">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32.7采购人或采购代理机构将在签收回执之日起7个工作日内作出书面答复，并以书面形式通知质疑投标人和其他有关的投标人。</w:t>
      </w:r>
    </w:p>
    <w:p w14:paraId="43C4327A">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32.8投标人对采购人或采购代理机构的答复不满意，或采购人或采购代理机构未在规定的期限作出答复的，可在答复期满后15个工作日内，按政府采购相关法律法规规章的规定及程序，向同级财政部门提出投诉。</w:t>
      </w:r>
    </w:p>
    <w:p w14:paraId="40A39879">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32.9投标人提出质疑的，应提供质疑函原件，并应以直接送达（专人送达）或邮寄送达。接收质疑函的联系部门、联系电话和通讯地址见【投标须知前附表】。采购人或采购代理机构不接受电子送达（传真、电子邮件、微信等）。采购人或采购代理机构应当向质疑供应商签收回执。</w:t>
      </w:r>
    </w:p>
    <w:p w14:paraId="4DFF19D7">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 xml:space="preserve">    32.10以联合体形式参加政府采购活动的，联合体组成后提出的质疑事项应当由组成联合体的所有供应商共同提出。</w:t>
      </w:r>
    </w:p>
    <w:p w14:paraId="51A44CDC">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 xml:space="preserve">    32.11质疑函按中国政府采购网（www.ccgp.gov.cn）“下载专区”的“政府采购供应质疑函范本”和“质疑函制作说明”制作。</w:t>
      </w:r>
    </w:p>
    <w:p w14:paraId="5B01F2AE">
      <w:pPr>
        <w:jc w:val="center"/>
        <w:outlineLvl w:val="0"/>
        <w:rPr>
          <w:rFonts w:ascii="宋体" w:hAnsi="宋体" w:cs="宋体"/>
          <w:b/>
          <w:bCs/>
          <w:sz w:val="28"/>
          <w:szCs w:val="36"/>
        </w:rPr>
      </w:pPr>
      <w:bookmarkStart w:id="77" w:name="_Toc22175"/>
      <w:bookmarkStart w:id="78" w:name="_Toc18050"/>
      <w:r>
        <w:rPr>
          <w:rFonts w:hint="eastAsia" w:ascii="宋体" w:hAnsi="宋体" w:cs="宋体"/>
          <w:b/>
          <w:bCs/>
          <w:sz w:val="28"/>
          <w:szCs w:val="36"/>
        </w:rPr>
        <w:t>七、合同签订</w:t>
      </w:r>
      <w:bookmarkEnd w:id="77"/>
      <w:bookmarkEnd w:id="78"/>
    </w:p>
    <w:p w14:paraId="19B86B05">
      <w:pPr>
        <w:adjustRightInd w:val="0"/>
        <w:snapToGrid w:val="0"/>
        <w:spacing w:line="360" w:lineRule="auto"/>
        <w:jc w:val="left"/>
        <w:rPr>
          <w:rFonts w:ascii="宋体" w:hAnsi="宋体" w:cs="宋体"/>
          <w:b/>
          <w:bCs/>
          <w:szCs w:val="21"/>
        </w:rPr>
      </w:pPr>
      <w:r>
        <w:rPr>
          <w:rFonts w:hint="eastAsia" w:ascii="宋体" w:hAnsi="宋体" w:cs="宋体"/>
          <w:b/>
          <w:bCs/>
        </w:rPr>
        <w:t>33.</w:t>
      </w:r>
      <w:r>
        <w:rPr>
          <w:rFonts w:hint="eastAsia" w:ascii="宋体" w:hAnsi="宋体" w:cs="宋体"/>
          <w:b/>
          <w:bCs/>
          <w:szCs w:val="21"/>
        </w:rPr>
        <w:t xml:space="preserve"> 签订合同</w:t>
      </w:r>
    </w:p>
    <w:p w14:paraId="5DC20B8F">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33.1 采购人应自中标通知书发出之日起30日内，按中标通知书指定的时间、地点与中标人签订政府采购合同。所签订的合同不得对招标文件确定的事项和中标人投标文件作实质性修改。</w:t>
      </w:r>
    </w:p>
    <w:p w14:paraId="279857C4">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33.2 招标文件、中标人的投标文件均为签订合同的依据。</w:t>
      </w:r>
    </w:p>
    <w:p w14:paraId="14A75682">
      <w:pPr>
        <w:adjustRightInd w:val="0"/>
        <w:snapToGrid w:val="0"/>
        <w:spacing w:line="360" w:lineRule="auto"/>
        <w:ind w:firstLine="420" w:firstLineChars="200"/>
        <w:jc w:val="left"/>
        <w:rPr>
          <w:rFonts w:ascii="宋体" w:hAnsi="宋体" w:cs="宋体"/>
        </w:rPr>
      </w:pPr>
      <w:r>
        <w:rPr>
          <w:rFonts w:hint="eastAsia" w:ascii="宋体" w:hAnsi="宋体" w:cs="宋体"/>
          <w:kern w:val="0"/>
          <w:szCs w:val="21"/>
        </w:rPr>
        <w:t xml:space="preserve">33.3 </w:t>
      </w:r>
      <w:r>
        <w:rPr>
          <w:rFonts w:hint="eastAsia" w:ascii="宋体" w:hAnsi="宋体" w:cs="宋体"/>
        </w:rPr>
        <w:t>联合体中标的，联合体各方应当共同与采购人签订合同，就中标项目向采购人承担连带责任。</w:t>
      </w:r>
    </w:p>
    <w:p w14:paraId="5FEFDF24">
      <w:pPr>
        <w:adjustRightInd w:val="0"/>
        <w:snapToGrid w:val="0"/>
        <w:spacing w:line="360" w:lineRule="auto"/>
        <w:ind w:firstLine="420" w:firstLineChars="200"/>
        <w:jc w:val="left"/>
        <w:rPr>
          <w:rFonts w:ascii="宋体" w:hAnsi="宋体" w:cs="宋体"/>
        </w:rPr>
      </w:pPr>
      <w:r>
        <w:rPr>
          <w:rFonts w:hint="eastAsia" w:ascii="宋体" w:hAnsi="宋体" w:cs="宋体"/>
        </w:rPr>
        <w:t>33.4中标合同将在招标文件指定的媒体上公告，但合同中涉及国家秘密、商业秘密的内容除外。</w:t>
      </w:r>
    </w:p>
    <w:p w14:paraId="73DBCA44">
      <w:pPr>
        <w:adjustRightInd w:val="0"/>
        <w:snapToGrid w:val="0"/>
        <w:spacing w:line="360" w:lineRule="auto"/>
        <w:ind w:firstLine="420" w:firstLineChars="200"/>
        <w:jc w:val="left"/>
        <w:rPr>
          <w:rFonts w:ascii="宋体" w:hAnsi="宋体" w:cs="宋体"/>
        </w:rPr>
      </w:pPr>
      <w:r>
        <w:rPr>
          <w:rFonts w:hint="eastAsia" w:ascii="宋体" w:hAnsi="宋体" w:cs="宋体"/>
        </w:rPr>
        <w:t>33.5 中标人应当按照合同约定依法履行合同义务。政府采购合同的履行、违约责任和解决争议的方法等适用《中华人民共和国合同法》。</w:t>
      </w:r>
    </w:p>
    <w:p w14:paraId="0EFBB183">
      <w:pPr>
        <w:adjustRightInd w:val="0"/>
        <w:snapToGrid w:val="0"/>
        <w:spacing w:line="360" w:lineRule="auto"/>
        <w:jc w:val="left"/>
        <w:rPr>
          <w:rFonts w:ascii="宋体" w:hAnsi="宋体" w:cs="宋体"/>
          <w:b/>
          <w:kern w:val="0"/>
          <w:szCs w:val="21"/>
        </w:rPr>
      </w:pPr>
      <w:r>
        <w:rPr>
          <w:rFonts w:hint="eastAsia" w:ascii="宋体" w:hAnsi="宋体" w:cs="宋体"/>
          <w:b/>
          <w:bCs/>
          <w:szCs w:val="21"/>
        </w:rPr>
        <w:t>34.</w:t>
      </w:r>
      <w:r>
        <w:rPr>
          <w:rFonts w:hint="eastAsia" w:ascii="宋体" w:hAnsi="宋体" w:cs="宋体"/>
          <w:b/>
          <w:kern w:val="0"/>
          <w:szCs w:val="21"/>
        </w:rPr>
        <w:t xml:space="preserve"> 履约担保</w:t>
      </w:r>
    </w:p>
    <w:p w14:paraId="47CC1287">
      <w:pPr>
        <w:adjustRightInd w:val="0"/>
        <w:snapToGrid w:val="0"/>
        <w:spacing w:line="360" w:lineRule="auto"/>
        <w:ind w:firstLine="420" w:firstLineChars="200"/>
        <w:jc w:val="left"/>
        <w:rPr>
          <w:rFonts w:ascii="宋体" w:hAnsi="宋体" w:cs="宋体"/>
          <w:szCs w:val="21"/>
        </w:rPr>
      </w:pPr>
      <w:r>
        <w:rPr>
          <w:rFonts w:hint="eastAsia" w:ascii="宋体" w:hAnsi="宋体" w:cs="宋体"/>
          <w:kern w:val="0"/>
          <w:szCs w:val="21"/>
        </w:rPr>
        <w:t>34.1</w:t>
      </w:r>
      <w:r>
        <w:rPr>
          <w:rFonts w:hint="eastAsia" w:ascii="宋体" w:hAnsi="宋体" w:cs="宋体"/>
          <w:szCs w:val="21"/>
        </w:rPr>
        <w:t>中标人在收到采购代理机构的《中标通知书》后10日内，需向采购人提交履约担保的，应按照</w:t>
      </w:r>
      <w:r>
        <w:rPr>
          <w:rFonts w:hint="eastAsia" w:ascii="宋体" w:hAnsi="宋体" w:cs="宋体"/>
          <w:b/>
          <w:szCs w:val="21"/>
        </w:rPr>
        <w:t>【投标须知前附表】</w:t>
      </w:r>
      <w:r>
        <w:rPr>
          <w:rFonts w:hint="eastAsia" w:ascii="宋体" w:hAnsi="宋体" w:cs="宋体"/>
          <w:szCs w:val="21"/>
        </w:rPr>
        <w:t>的规定提交。联合体中标的，履约担保由联合体各方或联合体中牵头人的名义提交。</w:t>
      </w:r>
    </w:p>
    <w:p w14:paraId="5F8230C1">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34.2 中标人</w:t>
      </w:r>
      <w:r>
        <w:rPr>
          <w:rFonts w:hint="eastAsia" w:ascii="宋体" w:hAnsi="宋体" w:cs="宋体"/>
          <w:spacing w:val="4"/>
          <w:szCs w:val="21"/>
        </w:rPr>
        <w:t>没有按照本章第34.1</w:t>
      </w:r>
      <w:r>
        <w:rPr>
          <w:rFonts w:hint="eastAsia" w:ascii="宋体" w:hAnsi="宋体" w:cs="宋体"/>
          <w:kern w:val="0"/>
          <w:szCs w:val="21"/>
          <w:lang w:val="zh-CN"/>
        </w:rPr>
        <w:t>款</w:t>
      </w:r>
      <w:r>
        <w:rPr>
          <w:rFonts w:hint="eastAsia" w:ascii="宋体" w:hAnsi="宋体" w:cs="宋体"/>
          <w:spacing w:val="4"/>
          <w:szCs w:val="21"/>
        </w:rPr>
        <w:t>规定</w:t>
      </w:r>
      <w:r>
        <w:rPr>
          <w:rFonts w:hint="eastAsia" w:ascii="宋体" w:hAnsi="宋体" w:cs="宋体"/>
          <w:szCs w:val="21"/>
        </w:rPr>
        <w:t>提交履约担保的</w:t>
      </w:r>
      <w:r>
        <w:rPr>
          <w:rFonts w:hint="eastAsia" w:ascii="宋体" w:hAnsi="宋体" w:cs="宋体"/>
          <w:spacing w:val="4"/>
          <w:szCs w:val="21"/>
        </w:rPr>
        <w:t>，视为放弃中标，</w:t>
      </w:r>
      <w:r>
        <w:rPr>
          <w:rFonts w:hint="eastAsia" w:ascii="宋体" w:hAnsi="宋体" w:cs="宋体"/>
          <w:spacing w:val="2"/>
          <w:szCs w:val="21"/>
        </w:rPr>
        <w:t>其投标保证金不予退还。</w:t>
      </w:r>
    </w:p>
    <w:p w14:paraId="7A36C744">
      <w:pPr>
        <w:adjustRightInd w:val="0"/>
        <w:snapToGrid w:val="0"/>
        <w:spacing w:line="360" w:lineRule="auto"/>
        <w:jc w:val="left"/>
        <w:rPr>
          <w:rFonts w:ascii="宋体" w:hAnsi="宋体" w:cs="宋体"/>
          <w:b/>
          <w:bCs/>
          <w:szCs w:val="21"/>
        </w:rPr>
      </w:pPr>
      <w:r>
        <w:rPr>
          <w:rFonts w:hint="eastAsia" w:ascii="宋体" w:hAnsi="宋体" w:cs="宋体"/>
          <w:b/>
          <w:bCs/>
          <w:szCs w:val="21"/>
        </w:rPr>
        <w:t>35.</w:t>
      </w:r>
      <w:r>
        <w:rPr>
          <w:rFonts w:hint="eastAsia" w:ascii="宋体" w:hAnsi="宋体" w:cs="宋体"/>
          <w:b/>
          <w:szCs w:val="21"/>
        </w:rPr>
        <w:t xml:space="preserve"> 政府采购合同履行中</w:t>
      </w:r>
      <w:r>
        <w:rPr>
          <w:rFonts w:hint="eastAsia" w:ascii="宋体" w:hAnsi="宋体" w:cs="宋体"/>
          <w:b/>
          <w:bCs/>
          <w:szCs w:val="21"/>
        </w:rPr>
        <w:t>数量的变更</w:t>
      </w:r>
    </w:p>
    <w:p w14:paraId="26334C6E">
      <w:pPr>
        <w:adjustRightInd w:val="0"/>
        <w:snapToGrid w:val="0"/>
        <w:spacing w:line="360" w:lineRule="auto"/>
        <w:ind w:firstLine="420" w:firstLineChars="200"/>
        <w:jc w:val="left"/>
        <w:rPr>
          <w:rFonts w:ascii="宋体" w:hAnsi="宋体" w:cs="宋体"/>
          <w:sz w:val="28"/>
          <w:szCs w:val="28"/>
        </w:rPr>
      </w:pPr>
      <w:r>
        <w:rPr>
          <w:rFonts w:hint="eastAsia" w:ascii="宋体" w:hAnsi="宋体" w:cs="宋体"/>
        </w:rPr>
        <w:t>35.1政府采购合同履行中，采购人需追加与合同标的相同的货物服务的，在不改变合同其他条款的前提下，可以与中标人协商签订补充合同，但所有补充合同的采购金额不得超过原合同采购金额的百分之十。</w:t>
      </w:r>
    </w:p>
    <w:p w14:paraId="05B57112">
      <w:pPr>
        <w:adjustRightInd w:val="0"/>
        <w:snapToGrid w:val="0"/>
        <w:spacing w:line="360" w:lineRule="auto"/>
        <w:jc w:val="center"/>
        <w:outlineLvl w:val="0"/>
        <w:rPr>
          <w:rFonts w:ascii="宋体" w:hAnsi="宋体" w:cs="宋体"/>
          <w:b/>
          <w:sz w:val="28"/>
          <w:szCs w:val="28"/>
        </w:rPr>
      </w:pPr>
      <w:bookmarkStart w:id="79" w:name="_Toc483"/>
      <w:bookmarkStart w:id="80" w:name="_Toc23217"/>
      <w:r>
        <w:rPr>
          <w:rFonts w:hint="eastAsia" w:ascii="宋体" w:hAnsi="宋体" w:cs="宋体"/>
          <w:b/>
          <w:sz w:val="28"/>
          <w:szCs w:val="28"/>
        </w:rPr>
        <w:t>八、其他规定</w:t>
      </w:r>
      <w:bookmarkEnd w:id="79"/>
      <w:bookmarkEnd w:id="80"/>
    </w:p>
    <w:p w14:paraId="0E4CD9C5">
      <w:pPr>
        <w:adjustRightInd w:val="0"/>
        <w:snapToGrid w:val="0"/>
        <w:spacing w:line="360" w:lineRule="auto"/>
        <w:jc w:val="left"/>
        <w:rPr>
          <w:rFonts w:ascii="宋体" w:hAnsi="宋体" w:cs="宋体"/>
          <w:b/>
          <w:szCs w:val="21"/>
        </w:rPr>
      </w:pPr>
      <w:r>
        <w:rPr>
          <w:rFonts w:hint="eastAsia" w:ascii="宋体" w:hAnsi="宋体" w:cs="宋体"/>
          <w:b/>
          <w:bCs/>
          <w:szCs w:val="21"/>
        </w:rPr>
        <w:t>36.</w:t>
      </w:r>
      <w:r>
        <w:rPr>
          <w:rFonts w:hint="eastAsia" w:ascii="宋体" w:hAnsi="宋体" w:cs="宋体"/>
        </w:rPr>
        <w:t xml:space="preserve"> </w:t>
      </w:r>
      <w:r>
        <w:rPr>
          <w:rFonts w:hint="eastAsia" w:ascii="宋体" w:hAnsi="宋体" w:cs="宋体"/>
          <w:b/>
          <w:szCs w:val="21"/>
        </w:rPr>
        <w:t>政府采购政策</w:t>
      </w:r>
    </w:p>
    <w:p w14:paraId="350E8EE8">
      <w:pPr>
        <w:adjustRightInd w:val="0"/>
        <w:snapToGrid w:val="0"/>
        <w:spacing w:line="360" w:lineRule="auto"/>
        <w:ind w:firstLine="420" w:firstLineChars="200"/>
        <w:jc w:val="left"/>
        <w:rPr>
          <w:rFonts w:ascii="宋体" w:hAnsi="宋体" w:cs="宋体"/>
        </w:rPr>
      </w:pPr>
      <w:r>
        <w:rPr>
          <w:rFonts w:hint="eastAsia" w:ascii="宋体" w:hAnsi="宋体" w:cs="宋体"/>
        </w:rPr>
        <w:t>36.1强制采购：对列入财政部、国家发展改革委发布</w:t>
      </w:r>
      <w:r>
        <w:rPr>
          <w:rFonts w:hint="eastAsia" w:ascii="宋体" w:hAnsi="宋体" w:cs="宋体"/>
          <w:szCs w:val="21"/>
        </w:rPr>
        <w:t>《节能产品政府采购品目清单》</w:t>
      </w:r>
      <w:r>
        <w:rPr>
          <w:rFonts w:hint="eastAsia" w:ascii="宋体" w:hAnsi="宋体" w:cs="宋体"/>
        </w:rPr>
        <w:t>且属于应当强制采购的节能产品，按其规定实行强制采购。</w:t>
      </w:r>
    </w:p>
    <w:p w14:paraId="00D277D2">
      <w:pPr>
        <w:adjustRightInd w:val="0"/>
        <w:snapToGrid w:val="0"/>
        <w:spacing w:line="360" w:lineRule="auto"/>
        <w:ind w:firstLine="420" w:firstLineChars="200"/>
        <w:jc w:val="left"/>
        <w:rPr>
          <w:rFonts w:ascii="宋体" w:hAnsi="宋体" w:cs="宋体"/>
        </w:rPr>
      </w:pPr>
      <w:r>
        <w:rPr>
          <w:rFonts w:hint="eastAsia" w:ascii="宋体" w:hAnsi="宋体" w:cs="宋体"/>
        </w:rPr>
        <w:t>36.2优先采购：对列入财政部、国家发展改革委发布的</w:t>
      </w:r>
      <w:r>
        <w:rPr>
          <w:rFonts w:hint="eastAsia" w:ascii="宋体" w:hAnsi="宋体" w:cs="宋体"/>
          <w:szCs w:val="21"/>
        </w:rPr>
        <w:t>《节能产品政府采购品目清单》</w:t>
      </w:r>
      <w:r>
        <w:rPr>
          <w:rFonts w:hint="eastAsia" w:ascii="宋体" w:hAnsi="宋体" w:cs="宋体"/>
        </w:rPr>
        <w:t>》的非强制采购节能产品，财政部、环境保护部发布的</w:t>
      </w:r>
      <w:r>
        <w:rPr>
          <w:rFonts w:hint="eastAsia" w:ascii="宋体" w:hAnsi="宋体" w:cs="宋体"/>
          <w:szCs w:val="21"/>
        </w:rPr>
        <w:t>《环境标志产品政府采购品目清单》</w:t>
      </w:r>
      <w:r>
        <w:rPr>
          <w:rFonts w:hint="eastAsia" w:ascii="宋体" w:hAnsi="宋体" w:cs="宋体"/>
        </w:rPr>
        <w:t>的环境标志产品，实行优先采购，评审时按相应评标方法给予价格折扣或者加分。</w:t>
      </w:r>
    </w:p>
    <w:p w14:paraId="3FDBF5F9">
      <w:pPr>
        <w:adjustRightInd w:val="0"/>
        <w:snapToGrid w:val="0"/>
        <w:spacing w:line="360" w:lineRule="auto"/>
        <w:ind w:firstLine="420" w:firstLineChars="200"/>
        <w:jc w:val="left"/>
        <w:rPr>
          <w:rFonts w:ascii="宋体" w:hAnsi="宋体" w:cs="宋体"/>
        </w:rPr>
      </w:pPr>
      <w:r>
        <w:rPr>
          <w:rFonts w:hint="eastAsia" w:ascii="宋体" w:hAnsi="宋体" w:cs="宋体"/>
        </w:rPr>
        <w:t>36.3价格评审优惠：支持中小企业，对小型和微型企业产品给予价格折扣，用扣除后的价格参与评审。监狱企业、残疾人福利性单位视同小型、微型企业。</w:t>
      </w:r>
    </w:p>
    <w:p w14:paraId="5CE8E180">
      <w:pPr>
        <w:adjustRightInd w:val="0"/>
        <w:snapToGrid w:val="0"/>
        <w:spacing w:line="360" w:lineRule="auto"/>
        <w:ind w:firstLine="420" w:firstLineChars="200"/>
        <w:jc w:val="left"/>
        <w:rPr>
          <w:rFonts w:ascii="宋体" w:hAnsi="宋体" w:cs="宋体"/>
        </w:rPr>
      </w:pPr>
      <w:r>
        <w:rPr>
          <w:rFonts w:hint="eastAsia" w:ascii="宋体" w:hAnsi="宋体" w:cs="宋体"/>
        </w:rPr>
        <w:t>36.4优先采购产品同时属于“非强制采购节能产品”、“环境标志产品”的，评审时只有其中一项能享受优先待遇（投标人自行选择，并在投标文件中并填报相关信息及数据）；中小企业可以与同时属于“非强制采购节能产品”、“环境标志产品”中的一项重复计算；监狱企业、残疾人福利性单位属于小型、微型企业的，不重复享受政策。</w:t>
      </w:r>
    </w:p>
    <w:p w14:paraId="64B5FF79">
      <w:pPr>
        <w:adjustRightInd w:val="0"/>
        <w:snapToGrid w:val="0"/>
        <w:spacing w:line="360" w:lineRule="auto"/>
        <w:ind w:firstLine="420" w:firstLineChars="200"/>
        <w:jc w:val="left"/>
        <w:rPr>
          <w:rFonts w:ascii="宋体" w:hAnsi="宋体" w:cs="宋体"/>
        </w:rPr>
      </w:pPr>
      <w:r>
        <w:rPr>
          <w:rFonts w:hint="eastAsia" w:ascii="宋体" w:hAnsi="宋体" w:cs="宋体"/>
        </w:rPr>
        <w:t>36.5同一项目中部分产品属于优先采购政策的，评审时只对该部分产品的报价实行价格扣除及加分。</w:t>
      </w:r>
    </w:p>
    <w:p w14:paraId="4F9D230E">
      <w:pPr>
        <w:adjustRightInd w:val="0"/>
        <w:snapToGrid w:val="0"/>
        <w:spacing w:line="360" w:lineRule="auto"/>
        <w:ind w:firstLine="420" w:firstLineChars="200"/>
        <w:jc w:val="left"/>
        <w:rPr>
          <w:rFonts w:ascii="宋体" w:hAnsi="宋体" w:cs="宋体"/>
        </w:rPr>
      </w:pPr>
      <w:r>
        <w:rPr>
          <w:rFonts w:hint="eastAsia" w:ascii="宋体" w:hAnsi="宋体" w:cs="宋体"/>
        </w:rPr>
        <w:t>36.6符合本章第36.1款、第36.2款、第36.3款规定的，应提供相关证明资料。</w:t>
      </w:r>
    </w:p>
    <w:p w14:paraId="037D7049">
      <w:pPr>
        <w:adjustRightInd w:val="0"/>
        <w:snapToGrid w:val="0"/>
        <w:spacing w:line="360" w:lineRule="auto"/>
        <w:ind w:firstLine="420" w:firstLineChars="200"/>
        <w:jc w:val="left"/>
        <w:rPr>
          <w:rFonts w:ascii="宋体" w:hAnsi="宋体" w:cs="宋体"/>
        </w:rPr>
      </w:pPr>
      <w:r>
        <w:rPr>
          <w:rFonts w:hint="eastAsia" w:ascii="宋体" w:hAnsi="宋体" w:cs="宋体"/>
        </w:rPr>
        <w:t>（1）非强制采购节能产品：提供</w:t>
      </w:r>
      <w:r>
        <w:rPr>
          <w:rFonts w:hint="eastAsia" w:ascii="宋体" w:hAnsi="宋体" w:cs="宋体"/>
          <w:szCs w:val="21"/>
        </w:rPr>
        <w:t>《节能产品政府采购品目清单》</w:t>
      </w:r>
      <w:r>
        <w:rPr>
          <w:rFonts w:hint="eastAsia" w:ascii="宋体" w:hAnsi="宋体" w:cs="宋体"/>
        </w:rPr>
        <w:t>所在页（截图）或证书（复印件）。</w:t>
      </w:r>
    </w:p>
    <w:p w14:paraId="00E334BD">
      <w:pPr>
        <w:adjustRightInd w:val="0"/>
        <w:snapToGrid w:val="0"/>
        <w:spacing w:line="360" w:lineRule="auto"/>
        <w:ind w:firstLine="420" w:firstLineChars="200"/>
        <w:jc w:val="left"/>
        <w:rPr>
          <w:rFonts w:ascii="宋体" w:hAnsi="宋体" w:cs="宋体"/>
        </w:rPr>
      </w:pPr>
      <w:r>
        <w:rPr>
          <w:rFonts w:hint="eastAsia" w:ascii="宋体" w:hAnsi="宋体" w:cs="宋体"/>
        </w:rPr>
        <w:t>（2）环境标志产品：提供</w:t>
      </w:r>
      <w:r>
        <w:rPr>
          <w:rFonts w:hint="eastAsia" w:ascii="宋体" w:hAnsi="宋体" w:cs="宋体"/>
          <w:szCs w:val="21"/>
        </w:rPr>
        <w:t>《环境标志产品政府采购品目清单》</w:t>
      </w:r>
      <w:r>
        <w:rPr>
          <w:rFonts w:hint="eastAsia" w:ascii="宋体" w:hAnsi="宋体" w:cs="宋体"/>
        </w:rPr>
        <w:t>所在页（截图）或证书（复印件）。</w:t>
      </w:r>
    </w:p>
    <w:p w14:paraId="64A62FD6">
      <w:pPr>
        <w:adjustRightInd w:val="0"/>
        <w:snapToGrid w:val="0"/>
        <w:spacing w:line="360" w:lineRule="auto"/>
        <w:ind w:firstLine="420" w:firstLineChars="200"/>
        <w:jc w:val="left"/>
        <w:rPr>
          <w:rFonts w:ascii="宋体" w:hAnsi="宋体" w:cs="宋体"/>
        </w:rPr>
      </w:pPr>
      <w:r>
        <w:rPr>
          <w:rFonts w:hint="eastAsia" w:ascii="宋体" w:hAnsi="宋体" w:cs="宋体"/>
        </w:rPr>
        <w:t>（3）。</w:t>
      </w:r>
    </w:p>
    <w:p w14:paraId="3AB98174">
      <w:pPr>
        <w:adjustRightInd w:val="0"/>
        <w:snapToGrid w:val="0"/>
        <w:spacing w:line="360" w:lineRule="auto"/>
        <w:ind w:firstLine="420" w:firstLineChars="200"/>
        <w:jc w:val="left"/>
        <w:rPr>
          <w:rFonts w:ascii="宋体" w:hAnsi="宋体" w:cs="宋体"/>
        </w:rPr>
      </w:pPr>
      <w:r>
        <w:rPr>
          <w:rFonts w:hint="eastAsia" w:ascii="宋体" w:hAnsi="宋体" w:cs="宋体"/>
        </w:rPr>
        <w:t>（4）中小企业：按《关于印发＜政府采购促进中小企业发展管理办法＞的通知》(财库[2020]46号)规定提供《中小企业声明》（格式）。制造商符合小型、微型企业规定的，须与投标人同时出具《中小企业声明》。</w:t>
      </w:r>
    </w:p>
    <w:p w14:paraId="1BFD1980">
      <w:pPr>
        <w:adjustRightInd w:val="0"/>
        <w:snapToGrid w:val="0"/>
        <w:spacing w:line="360" w:lineRule="auto"/>
        <w:ind w:firstLine="420" w:firstLineChars="200"/>
        <w:jc w:val="left"/>
        <w:rPr>
          <w:rFonts w:ascii="宋体" w:hAnsi="宋体" w:cs="宋体"/>
        </w:rPr>
      </w:pPr>
      <w:r>
        <w:rPr>
          <w:rFonts w:hint="eastAsia" w:ascii="宋体" w:hAnsi="宋体" w:cs="宋体"/>
        </w:rPr>
        <w:t>（5）监狱企业：按《财政部 司法部关于政府采购支持监狱企业发展有关问题的通知》(财库〔2014〕68号)文件规定提供证明文件（复印件）。</w:t>
      </w:r>
    </w:p>
    <w:p w14:paraId="489B6F4E">
      <w:pPr>
        <w:adjustRightInd w:val="0"/>
        <w:snapToGrid w:val="0"/>
        <w:spacing w:line="360" w:lineRule="auto"/>
        <w:ind w:firstLine="420" w:firstLineChars="200"/>
        <w:jc w:val="left"/>
        <w:rPr>
          <w:rFonts w:ascii="宋体" w:hAnsi="宋体" w:cs="宋体"/>
        </w:rPr>
      </w:pPr>
      <w:r>
        <w:rPr>
          <w:rFonts w:hint="eastAsia" w:ascii="宋体" w:hAnsi="宋体" w:cs="宋体"/>
        </w:rPr>
        <w:t>（6）残疾人福利性单位：按《三部门联合发布关于促进残疾人就业政府采购政策的通知》(财库〔2017〕141号)文件规定提供《残疾人福利性单位声明函》（格式）。</w:t>
      </w:r>
    </w:p>
    <w:p w14:paraId="4C6DFDBD">
      <w:pPr>
        <w:adjustRightInd w:val="0"/>
        <w:snapToGrid w:val="0"/>
        <w:spacing w:line="360" w:lineRule="auto"/>
        <w:ind w:firstLine="420" w:firstLineChars="200"/>
        <w:jc w:val="left"/>
        <w:rPr>
          <w:rFonts w:ascii="宋体" w:hAnsi="宋体" w:cs="宋体"/>
        </w:rPr>
      </w:pPr>
      <w:r>
        <w:rPr>
          <w:rFonts w:hint="eastAsia" w:ascii="宋体" w:hAnsi="宋体" w:cs="宋体"/>
        </w:rPr>
        <w:t>36.7投标人有融资、担保需求的，</w:t>
      </w:r>
      <w:r>
        <w:rPr>
          <w:rFonts w:hint="eastAsia" w:ascii="宋体" w:hAnsi="宋体" w:cs="宋体"/>
          <w:szCs w:val="21"/>
        </w:rPr>
        <w:t>具体办理流程可向</w:t>
      </w:r>
      <w:r>
        <w:rPr>
          <w:rFonts w:hint="eastAsia" w:ascii="宋体" w:hAnsi="宋体" w:cs="宋体"/>
          <w:b/>
          <w:szCs w:val="21"/>
        </w:rPr>
        <w:t>【投标须知前附表】</w:t>
      </w:r>
      <w:r>
        <w:rPr>
          <w:rFonts w:hint="eastAsia" w:ascii="宋体" w:hAnsi="宋体" w:cs="宋体"/>
          <w:szCs w:val="21"/>
        </w:rPr>
        <w:t>附页2-3所列金融机构和担保机构询问。</w:t>
      </w:r>
    </w:p>
    <w:p w14:paraId="1673FDB6">
      <w:pPr>
        <w:adjustRightInd w:val="0"/>
        <w:snapToGrid w:val="0"/>
        <w:spacing w:line="360" w:lineRule="auto"/>
        <w:jc w:val="left"/>
        <w:rPr>
          <w:rFonts w:ascii="宋体" w:hAnsi="宋体" w:cs="宋体"/>
          <w:b/>
          <w:szCs w:val="21"/>
        </w:rPr>
      </w:pPr>
      <w:r>
        <w:rPr>
          <w:rFonts w:hint="eastAsia" w:ascii="宋体" w:hAnsi="宋体" w:cs="宋体"/>
          <w:b/>
          <w:bCs/>
          <w:szCs w:val="21"/>
        </w:rPr>
        <w:t>37.</w:t>
      </w:r>
      <w:r>
        <w:rPr>
          <w:rFonts w:hint="eastAsia" w:ascii="宋体" w:hAnsi="宋体" w:cs="宋体"/>
          <w:szCs w:val="21"/>
        </w:rPr>
        <w:t xml:space="preserve"> </w:t>
      </w:r>
      <w:r>
        <w:rPr>
          <w:rFonts w:hint="eastAsia" w:ascii="宋体" w:hAnsi="宋体" w:cs="宋体"/>
          <w:b/>
          <w:szCs w:val="21"/>
        </w:rPr>
        <w:t>招标不足三家处理</w:t>
      </w:r>
    </w:p>
    <w:p w14:paraId="009DFC60">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37.1公开招标数额标准以上的采购项目，投标截止后投标人不足3家或者通过资格审查或符合性审查的投标人不足3家的，除采购任务取消情形外，按照以下方式处理：</w:t>
      </w:r>
    </w:p>
    <w:p w14:paraId="4B6BF640">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（1）招标文件存在不合理条款或者招标程序不符合规定的，采购人、采购代理机构改正后依法重新招标；</w:t>
      </w:r>
    </w:p>
    <w:p w14:paraId="0ED086D4">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（2）招标文件没有不合理条款、招标程序符合规定，需要采用其他采购方式采购的，采购人应当依法报财政部门批准。</w:t>
      </w:r>
    </w:p>
    <w:p w14:paraId="4863E79E">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37.2属上款第（2）项情形的，评标委员会应出具的招标文件没有不合理条款的论证意见。</w:t>
      </w:r>
    </w:p>
    <w:p w14:paraId="0C4C2EC1">
      <w:pPr>
        <w:adjustRightInd w:val="0"/>
        <w:snapToGrid w:val="0"/>
        <w:spacing w:line="360" w:lineRule="auto"/>
        <w:jc w:val="left"/>
        <w:rPr>
          <w:rFonts w:ascii="宋体" w:hAnsi="宋体" w:cs="宋体"/>
          <w:b/>
          <w:szCs w:val="21"/>
        </w:rPr>
      </w:pPr>
      <w:r>
        <w:rPr>
          <w:rFonts w:hint="eastAsia" w:ascii="宋体" w:hAnsi="宋体" w:cs="宋体"/>
          <w:b/>
          <w:bCs/>
          <w:szCs w:val="21"/>
        </w:rPr>
        <w:t>38.</w:t>
      </w:r>
      <w:r>
        <w:rPr>
          <w:rFonts w:hint="eastAsia" w:ascii="宋体" w:hAnsi="宋体" w:cs="宋体"/>
          <w:b/>
          <w:szCs w:val="21"/>
        </w:rPr>
        <w:t xml:space="preserve"> 招标代理委托内容及服务费</w:t>
      </w:r>
    </w:p>
    <w:p w14:paraId="7FE787AA">
      <w:pPr>
        <w:adjustRightInd w:val="0"/>
        <w:snapToGrid w:val="0"/>
        <w:spacing w:line="360" w:lineRule="auto"/>
        <w:ind w:firstLine="420" w:firstLineChars="200"/>
        <w:jc w:val="left"/>
        <w:rPr>
          <w:rFonts w:ascii="宋体" w:hAnsi="宋体" w:cs="宋体"/>
          <w:b/>
          <w:szCs w:val="21"/>
        </w:rPr>
      </w:pPr>
      <w:r>
        <w:rPr>
          <w:rFonts w:hint="eastAsia" w:ascii="宋体" w:hAnsi="宋体" w:cs="宋体"/>
          <w:szCs w:val="21"/>
        </w:rPr>
        <w:t>38.1招标代理委托内容</w:t>
      </w:r>
      <w:r>
        <w:rPr>
          <w:rFonts w:hint="eastAsia" w:ascii="宋体" w:hAnsi="宋体" w:cs="宋体"/>
          <w:b/>
          <w:szCs w:val="21"/>
        </w:rPr>
        <w:t>：</w:t>
      </w:r>
    </w:p>
    <w:p w14:paraId="311456B8">
      <w:pPr>
        <w:adjustRightInd w:val="0"/>
        <w:snapToGrid w:val="0"/>
        <w:spacing w:line="360" w:lineRule="auto"/>
        <w:ind w:firstLine="420" w:firstLineChars="200"/>
        <w:jc w:val="left"/>
        <w:rPr>
          <w:rFonts w:ascii="宋体" w:hAnsi="宋体" w:cs="宋体"/>
          <w:szCs w:val="21"/>
        </w:rPr>
      </w:pPr>
      <w:r>
        <w:rPr>
          <w:rFonts w:hint="eastAsia" w:ascii="宋体" w:hAnsi="宋体" w:cs="宋体"/>
          <w:u w:val="single"/>
        </w:rPr>
        <w:t xml:space="preserve"> （1）起草、编制采购文件。（2）组织专家对采购文件进行论证。（3）组织采购答疑会。（4）制作、发布采购信息公告。（5）依法组建评审委员会。（6）组织评审活动，记录、整理评审委员会的评审意见，协助评审委员会编写评审报告。（7）制作、发布中标（成交）信息公告。（8）发送供应商中标（成交）通知书。（9）答复供应商的询问和质疑，配合财政部门的投诉处理。（10）整理移交采购活动的采购文件档案。（11）法律法规规定的其他事项。                                                                                        </w:t>
      </w:r>
    </w:p>
    <w:p w14:paraId="152D6BF3">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38.2本项目招标代理服务费由采购人向代理机构支付。费用明细见</w:t>
      </w:r>
      <w:r>
        <w:rPr>
          <w:rFonts w:hint="eastAsia" w:ascii="宋体" w:hAnsi="宋体" w:cs="宋体"/>
          <w:b/>
          <w:szCs w:val="21"/>
        </w:rPr>
        <w:t>【投标须知前附表】。</w:t>
      </w:r>
    </w:p>
    <w:p w14:paraId="41E9DC96">
      <w:pPr>
        <w:adjustRightInd w:val="0"/>
        <w:snapToGrid w:val="0"/>
        <w:spacing w:line="360" w:lineRule="auto"/>
        <w:jc w:val="left"/>
        <w:rPr>
          <w:rFonts w:ascii="宋体" w:hAnsi="宋体" w:cs="宋体"/>
          <w:b/>
          <w:szCs w:val="21"/>
        </w:rPr>
      </w:pPr>
      <w:r>
        <w:rPr>
          <w:rFonts w:hint="eastAsia" w:ascii="宋体" w:hAnsi="宋体" w:cs="宋体"/>
          <w:b/>
          <w:kern w:val="0"/>
          <w:szCs w:val="21"/>
        </w:rPr>
        <w:t>39.</w:t>
      </w:r>
      <w:r>
        <w:rPr>
          <w:rFonts w:hint="eastAsia" w:ascii="宋体" w:hAnsi="宋体" w:cs="宋体"/>
          <w:b/>
          <w:szCs w:val="21"/>
        </w:rPr>
        <w:t xml:space="preserve"> 需要补充的其他内容</w:t>
      </w:r>
    </w:p>
    <w:p w14:paraId="6C2157E0">
      <w:pPr>
        <w:adjustRightInd w:val="0"/>
        <w:snapToGrid w:val="0"/>
        <w:spacing w:line="360" w:lineRule="auto"/>
        <w:ind w:firstLine="420" w:firstLineChars="200"/>
        <w:jc w:val="left"/>
        <w:rPr>
          <w:rFonts w:ascii="宋体" w:hAnsi="宋体" w:cs="宋体"/>
        </w:rPr>
      </w:pPr>
      <w:r>
        <w:rPr>
          <w:rFonts w:hint="eastAsia" w:ascii="宋体" w:hAnsi="宋体" w:cs="宋体"/>
        </w:rPr>
        <w:t>39.1招标文件需要补充的其他内容见</w:t>
      </w:r>
      <w:r>
        <w:rPr>
          <w:rFonts w:hint="eastAsia" w:ascii="宋体" w:hAnsi="宋体" w:cs="宋体"/>
          <w:b/>
        </w:rPr>
        <w:t>【投标须知前附表】</w:t>
      </w:r>
      <w:r>
        <w:rPr>
          <w:rFonts w:hint="eastAsia" w:ascii="宋体" w:hAnsi="宋体" w:cs="宋体"/>
        </w:rPr>
        <w:t>。</w:t>
      </w:r>
    </w:p>
    <w:p w14:paraId="7E9C0DCC">
      <w:pPr>
        <w:pStyle w:val="25"/>
        <w:adjustRightInd w:val="0"/>
        <w:snapToGrid w:val="0"/>
        <w:spacing w:beforeLines="50" w:line="360" w:lineRule="auto"/>
        <w:jc w:val="center"/>
        <w:outlineLvl w:val="0"/>
        <w:rPr>
          <w:rFonts w:hAnsi="宋体" w:cs="宋体"/>
          <w:b/>
          <w:sz w:val="32"/>
          <w:szCs w:val="32"/>
        </w:rPr>
      </w:pPr>
      <w:r>
        <w:rPr>
          <w:rFonts w:hint="eastAsia" w:hAnsi="宋体" w:cs="宋体"/>
        </w:rPr>
        <w:br w:type="page"/>
      </w:r>
      <w:bookmarkStart w:id="81" w:name="_Toc3626"/>
      <w:bookmarkStart w:id="82" w:name="_Toc2068"/>
      <w:bookmarkStart w:id="83" w:name="_Toc29912"/>
      <w:r>
        <w:rPr>
          <w:rFonts w:hint="eastAsia" w:hAnsi="宋体" w:cs="宋体"/>
          <w:b/>
          <w:sz w:val="32"/>
          <w:szCs w:val="32"/>
        </w:rPr>
        <w:t>第三章 评标方法及标准（综合评分法）</w:t>
      </w:r>
      <w:bookmarkEnd w:id="81"/>
      <w:bookmarkEnd w:id="82"/>
      <w:bookmarkEnd w:id="83"/>
    </w:p>
    <w:p w14:paraId="365D0F43">
      <w:pPr>
        <w:jc w:val="center"/>
        <w:outlineLvl w:val="0"/>
        <w:rPr>
          <w:rFonts w:ascii="宋体" w:hAnsi="宋体" w:cs="宋体"/>
          <w:b/>
          <w:bCs/>
          <w:sz w:val="28"/>
          <w:szCs w:val="36"/>
        </w:rPr>
      </w:pPr>
      <w:bookmarkStart w:id="84" w:name="_Toc26655"/>
      <w:r>
        <w:rPr>
          <w:rFonts w:hint="eastAsia" w:ascii="宋体" w:hAnsi="宋体" w:cs="宋体"/>
          <w:b/>
          <w:bCs/>
          <w:sz w:val="28"/>
          <w:szCs w:val="36"/>
        </w:rPr>
        <w:t>评标方法及标准前附表</w:t>
      </w:r>
      <w:bookmarkEnd w:id="84"/>
    </w:p>
    <w:p w14:paraId="2E5F398D">
      <w:pPr>
        <w:adjustRightInd w:val="0"/>
        <w:snapToGrid w:val="0"/>
        <w:spacing w:line="360" w:lineRule="auto"/>
        <w:ind w:right="420"/>
        <w:rPr>
          <w:rFonts w:ascii="宋体" w:hAnsi="宋体" w:cs="宋体"/>
          <w:bCs/>
          <w:szCs w:val="21"/>
        </w:rPr>
      </w:pPr>
      <w:r>
        <w:rPr>
          <w:rFonts w:hint="eastAsia" w:ascii="宋体" w:hAnsi="宋体" w:cs="宋体"/>
          <w:bCs/>
          <w:szCs w:val="21"/>
        </w:rPr>
        <w:t>本项目启用的条款请在“编列内容规定”栏内以“■”标注。</w:t>
      </w:r>
    </w:p>
    <w:tbl>
      <w:tblPr>
        <w:tblStyle w:val="40"/>
        <w:tblpPr w:leftFromText="180" w:rightFromText="180" w:vertAnchor="text" w:horzAnchor="page" w:tblpXSpec="center" w:tblpY="417"/>
        <w:tblOverlap w:val="never"/>
        <w:tblW w:w="10185"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487"/>
        <w:gridCol w:w="2856"/>
        <w:gridCol w:w="5842"/>
      </w:tblGrid>
      <w:tr w14:paraId="65806C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487" w:type="dxa"/>
            <w:noWrap/>
          </w:tcPr>
          <w:p w14:paraId="700FEBBD">
            <w:pPr>
              <w:adjustRightInd w:val="0"/>
              <w:snapToGrid w:val="0"/>
              <w:spacing w:line="360" w:lineRule="auto"/>
              <w:jc w:val="center"/>
              <w:rPr>
                <w:rFonts w:ascii="宋体" w:hAnsi="宋体" w:cs="宋体"/>
                <w:b/>
              </w:rPr>
            </w:pPr>
            <w:r>
              <w:rPr>
                <w:rFonts w:hint="eastAsia" w:ascii="宋体" w:hAnsi="宋体" w:cs="宋体"/>
                <w:b/>
              </w:rPr>
              <w:t>条款号</w:t>
            </w:r>
          </w:p>
        </w:tc>
        <w:tc>
          <w:tcPr>
            <w:tcW w:w="2856" w:type="dxa"/>
            <w:noWrap/>
          </w:tcPr>
          <w:p w14:paraId="14E86742">
            <w:pPr>
              <w:adjustRightInd w:val="0"/>
              <w:snapToGrid w:val="0"/>
              <w:spacing w:line="360" w:lineRule="auto"/>
              <w:jc w:val="center"/>
              <w:rPr>
                <w:rFonts w:ascii="宋体" w:hAnsi="宋体" w:cs="宋体"/>
                <w:b/>
              </w:rPr>
            </w:pPr>
            <w:r>
              <w:rPr>
                <w:rFonts w:hint="eastAsia" w:ascii="宋体" w:hAnsi="宋体" w:cs="宋体"/>
                <w:b/>
              </w:rPr>
              <w:t>条款名称</w:t>
            </w:r>
          </w:p>
        </w:tc>
        <w:tc>
          <w:tcPr>
            <w:tcW w:w="5842" w:type="dxa"/>
            <w:noWrap/>
          </w:tcPr>
          <w:p w14:paraId="06E5A550">
            <w:pPr>
              <w:adjustRightInd w:val="0"/>
              <w:snapToGrid w:val="0"/>
              <w:spacing w:line="360" w:lineRule="auto"/>
              <w:jc w:val="center"/>
              <w:rPr>
                <w:rFonts w:ascii="宋体" w:hAnsi="宋体" w:cs="宋体"/>
                <w:b/>
              </w:rPr>
            </w:pPr>
            <w:r>
              <w:rPr>
                <w:rFonts w:hint="eastAsia" w:ascii="宋体" w:hAnsi="宋体" w:cs="宋体"/>
                <w:b/>
              </w:rPr>
              <w:t>编列内容规定</w:t>
            </w:r>
          </w:p>
        </w:tc>
      </w:tr>
      <w:tr w14:paraId="1E9F5E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487" w:type="dxa"/>
            <w:noWrap/>
            <w:vAlign w:val="center"/>
          </w:tcPr>
          <w:p w14:paraId="7398A3CE">
            <w:pPr>
              <w:adjustRightInd w:val="0"/>
              <w:snapToGrid w:val="0"/>
              <w:spacing w:line="360" w:lineRule="auto"/>
              <w:jc w:val="center"/>
              <w:rPr>
                <w:rFonts w:ascii="宋体" w:hAnsi="宋体" w:cs="宋体"/>
                <w:szCs w:val="21"/>
              </w:rPr>
            </w:pPr>
            <w:r>
              <w:rPr>
                <w:rFonts w:hint="eastAsia" w:ascii="宋体" w:hAnsi="宋体" w:cs="宋体"/>
                <w:szCs w:val="21"/>
              </w:rPr>
              <w:t>第1.2</w:t>
            </w:r>
            <w:r>
              <w:rPr>
                <w:rFonts w:hint="eastAsia" w:ascii="宋体" w:hAnsi="宋体" w:cs="宋体"/>
                <w:kern w:val="0"/>
                <w:szCs w:val="21"/>
                <w:lang w:val="zh-CN"/>
              </w:rPr>
              <w:t>款</w:t>
            </w:r>
          </w:p>
        </w:tc>
        <w:tc>
          <w:tcPr>
            <w:tcW w:w="2856" w:type="dxa"/>
            <w:noWrap/>
            <w:vAlign w:val="center"/>
          </w:tcPr>
          <w:p w14:paraId="0957EE7A">
            <w:pPr>
              <w:adjustRightInd w:val="0"/>
              <w:snapToGrid w:val="0"/>
              <w:spacing w:line="360" w:lineRule="auto"/>
              <w:jc w:val="center"/>
              <w:rPr>
                <w:rFonts w:ascii="宋体" w:hAnsi="宋体" w:cs="宋体"/>
                <w:szCs w:val="21"/>
              </w:rPr>
            </w:pPr>
            <w:r>
              <w:rPr>
                <w:rFonts w:hint="eastAsia" w:ascii="宋体" w:hAnsi="宋体" w:cs="宋体"/>
                <w:szCs w:val="21"/>
              </w:rPr>
              <w:t>评标因素和标准</w:t>
            </w:r>
          </w:p>
        </w:tc>
        <w:tc>
          <w:tcPr>
            <w:tcW w:w="5842" w:type="dxa"/>
            <w:noWrap/>
            <w:vAlign w:val="center"/>
          </w:tcPr>
          <w:p w14:paraId="6DAA1171">
            <w:pPr>
              <w:adjustRightInd w:val="0"/>
              <w:snapToGrid w:val="0"/>
              <w:spacing w:line="360" w:lineRule="auto"/>
              <w:rPr>
                <w:rFonts w:ascii="宋体" w:hAnsi="宋体" w:cs="宋体"/>
                <w:szCs w:val="21"/>
              </w:rPr>
            </w:pPr>
            <w:r>
              <w:rPr>
                <w:rFonts w:hint="eastAsia" w:ascii="宋体" w:hAnsi="宋体" w:cs="宋体"/>
                <w:szCs w:val="21"/>
              </w:rPr>
              <w:t>见附页3-1</w:t>
            </w:r>
          </w:p>
        </w:tc>
      </w:tr>
      <w:tr w14:paraId="1EDC76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1487" w:type="dxa"/>
            <w:noWrap/>
            <w:vAlign w:val="center"/>
          </w:tcPr>
          <w:p w14:paraId="7CD168B1">
            <w:pPr>
              <w:adjustRightInd w:val="0"/>
              <w:snapToGrid w:val="0"/>
              <w:spacing w:line="360" w:lineRule="auto"/>
              <w:jc w:val="center"/>
              <w:rPr>
                <w:rFonts w:ascii="宋体" w:hAnsi="宋体" w:cs="宋体"/>
                <w:szCs w:val="21"/>
              </w:rPr>
            </w:pPr>
            <w:r>
              <w:rPr>
                <w:rFonts w:hint="eastAsia" w:ascii="宋体" w:hAnsi="宋体" w:cs="宋体"/>
                <w:szCs w:val="21"/>
              </w:rPr>
              <w:t>第4.2</w:t>
            </w:r>
            <w:r>
              <w:rPr>
                <w:rFonts w:hint="eastAsia" w:ascii="宋体" w:hAnsi="宋体" w:cs="宋体"/>
                <w:kern w:val="0"/>
                <w:szCs w:val="21"/>
                <w:lang w:val="zh-CN"/>
              </w:rPr>
              <w:t>款</w:t>
            </w:r>
          </w:p>
        </w:tc>
        <w:tc>
          <w:tcPr>
            <w:tcW w:w="2856" w:type="dxa"/>
            <w:noWrap/>
            <w:vAlign w:val="center"/>
          </w:tcPr>
          <w:p w14:paraId="0EDC8D38">
            <w:pPr>
              <w:adjustRightInd w:val="0"/>
              <w:snapToGrid w:val="0"/>
              <w:spacing w:line="360" w:lineRule="auto"/>
              <w:rPr>
                <w:rFonts w:ascii="宋体" w:hAnsi="宋体" w:cs="宋体"/>
                <w:szCs w:val="21"/>
              </w:rPr>
            </w:pPr>
            <w:r>
              <w:rPr>
                <w:rFonts w:hint="eastAsia" w:ascii="宋体" w:hAnsi="宋体" w:cs="宋体"/>
                <w:szCs w:val="21"/>
              </w:rPr>
              <w:t>投标文件报价出现前后不一致的修正</w:t>
            </w:r>
          </w:p>
        </w:tc>
        <w:tc>
          <w:tcPr>
            <w:tcW w:w="5842" w:type="dxa"/>
            <w:noWrap/>
            <w:vAlign w:val="center"/>
          </w:tcPr>
          <w:p w14:paraId="23C1E672">
            <w:pPr>
              <w:adjustRightInd w:val="0"/>
              <w:snapToGrid w:val="0"/>
              <w:spacing w:line="360" w:lineRule="auto"/>
              <w:jc w:val="left"/>
              <w:rPr>
                <w:rFonts w:ascii="宋体" w:hAnsi="宋体" w:cs="宋体"/>
                <w:szCs w:val="21"/>
              </w:rPr>
            </w:pPr>
            <w:r>
              <w:rPr>
                <w:rFonts w:hint="eastAsia" w:ascii="宋体" w:hAnsi="宋体" w:cs="宋体"/>
                <w:szCs w:val="21"/>
              </w:rPr>
              <w:t>按本章正文规定修正</w:t>
            </w:r>
          </w:p>
        </w:tc>
      </w:tr>
      <w:tr w14:paraId="680624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487" w:type="dxa"/>
            <w:noWrap/>
            <w:vAlign w:val="center"/>
          </w:tcPr>
          <w:p w14:paraId="4F8DE5D9">
            <w:pPr>
              <w:adjustRightInd w:val="0"/>
              <w:snapToGrid w:val="0"/>
              <w:spacing w:line="360" w:lineRule="auto"/>
              <w:jc w:val="center"/>
              <w:rPr>
                <w:rFonts w:ascii="宋体" w:hAnsi="宋体" w:cs="宋体"/>
                <w:szCs w:val="21"/>
              </w:rPr>
            </w:pPr>
            <w:r>
              <w:rPr>
                <w:rFonts w:hint="eastAsia" w:ascii="宋体" w:hAnsi="宋体" w:cs="宋体"/>
                <w:szCs w:val="21"/>
              </w:rPr>
              <w:t>第5.8</w:t>
            </w:r>
            <w:r>
              <w:rPr>
                <w:rFonts w:hint="eastAsia" w:ascii="宋体" w:hAnsi="宋体" w:cs="宋体"/>
                <w:kern w:val="0"/>
                <w:szCs w:val="21"/>
                <w:lang w:val="zh-CN"/>
              </w:rPr>
              <w:t>款</w:t>
            </w:r>
          </w:p>
        </w:tc>
        <w:tc>
          <w:tcPr>
            <w:tcW w:w="2856" w:type="dxa"/>
            <w:noWrap/>
            <w:vAlign w:val="center"/>
          </w:tcPr>
          <w:p w14:paraId="394A2C99">
            <w:pPr>
              <w:adjustRightInd w:val="0"/>
              <w:snapToGrid w:val="0"/>
              <w:spacing w:line="360" w:lineRule="auto"/>
              <w:rPr>
                <w:rFonts w:ascii="宋体" w:hAnsi="宋体" w:cs="宋体"/>
              </w:rPr>
            </w:pPr>
            <w:r>
              <w:rPr>
                <w:rFonts w:hint="eastAsia" w:ascii="宋体" w:hAnsi="宋体" w:cs="宋体"/>
                <w:szCs w:val="21"/>
              </w:rPr>
              <w:t>提供相同品牌产品，</w:t>
            </w:r>
            <w:r>
              <w:rPr>
                <w:rFonts w:hint="eastAsia" w:ascii="宋体" w:hAnsi="宋体" w:cs="宋体"/>
              </w:rPr>
              <w:t>评审得分相同时，确定中标人推荐资格规定</w:t>
            </w:r>
          </w:p>
        </w:tc>
        <w:tc>
          <w:tcPr>
            <w:tcW w:w="5842" w:type="dxa"/>
            <w:noWrap/>
            <w:vAlign w:val="center"/>
          </w:tcPr>
          <w:p w14:paraId="7F3A000C">
            <w:pPr>
              <w:adjustRightInd w:val="0"/>
              <w:snapToGrid w:val="0"/>
              <w:spacing w:line="360" w:lineRule="auto"/>
              <w:rPr>
                <w:rFonts w:ascii="宋体" w:hAnsi="宋体" w:cs="宋体"/>
                <w:szCs w:val="21"/>
              </w:rPr>
            </w:pPr>
            <w:r>
              <w:rPr>
                <w:rFonts w:hint="eastAsia" w:ascii="宋体" w:hAnsi="宋体" w:cs="宋体"/>
              </w:rPr>
              <w:t>■ 得分相同的，按投标报价由低到高顺序排列。得分且投标报价相同的，按技术指标优劣顺序排列。</w:t>
            </w:r>
          </w:p>
          <w:p w14:paraId="06D17C14">
            <w:pPr>
              <w:adjustRightInd w:val="0"/>
              <w:snapToGrid w:val="0"/>
              <w:spacing w:line="360" w:lineRule="auto"/>
              <w:rPr>
                <w:rFonts w:ascii="宋体" w:hAnsi="宋体" w:cs="宋体"/>
                <w:szCs w:val="21"/>
              </w:rPr>
            </w:pPr>
            <w:r>
              <w:rPr>
                <w:rFonts w:hint="eastAsia" w:ascii="宋体" w:hAnsi="宋体" w:cs="宋体"/>
              </w:rPr>
              <w:t>□ 随机抽取方式确定。</w:t>
            </w:r>
          </w:p>
        </w:tc>
      </w:tr>
      <w:tr w14:paraId="1F13AE3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487" w:type="dxa"/>
            <w:vMerge w:val="restart"/>
            <w:noWrap/>
            <w:vAlign w:val="center"/>
          </w:tcPr>
          <w:p w14:paraId="28BD93F6">
            <w:pPr>
              <w:adjustRightInd w:val="0"/>
              <w:snapToGrid w:val="0"/>
              <w:spacing w:line="360" w:lineRule="auto"/>
              <w:jc w:val="center"/>
              <w:rPr>
                <w:rFonts w:ascii="宋体" w:hAnsi="宋体" w:cs="宋体"/>
                <w:szCs w:val="21"/>
              </w:rPr>
            </w:pPr>
            <w:r>
              <w:rPr>
                <w:rFonts w:hint="eastAsia" w:ascii="宋体" w:hAnsi="宋体" w:cs="宋体"/>
                <w:szCs w:val="21"/>
              </w:rPr>
              <w:t>第5.9</w:t>
            </w:r>
            <w:r>
              <w:rPr>
                <w:rFonts w:hint="eastAsia" w:ascii="宋体" w:hAnsi="宋体" w:cs="宋体"/>
                <w:kern w:val="0"/>
                <w:szCs w:val="21"/>
                <w:lang w:val="zh-CN"/>
              </w:rPr>
              <w:t>款</w:t>
            </w:r>
          </w:p>
        </w:tc>
        <w:tc>
          <w:tcPr>
            <w:tcW w:w="2856" w:type="dxa"/>
            <w:noWrap/>
            <w:vAlign w:val="center"/>
          </w:tcPr>
          <w:p w14:paraId="072451DE">
            <w:pPr>
              <w:adjustRightInd w:val="0"/>
              <w:snapToGrid w:val="0"/>
              <w:spacing w:line="360" w:lineRule="auto"/>
              <w:jc w:val="center"/>
              <w:rPr>
                <w:rFonts w:ascii="宋体" w:hAnsi="宋体" w:cs="宋体"/>
                <w:bCs/>
                <w:szCs w:val="21"/>
              </w:rPr>
            </w:pPr>
            <w:r>
              <w:rPr>
                <w:rFonts w:hint="eastAsia" w:ascii="宋体" w:hAnsi="宋体" w:cs="宋体"/>
              </w:rPr>
              <w:t>非单一产品采购项目的核心产品</w:t>
            </w:r>
          </w:p>
        </w:tc>
        <w:tc>
          <w:tcPr>
            <w:tcW w:w="5842" w:type="dxa"/>
            <w:noWrap/>
            <w:vAlign w:val="center"/>
          </w:tcPr>
          <w:p w14:paraId="50B0394D">
            <w:pPr>
              <w:adjustRightInd w:val="0"/>
              <w:snapToGrid w:val="0"/>
              <w:spacing w:line="360" w:lineRule="auto"/>
              <w:rPr>
                <w:rFonts w:ascii="宋体" w:hAnsi="宋体" w:cs="宋体"/>
              </w:rPr>
            </w:pPr>
            <w:r>
              <w:rPr>
                <w:rFonts w:hint="eastAsia" w:ascii="宋体" w:hAnsi="宋体" w:cs="宋体"/>
                <w:lang w:eastAsia="zh-CN"/>
              </w:rPr>
              <w:t>☑</w:t>
            </w:r>
            <w:r>
              <w:rPr>
                <w:rFonts w:hint="eastAsia" w:ascii="宋体" w:hAnsi="宋体" w:cs="宋体"/>
              </w:rPr>
              <w:t xml:space="preserve"> 核心产品为：</w:t>
            </w:r>
            <w:r>
              <w:rPr>
                <w:rFonts w:hint="eastAsia" w:ascii="宋体" w:hAnsi="宋体" w:cs="宋体"/>
                <w:b/>
                <w:bCs/>
                <w:u w:val="single"/>
              </w:rPr>
              <w:t xml:space="preserve"> </w:t>
            </w:r>
            <w:r>
              <w:rPr>
                <w:rFonts w:hint="eastAsia" w:ascii="宋体" w:hAnsi="宋体" w:cs="宋体"/>
                <w:b/>
                <w:bCs/>
                <w:u w:val="single"/>
                <w:lang w:val="en-US" w:eastAsia="zh-CN"/>
              </w:rPr>
              <w:t>电梯</w:t>
            </w:r>
            <w:r>
              <w:rPr>
                <w:rFonts w:hint="eastAsia" w:ascii="宋体" w:hAnsi="宋体" w:cs="宋体"/>
                <w:u w:val="single"/>
              </w:rPr>
              <w:t xml:space="preserve"> </w:t>
            </w:r>
            <w:r>
              <w:rPr>
                <w:rFonts w:hint="eastAsia" w:ascii="宋体" w:hAnsi="宋体" w:cs="宋体"/>
              </w:rPr>
              <w:t>。</w:t>
            </w:r>
            <w:r>
              <w:rPr>
                <w:rFonts w:hint="eastAsia" w:ascii="宋体" w:hAnsi="宋体" w:cs="宋体"/>
                <w:kern w:val="0"/>
              </w:rPr>
              <w:t>（</w:t>
            </w:r>
            <w:r>
              <w:rPr>
                <w:rFonts w:hint="eastAsia" w:ascii="宋体" w:hAnsi="宋体" w:cs="宋体"/>
              </w:rPr>
              <w:t>提示：根据采购项目技术构成、产品价格比重等合理确定具体产品为核心产品）</w:t>
            </w:r>
          </w:p>
          <w:p w14:paraId="6A888711">
            <w:pPr>
              <w:adjustRightInd w:val="0"/>
              <w:snapToGrid w:val="0"/>
              <w:spacing w:line="360" w:lineRule="auto"/>
              <w:rPr>
                <w:rFonts w:ascii="宋体" w:hAnsi="宋体" w:cs="宋体"/>
                <w:kern w:val="0"/>
              </w:rPr>
            </w:pPr>
            <w:r>
              <w:rPr>
                <w:rFonts w:hint="eastAsia" w:ascii="宋体" w:hAnsi="宋体" w:cs="宋体"/>
                <w:lang w:eastAsia="zh-CN"/>
              </w:rPr>
              <w:t>□</w:t>
            </w:r>
            <w:r>
              <w:rPr>
                <w:rFonts w:hint="eastAsia" w:ascii="宋体" w:hAnsi="宋体" w:cs="宋体"/>
              </w:rPr>
              <w:t xml:space="preserve"> 两家及以上投标人提供相同产品的价格总和均超过该项目包各自投标总价</w:t>
            </w:r>
            <w:r>
              <w:rPr>
                <w:rFonts w:hint="eastAsia" w:ascii="宋体" w:hAnsi="宋体" w:cs="宋体"/>
                <w:u w:val="single"/>
              </w:rPr>
              <w:t xml:space="preserve">   </w:t>
            </w:r>
            <w:r>
              <w:rPr>
                <w:rFonts w:hint="eastAsia" w:ascii="宋体" w:hAnsi="宋体" w:cs="宋体"/>
              </w:rPr>
              <w:t>%的，为核心产品。（提示：也可另行规定）</w:t>
            </w:r>
          </w:p>
        </w:tc>
      </w:tr>
      <w:tr w14:paraId="42C5F7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487" w:type="dxa"/>
            <w:vMerge w:val="continue"/>
            <w:noWrap/>
            <w:vAlign w:val="center"/>
          </w:tcPr>
          <w:p w14:paraId="44458230">
            <w:pPr>
              <w:adjustRightInd w:val="0"/>
              <w:snapToGrid w:val="0"/>
              <w:spacing w:line="360" w:lineRule="auto"/>
              <w:jc w:val="center"/>
              <w:rPr>
                <w:rFonts w:ascii="宋体" w:hAnsi="宋体" w:cs="宋体"/>
                <w:szCs w:val="21"/>
              </w:rPr>
            </w:pPr>
          </w:p>
        </w:tc>
        <w:tc>
          <w:tcPr>
            <w:tcW w:w="2856" w:type="dxa"/>
            <w:noWrap/>
            <w:vAlign w:val="center"/>
          </w:tcPr>
          <w:p w14:paraId="79863F46">
            <w:pPr>
              <w:adjustRightInd w:val="0"/>
              <w:snapToGrid w:val="0"/>
              <w:spacing w:line="360" w:lineRule="auto"/>
              <w:jc w:val="center"/>
              <w:rPr>
                <w:rFonts w:ascii="宋体" w:hAnsi="宋体" w:cs="宋体"/>
              </w:rPr>
            </w:pPr>
            <w:r>
              <w:rPr>
                <w:rFonts w:hint="eastAsia" w:ascii="宋体" w:hAnsi="宋体"/>
                <w:szCs w:val="21"/>
              </w:rPr>
              <w:t>相同品牌产品投标报价相同的</w:t>
            </w:r>
          </w:p>
        </w:tc>
        <w:tc>
          <w:tcPr>
            <w:tcW w:w="5842" w:type="dxa"/>
            <w:noWrap/>
            <w:vAlign w:val="center"/>
          </w:tcPr>
          <w:p w14:paraId="3A61D7B2">
            <w:pPr>
              <w:adjustRightInd w:val="0"/>
              <w:snapToGrid w:val="0"/>
              <w:spacing w:beforeLines="50" w:line="360" w:lineRule="auto"/>
              <w:ind w:right="-109" w:rightChars="-52"/>
              <w:rPr>
                <w:rFonts w:ascii="宋体" w:hAnsi="宋体" w:cs="宋体"/>
              </w:rPr>
            </w:pPr>
            <w:r>
              <w:rPr>
                <w:rFonts w:hint="eastAsia" w:ascii="宋体" w:hAnsi="宋体"/>
              </w:rPr>
              <w:t>得分相同的，按投标报价由低到高顺序排列。得分且投标报价相同的，按技术指标优劣顺序排列。</w:t>
            </w:r>
          </w:p>
        </w:tc>
      </w:tr>
      <w:tr w14:paraId="1F6FEC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487" w:type="dxa"/>
            <w:vMerge w:val="continue"/>
            <w:noWrap/>
            <w:vAlign w:val="center"/>
          </w:tcPr>
          <w:p w14:paraId="5917FD46">
            <w:pPr>
              <w:adjustRightInd w:val="0"/>
              <w:snapToGrid w:val="0"/>
              <w:spacing w:line="360" w:lineRule="auto"/>
              <w:jc w:val="center"/>
              <w:rPr>
                <w:rFonts w:ascii="宋体" w:hAnsi="宋体" w:cs="宋体"/>
                <w:szCs w:val="21"/>
              </w:rPr>
            </w:pPr>
          </w:p>
        </w:tc>
        <w:tc>
          <w:tcPr>
            <w:tcW w:w="2856" w:type="dxa"/>
            <w:noWrap/>
            <w:vAlign w:val="center"/>
          </w:tcPr>
          <w:p w14:paraId="73843226">
            <w:pPr>
              <w:adjustRightInd w:val="0"/>
              <w:snapToGrid w:val="0"/>
              <w:spacing w:beforeLines="50" w:line="360" w:lineRule="auto"/>
              <w:jc w:val="center"/>
              <w:rPr>
                <w:rFonts w:ascii="宋体" w:hAnsi="宋体" w:cs="宋体"/>
              </w:rPr>
            </w:pPr>
            <w:r>
              <w:rPr>
                <w:rFonts w:hint="eastAsia" w:ascii="宋体" w:hAnsi="宋体"/>
                <w:bCs/>
                <w:szCs w:val="21"/>
              </w:rPr>
              <w:t>相同品牌产品评审得分相同的规定</w:t>
            </w:r>
          </w:p>
        </w:tc>
        <w:tc>
          <w:tcPr>
            <w:tcW w:w="5842" w:type="dxa"/>
            <w:noWrap/>
            <w:vAlign w:val="center"/>
          </w:tcPr>
          <w:p w14:paraId="58DCC8D9">
            <w:pPr>
              <w:adjustRightInd w:val="0"/>
              <w:snapToGrid w:val="0"/>
              <w:spacing w:beforeLines="50" w:line="360" w:lineRule="auto"/>
              <w:ind w:right="-109" w:rightChars="-52"/>
              <w:rPr>
                <w:szCs w:val="21"/>
              </w:rPr>
            </w:pPr>
            <w:r>
              <w:rPr>
                <w:szCs w:val="21"/>
              </w:rPr>
              <w:t>若</w:t>
            </w:r>
            <w:r>
              <w:rPr>
                <w:rFonts w:hint="eastAsia"/>
                <w:szCs w:val="21"/>
              </w:rPr>
              <w:t>本项目</w:t>
            </w:r>
            <w:r>
              <w:rPr>
                <w:szCs w:val="21"/>
              </w:rPr>
              <w:t>单个合同包</w:t>
            </w:r>
            <w:r>
              <w:rPr>
                <w:rFonts w:hint="eastAsia"/>
                <w:szCs w:val="21"/>
              </w:rPr>
              <w:t>中</w:t>
            </w:r>
            <w:r>
              <w:rPr>
                <w:szCs w:val="21"/>
              </w:rPr>
              <w:t>采购单一品目或有明确</w:t>
            </w:r>
            <w:r>
              <w:rPr>
                <w:rFonts w:hint="eastAsia"/>
                <w:szCs w:val="21"/>
              </w:rPr>
              <w:t>主要</w:t>
            </w:r>
            <w:r>
              <w:rPr>
                <w:szCs w:val="21"/>
              </w:rPr>
              <w:t>投标产品的，对该单一品目或</w:t>
            </w:r>
            <w:r>
              <w:rPr>
                <w:rFonts w:hint="eastAsia"/>
                <w:szCs w:val="21"/>
              </w:rPr>
              <w:t>主要</w:t>
            </w:r>
            <w:r>
              <w:rPr>
                <w:szCs w:val="21"/>
              </w:rPr>
              <w:t>投标产品</w:t>
            </w:r>
            <w:r>
              <w:rPr>
                <w:rFonts w:hint="eastAsia"/>
                <w:szCs w:val="21"/>
              </w:rPr>
              <w:t>，</w:t>
            </w:r>
            <w:r>
              <w:rPr>
                <w:szCs w:val="21"/>
              </w:rPr>
              <w:t>多家供应商用同一品牌产品参加同一个项目投标的，应作为一家供应商计算</w:t>
            </w:r>
            <w:r>
              <w:rPr>
                <w:rFonts w:hint="eastAsia"/>
                <w:szCs w:val="21"/>
              </w:rPr>
              <w:t>（主要</w:t>
            </w:r>
            <w:r>
              <w:rPr>
                <w:szCs w:val="21"/>
              </w:rPr>
              <w:t>投标产品以</w:t>
            </w:r>
            <w:r>
              <w:rPr>
                <w:rFonts w:hint="eastAsia"/>
                <w:szCs w:val="21"/>
              </w:rPr>
              <w:t>招标文件</w:t>
            </w:r>
            <w:r>
              <w:rPr>
                <w:szCs w:val="21"/>
              </w:rPr>
              <w:t>注明内容为准）。</w:t>
            </w:r>
          </w:p>
          <w:p w14:paraId="60CA13DA">
            <w:pPr>
              <w:adjustRightInd w:val="0"/>
              <w:snapToGrid w:val="0"/>
              <w:spacing w:beforeLines="50" w:line="360" w:lineRule="auto"/>
              <w:ind w:right="-109" w:rightChars="-52"/>
              <w:rPr>
                <w:rFonts w:ascii="宋体" w:hAnsi="宋体" w:cs="宋体"/>
              </w:rPr>
            </w:pPr>
            <w:r>
              <w:rPr>
                <w:rFonts w:hint="eastAsia"/>
                <w:szCs w:val="21"/>
              </w:rPr>
              <w:t>（</w:t>
            </w:r>
            <w:r>
              <w:rPr>
                <w:szCs w:val="21"/>
              </w:rPr>
              <w:t>确定有效</w:t>
            </w:r>
            <w:r>
              <w:rPr>
                <w:rFonts w:hint="eastAsia"/>
                <w:szCs w:val="21"/>
              </w:rPr>
              <w:t>投标单位标准）提供相同品牌产品且通过资格审查、符合性审查的不同投标单位参加同一合同项下投标的，按一家投标单位计算，评审后得分最高的同品牌投标单位获得中标人推荐资格；评审得分相同的，由采购人或者采购人委托评标委员会按照招标文件规定的方式确定一个投标单位获得中标人推荐资格，招标文件未规定的采取随机抽签方式确定，其他同品牌投标单位不参加排名且不作为中标候选人。</w:t>
            </w:r>
          </w:p>
        </w:tc>
      </w:tr>
      <w:tr w14:paraId="2FBAD5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487" w:type="dxa"/>
            <w:vMerge w:val="restart"/>
            <w:noWrap/>
            <w:vAlign w:val="center"/>
          </w:tcPr>
          <w:p w14:paraId="5D2C2348">
            <w:pPr>
              <w:adjustRightInd w:val="0"/>
              <w:jc w:val="center"/>
              <w:rPr>
                <w:rFonts w:ascii="宋体" w:hAnsi="宋体" w:cs="宋体"/>
                <w:szCs w:val="21"/>
              </w:rPr>
            </w:pPr>
            <w:r>
              <w:rPr>
                <w:rFonts w:hint="eastAsia" w:ascii="宋体" w:hAnsi="宋体" w:cs="宋体"/>
                <w:szCs w:val="21"/>
              </w:rPr>
              <w:t>第5.2</w:t>
            </w:r>
            <w:r>
              <w:rPr>
                <w:rFonts w:hint="eastAsia" w:ascii="宋体" w:hAnsi="宋体" w:cs="宋体"/>
                <w:kern w:val="0"/>
                <w:szCs w:val="21"/>
                <w:lang w:val="zh-CN"/>
              </w:rPr>
              <w:t>款</w:t>
            </w:r>
          </w:p>
        </w:tc>
        <w:tc>
          <w:tcPr>
            <w:tcW w:w="2856" w:type="dxa"/>
            <w:noWrap/>
            <w:vAlign w:val="center"/>
          </w:tcPr>
          <w:p w14:paraId="39DAFAD2">
            <w:pPr>
              <w:adjustRightInd w:val="0"/>
              <w:snapToGrid w:val="0"/>
              <w:spacing w:line="360" w:lineRule="auto"/>
              <w:jc w:val="center"/>
              <w:rPr>
                <w:rFonts w:ascii="宋体" w:hAnsi="宋体" w:cs="宋体"/>
              </w:rPr>
            </w:pPr>
            <w:r>
              <w:rPr>
                <w:rFonts w:hint="eastAsia" w:ascii="宋体" w:hAnsi="宋体" w:cs="宋体"/>
              </w:rPr>
              <w:t>本项目所属行业说明</w:t>
            </w:r>
          </w:p>
        </w:tc>
        <w:tc>
          <w:tcPr>
            <w:tcW w:w="5842" w:type="dxa"/>
            <w:noWrap/>
            <w:vAlign w:val="center"/>
          </w:tcPr>
          <w:p w14:paraId="15FBEF02">
            <w:pPr>
              <w:rPr>
                <w:szCs w:val="22"/>
              </w:rPr>
            </w:pPr>
            <w:r>
              <w:rPr>
                <w:rFonts w:hint="eastAsia"/>
                <w:szCs w:val="22"/>
                <w:highlight w:val="white"/>
              </w:rPr>
              <w:t>本项目中小企业划分标准所属行业</w:t>
            </w:r>
            <w:bookmarkStart w:id="85" w:name="EB6e66a2498dbb4fa09b198e05a7695250"/>
            <w:r>
              <w:rPr>
                <w:rFonts w:hint="eastAsia"/>
                <w:szCs w:val="22"/>
                <w:highlight w:val="white"/>
              </w:rPr>
              <w:t>：</w:t>
            </w:r>
            <w:r>
              <w:rPr>
                <w:rFonts w:hint="eastAsia"/>
                <w:b/>
                <w:bCs/>
                <w:szCs w:val="22"/>
                <w:highlight w:val="white"/>
                <w:u w:val="single"/>
              </w:rPr>
              <w:t>（</w:t>
            </w:r>
            <w:r>
              <w:rPr>
                <w:rFonts w:hint="eastAsia"/>
                <w:b/>
                <w:bCs/>
                <w:szCs w:val="22"/>
                <w:highlight w:val="white"/>
                <w:u w:val="single"/>
                <w:lang w:val="en-US" w:eastAsia="zh-CN"/>
              </w:rPr>
              <w:t>二</w:t>
            </w:r>
            <w:r>
              <w:rPr>
                <w:rFonts w:hint="eastAsia"/>
                <w:b/>
                <w:bCs/>
                <w:szCs w:val="22"/>
                <w:highlight w:val="white"/>
                <w:u w:val="single"/>
              </w:rPr>
              <w:t>）</w:t>
            </w:r>
            <w:r>
              <w:rPr>
                <w:rFonts w:hint="eastAsia"/>
                <w:b/>
                <w:bCs/>
                <w:szCs w:val="22"/>
                <w:highlight w:val="white"/>
                <w:u w:val="single"/>
                <w:lang w:val="en-US" w:eastAsia="zh-CN"/>
              </w:rPr>
              <w:t>工</w:t>
            </w:r>
            <w:r>
              <w:rPr>
                <w:rFonts w:hint="eastAsia"/>
                <w:b/>
                <w:bCs/>
                <w:szCs w:val="22"/>
                <w:highlight w:val="white"/>
                <w:u w:val="single"/>
              </w:rPr>
              <w:t>业</w:t>
            </w:r>
          </w:p>
          <w:bookmarkEnd w:id="85"/>
          <w:p w14:paraId="05845392">
            <w:pPr>
              <w:rPr>
                <w:szCs w:val="22"/>
              </w:rPr>
            </w:pPr>
            <w:r>
              <w:rPr>
                <w:rFonts w:hint="eastAsia"/>
                <w:szCs w:val="22"/>
                <w:highlight w:val="white"/>
              </w:rPr>
              <w:t>（一）农、林、牧、渔业</w:t>
            </w:r>
          </w:p>
          <w:p w14:paraId="63A74767">
            <w:pPr>
              <w:rPr>
                <w:szCs w:val="22"/>
              </w:rPr>
            </w:pPr>
            <w:r>
              <w:rPr>
                <w:rFonts w:hint="eastAsia"/>
                <w:szCs w:val="22"/>
                <w:highlight w:val="white"/>
              </w:rPr>
              <w:t>（二）工业</w:t>
            </w:r>
          </w:p>
          <w:p w14:paraId="7E4843AF">
            <w:pPr>
              <w:rPr>
                <w:szCs w:val="22"/>
              </w:rPr>
            </w:pPr>
            <w:r>
              <w:rPr>
                <w:rFonts w:hint="eastAsia"/>
                <w:szCs w:val="22"/>
                <w:highlight w:val="white"/>
              </w:rPr>
              <w:t>（三）建筑业</w:t>
            </w:r>
          </w:p>
          <w:p w14:paraId="722A9AF0">
            <w:pPr>
              <w:rPr>
                <w:szCs w:val="22"/>
              </w:rPr>
            </w:pPr>
            <w:r>
              <w:rPr>
                <w:rFonts w:hint="eastAsia"/>
                <w:szCs w:val="22"/>
                <w:highlight w:val="white"/>
              </w:rPr>
              <w:t>（四）批发业</w:t>
            </w:r>
          </w:p>
          <w:p w14:paraId="0F0DEF6C">
            <w:pPr>
              <w:rPr>
                <w:szCs w:val="22"/>
              </w:rPr>
            </w:pPr>
            <w:r>
              <w:rPr>
                <w:rFonts w:hint="eastAsia"/>
                <w:szCs w:val="22"/>
                <w:highlight w:val="white"/>
              </w:rPr>
              <w:t>（五）零售业</w:t>
            </w:r>
          </w:p>
          <w:p w14:paraId="1C05723B">
            <w:pPr>
              <w:rPr>
                <w:szCs w:val="22"/>
              </w:rPr>
            </w:pPr>
            <w:r>
              <w:rPr>
                <w:rFonts w:hint="eastAsia"/>
                <w:szCs w:val="22"/>
                <w:highlight w:val="white"/>
              </w:rPr>
              <w:t>（六）交通运输业</w:t>
            </w:r>
          </w:p>
          <w:p w14:paraId="1C090D42">
            <w:pPr>
              <w:tabs>
                <w:tab w:val="center" w:pos="2301"/>
              </w:tabs>
              <w:rPr>
                <w:szCs w:val="22"/>
              </w:rPr>
            </w:pPr>
            <w:r>
              <w:rPr>
                <w:rFonts w:hint="eastAsia"/>
                <w:szCs w:val="22"/>
                <w:highlight w:val="white"/>
              </w:rPr>
              <w:t>（七）仓储业</w:t>
            </w:r>
            <w:r>
              <w:rPr>
                <w:highlight w:val="white"/>
              </w:rPr>
              <w:tab/>
            </w:r>
          </w:p>
          <w:p w14:paraId="0F6CE4A7">
            <w:pPr>
              <w:rPr>
                <w:szCs w:val="22"/>
              </w:rPr>
            </w:pPr>
            <w:r>
              <w:rPr>
                <w:rFonts w:hint="eastAsia"/>
                <w:szCs w:val="22"/>
                <w:highlight w:val="white"/>
              </w:rPr>
              <w:t>（八）邮政业</w:t>
            </w:r>
          </w:p>
          <w:p w14:paraId="313B793E">
            <w:pPr>
              <w:rPr>
                <w:szCs w:val="22"/>
              </w:rPr>
            </w:pPr>
            <w:r>
              <w:rPr>
                <w:rFonts w:hint="eastAsia"/>
                <w:szCs w:val="22"/>
                <w:highlight w:val="white"/>
              </w:rPr>
              <w:t>（九）住宿业</w:t>
            </w:r>
          </w:p>
          <w:p w14:paraId="4B12117C">
            <w:pPr>
              <w:rPr>
                <w:szCs w:val="22"/>
              </w:rPr>
            </w:pPr>
            <w:r>
              <w:rPr>
                <w:rFonts w:hint="eastAsia"/>
                <w:szCs w:val="22"/>
                <w:highlight w:val="white"/>
              </w:rPr>
              <w:t>（十）餐饮业</w:t>
            </w:r>
          </w:p>
          <w:p w14:paraId="2F95D665">
            <w:pPr>
              <w:rPr>
                <w:szCs w:val="22"/>
              </w:rPr>
            </w:pPr>
            <w:r>
              <w:rPr>
                <w:rFonts w:hint="eastAsia"/>
                <w:szCs w:val="22"/>
                <w:highlight w:val="white"/>
              </w:rPr>
              <w:t>（十一）信息传输业</w:t>
            </w:r>
          </w:p>
          <w:p w14:paraId="75533EE7">
            <w:pPr>
              <w:rPr>
                <w:szCs w:val="22"/>
              </w:rPr>
            </w:pPr>
            <w:r>
              <w:rPr>
                <w:rFonts w:hint="eastAsia"/>
                <w:szCs w:val="22"/>
                <w:highlight w:val="white"/>
              </w:rPr>
              <w:t>（十二）软件和信息技术服务业</w:t>
            </w:r>
          </w:p>
          <w:p w14:paraId="6E39411A">
            <w:pPr>
              <w:rPr>
                <w:szCs w:val="22"/>
              </w:rPr>
            </w:pPr>
            <w:r>
              <w:rPr>
                <w:rFonts w:hint="eastAsia"/>
                <w:szCs w:val="22"/>
                <w:highlight w:val="white"/>
              </w:rPr>
              <w:t>（十三）房地产开发经营</w:t>
            </w:r>
          </w:p>
          <w:p w14:paraId="6ECFBE11">
            <w:pPr>
              <w:rPr>
                <w:szCs w:val="22"/>
              </w:rPr>
            </w:pPr>
            <w:r>
              <w:rPr>
                <w:rFonts w:hint="eastAsia"/>
                <w:szCs w:val="22"/>
                <w:highlight w:val="white"/>
              </w:rPr>
              <w:t>（十四）物业管理</w:t>
            </w:r>
          </w:p>
          <w:p w14:paraId="33512869">
            <w:pPr>
              <w:rPr>
                <w:szCs w:val="22"/>
              </w:rPr>
            </w:pPr>
            <w:r>
              <w:rPr>
                <w:rFonts w:hint="eastAsia"/>
                <w:szCs w:val="22"/>
                <w:highlight w:val="white"/>
              </w:rPr>
              <w:t>（十五）租赁和商务服务业</w:t>
            </w:r>
          </w:p>
          <w:p w14:paraId="7222EA3F">
            <w:pPr>
              <w:adjustRightInd w:val="0"/>
              <w:snapToGrid w:val="0"/>
              <w:spacing w:line="360" w:lineRule="auto"/>
              <w:rPr>
                <w:rFonts w:ascii="宋体" w:hAnsi="宋体" w:cs="宋体"/>
              </w:rPr>
            </w:pPr>
            <w:r>
              <w:rPr>
                <w:rFonts w:hint="eastAsia"/>
                <w:szCs w:val="22"/>
                <w:highlight w:val="white"/>
              </w:rPr>
              <w:t>（十六）其他未列明行业</w:t>
            </w:r>
          </w:p>
        </w:tc>
      </w:tr>
      <w:tr w14:paraId="511B7E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487" w:type="dxa"/>
            <w:vMerge w:val="continue"/>
            <w:noWrap/>
            <w:vAlign w:val="center"/>
          </w:tcPr>
          <w:p w14:paraId="24A67577">
            <w:pPr>
              <w:adjustRightInd w:val="0"/>
              <w:jc w:val="center"/>
              <w:rPr>
                <w:rFonts w:ascii="宋体" w:hAnsi="宋体" w:cs="宋体"/>
                <w:szCs w:val="21"/>
              </w:rPr>
            </w:pPr>
          </w:p>
        </w:tc>
        <w:tc>
          <w:tcPr>
            <w:tcW w:w="2856" w:type="dxa"/>
            <w:noWrap/>
            <w:vAlign w:val="center"/>
          </w:tcPr>
          <w:p w14:paraId="2D9BB27C">
            <w:pPr>
              <w:adjustRightInd w:val="0"/>
              <w:jc w:val="center"/>
              <w:rPr>
                <w:rFonts w:ascii="宋体" w:hAnsi="宋体" w:cs="宋体"/>
                <w:szCs w:val="21"/>
              </w:rPr>
            </w:pPr>
            <w:r>
              <w:rPr>
                <w:rFonts w:hint="eastAsia" w:ascii="宋体" w:hAnsi="宋体" w:cs="宋体"/>
                <w:szCs w:val="21"/>
              </w:rPr>
              <w:t>技术、价格</w:t>
            </w:r>
            <w:r>
              <w:rPr>
                <w:rFonts w:hint="eastAsia" w:ascii="宋体" w:hAnsi="宋体" w:cs="宋体"/>
                <w:kern w:val="0"/>
                <w:szCs w:val="21"/>
              </w:rPr>
              <w:t>得分或总得分</w:t>
            </w:r>
            <w:r>
              <w:rPr>
                <w:rFonts w:hint="eastAsia" w:ascii="宋体" w:hAnsi="宋体" w:cs="宋体"/>
                <w:szCs w:val="21"/>
              </w:rPr>
              <w:t>调整</w:t>
            </w:r>
          </w:p>
        </w:tc>
        <w:tc>
          <w:tcPr>
            <w:tcW w:w="5842" w:type="dxa"/>
            <w:noWrap/>
            <w:vAlign w:val="center"/>
          </w:tcPr>
          <w:p w14:paraId="6358539F">
            <w:r>
              <w:rPr>
                <w:rFonts w:hint="eastAsia"/>
              </w:rPr>
              <w:t>1、节能产品：</w:t>
            </w:r>
          </w:p>
          <w:p w14:paraId="23D96935">
            <w:r>
              <w:rPr>
                <w:rFonts w:hint="eastAsia"/>
              </w:rPr>
              <w:t>技术加分＝技术分值×加分比例×（节能产品报价÷总报价）；</w:t>
            </w:r>
          </w:p>
          <w:p w14:paraId="3E383684">
            <w:r>
              <w:rPr>
                <w:rFonts w:hint="eastAsia"/>
              </w:rPr>
              <w:t>价格加分＝价格分值×加分比例×（节能产品报价÷总报价）。</w:t>
            </w:r>
          </w:p>
          <w:p w14:paraId="6285DDE2">
            <w:r>
              <w:rPr>
                <w:rFonts w:hint="eastAsia"/>
              </w:rPr>
              <w:t>2、环境标志产品：</w:t>
            </w:r>
          </w:p>
          <w:p w14:paraId="3599CA6A">
            <w:r>
              <w:rPr>
                <w:rFonts w:hint="eastAsia"/>
              </w:rPr>
              <w:t>技术加分＝技术分值×加分比例×（环境标志产品报价÷总报价）；</w:t>
            </w:r>
          </w:p>
          <w:p w14:paraId="1B2A242B">
            <w:pPr>
              <w:rPr>
                <w:rFonts w:ascii="宋体" w:hAnsi="宋体" w:cs="宋体"/>
                <w:szCs w:val="21"/>
              </w:rPr>
            </w:pPr>
            <w:r>
              <w:rPr>
                <w:rFonts w:hint="eastAsia"/>
              </w:rPr>
              <w:t>价格加分＝价格分值×加分比例×（环境标志产品报价÷总报价）。</w:t>
            </w:r>
          </w:p>
        </w:tc>
      </w:tr>
      <w:tr w14:paraId="50AB01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487" w:type="dxa"/>
            <w:vMerge w:val="continue"/>
            <w:noWrap/>
            <w:vAlign w:val="center"/>
          </w:tcPr>
          <w:p w14:paraId="238E910F">
            <w:pPr>
              <w:adjustRightInd w:val="0"/>
              <w:snapToGrid w:val="0"/>
              <w:spacing w:line="360" w:lineRule="auto"/>
              <w:jc w:val="center"/>
              <w:rPr>
                <w:rFonts w:ascii="宋体" w:hAnsi="宋体" w:cs="宋体"/>
                <w:szCs w:val="21"/>
              </w:rPr>
            </w:pPr>
          </w:p>
        </w:tc>
        <w:tc>
          <w:tcPr>
            <w:tcW w:w="2856" w:type="dxa"/>
            <w:noWrap/>
            <w:vAlign w:val="center"/>
          </w:tcPr>
          <w:p w14:paraId="6F7A4C9C">
            <w:pPr>
              <w:adjustRightInd w:val="0"/>
              <w:snapToGrid w:val="0"/>
              <w:spacing w:line="360" w:lineRule="auto"/>
              <w:jc w:val="center"/>
              <w:rPr>
                <w:rFonts w:ascii="宋体" w:hAnsi="宋体" w:cs="宋体"/>
                <w:szCs w:val="21"/>
              </w:rPr>
            </w:pPr>
            <w:r>
              <w:rPr>
                <w:rFonts w:hint="eastAsia" w:ascii="宋体" w:hAnsi="宋体" w:cs="宋体"/>
                <w:szCs w:val="21"/>
              </w:rPr>
              <w:t>价格评审优惠</w:t>
            </w:r>
          </w:p>
        </w:tc>
        <w:tc>
          <w:tcPr>
            <w:tcW w:w="5842" w:type="dxa"/>
            <w:noWrap/>
            <w:vAlign w:val="center"/>
          </w:tcPr>
          <w:p w14:paraId="59BFA12C">
            <w:pPr>
              <w:adjustRightInd w:val="0"/>
              <w:rPr>
                <w:rFonts w:ascii="宋体" w:hAnsi="宋体" w:cs="宋体"/>
                <w:szCs w:val="21"/>
              </w:rPr>
            </w:pPr>
            <w:r>
              <w:rPr>
                <w:rFonts w:hint="eastAsia" w:ascii="宋体" w:hAnsi="宋体" w:cs="宋体"/>
                <w:szCs w:val="21"/>
              </w:rPr>
              <w:t>①给予小型、微型企业、福利企业和监狱企业产品的价格给予10%-20%的扣除，用扣除后的价格参与评审，本项目具体扣除比例为</w:t>
            </w:r>
            <w:r>
              <w:rPr>
                <w:rFonts w:hint="eastAsia" w:ascii="宋体" w:hAnsi="宋体" w:cs="宋体"/>
                <w:szCs w:val="21"/>
                <w:u w:val="single"/>
              </w:rPr>
              <w:t xml:space="preserve"> 10％</w:t>
            </w:r>
            <w:r>
              <w:rPr>
                <w:rFonts w:hint="eastAsia" w:ascii="宋体" w:hAnsi="宋体" w:cs="宋体"/>
                <w:szCs w:val="21"/>
              </w:rPr>
              <w:t>，不重复享受政策；</w:t>
            </w:r>
          </w:p>
          <w:p w14:paraId="4D68C4FD">
            <w:pPr>
              <w:adjustRightInd w:val="0"/>
            </w:pPr>
            <w:r>
              <w:rPr>
                <w:rFonts w:hint="eastAsia" w:ascii="宋体" w:hAnsi="宋体" w:cs="宋体"/>
                <w:szCs w:val="21"/>
              </w:rPr>
              <w:t>②给予联合体2%-3%的价格扣除，用扣除后的价格参与评审，本项目具体扣除比例为</w:t>
            </w:r>
            <w:r>
              <w:rPr>
                <w:rFonts w:hint="eastAsia" w:ascii="宋体" w:hAnsi="宋体" w:cs="宋体"/>
                <w:szCs w:val="21"/>
                <w:u w:val="single"/>
              </w:rPr>
              <w:t xml:space="preserve"> / </w:t>
            </w:r>
            <w:r>
              <w:rPr>
                <w:rFonts w:hint="eastAsia" w:ascii="宋体" w:hAnsi="宋体" w:cs="宋体"/>
                <w:szCs w:val="21"/>
              </w:rPr>
              <w:t>％。本文件所称联合体价格扣除是指联合协议中约定，小型、微型企业的协议合同金额占到联合体协议合同总金额30%以上的，可给予联合体价格扣除,本项目的扣除比例为</w:t>
            </w:r>
            <w:r>
              <w:rPr>
                <w:rFonts w:hint="eastAsia" w:ascii="宋体" w:hAnsi="宋体" w:cs="宋体"/>
                <w:szCs w:val="21"/>
                <w:u w:val="single"/>
              </w:rPr>
              <w:t xml:space="preserve"> / </w:t>
            </w:r>
            <w:r>
              <w:rPr>
                <w:rFonts w:hint="eastAsia" w:ascii="宋体" w:hAnsi="宋体" w:cs="宋体"/>
                <w:szCs w:val="21"/>
              </w:rPr>
              <w:t>%。</w:t>
            </w:r>
          </w:p>
        </w:tc>
      </w:tr>
      <w:tr w14:paraId="350465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487" w:type="dxa"/>
            <w:vMerge w:val="continue"/>
            <w:noWrap/>
            <w:vAlign w:val="center"/>
          </w:tcPr>
          <w:p w14:paraId="22B5EFA4">
            <w:pPr>
              <w:adjustRightInd w:val="0"/>
              <w:snapToGrid w:val="0"/>
              <w:spacing w:line="360" w:lineRule="auto"/>
              <w:jc w:val="center"/>
              <w:rPr>
                <w:rFonts w:ascii="宋体" w:hAnsi="宋体" w:cs="宋体"/>
                <w:szCs w:val="21"/>
              </w:rPr>
            </w:pPr>
          </w:p>
        </w:tc>
        <w:tc>
          <w:tcPr>
            <w:tcW w:w="2856" w:type="dxa"/>
            <w:noWrap/>
            <w:vAlign w:val="center"/>
          </w:tcPr>
          <w:p w14:paraId="6D543882">
            <w:pPr>
              <w:adjustRightInd w:val="0"/>
              <w:snapToGrid w:val="0"/>
              <w:spacing w:line="360" w:lineRule="auto"/>
              <w:jc w:val="center"/>
              <w:rPr>
                <w:rFonts w:ascii="宋体" w:hAnsi="宋体" w:cs="宋体"/>
                <w:szCs w:val="21"/>
              </w:rPr>
            </w:pPr>
            <w:r>
              <w:rPr>
                <w:rFonts w:hint="eastAsia" w:ascii="宋体" w:hAnsi="宋体" w:cs="宋体"/>
                <w:szCs w:val="21"/>
              </w:rPr>
              <w:t>优先采购</w:t>
            </w:r>
          </w:p>
        </w:tc>
        <w:tc>
          <w:tcPr>
            <w:tcW w:w="5842" w:type="dxa"/>
            <w:noWrap/>
            <w:vAlign w:val="center"/>
          </w:tcPr>
          <w:p w14:paraId="39B7BE71">
            <w:pPr>
              <w:widowControl/>
              <w:jc w:val="left"/>
              <w:rPr>
                <w:rFonts w:ascii="宋体" w:hAnsi="宋体" w:cs="宋体"/>
                <w:szCs w:val="21"/>
              </w:rPr>
            </w:pPr>
            <w:r>
              <w:rPr>
                <w:rFonts w:hint="eastAsia" w:ascii="宋体" w:hAnsi="宋体" w:cs="宋体"/>
                <w:kern w:val="0"/>
                <w:szCs w:val="21"/>
              </w:rPr>
              <w:t>①非强制采购节能产品:</w:t>
            </w:r>
            <w:r>
              <w:rPr>
                <w:rFonts w:hint="eastAsia" w:ascii="宋体" w:hAnsi="宋体" w:cs="宋体"/>
                <w:szCs w:val="21"/>
              </w:rPr>
              <w:t>对于技术和价格分，应分别给予</w:t>
            </w:r>
            <w:r>
              <w:rPr>
                <w:rFonts w:hint="eastAsia" w:ascii="宋体" w:hAnsi="宋体" w:cs="宋体"/>
                <w:kern w:val="0"/>
                <w:szCs w:val="21"/>
              </w:rPr>
              <w:t>一级评标因素权重</w:t>
            </w:r>
            <w:r>
              <w:rPr>
                <w:rFonts w:hint="eastAsia" w:ascii="宋体" w:hAnsi="宋体" w:cs="宋体"/>
                <w:szCs w:val="21"/>
              </w:rPr>
              <w:t>4%-8%的加分。本项目具体加分比例分别为 ：技术</w:t>
            </w:r>
            <w:r>
              <w:rPr>
                <w:rFonts w:hint="eastAsia" w:ascii="宋体" w:hAnsi="宋体"/>
                <w:b/>
                <w:szCs w:val="21"/>
                <w:u w:val="single"/>
              </w:rPr>
              <w:t xml:space="preserve">   </w:t>
            </w:r>
            <w:r>
              <w:rPr>
                <w:rFonts w:hint="eastAsia" w:ascii="宋体" w:hAnsi="宋体"/>
                <w:bCs/>
                <w:szCs w:val="21"/>
                <w:u w:val="single"/>
                <w:lang w:val="en-US" w:eastAsia="zh-CN"/>
              </w:rPr>
              <w:t>4</w:t>
            </w:r>
            <w:r>
              <w:rPr>
                <w:rFonts w:hint="eastAsia" w:ascii="宋体" w:hAnsi="宋体"/>
                <w:bCs/>
                <w:szCs w:val="21"/>
                <w:u w:val="single"/>
              </w:rPr>
              <w:t xml:space="preserve"> </w:t>
            </w:r>
            <w:r>
              <w:rPr>
                <w:rFonts w:hint="eastAsia" w:ascii="宋体" w:hAnsi="宋体"/>
                <w:b/>
                <w:szCs w:val="21"/>
                <w:u w:val="single"/>
              </w:rPr>
              <w:t xml:space="preserve"> </w:t>
            </w:r>
            <w:r>
              <w:rPr>
                <w:rFonts w:hint="eastAsia" w:ascii="宋体" w:hAnsi="宋体" w:cs="宋体"/>
                <w:szCs w:val="21"/>
              </w:rPr>
              <w:t>%、价格</w:t>
            </w:r>
            <w:r>
              <w:rPr>
                <w:rFonts w:hint="eastAsia" w:ascii="宋体" w:hAnsi="宋体"/>
                <w:b/>
                <w:szCs w:val="21"/>
                <w:u w:val="single"/>
              </w:rPr>
              <w:t xml:space="preserve">  </w:t>
            </w:r>
            <w:r>
              <w:rPr>
                <w:rFonts w:hint="eastAsia" w:ascii="宋体" w:hAnsi="宋体"/>
                <w:b/>
                <w:szCs w:val="21"/>
                <w:u w:val="single"/>
                <w:lang w:val="en-US" w:eastAsia="zh-CN"/>
              </w:rPr>
              <w:t>4</w:t>
            </w:r>
            <w:r>
              <w:rPr>
                <w:rFonts w:hint="eastAsia" w:ascii="宋体" w:hAnsi="宋体"/>
                <w:b/>
                <w:szCs w:val="21"/>
                <w:u w:val="single"/>
              </w:rPr>
              <w:t xml:space="preserve"> </w:t>
            </w:r>
            <w:r>
              <w:rPr>
                <w:rFonts w:hint="eastAsia" w:ascii="宋体" w:hAnsi="宋体"/>
                <w:szCs w:val="21"/>
              </w:rPr>
              <w:t>%。</w:t>
            </w:r>
          </w:p>
          <w:p w14:paraId="78850B6B">
            <w:pPr>
              <w:widowControl/>
              <w:jc w:val="left"/>
              <w:rPr>
                <w:rFonts w:ascii="宋体" w:hAnsi="宋体"/>
                <w:szCs w:val="21"/>
              </w:rPr>
            </w:pPr>
            <w:r>
              <w:rPr>
                <w:rFonts w:hint="eastAsia" w:ascii="宋体" w:hAnsi="宋体" w:cs="宋体"/>
                <w:kern w:val="0"/>
                <w:szCs w:val="21"/>
              </w:rPr>
              <w:t>②环境标志产品:</w:t>
            </w:r>
            <w:r>
              <w:rPr>
                <w:rFonts w:hint="eastAsia" w:ascii="宋体" w:hAnsi="宋体" w:cs="宋体"/>
                <w:szCs w:val="21"/>
              </w:rPr>
              <w:t>对于技术和价格分，应分别给予</w:t>
            </w:r>
            <w:r>
              <w:rPr>
                <w:rFonts w:hint="eastAsia" w:ascii="宋体" w:hAnsi="宋体" w:cs="宋体"/>
                <w:kern w:val="0"/>
                <w:szCs w:val="21"/>
              </w:rPr>
              <w:t>一级评标因素权重</w:t>
            </w:r>
            <w:r>
              <w:rPr>
                <w:rFonts w:hint="eastAsia" w:ascii="宋体" w:hAnsi="宋体" w:cs="宋体"/>
                <w:szCs w:val="21"/>
              </w:rPr>
              <w:t>4%-8%的加分。本项目具体加分比例分别为 ：技术</w:t>
            </w:r>
            <w:r>
              <w:rPr>
                <w:rFonts w:hint="eastAsia" w:ascii="宋体" w:hAnsi="宋体"/>
                <w:b/>
                <w:szCs w:val="21"/>
                <w:u w:val="single"/>
                <w:lang w:val="en-US" w:eastAsia="zh-CN"/>
              </w:rPr>
              <w:t>4</w:t>
            </w:r>
            <w:r>
              <w:rPr>
                <w:rFonts w:hint="eastAsia" w:ascii="宋体" w:hAnsi="宋体"/>
                <w:bCs/>
                <w:szCs w:val="21"/>
                <w:u w:val="single"/>
              </w:rPr>
              <w:t xml:space="preserve"> </w:t>
            </w:r>
            <w:r>
              <w:rPr>
                <w:rFonts w:hint="eastAsia" w:ascii="宋体" w:hAnsi="宋体"/>
                <w:b/>
                <w:szCs w:val="21"/>
                <w:u w:val="single"/>
              </w:rPr>
              <w:t xml:space="preserve"> </w:t>
            </w:r>
            <w:r>
              <w:rPr>
                <w:rFonts w:hint="eastAsia" w:ascii="宋体" w:hAnsi="宋体"/>
                <w:szCs w:val="21"/>
              </w:rPr>
              <w:t>%</w:t>
            </w:r>
            <w:r>
              <w:rPr>
                <w:rFonts w:hint="eastAsia" w:ascii="宋体" w:hAnsi="宋体" w:cs="宋体"/>
                <w:szCs w:val="21"/>
              </w:rPr>
              <w:t>、价格</w:t>
            </w:r>
            <w:r>
              <w:rPr>
                <w:rFonts w:hint="eastAsia" w:ascii="宋体" w:hAnsi="宋体"/>
                <w:b/>
                <w:szCs w:val="21"/>
                <w:u w:val="single"/>
              </w:rPr>
              <w:t xml:space="preserve">  </w:t>
            </w:r>
            <w:r>
              <w:rPr>
                <w:rFonts w:hint="eastAsia" w:ascii="宋体" w:hAnsi="宋体"/>
                <w:bCs/>
                <w:szCs w:val="21"/>
                <w:u w:val="single"/>
                <w:lang w:val="en-US" w:eastAsia="zh-CN"/>
              </w:rPr>
              <w:t>4</w:t>
            </w:r>
            <w:r>
              <w:rPr>
                <w:rFonts w:hint="eastAsia" w:ascii="宋体" w:hAnsi="宋体"/>
                <w:b/>
                <w:szCs w:val="21"/>
                <w:u w:val="single"/>
              </w:rPr>
              <w:t xml:space="preserve">  </w:t>
            </w:r>
            <w:r>
              <w:rPr>
                <w:rFonts w:hint="eastAsia" w:ascii="宋体" w:hAnsi="宋体"/>
                <w:szCs w:val="21"/>
              </w:rPr>
              <w:t>%。</w:t>
            </w:r>
          </w:p>
          <w:p w14:paraId="60A96424">
            <w:pPr>
              <w:widowControl/>
              <w:jc w:val="left"/>
              <w:rPr>
                <w:rFonts w:ascii="宋体" w:hAnsi="宋体" w:cs="宋体"/>
              </w:rPr>
            </w:pPr>
            <w:r>
              <w:rPr>
                <w:rFonts w:hint="eastAsia" w:ascii="宋体" w:hAnsi="宋体" w:cs="宋体"/>
                <w:kern w:val="0"/>
                <w:szCs w:val="21"/>
              </w:rPr>
              <w:t>上述两类产品中取其中一类进行加分。</w:t>
            </w:r>
          </w:p>
        </w:tc>
      </w:tr>
    </w:tbl>
    <w:p w14:paraId="21CC435F">
      <w:pPr>
        <w:adjustRightInd w:val="0"/>
        <w:snapToGrid w:val="0"/>
        <w:spacing w:line="360" w:lineRule="auto"/>
        <w:ind w:right="26"/>
        <w:rPr>
          <w:rFonts w:ascii="宋体" w:hAnsi="宋体" w:cs="宋体"/>
          <w:szCs w:val="21"/>
        </w:rPr>
      </w:pPr>
    </w:p>
    <w:p w14:paraId="141D380C">
      <w:pPr>
        <w:adjustRightInd w:val="0"/>
        <w:snapToGrid w:val="0"/>
        <w:spacing w:line="360" w:lineRule="auto"/>
        <w:ind w:right="26"/>
        <w:jc w:val="left"/>
        <w:rPr>
          <w:rFonts w:ascii="宋体" w:hAnsi="宋体" w:cs="宋体"/>
          <w:szCs w:val="21"/>
        </w:rPr>
      </w:pPr>
      <w:r>
        <w:rPr>
          <w:rFonts w:hint="eastAsia" w:ascii="宋体" w:hAnsi="宋体" w:cs="宋体"/>
          <w:szCs w:val="21"/>
        </w:rPr>
        <w:br w:type="page"/>
      </w:r>
      <w:r>
        <w:rPr>
          <w:rFonts w:hint="eastAsia" w:ascii="宋体" w:hAnsi="宋体" w:cs="宋体"/>
          <w:szCs w:val="21"/>
        </w:rPr>
        <w:t>附页3-1</w:t>
      </w:r>
    </w:p>
    <w:p w14:paraId="78019A8D">
      <w:pPr>
        <w:jc w:val="center"/>
        <w:outlineLvl w:val="0"/>
        <w:rPr>
          <w:rFonts w:ascii="宋体" w:hAnsi="宋体" w:cs="宋体"/>
          <w:b/>
          <w:bCs/>
          <w:kern w:val="0"/>
          <w:sz w:val="28"/>
          <w:szCs w:val="28"/>
        </w:rPr>
      </w:pPr>
      <w:bookmarkStart w:id="86" w:name="_Toc13152"/>
      <w:r>
        <w:rPr>
          <w:rFonts w:hint="eastAsia" w:ascii="宋体" w:hAnsi="宋体" w:cs="宋体"/>
          <w:b/>
          <w:bCs/>
          <w:sz w:val="28"/>
          <w:szCs w:val="28"/>
        </w:rPr>
        <w:t xml:space="preserve">     </w:t>
      </w:r>
      <w:bookmarkStart w:id="87" w:name="_Toc14212"/>
      <w:r>
        <w:rPr>
          <w:rFonts w:hint="eastAsia" w:ascii="宋体" w:hAnsi="宋体" w:cs="宋体"/>
          <w:b/>
          <w:bCs/>
          <w:sz w:val="28"/>
          <w:szCs w:val="28"/>
        </w:rPr>
        <w:t>初步评审（</w:t>
      </w:r>
      <w:r>
        <w:rPr>
          <w:rFonts w:hint="eastAsia" w:ascii="宋体" w:hAnsi="宋体" w:cs="宋体"/>
          <w:b/>
          <w:bCs/>
          <w:kern w:val="0"/>
          <w:sz w:val="28"/>
          <w:szCs w:val="28"/>
        </w:rPr>
        <w:t>资格性</w:t>
      </w:r>
      <w:r>
        <w:rPr>
          <w:rFonts w:hint="eastAsia" w:ascii="宋体" w:hAnsi="宋体" w:cs="宋体"/>
          <w:b/>
          <w:bCs/>
          <w:sz w:val="28"/>
          <w:szCs w:val="28"/>
        </w:rPr>
        <w:t>检</w:t>
      </w:r>
      <w:r>
        <w:rPr>
          <w:rFonts w:hint="eastAsia" w:ascii="宋体" w:hAnsi="宋体" w:cs="宋体"/>
          <w:b/>
          <w:bCs/>
          <w:kern w:val="0"/>
          <w:sz w:val="28"/>
          <w:szCs w:val="28"/>
        </w:rPr>
        <w:t>查、符合性检查）</w:t>
      </w:r>
      <w:bookmarkEnd w:id="86"/>
      <w:bookmarkEnd w:id="87"/>
    </w:p>
    <w:p w14:paraId="45F1D34B">
      <w:pPr>
        <w:pStyle w:val="3"/>
        <w:jc w:val="center"/>
      </w:pPr>
    </w:p>
    <w:tbl>
      <w:tblPr>
        <w:tblStyle w:val="40"/>
        <w:tblW w:w="99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9"/>
        <w:gridCol w:w="2541"/>
        <w:gridCol w:w="6511"/>
      </w:tblGrid>
      <w:tr w14:paraId="6B318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CE5B063">
            <w:pPr>
              <w:pStyle w:val="115"/>
              <w:jc w:val="center"/>
              <w:rPr>
                <w:rFonts w:ascii="宋体" w:hAnsi="宋体" w:eastAsia="宋体" w:cs="宋体"/>
                <w:sz w:val="21"/>
              </w:rPr>
            </w:pPr>
            <w:r>
              <w:rPr>
                <w:rFonts w:hint="eastAsia" w:ascii="宋体" w:hAnsi="宋体" w:eastAsia="宋体" w:cs="宋体"/>
                <w:sz w:val="21"/>
              </w:rPr>
              <w:t>条款号</w:t>
            </w:r>
          </w:p>
        </w:tc>
        <w:tc>
          <w:tcPr>
            <w:tcW w:w="254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9CED668">
            <w:pPr>
              <w:pStyle w:val="115"/>
              <w:jc w:val="center"/>
              <w:rPr>
                <w:rFonts w:ascii="宋体" w:hAnsi="宋体" w:eastAsia="宋体" w:cs="宋体"/>
                <w:sz w:val="21"/>
              </w:rPr>
            </w:pPr>
            <w:r>
              <w:rPr>
                <w:rFonts w:hint="eastAsia" w:ascii="宋体" w:hAnsi="宋体" w:eastAsia="宋体" w:cs="宋体"/>
                <w:sz w:val="21"/>
              </w:rPr>
              <w:t>评分点名称</w:t>
            </w:r>
          </w:p>
        </w:tc>
        <w:tc>
          <w:tcPr>
            <w:tcW w:w="651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AE436F4">
            <w:pPr>
              <w:pStyle w:val="115"/>
              <w:jc w:val="center"/>
              <w:rPr>
                <w:rFonts w:ascii="宋体" w:hAnsi="宋体" w:eastAsia="宋体" w:cs="宋体"/>
                <w:sz w:val="21"/>
              </w:rPr>
            </w:pPr>
            <w:r>
              <w:rPr>
                <w:rFonts w:hint="eastAsia" w:ascii="宋体" w:hAnsi="宋体" w:eastAsia="宋体" w:cs="宋体"/>
                <w:sz w:val="21"/>
              </w:rPr>
              <w:t>评审标准</w:t>
            </w:r>
          </w:p>
        </w:tc>
      </w:tr>
      <w:tr w14:paraId="30F51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5660632">
            <w:pPr>
              <w:pStyle w:val="115"/>
              <w:jc w:val="center"/>
              <w:rPr>
                <w:rFonts w:ascii="宋体" w:hAnsi="宋体" w:eastAsia="宋体" w:cs="宋体"/>
                <w:sz w:val="21"/>
              </w:rPr>
            </w:pPr>
            <w:r>
              <w:rPr>
                <w:rFonts w:hint="eastAsia" w:ascii="宋体" w:hAnsi="宋体" w:eastAsia="宋体" w:cs="宋体"/>
                <w:sz w:val="21"/>
              </w:rPr>
              <w:t>资格</w:t>
            </w:r>
          </w:p>
          <w:p w14:paraId="3E603CE9">
            <w:pPr>
              <w:pStyle w:val="115"/>
              <w:jc w:val="center"/>
              <w:rPr>
                <w:rFonts w:ascii="宋体" w:hAnsi="宋体" w:eastAsia="宋体" w:cs="宋体"/>
                <w:sz w:val="21"/>
              </w:rPr>
            </w:pPr>
            <w:r>
              <w:rPr>
                <w:rFonts w:hint="eastAsia" w:ascii="宋体" w:hAnsi="宋体" w:eastAsia="宋体" w:cs="宋体"/>
                <w:sz w:val="21"/>
              </w:rPr>
              <w:t>评审</w:t>
            </w:r>
          </w:p>
        </w:tc>
        <w:tc>
          <w:tcPr>
            <w:tcW w:w="254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382A26D">
            <w:pPr>
              <w:pStyle w:val="115"/>
              <w:jc w:val="center"/>
              <w:rPr>
                <w:rFonts w:ascii="宋体" w:hAnsi="宋体" w:eastAsia="宋体" w:cs="宋体"/>
                <w:sz w:val="21"/>
              </w:rPr>
            </w:pPr>
            <w:r>
              <w:rPr>
                <w:rFonts w:hint="eastAsia" w:ascii="宋体" w:hAnsi="宋体" w:eastAsia="宋体" w:cs="宋体"/>
                <w:sz w:val="21"/>
              </w:rPr>
              <w:t>法人营业执照</w:t>
            </w:r>
          </w:p>
        </w:tc>
        <w:tc>
          <w:tcPr>
            <w:tcW w:w="651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B595129">
            <w:pPr>
              <w:pStyle w:val="115"/>
              <w:rPr>
                <w:rFonts w:ascii="宋体" w:hAnsi="宋体" w:eastAsia="宋体" w:cs="宋体"/>
                <w:sz w:val="21"/>
              </w:rPr>
            </w:pPr>
            <w:r>
              <w:rPr>
                <w:rFonts w:hint="eastAsia" w:ascii="宋体" w:hAnsi="宋体" w:eastAsia="宋体" w:cs="宋体"/>
                <w:sz w:val="21"/>
              </w:rPr>
              <w:t>法人提交企业法人营业执照副本(或者法人登记证书)以及组织机构代码证副本扫描件</w:t>
            </w:r>
          </w:p>
        </w:tc>
      </w:tr>
      <w:tr w14:paraId="2E3E9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81995A3">
            <w:pPr>
              <w:pStyle w:val="115"/>
              <w:jc w:val="center"/>
              <w:rPr>
                <w:rFonts w:ascii="宋体" w:hAnsi="宋体" w:eastAsia="宋体" w:cs="宋体"/>
                <w:sz w:val="21"/>
              </w:rPr>
            </w:pPr>
          </w:p>
        </w:tc>
        <w:tc>
          <w:tcPr>
            <w:tcW w:w="254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CE6DE79">
            <w:pPr>
              <w:pStyle w:val="115"/>
              <w:rPr>
                <w:rFonts w:ascii="宋体" w:hAnsi="宋体" w:eastAsia="宋体" w:cs="宋体"/>
                <w:sz w:val="21"/>
              </w:rPr>
            </w:pPr>
            <w:r>
              <w:rPr>
                <w:rFonts w:hint="eastAsia" w:ascii="宋体" w:hAnsi="宋体" w:eastAsia="宋体" w:cs="宋体"/>
                <w:sz w:val="21"/>
              </w:rPr>
              <w:t>法定代表人（或负责人）或法人（负责人）授权委托书原件及复印件</w:t>
            </w:r>
          </w:p>
        </w:tc>
        <w:tc>
          <w:tcPr>
            <w:tcW w:w="651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5A739F7">
            <w:pPr>
              <w:pStyle w:val="115"/>
              <w:rPr>
                <w:rFonts w:ascii="宋体" w:hAnsi="宋体" w:eastAsia="宋体" w:cs="宋体"/>
                <w:sz w:val="21"/>
              </w:rPr>
            </w:pPr>
            <w:r>
              <w:rPr>
                <w:rFonts w:hint="eastAsia" w:ascii="宋体" w:hAnsi="宋体" w:eastAsia="宋体" w:cs="宋体"/>
                <w:sz w:val="21"/>
              </w:rPr>
              <w:t>法人提交法定代表人身份证明扫描件或者法定代表人授权委托书扫描件以及被授权代表人在投标单位或投标单位依法登记的分支机构近三个月内任意一个月的社保证明并附法定代表人身份证明扫描件，自然人提交身份证扫描件。</w:t>
            </w:r>
          </w:p>
        </w:tc>
      </w:tr>
      <w:tr w14:paraId="2454A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071627F">
            <w:pPr>
              <w:pStyle w:val="115"/>
              <w:jc w:val="center"/>
              <w:rPr>
                <w:rFonts w:ascii="宋体" w:hAnsi="宋体" w:eastAsia="宋体" w:cs="宋体"/>
                <w:sz w:val="21"/>
              </w:rPr>
            </w:pPr>
          </w:p>
        </w:tc>
        <w:tc>
          <w:tcPr>
            <w:tcW w:w="254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7239B44">
            <w:pPr>
              <w:pStyle w:val="115"/>
              <w:jc w:val="center"/>
              <w:rPr>
                <w:rFonts w:ascii="宋体" w:hAnsi="宋体" w:eastAsia="宋体" w:cs="宋体"/>
                <w:sz w:val="21"/>
              </w:rPr>
            </w:pPr>
            <w:r>
              <w:rPr>
                <w:rFonts w:hint="eastAsia" w:ascii="宋体" w:hAnsi="宋体" w:eastAsia="宋体" w:cs="宋体"/>
                <w:sz w:val="21"/>
              </w:rPr>
              <w:t>依法缴纳税收和社会保险费的证明材料</w:t>
            </w:r>
          </w:p>
        </w:tc>
        <w:tc>
          <w:tcPr>
            <w:tcW w:w="651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333E54F">
            <w:pPr>
              <w:adjustRightInd w:val="0"/>
              <w:snapToGrid w:val="0"/>
              <w:spacing w:line="330" w:lineRule="exact"/>
              <w:rPr>
                <w:rFonts w:ascii="宋体" w:hAnsi="宋体"/>
                <w:sz w:val="18"/>
                <w:szCs w:val="18"/>
              </w:rPr>
            </w:pPr>
            <w:r>
              <w:rPr>
                <w:rFonts w:hint="eastAsia" w:ascii="宋体" w:hAnsi="宋体"/>
                <w:sz w:val="18"/>
                <w:szCs w:val="18"/>
              </w:rPr>
              <w:t>依法缴纳税收和社会保险费的证明材料,各上传下列材料之一:</w:t>
            </w:r>
          </w:p>
          <w:p w14:paraId="7810E535">
            <w:pPr>
              <w:adjustRightInd w:val="0"/>
              <w:snapToGrid w:val="0"/>
              <w:spacing w:line="330" w:lineRule="exact"/>
              <w:rPr>
                <w:rFonts w:ascii="宋体" w:hAnsi="宋体"/>
                <w:sz w:val="18"/>
                <w:szCs w:val="18"/>
              </w:rPr>
            </w:pPr>
            <w:r>
              <w:rPr>
                <w:rFonts w:hint="eastAsia" w:ascii="宋体" w:hAnsi="宋体"/>
                <w:sz w:val="18"/>
                <w:szCs w:val="18"/>
              </w:rPr>
              <w:t>①缴纳税收证明资料:近三个月内任意一个月依法缴纳税收的证明（纳税凭证扫描件），或者委托他人缴纳的委托代办协议和近三个月内任意一个月的缴纳证明（收据扫描件），或者法定征收机关出具的依法免缴税收的证明扫描件，或</w:t>
            </w:r>
            <w:r>
              <w:rPr>
                <w:rFonts w:hint="eastAsia" w:ascii="宋体" w:hAnsi="宋体" w:cs="宋体"/>
                <w:sz w:val="18"/>
                <w:szCs w:val="18"/>
              </w:rPr>
              <w:t>《湖南省政府采购供应商资格承诺函》</w:t>
            </w:r>
            <w:r>
              <w:rPr>
                <w:rFonts w:hint="eastAsia" w:ascii="宋体" w:hAnsi="宋体" w:cs="宋体"/>
                <w:kern w:val="0"/>
                <w:sz w:val="18"/>
                <w:szCs w:val="18"/>
              </w:rPr>
              <w:t>扫描件</w:t>
            </w:r>
            <w:r>
              <w:rPr>
                <w:rFonts w:hint="eastAsia" w:ascii="宋体" w:hAnsi="宋体" w:cs="宋体"/>
                <w:sz w:val="18"/>
                <w:szCs w:val="18"/>
              </w:rPr>
              <w:t>。</w:t>
            </w:r>
          </w:p>
          <w:p w14:paraId="263D3F2B">
            <w:pPr>
              <w:pStyle w:val="115"/>
              <w:rPr>
                <w:rFonts w:ascii="宋体" w:hAnsi="宋体" w:eastAsia="宋体" w:cs="宋体"/>
                <w:sz w:val="21"/>
              </w:rPr>
            </w:pPr>
            <w:r>
              <w:rPr>
                <w:rFonts w:hint="eastAsia" w:ascii="宋体" w:hAnsi="宋体"/>
                <w:sz w:val="18"/>
                <w:szCs w:val="18"/>
              </w:rPr>
              <w:t>②缴纳社会保险证明资料：近三个月内任意一个月依法缴纳社会保险的证明（缴费凭证扫描件），或者委托他人缴纳的委托代办协议和近三个月内任意一个月的缴纳证明（收据扫描件），或者法定征收机关出具的依法免缴保险费的证明扫描件，或</w:t>
            </w:r>
            <w:r>
              <w:rPr>
                <w:rFonts w:hint="eastAsia" w:ascii="宋体" w:hAnsi="宋体" w:eastAsia="宋体" w:cs="宋体"/>
                <w:sz w:val="18"/>
                <w:szCs w:val="18"/>
              </w:rPr>
              <w:t>《湖南省政府采购供应商资格承诺函》扫描件</w:t>
            </w:r>
            <w:r>
              <w:rPr>
                <w:rFonts w:hint="eastAsia" w:ascii="宋体" w:hAnsi="宋体"/>
                <w:sz w:val="18"/>
                <w:szCs w:val="18"/>
              </w:rPr>
              <w:t>。</w:t>
            </w:r>
          </w:p>
        </w:tc>
      </w:tr>
      <w:tr w14:paraId="60356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09E2CD1">
            <w:pPr>
              <w:pStyle w:val="115"/>
              <w:jc w:val="center"/>
              <w:rPr>
                <w:rFonts w:ascii="宋体" w:hAnsi="宋体" w:eastAsia="宋体" w:cs="宋体"/>
                <w:sz w:val="21"/>
              </w:rPr>
            </w:pPr>
          </w:p>
        </w:tc>
        <w:tc>
          <w:tcPr>
            <w:tcW w:w="254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5877137">
            <w:pPr>
              <w:pStyle w:val="115"/>
              <w:jc w:val="center"/>
              <w:rPr>
                <w:rFonts w:ascii="宋体" w:hAnsi="宋体" w:eastAsia="宋体" w:cs="宋体"/>
                <w:sz w:val="21"/>
              </w:rPr>
            </w:pPr>
            <w:r>
              <w:rPr>
                <w:rFonts w:hint="eastAsia" w:ascii="宋体" w:hAnsi="宋体" w:eastAsia="宋体" w:cs="宋体"/>
                <w:sz w:val="21"/>
              </w:rPr>
              <w:t>其他说明</w:t>
            </w:r>
          </w:p>
        </w:tc>
        <w:tc>
          <w:tcPr>
            <w:tcW w:w="651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EA0956F">
            <w:pPr>
              <w:pStyle w:val="115"/>
              <w:jc w:val="center"/>
              <w:rPr>
                <w:rFonts w:ascii="宋体" w:hAnsi="宋体" w:eastAsia="宋体" w:cs="宋体"/>
                <w:sz w:val="21"/>
              </w:rPr>
            </w:pPr>
            <w:r>
              <w:rPr>
                <w:rFonts w:hint="eastAsia" w:ascii="宋体" w:hAnsi="宋体" w:eastAsia="宋体" w:cs="宋体"/>
                <w:sz w:val="21"/>
              </w:rPr>
              <w:t>其他说明。(非法人组织参与投标需提供的相关证明材料)</w:t>
            </w:r>
          </w:p>
        </w:tc>
      </w:tr>
      <w:tr w14:paraId="00151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0F4AA68">
            <w:pPr>
              <w:pStyle w:val="115"/>
              <w:jc w:val="center"/>
              <w:rPr>
                <w:rFonts w:ascii="宋体" w:hAnsi="宋体" w:eastAsia="宋体" w:cs="宋体"/>
                <w:sz w:val="21"/>
              </w:rPr>
            </w:pPr>
          </w:p>
        </w:tc>
        <w:tc>
          <w:tcPr>
            <w:tcW w:w="254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3B35455">
            <w:pPr>
              <w:pStyle w:val="115"/>
              <w:jc w:val="center"/>
              <w:rPr>
                <w:rFonts w:ascii="宋体" w:hAnsi="宋体" w:eastAsia="宋体" w:cs="宋体"/>
                <w:sz w:val="21"/>
              </w:rPr>
            </w:pPr>
            <w:r>
              <w:rPr>
                <w:rFonts w:hint="eastAsia" w:ascii="宋体" w:hAnsi="宋体" w:eastAsia="宋体" w:cs="宋体"/>
                <w:sz w:val="21"/>
              </w:rPr>
              <w:t>信用记录查询情况</w:t>
            </w:r>
          </w:p>
        </w:tc>
        <w:tc>
          <w:tcPr>
            <w:tcW w:w="651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A6A967F">
            <w:pPr>
              <w:pStyle w:val="115"/>
              <w:jc w:val="center"/>
              <w:rPr>
                <w:rFonts w:ascii="宋体" w:hAnsi="宋体" w:eastAsia="宋体" w:cs="宋体"/>
                <w:sz w:val="21"/>
              </w:rPr>
            </w:pPr>
            <w:r>
              <w:rPr>
                <w:rFonts w:hint="eastAsia" w:ascii="宋体" w:hAnsi="宋体" w:eastAsia="宋体" w:cs="宋体"/>
                <w:sz w:val="21"/>
              </w:rPr>
              <w:t>被“信用中国”网站列入失信被执行人和重大税收违法案件当事人名单的、被“中国政府采购网”网站列入政府采购严重违法失信行为记录名单（处罚期限尚未届满的），不得参与本项目的政府采购活动。</w:t>
            </w:r>
          </w:p>
        </w:tc>
      </w:tr>
      <w:tr w14:paraId="678D7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B62A543">
            <w:pPr>
              <w:pStyle w:val="115"/>
              <w:jc w:val="center"/>
              <w:rPr>
                <w:rFonts w:ascii="宋体" w:hAnsi="宋体" w:eastAsia="宋体" w:cs="宋体"/>
                <w:sz w:val="21"/>
              </w:rPr>
            </w:pPr>
          </w:p>
        </w:tc>
        <w:tc>
          <w:tcPr>
            <w:tcW w:w="254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BFE40CC">
            <w:pPr>
              <w:pStyle w:val="115"/>
              <w:jc w:val="center"/>
              <w:rPr>
                <w:rFonts w:ascii="宋体" w:hAnsi="宋体" w:eastAsia="宋体" w:cs="宋体"/>
                <w:sz w:val="21"/>
              </w:rPr>
            </w:pPr>
            <w:r>
              <w:rPr>
                <w:rFonts w:hint="eastAsia" w:ascii="宋体" w:hAnsi="宋体" w:eastAsia="宋体" w:cs="宋体"/>
                <w:sz w:val="21"/>
              </w:rPr>
              <w:t>湖南省政府采购供应商资格承诺函</w:t>
            </w:r>
          </w:p>
        </w:tc>
        <w:tc>
          <w:tcPr>
            <w:tcW w:w="651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080054F">
            <w:pPr>
              <w:pStyle w:val="115"/>
              <w:jc w:val="center"/>
              <w:rPr>
                <w:rFonts w:ascii="宋体" w:hAnsi="宋体" w:eastAsia="宋体" w:cs="宋体"/>
                <w:sz w:val="21"/>
              </w:rPr>
            </w:pPr>
            <w:r>
              <w:rPr>
                <w:rFonts w:hint="eastAsia" w:ascii="宋体" w:hAnsi="宋体" w:eastAsia="宋体" w:cs="宋体"/>
                <w:sz w:val="21"/>
              </w:rPr>
              <w:t>扫描件（提供承诺函的无需提供财务状况、缴纳税收和社会保障资金等资格证明材料)</w:t>
            </w:r>
          </w:p>
        </w:tc>
      </w:tr>
      <w:tr w14:paraId="757E5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4A7E6A1">
            <w:pPr>
              <w:pStyle w:val="115"/>
              <w:jc w:val="center"/>
              <w:rPr>
                <w:rFonts w:ascii="宋体" w:hAnsi="宋体" w:eastAsia="宋体" w:cs="宋体"/>
                <w:sz w:val="21"/>
              </w:rPr>
            </w:pPr>
          </w:p>
        </w:tc>
        <w:tc>
          <w:tcPr>
            <w:tcW w:w="254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7BACD67">
            <w:pPr>
              <w:pStyle w:val="115"/>
              <w:jc w:val="center"/>
              <w:rPr>
                <w:rFonts w:ascii="宋体" w:hAnsi="宋体" w:eastAsia="宋体" w:cs="宋体"/>
                <w:sz w:val="21"/>
              </w:rPr>
            </w:pPr>
            <w:r>
              <w:rPr>
                <w:rFonts w:hint="eastAsia" w:ascii="宋体" w:hAnsi="宋体" w:eastAsia="宋体" w:cs="宋体"/>
                <w:sz w:val="21"/>
              </w:rPr>
              <w:t>特定资格条件</w:t>
            </w:r>
          </w:p>
        </w:tc>
        <w:tc>
          <w:tcPr>
            <w:tcW w:w="651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2A74767">
            <w:pPr>
              <w:pStyle w:val="115"/>
              <w:jc w:val="center"/>
              <w:rPr>
                <w:rFonts w:ascii="宋体" w:hAnsi="宋体" w:eastAsia="宋体" w:cs="宋体"/>
                <w:sz w:val="21"/>
              </w:rPr>
            </w:pPr>
            <w:r>
              <w:rPr>
                <w:rFonts w:hint="eastAsia" w:ascii="宋体" w:hAnsi="宋体" w:eastAsia="宋体" w:cs="宋体"/>
                <w:sz w:val="21"/>
              </w:rPr>
              <w:t>提供扫描件</w:t>
            </w:r>
          </w:p>
        </w:tc>
      </w:tr>
      <w:tr w14:paraId="6D20B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C6F8286">
            <w:pPr>
              <w:pStyle w:val="115"/>
              <w:jc w:val="center"/>
              <w:rPr>
                <w:rFonts w:ascii="宋体" w:hAnsi="宋体" w:eastAsia="宋体" w:cs="宋体"/>
                <w:sz w:val="21"/>
              </w:rPr>
            </w:pPr>
          </w:p>
        </w:tc>
        <w:tc>
          <w:tcPr>
            <w:tcW w:w="254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EEBECB2">
            <w:pPr>
              <w:pStyle w:val="115"/>
              <w:jc w:val="center"/>
              <w:rPr>
                <w:rFonts w:ascii="宋体" w:hAnsi="宋体" w:eastAsia="宋体" w:cs="宋体"/>
                <w:sz w:val="21"/>
              </w:rPr>
            </w:pPr>
            <w:r>
              <w:rPr>
                <w:rFonts w:hint="eastAsia" w:ascii="宋体" w:hAnsi="宋体" w:eastAsia="宋体" w:cs="宋体"/>
                <w:sz w:val="21"/>
              </w:rPr>
              <w:t>具有履行本项目采购合同所必须的设备和专业技术能力证明材料（根据项目具体履约需求明确）</w:t>
            </w:r>
          </w:p>
        </w:tc>
        <w:tc>
          <w:tcPr>
            <w:tcW w:w="651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01CD80A">
            <w:pPr>
              <w:pStyle w:val="115"/>
              <w:jc w:val="center"/>
              <w:rPr>
                <w:rFonts w:ascii="宋体" w:hAnsi="宋体" w:eastAsia="宋体" w:cs="宋体"/>
                <w:sz w:val="21"/>
              </w:rPr>
            </w:pPr>
            <w:r>
              <w:rPr>
                <w:rFonts w:hint="eastAsia" w:ascii="宋体" w:hAnsi="宋体" w:eastAsia="宋体" w:cs="宋体"/>
                <w:sz w:val="21"/>
              </w:rPr>
              <w:t>具有履行本项目采购合同所必须的设备和专业技术能力证明材料（根据项目具体履约需求明确）</w:t>
            </w:r>
          </w:p>
        </w:tc>
      </w:tr>
      <w:tr w14:paraId="2BFDB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5535A83">
            <w:pPr>
              <w:pStyle w:val="115"/>
              <w:jc w:val="center"/>
              <w:rPr>
                <w:rFonts w:ascii="宋体" w:hAnsi="宋体" w:eastAsia="宋体" w:cs="宋体"/>
                <w:sz w:val="21"/>
              </w:rPr>
            </w:pPr>
            <w:r>
              <w:rPr>
                <w:rFonts w:hint="eastAsia" w:ascii="宋体" w:hAnsi="宋体" w:eastAsia="宋体" w:cs="宋体"/>
                <w:sz w:val="21"/>
              </w:rPr>
              <w:t>条款号</w:t>
            </w:r>
          </w:p>
        </w:tc>
        <w:tc>
          <w:tcPr>
            <w:tcW w:w="254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07DC7C8">
            <w:pPr>
              <w:pStyle w:val="115"/>
              <w:jc w:val="center"/>
              <w:rPr>
                <w:rFonts w:ascii="宋体" w:hAnsi="宋体" w:eastAsia="宋体" w:cs="宋体"/>
                <w:sz w:val="21"/>
              </w:rPr>
            </w:pPr>
            <w:r>
              <w:rPr>
                <w:rFonts w:hint="eastAsia" w:ascii="宋体" w:hAnsi="宋体" w:eastAsia="宋体" w:cs="宋体"/>
                <w:sz w:val="21"/>
              </w:rPr>
              <w:t>评分点名称</w:t>
            </w:r>
          </w:p>
        </w:tc>
        <w:tc>
          <w:tcPr>
            <w:tcW w:w="651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DC4B918">
            <w:pPr>
              <w:pStyle w:val="115"/>
              <w:jc w:val="center"/>
              <w:rPr>
                <w:rFonts w:ascii="宋体" w:hAnsi="宋体" w:eastAsia="宋体" w:cs="宋体"/>
                <w:sz w:val="21"/>
              </w:rPr>
            </w:pPr>
            <w:r>
              <w:rPr>
                <w:rFonts w:hint="eastAsia" w:ascii="宋体" w:hAnsi="宋体" w:eastAsia="宋体" w:cs="宋体"/>
                <w:sz w:val="21"/>
              </w:rPr>
              <w:t>评审标准</w:t>
            </w:r>
          </w:p>
        </w:tc>
      </w:tr>
      <w:tr w14:paraId="7A465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FA1BBF6">
            <w:pPr>
              <w:pStyle w:val="115"/>
              <w:jc w:val="center"/>
              <w:rPr>
                <w:rFonts w:ascii="宋体" w:hAnsi="宋体" w:eastAsia="宋体" w:cs="宋体"/>
                <w:sz w:val="21"/>
              </w:rPr>
            </w:pPr>
            <w:r>
              <w:rPr>
                <w:rFonts w:hint="eastAsia" w:ascii="宋体" w:hAnsi="宋体" w:eastAsia="宋体" w:cs="宋体"/>
                <w:sz w:val="21"/>
              </w:rPr>
              <w:t>符合性评审</w:t>
            </w:r>
          </w:p>
        </w:tc>
        <w:tc>
          <w:tcPr>
            <w:tcW w:w="254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6293105">
            <w:pPr>
              <w:pStyle w:val="115"/>
              <w:jc w:val="center"/>
              <w:rPr>
                <w:rFonts w:ascii="宋体" w:hAnsi="宋体" w:eastAsia="宋体" w:cs="宋体"/>
                <w:sz w:val="21"/>
                <w:highlight w:val="none"/>
              </w:rPr>
            </w:pPr>
            <w:r>
              <w:rPr>
                <w:rFonts w:hint="eastAsia" w:ascii="宋体" w:hAnsi="宋体" w:eastAsia="宋体" w:cs="宋体"/>
                <w:sz w:val="21"/>
                <w:highlight w:val="none"/>
              </w:rPr>
              <w:t>是否满足招标文件商务、技术等实质性要求</w:t>
            </w:r>
          </w:p>
        </w:tc>
        <w:tc>
          <w:tcPr>
            <w:tcW w:w="651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8377A67">
            <w:pPr>
              <w:pStyle w:val="115"/>
              <w:jc w:val="center"/>
              <w:rPr>
                <w:rFonts w:ascii="宋体" w:hAnsi="宋体" w:eastAsia="宋体" w:cs="宋体"/>
                <w:sz w:val="21"/>
              </w:rPr>
            </w:pPr>
            <w:r>
              <w:rPr>
                <w:rFonts w:hint="eastAsia" w:ascii="宋体" w:hAnsi="宋体" w:eastAsia="宋体" w:cs="宋体"/>
                <w:sz w:val="21"/>
              </w:rPr>
              <w:t>评标委员会应当对符合资格条件的投标人的投标文件进行符合性审查，以确定其是否满足招标文件商务、技术等实质性要求</w:t>
            </w:r>
          </w:p>
        </w:tc>
      </w:tr>
      <w:tr w14:paraId="08089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6F4F7E7">
            <w:pPr>
              <w:pStyle w:val="115"/>
              <w:jc w:val="center"/>
              <w:rPr>
                <w:rFonts w:ascii="宋体" w:hAnsi="宋体" w:eastAsia="宋体" w:cs="宋体"/>
                <w:sz w:val="21"/>
              </w:rPr>
            </w:pPr>
          </w:p>
        </w:tc>
        <w:tc>
          <w:tcPr>
            <w:tcW w:w="254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FCED896">
            <w:pPr>
              <w:pStyle w:val="115"/>
              <w:jc w:val="center"/>
              <w:rPr>
                <w:rFonts w:ascii="宋体" w:hAnsi="宋体" w:eastAsia="宋体" w:cs="宋体"/>
                <w:sz w:val="21"/>
                <w:highlight w:val="none"/>
              </w:rPr>
            </w:pPr>
            <w:r>
              <w:rPr>
                <w:rFonts w:hint="eastAsia" w:ascii="宋体" w:hAnsi="宋体" w:eastAsia="宋体" w:cs="宋体"/>
                <w:sz w:val="21"/>
                <w:highlight w:val="none"/>
              </w:rPr>
              <w:t>投标文件响应性</w:t>
            </w:r>
          </w:p>
        </w:tc>
        <w:tc>
          <w:tcPr>
            <w:tcW w:w="651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596A48E">
            <w:pPr>
              <w:pStyle w:val="115"/>
              <w:jc w:val="center"/>
              <w:rPr>
                <w:rFonts w:ascii="宋体" w:hAnsi="宋体" w:eastAsia="宋体" w:cs="宋体"/>
                <w:sz w:val="21"/>
              </w:rPr>
            </w:pPr>
            <w:r>
              <w:rPr>
                <w:rFonts w:hint="eastAsia" w:ascii="宋体" w:hAnsi="宋体" w:eastAsia="宋体" w:cs="宋体"/>
                <w:sz w:val="21"/>
              </w:rPr>
              <w:t>依据招标文件的规定，从投标文件的有效性、完整性和对招标文件的响应程度进行审查，以确定是否对招标文件的实质性要求作出响应。</w:t>
            </w:r>
          </w:p>
          <w:p w14:paraId="31D12D1F">
            <w:pPr>
              <w:pStyle w:val="115"/>
              <w:jc w:val="center"/>
              <w:rPr>
                <w:rFonts w:ascii="宋体" w:hAnsi="宋体" w:eastAsia="宋体" w:cs="宋体"/>
                <w:sz w:val="21"/>
              </w:rPr>
            </w:pPr>
            <w:r>
              <w:rPr>
                <w:rFonts w:hint="eastAsia" w:ascii="宋体" w:hAnsi="宋体" w:eastAsia="宋体" w:cs="宋体"/>
                <w:sz w:val="21"/>
              </w:rPr>
              <w:t>评标委员会决定投标文件的响应性只根据投标文件真实无误的内容，而不依据外部的证据，但投标文件有不真实、不正确的内容时除外。</w:t>
            </w:r>
          </w:p>
        </w:tc>
      </w:tr>
      <w:tr w14:paraId="366BB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0473138">
            <w:pPr>
              <w:pStyle w:val="115"/>
              <w:jc w:val="center"/>
              <w:rPr>
                <w:rFonts w:ascii="宋体" w:hAnsi="宋体" w:eastAsia="宋体" w:cs="宋体"/>
                <w:sz w:val="21"/>
              </w:rPr>
            </w:pPr>
          </w:p>
        </w:tc>
        <w:tc>
          <w:tcPr>
            <w:tcW w:w="254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21A6416">
            <w:pPr>
              <w:pStyle w:val="115"/>
              <w:jc w:val="center"/>
              <w:rPr>
                <w:rFonts w:ascii="宋体" w:hAnsi="宋体" w:eastAsia="宋体" w:cs="宋体"/>
                <w:sz w:val="21"/>
              </w:rPr>
            </w:pPr>
            <w:r>
              <w:rPr>
                <w:rFonts w:hint="eastAsia" w:ascii="宋体" w:hAnsi="宋体" w:eastAsia="宋体" w:cs="宋体"/>
                <w:sz w:val="21"/>
              </w:rPr>
              <w:t>投标人不得通过修正或撤销不合要求的偏离从而使其投标成为实质上响应的投标</w:t>
            </w:r>
          </w:p>
        </w:tc>
        <w:tc>
          <w:tcPr>
            <w:tcW w:w="651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571C95B">
            <w:pPr>
              <w:pStyle w:val="115"/>
              <w:jc w:val="center"/>
              <w:rPr>
                <w:rFonts w:ascii="宋体" w:hAnsi="宋体" w:eastAsia="宋体" w:cs="宋体"/>
                <w:sz w:val="21"/>
              </w:rPr>
            </w:pPr>
            <w:r>
              <w:rPr>
                <w:rFonts w:hint="eastAsia" w:ascii="宋体" w:hAnsi="宋体" w:eastAsia="宋体" w:cs="宋体"/>
                <w:sz w:val="21"/>
              </w:rPr>
              <w:t>投标人不得通过修正或撤销不合要求的偏离从而使其投标成为实质上响应的投标。</w:t>
            </w:r>
          </w:p>
        </w:tc>
      </w:tr>
      <w:tr w14:paraId="3F3A6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638FD21">
            <w:pPr>
              <w:pStyle w:val="115"/>
              <w:jc w:val="center"/>
              <w:rPr>
                <w:rFonts w:ascii="宋体" w:hAnsi="宋体" w:eastAsia="宋体" w:cs="宋体"/>
                <w:sz w:val="21"/>
              </w:rPr>
            </w:pPr>
          </w:p>
        </w:tc>
        <w:tc>
          <w:tcPr>
            <w:tcW w:w="254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4506B39">
            <w:pPr>
              <w:pStyle w:val="115"/>
              <w:jc w:val="center"/>
              <w:rPr>
                <w:rFonts w:ascii="宋体" w:hAnsi="宋体" w:eastAsia="宋体" w:cs="宋体"/>
                <w:sz w:val="21"/>
              </w:rPr>
            </w:pPr>
            <w:r>
              <w:rPr>
                <w:rFonts w:hint="eastAsia" w:ascii="宋体" w:hAnsi="宋体" w:eastAsia="宋体" w:cs="宋体"/>
                <w:sz w:val="21"/>
              </w:rPr>
              <w:t>投标文件属下列情况之一的，投标无效</w:t>
            </w:r>
          </w:p>
        </w:tc>
        <w:tc>
          <w:tcPr>
            <w:tcW w:w="651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597C44E">
            <w:pPr>
              <w:pStyle w:val="115"/>
              <w:jc w:val="center"/>
              <w:rPr>
                <w:rFonts w:ascii="宋体" w:hAnsi="宋体" w:eastAsia="宋体" w:cs="宋体"/>
                <w:sz w:val="21"/>
              </w:rPr>
            </w:pPr>
            <w:r>
              <w:rPr>
                <w:rFonts w:hint="eastAsia" w:ascii="宋体" w:hAnsi="宋体" w:eastAsia="宋体" w:cs="宋体"/>
                <w:sz w:val="21"/>
              </w:rPr>
              <w:t>投标文件属下列情况之一的，投标无效：</w:t>
            </w:r>
          </w:p>
        </w:tc>
      </w:tr>
      <w:tr w14:paraId="3CF8F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7A6C8F7">
            <w:pPr>
              <w:pStyle w:val="115"/>
              <w:jc w:val="center"/>
              <w:rPr>
                <w:rFonts w:ascii="宋体" w:hAnsi="宋体" w:eastAsia="宋体" w:cs="宋体"/>
                <w:sz w:val="21"/>
              </w:rPr>
            </w:pPr>
          </w:p>
        </w:tc>
        <w:tc>
          <w:tcPr>
            <w:tcW w:w="254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1DC79DB">
            <w:pPr>
              <w:pStyle w:val="115"/>
              <w:jc w:val="center"/>
              <w:rPr>
                <w:rFonts w:ascii="宋体" w:hAnsi="宋体" w:eastAsia="宋体" w:cs="宋体"/>
                <w:sz w:val="21"/>
              </w:rPr>
            </w:pPr>
            <w:r>
              <w:rPr>
                <w:rFonts w:hint="eastAsia" w:ascii="宋体" w:hAnsi="宋体" w:eastAsia="宋体" w:cs="宋体"/>
                <w:sz w:val="21"/>
              </w:rPr>
              <w:t>未</w:t>
            </w:r>
            <w:r>
              <w:rPr>
                <w:rFonts w:hint="eastAsia" w:ascii="宋体" w:hAnsi="宋体" w:eastAsia="宋体" w:cs="宋体"/>
                <w:sz w:val="21"/>
                <w:highlight w:val="none"/>
              </w:rPr>
              <w:t>按照招标文件规定要求签署、盖章的</w:t>
            </w:r>
          </w:p>
        </w:tc>
        <w:tc>
          <w:tcPr>
            <w:tcW w:w="651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B6C82E1">
            <w:pPr>
              <w:pStyle w:val="115"/>
              <w:jc w:val="center"/>
              <w:rPr>
                <w:rFonts w:ascii="宋体" w:hAnsi="宋体" w:eastAsia="宋体" w:cs="宋体"/>
                <w:sz w:val="21"/>
              </w:rPr>
            </w:pPr>
            <w:r>
              <w:rPr>
                <w:rFonts w:hint="eastAsia" w:ascii="宋体" w:hAnsi="宋体" w:eastAsia="宋体" w:cs="宋体"/>
                <w:sz w:val="21"/>
              </w:rPr>
              <w:t>投标文件中商务技术文件未按照招标文件规定要求签署、盖章的</w:t>
            </w:r>
          </w:p>
        </w:tc>
      </w:tr>
      <w:tr w14:paraId="05359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F0856F9">
            <w:pPr>
              <w:pStyle w:val="115"/>
              <w:jc w:val="center"/>
              <w:rPr>
                <w:rFonts w:ascii="宋体" w:hAnsi="宋体" w:eastAsia="宋体" w:cs="宋体"/>
                <w:sz w:val="21"/>
              </w:rPr>
            </w:pPr>
          </w:p>
        </w:tc>
        <w:tc>
          <w:tcPr>
            <w:tcW w:w="254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D9EE435">
            <w:pPr>
              <w:pStyle w:val="115"/>
              <w:jc w:val="center"/>
              <w:rPr>
                <w:rFonts w:ascii="宋体" w:hAnsi="宋体" w:eastAsia="宋体" w:cs="宋体"/>
                <w:sz w:val="21"/>
              </w:rPr>
            </w:pPr>
            <w:r>
              <w:rPr>
                <w:rFonts w:hint="eastAsia" w:ascii="宋体" w:hAnsi="宋体" w:eastAsia="宋体" w:cs="宋体"/>
                <w:sz w:val="21"/>
              </w:rPr>
              <w:t>投标文件是否超过负最高项数</w:t>
            </w:r>
          </w:p>
        </w:tc>
        <w:tc>
          <w:tcPr>
            <w:tcW w:w="651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1CA9609">
            <w:pPr>
              <w:pStyle w:val="115"/>
              <w:jc w:val="center"/>
              <w:rPr>
                <w:rFonts w:ascii="宋体" w:hAnsi="宋体" w:eastAsia="宋体" w:cs="宋体"/>
                <w:sz w:val="21"/>
              </w:rPr>
            </w:pPr>
            <w:r>
              <w:rPr>
                <w:rFonts w:hint="eastAsia" w:ascii="宋体" w:hAnsi="宋体" w:eastAsia="宋体" w:cs="宋体"/>
                <w:sz w:val="21"/>
              </w:rPr>
              <w:t>投标文件没有对招标文件的实质性要求和条件作出响应，或者对招标文件的偏差超出招标文件规定的偏差范围或最高项数；</w:t>
            </w:r>
          </w:p>
        </w:tc>
      </w:tr>
      <w:tr w14:paraId="51A06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C9707F6">
            <w:pPr>
              <w:pStyle w:val="115"/>
              <w:jc w:val="center"/>
              <w:rPr>
                <w:rFonts w:ascii="宋体" w:hAnsi="宋体" w:eastAsia="宋体" w:cs="宋体"/>
                <w:sz w:val="21"/>
              </w:rPr>
            </w:pPr>
          </w:p>
        </w:tc>
        <w:tc>
          <w:tcPr>
            <w:tcW w:w="254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EA12EF9">
            <w:pPr>
              <w:pStyle w:val="115"/>
              <w:jc w:val="center"/>
              <w:rPr>
                <w:rFonts w:ascii="宋体" w:hAnsi="宋体" w:eastAsia="宋体" w:cs="宋体"/>
                <w:sz w:val="21"/>
              </w:rPr>
            </w:pPr>
            <w:r>
              <w:rPr>
                <w:rFonts w:hint="eastAsia" w:ascii="宋体" w:hAnsi="宋体" w:eastAsia="宋体" w:cs="宋体"/>
                <w:sz w:val="21"/>
              </w:rPr>
              <w:t>投标报价</w:t>
            </w:r>
          </w:p>
        </w:tc>
        <w:tc>
          <w:tcPr>
            <w:tcW w:w="651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24E61DD">
            <w:pPr>
              <w:pStyle w:val="115"/>
              <w:jc w:val="center"/>
              <w:rPr>
                <w:rFonts w:ascii="宋体" w:hAnsi="宋体" w:eastAsia="宋体" w:cs="宋体"/>
                <w:sz w:val="21"/>
              </w:rPr>
            </w:pPr>
            <w:r>
              <w:rPr>
                <w:rFonts w:hint="eastAsia" w:ascii="宋体" w:hAnsi="宋体" w:eastAsia="宋体" w:cs="宋体"/>
                <w:sz w:val="21"/>
              </w:rPr>
              <w:t>报价超过招标文件中规定的预算金额或者最高限价的；</w:t>
            </w:r>
          </w:p>
        </w:tc>
      </w:tr>
      <w:tr w14:paraId="49A55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6A7EBE4">
            <w:pPr>
              <w:pStyle w:val="115"/>
              <w:jc w:val="center"/>
              <w:rPr>
                <w:rFonts w:ascii="宋体" w:hAnsi="宋体" w:eastAsia="宋体" w:cs="宋体"/>
                <w:sz w:val="21"/>
              </w:rPr>
            </w:pPr>
          </w:p>
        </w:tc>
        <w:tc>
          <w:tcPr>
            <w:tcW w:w="254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25453BB">
            <w:pPr>
              <w:pStyle w:val="115"/>
              <w:jc w:val="center"/>
              <w:rPr>
                <w:rFonts w:ascii="宋体" w:hAnsi="宋体" w:eastAsia="宋体" w:cs="宋体"/>
                <w:sz w:val="21"/>
              </w:rPr>
            </w:pPr>
            <w:r>
              <w:rPr>
                <w:rFonts w:hint="eastAsia" w:ascii="宋体" w:hAnsi="宋体" w:eastAsia="宋体" w:cs="宋体"/>
                <w:sz w:val="21"/>
              </w:rPr>
              <w:t>投标有效期</w:t>
            </w:r>
          </w:p>
        </w:tc>
        <w:tc>
          <w:tcPr>
            <w:tcW w:w="651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5F58B8E">
            <w:pPr>
              <w:pStyle w:val="115"/>
              <w:jc w:val="center"/>
              <w:rPr>
                <w:rFonts w:ascii="宋体" w:hAnsi="宋体" w:eastAsia="宋体" w:cs="宋体"/>
                <w:sz w:val="21"/>
              </w:rPr>
            </w:pPr>
            <w:r>
              <w:rPr>
                <w:rFonts w:hint="eastAsia" w:ascii="宋体" w:hAnsi="宋体" w:eastAsia="宋体" w:cs="宋体"/>
                <w:sz w:val="21"/>
              </w:rPr>
              <w:t>投标有效期不足的；</w:t>
            </w:r>
          </w:p>
        </w:tc>
      </w:tr>
      <w:tr w14:paraId="30F76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86FC7D7">
            <w:pPr>
              <w:pStyle w:val="115"/>
              <w:jc w:val="center"/>
              <w:rPr>
                <w:rFonts w:ascii="宋体" w:hAnsi="宋体" w:eastAsia="宋体" w:cs="宋体"/>
                <w:sz w:val="21"/>
              </w:rPr>
            </w:pPr>
          </w:p>
        </w:tc>
        <w:tc>
          <w:tcPr>
            <w:tcW w:w="254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664811E">
            <w:pPr>
              <w:pStyle w:val="115"/>
              <w:jc w:val="center"/>
              <w:rPr>
                <w:rFonts w:ascii="宋体" w:hAnsi="宋体" w:eastAsia="宋体" w:cs="宋体"/>
                <w:sz w:val="21"/>
              </w:rPr>
            </w:pPr>
            <w:r>
              <w:rPr>
                <w:rFonts w:hint="eastAsia" w:ascii="宋体" w:hAnsi="宋体" w:eastAsia="宋体" w:cs="宋体"/>
                <w:sz w:val="21"/>
              </w:rPr>
              <w:t>投标文件含有采购人不能接受的附加条件的</w:t>
            </w:r>
          </w:p>
        </w:tc>
        <w:tc>
          <w:tcPr>
            <w:tcW w:w="651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46EE16A">
            <w:pPr>
              <w:pStyle w:val="115"/>
              <w:jc w:val="center"/>
              <w:rPr>
                <w:rFonts w:ascii="宋体" w:hAnsi="宋体" w:eastAsia="宋体" w:cs="宋体"/>
                <w:sz w:val="21"/>
              </w:rPr>
            </w:pPr>
            <w:r>
              <w:rPr>
                <w:rFonts w:hint="eastAsia" w:ascii="宋体" w:hAnsi="宋体" w:eastAsia="宋体" w:cs="宋体"/>
                <w:sz w:val="21"/>
              </w:rPr>
              <w:t>投标文件含有采购人不能接受的附加条件的</w:t>
            </w:r>
          </w:p>
        </w:tc>
      </w:tr>
      <w:tr w14:paraId="2DFB8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0FD38F4">
            <w:pPr>
              <w:pStyle w:val="115"/>
              <w:jc w:val="center"/>
              <w:rPr>
                <w:rFonts w:ascii="宋体" w:hAnsi="宋体" w:eastAsia="宋体" w:cs="宋体"/>
                <w:sz w:val="21"/>
              </w:rPr>
            </w:pPr>
          </w:p>
        </w:tc>
        <w:tc>
          <w:tcPr>
            <w:tcW w:w="254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ABDA3EF">
            <w:pPr>
              <w:pStyle w:val="115"/>
              <w:jc w:val="center"/>
              <w:rPr>
                <w:rFonts w:ascii="宋体" w:hAnsi="宋体" w:eastAsia="宋体" w:cs="宋体"/>
                <w:sz w:val="21"/>
              </w:rPr>
            </w:pPr>
            <w:r>
              <w:rPr>
                <w:rFonts w:hint="eastAsia" w:ascii="宋体" w:hAnsi="宋体" w:eastAsia="宋体" w:cs="宋体"/>
                <w:sz w:val="21"/>
              </w:rPr>
              <w:t>法律、法规和招标文件规定的其他投标无效情形</w:t>
            </w:r>
          </w:p>
        </w:tc>
        <w:tc>
          <w:tcPr>
            <w:tcW w:w="651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4C90B4F">
            <w:pPr>
              <w:pStyle w:val="115"/>
              <w:jc w:val="center"/>
              <w:rPr>
                <w:rFonts w:ascii="宋体" w:hAnsi="宋体" w:eastAsia="宋体" w:cs="宋体"/>
                <w:sz w:val="21"/>
              </w:rPr>
            </w:pPr>
            <w:r>
              <w:rPr>
                <w:rFonts w:hint="eastAsia" w:ascii="宋体" w:hAnsi="宋体" w:eastAsia="宋体" w:cs="宋体"/>
                <w:sz w:val="21"/>
              </w:rPr>
              <w:t>法律、法规和招标文件规定的其他投标无效情形的。</w:t>
            </w:r>
          </w:p>
        </w:tc>
      </w:tr>
      <w:tr w14:paraId="74152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9E3F93F">
            <w:pPr>
              <w:pStyle w:val="115"/>
              <w:jc w:val="center"/>
              <w:rPr>
                <w:rFonts w:ascii="宋体" w:hAnsi="宋体" w:eastAsia="宋体" w:cs="宋体"/>
                <w:sz w:val="21"/>
              </w:rPr>
            </w:pPr>
          </w:p>
        </w:tc>
        <w:tc>
          <w:tcPr>
            <w:tcW w:w="254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397C3C3">
            <w:pPr>
              <w:pStyle w:val="115"/>
              <w:jc w:val="center"/>
              <w:rPr>
                <w:rFonts w:ascii="宋体" w:hAnsi="宋体" w:eastAsia="宋体" w:cs="宋体"/>
                <w:sz w:val="21"/>
              </w:rPr>
            </w:pPr>
            <w:r>
              <w:rPr>
                <w:rFonts w:hint="eastAsia" w:ascii="宋体" w:hAnsi="宋体" w:eastAsia="宋体" w:cs="宋体"/>
                <w:sz w:val="21"/>
              </w:rPr>
              <w:t>不符合★条款</w:t>
            </w:r>
          </w:p>
        </w:tc>
        <w:tc>
          <w:tcPr>
            <w:tcW w:w="651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96D7D32">
            <w:pPr>
              <w:pStyle w:val="115"/>
              <w:jc w:val="center"/>
              <w:rPr>
                <w:rFonts w:ascii="宋体" w:hAnsi="宋体" w:eastAsia="宋体" w:cs="宋体"/>
                <w:sz w:val="21"/>
              </w:rPr>
            </w:pPr>
            <w:r>
              <w:rPr>
                <w:rFonts w:hint="eastAsia" w:ascii="宋体" w:hAnsi="宋体" w:eastAsia="宋体" w:cs="宋体"/>
                <w:sz w:val="21"/>
              </w:rPr>
              <w:t>不符合★条款</w:t>
            </w:r>
          </w:p>
        </w:tc>
      </w:tr>
      <w:tr w14:paraId="050AF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5BD7350">
            <w:pPr>
              <w:pStyle w:val="115"/>
              <w:jc w:val="center"/>
              <w:rPr>
                <w:rFonts w:ascii="宋体" w:hAnsi="宋体" w:eastAsia="宋体" w:cs="宋体"/>
                <w:sz w:val="21"/>
              </w:rPr>
            </w:pPr>
          </w:p>
        </w:tc>
        <w:tc>
          <w:tcPr>
            <w:tcW w:w="254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D68339A">
            <w:pPr>
              <w:pStyle w:val="115"/>
              <w:jc w:val="center"/>
              <w:rPr>
                <w:rFonts w:ascii="宋体" w:hAnsi="宋体" w:eastAsia="宋体" w:cs="宋体"/>
                <w:sz w:val="21"/>
              </w:rPr>
            </w:pPr>
            <w:r>
              <w:rPr>
                <w:rFonts w:hint="eastAsia" w:ascii="宋体" w:hAnsi="宋体" w:eastAsia="宋体" w:cs="宋体"/>
                <w:sz w:val="21"/>
              </w:rPr>
              <w:t>投标文件电子文档有病毒</w:t>
            </w:r>
          </w:p>
        </w:tc>
        <w:tc>
          <w:tcPr>
            <w:tcW w:w="651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97D6B7F">
            <w:pPr>
              <w:pStyle w:val="115"/>
              <w:jc w:val="center"/>
              <w:rPr>
                <w:rFonts w:ascii="宋体" w:hAnsi="宋体" w:eastAsia="宋体" w:cs="宋体"/>
                <w:sz w:val="21"/>
              </w:rPr>
            </w:pPr>
            <w:r>
              <w:rPr>
                <w:rFonts w:hint="eastAsia" w:ascii="宋体" w:hAnsi="宋体" w:eastAsia="宋体" w:cs="宋体"/>
                <w:sz w:val="21"/>
              </w:rPr>
              <w:t>投标文件电子文档有病毒</w:t>
            </w:r>
          </w:p>
        </w:tc>
      </w:tr>
      <w:tr w14:paraId="42F46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EB5709F">
            <w:pPr>
              <w:pStyle w:val="115"/>
              <w:jc w:val="center"/>
              <w:rPr>
                <w:rFonts w:ascii="宋体" w:hAnsi="宋体" w:eastAsia="宋体" w:cs="宋体"/>
                <w:sz w:val="21"/>
              </w:rPr>
            </w:pPr>
          </w:p>
        </w:tc>
        <w:tc>
          <w:tcPr>
            <w:tcW w:w="254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6FBD2B4">
            <w:pPr>
              <w:pStyle w:val="115"/>
              <w:jc w:val="center"/>
              <w:rPr>
                <w:rFonts w:ascii="宋体" w:hAnsi="宋体" w:eastAsia="宋体" w:cs="宋体"/>
                <w:sz w:val="21"/>
              </w:rPr>
            </w:pPr>
            <w:r>
              <w:rPr>
                <w:rFonts w:hint="eastAsia" w:ascii="宋体" w:hAnsi="宋体" w:eastAsia="宋体" w:cs="宋体"/>
                <w:sz w:val="21"/>
              </w:rPr>
              <w:t>投标文件用不属于本中心的电子密钥进行加密</w:t>
            </w:r>
          </w:p>
        </w:tc>
        <w:tc>
          <w:tcPr>
            <w:tcW w:w="651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626FF82">
            <w:pPr>
              <w:pStyle w:val="115"/>
              <w:jc w:val="center"/>
              <w:rPr>
                <w:rFonts w:ascii="宋体" w:hAnsi="宋体" w:eastAsia="宋体" w:cs="宋体"/>
                <w:sz w:val="21"/>
              </w:rPr>
            </w:pPr>
            <w:r>
              <w:rPr>
                <w:rFonts w:hint="eastAsia" w:ascii="宋体" w:hAnsi="宋体" w:eastAsia="宋体" w:cs="宋体"/>
                <w:sz w:val="21"/>
              </w:rPr>
              <w:t>投标文件用不属于本中心的电子密钥进行加密</w:t>
            </w:r>
          </w:p>
        </w:tc>
      </w:tr>
      <w:tr w14:paraId="7B741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5447548">
            <w:pPr>
              <w:pStyle w:val="115"/>
              <w:jc w:val="center"/>
              <w:rPr>
                <w:rFonts w:ascii="宋体" w:hAnsi="宋体" w:eastAsia="宋体" w:cs="宋体"/>
                <w:sz w:val="21"/>
              </w:rPr>
            </w:pPr>
          </w:p>
        </w:tc>
        <w:tc>
          <w:tcPr>
            <w:tcW w:w="254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14299F6">
            <w:pPr>
              <w:pStyle w:val="115"/>
              <w:jc w:val="center"/>
              <w:rPr>
                <w:rFonts w:ascii="宋体" w:hAnsi="宋体" w:eastAsia="宋体" w:cs="宋体"/>
                <w:sz w:val="21"/>
              </w:rPr>
            </w:pPr>
            <w:r>
              <w:rPr>
                <w:rFonts w:hint="eastAsia" w:ascii="宋体" w:hAnsi="宋体" w:eastAsia="宋体" w:cs="宋体"/>
                <w:sz w:val="21"/>
              </w:rPr>
              <w:t>法律、法规规定的其他情形</w:t>
            </w:r>
          </w:p>
        </w:tc>
        <w:tc>
          <w:tcPr>
            <w:tcW w:w="651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5398B32">
            <w:pPr>
              <w:pStyle w:val="115"/>
              <w:jc w:val="center"/>
              <w:rPr>
                <w:rFonts w:ascii="宋体" w:hAnsi="宋体" w:eastAsia="宋体" w:cs="宋体"/>
                <w:sz w:val="21"/>
              </w:rPr>
            </w:pPr>
            <w:r>
              <w:rPr>
                <w:rFonts w:hint="eastAsia" w:ascii="宋体" w:hAnsi="宋体" w:eastAsia="宋体" w:cs="宋体"/>
                <w:sz w:val="21"/>
              </w:rPr>
              <w:t>法律、法规规定的其他情形</w:t>
            </w:r>
          </w:p>
        </w:tc>
      </w:tr>
    </w:tbl>
    <w:p w14:paraId="2CA71E25">
      <w:pPr>
        <w:pStyle w:val="131"/>
        <w:spacing w:before="120" w:after="120"/>
        <w:ind w:firstLine="0" w:firstLineChars="0"/>
        <w:rPr>
          <w:rFonts w:ascii="宋体" w:hAnsi="宋体" w:cs="宋体"/>
          <w:szCs w:val="21"/>
        </w:rPr>
      </w:pPr>
    </w:p>
    <w:p w14:paraId="227338A2">
      <w:pPr>
        <w:pStyle w:val="131"/>
        <w:spacing w:before="120" w:after="120"/>
        <w:ind w:firstLine="0" w:firstLineChars="0"/>
        <w:rPr>
          <w:rFonts w:ascii="宋体" w:hAnsi="宋体" w:cs="宋体"/>
          <w:szCs w:val="21"/>
        </w:rPr>
      </w:pPr>
    </w:p>
    <w:p w14:paraId="2843F546">
      <w:pPr>
        <w:pStyle w:val="131"/>
        <w:spacing w:before="120" w:after="120"/>
        <w:ind w:firstLine="0" w:firstLineChars="0"/>
        <w:rPr>
          <w:rFonts w:ascii="宋体" w:hAnsi="宋体" w:cs="宋体"/>
          <w:szCs w:val="21"/>
        </w:rPr>
      </w:pPr>
    </w:p>
    <w:p w14:paraId="08CC5799">
      <w:pPr>
        <w:pStyle w:val="131"/>
        <w:spacing w:before="120" w:after="120"/>
        <w:ind w:firstLine="0" w:firstLineChars="0"/>
        <w:rPr>
          <w:rFonts w:ascii="宋体" w:hAnsi="宋体" w:cs="宋体"/>
          <w:szCs w:val="21"/>
        </w:rPr>
      </w:pPr>
    </w:p>
    <w:p w14:paraId="2FAEC844">
      <w:pPr>
        <w:pStyle w:val="131"/>
        <w:spacing w:before="120" w:after="120"/>
        <w:ind w:firstLine="0" w:firstLineChars="0"/>
        <w:rPr>
          <w:rFonts w:ascii="宋体" w:hAnsi="宋体" w:cs="宋体"/>
          <w:szCs w:val="21"/>
        </w:rPr>
      </w:pPr>
    </w:p>
    <w:p w14:paraId="3C9A3DD4">
      <w:pPr>
        <w:pStyle w:val="131"/>
        <w:spacing w:before="120" w:after="120"/>
        <w:ind w:firstLine="0" w:firstLineChars="0"/>
        <w:rPr>
          <w:rFonts w:ascii="宋体" w:hAnsi="宋体" w:cs="宋体"/>
          <w:szCs w:val="21"/>
        </w:rPr>
      </w:pPr>
    </w:p>
    <w:p w14:paraId="1691075E">
      <w:pPr>
        <w:pStyle w:val="131"/>
        <w:spacing w:before="120" w:after="120"/>
        <w:ind w:firstLine="0" w:firstLineChars="0"/>
        <w:rPr>
          <w:rFonts w:ascii="宋体" w:hAnsi="宋体" w:cs="宋体"/>
        </w:rPr>
      </w:pPr>
      <w:r>
        <w:rPr>
          <w:rFonts w:hint="eastAsia" w:ascii="宋体" w:hAnsi="宋体" w:cs="宋体"/>
          <w:szCs w:val="21"/>
        </w:rPr>
        <w:t>附页3-3</w:t>
      </w:r>
    </w:p>
    <w:p w14:paraId="0CDC443F">
      <w:pPr>
        <w:jc w:val="center"/>
        <w:outlineLvl w:val="0"/>
        <w:rPr>
          <w:rFonts w:ascii="宋体" w:hAnsi="宋体" w:cs="宋体"/>
          <w:b/>
          <w:bCs/>
          <w:sz w:val="28"/>
          <w:szCs w:val="28"/>
        </w:rPr>
      </w:pPr>
      <w:bookmarkStart w:id="88" w:name="_Toc28043"/>
      <w:r>
        <w:rPr>
          <w:rFonts w:hint="eastAsia" w:ascii="宋体" w:hAnsi="宋体" w:cs="宋体"/>
          <w:b/>
          <w:bCs/>
          <w:sz w:val="28"/>
          <w:szCs w:val="28"/>
        </w:rPr>
        <w:t xml:space="preserve">  取值范围</w:t>
      </w:r>
    </w:p>
    <w:p w14:paraId="697A55FF">
      <w:pPr>
        <w:jc w:val="center"/>
        <w:outlineLvl w:val="0"/>
        <w:rPr>
          <w:rFonts w:ascii="宋体" w:hAnsi="宋体" w:cs="宋体"/>
        </w:rPr>
      </w:pPr>
      <w:r>
        <w:rPr>
          <w:rFonts w:hint="eastAsia" w:ascii="宋体" w:hAnsi="宋体" w:cs="宋体"/>
        </w:rPr>
        <w:t>1.2.3权值的取值范围见下表，本采购项目的权值为：</w:t>
      </w:r>
    </w:p>
    <w:tbl>
      <w:tblPr>
        <w:tblStyle w:val="4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96"/>
        <w:gridCol w:w="5669"/>
        <w:gridCol w:w="4065"/>
      </w:tblGrid>
      <w:tr w14:paraId="4DCCB2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796" w:type="dxa"/>
            <w:noWrap/>
            <w:vAlign w:val="center"/>
          </w:tcPr>
          <w:p w14:paraId="4AFC236F">
            <w:pPr>
              <w:adjustRightInd w:val="0"/>
              <w:snapToGrid w:val="0"/>
              <w:spacing w:beforeLines="50"/>
              <w:jc w:val="center"/>
              <w:rPr>
                <w:rFonts w:ascii="宋体" w:hAnsi="宋体" w:cs="宋体"/>
                <w:sz w:val="20"/>
                <w:szCs w:val="20"/>
              </w:rPr>
            </w:pPr>
            <w:r>
              <w:rPr>
                <w:rFonts w:hint="eastAsia" w:ascii="宋体" w:hAnsi="宋体" w:cs="宋体"/>
                <w:sz w:val="20"/>
                <w:szCs w:val="20"/>
              </w:rPr>
              <w:t>序号</w:t>
            </w:r>
          </w:p>
        </w:tc>
        <w:tc>
          <w:tcPr>
            <w:tcW w:w="5669" w:type="dxa"/>
            <w:noWrap/>
            <w:vAlign w:val="center"/>
          </w:tcPr>
          <w:p w14:paraId="17DE704B">
            <w:pPr>
              <w:adjustRightInd w:val="0"/>
              <w:snapToGrid w:val="0"/>
              <w:spacing w:beforeLines="50"/>
              <w:jc w:val="center"/>
              <w:rPr>
                <w:rFonts w:ascii="宋体" w:hAnsi="宋体" w:cs="宋体"/>
                <w:sz w:val="20"/>
                <w:szCs w:val="20"/>
              </w:rPr>
            </w:pPr>
            <w:r>
              <w:rPr>
                <w:rFonts w:hint="eastAsia" w:ascii="宋体" w:hAnsi="宋体" w:cs="宋体"/>
                <w:sz w:val="20"/>
                <w:szCs w:val="20"/>
              </w:rPr>
              <w:t>项     目</w:t>
            </w:r>
          </w:p>
        </w:tc>
        <w:tc>
          <w:tcPr>
            <w:tcW w:w="4065" w:type="dxa"/>
            <w:noWrap/>
            <w:vAlign w:val="center"/>
          </w:tcPr>
          <w:p w14:paraId="7CC6351D">
            <w:pPr>
              <w:adjustRightInd w:val="0"/>
              <w:snapToGrid w:val="0"/>
              <w:spacing w:beforeLines="50"/>
              <w:jc w:val="center"/>
              <w:rPr>
                <w:rFonts w:ascii="宋体" w:hAnsi="宋体" w:cs="宋体"/>
                <w:sz w:val="20"/>
                <w:szCs w:val="20"/>
              </w:rPr>
            </w:pPr>
            <w:r>
              <w:rPr>
                <w:rFonts w:hint="eastAsia" w:ascii="宋体" w:hAnsi="宋体" w:cs="宋体"/>
                <w:sz w:val="20"/>
                <w:szCs w:val="20"/>
              </w:rPr>
              <w:t>权值的取值</w:t>
            </w:r>
          </w:p>
        </w:tc>
      </w:tr>
      <w:tr w14:paraId="6D8180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atLeast"/>
          <w:jc w:val="center"/>
        </w:trPr>
        <w:tc>
          <w:tcPr>
            <w:tcW w:w="796" w:type="dxa"/>
            <w:noWrap/>
            <w:vAlign w:val="center"/>
          </w:tcPr>
          <w:p w14:paraId="6765FBB6">
            <w:pPr>
              <w:adjustRightInd w:val="0"/>
              <w:snapToGrid w:val="0"/>
              <w:spacing w:beforeLines="50"/>
              <w:jc w:val="center"/>
              <w:rPr>
                <w:rFonts w:ascii="宋体" w:hAnsi="宋体" w:cs="宋体"/>
                <w:sz w:val="20"/>
                <w:szCs w:val="20"/>
              </w:rPr>
            </w:pPr>
            <w:r>
              <w:rPr>
                <w:rFonts w:hint="eastAsia" w:ascii="宋体" w:hAnsi="宋体" w:cs="宋体"/>
                <w:sz w:val="20"/>
                <w:szCs w:val="20"/>
              </w:rPr>
              <w:t>1</w:t>
            </w:r>
          </w:p>
        </w:tc>
        <w:tc>
          <w:tcPr>
            <w:tcW w:w="5669" w:type="dxa"/>
            <w:noWrap/>
            <w:vAlign w:val="center"/>
          </w:tcPr>
          <w:p w14:paraId="3530F322">
            <w:pPr>
              <w:adjustRightInd w:val="0"/>
              <w:snapToGrid w:val="0"/>
              <w:spacing w:beforeLines="50"/>
              <w:jc w:val="center"/>
              <w:rPr>
                <w:rFonts w:ascii="宋体" w:hAnsi="宋体" w:cs="宋体"/>
                <w:sz w:val="20"/>
                <w:szCs w:val="20"/>
              </w:rPr>
            </w:pPr>
            <w:r>
              <w:rPr>
                <w:rFonts w:hint="eastAsia" w:ascii="宋体" w:hAnsi="宋体" w:cs="宋体"/>
                <w:sz w:val="20"/>
                <w:szCs w:val="20"/>
              </w:rPr>
              <w:t>价格</w:t>
            </w:r>
          </w:p>
        </w:tc>
        <w:tc>
          <w:tcPr>
            <w:tcW w:w="4065" w:type="dxa"/>
            <w:noWrap/>
            <w:vAlign w:val="center"/>
          </w:tcPr>
          <w:p w14:paraId="146113F5">
            <w:pPr>
              <w:adjustRightInd w:val="0"/>
              <w:snapToGrid w:val="0"/>
              <w:spacing w:beforeLines="50"/>
              <w:jc w:val="center"/>
              <w:rPr>
                <w:rFonts w:hint="eastAsia" w:ascii="宋体" w:hAnsi="宋体" w:eastAsia="宋体" w:cs="宋体"/>
                <w:sz w:val="20"/>
                <w:szCs w:val="20"/>
                <w:lang w:eastAsia="zh-CN"/>
              </w:rPr>
            </w:pPr>
            <w:r>
              <w:rPr>
                <w:rFonts w:hint="eastAsia" w:ascii="宋体" w:hAnsi="宋体" w:cs="宋体"/>
                <w:sz w:val="20"/>
                <w:szCs w:val="20"/>
              </w:rPr>
              <w:t>0.</w:t>
            </w:r>
            <w:r>
              <w:rPr>
                <w:rFonts w:hint="eastAsia" w:ascii="宋体" w:hAnsi="宋体" w:cs="宋体"/>
                <w:sz w:val="20"/>
                <w:szCs w:val="20"/>
                <w:lang w:val="en-US" w:eastAsia="zh-CN"/>
              </w:rPr>
              <w:t>4</w:t>
            </w:r>
          </w:p>
        </w:tc>
      </w:tr>
      <w:tr w14:paraId="43EC45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796" w:type="dxa"/>
            <w:noWrap/>
            <w:vAlign w:val="center"/>
          </w:tcPr>
          <w:p w14:paraId="0B41D5BA">
            <w:pPr>
              <w:adjustRightInd w:val="0"/>
              <w:snapToGrid w:val="0"/>
              <w:spacing w:beforeLines="50"/>
              <w:jc w:val="center"/>
              <w:rPr>
                <w:rFonts w:ascii="宋体" w:hAnsi="宋体" w:cs="宋体"/>
                <w:sz w:val="20"/>
                <w:szCs w:val="20"/>
              </w:rPr>
            </w:pPr>
            <w:r>
              <w:rPr>
                <w:rFonts w:hint="eastAsia" w:ascii="宋体" w:hAnsi="宋体" w:cs="宋体"/>
                <w:sz w:val="20"/>
                <w:szCs w:val="20"/>
              </w:rPr>
              <w:t>2</w:t>
            </w:r>
          </w:p>
        </w:tc>
        <w:tc>
          <w:tcPr>
            <w:tcW w:w="5669" w:type="dxa"/>
            <w:noWrap/>
            <w:vAlign w:val="center"/>
          </w:tcPr>
          <w:p w14:paraId="780798FD">
            <w:pPr>
              <w:adjustRightInd w:val="0"/>
              <w:snapToGrid w:val="0"/>
              <w:spacing w:beforeLines="50"/>
              <w:jc w:val="center"/>
              <w:rPr>
                <w:rFonts w:ascii="宋体" w:hAnsi="宋体" w:cs="宋体"/>
                <w:sz w:val="20"/>
                <w:szCs w:val="20"/>
              </w:rPr>
            </w:pPr>
            <w:r>
              <w:rPr>
                <w:rFonts w:hint="eastAsia" w:ascii="宋体" w:hAnsi="宋体" w:cs="宋体"/>
                <w:sz w:val="20"/>
                <w:szCs w:val="20"/>
              </w:rPr>
              <w:t>技术</w:t>
            </w:r>
          </w:p>
        </w:tc>
        <w:tc>
          <w:tcPr>
            <w:tcW w:w="4065" w:type="dxa"/>
            <w:noWrap/>
            <w:vAlign w:val="center"/>
          </w:tcPr>
          <w:p w14:paraId="6EC11ADE">
            <w:pPr>
              <w:adjustRightInd w:val="0"/>
              <w:snapToGrid w:val="0"/>
              <w:spacing w:beforeLines="50"/>
              <w:jc w:val="center"/>
              <w:rPr>
                <w:rFonts w:hint="eastAsia" w:ascii="宋体" w:hAnsi="宋体" w:eastAsia="宋体" w:cs="宋体"/>
                <w:sz w:val="20"/>
                <w:szCs w:val="20"/>
                <w:lang w:eastAsia="zh-CN"/>
              </w:rPr>
            </w:pPr>
            <w:r>
              <w:rPr>
                <w:rFonts w:hint="eastAsia" w:ascii="宋体" w:hAnsi="宋体" w:eastAsia="宋体" w:cs="宋体"/>
                <w:sz w:val="20"/>
                <w:szCs w:val="20"/>
              </w:rPr>
              <w:t>0.</w:t>
            </w:r>
            <w:r>
              <w:rPr>
                <w:rFonts w:hint="eastAsia" w:ascii="宋体" w:hAnsi="宋体" w:cs="宋体"/>
                <w:sz w:val="20"/>
                <w:szCs w:val="20"/>
                <w:lang w:val="en-US" w:eastAsia="zh-CN"/>
              </w:rPr>
              <w:t>3</w:t>
            </w:r>
          </w:p>
        </w:tc>
      </w:tr>
      <w:tr w14:paraId="21F1EF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96" w:type="dxa"/>
            <w:noWrap/>
            <w:vAlign w:val="center"/>
          </w:tcPr>
          <w:p w14:paraId="2EF96DD9">
            <w:pPr>
              <w:adjustRightInd w:val="0"/>
              <w:snapToGrid w:val="0"/>
              <w:spacing w:beforeLines="50"/>
              <w:jc w:val="center"/>
              <w:rPr>
                <w:rFonts w:ascii="宋体" w:hAnsi="宋体" w:cs="宋体"/>
                <w:sz w:val="20"/>
                <w:szCs w:val="20"/>
              </w:rPr>
            </w:pPr>
            <w:r>
              <w:rPr>
                <w:rFonts w:hint="eastAsia" w:ascii="宋体" w:hAnsi="宋体" w:cs="宋体"/>
                <w:sz w:val="20"/>
                <w:szCs w:val="20"/>
              </w:rPr>
              <w:t>3</w:t>
            </w:r>
          </w:p>
        </w:tc>
        <w:tc>
          <w:tcPr>
            <w:tcW w:w="5669" w:type="dxa"/>
            <w:noWrap/>
            <w:vAlign w:val="center"/>
          </w:tcPr>
          <w:p w14:paraId="1FD8B6FB">
            <w:pPr>
              <w:adjustRightInd w:val="0"/>
              <w:snapToGrid w:val="0"/>
              <w:spacing w:beforeLines="50"/>
              <w:jc w:val="center"/>
              <w:rPr>
                <w:rFonts w:ascii="宋体" w:hAnsi="宋体" w:cs="宋体"/>
                <w:sz w:val="20"/>
                <w:szCs w:val="20"/>
              </w:rPr>
            </w:pPr>
            <w:r>
              <w:rPr>
                <w:rFonts w:hint="eastAsia" w:ascii="宋体" w:hAnsi="宋体" w:cs="宋体"/>
                <w:sz w:val="20"/>
                <w:szCs w:val="20"/>
              </w:rPr>
              <w:t>商务</w:t>
            </w:r>
          </w:p>
        </w:tc>
        <w:tc>
          <w:tcPr>
            <w:tcW w:w="4065" w:type="dxa"/>
            <w:noWrap/>
            <w:vAlign w:val="center"/>
          </w:tcPr>
          <w:p w14:paraId="77BAF65D">
            <w:pPr>
              <w:adjustRightInd w:val="0"/>
              <w:snapToGrid w:val="0"/>
              <w:spacing w:beforeLines="50"/>
              <w:jc w:val="center"/>
              <w:rPr>
                <w:rFonts w:hint="eastAsia" w:ascii="宋体" w:hAnsi="宋体" w:eastAsia="宋体" w:cs="宋体"/>
                <w:sz w:val="20"/>
                <w:szCs w:val="20"/>
                <w:lang w:eastAsia="zh-CN"/>
              </w:rPr>
            </w:pPr>
            <w:r>
              <w:rPr>
                <w:rFonts w:hint="eastAsia" w:ascii="宋体" w:hAnsi="宋体" w:eastAsia="宋体" w:cs="宋体"/>
                <w:sz w:val="20"/>
                <w:szCs w:val="20"/>
              </w:rPr>
              <w:t>0.</w:t>
            </w:r>
            <w:r>
              <w:rPr>
                <w:rFonts w:hint="eastAsia" w:ascii="宋体" w:hAnsi="宋体" w:cs="宋体"/>
                <w:sz w:val="20"/>
                <w:szCs w:val="20"/>
                <w:lang w:val="en-US" w:eastAsia="zh-CN"/>
              </w:rPr>
              <w:t>3</w:t>
            </w:r>
          </w:p>
        </w:tc>
      </w:tr>
      <w:tr w14:paraId="62AE44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796" w:type="dxa"/>
            <w:noWrap/>
            <w:vAlign w:val="center"/>
          </w:tcPr>
          <w:p w14:paraId="0CFBE767">
            <w:pPr>
              <w:adjustRightInd w:val="0"/>
              <w:snapToGrid w:val="0"/>
              <w:spacing w:beforeLines="50"/>
              <w:jc w:val="center"/>
              <w:rPr>
                <w:rFonts w:ascii="宋体" w:hAnsi="宋体" w:cs="宋体"/>
                <w:sz w:val="20"/>
                <w:szCs w:val="20"/>
              </w:rPr>
            </w:pPr>
            <w:r>
              <w:rPr>
                <w:rFonts w:hint="eastAsia" w:ascii="宋体" w:hAnsi="宋体" w:cs="宋体"/>
                <w:sz w:val="20"/>
                <w:szCs w:val="20"/>
              </w:rPr>
              <w:t>4</w:t>
            </w:r>
          </w:p>
        </w:tc>
        <w:tc>
          <w:tcPr>
            <w:tcW w:w="5669" w:type="dxa"/>
            <w:noWrap/>
            <w:vAlign w:val="center"/>
          </w:tcPr>
          <w:p w14:paraId="3CE495C3">
            <w:pPr>
              <w:adjustRightInd w:val="0"/>
              <w:snapToGrid w:val="0"/>
              <w:spacing w:beforeLines="50"/>
              <w:jc w:val="center"/>
              <w:rPr>
                <w:rFonts w:ascii="宋体" w:hAnsi="宋体" w:cs="宋体"/>
                <w:sz w:val="20"/>
                <w:szCs w:val="20"/>
              </w:rPr>
            </w:pPr>
            <w:r>
              <w:rPr>
                <w:rFonts w:hint="eastAsia" w:ascii="宋体" w:hAnsi="宋体" w:cs="宋体"/>
                <w:sz w:val="20"/>
                <w:szCs w:val="20"/>
              </w:rPr>
              <w:t>其他</w:t>
            </w:r>
          </w:p>
        </w:tc>
        <w:tc>
          <w:tcPr>
            <w:tcW w:w="4065" w:type="dxa"/>
            <w:noWrap/>
            <w:vAlign w:val="center"/>
          </w:tcPr>
          <w:p w14:paraId="67A5F3DE">
            <w:pPr>
              <w:adjustRightInd w:val="0"/>
              <w:snapToGrid w:val="0"/>
              <w:spacing w:beforeLines="50"/>
              <w:jc w:val="center"/>
              <w:rPr>
                <w:rFonts w:ascii="宋体" w:hAnsi="宋体" w:cs="宋体"/>
                <w:sz w:val="20"/>
                <w:szCs w:val="20"/>
              </w:rPr>
            </w:pPr>
            <w:r>
              <w:rPr>
                <w:rFonts w:hint="eastAsia" w:ascii="宋体" w:hAnsi="宋体" w:cs="宋体"/>
                <w:sz w:val="20"/>
                <w:szCs w:val="20"/>
              </w:rPr>
              <w:t>/</w:t>
            </w:r>
          </w:p>
        </w:tc>
      </w:tr>
      <w:tr w14:paraId="22B29F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6465" w:type="dxa"/>
            <w:gridSpan w:val="2"/>
            <w:noWrap/>
          </w:tcPr>
          <w:p w14:paraId="42A20CF5">
            <w:pPr>
              <w:adjustRightInd w:val="0"/>
              <w:snapToGrid w:val="0"/>
              <w:spacing w:beforeLines="50"/>
              <w:jc w:val="center"/>
              <w:rPr>
                <w:rFonts w:ascii="宋体" w:hAnsi="宋体" w:cs="宋体"/>
                <w:sz w:val="20"/>
                <w:szCs w:val="20"/>
              </w:rPr>
            </w:pPr>
            <w:r>
              <w:rPr>
                <w:rFonts w:hint="eastAsia" w:ascii="宋体" w:hAnsi="宋体" w:cs="宋体"/>
                <w:sz w:val="20"/>
                <w:szCs w:val="20"/>
              </w:rPr>
              <w:t>∑(1+2+3+4)=1</w:t>
            </w:r>
          </w:p>
        </w:tc>
        <w:tc>
          <w:tcPr>
            <w:tcW w:w="4065" w:type="dxa"/>
            <w:noWrap/>
            <w:vAlign w:val="center"/>
          </w:tcPr>
          <w:p w14:paraId="713B87F1">
            <w:pPr>
              <w:adjustRightInd w:val="0"/>
              <w:snapToGrid w:val="0"/>
              <w:spacing w:beforeLines="50"/>
              <w:jc w:val="center"/>
              <w:rPr>
                <w:rFonts w:ascii="宋体" w:hAnsi="宋体" w:cs="宋体"/>
                <w:sz w:val="20"/>
                <w:szCs w:val="20"/>
              </w:rPr>
            </w:pPr>
            <w:r>
              <w:rPr>
                <w:rFonts w:hint="eastAsia" w:ascii="宋体" w:hAnsi="宋体" w:cs="宋体"/>
                <w:sz w:val="20"/>
                <w:szCs w:val="20"/>
              </w:rPr>
              <w:t>1</w:t>
            </w:r>
          </w:p>
        </w:tc>
      </w:tr>
    </w:tbl>
    <w:p w14:paraId="6F660DCE">
      <w:pPr>
        <w:jc w:val="center"/>
        <w:outlineLvl w:val="0"/>
        <w:rPr>
          <w:rFonts w:hint="eastAsia" w:ascii="宋体" w:hAnsi="宋体" w:cs="宋体"/>
          <w:b/>
          <w:bCs/>
          <w:sz w:val="28"/>
          <w:szCs w:val="28"/>
        </w:rPr>
      </w:pPr>
      <w:r>
        <w:rPr>
          <w:rFonts w:hint="eastAsia" w:ascii="宋体" w:hAnsi="宋体" w:cs="宋体"/>
          <w:b/>
          <w:bCs/>
          <w:sz w:val="28"/>
          <w:szCs w:val="28"/>
        </w:rPr>
        <w:t>评分办法及标准</w:t>
      </w:r>
    </w:p>
    <w:p w14:paraId="3679715B">
      <w:pPr>
        <w:pStyle w:val="114"/>
        <w:jc w:val="center"/>
        <w:rPr>
          <w:rFonts w:ascii="宋体" w:hAnsi="宋体"/>
          <w:b/>
        </w:rPr>
      </w:pPr>
      <w:r>
        <w:rPr>
          <w:rFonts w:hint="eastAsia" w:ascii="宋体" w:hAnsi="宋体"/>
          <w:b/>
        </w:rPr>
        <w:t>价格部分评审评分表（分值100分）</w:t>
      </w:r>
    </w:p>
    <w:tbl>
      <w:tblPr>
        <w:tblStyle w:val="40"/>
        <w:tblpPr w:leftFromText="180" w:rightFromText="180" w:vertAnchor="text" w:horzAnchor="page" w:tblpXSpec="center" w:tblpY="222"/>
        <w:tblOverlap w:val="never"/>
        <w:tblW w:w="105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2"/>
        <w:gridCol w:w="1363"/>
        <w:gridCol w:w="737"/>
        <w:gridCol w:w="7694"/>
      </w:tblGrid>
      <w:tr w14:paraId="06408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8" w:hRule="atLeast"/>
          <w:jc w:val="center"/>
        </w:trPr>
        <w:tc>
          <w:tcPr>
            <w:tcW w:w="712" w:type="dxa"/>
            <w:noWrap/>
            <w:vAlign w:val="center"/>
          </w:tcPr>
          <w:p w14:paraId="41B3D005">
            <w:pPr>
              <w:widowControl/>
              <w:spacing w:line="360" w:lineRule="auto"/>
              <w:jc w:val="center"/>
              <w:rPr>
                <w:rFonts w:ascii="宋体" w:hAnsi="宋体" w:cs="宋体"/>
                <w:b/>
                <w:bCs/>
                <w:szCs w:val="21"/>
              </w:rPr>
            </w:pPr>
            <w:r>
              <w:rPr>
                <w:rFonts w:hint="eastAsia" w:ascii="宋体" w:hAnsi="宋体" w:cs="宋体"/>
                <w:b/>
                <w:bCs/>
                <w:szCs w:val="21"/>
              </w:rPr>
              <w:t>序号</w:t>
            </w:r>
          </w:p>
        </w:tc>
        <w:tc>
          <w:tcPr>
            <w:tcW w:w="1363" w:type="dxa"/>
            <w:noWrap/>
            <w:vAlign w:val="center"/>
          </w:tcPr>
          <w:p w14:paraId="43A26941">
            <w:pPr>
              <w:widowControl/>
              <w:spacing w:line="360" w:lineRule="auto"/>
              <w:jc w:val="center"/>
              <w:rPr>
                <w:rFonts w:ascii="宋体" w:hAnsi="宋体" w:cs="宋体"/>
                <w:b/>
                <w:bCs/>
                <w:szCs w:val="21"/>
              </w:rPr>
            </w:pPr>
            <w:r>
              <w:rPr>
                <w:rFonts w:hint="eastAsia" w:ascii="宋体" w:hAnsi="宋体" w:cs="宋体"/>
                <w:b/>
                <w:bCs/>
                <w:szCs w:val="21"/>
              </w:rPr>
              <w:t>评审因素</w:t>
            </w:r>
          </w:p>
        </w:tc>
        <w:tc>
          <w:tcPr>
            <w:tcW w:w="737" w:type="dxa"/>
            <w:noWrap/>
            <w:vAlign w:val="center"/>
          </w:tcPr>
          <w:p w14:paraId="3A45E232">
            <w:pPr>
              <w:widowControl/>
              <w:spacing w:line="360" w:lineRule="auto"/>
              <w:jc w:val="center"/>
              <w:rPr>
                <w:rFonts w:ascii="宋体" w:hAnsi="宋体" w:cs="宋体"/>
                <w:b/>
                <w:bCs/>
                <w:kern w:val="0"/>
                <w:szCs w:val="21"/>
              </w:rPr>
            </w:pPr>
            <w:r>
              <w:rPr>
                <w:rFonts w:hint="eastAsia" w:ascii="宋体" w:hAnsi="宋体" w:cs="宋体"/>
                <w:b/>
                <w:bCs/>
                <w:szCs w:val="21"/>
              </w:rPr>
              <w:t>分值</w:t>
            </w:r>
          </w:p>
        </w:tc>
        <w:tc>
          <w:tcPr>
            <w:tcW w:w="7694" w:type="dxa"/>
            <w:noWrap/>
            <w:vAlign w:val="center"/>
          </w:tcPr>
          <w:p w14:paraId="682641D8">
            <w:pPr>
              <w:widowControl/>
              <w:spacing w:line="360" w:lineRule="auto"/>
              <w:ind w:firstLine="17" w:firstLineChars="8"/>
              <w:jc w:val="center"/>
              <w:rPr>
                <w:rFonts w:ascii="宋体" w:hAnsi="宋体" w:cs="宋体"/>
                <w:b/>
                <w:bCs/>
                <w:kern w:val="0"/>
                <w:szCs w:val="21"/>
              </w:rPr>
            </w:pPr>
            <w:r>
              <w:rPr>
                <w:rFonts w:hint="eastAsia" w:ascii="宋体" w:hAnsi="宋体" w:cs="宋体"/>
                <w:b/>
                <w:bCs/>
                <w:szCs w:val="21"/>
              </w:rPr>
              <w:t>评分标准</w:t>
            </w:r>
          </w:p>
        </w:tc>
      </w:tr>
    </w:tbl>
    <w:tbl>
      <w:tblPr>
        <w:tblStyle w:val="41"/>
        <w:tblW w:w="104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353"/>
        <w:gridCol w:w="745"/>
        <w:gridCol w:w="7688"/>
      </w:tblGrid>
      <w:tr w14:paraId="7823D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9" w:hRule="atLeast"/>
          <w:jc w:val="center"/>
        </w:trPr>
        <w:tc>
          <w:tcPr>
            <w:tcW w:w="695" w:type="dxa"/>
            <w:noWrap/>
            <w:vAlign w:val="center"/>
          </w:tcPr>
          <w:p w14:paraId="1C0ED329">
            <w:pPr>
              <w:keepNext w:val="0"/>
              <w:keepLines w:val="0"/>
              <w:pageBreakBefore w:val="0"/>
              <w:widowControl w:val="0"/>
              <w:kinsoku/>
              <w:wordWrap/>
              <w:overflowPunct/>
              <w:topLinePunct w:val="0"/>
              <w:autoSpaceDE/>
              <w:autoSpaceDN/>
              <w:bidi w:val="0"/>
              <w:adjustRightInd/>
              <w:spacing w:line="360" w:lineRule="exact"/>
              <w:jc w:val="both"/>
              <w:textAlignment w:val="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c>
          <w:tcPr>
            <w:tcW w:w="1353" w:type="dxa"/>
            <w:noWrap/>
            <w:vAlign w:val="center"/>
          </w:tcPr>
          <w:p w14:paraId="57601D49">
            <w:pPr>
              <w:keepNext w:val="0"/>
              <w:keepLines w:val="0"/>
              <w:pageBreakBefore w:val="0"/>
              <w:widowControl w:val="0"/>
              <w:kinsoku/>
              <w:wordWrap/>
              <w:overflowPunct/>
              <w:topLinePunct w:val="0"/>
              <w:autoSpaceDE/>
              <w:autoSpaceDN/>
              <w:bidi w:val="0"/>
              <w:adjustRightInd/>
              <w:spacing w:line="360" w:lineRule="exact"/>
              <w:jc w:val="both"/>
              <w:textAlignment w:val="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价格（100分）</w:t>
            </w:r>
          </w:p>
        </w:tc>
        <w:tc>
          <w:tcPr>
            <w:tcW w:w="745" w:type="dxa"/>
            <w:noWrap/>
            <w:vAlign w:val="center"/>
          </w:tcPr>
          <w:p w14:paraId="21099526">
            <w:pPr>
              <w:keepNext w:val="0"/>
              <w:keepLines w:val="0"/>
              <w:pageBreakBefore w:val="0"/>
              <w:widowControl w:val="0"/>
              <w:kinsoku/>
              <w:wordWrap/>
              <w:overflowPunct/>
              <w:topLinePunct w:val="0"/>
              <w:autoSpaceDE/>
              <w:autoSpaceDN/>
              <w:bidi w:val="0"/>
              <w:adjustRightInd/>
              <w:spacing w:line="360" w:lineRule="exact"/>
              <w:jc w:val="both"/>
              <w:textAlignment w:val="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100分</w:t>
            </w:r>
          </w:p>
        </w:tc>
        <w:tc>
          <w:tcPr>
            <w:tcW w:w="7688" w:type="dxa"/>
            <w:noWrap/>
            <w:vAlign w:val="center"/>
          </w:tcPr>
          <w:p w14:paraId="3394D08D">
            <w:pPr>
              <w:keepNext w:val="0"/>
              <w:keepLines w:val="0"/>
              <w:pageBreakBefore w:val="0"/>
              <w:widowControl w:val="0"/>
              <w:kinsoku/>
              <w:wordWrap/>
              <w:overflowPunct/>
              <w:topLinePunct w:val="0"/>
              <w:autoSpaceDE/>
              <w:autoSpaceDN/>
              <w:bidi w:val="0"/>
              <w:adjustRightInd/>
              <w:spacing w:line="360" w:lineRule="exact"/>
              <w:jc w:val="both"/>
              <w:textAlignment w:val="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满足招标文件要求且经评审后投标价格最低的投标报价为评分基准价，其价格分为满分，其他有效投标人的价格分按照下列公式计算：</w:t>
            </w:r>
          </w:p>
          <w:p w14:paraId="743A860E">
            <w:pPr>
              <w:keepNext w:val="0"/>
              <w:keepLines w:val="0"/>
              <w:pageBreakBefore w:val="0"/>
              <w:widowControl w:val="0"/>
              <w:kinsoku/>
              <w:wordWrap/>
              <w:overflowPunct/>
              <w:topLinePunct w:val="0"/>
              <w:autoSpaceDE/>
              <w:autoSpaceDN/>
              <w:bidi w:val="0"/>
              <w:adjustRightInd/>
              <w:spacing w:line="360" w:lineRule="exact"/>
              <w:jc w:val="both"/>
              <w:textAlignment w:val="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投标报价得分=（评标基准价/投标报价）×100×价格权值 </w:t>
            </w:r>
          </w:p>
          <w:p w14:paraId="3C49A0C2">
            <w:pPr>
              <w:keepNext w:val="0"/>
              <w:keepLines w:val="0"/>
              <w:pageBreakBefore w:val="0"/>
              <w:widowControl w:val="0"/>
              <w:kinsoku/>
              <w:wordWrap/>
              <w:overflowPunct/>
              <w:topLinePunct w:val="0"/>
              <w:autoSpaceDE/>
              <w:autoSpaceDN/>
              <w:bidi w:val="0"/>
              <w:adjustRightInd/>
              <w:spacing w:line="360" w:lineRule="exact"/>
              <w:jc w:val="both"/>
              <w:textAlignment w:val="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注：根据“财政部令第87号”第六十条的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投标无效处理。</w:t>
            </w:r>
          </w:p>
        </w:tc>
      </w:tr>
    </w:tbl>
    <w:p w14:paraId="628E090E">
      <w:pPr>
        <w:spacing w:line="440" w:lineRule="exact"/>
        <w:jc w:val="center"/>
        <w:outlineLvl w:val="1"/>
        <w:rPr>
          <w:rFonts w:ascii="宋体" w:hAnsi="宋体"/>
          <w:b/>
          <w:sz w:val="24"/>
        </w:rPr>
      </w:pPr>
      <w:r>
        <w:rPr>
          <w:rFonts w:hint="eastAsia" w:ascii="宋体" w:hAnsi="宋体"/>
          <w:b/>
          <w:sz w:val="24"/>
        </w:rPr>
        <w:t>技术部分评审评分表（分值100分）</w:t>
      </w:r>
    </w:p>
    <w:tbl>
      <w:tblPr>
        <w:tblStyle w:val="40"/>
        <w:tblpPr w:leftFromText="180" w:rightFromText="180" w:vertAnchor="text" w:horzAnchor="page" w:tblpX="874" w:tblpY="43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1395"/>
        <w:gridCol w:w="735"/>
        <w:gridCol w:w="7519"/>
      </w:tblGrid>
      <w:tr w14:paraId="5D055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682" w:type="dxa"/>
            <w:noWrap/>
            <w:vAlign w:val="center"/>
          </w:tcPr>
          <w:p w14:paraId="38BD19C8">
            <w:r>
              <w:rPr>
                <w:rFonts w:hint="eastAsia"/>
              </w:rPr>
              <w:t>序号</w:t>
            </w:r>
          </w:p>
        </w:tc>
        <w:tc>
          <w:tcPr>
            <w:tcW w:w="1395" w:type="dxa"/>
            <w:noWrap/>
            <w:vAlign w:val="center"/>
          </w:tcPr>
          <w:p w14:paraId="6B3DD08B">
            <w:r>
              <w:rPr>
                <w:rFonts w:hint="eastAsia"/>
              </w:rPr>
              <w:t>评审因素</w:t>
            </w:r>
          </w:p>
        </w:tc>
        <w:tc>
          <w:tcPr>
            <w:tcW w:w="735" w:type="dxa"/>
            <w:noWrap/>
            <w:vAlign w:val="center"/>
          </w:tcPr>
          <w:p w14:paraId="166A11F1">
            <w:pPr>
              <w:jc w:val="center"/>
            </w:pPr>
            <w:r>
              <w:rPr>
                <w:rFonts w:hint="eastAsia"/>
              </w:rPr>
              <w:t>分值</w:t>
            </w:r>
          </w:p>
        </w:tc>
        <w:tc>
          <w:tcPr>
            <w:tcW w:w="7519" w:type="dxa"/>
            <w:noWrap/>
            <w:vAlign w:val="center"/>
          </w:tcPr>
          <w:p w14:paraId="1E1E98F8">
            <w:pPr>
              <w:jc w:val="center"/>
            </w:pPr>
            <w:r>
              <w:rPr>
                <w:rFonts w:hint="eastAsia"/>
              </w:rPr>
              <w:t>评分标准</w:t>
            </w:r>
          </w:p>
        </w:tc>
      </w:tr>
      <w:tr w14:paraId="77AAB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2" w:type="dxa"/>
            <w:noWrap/>
            <w:vAlign w:val="center"/>
          </w:tcPr>
          <w:p w14:paraId="66B306F3">
            <w:r>
              <w:t>1</w:t>
            </w:r>
          </w:p>
        </w:tc>
        <w:tc>
          <w:tcPr>
            <w:tcW w:w="1395" w:type="dxa"/>
            <w:noWrap/>
            <w:vAlign w:val="center"/>
          </w:tcPr>
          <w:p w14:paraId="72361030">
            <w:pPr>
              <w:jc w:val="center"/>
            </w:pPr>
            <w:r>
              <w:rPr>
                <w:rFonts w:hint="eastAsia" w:ascii="宋体" w:hAnsi="宋体" w:eastAsia="宋体" w:cs="宋体"/>
                <w:color w:val="auto"/>
                <w:sz w:val="21"/>
                <w:szCs w:val="21"/>
              </w:rPr>
              <w:t>技术参数响应程度</w:t>
            </w:r>
          </w:p>
        </w:tc>
        <w:tc>
          <w:tcPr>
            <w:tcW w:w="735" w:type="dxa"/>
            <w:noWrap/>
            <w:vAlign w:val="center"/>
          </w:tcPr>
          <w:p w14:paraId="59BFA545">
            <w:pPr>
              <w:rPr>
                <w:rFonts w:hint="default" w:eastAsia="宋体"/>
                <w:lang w:val="en-US" w:eastAsia="zh-CN"/>
              </w:rPr>
            </w:pPr>
            <w:r>
              <w:rPr>
                <w:rFonts w:hint="eastAsia"/>
                <w:lang w:val="en-US" w:eastAsia="zh-CN"/>
              </w:rPr>
              <w:t>10分</w:t>
            </w:r>
          </w:p>
        </w:tc>
        <w:tc>
          <w:tcPr>
            <w:tcW w:w="7519" w:type="dxa"/>
            <w:noWrap/>
            <w:vAlign w:val="center"/>
          </w:tcPr>
          <w:p w14:paraId="5D571F3C">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技术参数要求完全满足招标文件技术指标的计1</w:t>
            </w:r>
            <w:r>
              <w:rPr>
                <w:rFonts w:hint="eastAsia" w:ascii="宋体" w:hAnsi="宋体" w:eastAsia="宋体" w:cs="宋体"/>
                <w:color w:val="auto"/>
                <w:sz w:val="21"/>
                <w:szCs w:val="21"/>
                <w:lang w:val="en-US" w:eastAsia="zh-CN"/>
              </w:rPr>
              <w:t>0</w:t>
            </w:r>
            <w:r>
              <w:rPr>
                <w:rFonts w:hint="eastAsia" w:ascii="宋体" w:hAnsi="宋体" w:eastAsia="宋体" w:cs="宋体"/>
                <w:color w:val="auto"/>
                <w:sz w:val="21"/>
                <w:szCs w:val="21"/>
              </w:rPr>
              <w:t>分，一般技术条款（非“★”条款）每负偏离一项扣</w:t>
            </w: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分，扣完为止；如缺项或不响应，则视同负偏离处理</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凡招标文件</w:t>
            </w:r>
            <w:r>
              <w:rPr>
                <w:rFonts w:hint="eastAsia" w:ascii="宋体" w:hAnsi="宋体" w:cs="宋体"/>
                <w:color w:val="auto"/>
                <w:sz w:val="21"/>
                <w:szCs w:val="21"/>
                <w:lang w:val="en-US" w:eastAsia="zh-CN"/>
              </w:rPr>
              <w:t>采购需</w:t>
            </w:r>
            <w:r>
              <w:rPr>
                <w:rFonts w:hint="eastAsia" w:ascii="宋体" w:hAnsi="宋体" w:eastAsia="宋体" w:cs="宋体"/>
                <w:color w:val="auto"/>
                <w:sz w:val="21"/>
                <w:szCs w:val="21"/>
              </w:rPr>
              <w:t>求中</w:t>
            </w:r>
            <w:r>
              <w:rPr>
                <w:rFonts w:hint="eastAsia" w:ascii="宋体" w:hAnsi="宋体" w:cs="宋体"/>
                <w:color w:val="auto"/>
                <w:sz w:val="21"/>
                <w:szCs w:val="21"/>
                <w:lang w:val="en-US" w:eastAsia="zh-CN"/>
              </w:rPr>
              <w:t>要求</w:t>
            </w:r>
            <w:r>
              <w:rPr>
                <w:rFonts w:hint="eastAsia" w:ascii="宋体" w:hAnsi="宋体" w:eastAsia="宋体" w:cs="宋体"/>
                <w:color w:val="auto"/>
                <w:sz w:val="21"/>
                <w:szCs w:val="21"/>
              </w:rPr>
              <w:t xml:space="preserve">提供的证明材料的必须提供相关证明材料并加盖投标人公章，未按要求提供或提供的材料不足均视为缺漏项。 </w:t>
            </w:r>
          </w:p>
          <w:p w14:paraId="3A18106A">
            <w:r>
              <w:rPr>
                <w:rFonts w:hint="eastAsia" w:ascii="宋体" w:hAnsi="宋体" w:eastAsia="宋体" w:cs="宋体"/>
                <w:color w:val="auto"/>
                <w:sz w:val="21"/>
                <w:szCs w:val="21"/>
                <w:highlight w:val="none"/>
              </w:rPr>
              <w:t>投标文件没有</w:t>
            </w:r>
            <w:r>
              <w:rPr>
                <w:rFonts w:hint="eastAsia" w:ascii="宋体" w:hAnsi="宋体" w:eastAsia="宋体" w:cs="宋体"/>
                <w:color w:val="auto"/>
                <w:sz w:val="21"/>
                <w:szCs w:val="21"/>
                <w:highlight w:val="none"/>
                <w:lang w:val="en-US" w:eastAsia="zh-CN"/>
              </w:rPr>
              <w:t>货物说明响应</w:t>
            </w:r>
            <w:r>
              <w:rPr>
                <w:rFonts w:hint="eastAsia" w:ascii="宋体" w:hAnsi="宋体" w:eastAsia="宋体" w:cs="宋体"/>
                <w:color w:val="auto"/>
                <w:sz w:val="21"/>
                <w:szCs w:val="21"/>
                <w:lang w:val="en-US" w:eastAsia="zh-CN"/>
              </w:rPr>
              <w:t>一</w:t>
            </w:r>
            <w:r>
              <w:rPr>
                <w:rFonts w:hint="eastAsia" w:ascii="宋体" w:hAnsi="宋体" w:eastAsia="宋体" w:cs="宋体"/>
                <w:color w:val="auto"/>
                <w:sz w:val="21"/>
                <w:szCs w:val="21"/>
              </w:rPr>
              <w:t>览表的，不计分。</w:t>
            </w:r>
          </w:p>
        </w:tc>
      </w:tr>
      <w:tr w14:paraId="19F9D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682" w:type="dxa"/>
            <w:noWrap/>
            <w:vAlign w:val="center"/>
          </w:tcPr>
          <w:p w14:paraId="7492D4F5">
            <w:r>
              <w:rPr>
                <w:rFonts w:hint="eastAsia"/>
              </w:rPr>
              <w:t>2</w:t>
            </w:r>
          </w:p>
        </w:tc>
        <w:tc>
          <w:tcPr>
            <w:tcW w:w="1395" w:type="dxa"/>
            <w:noWrap/>
            <w:vAlign w:val="center"/>
          </w:tcPr>
          <w:p w14:paraId="25946039">
            <w:r>
              <w:rPr>
                <w:rFonts w:hint="eastAsia" w:ascii="宋体" w:hAnsi="宋体" w:eastAsia="宋体" w:cs="宋体"/>
                <w:color w:val="auto"/>
                <w:sz w:val="21"/>
                <w:szCs w:val="21"/>
              </w:rPr>
              <w:t>项目实施方案</w:t>
            </w:r>
          </w:p>
        </w:tc>
        <w:tc>
          <w:tcPr>
            <w:tcW w:w="735" w:type="dxa"/>
            <w:noWrap/>
            <w:vAlign w:val="center"/>
          </w:tcPr>
          <w:p w14:paraId="00F734CE">
            <w:pPr>
              <w:rPr>
                <w:rFonts w:hint="default" w:eastAsia="宋体"/>
                <w:lang w:val="en-US" w:eastAsia="zh-CN"/>
              </w:rPr>
            </w:pPr>
            <w:r>
              <w:rPr>
                <w:rFonts w:hint="eastAsia"/>
                <w:lang w:val="en-US" w:eastAsia="zh-CN"/>
              </w:rPr>
              <w:t>25分</w:t>
            </w:r>
          </w:p>
        </w:tc>
        <w:tc>
          <w:tcPr>
            <w:tcW w:w="7519" w:type="dxa"/>
            <w:noWrap/>
            <w:vAlign w:val="center"/>
          </w:tcPr>
          <w:p w14:paraId="07066009">
            <w:pP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投标人需根据采购需求提供针对本项目的项目实施方案，方案应包括但不限于：</w:t>
            </w:r>
            <w:r>
              <w:rPr>
                <w:rFonts w:hint="eastAsia" w:ascii="宋体" w:hAnsi="宋体" w:eastAsia="宋体" w:cs="宋体"/>
                <w:b/>
                <w:bCs/>
                <w:color w:val="auto"/>
                <w:sz w:val="21"/>
                <w:szCs w:val="21"/>
              </w:rPr>
              <w:t>①实施总体方案、②项目人员配备及安排、③项目进度计划及保证措施、④安装调试程序</w:t>
            </w:r>
            <w:r>
              <w:rPr>
                <w:rFonts w:hint="eastAsia" w:ascii="宋体" w:hAnsi="宋体" w:cs="宋体"/>
                <w:b/>
                <w:bCs/>
                <w:color w:val="auto"/>
                <w:sz w:val="21"/>
                <w:szCs w:val="21"/>
                <w:lang w:val="en-US" w:eastAsia="zh-CN"/>
              </w:rPr>
              <w:t>及</w:t>
            </w:r>
            <w:r>
              <w:rPr>
                <w:rFonts w:hint="eastAsia" w:ascii="宋体" w:hAnsi="宋体" w:eastAsia="宋体" w:cs="宋体"/>
                <w:b/>
                <w:bCs/>
                <w:color w:val="auto"/>
                <w:sz w:val="21"/>
                <w:szCs w:val="21"/>
              </w:rPr>
              <w:t>质量保证措施、⑤安全文明施工措施</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以上相关方案每一小项内容方案完整详细，符合采购实际需求得5分，缺项不得分，满分</w:t>
            </w:r>
            <w:r>
              <w:rPr>
                <w:rFonts w:hint="eastAsia" w:ascii="宋体" w:hAnsi="宋体" w:cs="宋体"/>
                <w:color w:val="auto"/>
                <w:sz w:val="21"/>
                <w:szCs w:val="21"/>
                <w:lang w:val="en-US" w:eastAsia="zh-CN"/>
              </w:rPr>
              <w:t>25</w:t>
            </w:r>
            <w:r>
              <w:rPr>
                <w:rFonts w:hint="eastAsia" w:ascii="宋体" w:hAnsi="宋体" w:eastAsia="宋体" w:cs="宋体"/>
                <w:color w:val="auto"/>
                <w:sz w:val="21"/>
                <w:szCs w:val="21"/>
                <w:lang w:val="en-US" w:eastAsia="zh-CN"/>
              </w:rPr>
              <w:t>分。每1小项内容出现以下缺陷情形的扣3分，每项扣完5分为止。</w:t>
            </w:r>
          </w:p>
          <w:p w14:paraId="27D24B3C">
            <w:r>
              <w:rPr>
                <w:rFonts w:hint="eastAsia" w:ascii="宋体" w:hAnsi="宋体" w:eastAsia="宋体" w:cs="宋体"/>
                <w:color w:val="auto"/>
                <w:sz w:val="21"/>
                <w:szCs w:val="21"/>
                <w:lang w:val="en-US" w:eastAsia="zh-CN"/>
              </w:rPr>
              <w:t>(缺陷是指:存在不适用项目实际情况的情形、凭空编造、逻辑漏洞、前后不一、科学原理错误以及不可能实现的夸大情形、涉及内容无重点、套用其他项目方案，未能体现出本项目的特点或与本项目实际需求不完全相符或内容简陋可能导致本项目无法按采购需求顺利完成的、语言错误或存在歧义、该</w:t>
            </w:r>
            <w:r>
              <w:rPr>
                <w:rFonts w:hint="eastAsia" w:ascii="宋体" w:hAnsi="宋体" w:cs="宋体"/>
                <w:color w:val="auto"/>
                <w:sz w:val="21"/>
                <w:szCs w:val="21"/>
                <w:lang w:val="en-US" w:eastAsia="zh-CN"/>
              </w:rPr>
              <w:t>项</w:t>
            </w:r>
            <w:r>
              <w:rPr>
                <w:rFonts w:hint="eastAsia" w:ascii="宋体" w:hAnsi="宋体" w:eastAsia="宋体" w:cs="宋体"/>
                <w:color w:val="auto"/>
                <w:sz w:val="21"/>
                <w:szCs w:val="21"/>
                <w:lang w:val="en-US" w:eastAsia="zh-CN"/>
              </w:rPr>
              <w:t>内容体现不齐全等)</w:t>
            </w:r>
          </w:p>
        </w:tc>
      </w:tr>
      <w:tr w14:paraId="50CB6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682" w:type="dxa"/>
            <w:noWrap/>
            <w:vAlign w:val="center"/>
          </w:tcPr>
          <w:p w14:paraId="33910E80">
            <w:r>
              <w:rPr>
                <w:rFonts w:hint="eastAsia"/>
              </w:rPr>
              <w:t>3</w:t>
            </w:r>
          </w:p>
        </w:tc>
        <w:tc>
          <w:tcPr>
            <w:tcW w:w="1395" w:type="dxa"/>
            <w:noWrap/>
            <w:vAlign w:val="center"/>
          </w:tcPr>
          <w:p w14:paraId="4F89C65F">
            <w:r>
              <w:rPr>
                <w:rFonts w:hint="eastAsia" w:ascii="宋体" w:hAnsi="宋体" w:eastAsia="宋体" w:cs="宋体"/>
                <w:color w:val="auto"/>
                <w:sz w:val="21"/>
                <w:szCs w:val="21"/>
                <w:lang w:val="en-US" w:eastAsia="zh-CN"/>
              </w:rPr>
              <w:t>产品性能质量</w:t>
            </w:r>
          </w:p>
        </w:tc>
        <w:tc>
          <w:tcPr>
            <w:tcW w:w="735" w:type="dxa"/>
            <w:noWrap/>
            <w:vAlign w:val="center"/>
          </w:tcPr>
          <w:p w14:paraId="4B389846">
            <w:pPr>
              <w:rPr>
                <w:rFonts w:hint="default" w:eastAsia="宋体"/>
                <w:lang w:val="en-US" w:eastAsia="zh-CN"/>
              </w:rPr>
            </w:pPr>
            <w:r>
              <w:rPr>
                <w:rFonts w:hint="eastAsia"/>
                <w:lang w:val="en-US" w:eastAsia="zh-CN"/>
              </w:rPr>
              <w:t>42分</w:t>
            </w:r>
          </w:p>
        </w:tc>
        <w:tc>
          <w:tcPr>
            <w:tcW w:w="7519" w:type="dxa"/>
            <w:noWrap/>
            <w:vAlign w:val="center"/>
          </w:tcPr>
          <w:p w14:paraId="1C72A661">
            <w:pPr>
              <w:spacing w:line="330" w:lineRule="exact"/>
              <w:rPr>
                <w:rFonts w:hint="eastAsia" w:ascii="宋体" w:hAnsi="宋体"/>
              </w:rPr>
            </w:pPr>
            <w:r>
              <w:rPr>
                <w:rFonts w:hint="eastAsia" w:ascii="宋体" w:hAnsi="宋体"/>
              </w:rPr>
              <w:t>1、投标人所投电梯品牌制造商曳引主机制动器动作试验动作次数不少于2000万次及以上且工作正常的计5分；2000万次＞动作次数≥1600万次且工作正常的计2分；1600万次＞动作次数≥1200万次且工作正常的计1分；其余的不计分（提供国家电梯质量监督检验中心或省级特种设备检验检测研究院或具有CNAS认证的检测机构出具的检测（验）报告复印件</w:t>
            </w:r>
            <w:r>
              <w:rPr>
                <w:rFonts w:hint="eastAsia"/>
              </w:rPr>
              <w:t>并加盖投标人公章，否则不计分</w:t>
            </w:r>
            <w:r>
              <w:rPr>
                <w:rFonts w:hint="eastAsia" w:ascii="宋体" w:hAnsi="宋体"/>
              </w:rPr>
              <w:t>）。</w:t>
            </w:r>
          </w:p>
          <w:p w14:paraId="1C3671CB">
            <w:pPr>
              <w:spacing w:line="276" w:lineRule="auto"/>
              <w:rPr>
                <w:rFonts w:hint="eastAsia" w:ascii="宋体" w:hAnsi="宋体"/>
              </w:rPr>
            </w:pPr>
            <w:r>
              <w:rPr>
                <w:rFonts w:hint="eastAsia" w:ascii="宋体" w:hAnsi="宋体"/>
              </w:rPr>
              <w:t>2、投标人所投电梯品牌制造商永磁同步门机开/关门运行次数不少于1600万次且开关门噪音不高于55dB(A)的计5分；运行次数不少于1000万次且开关门噪音不高于65dB(A)的计2分；运行次数不少于700万次且开关门噪音不高于65dB(A)的计1分，其余的不计分（提供国家电梯质量监督检验中心或省级特种设备检验检测研究院或具有CNAS认证的检测机构出具的检测（验）报告复印件并加盖投标人公章，否则不计分）。</w:t>
            </w:r>
          </w:p>
          <w:p w14:paraId="3208116D">
            <w:pPr>
              <w:pStyle w:val="3"/>
              <w:keepLines w:val="0"/>
              <w:spacing w:line="330" w:lineRule="exact"/>
              <w:rPr>
                <w:rFonts w:hint="eastAsia" w:ascii="宋体" w:hAnsi="宋体"/>
                <w:b w:val="0"/>
                <w:sz w:val="21"/>
              </w:rPr>
            </w:pPr>
            <w:r>
              <w:rPr>
                <w:rFonts w:hint="eastAsia" w:ascii="宋体" w:hAnsi="宋体"/>
                <w:b w:val="0"/>
                <w:sz w:val="21"/>
              </w:rPr>
              <w:t>3、</w:t>
            </w:r>
            <w:r>
              <w:rPr>
                <w:rFonts w:hint="eastAsia" w:ascii="宋体" w:hAnsi="宋体"/>
                <w:b w:val="0"/>
                <w:kern w:val="2"/>
                <w:sz w:val="21"/>
              </w:rPr>
              <w:t>投标人所投电梯品牌制造商设计的控制柜满足电压波动承受能力达到±20%</w:t>
            </w:r>
            <w:r>
              <w:rPr>
                <w:rFonts w:hint="eastAsia" w:ascii="宋体" w:hAnsi="宋体"/>
                <w:b w:val="0"/>
                <w:kern w:val="2"/>
                <w:sz w:val="21"/>
                <w:lang w:eastAsia="zh-CN"/>
              </w:rPr>
              <w:t>（</w:t>
            </w:r>
            <w:r>
              <w:rPr>
                <w:rFonts w:hint="eastAsia" w:ascii="宋体" w:hAnsi="宋体"/>
                <w:b w:val="0"/>
                <w:kern w:val="2"/>
                <w:sz w:val="21"/>
              </w:rPr>
              <w:t>即设备能在额定电压的 80%-120% 范围内稳定运行</w:t>
            </w:r>
            <w:r>
              <w:rPr>
                <w:rFonts w:hint="eastAsia" w:ascii="宋体" w:hAnsi="宋体"/>
                <w:b w:val="0"/>
                <w:kern w:val="2"/>
                <w:sz w:val="21"/>
                <w:highlight w:val="none"/>
                <w:lang w:eastAsia="zh-CN"/>
              </w:rPr>
              <w:t>）</w:t>
            </w:r>
            <w:r>
              <w:rPr>
                <w:rFonts w:hint="eastAsia" w:ascii="宋体" w:hAnsi="宋体"/>
                <w:b w:val="0"/>
                <w:kern w:val="2"/>
                <w:sz w:val="21"/>
                <w:highlight w:val="none"/>
              </w:rPr>
              <w:t>的计</w:t>
            </w:r>
            <w:r>
              <w:rPr>
                <w:rFonts w:hint="eastAsia" w:ascii="宋体" w:hAnsi="宋体"/>
                <w:b w:val="0"/>
                <w:kern w:val="2"/>
                <w:sz w:val="21"/>
                <w:highlight w:val="none"/>
                <w:lang w:val="en-US" w:eastAsia="zh-CN"/>
              </w:rPr>
              <w:t>8</w:t>
            </w:r>
            <w:r>
              <w:rPr>
                <w:rFonts w:hint="eastAsia" w:ascii="宋体" w:hAnsi="宋体"/>
                <w:b w:val="0"/>
                <w:kern w:val="2"/>
                <w:sz w:val="21"/>
                <w:highlight w:val="none"/>
              </w:rPr>
              <w:t>分；</w:t>
            </w:r>
            <w:r>
              <w:rPr>
                <w:rFonts w:hint="eastAsia" w:ascii="宋体" w:hAnsi="宋体"/>
                <w:b w:val="0"/>
                <w:kern w:val="2"/>
                <w:sz w:val="21"/>
              </w:rPr>
              <w:t>控制柜满足电压波动承受能力达到±15%</w:t>
            </w:r>
            <w:r>
              <w:rPr>
                <w:rFonts w:hint="eastAsia" w:ascii="宋体" w:hAnsi="宋体"/>
                <w:b w:val="0"/>
                <w:kern w:val="2"/>
                <w:sz w:val="21"/>
                <w:lang w:eastAsia="zh-CN"/>
              </w:rPr>
              <w:t>（</w:t>
            </w:r>
            <w:r>
              <w:rPr>
                <w:rFonts w:hint="eastAsia" w:ascii="宋体" w:hAnsi="宋体"/>
                <w:b w:val="0"/>
                <w:kern w:val="2"/>
                <w:sz w:val="21"/>
              </w:rPr>
              <w:t>即能在额定电压的 85%-115% 范围内正常工作</w:t>
            </w:r>
            <w:r>
              <w:rPr>
                <w:rFonts w:hint="eastAsia" w:ascii="宋体" w:hAnsi="宋体"/>
                <w:b w:val="0"/>
                <w:kern w:val="2"/>
                <w:sz w:val="21"/>
                <w:lang w:eastAsia="zh-CN"/>
              </w:rPr>
              <w:t>）</w:t>
            </w:r>
            <w:r>
              <w:rPr>
                <w:rFonts w:hint="eastAsia" w:ascii="宋体" w:hAnsi="宋体"/>
                <w:b w:val="0"/>
                <w:kern w:val="2"/>
                <w:sz w:val="21"/>
              </w:rPr>
              <w:t>的计3分；其余的不计分（提供国家电梯质量监督检验中心或省级特种设备检验检测研究院或具有CNAS认证的检测机构出具的检测（验）报告复印件并加盖投标人公章，否则不计分）。</w:t>
            </w:r>
          </w:p>
          <w:p w14:paraId="02F61E23">
            <w:pPr>
              <w:rPr>
                <w:rFonts w:hint="eastAsia" w:ascii="宋体" w:hAnsi="宋体" w:eastAsia="宋体" w:cs="Times New Roman"/>
                <w:b w:val="0"/>
                <w:bCs/>
                <w:kern w:val="2"/>
                <w:sz w:val="21"/>
                <w:szCs w:val="32"/>
                <w:lang w:val="en-US" w:eastAsia="zh-CN" w:bidi="ar-SA"/>
              </w:rPr>
            </w:pPr>
            <w:r>
              <w:rPr>
                <w:rFonts w:hint="eastAsia" w:ascii="宋体" w:hAnsi="宋体" w:eastAsia="宋体" w:cs="Times New Roman"/>
                <w:b w:val="0"/>
                <w:bCs/>
                <w:kern w:val="2"/>
                <w:sz w:val="21"/>
                <w:szCs w:val="32"/>
                <w:lang w:val="en-US" w:eastAsia="zh-CN" w:bidi="ar-SA"/>
              </w:rPr>
              <w:t>4、投标人所投电梯品牌制造商曳引机制动器在轿厢内加载≥250%的额定荷载后能至少保持85分钟，且主机制动器各部件完好，曳引轮不转动、轿厢未发生明显位移，制动器可保持良好的静态制动性</w:t>
            </w:r>
            <w:r>
              <w:rPr>
                <w:rFonts w:hint="eastAsia" w:ascii="宋体" w:hAnsi="宋体" w:eastAsia="宋体" w:cs="Times New Roman"/>
                <w:b w:val="0"/>
                <w:bCs/>
                <w:kern w:val="2"/>
                <w:sz w:val="21"/>
                <w:szCs w:val="32"/>
                <w:highlight w:val="none"/>
                <w:lang w:val="en-US" w:eastAsia="zh-CN" w:bidi="ar-SA"/>
              </w:rPr>
              <w:t>能计</w:t>
            </w:r>
            <w:r>
              <w:rPr>
                <w:rFonts w:hint="eastAsia" w:ascii="宋体" w:hAnsi="宋体" w:cs="Times New Roman"/>
                <w:b w:val="0"/>
                <w:bCs/>
                <w:kern w:val="2"/>
                <w:sz w:val="21"/>
                <w:szCs w:val="32"/>
                <w:highlight w:val="none"/>
                <w:lang w:val="en-US" w:eastAsia="zh-CN" w:bidi="ar-SA"/>
              </w:rPr>
              <w:t>10</w:t>
            </w:r>
            <w:r>
              <w:rPr>
                <w:rFonts w:hint="eastAsia" w:ascii="宋体" w:hAnsi="宋体" w:eastAsia="宋体" w:cs="Times New Roman"/>
                <w:b w:val="0"/>
                <w:bCs/>
                <w:kern w:val="2"/>
                <w:sz w:val="21"/>
                <w:szCs w:val="32"/>
                <w:highlight w:val="none"/>
                <w:lang w:val="en-US" w:eastAsia="zh-CN" w:bidi="ar-SA"/>
              </w:rPr>
              <w:t>分；</w:t>
            </w:r>
            <w:r>
              <w:rPr>
                <w:rFonts w:hint="eastAsia" w:ascii="宋体" w:hAnsi="宋体" w:eastAsia="宋体" w:cs="Times New Roman"/>
                <w:b w:val="0"/>
                <w:bCs/>
                <w:kern w:val="2"/>
                <w:sz w:val="21"/>
                <w:szCs w:val="32"/>
                <w:lang w:val="en-US" w:eastAsia="zh-CN" w:bidi="ar-SA"/>
              </w:rPr>
              <w:t>240%的额定荷载＞曳引机制动器在轿厢内加载≥180%的额定荷载后能至少保持65分钟，且主机制动器各部件完好，曳引轮不转动、轿厢未发生明显位移，制动器可保持良好的静态制动性能计5分，180%的额定荷载＞曳引机制动器在轿厢内加载后能至少保持55分钟，且主机制动器各部件完好，曳引轮不转动、轿厢未发生明显位移，制动器可保持良好的静态制动性能计2分。（提供国家电梯质量监督检验中心或省级特种设备检验检测研究院或具有CNAS认证的检测机构出具的检测（验）报告复印件并加盖投标人公章，否则不计分）</w:t>
            </w:r>
          </w:p>
          <w:p w14:paraId="18A3506C">
            <w:pPr>
              <w:spacing w:line="276" w:lineRule="auto"/>
              <w:rPr>
                <w:rFonts w:hint="eastAsia" w:ascii="宋体" w:hAnsi="宋体"/>
                <w:color w:val="auto"/>
              </w:rPr>
            </w:pPr>
            <w:r>
              <w:rPr>
                <w:rFonts w:hint="eastAsia" w:ascii="宋体" w:hAnsi="宋体" w:cs="宋体"/>
                <w:szCs w:val="21"/>
              </w:rPr>
              <w:t>5、</w:t>
            </w:r>
            <w:r>
              <w:rPr>
                <w:rFonts w:hint="eastAsia" w:ascii="宋体" w:hAnsi="宋体"/>
                <w:szCs w:val="21"/>
              </w:rPr>
              <w:t>所投产品主机</w:t>
            </w:r>
            <w:r>
              <w:rPr>
                <w:rFonts w:hint="eastAsia" w:ascii="宋体" w:hAnsi="宋体"/>
                <w:szCs w:val="21"/>
                <w:lang w:val="en-US" w:eastAsia="zh-CN"/>
              </w:rPr>
              <w:t>在满负荷工作下</w:t>
            </w:r>
            <w:r>
              <w:rPr>
                <w:rFonts w:hint="eastAsia" w:ascii="宋体" w:hAnsi="宋体"/>
                <w:szCs w:val="21"/>
              </w:rPr>
              <w:t>温升</w:t>
            </w:r>
            <w:r>
              <w:rPr>
                <w:rFonts w:hint="eastAsia" w:ascii="宋体" w:hAnsi="宋体"/>
                <w:color w:val="auto"/>
                <w:szCs w:val="21"/>
              </w:rPr>
              <w:t>不高于50K（含）的计</w:t>
            </w:r>
            <w:r>
              <w:rPr>
                <w:rFonts w:hint="eastAsia" w:ascii="宋体" w:hAnsi="宋体"/>
                <w:color w:val="auto"/>
                <w:szCs w:val="21"/>
                <w:lang w:val="en-US" w:eastAsia="zh-CN"/>
              </w:rPr>
              <w:t>4</w:t>
            </w:r>
            <w:r>
              <w:rPr>
                <w:rFonts w:hint="eastAsia" w:ascii="宋体" w:hAnsi="宋体"/>
                <w:color w:val="auto"/>
                <w:szCs w:val="21"/>
              </w:rPr>
              <w:t>分，主机温升50K（不含）-60K（含）的计2分，其余不计分。（注：需提供第三方检测机构（检测机构应同时具有CMA认证、CNAS认证）出具的证明文件复印件并加盖投标人公章，否则不计分。）</w:t>
            </w:r>
          </w:p>
          <w:p w14:paraId="35814914">
            <w:pPr>
              <w:rPr>
                <w:color w:val="auto"/>
              </w:rPr>
            </w:pPr>
            <w:r>
              <w:rPr>
                <w:rFonts w:hint="eastAsia" w:ascii="宋体" w:hAnsi="宋体" w:cs="宋体"/>
                <w:color w:val="auto"/>
                <w:szCs w:val="21"/>
              </w:rPr>
              <w:t>6</w:t>
            </w:r>
            <w:r>
              <w:rPr>
                <w:rFonts w:hint="eastAsia" w:ascii="宋体" w:hAnsi="宋体"/>
                <w:color w:val="auto"/>
                <w:szCs w:val="21"/>
              </w:rPr>
              <w:t>、</w:t>
            </w:r>
            <w:r>
              <w:rPr>
                <w:rFonts w:hint="eastAsia"/>
                <w:color w:val="auto"/>
              </w:rPr>
              <w:t>根据所投电梯产品信号系统盐雾测试，可以提供盐雾测试的得</w:t>
            </w:r>
            <w:r>
              <w:rPr>
                <w:rFonts w:hint="eastAsia"/>
                <w:color w:val="auto"/>
                <w:lang w:val="en-US" w:eastAsia="zh-CN"/>
              </w:rPr>
              <w:t>5</w:t>
            </w:r>
            <w:r>
              <w:rPr>
                <w:rFonts w:hint="eastAsia"/>
                <w:color w:val="auto"/>
              </w:rPr>
              <w:t>分，其余不得分。提供由具备</w:t>
            </w:r>
            <w:r>
              <w:rPr>
                <w:color w:val="auto"/>
              </w:rPr>
              <w:t>CMA</w:t>
            </w:r>
            <w:r>
              <w:rPr>
                <w:rFonts w:hint="eastAsia"/>
                <w:color w:val="auto"/>
              </w:rPr>
              <w:t>或者</w:t>
            </w:r>
            <w:r>
              <w:rPr>
                <w:color w:val="auto"/>
              </w:rPr>
              <w:t>CNAS</w:t>
            </w:r>
            <w:r>
              <w:rPr>
                <w:rFonts w:hint="eastAsia"/>
                <w:color w:val="auto"/>
              </w:rPr>
              <w:t>认证的检测机构出具的第三方试验报告扫描件</w:t>
            </w:r>
            <w:r>
              <w:rPr>
                <w:rFonts w:hint="eastAsia" w:ascii="宋体" w:hAnsi="宋体"/>
                <w:color w:val="auto"/>
              </w:rPr>
              <w:t>并加盖投标人公章</w:t>
            </w:r>
            <w:r>
              <w:rPr>
                <w:rFonts w:hint="eastAsia"/>
                <w:color w:val="auto"/>
              </w:rPr>
              <w:t>，未提供不得分。</w:t>
            </w:r>
          </w:p>
          <w:p w14:paraId="3EC2C46E">
            <w:r>
              <w:rPr>
                <w:color w:val="auto"/>
              </w:rPr>
              <w:t>7</w:t>
            </w:r>
            <w:r>
              <w:rPr>
                <w:rFonts w:hint="eastAsia"/>
                <w:color w:val="auto"/>
              </w:rPr>
              <w:t>、根据所投产品不锈钢盐雾试验，试验后未出现腐蚀现象、大于</w:t>
            </w:r>
            <w:r>
              <w:rPr>
                <w:color w:val="auto"/>
              </w:rPr>
              <w:t>470</w:t>
            </w:r>
            <w:r>
              <w:rPr>
                <w:rFonts w:hint="eastAsia"/>
                <w:color w:val="auto"/>
              </w:rPr>
              <w:t>小时以上的得</w:t>
            </w:r>
            <w:r>
              <w:rPr>
                <w:rFonts w:hint="eastAsia"/>
                <w:color w:val="auto"/>
                <w:lang w:val="en-US" w:eastAsia="zh-CN"/>
              </w:rPr>
              <w:t>5</w:t>
            </w:r>
            <w:r>
              <w:rPr>
                <w:rFonts w:hint="eastAsia"/>
                <w:color w:val="auto"/>
              </w:rPr>
              <w:t>分，</w:t>
            </w:r>
            <w:r>
              <w:rPr>
                <w:color w:val="auto"/>
              </w:rPr>
              <w:t>300</w:t>
            </w:r>
            <w:r>
              <w:rPr>
                <w:rFonts w:hint="eastAsia"/>
                <w:color w:val="auto"/>
              </w:rPr>
              <w:t>到</w:t>
            </w:r>
            <w:r>
              <w:rPr>
                <w:color w:val="auto"/>
              </w:rPr>
              <w:t>4</w:t>
            </w:r>
            <w:r>
              <w:rPr>
                <w:rFonts w:hint="eastAsia"/>
                <w:color w:val="auto"/>
                <w:lang w:val="en-US" w:eastAsia="zh-CN"/>
              </w:rPr>
              <w:t>7</w:t>
            </w:r>
            <w:r>
              <w:rPr>
                <w:color w:val="auto"/>
              </w:rPr>
              <w:t>0</w:t>
            </w:r>
            <w:r>
              <w:rPr>
                <w:rFonts w:hint="eastAsia"/>
                <w:color w:val="auto"/>
              </w:rPr>
              <w:t>小时之间</w:t>
            </w:r>
            <w:r>
              <w:rPr>
                <w:rFonts w:hint="eastAsia"/>
                <w:color w:val="000000"/>
              </w:rPr>
              <w:t>的得</w:t>
            </w:r>
            <w:r>
              <w:rPr>
                <w:color w:val="000000"/>
              </w:rPr>
              <w:t>3</w:t>
            </w:r>
            <w:r>
              <w:rPr>
                <w:rFonts w:hint="eastAsia"/>
                <w:color w:val="000000"/>
              </w:rPr>
              <w:t>分，低于</w:t>
            </w:r>
            <w:r>
              <w:rPr>
                <w:color w:val="000000"/>
              </w:rPr>
              <w:t>300</w:t>
            </w:r>
            <w:r>
              <w:rPr>
                <w:rFonts w:hint="eastAsia"/>
                <w:color w:val="000000"/>
              </w:rPr>
              <w:t>小时的得</w:t>
            </w:r>
            <w:r>
              <w:rPr>
                <w:color w:val="000000"/>
              </w:rPr>
              <w:t>1</w:t>
            </w:r>
            <w:r>
              <w:rPr>
                <w:rFonts w:hint="eastAsia"/>
                <w:color w:val="000000"/>
              </w:rPr>
              <w:t>分，其余不得分。提供由具备</w:t>
            </w:r>
            <w:r>
              <w:rPr>
                <w:color w:val="000000"/>
              </w:rPr>
              <w:t>CMA</w:t>
            </w:r>
            <w:r>
              <w:rPr>
                <w:rFonts w:hint="eastAsia"/>
                <w:color w:val="000000"/>
              </w:rPr>
              <w:t>或者</w:t>
            </w:r>
            <w:r>
              <w:rPr>
                <w:color w:val="000000"/>
              </w:rPr>
              <w:t>CNAS</w:t>
            </w:r>
            <w:r>
              <w:rPr>
                <w:rFonts w:hint="eastAsia"/>
                <w:color w:val="000000"/>
              </w:rPr>
              <w:t>认证的检测机构出具的第三方试验报告扫描件</w:t>
            </w:r>
            <w:r>
              <w:rPr>
                <w:rFonts w:hint="eastAsia" w:ascii="宋体" w:hAnsi="宋体"/>
              </w:rPr>
              <w:t>并加盖投标人公章</w:t>
            </w:r>
            <w:r>
              <w:rPr>
                <w:rFonts w:hint="eastAsia"/>
                <w:color w:val="000000"/>
              </w:rPr>
              <w:t>，未提供不得分。</w:t>
            </w:r>
          </w:p>
        </w:tc>
      </w:tr>
      <w:tr w14:paraId="6C0C9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682" w:type="dxa"/>
            <w:noWrap/>
            <w:vAlign w:val="center"/>
          </w:tcPr>
          <w:p w14:paraId="2C69094C">
            <w:pPr>
              <w:rPr>
                <w:rFonts w:hint="default" w:eastAsia="宋体"/>
                <w:lang w:val="en-US" w:eastAsia="zh-CN"/>
              </w:rPr>
            </w:pPr>
            <w:r>
              <w:rPr>
                <w:rFonts w:hint="eastAsia"/>
                <w:lang w:val="en-US" w:eastAsia="zh-CN"/>
              </w:rPr>
              <w:t>4</w:t>
            </w:r>
          </w:p>
        </w:tc>
        <w:tc>
          <w:tcPr>
            <w:tcW w:w="1395" w:type="dxa"/>
            <w:noWrap/>
            <w:vAlign w:val="center"/>
          </w:tcPr>
          <w:p w14:paraId="0B92AF58">
            <w:pPr>
              <w:jc w:val="center"/>
              <w:rPr>
                <w:rFonts w:hint="eastAsia" w:ascii="宋体" w:hAnsi="宋体" w:eastAsia="宋体" w:cs="宋体"/>
                <w:color w:val="auto"/>
                <w:sz w:val="21"/>
                <w:szCs w:val="21"/>
                <w:lang w:val="en-US" w:eastAsia="zh-CN"/>
              </w:rPr>
            </w:pPr>
            <w:r>
              <w:rPr>
                <w:rFonts w:hint="eastAsia"/>
                <w:color w:val="000000"/>
                <w:spacing w:val="-1"/>
              </w:rPr>
              <w:t>光幕</w:t>
            </w:r>
          </w:p>
        </w:tc>
        <w:tc>
          <w:tcPr>
            <w:tcW w:w="735" w:type="dxa"/>
            <w:noWrap/>
            <w:vAlign w:val="center"/>
          </w:tcPr>
          <w:p w14:paraId="5DE2B1A6">
            <w:pPr>
              <w:rPr>
                <w:rFonts w:hint="default" w:eastAsia="宋体"/>
                <w:lang w:val="en-US" w:eastAsia="zh-CN"/>
              </w:rPr>
            </w:pPr>
            <w:r>
              <w:rPr>
                <w:rFonts w:hint="eastAsia"/>
                <w:color w:val="000000"/>
                <w:spacing w:val="-6"/>
                <w:lang w:val="en-US" w:eastAsia="zh-CN"/>
              </w:rPr>
              <w:t>10分</w:t>
            </w:r>
          </w:p>
        </w:tc>
        <w:tc>
          <w:tcPr>
            <w:tcW w:w="7519" w:type="dxa"/>
            <w:noWrap/>
            <w:vAlign w:val="center"/>
          </w:tcPr>
          <w:p w14:paraId="06ED95AD">
            <w:pPr>
              <w:widowControl/>
              <w:textAlignment w:val="center"/>
              <w:rPr>
                <w:color w:val="auto"/>
              </w:rPr>
            </w:pPr>
            <w:r>
              <w:rPr>
                <w:rFonts w:hint="eastAsia"/>
                <w:color w:val="000000"/>
              </w:rPr>
              <w:t>光幕</w:t>
            </w:r>
            <w:r>
              <w:rPr>
                <w:rFonts w:hint="eastAsia" w:ascii="宋体" w:hAnsi="宋体" w:eastAsia="宋体" w:cs="Times New Roman"/>
                <w:b w:val="0"/>
                <w:bCs/>
                <w:kern w:val="2"/>
                <w:sz w:val="21"/>
                <w:szCs w:val="32"/>
                <w:lang w:val="en-US" w:eastAsia="zh-CN" w:bidi="ar-SA"/>
              </w:rPr>
              <w:t>≥</w:t>
            </w:r>
            <w:r>
              <w:rPr>
                <w:color w:val="000000"/>
              </w:rPr>
              <w:t>2</w:t>
            </w:r>
            <w:r>
              <w:rPr>
                <w:rFonts w:hint="eastAsia"/>
                <w:color w:val="000000"/>
              </w:rPr>
              <w:t>6</w:t>
            </w:r>
            <w:r>
              <w:rPr>
                <w:color w:val="000000"/>
              </w:rPr>
              <w:t>1</w:t>
            </w:r>
            <w:r>
              <w:rPr>
                <w:rFonts w:hint="eastAsia"/>
                <w:color w:val="000000"/>
              </w:rPr>
              <w:t>束且达到</w:t>
            </w:r>
            <w:r>
              <w:rPr>
                <w:color w:val="000000"/>
              </w:rPr>
              <w:t>IP6</w:t>
            </w:r>
            <w:r>
              <w:rPr>
                <w:color w:val="000000"/>
                <w:highlight w:val="none"/>
              </w:rPr>
              <w:t>5</w:t>
            </w:r>
            <w:r>
              <w:rPr>
                <w:rFonts w:hint="eastAsia"/>
                <w:color w:val="000000"/>
                <w:highlight w:val="none"/>
              </w:rPr>
              <w:t>的得</w:t>
            </w:r>
            <w:r>
              <w:rPr>
                <w:rFonts w:hint="eastAsia"/>
                <w:color w:val="000000"/>
                <w:highlight w:val="none"/>
                <w:lang w:val="en-US" w:eastAsia="zh-CN"/>
              </w:rPr>
              <w:t>10</w:t>
            </w:r>
            <w:r>
              <w:rPr>
                <w:rFonts w:hint="eastAsia"/>
                <w:color w:val="000000"/>
                <w:highlight w:val="none"/>
              </w:rPr>
              <w:t>分，</w:t>
            </w:r>
            <w:r>
              <w:rPr>
                <w:rFonts w:hint="eastAsia" w:ascii="宋体" w:hAnsi="宋体" w:eastAsia="宋体" w:cs="Times New Roman"/>
                <w:b w:val="0"/>
                <w:bCs/>
                <w:kern w:val="2"/>
                <w:sz w:val="21"/>
                <w:szCs w:val="32"/>
                <w:lang w:val="en-US" w:eastAsia="zh-CN" w:bidi="ar-SA"/>
              </w:rPr>
              <w:t>≥</w:t>
            </w:r>
            <w:r>
              <w:rPr>
                <w:color w:val="000000"/>
                <w:highlight w:val="none"/>
              </w:rPr>
              <w:t>230</w:t>
            </w:r>
            <w:r>
              <w:rPr>
                <w:rFonts w:hint="eastAsia"/>
                <w:color w:val="000000"/>
                <w:highlight w:val="none"/>
              </w:rPr>
              <w:t>束且达到</w:t>
            </w:r>
            <w:r>
              <w:rPr>
                <w:color w:val="000000"/>
                <w:highlight w:val="none"/>
              </w:rPr>
              <w:t>IP65</w:t>
            </w:r>
            <w:r>
              <w:rPr>
                <w:rFonts w:hint="eastAsia"/>
                <w:color w:val="000000"/>
                <w:highlight w:val="none"/>
              </w:rPr>
              <w:t>的得</w:t>
            </w:r>
            <w:r>
              <w:rPr>
                <w:rFonts w:hint="eastAsia"/>
                <w:color w:val="000000"/>
                <w:highlight w:val="none"/>
                <w:lang w:val="en-US" w:eastAsia="zh-CN"/>
              </w:rPr>
              <w:t>5</w:t>
            </w:r>
            <w:r>
              <w:rPr>
                <w:rFonts w:hint="eastAsia"/>
                <w:color w:val="000000"/>
                <w:highlight w:val="none"/>
              </w:rPr>
              <w:t>分，</w:t>
            </w:r>
            <w:r>
              <w:rPr>
                <w:rFonts w:hint="eastAsia" w:ascii="宋体" w:hAnsi="宋体" w:eastAsia="宋体" w:cs="Times New Roman"/>
                <w:b w:val="0"/>
                <w:bCs/>
                <w:kern w:val="2"/>
                <w:sz w:val="21"/>
                <w:szCs w:val="32"/>
                <w:lang w:val="en-US" w:eastAsia="zh-CN" w:bidi="ar-SA"/>
              </w:rPr>
              <w:t>≥</w:t>
            </w:r>
            <w:r>
              <w:rPr>
                <w:color w:val="000000"/>
                <w:highlight w:val="none"/>
              </w:rPr>
              <w:t>198</w:t>
            </w:r>
            <w:r>
              <w:rPr>
                <w:rFonts w:hint="eastAsia"/>
                <w:color w:val="000000"/>
                <w:highlight w:val="none"/>
              </w:rPr>
              <w:t>束且达到</w:t>
            </w:r>
            <w:r>
              <w:rPr>
                <w:color w:val="000000"/>
                <w:highlight w:val="none"/>
              </w:rPr>
              <w:t>IP65</w:t>
            </w:r>
            <w:r>
              <w:rPr>
                <w:rFonts w:hint="eastAsia"/>
                <w:color w:val="000000"/>
                <w:highlight w:val="none"/>
              </w:rPr>
              <w:t>的得</w:t>
            </w:r>
            <w:r>
              <w:rPr>
                <w:rFonts w:hint="eastAsia"/>
                <w:color w:val="000000"/>
                <w:highlight w:val="none"/>
                <w:lang w:val="en-US" w:eastAsia="zh-CN"/>
              </w:rPr>
              <w:t>3</w:t>
            </w:r>
            <w:r>
              <w:rPr>
                <w:rFonts w:hint="eastAsia"/>
                <w:color w:val="000000"/>
                <w:highlight w:val="none"/>
              </w:rPr>
              <w:t>分</w:t>
            </w:r>
            <w:r>
              <w:rPr>
                <w:color w:val="000000"/>
                <w:highlight w:val="none"/>
              </w:rPr>
              <w:t>(</w:t>
            </w:r>
            <w:r>
              <w:rPr>
                <w:rFonts w:hint="eastAsia"/>
                <w:color w:val="000000"/>
                <w:highlight w:val="none"/>
              </w:rPr>
              <w:t>提供第三方检测报告为准，并将报告原件扫描件加盖投标人公章，未提供不得分</w:t>
            </w:r>
            <w:r>
              <w:rPr>
                <w:color w:val="000000"/>
                <w:highlight w:val="none"/>
              </w:rPr>
              <w:t>)</w:t>
            </w:r>
          </w:p>
        </w:tc>
      </w:tr>
      <w:tr w14:paraId="63FF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682" w:type="dxa"/>
            <w:noWrap/>
            <w:vAlign w:val="center"/>
          </w:tcPr>
          <w:p w14:paraId="423933DD">
            <w:pPr>
              <w:rPr>
                <w:rFonts w:hint="eastAsia" w:eastAsia="宋体"/>
                <w:lang w:eastAsia="zh-CN"/>
              </w:rPr>
            </w:pPr>
            <w:r>
              <w:rPr>
                <w:rFonts w:hint="eastAsia"/>
                <w:lang w:val="en-US" w:eastAsia="zh-CN"/>
              </w:rPr>
              <w:t>5</w:t>
            </w:r>
          </w:p>
        </w:tc>
        <w:tc>
          <w:tcPr>
            <w:tcW w:w="1395" w:type="dxa"/>
            <w:noWrap/>
            <w:vAlign w:val="center"/>
          </w:tcPr>
          <w:p w14:paraId="08A2AD06">
            <w:pPr>
              <w:jc w:val="center"/>
              <w:rPr>
                <w:rFonts w:hint="default" w:eastAsia="宋体"/>
                <w:lang w:val="en-US" w:eastAsia="zh-CN"/>
              </w:rPr>
            </w:pPr>
            <w:r>
              <w:rPr>
                <w:rFonts w:hint="eastAsia" w:ascii="宋体" w:hAnsi="宋体" w:eastAsia="宋体" w:cs="宋体"/>
                <w:color w:val="auto"/>
                <w:sz w:val="21"/>
                <w:szCs w:val="21"/>
                <w:highlight w:val="none"/>
              </w:rPr>
              <w:t>设备节能性</w:t>
            </w:r>
          </w:p>
        </w:tc>
        <w:tc>
          <w:tcPr>
            <w:tcW w:w="735" w:type="dxa"/>
            <w:noWrap/>
            <w:vAlign w:val="center"/>
          </w:tcPr>
          <w:p w14:paraId="14D9A52D">
            <w:pPr>
              <w:rPr>
                <w:rFonts w:hint="default" w:eastAsia="宋体"/>
                <w:lang w:val="en-US" w:eastAsia="zh-CN"/>
              </w:rPr>
            </w:pPr>
            <w:r>
              <w:rPr>
                <w:rFonts w:hint="eastAsia"/>
                <w:lang w:val="en-US" w:eastAsia="zh-CN"/>
              </w:rPr>
              <w:t>8分</w:t>
            </w:r>
          </w:p>
        </w:tc>
        <w:tc>
          <w:tcPr>
            <w:tcW w:w="7519" w:type="dxa"/>
            <w:noWrap/>
            <w:vAlign w:val="center"/>
          </w:tcPr>
          <w:p w14:paraId="4D22E609">
            <w:pPr>
              <w:autoSpaceDE w:val="0"/>
              <w:autoSpaceDN w:val="0"/>
              <w:adjustRightInd w:val="0"/>
              <w:rPr>
                <w:rFonts w:hint="eastAsia" w:ascii="宋体" w:hAnsi="宋体" w:cs="Calibri"/>
                <w:color w:val="000000"/>
                <w:szCs w:val="21"/>
              </w:rPr>
            </w:pPr>
            <w:r>
              <w:rPr>
                <w:rFonts w:hint="eastAsia" w:ascii="宋体" w:hAnsi="宋体" w:cs="Calibri"/>
                <w:color w:val="000000"/>
                <w:szCs w:val="21"/>
              </w:rPr>
              <w:t>本项目所投产品（同类型号）获得权威机构（</w:t>
            </w:r>
            <w:r>
              <w:rPr>
                <w:rFonts w:ascii="宋体" w:hAnsi="宋体" w:cs="Calibri"/>
                <w:color w:val="000000"/>
                <w:szCs w:val="21"/>
              </w:rPr>
              <w:t>ISO</w:t>
            </w:r>
            <w:r>
              <w:rPr>
                <w:rFonts w:hint="eastAsia" w:ascii="宋体" w:hAnsi="宋体" w:cs="Calibri"/>
                <w:color w:val="000000"/>
                <w:szCs w:val="21"/>
              </w:rPr>
              <w:t>或</w:t>
            </w:r>
            <w:r>
              <w:rPr>
                <w:rFonts w:ascii="宋体" w:hAnsi="宋体" w:cs="Calibri"/>
                <w:color w:val="000000"/>
                <w:szCs w:val="21"/>
              </w:rPr>
              <w:t>TUV</w:t>
            </w:r>
            <w:r>
              <w:rPr>
                <w:rFonts w:hint="eastAsia" w:ascii="宋体" w:hAnsi="宋体" w:cs="Calibri"/>
                <w:color w:val="000000"/>
                <w:szCs w:val="21"/>
              </w:rPr>
              <w:t>）</w:t>
            </w:r>
            <w:r>
              <w:rPr>
                <w:rFonts w:ascii="宋体" w:hAnsi="宋体" w:cs="Calibri"/>
                <w:color w:val="000000"/>
                <w:szCs w:val="21"/>
              </w:rPr>
              <w:t>A</w:t>
            </w:r>
            <w:r>
              <w:rPr>
                <w:rFonts w:hint="eastAsia" w:ascii="宋体" w:hAnsi="宋体" w:cs="Calibri"/>
                <w:color w:val="000000"/>
                <w:szCs w:val="21"/>
              </w:rPr>
              <w:t>级能效认证的计</w:t>
            </w:r>
            <w:r>
              <w:rPr>
                <w:rFonts w:hint="eastAsia" w:ascii="宋体" w:hAnsi="宋体" w:cs="Calibri"/>
                <w:color w:val="000000"/>
                <w:szCs w:val="21"/>
                <w:lang w:val="en-US" w:eastAsia="zh-CN"/>
              </w:rPr>
              <w:t>8</w:t>
            </w:r>
            <w:r>
              <w:rPr>
                <w:rFonts w:hint="eastAsia" w:ascii="宋体" w:hAnsi="宋体" w:cs="Calibri"/>
                <w:color w:val="000000"/>
                <w:szCs w:val="21"/>
              </w:rPr>
              <w:t>分，B级计</w:t>
            </w:r>
            <w:r>
              <w:rPr>
                <w:rFonts w:hint="eastAsia" w:ascii="宋体" w:hAnsi="宋体" w:cs="Calibri"/>
                <w:color w:val="000000"/>
                <w:szCs w:val="21"/>
                <w:lang w:val="en-US" w:eastAsia="zh-CN"/>
              </w:rPr>
              <w:t>4</w:t>
            </w:r>
            <w:r>
              <w:rPr>
                <w:rFonts w:hint="eastAsia" w:ascii="宋体" w:hAnsi="宋体" w:cs="Calibri"/>
                <w:color w:val="000000"/>
                <w:szCs w:val="21"/>
              </w:rPr>
              <w:t xml:space="preserve">分，其余不计分。 </w:t>
            </w:r>
          </w:p>
          <w:p w14:paraId="75D1F9BB">
            <w:pPr>
              <w:widowControl/>
              <w:textAlignment w:val="center"/>
              <w:rPr>
                <w:rFonts w:ascii="宋体" w:hAnsi="宋体" w:cs="宋体"/>
                <w:szCs w:val="21"/>
              </w:rPr>
            </w:pPr>
            <w:r>
              <w:rPr>
                <w:rFonts w:hint="eastAsia" w:ascii="宋体" w:hAnsi="宋体" w:eastAsia="宋体" w:cs="宋体"/>
                <w:color w:val="auto"/>
                <w:sz w:val="21"/>
                <w:szCs w:val="21"/>
                <w:highlight w:val="none"/>
                <w:lang w:val="en-US" w:eastAsia="zh-CN"/>
              </w:rPr>
              <w:t>计分说明：</w:t>
            </w:r>
            <w:r>
              <w:rPr>
                <w:rFonts w:hint="eastAsia" w:ascii="宋体" w:hAnsi="宋体" w:eastAsia="宋体" w:cs="宋体"/>
                <w:color w:val="auto"/>
                <w:sz w:val="21"/>
                <w:szCs w:val="21"/>
                <w:lang w:val="en-US" w:eastAsia="zh-CN"/>
              </w:rPr>
              <w:t>需</w:t>
            </w:r>
            <w:r>
              <w:rPr>
                <w:rFonts w:hint="eastAsia" w:ascii="宋体" w:hAnsi="宋体" w:eastAsia="宋体" w:cs="宋体"/>
                <w:color w:val="auto"/>
                <w:sz w:val="21"/>
                <w:szCs w:val="21"/>
                <w:highlight w:val="none"/>
              </w:rPr>
              <w:t>提供</w:t>
            </w:r>
            <w:r>
              <w:rPr>
                <w:rFonts w:hint="eastAsia" w:ascii="宋体" w:hAnsi="宋体" w:eastAsia="宋体" w:cs="宋体"/>
                <w:color w:val="auto"/>
                <w:sz w:val="21"/>
                <w:szCs w:val="21"/>
                <w:highlight w:val="none"/>
                <w:lang w:val="en-US" w:eastAsia="zh-CN"/>
              </w:rPr>
              <w:t>有效</w:t>
            </w:r>
            <w:r>
              <w:rPr>
                <w:rFonts w:hint="eastAsia" w:ascii="宋体" w:hAnsi="宋体" w:eastAsia="宋体" w:cs="宋体"/>
                <w:color w:val="auto"/>
                <w:sz w:val="21"/>
                <w:szCs w:val="21"/>
                <w:highlight w:val="none"/>
              </w:rPr>
              <w:t>认证证书</w:t>
            </w:r>
            <w:r>
              <w:rPr>
                <w:rFonts w:hint="eastAsia" w:ascii="宋体" w:hAnsi="宋体" w:eastAsia="宋体" w:cs="宋体"/>
                <w:color w:val="auto"/>
                <w:sz w:val="21"/>
                <w:szCs w:val="21"/>
                <w:highlight w:val="none"/>
                <w:lang w:val="en-US" w:eastAsia="zh-CN"/>
              </w:rPr>
              <w:t>扫描</w:t>
            </w:r>
            <w:r>
              <w:rPr>
                <w:rFonts w:hint="eastAsia" w:ascii="宋体" w:hAnsi="宋体" w:eastAsia="宋体" w:cs="宋体"/>
                <w:color w:val="auto"/>
                <w:sz w:val="21"/>
                <w:szCs w:val="21"/>
                <w:highlight w:val="none"/>
              </w:rPr>
              <w:t>件</w:t>
            </w:r>
            <w:r>
              <w:rPr>
                <w:rFonts w:hint="eastAsia" w:ascii="宋体" w:hAnsi="宋体" w:eastAsia="宋体" w:cs="宋体"/>
                <w:color w:val="auto"/>
                <w:sz w:val="21"/>
                <w:szCs w:val="21"/>
                <w:highlight w:val="none"/>
                <w:lang w:val="en-US" w:eastAsia="zh-CN"/>
              </w:rPr>
              <w:t>并加盖投标人公章</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否则</w:t>
            </w:r>
            <w:r>
              <w:rPr>
                <w:rFonts w:hint="eastAsia" w:ascii="宋体" w:hAnsi="宋体" w:eastAsia="宋体" w:cs="宋体"/>
                <w:color w:val="auto"/>
                <w:sz w:val="21"/>
                <w:szCs w:val="21"/>
                <w:highlight w:val="none"/>
              </w:rPr>
              <w:t>不计分。</w:t>
            </w:r>
          </w:p>
        </w:tc>
      </w:tr>
      <w:tr w14:paraId="6F509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682" w:type="dxa"/>
            <w:noWrap/>
            <w:vAlign w:val="center"/>
          </w:tcPr>
          <w:p w14:paraId="61E31540">
            <w:pPr>
              <w:rPr>
                <w:rFonts w:hint="eastAsia" w:eastAsia="宋体"/>
                <w:lang w:eastAsia="zh-CN"/>
              </w:rPr>
            </w:pPr>
            <w:r>
              <w:rPr>
                <w:rFonts w:hint="eastAsia"/>
                <w:lang w:val="en-US" w:eastAsia="zh-CN"/>
              </w:rPr>
              <w:t>6</w:t>
            </w:r>
          </w:p>
        </w:tc>
        <w:tc>
          <w:tcPr>
            <w:tcW w:w="1395" w:type="dxa"/>
            <w:noWrap/>
            <w:vAlign w:val="center"/>
          </w:tcPr>
          <w:p w14:paraId="3A9B24BC">
            <w:pPr>
              <w:jc w:val="center"/>
              <w:rPr>
                <w:rFonts w:ascii="宋体" w:hAnsi="宋体" w:cs="宋体"/>
                <w:szCs w:val="21"/>
              </w:rPr>
            </w:pPr>
            <w:r>
              <w:rPr>
                <w:rFonts w:hint="eastAsia" w:ascii="宋体" w:hAnsi="宋体" w:eastAsia="宋体" w:cs="宋体"/>
                <w:color w:val="auto"/>
                <w:sz w:val="21"/>
                <w:szCs w:val="21"/>
                <w:highlight w:val="none"/>
                <w:lang w:val="en-US" w:eastAsia="zh-CN"/>
              </w:rPr>
              <w:t>产品兼容性</w:t>
            </w:r>
          </w:p>
        </w:tc>
        <w:tc>
          <w:tcPr>
            <w:tcW w:w="735" w:type="dxa"/>
            <w:noWrap/>
            <w:vAlign w:val="center"/>
          </w:tcPr>
          <w:p w14:paraId="36AF65DC">
            <w:pPr>
              <w:rPr>
                <w:rFonts w:hint="default" w:eastAsia="宋体"/>
                <w:lang w:val="en-US" w:eastAsia="zh-CN"/>
              </w:rPr>
            </w:pPr>
            <w:r>
              <w:rPr>
                <w:rFonts w:hint="eastAsia"/>
                <w:lang w:val="en-US" w:eastAsia="zh-CN"/>
              </w:rPr>
              <w:t>5分</w:t>
            </w:r>
          </w:p>
        </w:tc>
        <w:tc>
          <w:tcPr>
            <w:tcW w:w="7519" w:type="dxa"/>
            <w:noWrap/>
            <w:vAlign w:val="center"/>
          </w:tcPr>
          <w:p w14:paraId="12F27DC1">
            <w:pPr>
              <w:keepLines w:val="0"/>
              <w:pageBreakBefore w:val="0"/>
              <w:widowControl w:val="0"/>
              <w:kinsoku/>
              <w:wordWrap/>
              <w:overflowPunct/>
              <w:topLinePunct w:val="0"/>
              <w:autoSpaceDE/>
              <w:autoSpaceDN/>
              <w:bidi w:val="0"/>
              <w:adjustRightInd/>
              <w:snapToGrid/>
              <w:spacing w:line="33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为保障产品的兼容性及后期维护</w:t>
            </w:r>
            <w:r>
              <w:rPr>
                <w:rFonts w:hint="eastAsia" w:ascii="宋体" w:hAnsi="宋体" w:cs="宋体"/>
                <w:color w:val="auto"/>
                <w:sz w:val="21"/>
                <w:szCs w:val="21"/>
                <w:highlight w:val="none"/>
                <w:lang w:val="en-US" w:eastAsia="zh-CN"/>
              </w:rPr>
              <w:t>便利性</w:t>
            </w:r>
            <w:r>
              <w:rPr>
                <w:rFonts w:hint="eastAsia" w:ascii="宋体" w:hAnsi="宋体" w:eastAsia="宋体" w:cs="宋体"/>
                <w:color w:val="auto"/>
                <w:sz w:val="21"/>
                <w:szCs w:val="21"/>
                <w:highlight w:val="none"/>
                <w:lang w:val="en-US" w:eastAsia="zh-CN"/>
              </w:rPr>
              <w:t>，</w:t>
            </w:r>
            <w:r>
              <w:rPr>
                <w:rFonts w:hint="eastAsia" w:ascii="宋体" w:hAnsi="宋体"/>
                <w:color w:val="000000"/>
              </w:rPr>
              <w:t>所投电梯产品曳引机</w:t>
            </w:r>
            <w:r>
              <w:rPr>
                <w:rFonts w:hint="eastAsia" w:ascii="宋体" w:hAnsi="宋体"/>
                <w:color w:val="000000"/>
                <w:szCs w:val="21"/>
              </w:rPr>
              <w:t>、控制系统（控制柜）、门机系统、限速器、安全钳采用与整机相同品牌的原厂原品牌</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计</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分；</w:t>
            </w:r>
            <w:r>
              <w:rPr>
                <w:rFonts w:hint="eastAsia" w:ascii="宋体" w:hAnsi="宋体"/>
                <w:color w:val="000000"/>
                <w:szCs w:val="21"/>
              </w:rPr>
              <w:t>有一项或多项不是原厂原品牌的计2分</w:t>
            </w:r>
            <w:r>
              <w:rPr>
                <w:rFonts w:hint="eastAsia" w:ascii="宋体" w:hAnsi="宋体"/>
                <w:color w:val="000000"/>
                <w:szCs w:val="21"/>
                <w:lang w:eastAsia="zh-CN"/>
              </w:rPr>
              <w:t>，</w:t>
            </w:r>
            <w:r>
              <w:rPr>
                <w:rFonts w:hint="eastAsia" w:ascii="宋体" w:hAnsi="宋体"/>
                <w:color w:val="000000"/>
                <w:szCs w:val="21"/>
              </w:rPr>
              <w:t>全部都不是原厂原品牌的不计分。</w:t>
            </w:r>
          </w:p>
          <w:p w14:paraId="0027029B">
            <w:pPr>
              <w:widowControl/>
              <w:jc w:val="left"/>
            </w:pPr>
            <w:r>
              <w:rPr>
                <w:rFonts w:hint="eastAsia" w:ascii="宋体" w:hAnsi="宋体" w:eastAsia="宋体" w:cs="宋体"/>
                <w:color w:val="auto"/>
                <w:sz w:val="21"/>
                <w:szCs w:val="21"/>
                <w:highlight w:val="none"/>
                <w:lang w:val="en-US" w:eastAsia="zh-CN"/>
              </w:rPr>
              <w:t>计分说明：</w:t>
            </w:r>
            <w:r>
              <w:rPr>
                <w:rFonts w:hint="eastAsia" w:ascii="宋体" w:hAnsi="宋体"/>
                <w:color w:val="000000"/>
                <w:szCs w:val="21"/>
              </w:rPr>
              <w:t>提供送检单位名称与制造商名称一致的该部件的型式试验报告或检测（验）报告证明文件复印件并加盖</w:t>
            </w:r>
            <w:r>
              <w:rPr>
                <w:rFonts w:hint="eastAsia" w:ascii="宋体" w:hAnsi="宋体"/>
                <w:color w:val="000000"/>
                <w:szCs w:val="21"/>
                <w:lang w:val="en-US" w:eastAsia="zh-CN"/>
              </w:rPr>
              <w:t>投标人</w:t>
            </w:r>
            <w:r>
              <w:rPr>
                <w:rFonts w:hint="eastAsia" w:ascii="宋体" w:hAnsi="宋体"/>
                <w:color w:val="000000"/>
                <w:szCs w:val="21"/>
              </w:rPr>
              <w:t>公章，否则不计分。</w:t>
            </w:r>
          </w:p>
        </w:tc>
      </w:tr>
    </w:tbl>
    <w:p w14:paraId="5163C2A6">
      <w:pPr>
        <w:spacing w:line="440" w:lineRule="exact"/>
        <w:jc w:val="center"/>
        <w:outlineLvl w:val="1"/>
        <w:rPr>
          <w:rFonts w:ascii="宋体"/>
          <w:b/>
          <w:sz w:val="24"/>
        </w:rPr>
      </w:pPr>
      <w:r>
        <w:rPr>
          <w:rFonts w:hint="eastAsia" w:ascii="宋体" w:hAnsi="宋体"/>
          <w:b/>
          <w:sz w:val="24"/>
        </w:rPr>
        <w:t>商务部分评审评分表（分值100分）</w:t>
      </w:r>
    </w:p>
    <w:tbl>
      <w:tblPr>
        <w:tblStyle w:val="40"/>
        <w:tblpPr w:leftFromText="180" w:rightFromText="180" w:vertAnchor="text" w:horzAnchor="page" w:tblpX="872" w:tblpY="222"/>
        <w:tblOverlap w:val="never"/>
        <w:tblW w:w="104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79"/>
        <w:gridCol w:w="1364"/>
        <w:gridCol w:w="744"/>
        <w:gridCol w:w="7734"/>
      </w:tblGrid>
      <w:tr w14:paraId="4B598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8" w:hRule="atLeast"/>
        </w:trPr>
        <w:tc>
          <w:tcPr>
            <w:tcW w:w="579" w:type="dxa"/>
            <w:noWrap/>
            <w:vAlign w:val="center"/>
          </w:tcPr>
          <w:p w14:paraId="25B936C4">
            <w:pPr>
              <w:widowControl/>
              <w:spacing w:line="360" w:lineRule="auto"/>
              <w:jc w:val="center"/>
              <w:rPr>
                <w:rFonts w:ascii="宋体" w:hAnsi="宋体" w:cs="宋体"/>
                <w:b/>
                <w:bCs/>
                <w:sz w:val="18"/>
                <w:szCs w:val="18"/>
              </w:rPr>
            </w:pPr>
            <w:r>
              <w:rPr>
                <w:rFonts w:hint="eastAsia" w:ascii="宋体" w:hAnsi="宋体" w:cs="宋体"/>
                <w:b/>
                <w:bCs/>
                <w:sz w:val="18"/>
                <w:szCs w:val="18"/>
              </w:rPr>
              <w:t>序号</w:t>
            </w:r>
          </w:p>
        </w:tc>
        <w:tc>
          <w:tcPr>
            <w:tcW w:w="1364" w:type="dxa"/>
            <w:noWrap/>
            <w:vAlign w:val="center"/>
          </w:tcPr>
          <w:p w14:paraId="7E422FDE">
            <w:pPr>
              <w:widowControl/>
              <w:spacing w:line="360" w:lineRule="auto"/>
              <w:jc w:val="center"/>
              <w:rPr>
                <w:rFonts w:ascii="宋体" w:hAnsi="宋体" w:cs="宋体"/>
                <w:b/>
                <w:bCs/>
                <w:sz w:val="18"/>
                <w:szCs w:val="18"/>
              </w:rPr>
            </w:pPr>
            <w:r>
              <w:rPr>
                <w:rFonts w:hint="eastAsia" w:ascii="宋体" w:hAnsi="宋体" w:cs="宋体"/>
                <w:b/>
                <w:bCs/>
                <w:sz w:val="18"/>
                <w:szCs w:val="18"/>
              </w:rPr>
              <w:t>评审因素</w:t>
            </w:r>
          </w:p>
        </w:tc>
        <w:tc>
          <w:tcPr>
            <w:tcW w:w="744" w:type="dxa"/>
            <w:noWrap/>
            <w:vAlign w:val="center"/>
          </w:tcPr>
          <w:p w14:paraId="0B8438FC">
            <w:pPr>
              <w:widowControl/>
              <w:spacing w:line="360" w:lineRule="auto"/>
              <w:jc w:val="center"/>
              <w:rPr>
                <w:rFonts w:ascii="宋体" w:hAnsi="宋体" w:cs="宋体"/>
                <w:b/>
                <w:bCs/>
                <w:kern w:val="0"/>
                <w:sz w:val="18"/>
                <w:szCs w:val="18"/>
              </w:rPr>
            </w:pPr>
            <w:r>
              <w:rPr>
                <w:rFonts w:hint="eastAsia" w:ascii="宋体" w:hAnsi="宋体" w:cs="宋体"/>
                <w:b/>
                <w:bCs/>
                <w:sz w:val="18"/>
                <w:szCs w:val="18"/>
              </w:rPr>
              <w:t>分值</w:t>
            </w:r>
          </w:p>
        </w:tc>
        <w:tc>
          <w:tcPr>
            <w:tcW w:w="7734" w:type="dxa"/>
            <w:noWrap/>
            <w:vAlign w:val="center"/>
          </w:tcPr>
          <w:p w14:paraId="76A84C67">
            <w:pPr>
              <w:widowControl/>
              <w:spacing w:line="360" w:lineRule="auto"/>
              <w:ind w:firstLine="14" w:firstLineChars="8"/>
              <w:jc w:val="center"/>
              <w:rPr>
                <w:rFonts w:ascii="宋体" w:hAnsi="宋体" w:cs="宋体"/>
                <w:b/>
                <w:bCs/>
                <w:kern w:val="0"/>
                <w:sz w:val="18"/>
                <w:szCs w:val="18"/>
              </w:rPr>
            </w:pPr>
            <w:r>
              <w:rPr>
                <w:rFonts w:hint="eastAsia" w:ascii="宋体" w:hAnsi="宋体" w:cs="宋体"/>
                <w:b/>
                <w:bCs/>
                <w:sz w:val="18"/>
                <w:szCs w:val="18"/>
              </w:rPr>
              <w:t>评分标准</w:t>
            </w:r>
          </w:p>
        </w:tc>
      </w:tr>
      <w:tr w14:paraId="7F245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1" w:hRule="atLeast"/>
        </w:trPr>
        <w:tc>
          <w:tcPr>
            <w:tcW w:w="579" w:type="dxa"/>
            <w:noWrap/>
            <w:vAlign w:val="center"/>
          </w:tcPr>
          <w:p w14:paraId="4C98A8D7">
            <w:pPr>
              <w:adjustRightInd w:val="0"/>
              <w:snapToGrid w:val="0"/>
              <w:spacing w:beforeLines="50" w:line="276" w:lineRule="auto"/>
              <w:jc w:val="center"/>
              <w:rPr>
                <w:rFonts w:ascii="宋体" w:hAnsi="宋体" w:cs="宋体"/>
                <w:sz w:val="18"/>
                <w:szCs w:val="18"/>
              </w:rPr>
            </w:pPr>
            <w:r>
              <w:rPr>
                <w:rFonts w:hint="eastAsia" w:ascii="宋体" w:hAnsi="宋体" w:cs="宋体"/>
                <w:sz w:val="18"/>
                <w:szCs w:val="18"/>
              </w:rPr>
              <w:t>1</w:t>
            </w:r>
          </w:p>
        </w:tc>
        <w:tc>
          <w:tcPr>
            <w:tcW w:w="1364" w:type="dxa"/>
            <w:noWrap/>
            <w:vAlign w:val="center"/>
          </w:tcPr>
          <w:p w14:paraId="75E93CD0">
            <w:pPr>
              <w:adjustRightInd w:val="0"/>
              <w:snapToGrid w:val="0"/>
              <w:spacing w:beforeLines="50" w:line="380" w:lineRule="exact"/>
              <w:jc w:val="center"/>
              <w:rPr>
                <w:rFonts w:ascii="宋体" w:hAnsi="宋体" w:cs="宋体"/>
                <w:sz w:val="18"/>
                <w:szCs w:val="18"/>
              </w:rPr>
            </w:pPr>
            <w:r>
              <w:rPr>
                <w:rFonts w:hint="eastAsia" w:ascii="宋体" w:hAnsi="宋体" w:eastAsia="宋体" w:cs="宋体"/>
                <w:color w:val="auto"/>
                <w:sz w:val="21"/>
                <w:szCs w:val="21"/>
              </w:rPr>
              <w:t>综合实力</w:t>
            </w:r>
          </w:p>
        </w:tc>
        <w:tc>
          <w:tcPr>
            <w:tcW w:w="744" w:type="dxa"/>
            <w:noWrap/>
            <w:vAlign w:val="center"/>
          </w:tcPr>
          <w:p w14:paraId="35E61A99">
            <w:pPr>
              <w:snapToGrid w:val="0"/>
              <w:spacing w:line="380" w:lineRule="exact"/>
              <w:jc w:val="center"/>
              <w:rPr>
                <w:rFonts w:hint="default" w:ascii="宋体" w:hAnsi="宋体" w:eastAsia="宋体" w:cs="宋体"/>
                <w:sz w:val="18"/>
                <w:szCs w:val="18"/>
                <w:lang w:val="en-US" w:eastAsia="zh-CN"/>
              </w:rPr>
            </w:pPr>
            <w:r>
              <w:rPr>
                <w:rFonts w:hint="eastAsia" w:ascii="宋体" w:hAnsi="宋体" w:cs="宋体"/>
                <w:sz w:val="18"/>
                <w:szCs w:val="18"/>
                <w:lang w:val="en-US" w:eastAsia="zh-CN"/>
              </w:rPr>
              <w:t>45分</w:t>
            </w:r>
          </w:p>
        </w:tc>
        <w:tc>
          <w:tcPr>
            <w:tcW w:w="7734" w:type="dxa"/>
            <w:noWrap/>
            <w:vAlign w:val="center"/>
          </w:tcPr>
          <w:p w14:paraId="055E536C">
            <w:pPr>
              <w:keepNext w:val="0"/>
              <w:keepLines w:val="0"/>
              <w:pageBreakBefore w:val="0"/>
              <w:widowControl w:val="0"/>
              <w:numPr>
                <w:ilvl w:val="0"/>
                <w:numId w:val="0"/>
              </w:numPr>
              <w:kinsoku/>
              <w:wordWrap/>
              <w:overflowPunct/>
              <w:topLinePunct w:val="0"/>
              <w:autoSpaceDE/>
              <w:autoSpaceDN/>
              <w:bidi w:val="0"/>
              <w:adjustRightInd/>
              <w:snapToGrid w:val="0"/>
              <w:spacing w:line="336"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投标人或</w:t>
            </w:r>
            <w:r>
              <w:rPr>
                <w:rFonts w:hint="eastAsia" w:ascii="宋体" w:hAnsi="宋体" w:eastAsia="宋体" w:cs="宋体"/>
                <w:color w:val="auto"/>
                <w:sz w:val="21"/>
                <w:szCs w:val="21"/>
                <w:lang w:val="en-US" w:eastAsia="zh-CN"/>
              </w:rPr>
              <w:t>所投电梯制造商具有 ISO9001 质量管理体系认证、ISO14001 环境管理体系认证、ISO45001 职业健康安全管理体系认证证书的，认证范围</w:t>
            </w:r>
            <w:r>
              <w:rPr>
                <w:rFonts w:hint="eastAsia" w:ascii="宋体" w:hAnsi="宋体" w:cs="宋体"/>
                <w:color w:val="auto"/>
                <w:sz w:val="21"/>
                <w:szCs w:val="21"/>
                <w:lang w:val="en-US" w:eastAsia="zh-CN"/>
              </w:rPr>
              <w:t>包含</w:t>
            </w:r>
            <w:r>
              <w:rPr>
                <w:rFonts w:hint="eastAsia" w:ascii="宋体" w:hAnsi="宋体" w:eastAsia="宋体" w:cs="宋体"/>
                <w:color w:val="auto"/>
                <w:sz w:val="21"/>
                <w:szCs w:val="21"/>
                <w:lang w:val="en-US" w:eastAsia="zh-CN"/>
              </w:rPr>
              <w:t>电梯类</w:t>
            </w:r>
            <w:r>
              <w:rPr>
                <w:rFonts w:hint="eastAsia" w:ascii="宋体" w:hAnsi="宋体" w:cs="宋体"/>
                <w:color w:val="auto"/>
                <w:sz w:val="21"/>
                <w:szCs w:val="21"/>
                <w:lang w:val="en-US" w:eastAsia="zh-CN"/>
              </w:rPr>
              <w:t>相关认证</w:t>
            </w:r>
            <w:r>
              <w:rPr>
                <w:rFonts w:hint="eastAsia" w:ascii="宋体" w:hAnsi="宋体" w:eastAsia="宋体" w:cs="宋体"/>
                <w:color w:val="auto"/>
                <w:sz w:val="21"/>
                <w:szCs w:val="21"/>
                <w:lang w:val="en-US" w:eastAsia="zh-CN"/>
              </w:rPr>
              <w:t xml:space="preserve">，每提供一个计 </w:t>
            </w: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分，此项最高计</w:t>
            </w:r>
            <w:r>
              <w:rPr>
                <w:rFonts w:hint="eastAsia" w:ascii="宋体" w:hAnsi="宋体" w:cs="宋体"/>
                <w:color w:val="auto"/>
                <w:sz w:val="21"/>
                <w:szCs w:val="21"/>
                <w:lang w:val="en-US" w:eastAsia="zh-CN"/>
              </w:rPr>
              <w:t>12</w:t>
            </w:r>
            <w:r>
              <w:rPr>
                <w:rFonts w:hint="eastAsia" w:ascii="宋体" w:hAnsi="宋体" w:eastAsia="宋体" w:cs="宋体"/>
                <w:color w:val="auto"/>
                <w:sz w:val="21"/>
                <w:szCs w:val="21"/>
                <w:lang w:val="en-US" w:eastAsia="zh-CN"/>
              </w:rPr>
              <w:t>分。</w:t>
            </w:r>
          </w:p>
          <w:p w14:paraId="1B2B57DF">
            <w:pPr>
              <w:spacing w:line="380" w:lineRule="exact"/>
              <w:rPr>
                <w:rFonts w:hint="eastAsia" w:ascii="宋体" w:hAnsi="宋体" w:cs="Calibri"/>
                <w:szCs w:val="21"/>
              </w:rPr>
            </w:pPr>
            <w:r>
              <w:rPr>
                <w:rFonts w:hint="eastAsia" w:ascii="宋体" w:hAnsi="宋体" w:cs="宋体"/>
                <w:szCs w:val="21"/>
              </w:rPr>
              <w:t>2、</w:t>
            </w:r>
            <w:r>
              <w:rPr>
                <w:rFonts w:hint="eastAsia" w:ascii="宋体" w:hAnsi="宋体" w:cs="Calibri"/>
                <w:szCs w:val="21"/>
              </w:rPr>
              <w:t>投标人所投电梯品牌制造商具有中国合格评定国家认可委员会实验室认可证书（</w:t>
            </w:r>
            <w:r>
              <w:rPr>
                <w:rFonts w:ascii="宋体" w:hAnsi="宋体" w:cs="Calibri"/>
                <w:szCs w:val="21"/>
              </w:rPr>
              <w:t>CNAS</w:t>
            </w:r>
            <w:r>
              <w:rPr>
                <w:rFonts w:hint="eastAsia" w:ascii="宋体" w:hAnsi="宋体" w:cs="Calibri"/>
                <w:szCs w:val="21"/>
              </w:rPr>
              <w:t>证书）且认定为可靠性实验室的，计</w:t>
            </w:r>
            <w:r>
              <w:rPr>
                <w:rFonts w:hint="eastAsia" w:ascii="宋体" w:hAnsi="宋体" w:cs="Calibri"/>
                <w:szCs w:val="21"/>
                <w:lang w:val="en-US" w:eastAsia="zh-CN"/>
              </w:rPr>
              <w:t>7</w:t>
            </w:r>
            <w:r>
              <w:rPr>
                <w:rFonts w:hint="eastAsia" w:ascii="宋体" w:hAnsi="宋体" w:cs="Calibri"/>
                <w:szCs w:val="21"/>
              </w:rPr>
              <w:t>分，其余的不计分。（提供证书复印件并加盖投标人公章，否则不计分）。</w:t>
            </w:r>
          </w:p>
          <w:p w14:paraId="5CC285D5">
            <w:pPr>
              <w:keepNext w:val="0"/>
              <w:keepLines w:val="0"/>
              <w:pageBreakBefore w:val="0"/>
              <w:widowControl w:val="0"/>
              <w:kinsoku/>
              <w:wordWrap/>
              <w:overflowPunct/>
              <w:topLinePunct w:val="0"/>
              <w:autoSpaceDE/>
              <w:autoSpaceDN/>
              <w:bidi w:val="0"/>
              <w:adjustRightInd/>
              <w:snapToGrid w:val="0"/>
              <w:spacing w:line="336" w:lineRule="exact"/>
              <w:textAlignment w:val="auto"/>
              <w:rPr>
                <w:rFonts w:hint="eastAsia" w:ascii="宋体" w:hAnsi="宋体" w:eastAsia="宋体" w:cs="Calibri"/>
                <w:szCs w:val="21"/>
                <w:lang w:val="en-US" w:eastAsia="zh-CN"/>
              </w:rPr>
            </w:pPr>
            <w:r>
              <w:rPr>
                <w:rFonts w:hint="eastAsia" w:ascii="宋体" w:hAnsi="宋体" w:cs="Calibri"/>
                <w:szCs w:val="21"/>
              </w:rPr>
              <w:t>3、</w:t>
            </w:r>
            <w:r>
              <w:rPr>
                <w:rFonts w:hint="eastAsia" w:ascii="宋体" w:hAnsi="宋体" w:eastAsia="宋体" w:cs="宋体"/>
                <w:color w:val="auto"/>
                <w:sz w:val="21"/>
                <w:szCs w:val="21"/>
                <w:lang w:val="en-US" w:eastAsia="zh-CN"/>
              </w:rPr>
              <w:t>所投电梯</w:t>
            </w:r>
            <w:r>
              <w:rPr>
                <w:rFonts w:hint="eastAsia" w:ascii="宋体" w:hAnsi="宋体" w:eastAsia="宋体" w:cs="Calibri"/>
                <w:szCs w:val="21"/>
                <w:lang w:val="en-US" w:eastAsia="zh-CN"/>
              </w:rPr>
              <w:t>制造商或投标人投标截止日前3年内获得</w:t>
            </w:r>
            <w:r>
              <w:rPr>
                <w:rFonts w:hint="eastAsia" w:ascii="宋体" w:hAnsi="宋体" w:eastAsia="宋体" w:cs="宋体"/>
                <w:color w:val="auto"/>
                <w:sz w:val="21"/>
                <w:szCs w:val="21"/>
                <w:lang w:val="en-US" w:eastAsia="zh-CN"/>
              </w:rPr>
              <w:t>政</w:t>
            </w:r>
            <w:r>
              <w:rPr>
                <w:rFonts w:hint="eastAsia" w:ascii="宋体" w:hAnsi="宋体" w:eastAsia="宋体" w:cs="Calibri"/>
                <w:szCs w:val="21"/>
                <w:lang w:val="en-US" w:eastAsia="zh-CN"/>
              </w:rPr>
              <w:t>府部门或</w:t>
            </w:r>
            <w:r>
              <w:rPr>
                <w:rFonts w:hint="eastAsia" w:ascii="宋体" w:hAnsi="宋体" w:eastAsia="宋体" w:cs="Calibri"/>
                <w:szCs w:val="21"/>
              </w:rPr>
              <w:t>中国电梯协会</w:t>
            </w:r>
            <w:r>
              <w:rPr>
                <w:rFonts w:hint="eastAsia" w:ascii="宋体" w:hAnsi="宋体" w:eastAsia="宋体" w:cs="Calibri"/>
                <w:szCs w:val="21"/>
                <w:lang w:val="en-US" w:eastAsia="zh-CN"/>
              </w:rPr>
              <w:t>或</w:t>
            </w:r>
            <w:r>
              <w:rPr>
                <w:rFonts w:hint="eastAsia" w:ascii="宋体" w:hAnsi="宋体" w:eastAsia="宋体" w:cs="Calibri"/>
                <w:szCs w:val="21"/>
              </w:rPr>
              <w:t>中国特种设备安全与节能促进会</w:t>
            </w:r>
            <w:r>
              <w:rPr>
                <w:rFonts w:hint="eastAsia" w:ascii="宋体" w:hAnsi="宋体" w:eastAsia="宋体" w:cs="Calibri"/>
                <w:szCs w:val="21"/>
                <w:lang w:val="en-US" w:eastAsia="zh-CN"/>
              </w:rPr>
              <w:t>颁发或评选的与电梯</w:t>
            </w:r>
            <w:r>
              <w:rPr>
                <w:rFonts w:hint="eastAsia" w:ascii="宋体" w:hAnsi="宋体" w:eastAsia="宋体" w:cs="宋体"/>
                <w:color w:val="auto"/>
                <w:sz w:val="21"/>
                <w:szCs w:val="21"/>
                <w:lang w:val="en-US" w:eastAsia="zh-CN"/>
              </w:rPr>
              <w:t>质量、安全相关的荣誉奖项（证书），</w:t>
            </w:r>
            <w:r>
              <w:rPr>
                <w:rFonts w:hint="eastAsia" w:ascii="宋体" w:hAnsi="宋体" w:cs="宋体"/>
                <w:color w:val="auto"/>
                <w:sz w:val="21"/>
                <w:szCs w:val="21"/>
                <w:lang w:val="en-US" w:eastAsia="zh-CN"/>
              </w:rPr>
              <w:t>每提供一个计2分，最多计6</w:t>
            </w:r>
            <w:r>
              <w:rPr>
                <w:rFonts w:hint="eastAsia" w:ascii="宋体" w:hAnsi="宋体" w:eastAsia="宋体" w:cs="Calibri"/>
                <w:szCs w:val="21"/>
                <w:lang w:val="en-US" w:eastAsia="zh-CN"/>
              </w:rPr>
              <w:t>分。“以下情形不计分：① 商业性机构（如展会主办方、媒体）颁发的付费类荣誉；② 仅针对企业规模、销售额的奖项（与质量、安全无关）；③ 存在异议或被撤销的奖项。</w:t>
            </w:r>
          </w:p>
          <w:p w14:paraId="333FF520">
            <w:pPr>
              <w:snapToGrid w:val="0"/>
              <w:spacing w:line="336" w:lineRule="exact"/>
              <w:rPr>
                <w:rFonts w:hint="eastAsia" w:ascii="宋体" w:hAnsi="宋体" w:cs="宋体"/>
                <w:szCs w:val="21"/>
              </w:rPr>
            </w:pPr>
            <w:r>
              <w:rPr>
                <w:rFonts w:hint="eastAsia" w:ascii="宋体" w:hAnsi="宋体" w:cs="宋体"/>
                <w:szCs w:val="21"/>
              </w:rPr>
              <w:t>4、投标品牌的制造商</w:t>
            </w:r>
            <w:r>
              <w:rPr>
                <w:rFonts w:ascii="宋体" w:hAnsi="宋体" w:cs="宋体"/>
                <w:szCs w:val="21"/>
              </w:rPr>
              <w:t>ISO18738</w:t>
            </w:r>
            <w:r>
              <w:rPr>
                <w:rFonts w:hint="eastAsia" w:ascii="宋体" w:hAnsi="宋体" w:cs="宋体"/>
                <w:szCs w:val="21"/>
              </w:rPr>
              <w:t>舒适度认证达到</w:t>
            </w:r>
            <w:r>
              <w:rPr>
                <w:rFonts w:ascii="宋体" w:hAnsi="宋体" w:cs="宋体"/>
                <w:szCs w:val="21"/>
              </w:rPr>
              <w:t xml:space="preserve">GOOD </w:t>
            </w:r>
            <w:r>
              <w:rPr>
                <w:rFonts w:hint="eastAsia" w:ascii="宋体" w:hAnsi="宋体" w:cs="宋体"/>
                <w:szCs w:val="21"/>
              </w:rPr>
              <w:t>级，需提供第三方</w:t>
            </w:r>
            <w:r>
              <w:rPr>
                <w:rFonts w:ascii="宋体" w:hAnsi="宋体" w:cs="宋体"/>
                <w:szCs w:val="21"/>
              </w:rPr>
              <w:t>ISO18738</w:t>
            </w:r>
            <w:r>
              <w:rPr>
                <w:rFonts w:hint="eastAsia" w:ascii="宋体" w:hAnsi="宋体" w:cs="宋体"/>
                <w:szCs w:val="21"/>
              </w:rPr>
              <w:t>认证证书，得10分，不提供不得分。（提供有效证明文件扫描件并加盖投标人公章，否则不计分）</w:t>
            </w:r>
          </w:p>
          <w:p w14:paraId="255FE584">
            <w:pPr>
              <w:snapToGrid w:val="0"/>
              <w:spacing w:line="336" w:lineRule="exact"/>
              <w:rPr>
                <w:rFonts w:hint="eastAsia" w:ascii="宋体" w:hAnsi="宋体" w:eastAsia="宋体" w:cs="宋体"/>
                <w:sz w:val="18"/>
                <w:szCs w:val="18"/>
                <w:lang w:val="en-US" w:eastAsia="zh-CN"/>
              </w:rPr>
            </w:pPr>
            <w:r>
              <w:rPr>
                <w:rFonts w:hint="eastAsia" w:ascii="宋体" w:hAnsi="宋体" w:cs="宋体"/>
                <w:szCs w:val="21"/>
              </w:rPr>
              <w:t>5、</w:t>
            </w:r>
            <w:r>
              <w:rPr>
                <w:rFonts w:hint="eastAsia" w:ascii="宋体" w:hAnsi="宋体"/>
              </w:rPr>
              <w:t>投标人所投电梯品牌制造商能提</w:t>
            </w:r>
            <w:r>
              <w:rPr>
                <w:rFonts w:hint="eastAsia" w:ascii="宋体" w:hAnsi="宋体" w:eastAsia="宋体" w:cs="Times New Roman"/>
              </w:rPr>
              <w:t>供</w:t>
            </w:r>
            <w:r>
              <w:rPr>
                <w:rFonts w:hint="eastAsia" w:ascii="宋体" w:hAnsi="宋体" w:eastAsia="宋体" w:cs="Times New Roman"/>
                <w:lang w:eastAsia="zh-CN"/>
              </w:rPr>
              <w:t>电梯服务支援系统</w:t>
            </w:r>
            <w:r>
              <w:rPr>
                <w:rFonts w:hint="eastAsia" w:ascii="宋体" w:hAnsi="宋体" w:eastAsia="宋体" w:cs="Times New Roman"/>
                <w:lang w:val="en-US" w:eastAsia="zh-CN"/>
              </w:rPr>
              <w:t>或</w:t>
            </w:r>
            <w:r>
              <w:rPr>
                <w:rFonts w:hint="eastAsia" w:ascii="宋体" w:hAnsi="宋体" w:eastAsia="宋体" w:cs="Times New Roman"/>
              </w:rPr>
              <w:t>电梯物联网平台系统</w:t>
            </w:r>
            <w:r>
              <w:rPr>
                <w:rFonts w:hint="eastAsia" w:ascii="宋体" w:hAnsi="宋体"/>
              </w:rPr>
              <w:t>安全等级保护3级及以上等级的计10分，安全等级保护2级及以下等级的计3分，未提供不计分，（提供</w:t>
            </w:r>
            <w:r>
              <w:rPr>
                <w:rFonts w:hint="eastAsia" w:ascii="宋体" w:hAnsi="宋体"/>
                <w:lang w:val="en-US" w:eastAsia="zh-CN"/>
              </w:rPr>
              <w:t>相关</w:t>
            </w:r>
            <w:r>
              <w:rPr>
                <w:rFonts w:hint="eastAsia" w:ascii="宋体" w:hAnsi="宋体"/>
              </w:rPr>
              <w:t>证明文件并加盖投标人公章，否则不计分）。</w:t>
            </w:r>
          </w:p>
        </w:tc>
      </w:tr>
      <w:tr w14:paraId="31054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2" w:hRule="atLeast"/>
        </w:trPr>
        <w:tc>
          <w:tcPr>
            <w:tcW w:w="579" w:type="dxa"/>
            <w:noWrap/>
            <w:vAlign w:val="center"/>
          </w:tcPr>
          <w:p w14:paraId="5AB4B4EE">
            <w:pPr>
              <w:adjustRightInd w:val="0"/>
              <w:snapToGrid w:val="0"/>
              <w:spacing w:beforeLines="50" w:line="276" w:lineRule="auto"/>
              <w:jc w:val="center"/>
              <w:rPr>
                <w:rFonts w:hint="eastAsia" w:ascii="宋体" w:hAnsi="宋体" w:eastAsia="宋体" w:cs="宋体"/>
                <w:sz w:val="18"/>
                <w:szCs w:val="18"/>
                <w:lang w:eastAsia="zh-CN"/>
              </w:rPr>
            </w:pPr>
            <w:r>
              <w:rPr>
                <w:rFonts w:hint="eastAsia" w:ascii="宋体" w:hAnsi="宋体" w:cs="宋体"/>
                <w:sz w:val="18"/>
                <w:szCs w:val="18"/>
                <w:lang w:val="en-US" w:eastAsia="zh-CN"/>
              </w:rPr>
              <w:t>2</w:t>
            </w:r>
          </w:p>
        </w:tc>
        <w:tc>
          <w:tcPr>
            <w:tcW w:w="1364" w:type="dxa"/>
            <w:noWrap/>
            <w:vAlign w:val="center"/>
          </w:tcPr>
          <w:p w14:paraId="0565F3A4">
            <w:pPr>
              <w:jc w:val="center"/>
              <w:rPr>
                <w:rFonts w:hint="default" w:ascii="宋体" w:hAnsi="宋体" w:cs="宋体"/>
                <w:sz w:val="22"/>
                <w:szCs w:val="22"/>
                <w:lang w:val="en-US"/>
              </w:rPr>
            </w:pPr>
            <w:r>
              <w:rPr>
                <w:rFonts w:hint="eastAsia" w:ascii="宋体" w:hAnsi="宋体" w:cs="宋体"/>
                <w:i w:val="0"/>
                <w:iCs w:val="0"/>
                <w:color w:val="000000"/>
                <w:sz w:val="21"/>
                <w:szCs w:val="21"/>
                <w:u w:val="none"/>
                <w:lang w:val="en-US" w:eastAsia="zh-CN"/>
              </w:rPr>
              <w:t>维保服务能力</w:t>
            </w:r>
          </w:p>
        </w:tc>
        <w:tc>
          <w:tcPr>
            <w:tcW w:w="744" w:type="dxa"/>
            <w:noWrap/>
            <w:vAlign w:val="center"/>
          </w:tcPr>
          <w:p w14:paraId="1BEEE86A">
            <w:pPr>
              <w:snapToGrid w:val="0"/>
              <w:spacing w:line="380" w:lineRule="exact"/>
              <w:jc w:val="center"/>
              <w:rPr>
                <w:rFonts w:hint="default" w:ascii="宋体" w:hAnsi="宋体" w:eastAsia="宋体" w:cs="宋体"/>
                <w:sz w:val="18"/>
                <w:szCs w:val="18"/>
                <w:lang w:val="en-US" w:eastAsia="zh-CN"/>
              </w:rPr>
            </w:pPr>
            <w:r>
              <w:rPr>
                <w:rFonts w:hint="eastAsia" w:ascii="宋体" w:hAnsi="宋体" w:cs="宋体"/>
                <w:sz w:val="18"/>
                <w:szCs w:val="18"/>
                <w:lang w:val="en-US" w:eastAsia="zh-CN"/>
              </w:rPr>
              <w:t>10</w:t>
            </w:r>
            <w:r>
              <w:rPr>
                <w:rFonts w:hint="eastAsia" w:ascii="宋体" w:hAnsi="宋体" w:eastAsia="宋体" w:cs="宋体"/>
                <w:sz w:val="18"/>
                <w:szCs w:val="18"/>
                <w:lang w:val="en-US" w:eastAsia="zh-CN"/>
              </w:rPr>
              <w:t>分</w:t>
            </w:r>
          </w:p>
        </w:tc>
        <w:tc>
          <w:tcPr>
            <w:tcW w:w="7734" w:type="dxa"/>
            <w:noWrap/>
            <w:vAlign w:val="center"/>
          </w:tcPr>
          <w:p w14:paraId="22F6EADA">
            <w:pPr>
              <w:keepNext w:val="0"/>
              <w:keepLines w:val="0"/>
              <w:pageBreakBefore w:val="0"/>
              <w:widowControl w:val="0"/>
              <w:kinsoku/>
              <w:wordWrap/>
              <w:overflowPunct/>
              <w:topLinePunct w:val="0"/>
              <w:autoSpaceDE/>
              <w:autoSpaceDN/>
              <w:bidi w:val="0"/>
              <w:adjustRightInd/>
              <w:snapToGrid w:val="0"/>
              <w:spacing w:line="336" w:lineRule="exact"/>
              <w:textAlignment w:val="auto"/>
              <w:rPr>
                <w:rFonts w:ascii="宋体" w:hAnsi="宋体" w:cstheme="minorBidi"/>
                <w:b/>
                <w:bCs/>
              </w:rPr>
            </w:pPr>
            <w:r>
              <w:rPr>
                <w:rFonts w:hint="eastAsia" w:ascii="宋体" w:hAnsi="宋体" w:cs="宋体"/>
                <w:szCs w:val="21"/>
              </w:rPr>
              <w:t>投标人</w:t>
            </w:r>
            <w:r>
              <w:rPr>
                <w:rFonts w:hint="eastAsia" w:ascii="宋体" w:hAnsi="宋体" w:cs="宋体"/>
                <w:szCs w:val="21"/>
                <w:lang w:val="en-US" w:eastAsia="zh-CN"/>
              </w:rPr>
              <w:t>或</w:t>
            </w:r>
            <w:r>
              <w:rPr>
                <w:rFonts w:hint="eastAsia" w:ascii="宋体" w:hAnsi="宋体" w:cs="宋体"/>
                <w:szCs w:val="21"/>
              </w:rPr>
              <w:t>所投电梯品牌制造商直属分支机构</w:t>
            </w:r>
            <w:r>
              <w:rPr>
                <w:rFonts w:hint="eastAsia" w:ascii="宋体" w:hAnsi="宋体" w:cs="宋体"/>
                <w:szCs w:val="21"/>
                <w:lang w:val="en-US" w:eastAsia="zh-CN"/>
              </w:rPr>
              <w:t>或合作定点维保单位</w:t>
            </w:r>
            <w:r>
              <w:rPr>
                <w:rFonts w:hint="eastAsia" w:ascii="宋体" w:hAnsi="宋体" w:cs="宋体"/>
                <w:szCs w:val="21"/>
              </w:rPr>
              <w:t>近5年（2021年～2025年）中有2年被市级及以上特种设备管理协会或特种设备安全管理协会或市场监督部门评为五星级维保单位的计10分，有2年评为四星级维保单位的计</w:t>
            </w:r>
            <w:r>
              <w:rPr>
                <w:rFonts w:hint="eastAsia" w:ascii="宋体" w:hAnsi="宋体" w:cs="宋体"/>
                <w:szCs w:val="21"/>
                <w:lang w:val="en-US" w:eastAsia="zh-CN"/>
              </w:rPr>
              <w:t>7</w:t>
            </w:r>
            <w:r>
              <w:rPr>
                <w:rFonts w:hint="eastAsia" w:ascii="宋体" w:hAnsi="宋体" w:cs="宋体"/>
                <w:szCs w:val="21"/>
              </w:rPr>
              <w:t>分，有2年评为三星级维保单位的计</w:t>
            </w:r>
            <w:r>
              <w:rPr>
                <w:rFonts w:hint="eastAsia" w:ascii="宋体" w:hAnsi="宋体" w:cs="宋体"/>
                <w:szCs w:val="21"/>
                <w:lang w:val="en-US" w:eastAsia="zh-CN"/>
              </w:rPr>
              <w:t>4</w:t>
            </w:r>
            <w:r>
              <w:rPr>
                <w:rFonts w:hint="eastAsia" w:ascii="宋体" w:hAnsi="宋体" w:cs="宋体"/>
                <w:szCs w:val="21"/>
              </w:rPr>
              <w:t>分，其余的不计分。（以提供特种设备管理协会或特种设备安全管理协会或市场监督部门颁发证书复印件并加盖投标人公章为准，否则不计分）。</w:t>
            </w:r>
          </w:p>
        </w:tc>
      </w:tr>
      <w:tr w14:paraId="27E13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 w:hRule="atLeast"/>
        </w:trPr>
        <w:tc>
          <w:tcPr>
            <w:tcW w:w="579" w:type="dxa"/>
            <w:noWrap/>
            <w:vAlign w:val="center"/>
          </w:tcPr>
          <w:p w14:paraId="47E85B90">
            <w:pPr>
              <w:adjustRightInd w:val="0"/>
              <w:snapToGrid w:val="0"/>
              <w:spacing w:beforeLines="50" w:line="276" w:lineRule="auto"/>
              <w:jc w:val="center"/>
              <w:rPr>
                <w:rFonts w:hint="eastAsia" w:ascii="宋体" w:hAnsi="宋体" w:eastAsia="宋体" w:cs="宋体"/>
                <w:sz w:val="18"/>
                <w:szCs w:val="18"/>
                <w:lang w:val="en-US" w:eastAsia="zh-CN"/>
              </w:rPr>
            </w:pPr>
            <w:r>
              <w:rPr>
                <w:rFonts w:hint="eastAsia" w:ascii="宋体" w:hAnsi="宋体" w:cs="宋体"/>
                <w:sz w:val="18"/>
                <w:szCs w:val="18"/>
                <w:lang w:val="en-US" w:eastAsia="zh-CN"/>
              </w:rPr>
              <w:t>3</w:t>
            </w:r>
          </w:p>
        </w:tc>
        <w:tc>
          <w:tcPr>
            <w:tcW w:w="1364" w:type="dxa"/>
            <w:noWrap/>
            <w:vAlign w:val="center"/>
          </w:tcPr>
          <w:p w14:paraId="0859E47F">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售后服务方案</w:t>
            </w:r>
          </w:p>
        </w:tc>
        <w:tc>
          <w:tcPr>
            <w:tcW w:w="744" w:type="dxa"/>
            <w:noWrap/>
            <w:vAlign w:val="center"/>
          </w:tcPr>
          <w:p w14:paraId="0FF4538A">
            <w:pPr>
              <w:snapToGrid w:val="0"/>
              <w:spacing w:line="380" w:lineRule="exact"/>
              <w:jc w:val="center"/>
              <w:rPr>
                <w:rFonts w:hint="default" w:ascii="宋体" w:hAnsi="宋体" w:eastAsia="宋体" w:cs="宋体"/>
                <w:sz w:val="18"/>
                <w:szCs w:val="18"/>
                <w:lang w:val="en-US" w:eastAsia="zh-CN"/>
              </w:rPr>
            </w:pPr>
            <w:r>
              <w:rPr>
                <w:rFonts w:hint="eastAsia" w:ascii="宋体" w:hAnsi="宋体" w:cs="宋体"/>
                <w:sz w:val="18"/>
                <w:szCs w:val="18"/>
                <w:lang w:val="en-US" w:eastAsia="zh-CN"/>
              </w:rPr>
              <w:t>20</w:t>
            </w:r>
            <w:r>
              <w:rPr>
                <w:rFonts w:hint="eastAsia" w:ascii="宋体" w:hAnsi="宋体" w:eastAsia="宋体" w:cs="宋体"/>
                <w:sz w:val="18"/>
                <w:szCs w:val="18"/>
                <w:lang w:val="en-US" w:eastAsia="zh-CN"/>
              </w:rPr>
              <w:t>分</w:t>
            </w:r>
          </w:p>
        </w:tc>
        <w:tc>
          <w:tcPr>
            <w:tcW w:w="7734" w:type="dxa"/>
            <w:noWrap/>
            <w:vAlign w:val="center"/>
          </w:tcPr>
          <w:p w14:paraId="5A14C489">
            <w:pP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投标人需根据采购需求提供针对本项目的售后服务方案，方案应包括：</w:t>
            </w:r>
            <w:r>
              <w:rPr>
                <w:rFonts w:hint="eastAsia" w:ascii="宋体" w:hAnsi="宋体" w:eastAsia="宋体" w:cs="宋体"/>
                <w:b/>
                <w:bCs/>
                <w:color w:val="auto"/>
                <w:sz w:val="21"/>
                <w:szCs w:val="21"/>
                <w:lang w:val="en-US" w:eastAsia="zh-CN"/>
              </w:rPr>
              <w:t>①售后服务机构设置、②售后维护响应计划、③质保期</w:t>
            </w:r>
            <w:r>
              <w:rPr>
                <w:rFonts w:hint="eastAsia" w:ascii="宋体" w:hAnsi="宋体" w:cs="宋体"/>
                <w:b/>
                <w:bCs/>
                <w:color w:val="auto"/>
                <w:sz w:val="21"/>
                <w:szCs w:val="21"/>
                <w:lang w:val="en-US" w:eastAsia="zh-CN"/>
              </w:rPr>
              <w:t>内和质保期</w:t>
            </w:r>
            <w:r>
              <w:rPr>
                <w:rFonts w:hint="eastAsia" w:ascii="宋体" w:hAnsi="宋体" w:eastAsia="宋体" w:cs="宋体"/>
                <w:b/>
                <w:bCs/>
                <w:color w:val="auto"/>
                <w:sz w:val="21"/>
                <w:szCs w:val="21"/>
                <w:lang w:val="en-US" w:eastAsia="zh-CN"/>
              </w:rPr>
              <w:t>满后</w:t>
            </w:r>
            <w:r>
              <w:rPr>
                <w:rFonts w:hint="eastAsia" w:ascii="宋体" w:hAnsi="宋体" w:cs="宋体"/>
                <w:b/>
                <w:bCs/>
                <w:color w:val="auto"/>
                <w:sz w:val="21"/>
                <w:szCs w:val="21"/>
                <w:lang w:val="en-US" w:eastAsia="zh-CN"/>
              </w:rPr>
              <w:t>的</w:t>
            </w:r>
            <w:r>
              <w:rPr>
                <w:rFonts w:hint="eastAsia" w:ascii="宋体" w:hAnsi="宋体" w:eastAsia="宋体" w:cs="宋体"/>
                <w:b/>
                <w:bCs/>
                <w:color w:val="auto"/>
                <w:sz w:val="21"/>
                <w:szCs w:val="21"/>
                <w:lang w:val="en-US" w:eastAsia="zh-CN"/>
              </w:rPr>
              <w:t>服务措施</w:t>
            </w:r>
            <w:r>
              <w:rPr>
                <w:rFonts w:hint="eastAsia" w:ascii="宋体" w:hAnsi="宋体" w:cs="宋体"/>
                <w:b/>
                <w:bCs/>
                <w:color w:val="auto"/>
                <w:sz w:val="21"/>
                <w:szCs w:val="21"/>
                <w:lang w:val="en-US" w:eastAsia="zh-CN"/>
              </w:rPr>
              <w:t>（含</w:t>
            </w:r>
            <w:r>
              <w:rPr>
                <w:rFonts w:hint="eastAsia" w:ascii="宋体" w:hAnsi="宋体" w:eastAsia="宋体" w:cs="宋体"/>
                <w:b/>
                <w:bCs/>
                <w:color w:val="auto"/>
                <w:sz w:val="21"/>
                <w:szCs w:val="21"/>
                <w:lang w:val="en-US" w:eastAsia="zh-CN"/>
              </w:rPr>
              <w:t>备品备件方案</w:t>
            </w:r>
            <w:r>
              <w:rPr>
                <w:rFonts w:hint="eastAsia" w:ascii="宋体" w:hAnsi="宋体" w:cs="宋体"/>
                <w:b/>
                <w:bCs/>
                <w:color w:val="auto"/>
                <w:sz w:val="21"/>
                <w:szCs w:val="21"/>
                <w:lang w:val="en-US" w:eastAsia="zh-CN"/>
              </w:rPr>
              <w:t>）</w:t>
            </w:r>
            <w:r>
              <w:rPr>
                <w:rFonts w:hint="eastAsia" w:ascii="宋体" w:hAnsi="宋体" w:eastAsia="宋体" w:cs="宋体"/>
                <w:b/>
                <w:bCs/>
                <w:color w:val="auto"/>
                <w:sz w:val="21"/>
                <w:szCs w:val="21"/>
                <w:lang w:val="en-US" w:eastAsia="zh-CN"/>
              </w:rPr>
              <w:t>、④定期巡检维护方案、⑤培训方案</w:t>
            </w:r>
            <w:r>
              <w:rPr>
                <w:rFonts w:hint="eastAsia" w:ascii="宋体" w:hAnsi="宋体" w:eastAsia="宋体" w:cs="宋体"/>
                <w:color w:val="auto"/>
                <w:sz w:val="21"/>
                <w:szCs w:val="21"/>
                <w:lang w:val="en-US" w:eastAsia="zh-CN"/>
              </w:rPr>
              <w:t>。以上相关方案每一小项内容方案完整详细，符合采购实际需求得4分，缺项不得分，满分20分。每1小项内容出现以下缺陷情形的扣2分，每项扣完4分为止。</w:t>
            </w:r>
          </w:p>
          <w:p w14:paraId="4694133D">
            <w:pP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缺陷是指:存在不适用项目实际情况的情形、凭空编造、逻辑漏洞、前后不一、科学原理错误以及不可能实现的夸大情形、涉及内容无重点、套用其他项目方案，未能体现出本项目的特点或与本项目实际需求不完全相符或内容简陋可能导致本项目无法按采购需求顺利完成的、语言错误或存在歧义、该</w:t>
            </w:r>
            <w:r>
              <w:rPr>
                <w:rFonts w:hint="eastAsia" w:ascii="宋体" w:hAnsi="宋体" w:cs="宋体"/>
                <w:color w:val="auto"/>
                <w:sz w:val="21"/>
                <w:szCs w:val="21"/>
                <w:lang w:val="en-US" w:eastAsia="zh-CN"/>
              </w:rPr>
              <w:t>项</w:t>
            </w:r>
            <w:r>
              <w:rPr>
                <w:rFonts w:hint="eastAsia" w:ascii="宋体" w:hAnsi="宋体" w:eastAsia="宋体" w:cs="宋体"/>
                <w:color w:val="auto"/>
                <w:sz w:val="21"/>
                <w:szCs w:val="21"/>
                <w:lang w:val="en-US" w:eastAsia="zh-CN"/>
              </w:rPr>
              <w:t>内容体现不齐全等)</w:t>
            </w:r>
          </w:p>
        </w:tc>
      </w:tr>
      <w:tr w14:paraId="35A0B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2" w:hRule="atLeast"/>
        </w:trPr>
        <w:tc>
          <w:tcPr>
            <w:tcW w:w="579" w:type="dxa"/>
            <w:noWrap/>
            <w:vAlign w:val="center"/>
          </w:tcPr>
          <w:p w14:paraId="17EA1203">
            <w:pPr>
              <w:adjustRightInd w:val="0"/>
              <w:snapToGrid w:val="0"/>
              <w:spacing w:beforeLines="50" w:line="276" w:lineRule="auto"/>
              <w:jc w:val="center"/>
              <w:rPr>
                <w:rFonts w:hint="eastAsia" w:ascii="宋体" w:hAnsi="宋体" w:eastAsia="宋体" w:cs="宋体"/>
                <w:sz w:val="18"/>
                <w:szCs w:val="18"/>
                <w:lang w:val="en-US" w:eastAsia="zh-CN"/>
              </w:rPr>
            </w:pPr>
            <w:r>
              <w:rPr>
                <w:rFonts w:hint="eastAsia" w:ascii="宋体" w:hAnsi="宋体" w:cs="宋体"/>
                <w:sz w:val="18"/>
                <w:szCs w:val="18"/>
                <w:lang w:val="en-US" w:eastAsia="zh-CN"/>
              </w:rPr>
              <w:t>4</w:t>
            </w:r>
          </w:p>
        </w:tc>
        <w:tc>
          <w:tcPr>
            <w:tcW w:w="1364" w:type="dxa"/>
            <w:noWrap/>
            <w:vAlign w:val="center"/>
          </w:tcPr>
          <w:p w14:paraId="0C82B06D">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auto"/>
                <w:sz w:val="21"/>
                <w:szCs w:val="21"/>
                <w:u w:val="none"/>
                <w:lang w:val="en-US" w:eastAsia="zh-CN"/>
              </w:rPr>
              <w:t>质保期</w:t>
            </w:r>
          </w:p>
        </w:tc>
        <w:tc>
          <w:tcPr>
            <w:tcW w:w="744" w:type="dxa"/>
            <w:noWrap/>
            <w:vAlign w:val="center"/>
          </w:tcPr>
          <w:p w14:paraId="22A8C559">
            <w:pPr>
              <w:snapToGrid w:val="0"/>
              <w:spacing w:line="380" w:lineRule="exact"/>
              <w:jc w:val="center"/>
              <w:rPr>
                <w:rFonts w:hint="default" w:ascii="宋体" w:hAnsi="宋体" w:eastAsia="宋体" w:cs="宋体"/>
                <w:sz w:val="18"/>
                <w:szCs w:val="18"/>
                <w:lang w:val="en-US" w:eastAsia="zh-CN"/>
              </w:rPr>
            </w:pPr>
            <w:r>
              <w:rPr>
                <w:rFonts w:hint="eastAsia" w:ascii="宋体" w:hAnsi="宋体" w:cs="宋体"/>
                <w:sz w:val="18"/>
                <w:szCs w:val="18"/>
                <w:lang w:val="en-US" w:eastAsia="zh-CN"/>
              </w:rPr>
              <w:t>10</w:t>
            </w:r>
            <w:r>
              <w:rPr>
                <w:rFonts w:hint="eastAsia" w:ascii="宋体" w:hAnsi="宋体" w:eastAsia="宋体" w:cs="宋体"/>
                <w:sz w:val="18"/>
                <w:szCs w:val="18"/>
                <w:lang w:val="en-US" w:eastAsia="zh-CN"/>
              </w:rPr>
              <w:t>分</w:t>
            </w:r>
          </w:p>
        </w:tc>
        <w:tc>
          <w:tcPr>
            <w:tcW w:w="7734" w:type="dxa"/>
            <w:noWrap/>
            <w:vAlign w:val="center"/>
          </w:tcPr>
          <w:p w14:paraId="117B4805">
            <w:pPr>
              <w:keepNext w:val="0"/>
              <w:keepLines w:val="0"/>
              <w:pageBreakBefore w:val="0"/>
              <w:widowControl w:val="0"/>
              <w:kinsoku/>
              <w:wordWrap/>
              <w:overflowPunct/>
              <w:topLinePunct w:val="0"/>
              <w:autoSpaceDE/>
              <w:autoSpaceDN/>
              <w:bidi w:val="0"/>
              <w:adjustRightInd/>
              <w:spacing w:line="360" w:lineRule="exact"/>
              <w:jc w:val="both"/>
              <w:textAlignment w:val="auto"/>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投标人在招标文件规定的质保期基础上，</w:t>
            </w:r>
            <w:r>
              <w:rPr>
                <w:rFonts w:hint="eastAsia" w:ascii="宋体" w:hAnsi="宋体" w:cs="宋体"/>
                <w:i w:val="0"/>
                <w:iCs w:val="0"/>
                <w:color w:val="auto"/>
                <w:sz w:val="21"/>
                <w:szCs w:val="21"/>
                <w:u w:val="none"/>
                <w:lang w:val="en-US" w:eastAsia="zh-CN"/>
              </w:rPr>
              <w:t>承诺</w:t>
            </w:r>
            <w:r>
              <w:rPr>
                <w:rFonts w:hint="eastAsia" w:ascii="宋体" w:hAnsi="宋体" w:eastAsia="宋体" w:cs="宋体"/>
                <w:i w:val="0"/>
                <w:iCs w:val="0"/>
                <w:color w:val="auto"/>
                <w:sz w:val="21"/>
                <w:szCs w:val="21"/>
                <w:u w:val="none"/>
                <w:lang w:val="en-US" w:eastAsia="zh-CN"/>
              </w:rPr>
              <w:t>额外增加1年质保期</w:t>
            </w:r>
            <w:r>
              <w:rPr>
                <w:rFonts w:hint="eastAsia" w:ascii="宋体" w:hAnsi="宋体" w:eastAsia="宋体" w:cs="宋体"/>
                <w:i w:val="0"/>
                <w:iCs w:val="0"/>
                <w:color w:val="auto"/>
                <w:sz w:val="21"/>
                <w:szCs w:val="21"/>
                <w:highlight w:val="none"/>
                <w:u w:val="none"/>
                <w:lang w:val="en-US" w:eastAsia="zh-CN"/>
              </w:rPr>
              <w:t>的计</w:t>
            </w:r>
            <w:r>
              <w:rPr>
                <w:rFonts w:hint="eastAsia" w:ascii="宋体" w:hAnsi="宋体" w:cs="宋体"/>
                <w:i w:val="0"/>
                <w:iCs w:val="0"/>
                <w:color w:val="auto"/>
                <w:sz w:val="21"/>
                <w:szCs w:val="21"/>
                <w:highlight w:val="none"/>
                <w:u w:val="none"/>
                <w:lang w:val="en-US" w:eastAsia="zh-CN"/>
              </w:rPr>
              <w:t>10</w:t>
            </w:r>
            <w:r>
              <w:rPr>
                <w:rFonts w:hint="eastAsia" w:ascii="宋体" w:hAnsi="宋体" w:eastAsia="宋体" w:cs="宋体"/>
                <w:i w:val="0"/>
                <w:iCs w:val="0"/>
                <w:color w:val="auto"/>
                <w:sz w:val="21"/>
                <w:szCs w:val="21"/>
                <w:highlight w:val="none"/>
                <w:u w:val="none"/>
                <w:lang w:val="en-US" w:eastAsia="zh-CN"/>
              </w:rPr>
              <w:t>分</w:t>
            </w:r>
            <w:r>
              <w:rPr>
                <w:rFonts w:hint="eastAsia" w:ascii="宋体" w:hAnsi="宋体" w:eastAsia="宋体" w:cs="宋体"/>
                <w:i w:val="0"/>
                <w:iCs w:val="0"/>
                <w:color w:val="auto"/>
                <w:sz w:val="21"/>
                <w:szCs w:val="21"/>
                <w:u w:val="none"/>
                <w:lang w:val="en-US" w:eastAsia="zh-CN"/>
              </w:rPr>
              <w:t>，此项最多计</w:t>
            </w:r>
            <w:r>
              <w:rPr>
                <w:rFonts w:hint="eastAsia" w:ascii="宋体" w:hAnsi="宋体" w:cs="宋体"/>
                <w:i w:val="0"/>
                <w:iCs w:val="0"/>
                <w:color w:val="auto"/>
                <w:sz w:val="21"/>
                <w:szCs w:val="21"/>
                <w:u w:val="none"/>
                <w:lang w:val="en-US" w:eastAsia="zh-CN"/>
              </w:rPr>
              <w:t>10</w:t>
            </w:r>
            <w:r>
              <w:rPr>
                <w:rFonts w:hint="eastAsia" w:ascii="宋体" w:hAnsi="宋体" w:eastAsia="宋体" w:cs="宋体"/>
                <w:i w:val="0"/>
                <w:iCs w:val="0"/>
                <w:color w:val="auto"/>
                <w:sz w:val="21"/>
                <w:szCs w:val="21"/>
                <w:u w:val="none"/>
                <w:lang w:val="en-US" w:eastAsia="zh-CN"/>
              </w:rPr>
              <w:t>分。</w:t>
            </w:r>
          </w:p>
          <w:p w14:paraId="7192C6D0">
            <w:pPr>
              <w:keepNext w:val="0"/>
              <w:keepLines w:val="0"/>
              <w:pageBreakBefore w:val="0"/>
              <w:widowControl w:val="0"/>
              <w:kinsoku/>
              <w:wordWrap/>
              <w:overflowPunct/>
              <w:topLinePunct w:val="0"/>
              <w:autoSpaceDE/>
              <w:autoSpaceDN/>
              <w:bidi w:val="0"/>
              <w:adjustRightInd/>
              <w:spacing w:line="360" w:lineRule="exact"/>
              <w:jc w:val="both"/>
              <w:textAlignment w:val="auto"/>
              <w:rPr>
                <w:rFonts w:hint="eastAsia" w:ascii="宋体" w:hAnsi="宋体" w:eastAsia="宋体" w:cs="宋体"/>
                <w:color w:val="auto"/>
                <w:sz w:val="21"/>
                <w:szCs w:val="21"/>
                <w:lang w:val="en-US" w:eastAsia="zh-CN"/>
              </w:rPr>
            </w:pPr>
            <w:r>
              <w:rPr>
                <w:rFonts w:hint="eastAsia" w:ascii="宋体" w:hAnsi="宋体" w:eastAsia="宋体" w:cs="宋体"/>
                <w:i w:val="0"/>
                <w:iCs w:val="0"/>
                <w:color w:val="auto"/>
                <w:sz w:val="21"/>
                <w:szCs w:val="21"/>
                <w:u w:val="none"/>
                <w:lang w:val="en-US" w:eastAsia="zh-CN"/>
              </w:rPr>
              <w:t>计分说明：投标人需提供书面承诺函并加盖投标人公章，否则不计分。</w:t>
            </w:r>
          </w:p>
        </w:tc>
      </w:tr>
      <w:tr w14:paraId="10725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2" w:hRule="atLeast"/>
        </w:trPr>
        <w:tc>
          <w:tcPr>
            <w:tcW w:w="579" w:type="dxa"/>
            <w:noWrap/>
            <w:vAlign w:val="center"/>
          </w:tcPr>
          <w:p w14:paraId="78C316CD">
            <w:pPr>
              <w:adjustRightInd w:val="0"/>
              <w:snapToGrid w:val="0"/>
              <w:spacing w:beforeLines="50" w:line="276" w:lineRule="auto"/>
              <w:jc w:val="center"/>
              <w:rPr>
                <w:rFonts w:hint="eastAsia" w:ascii="宋体" w:hAnsi="宋体" w:eastAsia="宋体" w:cs="宋体"/>
                <w:sz w:val="18"/>
                <w:szCs w:val="18"/>
                <w:lang w:val="en-US" w:eastAsia="zh-CN"/>
              </w:rPr>
            </w:pPr>
            <w:r>
              <w:rPr>
                <w:rFonts w:hint="eastAsia" w:ascii="宋体" w:hAnsi="宋体" w:cs="宋体"/>
                <w:sz w:val="18"/>
                <w:szCs w:val="18"/>
                <w:lang w:val="en-US" w:eastAsia="zh-CN"/>
              </w:rPr>
              <w:t>5</w:t>
            </w:r>
          </w:p>
        </w:tc>
        <w:tc>
          <w:tcPr>
            <w:tcW w:w="1364" w:type="dxa"/>
            <w:noWrap/>
            <w:vAlign w:val="center"/>
          </w:tcPr>
          <w:p w14:paraId="03A93EB2">
            <w:pPr>
              <w:snapToGrid w:val="0"/>
              <w:spacing w:line="360" w:lineRule="auto"/>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000000"/>
                <w:sz w:val="21"/>
                <w:szCs w:val="21"/>
                <w:u w:val="none"/>
              </w:rPr>
              <w:t>业绩</w:t>
            </w:r>
          </w:p>
        </w:tc>
        <w:tc>
          <w:tcPr>
            <w:tcW w:w="744" w:type="dxa"/>
            <w:noWrap/>
            <w:vAlign w:val="center"/>
          </w:tcPr>
          <w:p w14:paraId="45D5ABBB">
            <w:pPr>
              <w:snapToGrid w:val="0"/>
              <w:spacing w:line="380" w:lineRule="exact"/>
              <w:jc w:val="center"/>
              <w:rPr>
                <w:rFonts w:hint="default" w:ascii="宋体" w:hAnsi="宋体" w:eastAsia="宋体" w:cs="宋体"/>
                <w:sz w:val="18"/>
                <w:szCs w:val="18"/>
                <w:lang w:val="en-US" w:eastAsia="zh-CN"/>
              </w:rPr>
            </w:pPr>
            <w:r>
              <w:rPr>
                <w:rFonts w:hint="eastAsia" w:ascii="宋体" w:hAnsi="宋体" w:cs="宋体"/>
                <w:sz w:val="18"/>
                <w:szCs w:val="18"/>
                <w:lang w:val="en-US" w:eastAsia="zh-CN"/>
              </w:rPr>
              <w:t>15</w:t>
            </w:r>
            <w:r>
              <w:rPr>
                <w:rFonts w:hint="eastAsia" w:ascii="宋体" w:hAnsi="宋体" w:eastAsia="宋体" w:cs="宋体"/>
                <w:sz w:val="18"/>
                <w:szCs w:val="18"/>
                <w:lang w:val="en-US" w:eastAsia="zh-CN"/>
              </w:rPr>
              <w:t>分</w:t>
            </w:r>
          </w:p>
        </w:tc>
        <w:tc>
          <w:tcPr>
            <w:tcW w:w="7734" w:type="dxa"/>
            <w:noWrap/>
            <w:vAlign w:val="center"/>
          </w:tcPr>
          <w:p w14:paraId="62B0D2E3">
            <w:pPr>
              <w:keepNext w:val="0"/>
              <w:keepLines w:val="0"/>
              <w:pageBreakBefore w:val="0"/>
              <w:widowControl w:val="0"/>
              <w:kinsoku/>
              <w:wordWrap/>
              <w:overflowPunct/>
              <w:topLinePunct w:val="0"/>
              <w:autoSpaceDE/>
              <w:autoSpaceDN/>
              <w:bidi w:val="0"/>
              <w:adjustRightInd/>
              <w:spacing w:line="360" w:lineRule="exact"/>
              <w:jc w:val="both"/>
              <w:textAlignment w:val="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投标人</w:t>
            </w:r>
            <w:r>
              <w:rPr>
                <w:rFonts w:hint="eastAsia" w:ascii="宋体" w:hAnsi="宋体" w:cs="宋体"/>
                <w:i w:val="0"/>
                <w:iCs w:val="0"/>
                <w:color w:val="000000"/>
                <w:sz w:val="21"/>
                <w:szCs w:val="21"/>
                <w:u w:val="none"/>
                <w:lang w:val="en-US" w:eastAsia="zh-CN"/>
              </w:rPr>
              <w:t>近三年</w:t>
            </w:r>
            <w:r>
              <w:rPr>
                <w:rFonts w:hint="eastAsia" w:ascii="宋体" w:hAnsi="宋体" w:eastAsia="宋体" w:cs="宋体"/>
                <w:i w:val="0"/>
                <w:iCs w:val="0"/>
                <w:color w:val="000000"/>
                <w:sz w:val="21"/>
                <w:szCs w:val="21"/>
                <w:u w:val="none"/>
                <w:lang w:val="en-US" w:eastAsia="zh-CN"/>
              </w:rPr>
              <w:t>（</w:t>
            </w:r>
            <w:r>
              <w:rPr>
                <w:rFonts w:hint="eastAsia" w:ascii="宋体" w:hAnsi="宋体" w:cs="宋体"/>
                <w:i w:val="0"/>
                <w:iCs w:val="0"/>
                <w:color w:val="000000"/>
                <w:sz w:val="21"/>
                <w:szCs w:val="21"/>
                <w:u w:val="none"/>
                <w:lang w:val="en-US" w:eastAsia="zh-CN"/>
              </w:rPr>
              <w:t>投标截止时间前三年</w:t>
            </w:r>
            <w:r>
              <w:rPr>
                <w:rFonts w:hint="eastAsia" w:ascii="宋体" w:hAnsi="宋体" w:eastAsia="宋体" w:cs="宋体"/>
                <w:i w:val="0"/>
                <w:iCs w:val="0"/>
                <w:color w:val="000000"/>
                <w:sz w:val="21"/>
                <w:szCs w:val="21"/>
                <w:u w:val="none"/>
                <w:lang w:val="en-US" w:eastAsia="zh-CN"/>
              </w:rPr>
              <w:t>）以来具有类似</w:t>
            </w:r>
            <w:r>
              <w:rPr>
                <w:rFonts w:hint="eastAsia" w:ascii="宋体" w:hAnsi="宋体" w:cs="宋体"/>
                <w:i w:val="0"/>
                <w:iCs w:val="0"/>
                <w:color w:val="000000"/>
                <w:sz w:val="21"/>
                <w:szCs w:val="21"/>
                <w:u w:val="none"/>
                <w:lang w:val="en-US" w:eastAsia="zh-CN"/>
              </w:rPr>
              <w:t>电梯</w:t>
            </w:r>
            <w:r>
              <w:rPr>
                <w:rFonts w:hint="eastAsia" w:ascii="宋体" w:hAnsi="宋体" w:eastAsia="宋体" w:cs="宋体"/>
                <w:i w:val="0"/>
                <w:iCs w:val="0"/>
                <w:color w:val="000000"/>
                <w:sz w:val="21"/>
                <w:szCs w:val="21"/>
                <w:u w:val="none"/>
                <w:lang w:val="en-US" w:eastAsia="zh-CN"/>
              </w:rPr>
              <w:t>业绩的，每提供一个计</w:t>
            </w:r>
            <w:r>
              <w:rPr>
                <w:rFonts w:hint="eastAsia" w:ascii="宋体" w:hAnsi="宋体" w:cs="宋体"/>
                <w:i w:val="0"/>
                <w:iCs w:val="0"/>
                <w:color w:val="000000"/>
                <w:sz w:val="21"/>
                <w:szCs w:val="21"/>
                <w:u w:val="none"/>
                <w:lang w:val="en-US" w:eastAsia="zh-CN"/>
              </w:rPr>
              <w:t>5</w:t>
            </w:r>
            <w:r>
              <w:rPr>
                <w:rFonts w:hint="eastAsia" w:ascii="宋体" w:hAnsi="宋体" w:eastAsia="宋体" w:cs="宋体"/>
                <w:i w:val="0"/>
                <w:iCs w:val="0"/>
                <w:color w:val="000000"/>
                <w:sz w:val="21"/>
                <w:szCs w:val="21"/>
                <w:u w:val="none"/>
                <w:lang w:val="en-US" w:eastAsia="zh-CN"/>
              </w:rPr>
              <w:t>分，此项最高计</w:t>
            </w:r>
            <w:r>
              <w:rPr>
                <w:rFonts w:hint="eastAsia" w:ascii="宋体" w:hAnsi="宋体" w:cs="宋体"/>
                <w:i w:val="0"/>
                <w:iCs w:val="0"/>
                <w:color w:val="000000"/>
                <w:sz w:val="21"/>
                <w:szCs w:val="21"/>
                <w:u w:val="none"/>
                <w:lang w:val="en-US" w:eastAsia="zh-CN"/>
              </w:rPr>
              <w:t>15</w:t>
            </w:r>
            <w:r>
              <w:rPr>
                <w:rFonts w:hint="eastAsia" w:ascii="宋体" w:hAnsi="宋体" w:eastAsia="宋体" w:cs="宋体"/>
                <w:i w:val="0"/>
                <w:iCs w:val="0"/>
                <w:color w:val="000000"/>
                <w:sz w:val="21"/>
                <w:szCs w:val="21"/>
                <w:u w:val="none"/>
                <w:lang w:val="en-US" w:eastAsia="zh-CN"/>
              </w:rPr>
              <w:t>分。</w:t>
            </w:r>
          </w:p>
          <w:p w14:paraId="371F2DAF">
            <w:pPr>
              <w:keepNext w:val="0"/>
              <w:keepLines w:val="0"/>
              <w:pageBreakBefore w:val="0"/>
              <w:widowControl w:val="0"/>
              <w:kinsoku/>
              <w:wordWrap/>
              <w:overflowPunct/>
              <w:topLinePunct w:val="0"/>
              <w:autoSpaceDE/>
              <w:autoSpaceDN/>
              <w:bidi w:val="0"/>
              <w:adjustRightInd/>
              <w:spacing w:line="360" w:lineRule="exact"/>
              <w:jc w:val="both"/>
              <w:textAlignment w:val="auto"/>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000000"/>
                <w:sz w:val="21"/>
                <w:szCs w:val="21"/>
                <w:u w:val="none"/>
                <w:lang w:val="en-US" w:eastAsia="zh-CN"/>
              </w:rPr>
              <w:t>计分说明：需提供合同和项目验收报告或电梯检验机构检验合格的相关证明文件的扫描件并加盖投标人公章，否则不计分。</w:t>
            </w:r>
          </w:p>
        </w:tc>
      </w:tr>
    </w:tbl>
    <w:p w14:paraId="0E2526EA">
      <w:pPr>
        <w:spacing w:line="440" w:lineRule="exact"/>
        <w:jc w:val="center"/>
        <w:outlineLvl w:val="0"/>
        <w:rPr>
          <w:rFonts w:ascii="宋体" w:hAnsi="宋体" w:cs="宋体"/>
          <w:b/>
          <w:sz w:val="28"/>
          <w:szCs w:val="28"/>
        </w:rPr>
      </w:pPr>
      <w:r>
        <w:rPr>
          <w:rFonts w:ascii="宋体" w:hAnsi="宋体" w:cs="宋体"/>
          <w:b/>
          <w:bCs/>
          <w:sz w:val="28"/>
          <w:szCs w:val="36"/>
        </w:rPr>
        <w:br w:type="page"/>
      </w:r>
      <w:bookmarkStart w:id="89" w:name="_Toc29352"/>
      <w:r>
        <w:rPr>
          <w:rFonts w:hint="eastAsia" w:ascii="宋体" w:hAnsi="宋体" w:cs="宋体"/>
          <w:b/>
          <w:sz w:val="28"/>
          <w:szCs w:val="28"/>
        </w:rPr>
        <w:t>正 文</w:t>
      </w:r>
      <w:bookmarkEnd w:id="88"/>
      <w:bookmarkEnd w:id="89"/>
    </w:p>
    <w:p w14:paraId="16B7E01B">
      <w:pPr>
        <w:adjustRightInd w:val="0"/>
        <w:snapToGrid w:val="0"/>
        <w:spacing w:line="360" w:lineRule="auto"/>
        <w:jc w:val="left"/>
        <w:outlineLvl w:val="0"/>
        <w:rPr>
          <w:rFonts w:ascii="宋体" w:hAnsi="宋体" w:cs="宋体"/>
          <w:b/>
          <w:szCs w:val="21"/>
        </w:rPr>
      </w:pPr>
      <w:bookmarkStart w:id="90" w:name="_Toc13240"/>
      <w:bookmarkStart w:id="91" w:name="_Toc3235"/>
      <w:r>
        <w:rPr>
          <w:rFonts w:hint="eastAsia" w:ascii="宋体" w:hAnsi="宋体" w:cs="宋体"/>
          <w:b/>
          <w:szCs w:val="21"/>
        </w:rPr>
        <w:t>1.评标方法</w:t>
      </w:r>
      <w:bookmarkEnd w:id="90"/>
      <w:bookmarkEnd w:id="91"/>
    </w:p>
    <w:p w14:paraId="21FC4B5B">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1.1评标方法：综合评分法，指投标文件满足招标文件全部实质性要求，且按照评审因素的量化指标评审得分最高的投标人为中标候选人的评标方法。</w:t>
      </w:r>
    </w:p>
    <w:p w14:paraId="1B8D4CE9">
      <w:pPr>
        <w:adjustRightInd w:val="0"/>
        <w:snapToGrid w:val="0"/>
        <w:spacing w:line="360" w:lineRule="auto"/>
        <w:ind w:firstLine="420" w:firstLineChars="200"/>
        <w:jc w:val="left"/>
        <w:rPr>
          <w:rFonts w:ascii="宋体" w:hAnsi="宋体" w:cs="宋体"/>
          <w:szCs w:val="21"/>
        </w:rPr>
      </w:pPr>
      <w:r>
        <w:rPr>
          <w:rFonts w:hint="eastAsia" w:ascii="宋体" w:hAnsi="宋体" w:cs="宋体"/>
          <w:bCs/>
          <w:szCs w:val="21"/>
        </w:rPr>
        <w:t>1.2</w:t>
      </w:r>
      <w:r>
        <w:rPr>
          <w:rFonts w:hint="eastAsia" w:ascii="宋体" w:hAnsi="宋体" w:cs="宋体"/>
          <w:szCs w:val="21"/>
        </w:rPr>
        <w:t>评标因素：评审因素的设定应当与投标人所提供货物服务的质量相关，包括投标报价、技术或者服务水平、履约能力、售后服务等，但不包括第二章正文部分总则第3条“投标人的资格要求”。</w:t>
      </w:r>
      <w:r>
        <w:rPr>
          <w:rFonts w:hint="eastAsia" w:ascii="宋体" w:hAnsi="宋体" w:cs="宋体"/>
          <w:bCs/>
          <w:szCs w:val="21"/>
        </w:rPr>
        <w:t>本采购项目</w:t>
      </w:r>
      <w:r>
        <w:rPr>
          <w:rFonts w:hint="eastAsia" w:ascii="宋体" w:hAnsi="宋体" w:cs="宋体"/>
          <w:szCs w:val="21"/>
        </w:rPr>
        <w:t>的评标因素和标准见【</w:t>
      </w:r>
      <w:r>
        <w:rPr>
          <w:rFonts w:hint="eastAsia" w:ascii="宋体" w:hAnsi="宋体" w:cs="宋体"/>
          <w:b/>
          <w:szCs w:val="21"/>
        </w:rPr>
        <w:t>评标方法及标准前附表</w:t>
      </w:r>
      <w:r>
        <w:rPr>
          <w:rFonts w:hint="eastAsia" w:ascii="宋体" w:hAnsi="宋体" w:cs="宋体"/>
          <w:szCs w:val="21"/>
        </w:rPr>
        <w:t>】。</w:t>
      </w:r>
    </w:p>
    <w:p w14:paraId="6C9F67A2">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1.3采购人不接受投标人给予的赠品、回扣或者与采购无关的其他商品、服务。</w:t>
      </w:r>
    </w:p>
    <w:p w14:paraId="79D783B9">
      <w:pPr>
        <w:adjustRightInd w:val="0"/>
        <w:snapToGrid w:val="0"/>
        <w:spacing w:line="360" w:lineRule="auto"/>
        <w:jc w:val="left"/>
        <w:outlineLvl w:val="0"/>
        <w:rPr>
          <w:rFonts w:ascii="宋体" w:hAnsi="宋体" w:cs="宋体"/>
          <w:b/>
          <w:bCs/>
          <w:szCs w:val="21"/>
        </w:rPr>
      </w:pPr>
      <w:bookmarkStart w:id="92" w:name="_Toc22948"/>
      <w:bookmarkStart w:id="93" w:name="_Toc26443"/>
      <w:r>
        <w:rPr>
          <w:rFonts w:hint="eastAsia" w:ascii="宋体" w:hAnsi="宋体" w:cs="宋体"/>
          <w:b/>
          <w:bCs/>
          <w:szCs w:val="21"/>
        </w:rPr>
        <w:t>2.</w:t>
      </w:r>
      <w:r>
        <w:rPr>
          <w:rFonts w:hint="eastAsia" w:ascii="宋体" w:hAnsi="宋体" w:cs="宋体"/>
          <w:szCs w:val="21"/>
        </w:rPr>
        <w:t xml:space="preserve"> </w:t>
      </w:r>
      <w:r>
        <w:rPr>
          <w:rFonts w:hint="eastAsia" w:ascii="宋体" w:hAnsi="宋体" w:cs="宋体"/>
          <w:b/>
          <w:bCs/>
          <w:szCs w:val="21"/>
        </w:rPr>
        <w:t>评标程序</w:t>
      </w:r>
      <w:bookmarkEnd w:id="92"/>
      <w:bookmarkEnd w:id="93"/>
    </w:p>
    <w:p w14:paraId="35C58FAD">
      <w:pPr>
        <w:adjustRightInd w:val="0"/>
        <w:snapToGrid w:val="0"/>
        <w:spacing w:line="360" w:lineRule="auto"/>
        <w:ind w:firstLine="420" w:firstLineChars="200"/>
        <w:jc w:val="left"/>
        <w:rPr>
          <w:rFonts w:ascii="宋体" w:hAnsi="宋体" w:cs="宋体"/>
          <w:bCs/>
          <w:szCs w:val="21"/>
        </w:rPr>
      </w:pPr>
      <w:r>
        <w:rPr>
          <w:rFonts w:hint="eastAsia" w:ascii="宋体" w:hAnsi="宋体" w:cs="宋体"/>
          <w:bCs/>
          <w:szCs w:val="21"/>
        </w:rPr>
        <w:t>2.1</w:t>
      </w:r>
      <w:r>
        <w:rPr>
          <w:rFonts w:hint="eastAsia" w:ascii="宋体" w:hAnsi="宋体" w:cs="宋体"/>
          <w:szCs w:val="21"/>
        </w:rPr>
        <w:t>评标程序分为投标文件商务、技术等符合性审查、澄清有关问题、比较和评价、确定中标候选人名单。</w:t>
      </w:r>
    </w:p>
    <w:p w14:paraId="015E1A92">
      <w:pPr>
        <w:adjustRightInd w:val="0"/>
        <w:snapToGrid w:val="0"/>
        <w:spacing w:line="360" w:lineRule="auto"/>
        <w:jc w:val="left"/>
        <w:outlineLvl w:val="0"/>
        <w:rPr>
          <w:rFonts w:ascii="宋体" w:hAnsi="宋体" w:cs="宋体"/>
          <w:b/>
          <w:bCs/>
          <w:szCs w:val="21"/>
        </w:rPr>
      </w:pPr>
      <w:bookmarkStart w:id="94" w:name="_Toc32120"/>
      <w:bookmarkStart w:id="95" w:name="_Toc22456"/>
      <w:r>
        <w:rPr>
          <w:rFonts w:hint="eastAsia" w:ascii="宋体" w:hAnsi="宋体" w:cs="宋体"/>
          <w:b/>
          <w:bCs/>
          <w:szCs w:val="21"/>
        </w:rPr>
        <w:t>3. 投标文件符合性审查</w:t>
      </w:r>
      <w:bookmarkEnd w:id="94"/>
      <w:bookmarkEnd w:id="95"/>
    </w:p>
    <w:p w14:paraId="3E23AFD3">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3.1评标委员会应当对符合资格条件的投标人的投标文件进行符合性审查，以确定其是否满足招标文件商务、技术等实质性要求。</w:t>
      </w:r>
    </w:p>
    <w:p w14:paraId="445FDF6B">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依据招标文件的规定，从投标文件的有效性、完整性和对招标文件的响应程度进行审查，以确定是否对招标文件的实质性要求作出响应。评标委员会决定投标文件的响应性只根据投标文件真实无误的内容，而不依据外部的证据，但投标文件有不真实、不正确的内容时除外。</w:t>
      </w:r>
    </w:p>
    <w:p w14:paraId="7E205D40">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（2）投标人不得通过修正或撤销不合要求的偏离从而使其投标成为实质上响应的投标。</w:t>
      </w:r>
    </w:p>
    <w:p w14:paraId="4691A3E2">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3.2</w:t>
      </w:r>
      <w:bookmarkStart w:id="96" w:name="_Hlk492810005"/>
      <w:r>
        <w:rPr>
          <w:rFonts w:hint="eastAsia" w:ascii="宋体" w:hAnsi="宋体" w:cs="宋体"/>
          <w:szCs w:val="21"/>
        </w:rPr>
        <w:t>投标文件属下列情况之一的，投标无效：</w:t>
      </w:r>
    </w:p>
    <w:p w14:paraId="77875353">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（1）投标文件中商务技术文件未按照招标文件规定要求签署、盖章的；</w:t>
      </w:r>
    </w:p>
    <w:p w14:paraId="3902FC2F">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（2）投标文件没有对招标文件的实质性要求和条件作出响应，或者对招标文件的偏差超出招标文件规定的偏差范围或最高项数；</w:t>
      </w:r>
    </w:p>
    <w:bookmarkEnd w:id="96"/>
    <w:p w14:paraId="1873B92D">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 xml:space="preserve">（3）报价超过招标文件中规定的预算金额或者最高限价的； </w:t>
      </w:r>
    </w:p>
    <w:p w14:paraId="5643E4D3">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（4）投标有效期不足的；</w:t>
      </w:r>
    </w:p>
    <w:p w14:paraId="7EB5BB82">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（5）投标文件含有采购人不能接受的附加条件的；</w:t>
      </w:r>
    </w:p>
    <w:p w14:paraId="55CCDCF7">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（6）法律、法规和招标文件规定的其他投标无效情形的。</w:t>
      </w:r>
    </w:p>
    <w:p w14:paraId="3872A84A">
      <w:pPr>
        <w:adjustRightInd w:val="0"/>
        <w:snapToGrid w:val="0"/>
        <w:spacing w:line="360" w:lineRule="auto"/>
        <w:jc w:val="left"/>
        <w:outlineLvl w:val="0"/>
        <w:rPr>
          <w:rFonts w:ascii="宋体" w:hAnsi="宋体" w:cs="宋体"/>
          <w:bCs/>
          <w:szCs w:val="21"/>
        </w:rPr>
      </w:pPr>
      <w:bookmarkStart w:id="97" w:name="_Toc5221"/>
      <w:bookmarkStart w:id="98" w:name="_Toc22193"/>
      <w:r>
        <w:rPr>
          <w:rFonts w:hint="eastAsia" w:ascii="宋体" w:hAnsi="宋体" w:cs="宋体"/>
          <w:b/>
          <w:bCs/>
          <w:szCs w:val="21"/>
        </w:rPr>
        <w:t>4. 澄清有关问题</w:t>
      </w:r>
      <w:bookmarkEnd w:id="97"/>
      <w:bookmarkEnd w:id="98"/>
    </w:p>
    <w:p w14:paraId="45CDB64B">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4.1对于投标文件中含义不明确、同类问题表述不一致或者有明显文字和计算错误的内容，评标委员会应当要求投标人作出必要的澄清、说明或者补正。</w:t>
      </w:r>
    </w:p>
    <w:p w14:paraId="3A0E6D77">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4.2投标文件报价出现前后不一致的，除【</w:t>
      </w:r>
      <w:r>
        <w:rPr>
          <w:rFonts w:hint="eastAsia" w:ascii="宋体" w:hAnsi="宋体" w:cs="宋体"/>
          <w:b/>
          <w:szCs w:val="21"/>
        </w:rPr>
        <w:t>评标方法及标准前附表</w:t>
      </w:r>
      <w:r>
        <w:rPr>
          <w:rFonts w:hint="eastAsia" w:ascii="宋体" w:hAnsi="宋体" w:cs="宋体"/>
          <w:szCs w:val="21"/>
        </w:rPr>
        <w:t>】另有规定外，按照下列规定修正：</w:t>
      </w:r>
    </w:p>
    <w:p w14:paraId="47EF7691">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（1）投标文件中开标一览表内容与投标文件中相应内容不一致的，以开标一览表为准；</w:t>
      </w:r>
    </w:p>
    <w:p w14:paraId="35AE7449">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（2）大写金额和小写金额不一致的，以大写金额为准；</w:t>
      </w:r>
    </w:p>
    <w:p w14:paraId="23F6CE00">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（3）单价金额小数点或者百分比有明显错位的，以开标一览表的总价为准，并修改单价；</w:t>
      </w:r>
    </w:p>
    <w:p w14:paraId="51487626">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（4）总价金额与按单价汇总金额不一致的，以单价金额计算结果为准。</w:t>
      </w:r>
    </w:p>
    <w:p w14:paraId="5D9BAC3F">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4.3投标文件报价同时出现两种以上不一致的，按照前款规定的顺序修正。修正后的报价由投标人代表签字(或者加盖单位章)确认后产生约束力，投标人不确认的，其投标无效。</w:t>
      </w:r>
    </w:p>
    <w:p w14:paraId="3DB1B7E3">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4.4投标人的澄清、说明或者补正可采用电子形式，并加盖电子公章，或者由法定代表人（或负责人）或其授权的代表签字，并按评标委员会的通知要求递交。投标人的澄清、说明或者补正不得超出投标文件的范围或者改变投标文件的实质性内容。评标委员会不接受投标人主动提交的澄清、说明或者补正。</w:t>
      </w:r>
    </w:p>
    <w:p w14:paraId="264F6E0B">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4.5有效的书面澄清材料，是投标文件的补充材料，成为投标文件的组成部分。</w:t>
      </w:r>
    </w:p>
    <w:p w14:paraId="5662024D">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4.6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A7488F5">
      <w:pPr>
        <w:adjustRightInd w:val="0"/>
        <w:snapToGrid w:val="0"/>
        <w:spacing w:line="360" w:lineRule="auto"/>
        <w:jc w:val="left"/>
        <w:outlineLvl w:val="0"/>
        <w:rPr>
          <w:rFonts w:ascii="宋体" w:hAnsi="宋体" w:cs="宋体"/>
          <w:b/>
          <w:bCs/>
          <w:szCs w:val="21"/>
        </w:rPr>
      </w:pPr>
      <w:bookmarkStart w:id="99" w:name="_Toc13497"/>
      <w:bookmarkStart w:id="100" w:name="_Toc16077"/>
      <w:r>
        <w:rPr>
          <w:rFonts w:hint="eastAsia" w:ascii="宋体" w:hAnsi="宋体" w:cs="宋体"/>
          <w:b/>
          <w:bCs/>
          <w:szCs w:val="21"/>
        </w:rPr>
        <w:t>5. 比较与评价</w:t>
      </w:r>
      <w:bookmarkEnd w:id="99"/>
      <w:bookmarkEnd w:id="100"/>
    </w:p>
    <w:p w14:paraId="6D6DB732">
      <w:pPr>
        <w:adjustRightInd w:val="0"/>
        <w:snapToGrid w:val="0"/>
        <w:spacing w:line="360" w:lineRule="auto"/>
        <w:ind w:firstLine="420" w:firstLineChars="200"/>
        <w:jc w:val="left"/>
        <w:rPr>
          <w:rFonts w:ascii="宋体" w:hAnsi="宋体" w:cs="宋体"/>
          <w:bCs/>
          <w:szCs w:val="21"/>
        </w:rPr>
      </w:pPr>
      <w:r>
        <w:rPr>
          <w:rFonts w:hint="eastAsia" w:ascii="宋体" w:hAnsi="宋体" w:cs="宋体"/>
          <w:bCs/>
          <w:szCs w:val="21"/>
        </w:rPr>
        <w:t>5.1评标委员会应按照招标文件中规定的评标方法、</w:t>
      </w:r>
      <w:r>
        <w:rPr>
          <w:rFonts w:hint="eastAsia" w:ascii="宋体" w:hAnsi="宋体" w:cs="宋体"/>
          <w:szCs w:val="21"/>
        </w:rPr>
        <w:t>标准和评标因素，</w:t>
      </w:r>
      <w:r>
        <w:rPr>
          <w:rFonts w:hint="eastAsia" w:ascii="宋体" w:hAnsi="宋体" w:cs="宋体"/>
          <w:bCs/>
          <w:szCs w:val="21"/>
        </w:rPr>
        <w:t>对</w:t>
      </w:r>
      <w:r>
        <w:rPr>
          <w:rFonts w:hint="eastAsia" w:ascii="宋体" w:hAnsi="宋体" w:cs="宋体"/>
          <w:szCs w:val="21"/>
        </w:rPr>
        <w:t>资格性检查和符合性检查</w:t>
      </w:r>
      <w:r>
        <w:rPr>
          <w:rFonts w:hint="eastAsia" w:ascii="宋体" w:hAnsi="宋体" w:cs="宋体"/>
          <w:bCs/>
          <w:szCs w:val="21"/>
        </w:rPr>
        <w:t>合格的投标文件进行评估，综合比较与评价。</w:t>
      </w:r>
    </w:p>
    <w:p w14:paraId="6013619C">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5.2投标报价的修正或调整：</w:t>
      </w:r>
    </w:p>
    <w:p w14:paraId="61520FE2">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（1）如果有算术错误，投标报价将按本章第4.2款进行算术修正及修正次序规则修正。</w:t>
      </w:r>
    </w:p>
    <w:p w14:paraId="3CB0B1DC">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（2）需落实政府采购政策（价格评审优惠、优先采购）的，按【</w:t>
      </w:r>
      <w:r>
        <w:rPr>
          <w:rFonts w:hint="eastAsia" w:ascii="宋体" w:hAnsi="宋体" w:cs="宋体"/>
          <w:b/>
          <w:szCs w:val="21"/>
        </w:rPr>
        <w:t>评标方法及标准前附表</w:t>
      </w:r>
      <w:r>
        <w:rPr>
          <w:rFonts w:hint="eastAsia" w:ascii="宋体" w:hAnsi="宋体" w:cs="宋体"/>
          <w:szCs w:val="21"/>
        </w:rPr>
        <w:t>】相关规定进行价格调整的，以调整后的价格计算评标基准价和投标报价。</w:t>
      </w:r>
    </w:p>
    <w:p w14:paraId="4209D426">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5.3投标报价评价：价格分应当采用低价优先法计算，即满足招标文件要求且投标价格最低的投标报价为评标基准价，其价格分为满分（报价权重分）。其他投标人的价格分统一按照下列公式计算：</w:t>
      </w:r>
    </w:p>
    <w:p w14:paraId="67DA29B7">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投标报价得分=（评标基准价调整／投标报价调整） ×报价权重分</w:t>
      </w:r>
    </w:p>
    <w:p w14:paraId="2C4B53BD">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5.4技术、商务等评分项响应评价</w:t>
      </w:r>
    </w:p>
    <w:p w14:paraId="0DF9E44E">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（1）技术、商务等评分项响应评分。按本章第1.2款规定的评标因素和标准，对技术、商务等评分项计算得分。</w:t>
      </w:r>
    </w:p>
    <w:p w14:paraId="7CFEC3B8">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5.5评标总得分</w:t>
      </w:r>
    </w:p>
    <w:p w14:paraId="3583A361">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评标总得分＝F1×A1＋F2×A2＋……＋Fn×An</w:t>
      </w:r>
    </w:p>
    <w:p w14:paraId="669A5E88">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F1、F2……Fn分别为各项评审因素的得分；</w:t>
      </w:r>
    </w:p>
    <w:p w14:paraId="49F07B99">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A1、A2、……An 分别为各项评审因素所占的权重（A1＋A2＋…＋An＝1）。</w:t>
      </w:r>
    </w:p>
    <w:p w14:paraId="0F84733D">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评标过程中，不得去掉报价中的最高报价和最低报价。</w:t>
      </w:r>
    </w:p>
    <w:p w14:paraId="3D77C539">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5.6评分分值计算保留小数点后两位，小数点后第三位“四舍五入”。</w:t>
      </w:r>
    </w:p>
    <w:p w14:paraId="6915EA5F">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5.7评标时，评标委员会各成员应当独立对每个投标人的投标文件进行评价、评分，然后汇总每个投标人每项评分因素的得分。</w:t>
      </w:r>
    </w:p>
    <w:p w14:paraId="62391068">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5.8提供相同品牌产品且通过资格审查、符合性审查的不同投标人参加同一合同项下投标的，按一家投标人计算，评审后得分最高的同品牌投标人获得中标人推荐资格，其他同品牌投标人不作为中标候选人。评审得分相同的，由采购人或者采购人委托评标委员会按照【</w:t>
      </w:r>
      <w:r>
        <w:rPr>
          <w:rFonts w:hint="eastAsia" w:ascii="宋体" w:hAnsi="宋体" w:cs="宋体"/>
          <w:b/>
          <w:szCs w:val="21"/>
        </w:rPr>
        <w:t>评标方法及标准前附表</w:t>
      </w:r>
      <w:r>
        <w:rPr>
          <w:rFonts w:hint="eastAsia" w:ascii="宋体" w:hAnsi="宋体" w:cs="宋体"/>
          <w:szCs w:val="21"/>
        </w:rPr>
        <w:t>】规定的方式确定一个投标人获得中标人推荐资格，招标文件未规定的采取随机抽取方式确定，其他同品牌投标人不作为中标候选人。</w:t>
      </w:r>
    </w:p>
    <w:p w14:paraId="7F916173">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5.9非单一产品采购项目，采购人应当根据采购项目技术构成、产品价格比重等合理确定核心产品，并在【</w:t>
      </w:r>
      <w:r>
        <w:rPr>
          <w:rFonts w:hint="eastAsia" w:ascii="宋体" w:hAnsi="宋体" w:cs="宋体"/>
          <w:b/>
          <w:szCs w:val="21"/>
        </w:rPr>
        <w:t>评标方法及标准前附表</w:t>
      </w:r>
      <w:r>
        <w:rPr>
          <w:rFonts w:hint="eastAsia" w:ascii="宋体" w:hAnsi="宋体" w:cs="宋体"/>
          <w:szCs w:val="21"/>
        </w:rPr>
        <w:t>】中载明。多家投标人提供的核心产品品牌相同的，按前款规定处理。</w:t>
      </w:r>
    </w:p>
    <w:p w14:paraId="5EAEE918">
      <w:pPr>
        <w:adjustRightInd w:val="0"/>
        <w:snapToGrid w:val="0"/>
        <w:spacing w:line="360" w:lineRule="auto"/>
        <w:jc w:val="left"/>
        <w:outlineLvl w:val="0"/>
        <w:rPr>
          <w:rFonts w:ascii="宋体" w:hAnsi="宋体" w:cs="宋体"/>
          <w:b/>
          <w:szCs w:val="21"/>
        </w:rPr>
      </w:pPr>
      <w:bookmarkStart w:id="101" w:name="_Toc26297"/>
      <w:bookmarkStart w:id="102" w:name="_Toc20152"/>
      <w:r>
        <w:rPr>
          <w:rFonts w:hint="eastAsia" w:ascii="宋体" w:hAnsi="宋体" w:cs="宋体"/>
          <w:b/>
          <w:bCs/>
          <w:szCs w:val="21"/>
        </w:rPr>
        <w:t>6.</w:t>
      </w:r>
      <w:r>
        <w:rPr>
          <w:rFonts w:hint="eastAsia" w:ascii="宋体" w:hAnsi="宋体" w:cs="宋体"/>
          <w:b/>
          <w:szCs w:val="21"/>
        </w:rPr>
        <w:t xml:space="preserve"> 确定中标候选人名单</w:t>
      </w:r>
      <w:bookmarkEnd w:id="101"/>
      <w:bookmarkEnd w:id="102"/>
    </w:p>
    <w:p w14:paraId="43E06978">
      <w:pPr>
        <w:adjustRightInd w:val="0"/>
        <w:snapToGrid w:val="0"/>
        <w:spacing w:line="400" w:lineRule="exact"/>
        <w:ind w:firstLine="420" w:firstLineChars="200"/>
        <w:jc w:val="left"/>
        <w:rPr>
          <w:rFonts w:ascii="宋体" w:hAnsi="宋体" w:cs="宋体"/>
          <w:bCs/>
          <w:szCs w:val="21"/>
        </w:rPr>
      </w:pPr>
      <w:r>
        <w:rPr>
          <w:rFonts w:hint="eastAsia" w:ascii="宋体" w:hAnsi="宋体" w:cs="宋体"/>
          <w:szCs w:val="21"/>
        </w:rPr>
        <w:t>6.1评标委员会根据评标结果确定推荐的中标候选人名单，并按投标人综合得分由高到低顺序排列。中标候选人并列的，由采购人或者采购人委托评标委员会按照招标文件第二章第31.2款规定的方式确定中标人。</w:t>
      </w:r>
    </w:p>
    <w:p w14:paraId="6851A06C">
      <w:pPr>
        <w:adjustRightInd w:val="0"/>
        <w:snapToGrid w:val="0"/>
        <w:spacing w:line="400" w:lineRule="exact"/>
        <w:jc w:val="left"/>
        <w:outlineLvl w:val="0"/>
        <w:rPr>
          <w:rFonts w:ascii="宋体" w:hAnsi="宋体" w:cs="宋体"/>
          <w:b/>
          <w:szCs w:val="21"/>
        </w:rPr>
      </w:pPr>
      <w:bookmarkStart w:id="103" w:name="_Toc7041"/>
      <w:bookmarkStart w:id="104" w:name="_Toc5536"/>
      <w:r>
        <w:rPr>
          <w:rFonts w:hint="eastAsia" w:ascii="宋体" w:hAnsi="宋体" w:cs="宋体"/>
          <w:b/>
          <w:bCs/>
          <w:szCs w:val="21"/>
        </w:rPr>
        <w:t>7.</w:t>
      </w:r>
      <w:r>
        <w:rPr>
          <w:rFonts w:hint="eastAsia" w:ascii="宋体" w:hAnsi="宋体" w:cs="宋体"/>
          <w:b/>
          <w:szCs w:val="21"/>
        </w:rPr>
        <w:t>编写评标报告</w:t>
      </w:r>
      <w:bookmarkEnd w:id="103"/>
      <w:bookmarkEnd w:id="104"/>
    </w:p>
    <w:p w14:paraId="32B442F6">
      <w:pPr>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7.1评标</w:t>
      </w:r>
      <w:r>
        <w:rPr>
          <w:rFonts w:hint="eastAsia" w:ascii="宋体" w:hAnsi="宋体" w:cs="宋体"/>
          <w:bCs/>
          <w:szCs w:val="21"/>
        </w:rPr>
        <w:t>委员会</w:t>
      </w:r>
      <w:r>
        <w:rPr>
          <w:rFonts w:hint="eastAsia" w:ascii="宋体" w:hAnsi="宋体" w:cs="宋体"/>
          <w:szCs w:val="21"/>
        </w:rPr>
        <w:t>根据全体评标成员签字的原始评标记录和评标结果编写评标报告。</w:t>
      </w:r>
    </w:p>
    <w:p w14:paraId="29CDB219">
      <w:pPr>
        <w:adjustRightInd w:val="0"/>
        <w:snapToGrid w:val="0"/>
        <w:spacing w:line="400" w:lineRule="exact"/>
        <w:ind w:firstLine="420" w:firstLineChars="200"/>
        <w:jc w:val="left"/>
        <w:rPr>
          <w:rFonts w:ascii="宋体" w:hAnsi="宋体" w:cs="宋体"/>
          <w:bCs/>
          <w:szCs w:val="21"/>
        </w:rPr>
      </w:pPr>
      <w:r>
        <w:rPr>
          <w:rFonts w:hint="eastAsia" w:ascii="宋体" w:hAnsi="宋体" w:cs="宋体"/>
          <w:szCs w:val="21"/>
        </w:rPr>
        <w:t>7.2</w:t>
      </w:r>
      <w:r>
        <w:rPr>
          <w:rFonts w:hint="eastAsia" w:ascii="宋体" w:hAnsi="宋体" w:cs="宋体"/>
          <w:bCs/>
          <w:szCs w:val="21"/>
        </w:rPr>
        <w:t>评标委员会成员对需要共同认定的事项存在争议的，应当按照少数服从多数的原则作出结论。持不同意见的评标委员会成员应当在评标报告上签署不同意见及理由，否则视为同意评标报告。</w:t>
      </w:r>
    </w:p>
    <w:p w14:paraId="1B00A5FB">
      <w:pPr>
        <w:adjustRightInd w:val="0"/>
        <w:snapToGrid w:val="0"/>
        <w:spacing w:line="400" w:lineRule="exact"/>
        <w:jc w:val="left"/>
        <w:outlineLvl w:val="0"/>
        <w:rPr>
          <w:rFonts w:ascii="宋体" w:hAnsi="宋体" w:cs="宋体"/>
          <w:b/>
          <w:bCs/>
          <w:szCs w:val="21"/>
        </w:rPr>
      </w:pPr>
      <w:bookmarkStart w:id="105" w:name="_Toc437"/>
      <w:bookmarkStart w:id="106" w:name="_Toc32425"/>
      <w:r>
        <w:rPr>
          <w:rFonts w:hint="eastAsia" w:ascii="宋体" w:hAnsi="宋体" w:cs="宋体"/>
          <w:b/>
          <w:bCs/>
          <w:szCs w:val="21"/>
        </w:rPr>
        <w:t>8.</w:t>
      </w:r>
      <w:r>
        <w:rPr>
          <w:rFonts w:hint="eastAsia" w:ascii="宋体" w:hAnsi="宋体" w:cs="宋体"/>
          <w:b/>
          <w:szCs w:val="21"/>
        </w:rPr>
        <w:t>评标报告</w:t>
      </w:r>
      <w:r>
        <w:rPr>
          <w:rFonts w:hint="eastAsia" w:ascii="宋体" w:hAnsi="宋体" w:cs="宋体"/>
          <w:b/>
          <w:bCs/>
          <w:szCs w:val="21"/>
        </w:rPr>
        <w:t>复核</w:t>
      </w:r>
      <w:bookmarkEnd w:id="105"/>
      <w:bookmarkEnd w:id="106"/>
    </w:p>
    <w:p w14:paraId="0422BB33">
      <w:pPr>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8.1汇总完成后，除下列情形外，任何人不得修改评标结果：</w:t>
      </w:r>
    </w:p>
    <w:p w14:paraId="53607723">
      <w:pPr>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（1）分值汇总计算错误的；</w:t>
      </w:r>
    </w:p>
    <w:p w14:paraId="36639FDF">
      <w:pPr>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（2）分项评分超出评分标准范围的；</w:t>
      </w:r>
    </w:p>
    <w:p w14:paraId="56E403A2">
      <w:pPr>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（3）评标委员会成员对客观评审因素评分不一致的；</w:t>
      </w:r>
    </w:p>
    <w:p w14:paraId="60589E82">
      <w:pPr>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（4）经评标委员会认定评分畸高、畸低的。</w:t>
      </w:r>
    </w:p>
    <w:p w14:paraId="74634DE7">
      <w:pPr>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8.1评标报告签署前，经复核发现存在以上情形之一的，评标委员会应当当场修改评标结果，并在评标报告中记载；评标报告签署后至中标公告发布前，采购人或者采购代理机构发现存在以上情形之一的，应当组织原评标委员会进行重新评审，重新评审改变评标结果的，书面报告本级财政部门。</w:t>
      </w:r>
    </w:p>
    <w:p w14:paraId="1145C45E">
      <w:pPr>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8.2投标人对本条第一款情形提出质疑的，采购人或者采购代理机构可以组织原评标委员会进行重新评审，重新评审改变评标结果的，应当书面报告本级财政部门。</w:t>
      </w:r>
    </w:p>
    <w:p w14:paraId="37F15D5B">
      <w:pPr>
        <w:adjustRightInd w:val="0"/>
        <w:snapToGrid w:val="0"/>
        <w:spacing w:line="400" w:lineRule="exact"/>
        <w:jc w:val="left"/>
        <w:outlineLvl w:val="0"/>
        <w:rPr>
          <w:rFonts w:ascii="宋体" w:hAnsi="宋体" w:cs="宋体"/>
          <w:b/>
          <w:szCs w:val="21"/>
        </w:rPr>
      </w:pPr>
      <w:bookmarkStart w:id="107" w:name="_Toc21766"/>
      <w:bookmarkStart w:id="108" w:name="_Toc25307"/>
      <w:r>
        <w:rPr>
          <w:rFonts w:hint="eastAsia" w:ascii="宋体" w:hAnsi="宋体" w:cs="宋体"/>
          <w:b/>
          <w:szCs w:val="21"/>
        </w:rPr>
        <w:t>9.停止评标</w:t>
      </w:r>
      <w:bookmarkEnd w:id="107"/>
      <w:bookmarkEnd w:id="108"/>
    </w:p>
    <w:p w14:paraId="0A84D860">
      <w:pPr>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9.1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43A1021F">
      <w:pPr>
        <w:adjustRightInd w:val="0"/>
        <w:snapToGrid w:val="0"/>
        <w:jc w:val="left"/>
        <w:outlineLvl w:val="0"/>
        <w:rPr>
          <w:rFonts w:ascii="宋体" w:hAnsi="宋体" w:cs="宋体"/>
          <w:b/>
          <w:szCs w:val="21"/>
        </w:rPr>
      </w:pPr>
      <w:bookmarkStart w:id="109" w:name="_Toc1394"/>
      <w:bookmarkStart w:id="110" w:name="_Toc22486"/>
      <w:r>
        <w:rPr>
          <w:rFonts w:hint="eastAsia" w:ascii="宋体" w:hAnsi="宋体" w:cs="宋体"/>
          <w:b/>
          <w:szCs w:val="21"/>
        </w:rPr>
        <w:t>10. 重新组建评标委员会进行评标</w:t>
      </w:r>
      <w:bookmarkEnd w:id="109"/>
      <w:bookmarkEnd w:id="110"/>
    </w:p>
    <w:p w14:paraId="70CD80E7">
      <w:pPr>
        <w:adjustRightInd w:val="0"/>
        <w:snapToGrid w:val="0"/>
        <w:ind w:firstLine="420" w:firstLineChars="200"/>
        <w:jc w:val="left"/>
        <w:rPr>
          <w:rFonts w:ascii="宋体" w:hAnsi="宋体" w:cs="宋体"/>
          <w:szCs w:val="21"/>
        </w:rPr>
      </w:pPr>
      <w:r>
        <w:rPr>
          <w:rFonts w:hint="eastAsia" w:ascii="宋体" w:hAnsi="宋体" w:cs="宋体"/>
          <w:szCs w:val="21"/>
        </w:rPr>
        <w:t>10.1评标委员会或者其成员存在下列情形导致评标结果无效的，采购人、采购代理机构可以重新组建评标委员会进行评标，并书面报告本级财政部门，但采购合同已经履行的除外：</w:t>
      </w:r>
    </w:p>
    <w:p w14:paraId="055050F6">
      <w:pPr>
        <w:adjustRightInd w:val="0"/>
        <w:snapToGrid w:val="0"/>
        <w:ind w:firstLine="420" w:firstLineChars="200"/>
        <w:jc w:val="left"/>
        <w:rPr>
          <w:rFonts w:ascii="宋体" w:hAnsi="宋体" w:cs="宋体"/>
          <w:szCs w:val="21"/>
        </w:rPr>
      </w:pPr>
      <w:r>
        <w:rPr>
          <w:rFonts w:hint="eastAsia" w:ascii="宋体" w:hAnsi="宋体" w:cs="宋体"/>
          <w:szCs w:val="21"/>
        </w:rPr>
        <w:t>（1）评标委员会组成不符合本办法规定的；</w:t>
      </w:r>
    </w:p>
    <w:p w14:paraId="0C763E15">
      <w:pPr>
        <w:adjustRightInd w:val="0"/>
        <w:snapToGrid w:val="0"/>
        <w:ind w:firstLine="420" w:firstLineChars="200"/>
        <w:jc w:val="left"/>
        <w:rPr>
          <w:rFonts w:ascii="宋体" w:hAnsi="宋体" w:cs="宋体"/>
          <w:szCs w:val="21"/>
        </w:rPr>
      </w:pPr>
      <w:r>
        <w:rPr>
          <w:rFonts w:hint="eastAsia" w:ascii="宋体" w:hAnsi="宋体" w:cs="宋体"/>
          <w:szCs w:val="21"/>
        </w:rPr>
        <w:t>（2）有《政府采购货物和服务招标投标管理办法》（财政部令第87号）第六十二条第一至五项情形的；</w:t>
      </w:r>
    </w:p>
    <w:p w14:paraId="0D18133C">
      <w:pPr>
        <w:adjustRightInd w:val="0"/>
        <w:snapToGrid w:val="0"/>
        <w:ind w:firstLine="420" w:firstLineChars="200"/>
        <w:jc w:val="left"/>
        <w:rPr>
          <w:rFonts w:ascii="宋体" w:hAnsi="宋体" w:cs="宋体"/>
          <w:szCs w:val="21"/>
        </w:rPr>
      </w:pPr>
      <w:r>
        <w:rPr>
          <w:rFonts w:hint="eastAsia" w:ascii="宋体" w:hAnsi="宋体" w:cs="宋体"/>
          <w:szCs w:val="21"/>
        </w:rPr>
        <w:t>（3）评标委员会及其成员独立评标受到非法干预的；</w:t>
      </w:r>
    </w:p>
    <w:p w14:paraId="7FBEEB8F">
      <w:pPr>
        <w:adjustRightInd w:val="0"/>
        <w:snapToGrid w:val="0"/>
        <w:ind w:firstLine="420" w:firstLineChars="200"/>
        <w:jc w:val="left"/>
        <w:rPr>
          <w:rFonts w:ascii="宋体" w:hAnsi="宋体" w:cs="宋体"/>
          <w:szCs w:val="21"/>
        </w:rPr>
      </w:pPr>
      <w:r>
        <w:rPr>
          <w:rFonts w:hint="eastAsia" w:ascii="宋体" w:hAnsi="宋体" w:cs="宋体"/>
          <w:szCs w:val="21"/>
        </w:rPr>
        <w:t>（4）有《政府采购法实施条例》第七十五条规定的违法行为的。</w:t>
      </w:r>
    </w:p>
    <w:p w14:paraId="43E1C9ED">
      <w:pPr>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10.2有违法违规行为的原评标委员会成员不得参加重新组建的评标委员会。</w:t>
      </w:r>
    </w:p>
    <w:p w14:paraId="08C8DCF4">
      <w:pPr>
        <w:adjustRightInd w:val="0"/>
        <w:snapToGrid w:val="0"/>
        <w:spacing w:line="360" w:lineRule="auto"/>
        <w:ind w:firstLine="420" w:firstLineChars="200"/>
        <w:jc w:val="center"/>
        <w:rPr>
          <w:rFonts w:ascii="宋体" w:hAnsi="宋体" w:cs="宋体"/>
          <w:szCs w:val="21"/>
        </w:rPr>
      </w:pPr>
    </w:p>
    <w:p w14:paraId="5695EBDC">
      <w:pPr>
        <w:rPr>
          <w:rFonts w:ascii="宋体" w:hAnsi="宋体" w:cs="宋体"/>
          <w:sz w:val="32"/>
        </w:rPr>
      </w:pPr>
      <w:bookmarkStart w:id="111" w:name="_Toc25043"/>
      <w:bookmarkStart w:id="112" w:name="_Toc17744"/>
      <w:bookmarkStart w:id="113" w:name="_Toc29840"/>
      <w:r>
        <w:rPr>
          <w:rFonts w:hint="eastAsia" w:ascii="宋体" w:hAnsi="宋体" w:cs="宋体"/>
          <w:sz w:val="32"/>
        </w:rPr>
        <w:br w:type="page"/>
      </w:r>
    </w:p>
    <w:p w14:paraId="6B9CE08B">
      <w:pPr>
        <w:pStyle w:val="3"/>
        <w:jc w:val="center"/>
        <w:rPr>
          <w:rFonts w:ascii="宋体" w:hAnsi="宋体" w:cs="宋体"/>
          <w:b w:val="0"/>
          <w:sz w:val="28"/>
          <w:szCs w:val="28"/>
        </w:rPr>
      </w:pPr>
      <w:r>
        <w:rPr>
          <w:rFonts w:hint="eastAsia" w:ascii="宋体" w:hAnsi="宋体" w:cs="宋体"/>
          <w:sz w:val="32"/>
        </w:rPr>
        <w:t>第四章 技术规格、参数与要求</w:t>
      </w:r>
      <w:bookmarkEnd w:id="111"/>
      <w:bookmarkEnd w:id="112"/>
      <w:bookmarkEnd w:id="113"/>
      <w:r>
        <w:rPr>
          <w:rFonts w:hint="eastAsia" w:ascii="宋体" w:hAnsi="宋体" w:cs="宋体"/>
          <w:sz w:val="32"/>
        </w:rPr>
        <w:t>（采购需求）</w:t>
      </w:r>
    </w:p>
    <w:p w14:paraId="1C1EE3F3">
      <w:pPr>
        <w:pStyle w:val="115"/>
        <w:spacing w:line="480" w:lineRule="auto"/>
        <w:ind w:firstLine="682" w:firstLineChars="200"/>
        <w:jc w:val="center"/>
        <w:rPr>
          <w:rStyle w:val="42"/>
          <w:rFonts w:hint="eastAsia" w:ascii="黑体" w:hAnsi="黑体" w:eastAsia="黑体" w:cs="黑体"/>
          <w:b/>
          <w:bCs/>
          <w:color w:val="auto"/>
          <w:spacing w:val="30"/>
          <w:kern w:val="0"/>
          <w:sz w:val="28"/>
          <w:szCs w:val="28"/>
        </w:rPr>
      </w:pPr>
      <w:bookmarkStart w:id="114" w:name="_Toc347248864"/>
      <w:bookmarkStart w:id="115" w:name="_Toc21459"/>
      <w:bookmarkStart w:id="116" w:name="_Toc17632"/>
      <w:bookmarkStart w:id="117" w:name="_Toc347251956"/>
      <w:bookmarkStart w:id="118" w:name="_Toc19964"/>
      <w:bookmarkStart w:id="119" w:name="_Toc8606"/>
      <w:r>
        <w:rPr>
          <w:rStyle w:val="42"/>
          <w:rFonts w:hint="eastAsia" w:ascii="黑体" w:hAnsi="黑体" w:eastAsia="黑体" w:cs="黑体"/>
          <w:b/>
          <w:bCs/>
          <w:color w:val="auto"/>
          <w:spacing w:val="30"/>
          <w:kern w:val="0"/>
          <w:sz w:val="28"/>
          <w:szCs w:val="28"/>
        </w:rPr>
        <w:t>第一节 技术要求</w:t>
      </w:r>
    </w:p>
    <w:p w14:paraId="286DF9B1">
      <w:pPr>
        <w:pStyle w:val="174"/>
        <w:keepNext w:val="0"/>
        <w:keepLines w:val="0"/>
        <w:pageBreakBefore w:val="0"/>
        <w:kinsoku/>
        <w:wordWrap/>
        <w:overflowPunct/>
        <w:topLinePunct w:val="0"/>
        <w:autoSpaceDE/>
        <w:autoSpaceDN/>
        <w:bidi w:val="0"/>
        <w:spacing w:line="360" w:lineRule="auto"/>
        <w:ind w:firstLine="422" w:firstLineChars="200"/>
        <w:rPr>
          <w:rStyle w:val="42"/>
          <w:rFonts w:hint="eastAsia" w:ascii="宋体" w:hAnsi="宋体" w:eastAsia="宋体" w:cs="宋体"/>
          <w:b/>
          <w:sz w:val="21"/>
          <w:szCs w:val="21"/>
          <w:highlight w:val="white"/>
        </w:rPr>
      </w:pPr>
      <w:r>
        <w:rPr>
          <w:rStyle w:val="42"/>
          <w:rFonts w:hint="eastAsia" w:ascii="宋体" w:hAnsi="宋体" w:eastAsia="宋体" w:cs="宋体"/>
          <w:b/>
          <w:sz w:val="21"/>
          <w:szCs w:val="21"/>
          <w:highlight w:val="white"/>
        </w:rPr>
        <w:t>一、采购内容及数量</w:t>
      </w:r>
    </w:p>
    <w:p w14:paraId="23EDD483">
      <w:pPr>
        <w:pStyle w:val="174"/>
        <w:keepNext w:val="0"/>
        <w:keepLines w:val="0"/>
        <w:pageBreakBefore w:val="0"/>
        <w:kinsoku/>
        <w:wordWrap/>
        <w:overflowPunct/>
        <w:topLinePunct w:val="0"/>
        <w:autoSpaceDE/>
        <w:autoSpaceDN/>
        <w:bidi w:val="0"/>
        <w:spacing w:line="360" w:lineRule="auto"/>
        <w:ind w:firstLine="440" w:firstLineChars="200"/>
        <w:jc w:val="center"/>
        <w:rPr>
          <w:rStyle w:val="42"/>
          <w:rFonts w:hint="eastAsia" w:ascii="宋体" w:hAnsi="宋体" w:eastAsia="宋体" w:cs="宋体"/>
          <w:b w:val="0"/>
          <w:bCs w:val="0"/>
          <w:sz w:val="18"/>
          <w:szCs w:val="18"/>
          <w:highlight w:val="white"/>
        </w:rPr>
      </w:pPr>
      <w:r>
        <w:rPr>
          <w:rFonts w:hint="eastAsia" w:ascii="黑体" w:hAnsi="黑体" w:eastAsia="黑体"/>
          <w:b w:val="0"/>
          <w:bCs w:val="0"/>
          <w:sz w:val="22"/>
          <w:szCs w:val="22"/>
          <w:highlight w:val="none"/>
          <w:lang w:eastAsia="zh-CN"/>
        </w:rPr>
        <w:t>岳阳县人民医院外科大楼建设项目电梯工程（重新立项）第二次</w:t>
      </w:r>
      <w:r>
        <w:rPr>
          <w:rFonts w:hint="eastAsia" w:ascii="黑体" w:hAnsi="黑体" w:eastAsia="黑体"/>
          <w:b w:val="0"/>
          <w:bCs w:val="0"/>
          <w:sz w:val="22"/>
          <w:szCs w:val="22"/>
          <w:highlight w:val="none"/>
          <w:lang w:val="en-US" w:eastAsia="zh-CN"/>
        </w:rPr>
        <w:t>采购清单</w:t>
      </w:r>
    </w:p>
    <w:tbl>
      <w:tblPr>
        <w:tblStyle w:val="40"/>
        <w:tblW w:w="102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92"/>
        <w:gridCol w:w="617"/>
        <w:gridCol w:w="668"/>
        <w:gridCol w:w="3387"/>
        <w:gridCol w:w="581"/>
        <w:gridCol w:w="740"/>
        <w:gridCol w:w="681"/>
        <w:gridCol w:w="409"/>
        <w:gridCol w:w="655"/>
        <w:gridCol w:w="736"/>
        <w:gridCol w:w="750"/>
        <w:gridCol w:w="682"/>
      </w:tblGrid>
      <w:tr w14:paraId="24AC0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3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D8B64">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61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A4585">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电梯编号</w:t>
            </w:r>
          </w:p>
        </w:tc>
        <w:tc>
          <w:tcPr>
            <w:tcW w:w="66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DF015">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电梯类别</w:t>
            </w:r>
          </w:p>
        </w:tc>
        <w:tc>
          <w:tcPr>
            <w:tcW w:w="338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2B381">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规格/型号</w:t>
            </w:r>
          </w:p>
        </w:tc>
        <w:tc>
          <w:tcPr>
            <w:tcW w:w="5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E5FAE2">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额定荷载（kg）</w:t>
            </w:r>
          </w:p>
        </w:tc>
        <w:tc>
          <w:tcPr>
            <w:tcW w:w="7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0EFAE4">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额定速度（m/s）</w:t>
            </w:r>
          </w:p>
        </w:tc>
        <w:tc>
          <w:tcPr>
            <w:tcW w:w="68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0EBDE">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停层</w:t>
            </w:r>
          </w:p>
        </w:tc>
        <w:tc>
          <w:tcPr>
            <w:tcW w:w="40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66EC6">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单位</w:t>
            </w:r>
          </w:p>
        </w:tc>
        <w:tc>
          <w:tcPr>
            <w:tcW w:w="2823"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148BE">
            <w:pPr>
              <w:keepNext w:val="0"/>
              <w:keepLines w:val="0"/>
              <w:widowControl/>
              <w:suppressLineNumbers w:val="0"/>
              <w:spacing w:line="240" w:lineRule="auto"/>
              <w:jc w:val="center"/>
              <w:textAlignment w:val="center"/>
              <w:rPr>
                <w:rFonts w:hint="default" w:ascii="宋体" w:hAnsi="宋体" w:eastAsia="宋体" w:cs="宋体"/>
                <w:i w:val="0"/>
                <w:iCs w:val="0"/>
                <w:color w:val="000000"/>
                <w:sz w:val="18"/>
                <w:szCs w:val="18"/>
                <w:highlight w:val="none"/>
                <w:u w:val="none"/>
                <w:lang w:val="en-US"/>
              </w:rPr>
            </w:pPr>
            <w:r>
              <w:rPr>
                <w:rFonts w:hint="eastAsia" w:ascii="宋体" w:hAnsi="宋体" w:cs="宋体"/>
                <w:i w:val="0"/>
                <w:iCs w:val="0"/>
                <w:color w:val="000000"/>
                <w:kern w:val="0"/>
                <w:sz w:val="18"/>
                <w:szCs w:val="18"/>
                <w:highlight w:val="none"/>
                <w:u w:val="none"/>
                <w:lang w:val="en-US" w:eastAsia="zh-CN" w:bidi="ar"/>
              </w:rPr>
              <w:t>报价</w:t>
            </w:r>
          </w:p>
        </w:tc>
      </w:tr>
      <w:tr w14:paraId="4CF32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3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33478">
            <w:pPr>
              <w:spacing w:line="240" w:lineRule="auto"/>
              <w:jc w:val="center"/>
              <w:rPr>
                <w:rFonts w:hint="eastAsia" w:ascii="宋体" w:hAnsi="宋体" w:eastAsia="宋体" w:cs="宋体"/>
                <w:i w:val="0"/>
                <w:iCs w:val="0"/>
                <w:color w:val="000000"/>
                <w:sz w:val="18"/>
                <w:szCs w:val="18"/>
                <w:highlight w:val="none"/>
                <w:u w:val="none"/>
              </w:rPr>
            </w:pPr>
          </w:p>
        </w:tc>
        <w:tc>
          <w:tcPr>
            <w:tcW w:w="61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1A29C">
            <w:pPr>
              <w:spacing w:line="240" w:lineRule="auto"/>
              <w:jc w:val="center"/>
              <w:rPr>
                <w:rFonts w:hint="eastAsia" w:ascii="宋体" w:hAnsi="宋体" w:eastAsia="宋体" w:cs="宋体"/>
                <w:i w:val="0"/>
                <w:iCs w:val="0"/>
                <w:color w:val="000000"/>
                <w:sz w:val="18"/>
                <w:szCs w:val="18"/>
                <w:highlight w:val="none"/>
                <w:u w:val="none"/>
              </w:rPr>
            </w:pPr>
          </w:p>
        </w:tc>
        <w:tc>
          <w:tcPr>
            <w:tcW w:w="6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FF2AD">
            <w:pPr>
              <w:spacing w:line="240" w:lineRule="auto"/>
              <w:jc w:val="center"/>
              <w:rPr>
                <w:rFonts w:hint="eastAsia" w:ascii="宋体" w:hAnsi="宋体" w:eastAsia="宋体" w:cs="宋体"/>
                <w:i w:val="0"/>
                <w:iCs w:val="0"/>
                <w:color w:val="000000"/>
                <w:sz w:val="18"/>
                <w:szCs w:val="18"/>
                <w:highlight w:val="none"/>
                <w:u w:val="none"/>
              </w:rPr>
            </w:pPr>
          </w:p>
        </w:tc>
        <w:tc>
          <w:tcPr>
            <w:tcW w:w="33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96094">
            <w:pPr>
              <w:spacing w:line="240" w:lineRule="auto"/>
              <w:jc w:val="center"/>
              <w:rPr>
                <w:rFonts w:hint="eastAsia" w:ascii="宋体" w:hAnsi="宋体" w:eastAsia="宋体" w:cs="宋体"/>
                <w:i w:val="0"/>
                <w:iCs w:val="0"/>
                <w:color w:val="000000"/>
                <w:sz w:val="18"/>
                <w:szCs w:val="18"/>
                <w:highlight w:val="none"/>
                <w:u w:val="none"/>
              </w:rPr>
            </w:pPr>
          </w:p>
        </w:tc>
        <w:tc>
          <w:tcPr>
            <w:tcW w:w="5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35A61B">
            <w:pPr>
              <w:spacing w:line="240" w:lineRule="auto"/>
              <w:jc w:val="center"/>
              <w:rPr>
                <w:rFonts w:hint="eastAsia" w:ascii="宋体" w:hAnsi="宋体" w:eastAsia="宋体" w:cs="宋体"/>
                <w:i w:val="0"/>
                <w:iCs w:val="0"/>
                <w:color w:val="000000"/>
                <w:sz w:val="18"/>
                <w:szCs w:val="18"/>
                <w:highlight w:val="none"/>
                <w:u w:val="none"/>
              </w:rPr>
            </w:pPr>
          </w:p>
        </w:tc>
        <w:tc>
          <w:tcPr>
            <w:tcW w:w="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69A667">
            <w:pPr>
              <w:spacing w:line="240" w:lineRule="auto"/>
              <w:jc w:val="center"/>
              <w:rPr>
                <w:rFonts w:hint="eastAsia" w:ascii="宋体" w:hAnsi="宋体" w:eastAsia="宋体" w:cs="宋体"/>
                <w:i w:val="0"/>
                <w:iCs w:val="0"/>
                <w:color w:val="000000"/>
                <w:sz w:val="18"/>
                <w:szCs w:val="18"/>
                <w:highlight w:val="none"/>
                <w:u w:val="none"/>
              </w:rPr>
            </w:pPr>
          </w:p>
        </w:tc>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7704F">
            <w:pPr>
              <w:spacing w:line="240" w:lineRule="auto"/>
              <w:jc w:val="center"/>
              <w:rPr>
                <w:rFonts w:hint="eastAsia" w:ascii="宋体" w:hAnsi="宋体" w:eastAsia="宋体" w:cs="宋体"/>
                <w:i w:val="0"/>
                <w:iCs w:val="0"/>
                <w:color w:val="000000"/>
                <w:sz w:val="18"/>
                <w:szCs w:val="18"/>
                <w:highlight w:val="none"/>
                <w:u w:val="none"/>
              </w:rPr>
            </w:pPr>
          </w:p>
        </w:tc>
        <w:tc>
          <w:tcPr>
            <w:tcW w:w="4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9FB7D">
            <w:pPr>
              <w:spacing w:line="240" w:lineRule="auto"/>
              <w:jc w:val="center"/>
              <w:rPr>
                <w:rFonts w:hint="eastAsia" w:ascii="宋体" w:hAnsi="宋体" w:eastAsia="宋体" w:cs="宋体"/>
                <w:i w:val="0"/>
                <w:iCs w:val="0"/>
                <w:color w:val="000000"/>
                <w:sz w:val="18"/>
                <w:szCs w:val="18"/>
                <w:highlight w:val="none"/>
                <w:u w:val="none"/>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7E9F8">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49934">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安装费(元)</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56025">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设备单价(元)</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1D06B">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总价(元)</w:t>
            </w:r>
          </w:p>
        </w:tc>
      </w:tr>
      <w:tr w14:paraId="111EE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E3F17">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6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65452">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24D7A">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医梯</w:t>
            </w:r>
          </w:p>
        </w:tc>
        <w:tc>
          <w:tcPr>
            <w:tcW w:w="33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10C9C">
            <w:pPr>
              <w:keepNext w:val="0"/>
              <w:keepLines w:val="0"/>
              <w:widowControl/>
              <w:suppressLineNumbers w:val="0"/>
              <w:spacing w:line="240" w:lineRule="auto"/>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井道尺寸（内部净尺寸）：3300*2700；门洞尺寸（结构面尺寸）：1400*2200；载重量（kg）：2000；速度（m/s）：1.6；站数：13站；提升高度：50.9m；底坑深度：1.9m；顶层高度：4.6m；机房高度：2.6m；含电梯控制柜</w:t>
            </w:r>
          </w:p>
        </w:tc>
        <w:tc>
          <w:tcPr>
            <w:tcW w:w="5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9A439">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2000kg</w:t>
            </w:r>
          </w:p>
        </w:tc>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19817">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1.6m/s</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1CE38">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13层</w:t>
            </w:r>
          </w:p>
        </w:tc>
        <w:tc>
          <w:tcPr>
            <w:tcW w:w="4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6F438">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96197">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C8EE5">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CB834">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32FAF">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r>
      <w:tr w14:paraId="4CCD3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jc w:val="center"/>
        </w:trPr>
        <w:tc>
          <w:tcPr>
            <w:tcW w:w="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24922">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6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97062">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DT2</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FEA4C">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医梯</w:t>
            </w:r>
          </w:p>
        </w:tc>
        <w:tc>
          <w:tcPr>
            <w:tcW w:w="33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CFDAE">
            <w:pPr>
              <w:keepNext w:val="0"/>
              <w:keepLines w:val="0"/>
              <w:widowControl/>
              <w:suppressLineNumbers w:val="0"/>
              <w:spacing w:line="240" w:lineRule="auto"/>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井道尺寸（内部净尺寸）：3300*2700；门洞尺寸（结构面尺寸）：1400*2200；载重量（kg）：2000；速度（m/s）：1.6；站数：13站；提升高度：50.9m；底坑深度：1.9m；顶层高度：4.6m；机房高度：2.6m；配置空调；含电梯控制柜</w:t>
            </w:r>
          </w:p>
        </w:tc>
        <w:tc>
          <w:tcPr>
            <w:tcW w:w="5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F3557">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2000kg</w:t>
            </w:r>
          </w:p>
        </w:tc>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9D26C">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1.6m/s</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83605">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13层</w:t>
            </w:r>
          </w:p>
        </w:tc>
        <w:tc>
          <w:tcPr>
            <w:tcW w:w="4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46B87">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0CE46">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E6018">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5CA08">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9B513">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r>
      <w:tr w14:paraId="4D3B9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jc w:val="center"/>
        </w:trPr>
        <w:tc>
          <w:tcPr>
            <w:tcW w:w="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529C8">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6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06E7F">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DT3</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AAC5D">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医梯（手术专用）</w:t>
            </w:r>
          </w:p>
        </w:tc>
        <w:tc>
          <w:tcPr>
            <w:tcW w:w="33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4589A">
            <w:pPr>
              <w:keepNext w:val="0"/>
              <w:keepLines w:val="0"/>
              <w:widowControl/>
              <w:suppressLineNumbers w:val="0"/>
              <w:spacing w:line="240" w:lineRule="auto"/>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井道尺寸（内部净尺寸）：3300*2700；门洞尺寸（结构面尺寸）：1400*2200；载重量（kg）：2000；速度（m/s）：1.6；站数：13站；提升高度：50.9m；底坑深度：1.9m；顶层高度：4.6m；机房高度：2.6m；；含电梯控制柜</w:t>
            </w:r>
          </w:p>
        </w:tc>
        <w:tc>
          <w:tcPr>
            <w:tcW w:w="5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75537">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2000kg</w:t>
            </w:r>
          </w:p>
        </w:tc>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EF014">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1.6m/s</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A3206">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13层</w:t>
            </w:r>
          </w:p>
        </w:tc>
        <w:tc>
          <w:tcPr>
            <w:tcW w:w="4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29516">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DD38D">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EB330">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9F6E2">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95ACE">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r>
      <w:tr w14:paraId="0D4D2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jc w:val="center"/>
        </w:trPr>
        <w:tc>
          <w:tcPr>
            <w:tcW w:w="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18FA0">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6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3E6F1">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DT4</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446A2">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医梯（手术专用）</w:t>
            </w:r>
          </w:p>
        </w:tc>
        <w:tc>
          <w:tcPr>
            <w:tcW w:w="33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E7ADF">
            <w:pPr>
              <w:keepNext w:val="0"/>
              <w:keepLines w:val="0"/>
              <w:widowControl/>
              <w:suppressLineNumbers w:val="0"/>
              <w:spacing w:line="240" w:lineRule="auto"/>
              <w:jc w:val="left"/>
              <w:textAlignment w:val="center"/>
              <w:rPr>
                <w:rFonts w:hint="default" w:ascii="宋体" w:hAnsi="宋体" w:eastAsia="宋体" w:cs="宋体"/>
                <w:i w:val="0"/>
                <w:iCs w:val="0"/>
                <w:color w:val="000000"/>
                <w:sz w:val="18"/>
                <w:szCs w:val="18"/>
                <w:highlight w:val="none"/>
                <w:u w:val="none"/>
                <w:lang w:val="en-US"/>
              </w:rPr>
            </w:pPr>
            <w:r>
              <w:rPr>
                <w:rFonts w:hint="eastAsia" w:ascii="宋体" w:hAnsi="宋体" w:eastAsia="宋体" w:cs="宋体"/>
                <w:i w:val="0"/>
                <w:iCs w:val="0"/>
                <w:color w:val="000000"/>
                <w:kern w:val="0"/>
                <w:sz w:val="18"/>
                <w:szCs w:val="18"/>
                <w:highlight w:val="none"/>
                <w:u w:val="none"/>
                <w:lang w:val="en-US" w:eastAsia="zh-CN" w:bidi="ar"/>
              </w:rPr>
              <w:t>井道尺寸（内部净尺寸）：3300*2700；门洞尺寸（结构面尺寸）：1400*2200；载重量（kg）：2000；速度（m/s）：1.6；站数：14站；提升高度：50.9m+1层；底坑深度：1.9m；顶层高度：4.6m；机房高度：2.6m；无机房电梯；含电梯控制柜</w:t>
            </w:r>
            <w:r>
              <w:rPr>
                <w:rFonts w:hint="eastAsia" w:ascii="宋体" w:hAnsi="宋体" w:cs="宋体"/>
                <w:i w:val="0"/>
                <w:iCs w:val="0"/>
                <w:color w:val="000000"/>
                <w:kern w:val="0"/>
                <w:sz w:val="18"/>
                <w:szCs w:val="18"/>
                <w:highlight w:val="none"/>
                <w:u w:val="none"/>
                <w:lang w:val="en-US" w:eastAsia="zh-CN" w:bidi="ar"/>
              </w:rPr>
              <w:t>，顶层电梯进出带门禁；</w:t>
            </w:r>
          </w:p>
        </w:tc>
        <w:tc>
          <w:tcPr>
            <w:tcW w:w="5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4FD8F">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2000kg</w:t>
            </w:r>
          </w:p>
        </w:tc>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C2B92">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1.6m/s</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27547">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14层</w:t>
            </w:r>
          </w:p>
        </w:tc>
        <w:tc>
          <w:tcPr>
            <w:tcW w:w="4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CB20D">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5F425">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467CF">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5E0A2">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3B1C1">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r>
      <w:tr w14:paraId="51AD4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8" w:hRule="atLeast"/>
          <w:jc w:val="center"/>
        </w:trPr>
        <w:tc>
          <w:tcPr>
            <w:tcW w:w="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AD18D">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6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82374">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A64CE">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客梯（无障碍）</w:t>
            </w:r>
          </w:p>
        </w:tc>
        <w:tc>
          <w:tcPr>
            <w:tcW w:w="33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37A8E">
            <w:pPr>
              <w:keepNext w:val="0"/>
              <w:keepLines w:val="0"/>
              <w:widowControl/>
              <w:suppressLineNumbers w:val="0"/>
              <w:spacing w:line="240" w:lineRule="auto"/>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井道尺寸（内部净尺寸）：2600*2300；门洞尺寸（结构面尺寸）：1200*2200；载重量（kg）：</w:t>
            </w:r>
            <w:r>
              <w:rPr>
                <w:rFonts w:hint="eastAsia" w:ascii="宋体" w:hAnsi="宋体" w:cs="宋体"/>
                <w:i w:val="0"/>
                <w:iCs w:val="0"/>
                <w:color w:val="000000"/>
                <w:kern w:val="0"/>
                <w:sz w:val="18"/>
                <w:szCs w:val="18"/>
                <w:highlight w:val="none"/>
                <w:u w:val="none"/>
                <w:lang w:val="en-US" w:eastAsia="zh-CN" w:bidi="ar"/>
              </w:rPr>
              <w:t>1350</w:t>
            </w:r>
            <w:r>
              <w:rPr>
                <w:rFonts w:hint="eastAsia" w:ascii="宋体" w:hAnsi="宋体" w:eastAsia="宋体" w:cs="宋体"/>
                <w:i w:val="0"/>
                <w:iCs w:val="0"/>
                <w:color w:val="000000"/>
                <w:kern w:val="0"/>
                <w:sz w:val="18"/>
                <w:szCs w:val="18"/>
                <w:highlight w:val="none"/>
                <w:u w:val="none"/>
                <w:lang w:val="en-US" w:eastAsia="zh-CN" w:bidi="ar"/>
              </w:rPr>
              <w:t>；速度（m/s）：1.6；站数：13站；提升高度：50.9m；底坑深度：1.9m；顶层高度：4.6m；机房高度：2.6m；；含电梯控制柜</w:t>
            </w:r>
          </w:p>
        </w:tc>
        <w:tc>
          <w:tcPr>
            <w:tcW w:w="5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C8BC1">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1350kg</w:t>
            </w:r>
          </w:p>
        </w:tc>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59716">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1.6m/s</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FB43E">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13层</w:t>
            </w:r>
          </w:p>
        </w:tc>
        <w:tc>
          <w:tcPr>
            <w:tcW w:w="4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315AA">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E5118">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BACD7">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9D727">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B30A7">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r>
      <w:tr w14:paraId="60991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54" w:hRule="atLeast"/>
          <w:jc w:val="center"/>
        </w:trPr>
        <w:tc>
          <w:tcPr>
            <w:tcW w:w="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44012">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6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95062">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DT6</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E80E6">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客梯（医护）</w:t>
            </w:r>
          </w:p>
        </w:tc>
        <w:tc>
          <w:tcPr>
            <w:tcW w:w="33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03BBE">
            <w:pPr>
              <w:keepNext w:val="0"/>
              <w:keepLines w:val="0"/>
              <w:widowControl/>
              <w:suppressLineNumbers w:val="0"/>
              <w:spacing w:line="240" w:lineRule="auto"/>
              <w:jc w:val="left"/>
              <w:textAlignment w:val="center"/>
              <w:rPr>
                <w:rFonts w:hint="default" w:ascii="宋体" w:hAnsi="宋体" w:eastAsia="宋体" w:cs="宋体"/>
                <w:i w:val="0"/>
                <w:iCs w:val="0"/>
                <w:color w:val="000000"/>
                <w:sz w:val="18"/>
                <w:szCs w:val="18"/>
                <w:highlight w:val="none"/>
                <w:u w:val="none"/>
                <w:lang w:val="en-US"/>
              </w:rPr>
            </w:pPr>
            <w:r>
              <w:rPr>
                <w:rFonts w:hint="eastAsia" w:ascii="宋体" w:hAnsi="宋体" w:eastAsia="宋体" w:cs="宋体"/>
                <w:i w:val="0"/>
                <w:iCs w:val="0"/>
                <w:color w:val="000000"/>
                <w:kern w:val="0"/>
                <w:sz w:val="18"/>
                <w:szCs w:val="18"/>
                <w:highlight w:val="none"/>
                <w:u w:val="none"/>
                <w:lang w:val="en-US" w:eastAsia="zh-CN" w:bidi="ar"/>
              </w:rPr>
              <w:t>井道尺寸（内部净尺寸）：2500*2300；门洞尺寸（结构面尺寸）：1200*2200；载重量（kg）：</w:t>
            </w:r>
            <w:r>
              <w:rPr>
                <w:rFonts w:hint="eastAsia" w:ascii="宋体" w:hAnsi="宋体" w:cs="宋体"/>
                <w:i w:val="0"/>
                <w:iCs w:val="0"/>
                <w:color w:val="000000"/>
                <w:kern w:val="0"/>
                <w:sz w:val="18"/>
                <w:szCs w:val="18"/>
                <w:highlight w:val="none"/>
                <w:u w:val="none"/>
                <w:lang w:val="en-US" w:eastAsia="zh-CN" w:bidi="ar"/>
              </w:rPr>
              <w:t>1350</w:t>
            </w:r>
            <w:r>
              <w:rPr>
                <w:rFonts w:hint="eastAsia" w:ascii="宋体" w:hAnsi="宋体" w:eastAsia="宋体" w:cs="宋体"/>
                <w:i w:val="0"/>
                <w:iCs w:val="0"/>
                <w:color w:val="000000"/>
                <w:kern w:val="0"/>
                <w:sz w:val="18"/>
                <w:szCs w:val="18"/>
                <w:highlight w:val="none"/>
                <w:u w:val="none"/>
                <w:lang w:val="en-US" w:eastAsia="zh-CN" w:bidi="ar"/>
              </w:rPr>
              <w:t>；速度（m/s）：1.6；站数：13站；提升高度：50.9m；底坑深度：1.9m；顶层高度：4.6m；机房高度：2.6m；；含电梯控制柜</w:t>
            </w:r>
            <w:r>
              <w:rPr>
                <w:rFonts w:hint="eastAsia" w:ascii="宋体" w:hAnsi="宋体" w:cs="宋体"/>
                <w:i w:val="0"/>
                <w:iCs w:val="0"/>
                <w:color w:val="000000"/>
                <w:kern w:val="0"/>
                <w:sz w:val="18"/>
                <w:szCs w:val="18"/>
                <w:highlight w:val="none"/>
                <w:u w:val="none"/>
                <w:lang w:val="en-US" w:eastAsia="zh-CN" w:bidi="ar"/>
              </w:rPr>
              <w:t>；每层进出带门禁；</w:t>
            </w:r>
          </w:p>
        </w:tc>
        <w:tc>
          <w:tcPr>
            <w:tcW w:w="5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DD695">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1350kg</w:t>
            </w:r>
          </w:p>
        </w:tc>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E81FD">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1.6m/s</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12266">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13层</w:t>
            </w:r>
          </w:p>
        </w:tc>
        <w:tc>
          <w:tcPr>
            <w:tcW w:w="4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B2F43">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BF5E8">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17584">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61C9E">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8FB93">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r>
      <w:tr w14:paraId="2F667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0BD8B">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6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180B2">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DT7</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08F76">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客梯（医护）</w:t>
            </w:r>
          </w:p>
        </w:tc>
        <w:tc>
          <w:tcPr>
            <w:tcW w:w="33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1628A">
            <w:pPr>
              <w:keepNext w:val="0"/>
              <w:keepLines w:val="0"/>
              <w:widowControl/>
              <w:suppressLineNumbers w:val="0"/>
              <w:spacing w:line="240" w:lineRule="auto"/>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井道尺寸（内部净尺寸）：2600*2300；门洞尺寸（结构面尺寸）：1200*2200；载重量（kg）：</w:t>
            </w:r>
            <w:r>
              <w:rPr>
                <w:rFonts w:hint="eastAsia" w:ascii="宋体" w:hAnsi="宋体" w:cs="宋体"/>
                <w:i w:val="0"/>
                <w:iCs w:val="0"/>
                <w:color w:val="000000"/>
                <w:kern w:val="0"/>
                <w:sz w:val="18"/>
                <w:szCs w:val="18"/>
                <w:highlight w:val="none"/>
                <w:u w:val="none"/>
                <w:lang w:val="en-US" w:eastAsia="zh-CN" w:bidi="ar"/>
              </w:rPr>
              <w:t>1350</w:t>
            </w:r>
            <w:r>
              <w:rPr>
                <w:rFonts w:hint="eastAsia" w:ascii="宋体" w:hAnsi="宋体" w:eastAsia="宋体" w:cs="宋体"/>
                <w:i w:val="0"/>
                <w:iCs w:val="0"/>
                <w:color w:val="000000"/>
                <w:kern w:val="0"/>
                <w:sz w:val="18"/>
                <w:szCs w:val="18"/>
                <w:highlight w:val="none"/>
                <w:u w:val="none"/>
                <w:lang w:val="en-US" w:eastAsia="zh-CN" w:bidi="ar"/>
              </w:rPr>
              <w:t>；速度（m/s）：1.6；站数：13站；提升高度：50.9m；底坑深度：1.9m；顶层高度：4.6m；机房高度：2.6m；；含电梯控制柜</w:t>
            </w:r>
            <w:r>
              <w:rPr>
                <w:rFonts w:hint="eastAsia" w:ascii="宋体" w:hAnsi="宋体" w:cs="宋体"/>
                <w:i w:val="0"/>
                <w:iCs w:val="0"/>
                <w:color w:val="000000"/>
                <w:kern w:val="0"/>
                <w:sz w:val="18"/>
                <w:szCs w:val="18"/>
                <w:highlight w:val="none"/>
                <w:u w:val="none"/>
                <w:lang w:val="en-US" w:eastAsia="zh-CN" w:bidi="ar"/>
              </w:rPr>
              <w:t>；每层进出带门禁；</w:t>
            </w:r>
          </w:p>
        </w:tc>
        <w:tc>
          <w:tcPr>
            <w:tcW w:w="5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705D8">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1350kg</w:t>
            </w:r>
          </w:p>
        </w:tc>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9AF81">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1.6m/s</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CA943">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13层</w:t>
            </w:r>
          </w:p>
        </w:tc>
        <w:tc>
          <w:tcPr>
            <w:tcW w:w="4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0DF43">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22417">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4BBF3">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D3181">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B7006">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r>
      <w:tr w14:paraId="71CE8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FC3EE">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6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21EA9">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DT8</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45DF8">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污梯（消防，无障碍）</w:t>
            </w:r>
          </w:p>
        </w:tc>
        <w:tc>
          <w:tcPr>
            <w:tcW w:w="33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7650D">
            <w:pPr>
              <w:keepNext w:val="0"/>
              <w:keepLines w:val="0"/>
              <w:widowControl/>
              <w:suppressLineNumbers w:val="0"/>
              <w:spacing w:line="240" w:lineRule="auto"/>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井道尺寸（内部净尺寸）：3000*2400；门洞尺寸（结构面尺寸）：1300*2200；载重量（kg）：1600；速度（m/s）：1.6；站数：13站；提升高度：50.9m；底坑深度：1.9m；顶层高度：4.6m；机房高度：2.6m；；含电梯控制柜</w:t>
            </w:r>
          </w:p>
        </w:tc>
        <w:tc>
          <w:tcPr>
            <w:tcW w:w="5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B35C6">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1600kg</w:t>
            </w:r>
          </w:p>
        </w:tc>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5B2C5">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1.6m/s</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3F1B9">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13层</w:t>
            </w:r>
          </w:p>
        </w:tc>
        <w:tc>
          <w:tcPr>
            <w:tcW w:w="4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AB478">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F10E8">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50C96">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B3E30">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348F6">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r>
      <w:tr w14:paraId="42382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4DDFF">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6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9262E">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DT9</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516B1">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污梯</w:t>
            </w:r>
          </w:p>
        </w:tc>
        <w:tc>
          <w:tcPr>
            <w:tcW w:w="33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5268F">
            <w:pPr>
              <w:keepNext w:val="0"/>
              <w:keepLines w:val="0"/>
              <w:widowControl/>
              <w:suppressLineNumbers w:val="0"/>
              <w:spacing w:line="240" w:lineRule="auto"/>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井道尺寸（内部净尺寸）：3000*2600；门洞尺寸（结构面尺寸）：1300*2200；载重量（kg）：1600；速度（m/s）：1.6；站数：3站；提升高度：10.6m；底坑深度：1.9m；顶层高度：5.3m；机房高度：2.6m；；含电梯控制柜</w:t>
            </w:r>
          </w:p>
        </w:tc>
        <w:tc>
          <w:tcPr>
            <w:tcW w:w="5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1034C">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1600kg</w:t>
            </w:r>
          </w:p>
        </w:tc>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659B2">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1.6m/s</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25173">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3层</w:t>
            </w:r>
          </w:p>
        </w:tc>
        <w:tc>
          <w:tcPr>
            <w:tcW w:w="4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281F7">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FA9E6">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7B52D">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DC3E1">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832A9">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r>
      <w:tr w14:paraId="366CB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9C592">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6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865B2">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DT10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9CD7F">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洁梯</w:t>
            </w:r>
          </w:p>
        </w:tc>
        <w:tc>
          <w:tcPr>
            <w:tcW w:w="33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563A8">
            <w:pPr>
              <w:keepNext w:val="0"/>
              <w:keepLines w:val="0"/>
              <w:widowControl/>
              <w:suppressLineNumbers w:val="0"/>
              <w:spacing w:line="240" w:lineRule="auto"/>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井道尺寸（内部净尺寸）：2200*2000；门洞尺寸（结构面尺寸）：1100*2200；载重量（kg）：</w:t>
            </w:r>
            <w:r>
              <w:rPr>
                <w:rFonts w:hint="eastAsia" w:ascii="宋体" w:hAnsi="宋体" w:cs="宋体"/>
                <w:i w:val="0"/>
                <w:iCs w:val="0"/>
                <w:color w:val="000000"/>
                <w:kern w:val="0"/>
                <w:sz w:val="18"/>
                <w:szCs w:val="18"/>
                <w:highlight w:val="none"/>
                <w:u w:val="none"/>
                <w:lang w:val="en-US" w:eastAsia="zh-CN" w:bidi="ar"/>
              </w:rPr>
              <w:t>750-800</w:t>
            </w:r>
            <w:r>
              <w:rPr>
                <w:rFonts w:hint="eastAsia" w:ascii="宋体" w:hAnsi="宋体" w:eastAsia="宋体" w:cs="宋体"/>
                <w:i w:val="0"/>
                <w:iCs w:val="0"/>
                <w:color w:val="000000"/>
                <w:kern w:val="0"/>
                <w:sz w:val="18"/>
                <w:szCs w:val="18"/>
                <w:highlight w:val="none"/>
                <w:u w:val="none"/>
                <w:lang w:val="en-US" w:eastAsia="zh-CN" w:bidi="ar"/>
              </w:rPr>
              <w:t>；速度（m/s）：1.6；站数：3站；提升高度：10.6m；底坑深度：1.9m；顶层高度：5.3m；无机房；；含电梯控制柜</w:t>
            </w:r>
          </w:p>
        </w:tc>
        <w:tc>
          <w:tcPr>
            <w:tcW w:w="5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04817">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cs="宋体"/>
                <w:i w:val="0"/>
                <w:iCs w:val="0"/>
                <w:color w:val="000000"/>
                <w:kern w:val="0"/>
                <w:sz w:val="18"/>
                <w:szCs w:val="18"/>
                <w:highlight w:val="none"/>
                <w:u w:val="none"/>
                <w:lang w:val="en-US" w:eastAsia="zh-CN" w:bidi="ar"/>
              </w:rPr>
              <w:t>750-800</w:t>
            </w:r>
            <w:r>
              <w:rPr>
                <w:rFonts w:hint="eastAsia" w:ascii="宋体" w:hAnsi="宋体" w:eastAsia="宋体" w:cs="宋体"/>
                <w:i w:val="0"/>
                <w:iCs w:val="0"/>
                <w:color w:val="000000"/>
                <w:kern w:val="0"/>
                <w:sz w:val="18"/>
                <w:szCs w:val="18"/>
                <w:highlight w:val="none"/>
                <w:u w:val="none"/>
                <w:lang w:val="en-US" w:eastAsia="zh-CN" w:bidi="ar"/>
              </w:rPr>
              <w:t>kg</w:t>
            </w:r>
          </w:p>
        </w:tc>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1E734">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1.6m/s</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50282">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3层</w:t>
            </w:r>
          </w:p>
        </w:tc>
        <w:tc>
          <w:tcPr>
            <w:tcW w:w="4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3A9A6">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B8EA4">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7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BF9D0">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6B3F5">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5CCD6">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highlight w:val="none"/>
                <w:u w:val="none"/>
              </w:rPr>
            </w:pPr>
          </w:p>
        </w:tc>
      </w:tr>
      <w:tr w14:paraId="20185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jc w:val="center"/>
        </w:trPr>
        <w:tc>
          <w:tcPr>
            <w:tcW w:w="8130" w:type="dxa"/>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AAB3D">
            <w:pPr>
              <w:spacing w:line="240" w:lineRule="auto"/>
              <w:jc w:val="center"/>
              <w:rPr>
                <w:rFonts w:hint="default" w:ascii="宋体" w:hAnsi="宋体" w:eastAsia="宋体" w:cs="宋体"/>
                <w:b/>
                <w:bCs/>
                <w:i w:val="0"/>
                <w:iCs w:val="0"/>
                <w:color w:val="000000"/>
                <w:sz w:val="18"/>
                <w:szCs w:val="18"/>
                <w:highlight w:val="none"/>
                <w:u w:val="none"/>
                <w:lang w:val="en-US"/>
              </w:rPr>
            </w:pPr>
            <w:r>
              <w:rPr>
                <w:rFonts w:hint="eastAsia" w:ascii="宋体" w:hAnsi="宋体" w:eastAsia="宋体" w:cs="宋体"/>
                <w:b/>
                <w:bCs/>
                <w:i w:val="0"/>
                <w:iCs w:val="0"/>
                <w:color w:val="000000"/>
                <w:kern w:val="0"/>
                <w:sz w:val="18"/>
                <w:szCs w:val="18"/>
                <w:highlight w:val="none"/>
                <w:u w:val="none"/>
                <w:lang w:val="en-US" w:eastAsia="zh-CN" w:bidi="ar"/>
              </w:rPr>
              <w:t>投标总价</w:t>
            </w:r>
          </w:p>
        </w:tc>
        <w:tc>
          <w:tcPr>
            <w:tcW w:w="216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D1530">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18"/>
                <w:szCs w:val="18"/>
                <w:highlight w:val="none"/>
                <w:u w:val="none"/>
              </w:rPr>
            </w:pPr>
          </w:p>
        </w:tc>
      </w:tr>
    </w:tbl>
    <w:p w14:paraId="18F14F72">
      <w:pPr>
        <w:adjustRightInd w:val="0"/>
        <w:snapToGrid w:val="0"/>
        <w:spacing w:before="156" w:beforeLines="50" w:line="360" w:lineRule="auto"/>
        <w:rPr>
          <w:rFonts w:ascii="宋体" w:hAnsi="宋体"/>
          <w:szCs w:val="21"/>
          <w:highlight w:val="none"/>
        </w:rPr>
      </w:pPr>
      <w:r>
        <w:rPr>
          <w:rFonts w:hint="eastAsia" w:ascii="宋体" w:hAnsi="宋体"/>
          <w:szCs w:val="21"/>
          <w:highlight w:val="none"/>
        </w:rPr>
        <w:t>注：1.“包”为最小合同单位（最小投标单位）。每“包”内容应细化到具体标的。</w:t>
      </w:r>
    </w:p>
    <w:p w14:paraId="5334848C">
      <w:pPr>
        <w:adjustRightInd w:val="0"/>
        <w:snapToGrid w:val="0"/>
        <w:spacing w:before="156" w:beforeLines="50" w:line="360" w:lineRule="auto"/>
        <w:ind w:firstLine="420" w:firstLineChars="200"/>
        <w:rPr>
          <w:rFonts w:ascii="宋体" w:hAnsi="宋体"/>
          <w:szCs w:val="21"/>
          <w:highlight w:val="none"/>
        </w:rPr>
      </w:pPr>
      <w:r>
        <w:rPr>
          <w:rFonts w:hint="eastAsia" w:ascii="宋体" w:hAnsi="宋体"/>
          <w:szCs w:val="21"/>
          <w:highlight w:val="none"/>
        </w:rPr>
        <w:t>2.投标人必须对一个完整、独立的包进行投标，不得仅对一个包中的部分标的投标，否则</w:t>
      </w:r>
      <w:r>
        <w:rPr>
          <w:rFonts w:hint="eastAsia" w:ascii="宋体" w:hAnsi="宋体"/>
          <w:b/>
          <w:szCs w:val="21"/>
          <w:highlight w:val="none"/>
        </w:rPr>
        <w:t>投标无效。</w:t>
      </w:r>
    </w:p>
    <w:p w14:paraId="7CF46BD9">
      <w:pPr>
        <w:adjustRightInd w:val="0"/>
        <w:snapToGrid w:val="0"/>
        <w:spacing w:before="156" w:beforeLines="50"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3.货物的主要技术参数或规格：详见“技术要求”中的具体技术参数。</w:t>
      </w:r>
    </w:p>
    <w:p w14:paraId="24AEAEE1">
      <w:pPr>
        <w:adjustRightInd w:val="0"/>
        <w:snapToGrid w:val="0"/>
        <w:spacing w:before="156" w:beforeLines="50"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4.投标人应在投标文件《分项报价明细表》中按标的名称顺序逐项填写，且每个标的中的条目均需按招标文件规定报价。如有缺项、漏项，其</w:t>
      </w:r>
      <w:r>
        <w:rPr>
          <w:rFonts w:hint="eastAsia" w:ascii="宋体" w:hAnsi="宋体" w:eastAsia="宋体" w:cs="Times New Roman"/>
          <w:b/>
          <w:bCs/>
          <w:szCs w:val="21"/>
          <w:highlight w:val="none"/>
        </w:rPr>
        <w:t>投标无效</w:t>
      </w:r>
      <w:r>
        <w:rPr>
          <w:rFonts w:hint="eastAsia" w:ascii="宋体" w:hAnsi="宋体" w:eastAsia="宋体" w:cs="Times New Roman"/>
          <w:szCs w:val="21"/>
          <w:highlight w:val="none"/>
        </w:rPr>
        <w:t>。</w:t>
      </w:r>
    </w:p>
    <w:p w14:paraId="0272F0D1">
      <w:pPr>
        <w:pStyle w:val="174"/>
        <w:keepNext w:val="0"/>
        <w:keepLines w:val="0"/>
        <w:pageBreakBefore w:val="0"/>
        <w:widowControl w:val="0"/>
        <w:kinsoku/>
        <w:wordWrap/>
        <w:overflowPunct/>
        <w:topLinePunct w:val="0"/>
        <w:autoSpaceDE/>
        <w:autoSpaceDN/>
        <w:bidi w:val="0"/>
        <w:adjustRightInd/>
        <w:snapToGrid/>
        <w:spacing w:before="0" w:beforeLines="100" w:line="360" w:lineRule="exact"/>
        <w:textAlignment w:val="auto"/>
        <w:rPr>
          <w:rStyle w:val="42"/>
          <w:rFonts w:hint="eastAsia" w:ascii="宋体" w:hAnsi="宋体" w:eastAsia="宋体" w:cs="宋体"/>
          <w:b/>
          <w:sz w:val="21"/>
          <w:szCs w:val="21"/>
          <w:highlight w:val="white"/>
        </w:rPr>
      </w:pPr>
      <w:r>
        <w:rPr>
          <w:rStyle w:val="42"/>
          <w:rFonts w:hint="eastAsia" w:ascii="宋体" w:hAnsi="宋体" w:eastAsia="宋体" w:cs="宋体"/>
          <w:b/>
          <w:sz w:val="21"/>
          <w:szCs w:val="21"/>
          <w:highlight w:val="white"/>
        </w:rPr>
        <w:t>二、技术规格、参数与要求</w:t>
      </w:r>
    </w:p>
    <w:tbl>
      <w:tblPr>
        <w:tblStyle w:val="40"/>
        <w:tblW w:w="10403" w:type="dxa"/>
        <w:jc w:val="center"/>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Layout w:type="fixed"/>
        <w:tblCellMar>
          <w:top w:w="0" w:type="dxa"/>
          <w:left w:w="0" w:type="dxa"/>
          <w:bottom w:w="0" w:type="dxa"/>
          <w:right w:w="0" w:type="dxa"/>
        </w:tblCellMar>
      </w:tblPr>
      <w:tblGrid>
        <w:gridCol w:w="889"/>
        <w:gridCol w:w="1558"/>
        <w:gridCol w:w="7956"/>
      </w:tblGrid>
      <w:tr w14:paraId="16DCCDC0">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394" w:hRule="atLeast"/>
          <w:jc w:val="center"/>
        </w:trPr>
        <w:tc>
          <w:tcPr>
            <w:tcW w:w="2447" w:type="dxa"/>
            <w:gridSpan w:val="2"/>
            <w:tcBorders>
              <w:top w:val="single" w:color="00000A" w:sz="12" w:space="0"/>
              <w:bottom w:val="single" w:color="00000A" w:sz="12" w:space="0"/>
              <w:right w:val="single" w:color="00000A" w:sz="12" w:space="0"/>
            </w:tcBorders>
            <w:noWrap w:val="0"/>
            <w:vAlign w:val="center"/>
          </w:tcPr>
          <w:p w14:paraId="4C57AEFC">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类 型</w:t>
            </w:r>
          </w:p>
        </w:tc>
        <w:tc>
          <w:tcPr>
            <w:tcW w:w="7956" w:type="dxa"/>
            <w:tcBorders>
              <w:top w:val="single" w:color="00000A" w:sz="12" w:space="0"/>
              <w:left w:val="single" w:color="00000A" w:sz="12" w:space="0"/>
              <w:bottom w:val="single" w:color="00000A" w:sz="12" w:space="0"/>
              <w:right w:val="single" w:color="00000A" w:sz="12" w:space="0"/>
            </w:tcBorders>
            <w:noWrap w:val="0"/>
            <w:vAlign w:val="center"/>
          </w:tcPr>
          <w:p w14:paraId="659F203F">
            <w:pPr>
              <w:pStyle w:val="95"/>
              <w:keepNext w:val="0"/>
              <w:keepLines w:val="0"/>
              <w:pageBreakBefore w:val="0"/>
              <w:kinsoku/>
              <w:wordWrap/>
              <w:overflowPunct/>
              <w:topLinePunct w:val="0"/>
              <w:autoSpaceDE/>
              <w:autoSpaceDN/>
              <w:bidi w:val="0"/>
              <w:adjustRightInd/>
              <w:snapToGrid/>
              <w:spacing w:line="340" w:lineRule="exact"/>
              <w:ind w:left="0" w:right="0" w:rightChars="0"/>
              <w:jc w:val="center"/>
              <w:textAlignment w:val="auto"/>
              <w:rPr>
                <w:rFonts w:hint="eastAsia" w:ascii="宋体" w:hAnsi="宋体" w:eastAsia="宋体" w:cs="宋体"/>
                <w:b w:val="0"/>
                <w:bCs/>
                <w:sz w:val="18"/>
                <w:szCs w:val="18"/>
                <w:highlight w:val="none"/>
                <w:lang w:eastAsia="zh-CN"/>
              </w:rPr>
            </w:pPr>
            <w:r>
              <w:rPr>
                <w:rFonts w:hint="eastAsia" w:ascii="宋体" w:hAnsi="宋体" w:eastAsia="宋体" w:cs="宋体"/>
                <w:b w:val="0"/>
                <w:bCs/>
                <w:sz w:val="18"/>
                <w:szCs w:val="18"/>
                <w:highlight w:val="none"/>
              </w:rPr>
              <w:t>曳引驱动乘客电梯</w:t>
            </w:r>
            <w:r>
              <w:rPr>
                <w:rFonts w:hint="eastAsia" w:ascii="宋体" w:hAnsi="宋体" w:eastAsia="宋体" w:cs="宋体"/>
                <w:b w:val="0"/>
                <w:bCs/>
                <w:sz w:val="18"/>
                <w:szCs w:val="18"/>
                <w:highlight w:val="none"/>
                <w:lang w:eastAsia="zh-CN"/>
              </w:rPr>
              <w:t>（</w:t>
            </w:r>
            <w:r>
              <w:rPr>
                <w:rFonts w:hint="eastAsia" w:ascii="宋体" w:hAnsi="宋体" w:eastAsia="宋体" w:cs="宋体"/>
                <w:b w:val="0"/>
                <w:bCs/>
                <w:sz w:val="18"/>
                <w:szCs w:val="18"/>
                <w:highlight w:val="none"/>
                <w:lang w:val="en-US" w:eastAsia="zh-CN"/>
              </w:rPr>
              <w:t>详见采购清单</w:t>
            </w:r>
            <w:r>
              <w:rPr>
                <w:rFonts w:hint="eastAsia" w:ascii="宋体" w:hAnsi="宋体" w:eastAsia="宋体" w:cs="宋体"/>
                <w:b w:val="0"/>
                <w:bCs/>
                <w:sz w:val="18"/>
                <w:szCs w:val="18"/>
                <w:highlight w:val="none"/>
                <w:lang w:eastAsia="zh-CN"/>
              </w:rPr>
              <w:t>）</w:t>
            </w:r>
          </w:p>
        </w:tc>
      </w:tr>
      <w:tr w14:paraId="440CB855">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394" w:hRule="atLeast"/>
          <w:jc w:val="center"/>
        </w:trPr>
        <w:tc>
          <w:tcPr>
            <w:tcW w:w="2447" w:type="dxa"/>
            <w:gridSpan w:val="2"/>
            <w:tcBorders>
              <w:top w:val="single" w:color="00000A" w:sz="12" w:space="0"/>
              <w:bottom w:val="single" w:color="00000A" w:sz="12" w:space="0"/>
              <w:right w:val="single" w:color="00000A" w:sz="12" w:space="0"/>
            </w:tcBorders>
            <w:noWrap w:val="0"/>
            <w:vAlign w:val="center"/>
          </w:tcPr>
          <w:p w14:paraId="2E80FEC9">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数 量</w:t>
            </w:r>
          </w:p>
        </w:tc>
        <w:tc>
          <w:tcPr>
            <w:tcW w:w="7956" w:type="dxa"/>
            <w:tcBorders>
              <w:top w:val="single" w:color="00000A" w:sz="12" w:space="0"/>
              <w:left w:val="single" w:color="00000A" w:sz="12" w:space="0"/>
              <w:bottom w:val="single" w:color="00000A" w:sz="12" w:space="0"/>
              <w:right w:val="single" w:color="00000A" w:sz="12" w:space="0"/>
            </w:tcBorders>
            <w:noWrap w:val="0"/>
            <w:vAlign w:val="center"/>
          </w:tcPr>
          <w:p w14:paraId="5B8E4BD6">
            <w:pPr>
              <w:pStyle w:val="95"/>
              <w:keepNext w:val="0"/>
              <w:keepLines w:val="0"/>
              <w:pageBreakBefore w:val="0"/>
              <w:kinsoku/>
              <w:wordWrap/>
              <w:overflowPunct/>
              <w:topLinePunct w:val="0"/>
              <w:autoSpaceDE/>
              <w:autoSpaceDN/>
              <w:bidi w:val="0"/>
              <w:adjustRightInd/>
              <w:snapToGrid/>
              <w:spacing w:line="340" w:lineRule="exact"/>
              <w:ind w:left="0" w:right="0" w:rightChars="0"/>
              <w:jc w:val="center"/>
              <w:textAlignment w:val="auto"/>
              <w:rPr>
                <w:rFonts w:hint="eastAsia" w:ascii="宋体" w:hAnsi="宋体" w:eastAsia="宋体" w:cs="宋体"/>
                <w:b w:val="0"/>
                <w:bCs/>
                <w:sz w:val="18"/>
                <w:szCs w:val="18"/>
                <w:highlight w:val="none"/>
                <w:lang w:val="en-US" w:eastAsia="zh-CN"/>
              </w:rPr>
            </w:pPr>
            <w:r>
              <w:rPr>
                <w:rFonts w:hint="eastAsia" w:ascii="宋体" w:hAnsi="宋体" w:eastAsia="宋体" w:cs="宋体"/>
                <w:b w:val="0"/>
                <w:bCs/>
                <w:sz w:val="18"/>
                <w:szCs w:val="18"/>
                <w:highlight w:val="none"/>
                <w:lang w:val="en-US" w:eastAsia="zh-CN"/>
              </w:rPr>
              <w:t>详见采购清单</w:t>
            </w:r>
          </w:p>
        </w:tc>
      </w:tr>
      <w:tr w14:paraId="289453D0">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394" w:hRule="atLeast"/>
          <w:jc w:val="center"/>
        </w:trPr>
        <w:tc>
          <w:tcPr>
            <w:tcW w:w="2447" w:type="dxa"/>
            <w:gridSpan w:val="2"/>
            <w:tcBorders>
              <w:top w:val="single" w:color="00000A" w:sz="12" w:space="0"/>
              <w:bottom w:val="single" w:color="00000A" w:sz="12" w:space="0"/>
              <w:right w:val="single" w:color="00000A" w:sz="12" w:space="0"/>
            </w:tcBorders>
            <w:noWrap w:val="0"/>
            <w:vAlign w:val="center"/>
          </w:tcPr>
          <w:p w14:paraId="1ABBF7A6">
            <w:pPr>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Calibri" w:hAnsi="Calibri" w:eastAsia="宋体" w:cs="Times New Roman"/>
                <w:b w:val="0"/>
                <w:bCs/>
                <w:kern w:val="2"/>
                <w:sz w:val="18"/>
                <w:szCs w:val="18"/>
                <w:highlight w:val="none"/>
                <w:lang w:val="en-US" w:eastAsia="zh-CN" w:bidi="ar-SA"/>
              </w:rPr>
            </w:pPr>
            <w:r>
              <w:rPr>
                <w:rFonts w:hint="eastAsia"/>
                <w:b w:val="0"/>
                <w:bCs/>
                <w:sz w:val="18"/>
                <w:szCs w:val="18"/>
                <w:highlight w:val="none"/>
              </w:rPr>
              <w:t>控制系统</w:t>
            </w:r>
          </w:p>
        </w:tc>
        <w:tc>
          <w:tcPr>
            <w:tcW w:w="7956" w:type="dxa"/>
            <w:tcBorders>
              <w:top w:val="single" w:color="00000A" w:sz="12" w:space="0"/>
              <w:left w:val="single" w:color="00000A" w:sz="12" w:space="0"/>
              <w:bottom w:val="single" w:color="00000A" w:sz="12" w:space="0"/>
              <w:right w:val="single" w:color="00000A" w:sz="12" w:space="0"/>
            </w:tcBorders>
            <w:noWrap w:val="0"/>
            <w:vAlign w:val="center"/>
          </w:tcPr>
          <w:p w14:paraId="18E871D4">
            <w:pPr>
              <w:pStyle w:val="95"/>
              <w:keepNext w:val="0"/>
              <w:keepLines w:val="0"/>
              <w:pageBreakBefore w:val="0"/>
              <w:kinsoku/>
              <w:wordWrap/>
              <w:overflowPunct/>
              <w:topLinePunct w:val="0"/>
              <w:autoSpaceDE/>
              <w:autoSpaceDN/>
              <w:bidi w:val="0"/>
              <w:adjustRightInd/>
              <w:snapToGrid/>
              <w:spacing w:line="340" w:lineRule="exact"/>
              <w:ind w:left="0" w:right="0" w:rightChars="0"/>
              <w:jc w:val="center"/>
              <w:textAlignment w:val="auto"/>
              <w:rPr>
                <w:rFonts w:hint="eastAsia" w:ascii="宋体" w:hAnsi="宋体" w:eastAsia="宋体" w:cs="宋体"/>
                <w:b w:val="0"/>
                <w:bCs/>
                <w:color w:val="auto"/>
                <w:sz w:val="18"/>
                <w:szCs w:val="18"/>
                <w:highlight w:val="none"/>
                <w:lang w:val="en-US" w:eastAsia="zh-CN"/>
              </w:rPr>
            </w:pPr>
            <w:r>
              <w:rPr>
                <w:rFonts w:hint="eastAsia" w:ascii="宋体" w:hAnsi="宋体"/>
                <w:b w:val="0"/>
                <w:bCs/>
                <w:sz w:val="18"/>
                <w:szCs w:val="18"/>
                <w:highlight w:val="none"/>
              </w:rPr>
              <w:t>全集选微机控制</w:t>
            </w:r>
          </w:p>
        </w:tc>
      </w:tr>
      <w:tr w14:paraId="5B5778C2">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394" w:hRule="atLeast"/>
          <w:jc w:val="center"/>
        </w:trPr>
        <w:tc>
          <w:tcPr>
            <w:tcW w:w="2447" w:type="dxa"/>
            <w:gridSpan w:val="2"/>
            <w:tcBorders>
              <w:top w:val="single" w:color="00000A" w:sz="12" w:space="0"/>
              <w:bottom w:val="single" w:color="00000A" w:sz="12" w:space="0"/>
              <w:right w:val="single" w:color="00000A" w:sz="12" w:space="0"/>
            </w:tcBorders>
            <w:noWrap w:val="0"/>
            <w:vAlign w:val="center"/>
          </w:tcPr>
          <w:p w14:paraId="487B7F33">
            <w:pPr>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Calibri" w:hAnsi="Calibri" w:eastAsia="宋体" w:cs="Times New Roman"/>
                <w:b w:val="0"/>
                <w:bCs/>
                <w:kern w:val="2"/>
                <w:sz w:val="18"/>
                <w:szCs w:val="18"/>
                <w:highlight w:val="none"/>
                <w:lang w:val="en-US" w:eastAsia="zh-CN" w:bidi="ar-SA"/>
              </w:rPr>
            </w:pPr>
            <w:r>
              <w:rPr>
                <w:rFonts w:hint="eastAsia"/>
                <w:b w:val="0"/>
                <w:bCs/>
                <w:sz w:val="18"/>
                <w:szCs w:val="18"/>
                <w:highlight w:val="none"/>
              </w:rPr>
              <w:t>拖动系统</w:t>
            </w:r>
          </w:p>
        </w:tc>
        <w:tc>
          <w:tcPr>
            <w:tcW w:w="7956" w:type="dxa"/>
            <w:tcBorders>
              <w:top w:val="single" w:color="00000A" w:sz="12" w:space="0"/>
              <w:left w:val="single" w:color="00000A" w:sz="12" w:space="0"/>
              <w:bottom w:val="single" w:color="00000A" w:sz="12" w:space="0"/>
              <w:right w:val="single" w:color="00000A" w:sz="12" w:space="0"/>
            </w:tcBorders>
            <w:noWrap w:val="0"/>
            <w:vAlign w:val="center"/>
          </w:tcPr>
          <w:p w14:paraId="68CEC141">
            <w:pPr>
              <w:pStyle w:val="95"/>
              <w:keepNext w:val="0"/>
              <w:keepLines w:val="0"/>
              <w:pageBreakBefore w:val="0"/>
              <w:kinsoku/>
              <w:wordWrap/>
              <w:overflowPunct/>
              <w:topLinePunct w:val="0"/>
              <w:autoSpaceDE/>
              <w:autoSpaceDN/>
              <w:bidi w:val="0"/>
              <w:adjustRightInd/>
              <w:snapToGrid/>
              <w:spacing w:line="340" w:lineRule="exact"/>
              <w:ind w:left="0" w:right="0" w:rightChars="0"/>
              <w:jc w:val="center"/>
              <w:textAlignment w:val="auto"/>
              <w:rPr>
                <w:rFonts w:hint="eastAsia" w:ascii="宋体" w:hAnsi="宋体" w:eastAsia="宋体" w:cs="宋体"/>
                <w:b w:val="0"/>
                <w:bCs/>
                <w:color w:val="auto"/>
                <w:sz w:val="18"/>
                <w:szCs w:val="18"/>
                <w:highlight w:val="none"/>
                <w:lang w:val="en-US" w:eastAsia="zh-CN"/>
              </w:rPr>
            </w:pPr>
            <w:r>
              <w:rPr>
                <w:rFonts w:hint="eastAsia"/>
                <w:b w:val="0"/>
                <w:bCs/>
                <w:sz w:val="18"/>
                <w:szCs w:val="18"/>
                <w:highlight w:val="none"/>
              </w:rPr>
              <w:t>交流变频调压调速（</w:t>
            </w:r>
            <w:r>
              <w:rPr>
                <w:b w:val="0"/>
                <w:bCs/>
                <w:sz w:val="18"/>
                <w:szCs w:val="18"/>
                <w:highlight w:val="none"/>
              </w:rPr>
              <w:t>VVVF</w:t>
            </w:r>
            <w:r>
              <w:rPr>
                <w:rFonts w:hint="eastAsia"/>
                <w:b w:val="0"/>
                <w:bCs/>
                <w:sz w:val="18"/>
                <w:szCs w:val="18"/>
                <w:highlight w:val="none"/>
              </w:rPr>
              <w:t>）</w:t>
            </w:r>
          </w:p>
        </w:tc>
      </w:tr>
      <w:tr w14:paraId="3E794F95">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394" w:hRule="atLeast"/>
          <w:jc w:val="center"/>
        </w:trPr>
        <w:tc>
          <w:tcPr>
            <w:tcW w:w="2447" w:type="dxa"/>
            <w:gridSpan w:val="2"/>
            <w:tcBorders>
              <w:top w:val="single" w:color="00000A" w:sz="12" w:space="0"/>
              <w:bottom w:val="single" w:color="00000A" w:sz="12" w:space="0"/>
              <w:right w:val="single" w:color="00000A" w:sz="12" w:space="0"/>
            </w:tcBorders>
            <w:noWrap w:val="0"/>
            <w:vAlign w:val="center"/>
          </w:tcPr>
          <w:p w14:paraId="5B8C278D">
            <w:pPr>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Calibri" w:hAnsi="Calibri" w:eastAsia="宋体" w:cs="Times New Roman"/>
                <w:b w:val="0"/>
                <w:bCs/>
                <w:kern w:val="2"/>
                <w:sz w:val="18"/>
                <w:szCs w:val="18"/>
                <w:highlight w:val="none"/>
                <w:lang w:val="en-US" w:eastAsia="zh-CN" w:bidi="ar-SA"/>
              </w:rPr>
            </w:pPr>
            <w:r>
              <w:rPr>
                <w:rFonts w:hint="eastAsia"/>
                <w:b w:val="0"/>
                <w:bCs/>
                <w:sz w:val="18"/>
                <w:szCs w:val="18"/>
                <w:highlight w:val="none"/>
              </w:rPr>
              <w:t>操作系统</w:t>
            </w:r>
          </w:p>
        </w:tc>
        <w:tc>
          <w:tcPr>
            <w:tcW w:w="7956" w:type="dxa"/>
            <w:tcBorders>
              <w:top w:val="single" w:color="00000A" w:sz="12" w:space="0"/>
              <w:left w:val="single" w:color="00000A" w:sz="12" w:space="0"/>
              <w:bottom w:val="single" w:color="00000A" w:sz="12" w:space="0"/>
              <w:right w:val="single" w:color="00000A" w:sz="12" w:space="0"/>
            </w:tcBorders>
            <w:noWrap w:val="0"/>
            <w:vAlign w:val="center"/>
          </w:tcPr>
          <w:p w14:paraId="7F125E4F">
            <w:pPr>
              <w:pStyle w:val="95"/>
              <w:keepNext w:val="0"/>
              <w:keepLines w:val="0"/>
              <w:pageBreakBefore w:val="0"/>
              <w:kinsoku/>
              <w:wordWrap/>
              <w:overflowPunct/>
              <w:topLinePunct w:val="0"/>
              <w:autoSpaceDE/>
              <w:autoSpaceDN/>
              <w:bidi w:val="0"/>
              <w:adjustRightInd/>
              <w:snapToGrid/>
              <w:spacing w:line="340" w:lineRule="exact"/>
              <w:ind w:left="0" w:right="0" w:rightChars="0"/>
              <w:jc w:val="center"/>
              <w:textAlignment w:val="auto"/>
              <w:rPr>
                <w:rFonts w:hint="eastAsia" w:ascii="宋体" w:hAnsi="宋体" w:eastAsia="宋体" w:cs="宋体"/>
                <w:b w:val="0"/>
                <w:bCs/>
                <w:color w:val="auto"/>
                <w:sz w:val="18"/>
                <w:szCs w:val="18"/>
                <w:highlight w:val="none"/>
                <w:lang w:val="en-US" w:eastAsia="zh-CN"/>
              </w:rPr>
            </w:pPr>
            <w:r>
              <w:rPr>
                <w:rFonts w:hint="eastAsia"/>
                <w:b w:val="0"/>
                <w:bCs/>
                <w:sz w:val="18"/>
                <w:szCs w:val="18"/>
                <w:highlight w:val="none"/>
              </w:rPr>
              <w:t>PLC智能化操控系统</w:t>
            </w:r>
          </w:p>
        </w:tc>
      </w:tr>
      <w:tr w14:paraId="126BD038">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394" w:hRule="atLeast"/>
          <w:jc w:val="center"/>
        </w:trPr>
        <w:tc>
          <w:tcPr>
            <w:tcW w:w="2447" w:type="dxa"/>
            <w:gridSpan w:val="2"/>
            <w:tcBorders>
              <w:top w:val="single" w:color="00000A" w:sz="12" w:space="0"/>
              <w:bottom w:val="single" w:color="00000A" w:sz="12" w:space="0"/>
              <w:right w:val="single" w:color="00000A" w:sz="12" w:space="0"/>
            </w:tcBorders>
            <w:noWrap w:val="0"/>
            <w:vAlign w:val="center"/>
          </w:tcPr>
          <w:p w14:paraId="39C11E6F">
            <w:pPr>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Calibri" w:hAnsi="Calibri" w:eastAsia="宋体" w:cs="Times New Roman"/>
                <w:b w:val="0"/>
                <w:bCs/>
                <w:kern w:val="2"/>
                <w:sz w:val="18"/>
                <w:szCs w:val="18"/>
                <w:highlight w:val="none"/>
                <w:lang w:val="en-US" w:eastAsia="zh-CN" w:bidi="ar-SA"/>
              </w:rPr>
            </w:pPr>
            <w:r>
              <w:rPr>
                <w:rFonts w:hint="eastAsia"/>
                <w:b w:val="0"/>
                <w:bCs/>
                <w:sz w:val="18"/>
                <w:szCs w:val="18"/>
                <w:highlight w:val="none"/>
              </w:rPr>
              <w:t>曳引机类型</w:t>
            </w:r>
          </w:p>
        </w:tc>
        <w:tc>
          <w:tcPr>
            <w:tcW w:w="7956" w:type="dxa"/>
            <w:tcBorders>
              <w:top w:val="single" w:color="00000A" w:sz="12" w:space="0"/>
              <w:left w:val="single" w:color="00000A" w:sz="12" w:space="0"/>
              <w:bottom w:val="single" w:color="00000A" w:sz="12" w:space="0"/>
              <w:right w:val="single" w:color="00000A" w:sz="12" w:space="0"/>
            </w:tcBorders>
            <w:noWrap w:val="0"/>
            <w:vAlign w:val="center"/>
          </w:tcPr>
          <w:p w14:paraId="346B41B0">
            <w:pPr>
              <w:pStyle w:val="95"/>
              <w:keepNext w:val="0"/>
              <w:keepLines w:val="0"/>
              <w:pageBreakBefore w:val="0"/>
              <w:kinsoku/>
              <w:wordWrap/>
              <w:overflowPunct/>
              <w:topLinePunct w:val="0"/>
              <w:autoSpaceDE/>
              <w:autoSpaceDN/>
              <w:bidi w:val="0"/>
              <w:adjustRightInd/>
              <w:snapToGrid/>
              <w:spacing w:line="340" w:lineRule="exact"/>
              <w:ind w:left="0" w:right="0" w:rightChars="0"/>
              <w:jc w:val="center"/>
              <w:textAlignment w:val="auto"/>
              <w:rPr>
                <w:rFonts w:hint="eastAsia" w:ascii="宋体" w:hAnsi="宋体" w:eastAsia="宋体" w:cs="宋体"/>
                <w:b w:val="0"/>
                <w:bCs/>
                <w:color w:val="auto"/>
                <w:sz w:val="18"/>
                <w:szCs w:val="18"/>
                <w:highlight w:val="none"/>
                <w:lang w:val="en-US" w:eastAsia="zh-CN"/>
              </w:rPr>
            </w:pPr>
            <w:r>
              <w:rPr>
                <w:rFonts w:hint="eastAsia" w:ascii="Arial" w:hAnsi="Arial" w:cs="Arial"/>
                <w:b w:val="0"/>
                <w:bCs/>
                <w:snapToGrid w:val="0"/>
                <w:kern w:val="0"/>
                <w:sz w:val="18"/>
                <w:szCs w:val="18"/>
                <w:highlight w:val="none"/>
              </w:rPr>
              <w:t>高电压永磁同步无齿轮曳引主机</w:t>
            </w:r>
          </w:p>
        </w:tc>
      </w:tr>
      <w:tr w14:paraId="64076821">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394" w:hRule="atLeast"/>
          <w:jc w:val="center"/>
        </w:trPr>
        <w:tc>
          <w:tcPr>
            <w:tcW w:w="2447" w:type="dxa"/>
            <w:gridSpan w:val="2"/>
            <w:tcBorders>
              <w:top w:val="single" w:color="00000A" w:sz="12" w:space="0"/>
              <w:bottom w:val="single" w:color="00000A" w:sz="12" w:space="0"/>
              <w:right w:val="single" w:color="00000A" w:sz="12" w:space="0"/>
            </w:tcBorders>
            <w:noWrap w:val="0"/>
            <w:vAlign w:val="center"/>
          </w:tcPr>
          <w:p w14:paraId="16CDBFDD">
            <w:pPr>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Calibri" w:hAnsi="Calibri" w:eastAsia="宋体" w:cs="Times New Roman"/>
                <w:b w:val="0"/>
                <w:bCs/>
                <w:kern w:val="2"/>
                <w:sz w:val="18"/>
                <w:szCs w:val="18"/>
                <w:highlight w:val="none"/>
                <w:lang w:val="en-US" w:eastAsia="zh-CN" w:bidi="ar-SA"/>
              </w:rPr>
            </w:pPr>
            <w:r>
              <w:rPr>
                <w:rFonts w:hint="eastAsia"/>
                <w:b w:val="0"/>
                <w:bCs/>
                <w:sz w:val="18"/>
                <w:szCs w:val="18"/>
                <w:highlight w:val="none"/>
              </w:rPr>
              <w:t>曳引介质</w:t>
            </w:r>
          </w:p>
        </w:tc>
        <w:tc>
          <w:tcPr>
            <w:tcW w:w="7956" w:type="dxa"/>
            <w:tcBorders>
              <w:top w:val="single" w:color="00000A" w:sz="12" w:space="0"/>
              <w:left w:val="single" w:color="00000A" w:sz="12" w:space="0"/>
              <w:bottom w:val="single" w:color="00000A" w:sz="12" w:space="0"/>
              <w:right w:val="single" w:color="00000A" w:sz="12" w:space="0"/>
            </w:tcBorders>
            <w:noWrap w:val="0"/>
            <w:vAlign w:val="center"/>
          </w:tcPr>
          <w:p w14:paraId="6E6534B9">
            <w:pPr>
              <w:pStyle w:val="95"/>
              <w:keepNext w:val="0"/>
              <w:keepLines w:val="0"/>
              <w:pageBreakBefore w:val="0"/>
              <w:kinsoku/>
              <w:wordWrap/>
              <w:overflowPunct/>
              <w:topLinePunct w:val="0"/>
              <w:autoSpaceDE/>
              <w:autoSpaceDN/>
              <w:bidi w:val="0"/>
              <w:adjustRightInd/>
              <w:snapToGrid/>
              <w:spacing w:line="340" w:lineRule="exact"/>
              <w:ind w:left="0" w:right="0" w:rightChars="0"/>
              <w:jc w:val="center"/>
              <w:textAlignment w:val="auto"/>
              <w:rPr>
                <w:rFonts w:hint="eastAsia" w:ascii="宋体" w:hAnsi="宋体" w:eastAsia="宋体" w:cs="宋体"/>
                <w:b w:val="0"/>
                <w:bCs/>
                <w:color w:val="auto"/>
                <w:sz w:val="18"/>
                <w:szCs w:val="18"/>
                <w:highlight w:val="none"/>
                <w:lang w:val="en-US" w:eastAsia="zh-CN"/>
              </w:rPr>
            </w:pPr>
            <w:r>
              <w:rPr>
                <w:rFonts w:hint="eastAsia" w:ascii="宋体" w:hAnsi="宋体" w:cs="宋体"/>
                <w:b w:val="0"/>
                <w:bCs/>
                <w:spacing w:val="10"/>
                <w:kern w:val="0"/>
                <w:sz w:val="18"/>
                <w:szCs w:val="18"/>
                <w:highlight w:val="none"/>
                <w:lang w:val="en-GB"/>
              </w:rPr>
              <w:t>钢丝绳型</w:t>
            </w:r>
          </w:p>
        </w:tc>
      </w:tr>
      <w:tr w14:paraId="0E3F78AB">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394" w:hRule="atLeast"/>
          <w:jc w:val="center"/>
        </w:trPr>
        <w:tc>
          <w:tcPr>
            <w:tcW w:w="2447" w:type="dxa"/>
            <w:gridSpan w:val="2"/>
            <w:tcBorders>
              <w:top w:val="single" w:color="00000A" w:sz="12" w:space="0"/>
              <w:bottom w:val="single" w:color="00000A" w:sz="12" w:space="0"/>
              <w:right w:val="single" w:color="00000A" w:sz="12" w:space="0"/>
            </w:tcBorders>
            <w:noWrap w:val="0"/>
            <w:vAlign w:val="center"/>
          </w:tcPr>
          <w:p w14:paraId="0280B383">
            <w:pPr>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Calibri" w:hAnsi="Calibri" w:eastAsia="宋体" w:cs="Times New Roman"/>
                <w:b w:val="0"/>
                <w:bCs/>
                <w:kern w:val="2"/>
                <w:sz w:val="18"/>
                <w:szCs w:val="18"/>
                <w:highlight w:val="none"/>
                <w:lang w:val="en-US" w:eastAsia="zh-CN" w:bidi="ar-SA"/>
              </w:rPr>
            </w:pPr>
            <w:r>
              <w:rPr>
                <w:rFonts w:hint="eastAsia"/>
                <w:b w:val="0"/>
                <w:bCs/>
                <w:sz w:val="18"/>
                <w:szCs w:val="18"/>
                <w:highlight w:val="none"/>
              </w:rPr>
              <w:t>门机类型</w:t>
            </w:r>
          </w:p>
        </w:tc>
        <w:tc>
          <w:tcPr>
            <w:tcW w:w="7956" w:type="dxa"/>
            <w:tcBorders>
              <w:top w:val="single" w:color="00000A" w:sz="12" w:space="0"/>
              <w:left w:val="single" w:color="00000A" w:sz="12" w:space="0"/>
              <w:bottom w:val="single" w:color="00000A" w:sz="12" w:space="0"/>
              <w:right w:val="single" w:color="00000A" w:sz="12" w:space="0"/>
            </w:tcBorders>
            <w:noWrap w:val="0"/>
            <w:vAlign w:val="center"/>
          </w:tcPr>
          <w:p w14:paraId="1139F0DE">
            <w:pPr>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lang w:val="en-US" w:eastAsia="zh-CN"/>
              </w:rPr>
            </w:pPr>
            <w:r>
              <w:rPr>
                <w:rFonts w:hint="eastAsia" w:ascii="宋体" w:hAnsi="宋体"/>
                <w:b w:val="0"/>
                <w:bCs/>
                <w:sz w:val="18"/>
                <w:szCs w:val="18"/>
                <w:highlight w:val="none"/>
              </w:rPr>
              <w:t>全集选微机控制</w:t>
            </w:r>
          </w:p>
        </w:tc>
      </w:tr>
      <w:tr w14:paraId="526FEE37">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394" w:hRule="atLeast"/>
          <w:jc w:val="center"/>
        </w:trPr>
        <w:tc>
          <w:tcPr>
            <w:tcW w:w="2447" w:type="dxa"/>
            <w:gridSpan w:val="2"/>
            <w:tcBorders>
              <w:top w:val="single" w:color="00000A" w:sz="12" w:space="0"/>
              <w:bottom w:val="single" w:color="00000A" w:sz="12" w:space="0"/>
              <w:right w:val="single" w:color="00000A" w:sz="12" w:space="0"/>
            </w:tcBorders>
            <w:noWrap w:val="0"/>
            <w:vAlign w:val="center"/>
          </w:tcPr>
          <w:p w14:paraId="2D54D397">
            <w:pPr>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Calibri" w:hAnsi="Calibri" w:eastAsia="宋体" w:cs="Times New Roman"/>
                <w:b w:val="0"/>
                <w:bCs/>
                <w:kern w:val="2"/>
                <w:sz w:val="18"/>
                <w:szCs w:val="18"/>
                <w:highlight w:val="none"/>
                <w:lang w:val="en-US" w:eastAsia="zh-CN" w:bidi="ar-SA"/>
              </w:rPr>
            </w:pPr>
            <w:r>
              <w:rPr>
                <w:rFonts w:hint="eastAsia"/>
                <w:b w:val="0"/>
                <w:bCs/>
                <w:sz w:val="18"/>
                <w:szCs w:val="18"/>
                <w:highlight w:val="none"/>
              </w:rPr>
              <w:t>门保护系统</w:t>
            </w:r>
          </w:p>
        </w:tc>
        <w:tc>
          <w:tcPr>
            <w:tcW w:w="7956" w:type="dxa"/>
            <w:tcBorders>
              <w:top w:val="single" w:color="00000A" w:sz="12" w:space="0"/>
              <w:left w:val="single" w:color="00000A" w:sz="12" w:space="0"/>
              <w:bottom w:val="single" w:color="00000A" w:sz="12" w:space="0"/>
              <w:right w:val="single" w:color="00000A" w:sz="12" w:space="0"/>
            </w:tcBorders>
            <w:noWrap w:val="0"/>
            <w:vAlign w:val="center"/>
          </w:tcPr>
          <w:p w14:paraId="4E0622F8">
            <w:pPr>
              <w:pStyle w:val="95"/>
              <w:keepNext w:val="0"/>
              <w:keepLines w:val="0"/>
              <w:pageBreakBefore w:val="0"/>
              <w:kinsoku/>
              <w:wordWrap/>
              <w:overflowPunct/>
              <w:topLinePunct w:val="0"/>
              <w:autoSpaceDE/>
              <w:autoSpaceDN/>
              <w:bidi w:val="0"/>
              <w:adjustRightInd/>
              <w:snapToGrid/>
              <w:spacing w:line="340" w:lineRule="exact"/>
              <w:ind w:left="0" w:right="0" w:rightChars="0"/>
              <w:jc w:val="center"/>
              <w:textAlignment w:val="auto"/>
              <w:rPr>
                <w:rFonts w:hint="eastAsia" w:ascii="宋体" w:hAnsi="宋体" w:eastAsia="宋体" w:cs="宋体"/>
                <w:b w:val="0"/>
                <w:bCs/>
                <w:color w:val="auto"/>
                <w:sz w:val="18"/>
                <w:szCs w:val="18"/>
                <w:highlight w:val="none"/>
                <w:lang w:val="en-US" w:eastAsia="zh-CN"/>
              </w:rPr>
            </w:pPr>
            <w:r>
              <w:rPr>
                <w:rFonts w:hint="eastAsia" w:ascii="宋体" w:hAnsi="宋体" w:cs="宋体"/>
                <w:b w:val="0"/>
                <w:bCs/>
                <w:kern w:val="0"/>
                <w:sz w:val="18"/>
                <w:szCs w:val="18"/>
                <w:highlight w:val="none"/>
              </w:rPr>
              <w:t>光幕</w:t>
            </w:r>
            <w:r>
              <w:rPr>
                <w:rFonts w:hint="eastAsia" w:ascii="宋体" w:hAnsi="宋体" w:cs="宋体"/>
                <w:b w:val="0"/>
                <w:bCs/>
                <w:kern w:val="0"/>
                <w:sz w:val="18"/>
                <w:szCs w:val="18"/>
                <w:highlight w:val="none"/>
                <w:lang w:val="en-US" w:eastAsia="zh-CN"/>
              </w:rPr>
              <w:t>+安全触板</w:t>
            </w:r>
            <w:r>
              <w:rPr>
                <w:rFonts w:hint="eastAsia" w:ascii="宋体" w:hAnsi="宋体" w:cs="宋体"/>
                <w:b w:val="0"/>
                <w:bCs/>
                <w:kern w:val="0"/>
                <w:sz w:val="18"/>
                <w:szCs w:val="18"/>
                <w:highlight w:val="none"/>
              </w:rPr>
              <w:t>保护系统</w:t>
            </w:r>
          </w:p>
        </w:tc>
      </w:tr>
      <w:tr w14:paraId="2B38BB42">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411" w:hRule="atLeast"/>
          <w:jc w:val="center"/>
        </w:trPr>
        <w:tc>
          <w:tcPr>
            <w:tcW w:w="2447" w:type="dxa"/>
            <w:gridSpan w:val="2"/>
            <w:tcBorders>
              <w:top w:val="single" w:color="00000A" w:sz="12" w:space="0"/>
              <w:bottom w:val="single" w:color="00000A" w:sz="12" w:space="0"/>
              <w:right w:val="single" w:color="00000A" w:sz="12" w:space="0"/>
            </w:tcBorders>
            <w:noWrap w:val="0"/>
            <w:vAlign w:val="center"/>
          </w:tcPr>
          <w:p w14:paraId="1E9C573E">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载重（公斤）：</w:t>
            </w:r>
          </w:p>
        </w:tc>
        <w:tc>
          <w:tcPr>
            <w:tcW w:w="7956" w:type="dxa"/>
            <w:tcBorders>
              <w:top w:val="single" w:color="00000A" w:sz="12" w:space="0"/>
              <w:left w:val="single" w:color="00000A" w:sz="12" w:space="0"/>
              <w:bottom w:val="single" w:color="00000A" w:sz="12" w:space="0"/>
              <w:right w:val="single" w:color="00000A" w:sz="12" w:space="0"/>
            </w:tcBorders>
            <w:noWrap w:val="0"/>
            <w:vAlign w:val="center"/>
          </w:tcPr>
          <w:p w14:paraId="0E3DFAB4">
            <w:pPr>
              <w:pStyle w:val="95"/>
              <w:keepNext w:val="0"/>
              <w:keepLines w:val="0"/>
              <w:pageBreakBefore w:val="0"/>
              <w:kinsoku/>
              <w:wordWrap/>
              <w:overflowPunct/>
              <w:topLinePunct w:val="0"/>
              <w:autoSpaceDE/>
              <w:autoSpaceDN/>
              <w:bidi w:val="0"/>
              <w:adjustRightInd/>
              <w:snapToGrid/>
              <w:spacing w:line="340" w:lineRule="exact"/>
              <w:ind w:left="0" w:right="0" w:rightChars="0"/>
              <w:jc w:val="center"/>
              <w:textAlignment w:val="auto"/>
              <w:rPr>
                <w:rFonts w:hint="default" w:ascii="宋体" w:hAnsi="宋体" w:eastAsia="宋体" w:cs="宋体"/>
                <w:b w:val="0"/>
                <w:bCs/>
                <w:color w:val="auto"/>
                <w:kern w:val="0"/>
                <w:sz w:val="18"/>
                <w:szCs w:val="18"/>
                <w:highlight w:val="none"/>
                <w:lang w:val="en-US" w:eastAsia="zh-CN"/>
              </w:rPr>
            </w:pPr>
            <w:r>
              <w:rPr>
                <w:rFonts w:hint="eastAsia" w:ascii="宋体" w:hAnsi="宋体" w:eastAsia="宋体" w:cs="宋体"/>
                <w:b w:val="0"/>
                <w:bCs/>
                <w:sz w:val="18"/>
                <w:szCs w:val="18"/>
                <w:highlight w:val="none"/>
                <w:lang w:val="en-US" w:eastAsia="zh-CN"/>
              </w:rPr>
              <w:t>详见采购清单</w:t>
            </w:r>
          </w:p>
        </w:tc>
      </w:tr>
      <w:tr w14:paraId="2C12BE8F">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395" w:hRule="atLeast"/>
          <w:jc w:val="center"/>
        </w:trPr>
        <w:tc>
          <w:tcPr>
            <w:tcW w:w="2447" w:type="dxa"/>
            <w:gridSpan w:val="2"/>
            <w:tcBorders>
              <w:top w:val="single" w:color="00000A" w:sz="12" w:space="0"/>
              <w:bottom w:val="single" w:color="00000A" w:sz="12" w:space="0"/>
              <w:right w:val="single" w:color="00000A" w:sz="12" w:space="0"/>
            </w:tcBorders>
            <w:noWrap w:val="0"/>
            <w:vAlign w:val="center"/>
          </w:tcPr>
          <w:p w14:paraId="40E6FDBE">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速度（米/秒）：</w:t>
            </w:r>
          </w:p>
        </w:tc>
        <w:tc>
          <w:tcPr>
            <w:tcW w:w="7956" w:type="dxa"/>
            <w:tcBorders>
              <w:top w:val="single" w:color="00000A" w:sz="12" w:space="0"/>
              <w:left w:val="single" w:color="00000A" w:sz="12" w:space="0"/>
              <w:bottom w:val="single" w:color="00000A" w:sz="12" w:space="0"/>
              <w:right w:val="single" w:color="00000A" w:sz="12" w:space="0"/>
            </w:tcBorders>
            <w:noWrap w:val="0"/>
            <w:vAlign w:val="center"/>
          </w:tcPr>
          <w:p w14:paraId="46995566">
            <w:pPr>
              <w:pStyle w:val="95"/>
              <w:keepNext w:val="0"/>
              <w:keepLines w:val="0"/>
              <w:pageBreakBefore w:val="0"/>
              <w:kinsoku/>
              <w:wordWrap/>
              <w:overflowPunct/>
              <w:topLinePunct w:val="0"/>
              <w:autoSpaceDE/>
              <w:autoSpaceDN/>
              <w:bidi w:val="0"/>
              <w:adjustRightInd/>
              <w:snapToGrid/>
              <w:spacing w:line="340" w:lineRule="exact"/>
              <w:ind w:left="0" w:right="0" w:rightChars="0"/>
              <w:jc w:val="center"/>
              <w:textAlignment w:val="auto"/>
              <w:rPr>
                <w:rFonts w:hint="eastAsia" w:ascii="宋体" w:hAnsi="宋体" w:eastAsia="宋体" w:cs="宋体"/>
                <w:b w:val="0"/>
                <w:bCs/>
                <w:color w:val="auto"/>
                <w:kern w:val="0"/>
                <w:sz w:val="18"/>
                <w:szCs w:val="18"/>
                <w:highlight w:val="none"/>
                <w:lang w:eastAsia="zh-CN"/>
              </w:rPr>
            </w:pPr>
            <w:r>
              <w:rPr>
                <w:rFonts w:hint="eastAsia" w:ascii="宋体" w:hAnsi="宋体" w:eastAsia="宋体" w:cs="宋体"/>
                <w:b w:val="0"/>
                <w:bCs/>
                <w:sz w:val="18"/>
                <w:szCs w:val="18"/>
                <w:highlight w:val="none"/>
                <w:lang w:val="en-US" w:eastAsia="zh-CN"/>
              </w:rPr>
              <w:t>详见采购清单</w:t>
            </w:r>
          </w:p>
        </w:tc>
      </w:tr>
      <w:tr w14:paraId="589EFC2D">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394" w:hRule="atLeast"/>
          <w:jc w:val="center"/>
        </w:trPr>
        <w:tc>
          <w:tcPr>
            <w:tcW w:w="2447" w:type="dxa"/>
            <w:gridSpan w:val="2"/>
            <w:tcBorders>
              <w:top w:val="single" w:color="00000A" w:sz="12" w:space="0"/>
              <w:bottom w:val="single" w:color="00000A" w:sz="12" w:space="0"/>
              <w:right w:val="single" w:color="00000A" w:sz="12" w:space="0"/>
            </w:tcBorders>
            <w:noWrap w:val="0"/>
            <w:vAlign w:val="center"/>
          </w:tcPr>
          <w:p w14:paraId="24CA886F">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楼层数（层）：</w:t>
            </w:r>
          </w:p>
        </w:tc>
        <w:tc>
          <w:tcPr>
            <w:tcW w:w="7956" w:type="dxa"/>
            <w:tcBorders>
              <w:top w:val="single" w:color="00000A" w:sz="12" w:space="0"/>
              <w:left w:val="single" w:color="00000A" w:sz="12" w:space="0"/>
              <w:bottom w:val="single" w:color="00000A" w:sz="12" w:space="0"/>
              <w:right w:val="single" w:color="00000A" w:sz="12" w:space="0"/>
            </w:tcBorders>
            <w:noWrap w:val="0"/>
            <w:vAlign w:val="center"/>
          </w:tcPr>
          <w:p w14:paraId="196B3BA1">
            <w:pPr>
              <w:pStyle w:val="95"/>
              <w:keepNext w:val="0"/>
              <w:keepLines w:val="0"/>
              <w:pageBreakBefore w:val="0"/>
              <w:kinsoku/>
              <w:wordWrap/>
              <w:overflowPunct/>
              <w:topLinePunct w:val="0"/>
              <w:autoSpaceDE/>
              <w:autoSpaceDN/>
              <w:bidi w:val="0"/>
              <w:adjustRightInd/>
              <w:snapToGrid/>
              <w:spacing w:line="340" w:lineRule="exact"/>
              <w:ind w:left="0" w:right="0" w:rightChars="0"/>
              <w:jc w:val="center"/>
              <w:textAlignment w:val="auto"/>
              <w:rPr>
                <w:rFonts w:hint="default" w:ascii="宋体" w:hAnsi="宋体" w:cs="宋体"/>
                <w:b w:val="0"/>
                <w:bCs/>
                <w:color w:val="auto"/>
                <w:sz w:val="18"/>
                <w:szCs w:val="18"/>
                <w:highlight w:val="none"/>
                <w:lang w:val="en-US" w:eastAsia="zh-CN"/>
              </w:rPr>
            </w:pPr>
            <w:r>
              <w:rPr>
                <w:rFonts w:hint="eastAsia" w:ascii="宋体" w:hAnsi="宋体" w:eastAsia="宋体" w:cs="宋体"/>
                <w:b w:val="0"/>
                <w:bCs/>
                <w:sz w:val="18"/>
                <w:szCs w:val="18"/>
                <w:highlight w:val="none"/>
                <w:lang w:val="en-US" w:eastAsia="zh-CN"/>
              </w:rPr>
              <w:t>详见采购清单</w:t>
            </w:r>
          </w:p>
        </w:tc>
      </w:tr>
      <w:tr w14:paraId="275E5EB3">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394" w:hRule="atLeast"/>
          <w:jc w:val="center"/>
        </w:trPr>
        <w:tc>
          <w:tcPr>
            <w:tcW w:w="2447" w:type="dxa"/>
            <w:gridSpan w:val="2"/>
            <w:tcBorders>
              <w:top w:val="single" w:color="00000A" w:sz="12" w:space="0"/>
              <w:bottom w:val="single" w:color="00000A" w:sz="12" w:space="0"/>
              <w:right w:val="single" w:color="00000A" w:sz="12" w:space="0"/>
            </w:tcBorders>
            <w:noWrap w:val="0"/>
            <w:vAlign w:val="center"/>
          </w:tcPr>
          <w:p w14:paraId="01270811">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停站数（站）：</w:t>
            </w:r>
          </w:p>
        </w:tc>
        <w:tc>
          <w:tcPr>
            <w:tcW w:w="7956" w:type="dxa"/>
            <w:tcBorders>
              <w:top w:val="single" w:color="00000A" w:sz="12" w:space="0"/>
              <w:left w:val="single" w:color="00000A" w:sz="12" w:space="0"/>
              <w:bottom w:val="single" w:color="00000A" w:sz="12" w:space="0"/>
              <w:right w:val="single" w:color="00000A" w:sz="12" w:space="0"/>
            </w:tcBorders>
            <w:noWrap w:val="0"/>
            <w:vAlign w:val="center"/>
          </w:tcPr>
          <w:p w14:paraId="7FF3D24E">
            <w:pPr>
              <w:pStyle w:val="95"/>
              <w:keepNext w:val="0"/>
              <w:keepLines w:val="0"/>
              <w:pageBreakBefore w:val="0"/>
              <w:kinsoku/>
              <w:wordWrap/>
              <w:overflowPunct/>
              <w:topLinePunct w:val="0"/>
              <w:autoSpaceDE/>
              <w:autoSpaceDN/>
              <w:bidi w:val="0"/>
              <w:adjustRightInd/>
              <w:snapToGrid/>
              <w:spacing w:line="340" w:lineRule="exact"/>
              <w:ind w:left="0" w:right="0" w:rightChars="0"/>
              <w:jc w:val="center"/>
              <w:textAlignment w:val="auto"/>
              <w:rPr>
                <w:rFonts w:hint="default" w:ascii="宋体" w:hAnsi="宋体" w:cs="宋体"/>
                <w:b w:val="0"/>
                <w:bCs/>
                <w:color w:val="auto"/>
                <w:sz w:val="18"/>
                <w:szCs w:val="18"/>
                <w:highlight w:val="none"/>
                <w:lang w:val="en-US" w:eastAsia="zh-CN"/>
              </w:rPr>
            </w:pPr>
            <w:r>
              <w:rPr>
                <w:rFonts w:hint="eastAsia" w:ascii="宋体" w:hAnsi="宋体" w:eastAsia="宋体" w:cs="宋体"/>
                <w:b w:val="0"/>
                <w:bCs/>
                <w:sz w:val="18"/>
                <w:szCs w:val="18"/>
                <w:highlight w:val="none"/>
                <w:lang w:val="en-US" w:eastAsia="zh-CN"/>
              </w:rPr>
              <w:t>详见采购清单</w:t>
            </w:r>
          </w:p>
        </w:tc>
      </w:tr>
      <w:tr w14:paraId="135FFA16">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394" w:hRule="atLeast"/>
          <w:jc w:val="center"/>
        </w:trPr>
        <w:tc>
          <w:tcPr>
            <w:tcW w:w="2447" w:type="dxa"/>
            <w:gridSpan w:val="2"/>
            <w:tcBorders>
              <w:top w:val="single" w:color="00000A" w:sz="12" w:space="0"/>
              <w:right w:val="single" w:color="00000A" w:sz="12" w:space="0"/>
            </w:tcBorders>
            <w:noWrap w:val="0"/>
            <w:vAlign w:val="center"/>
          </w:tcPr>
          <w:p w14:paraId="082004BD">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井道宽*深（毫米）：</w:t>
            </w:r>
          </w:p>
        </w:tc>
        <w:tc>
          <w:tcPr>
            <w:tcW w:w="7956" w:type="dxa"/>
            <w:tcBorders>
              <w:top w:val="single" w:color="00000A" w:sz="12" w:space="0"/>
              <w:left w:val="single" w:color="00000A" w:sz="12" w:space="0"/>
              <w:right w:val="single" w:color="00000A" w:sz="12" w:space="0"/>
            </w:tcBorders>
            <w:noWrap w:val="0"/>
            <w:vAlign w:val="center"/>
          </w:tcPr>
          <w:p w14:paraId="22506B3D">
            <w:pPr>
              <w:pStyle w:val="95"/>
              <w:keepNext w:val="0"/>
              <w:keepLines w:val="0"/>
              <w:pageBreakBefore w:val="0"/>
              <w:widowControl w:val="0"/>
              <w:kinsoku/>
              <w:wordWrap/>
              <w:overflowPunct/>
              <w:topLinePunct w:val="0"/>
              <w:autoSpaceDE/>
              <w:autoSpaceDN/>
              <w:bidi w:val="0"/>
              <w:adjustRightInd/>
              <w:snapToGrid/>
              <w:spacing w:line="340" w:lineRule="exact"/>
              <w:ind w:left="0" w:right="0" w:rightChars="0"/>
              <w:jc w:val="center"/>
              <w:textAlignment w:val="auto"/>
              <w:rPr>
                <w:rFonts w:hint="eastAsia" w:ascii="宋体" w:hAnsi="宋体" w:eastAsia="宋体" w:cs="宋体"/>
                <w:b w:val="0"/>
                <w:bCs/>
                <w:color w:val="auto"/>
                <w:sz w:val="18"/>
                <w:szCs w:val="18"/>
                <w:highlight w:val="none"/>
                <w:lang w:val="en-US" w:eastAsia="zh-CN"/>
              </w:rPr>
            </w:pPr>
            <w:r>
              <w:rPr>
                <w:rFonts w:hint="eastAsia" w:ascii="宋体" w:hAnsi="宋体" w:eastAsia="宋体" w:cs="宋体"/>
                <w:b w:val="0"/>
                <w:bCs/>
                <w:sz w:val="18"/>
                <w:szCs w:val="18"/>
                <w:highlight w:val="none"/>
                <w:lang w:val="en-US" w:eastAsia="zh-CN"/>
              </w:rPr>
              <w:t>详见采购清单</w:t>
            </w:r>
          </w:p>
        </w:tc>
      </w:tr>
      <w:tr w14:paraId="24D08A7C">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90" w:hRule="atLeast"/>
          <w:jc w:val="center"/>
        </w:trPr>
        <w:tc>
          <w:tcPr>
            <w:tcW w:w="2447" w:type="dxa"/>
            <w:gridSpan w:val="2"/>
            <w:tcBorders>
              <w:bottom w:val="single" w:color="00000A" w:sz="12" w:space="0"/>
              <w:right w:val="single" w:color="00000A" w:sz="12" w:space="0"/>
            </w:tcBorders>
            <w:noWrap w:val="0"/>
            <w:vAlign w:val="center"/>
          </w:tcPr>
          <w:p w14:paraId="5443FAE3">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井道顶层高（毫米）：</w:t>
            </w:r>
          </w:p>
        </w:tc>
        <w:tc>
          <w:tcPr>
            <w:tcW w:w="7956" w:type="dxa"/>
            <w:tcBorders>
              <w:left w:val="single" w:color="00000A" w:sz="12" w:space="0"/>
              <w:bottom w:val="single" w:color="00000A" w:sz="12" w:space="0"/>
              <w:right w:val="single" w:color="00000A" w:sz="12" w:space="0"/>
            </w:tcBorders>
            <w:noWrap w:val="0"/>
            <w:vAlign w:val="center"/>
          </w:tcPr>
          <w:p w14:paraId="3CE8013A">
            <w:pPr>
              <w:pStyle w:val="95"/>
              <w:keepNext w:val="0"/>
              <w:keepLines w:val="0"/>
              <w:pageBreakBefore w:val="0"/>
              <w:kinsoku/>
              <w:wordWrap/>
              <w:overflowPunct/>
              <w:topLinePunct w:val="0"/>
              <w:autoSpaceDE/>
              <w:autoSpaceDN/>
              <w:bidi w:val="0"/>
              <w:adjustRightInd/>
              <w:snapToGrid/>
              <w:spacing w:line="340" w:lineRule="exact"/>
              <w:ind w:left="0" w:leftChars="0" w:right="0" w:rightChars="0"/>
              <w:jc w:val="center"/>
              <w:textAlignment w:val="auto"/>
              <w:rPr>
                <w:rFonts w:hint="eastAsia" w:ascii="宋体" w:hAnsi="宋体" w:eastAsia="宋体" w:cs="宋体"/>
                <w:b w:val="0"/>
                <w:bCs/>
                <w:color w:val="auto"/>
                <w:kern w:val="0"/>
                <w:sz w:val="18"/>
                <w:szCs w:val="18"/>
                <w:highlight w:val="none"/>
                <w:lang w:eastAsia="zh-CN"/>
              </w:rPr>
            </w:pPr>
            <w:r>
              <w:rPr>
                <w:rFonts w:hint="eastAsia" w:ascii="宋体" w:hAnsi="宋体" w:eastAsia="宋体" w:cs="宋体"/>
                <w:b w:val="0"/>
                <w:bCs/>
                <w:sz w:val="18"/>
                <w:szCs w:val="18"/>
                <w:highlight w:val="none"/>
                <w:lang w:val="en-US" w:eastAsia="zh-CN"/>
              </w:rPr>
              <w:t>详见采购清单</w:t>
            </w:r>
          </w:p>
        </w:tc>
      </w:tr>
      <w:tr w14:paraId="420A5EA0">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132" w:hRule="atLeast"/>
          <w:jc w:val="center"/>
        </w:trPr>
        <w:tc>
          <w:tcPr>
            <w:tcW w:w="2447" w:type="dxa"/>
            <w:gridSpan w:val="2"/>
            <w:tcBorders>
              <w:top w:val="single" w:color="00000A" w:sz="18" w:space="0"/>
              <w:left w:val="single" w:color="00000A" w:sz="18" w:space="0"/>
              <w:bottom w:val="single" w:color="00000A" w:sz="12" w:space="0"/>
              <w:right w:val="single" w:color="00000A" w:sz="12" w:space="0"/>
            </w:tcBorders>
            <w:noWrap w:val="0"/>
            <w:vAlign w:val="center"/>
          </w:tcPr>
          <w:p w14:paraId="38026702">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底坑深（毫米）：</w:t>
            </w:r>
          </w:p>
        </w:tc>
        <w:tc>
          <w:tcPr>
            <w:tcW w:w="7956" w:type="dxa"/>
            <w:tcBorders>
              <w:top w:val="single" w:color="00000A" w:sz="18" w:space="0"/>
              <w:left w:val="single" w:color="00000A" w:sz="12" w:space="0"/>
              <w:bottom w:val="single" w:color="00000A" w:sz="12" w:space="0"/>
              <w:right w:val="single" w:color="00000A" w:sz="12" w:space="0"/>
            </w:tcBorders>
            <w:noWrap w:val="0"/>
            <w:vAlign w:val="center"/>
          </w:tcPr>
          <w:p w14:paraId="30DFC1DE">
            <w:pPr>
              <w:pStyle w:val="95"/>
              <w:keepNext w:val="0"/>
              <w:keepLines w:val="0"/>
              <w:pageBreakBefore w:val="0"/>
              <w:kinsoku/>
              <w:wordWrap/>
              <w:overflowPunct/>
              <w:topLinePunct w:val="0"/>
              <w:autoSpaceDE/>
              <w:autoSpaceDN/>
              <w:bidi w:val="0"/>
              <w:adjustRightInd/>
              <w:snapToGrid/>
              <w:spacing w:line="340" w:lineRule="exact"/>
              <w:ind w:left="0" w:leftChars="0" w:right="0" w:rightChars="0"/>
              <w:jc w:val="center"/>
              <w:textAlignment w:val="auto"/>
              <w:rPr>
                <w:rFonts w:hint="eastAsia" w:ascii="宋体" w:hAnsi="宋体" w:eastAsia="宋体" w:cs="宋体"/>
                <w:b w:val="0"/>
                <w:bCs/>
                <w:color w:val="auto"/>
                <w:kern w:val="0"/>
                <w:sz w:val="18"/>
                <w:szCs w:val="18"/>
                <w:highlight w:val="none"/>
                <w:lang w:val="en-US" w:eastAsia="zh-CN"/>
              </w:rPr>
            </w:pPr>
            <w:r>
              <w:rPr>
                <w:rFonts w:hint="eastAsia" w:ascii="宋体" w:hAnsi="宋体" w:eastAsia="宋体" w:cs="宋体"/>
                <w:b w:val="0"/>
                <w:bCs/>
                <w:sz w:val="18"/>
                <w:szCs w:val="18"/>
                <w:highlight w:val="none"/>
                <w:lang w:val="en-US" w:eastAsia="zh-CN"/>
              </w:rPr>
              <w:t>详见采购清单</w:t>
            </w:r>
          </w:p>
        </w:tc>
      </w:tr>
      <w:tr w14:paraId="6EB00BEA">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94" w:hRule="atLeast"/>
          <w:jc w:val="center"/>
        </w:trPr>
        <w:tc>
          <w:tcPr>
            <w:tcW w:w="2447" w:type="dxa"/>
            <w:gridSpan w:val="2"/>
            <w:tcBorders>
              <w:top w:val="single" w:color="00000A" w:sz="18" w:space="0"/>
              <w:left w:val="single" w:color="00000A" w:sz="18" w:space="0"/>
              <w:bottom w:val="single" w:color="00000A" w:sz="12" w:space="0"/>
              <w:right w:val="single" w:color="00000A" w:sz="12" w:space="0"/>
            </w:tcBorders>
            <w:noWrap w:val="0"/>
            <w:vAlign w:val="center"/>
          </w:tcPr>
          <w:p w14:paraId="039554EB">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轿厢宽（毫米）：</w:t>
            </w:r>
          </w:p>
        </w:tc>
        <w:tc>
          <w:tcPr>
            <w:tcW w:w="7956" w:type="dxa"/>
            <w:tcBorders>
              <w:top w:val="single" w:color="00000A" w:sz="18" w:space="0"/>
              <w:left w:val="single" w:color="00000A" w:sz="12" w:space="0"/>
              <w:bottom w:val="single" w:color="00000A" w:sz="12" w:space="0"/>
              <w:right w:val="single" w:color="00000A" w:sz="12" w:space="0"/>
            </w:tcBorders>
            <w:noWrap w:val="0"/>
            <w:vAlign w:val="center"/>
          </w:tcPr>
          <w:p w14:paraId="793CC5EB">
            <w:pPr>
              <w:pStyle w:val="95"/>
              <w:keepNext w:val="0"/>
              <w:keepLines w:val="0"/>
              <w:pageBreakBefore w:val="0"/>
              <w:kinsoku/>
              <w:wordWrap/>
              <w:overflowPunct/>
              <w:topLinePunct w:val="0"/>
              <w:autoSpaceDE/>
              <w:autoSpaceDN/>
              <w:bidi w:val="0"/>
              <w:adjustRightInd/>
              <w:snapToGrid/>
              <w:spacing w:line="340" w:lineRule="exact"/>
              <w:ind w:left="0" w:leftChars="0" w:right="0" w:rightChars="0"/>
              <w:jc w:val="center"/>
              <w:textAlignment w:val="auto"/>
              <w:rPr>
                <w:rFonts w:hint="default" w:ascii="宋体" w:hAnsi="宋体" w:eastAsia="宋体" w:cs="宋体"/>
                <w:b w:val="0"/>
                <w:bCs/>
                <w:color w:val="auto"/>
                <w:sz w:val="18"/>
                <w:szCs w:val="18"/>
                <w:highlight w:val="none"/>
                <w:lang w:val="en-US" w:eastAsia="zh-CN"/>
              </w:rPr>
            </w:pPr>
            <w:r>
              <w:rPr>
                <w:rFonts w:hint="eastAsia" w:ascii="宋体" w:hAnsi="宋体" w:eastAsia="宋体" w:cs="宋体"/>
                <w:i w:val="0"/>
                <w:iCs w:val="0"/>
                <w:color w:val="000000"/>
                <w:kern w:val="0"/>
                <w:sz w:val="18"/>
                <w:szCs w:val="18"/>
                <w:u w:val="none"/>
                <w:lang w:val="en-US" w:eastAsia="zh-CN" w:bidi="ar"/>
              </w:rPr>
              <w:t>根据井道尺寸（内部净尺寸）进行适配定制</w:t>
            </w:r>
          </w:p>
        </w:tc>
      </w:tr>
      <w:tr w14:paraId="7922AB7F">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90" w:hRule="atLeast"/>
          <w:jc w:val="center"/>
        </w:trPr>
        <w:tc>
          <w:tcPr>
            <w:tcW w:w="2447" w:type="dxa"/>
            <w:gridSpan w:val="2"/>
            <w:tcBorders>
              <w:top w:val="single" w:color="00000A" w:sz="18" w:space="0"/>
              <w:left w:val="single" w:color="00000A" w:sz="18" w:space="0"/>
              <w:bottom w:val="single" w:color="00000A" w:sz="12" w:space="0"/>
              <w:right w:val="single" w:color="00000A" w:sz="12" w:space="0"/>
            </w:tcBorders>
            <w:noWrap w:val="0"/>
            <w:vAlign w:val="center"/>
          </w:tcPr>
          <w:p w14:paraId="78F94B7D">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轿厢深（毫米）：</w:t>
            </w:r>
          </w:p>
        </w:tc>
        <w:tc>
          <w:tcPr>
            <w:tcW w:w="7956" w:type="dxa"/>
            <w:tcBorders>
              <w:top w:val="single" w:color="00000A" w:sz="18" w:space="0"/>
              <w:left w:val="single" w:color="00000A" w:sz="12" w:space="0"/>
              <w:bottom w:val="single" w:color="00000A" w:sz="12" w:space="0"/>
              <w:right w:val="single" w:color="00000A" w:sz="12" w:space="0"/>
            </w:tcBorders>
            <w:noWrap w:val="0"/>
            <w:vAlign w:val="center"/>
          </w:tcPr>
          <w:p w14:paraId="6383C70C">
            <w:pPr>
              <w:keepNext w:val="0"/>
              <w:keepLines w:val="0"/>
              <w:pageBreakBefore w:val="0"/>
              <w:kinsoku/>
              <w:wordWrap/>
              <w:overflowPunct/>
              <w:topLinePunct w:val="0"/>
              <w:autoSpaceDE/>
              <w:autoSpaceDN/>
              <w:bidi w:val="0"/>
              <w:adjustRightInd/>
              <w:snapToGrid/>
              <w:spacing w:line="340" w:lineRule="exact"/>
              <w:ind w:left="0" w:leftChars="0" w:right="0" w:rightChars="0"/>
              <w:jc w:val="center"/>
              <w:textAlignment w:val="auto"/>
              <w:rPr>
                <w:rFonts w:hint="eastAsia" w:ascii="宋体" w:hAnsi="宋体" w:eastAsia="宋体" w:cs="宋体"/>
                <w:b w:val="0"/>
                <w:bCs/>
                <w:color w:val="auto"/>
                <w:sz w:val="18"/>
                <w:szCs w:val="18"/>
                <w:highlight w:val="none"/>
                <w:lang w:val="en-US" w:eastAsia="zh-CN"/>
              </w:rPr>
            </w:pPr>
            <w:r>
              <w:rPr>
                <w:rFonts w:hint="eastAsia" w:ascii="宋体" w:hAnsi="宋体" w:eastAsia="宋体" w:cs="宋体"/>
                <w:i w:val="0"/>
                <w:iCs w:val="0"/>
                <w:color w:val="000000"/>
                <w:kern w:val="0"/>
                <w:sz w:val="18"/>
                <w:szCs w:val="18"/>
                <w:u w:val="none"/>
                <w:lang w:val="en-US" w:eastAsia="zh-CN" w:bidi="ar"/>
              </w:rPr>
              <w:t>根据井道尺寸（内部净尺寸）进行适配定制</w:t>
            </w:r>
          </w:p>
        </w:tc>
      </w:tr>
      <w:tr w14:paraId="28CFBEE7">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133" w:hRule="atLeast"/>
          <w:jc w:val="center"/>
        </w:trPr>
        <w:tc>
          <w:tcPr>
            <w:tcW w:w="2447" w:type="dxa"/>
            <w:gridSpan w:val="2"/>
            <w:tcBorders>
              <w:top w:val="single" w:color="00000A" w:sz="18" w:space="0"/>
              <w:left w:val="single" w:color="00000A" w:sz="18" w:space="0"/>
              <w:bottom w:val="single" w:color="00000A" w:sz="12" w:space="0"/>
              <w:right w:val="single" w:color="00000A" w:sz="12" w:space="0"/>
            </w:tcBorders>
            <w:noWrap w:val="0"/>
            <w:vAlign w:val="center"/>
          </w:tcPr>
          <w:p w14:paraId="08C9798F">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轿厢高（毫米）：</w:t>
            </w:r>
          </w:p>
        </w:tc>
        <w:tc>
          <w:tcPr>
            <w:tcW w:w="7956" w:type="dxa"/>
            <w:tcBorders>
              <w:top w:val="single" w:color="00000A" w:sz="18" w:space="0"/>
              <w:left w:val="single" w:color="00000A" w:sz="12" w:space="0"/>
              <w:bottom w:val="single" w:color="00000A" w:sz="12" w:space="0"/>
              <w:right w:val="single" w:color="00000A" w:sz="12" w:space="0"/>
            </w:tcBorders>
            <w:noWrap w:val="0"/>
            <w:vAlign w:val="center"/>
          </w:tcPr>
          <w:p w14:paraId="5B17445A">
            <w:pPr>
              <w:keepNext w:val="0"/>
              <w:keepLines w:val="0"/>
              <w:pageBreakBefore w:val="0"/>
              <w:kinsoku/>
              <w:wordWrap/>
              <w:overflowPunct/>
              <w:topLinePunct w:val="0"/>
              <w:autoSpaceDE/>
              <w:autoSpaceDN/>
              <w:bidi w:val="0"/>
              <w:adjustRightInd/>
              <w:snapToGrid/>
              <w:spacing w:line="340" w:lineRule="exact"/>
              <w:ind w:left="0" w:leftChars="0" w:right="0" w:rightChars="0"/>
              <w:jc w:val="center"/>
              <w:textAlignment w:val="auto"/>
              <w:rPr>
                <w:rFonts w:hint="eastAsia" w:ascii="宋体" w:hAnsi="宋体" w:eastAsia="宋体" w:cs="宋体"/>
                <w:b w:val="0"/>
                <w:bCs/>
                <w:color w:val="auto"/>
                <w:kern w:val="0"/>
                <w:sz w:val="18"/>
                <w:szCs w:val="18"/>
                <w:highlight w:val="none"/>
                <w:lang w:eastAsia="zh-CN"/>
              </w:rPr>
            </w:pPr>
            <w:r>
              <w:rPr>
                <w:rFonts w:hint="eastAsia" w:ascii="宋体" w:hAnsi="宋体" w:eastAsia="宋体" w:cs="宋体"/>
                <w:i w:val="0"/>
                <w:iCs w:val="0"/>
                <w:color w:val="000000"/>
                <w:kern w:val="0"/>
                <w:sz w:val="18"/>
                <w:szCs w:val="18"/>
                <w:u w:val="none"/>
                <w:lang w:val="en-US" w:eastAsia="zh-CN" w:bidi="ar"/>
              </w:rPr>
              <w:t>根据井道尺寸（内部净尺寸）进行适配定制</w:t>
            </w:r>
          </w:p>
        </w:tc>
      </w:tr>
      <w:tr w14:paraId="02CBB7FD">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133" w:hRule="atLeast"/>
          <w:jc w:val="center"/>
        </w:trPr>
        <w:tc>
          <w:tcPr>
            <w:tcW w:w="2447" w:type="dxa"/>
            <w:gridSpan w:val="2"/>
            <w:tcBorders>
              <w:top w:val="single" w:color="00000A" w:sz="18" w:space="0"/>
              <w:left w:val="single" w:color="00000A" w:sz="18" w:space="0"/>
              <w:bottom w:val="single" w:color="00000A" w:sz="12" w:space="0"/>
              <w:right w:val="single" w:color="00000A" w:sz="12" w:space="0"/>
            </w:tcBorders>
            <w:noWrap w:val="0"/>
            <w:vAlign w:val="center"/>
          </w:tcPr>
          <w:p w14:paraId="55A673F5">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门宽（毫米）：</w:t>
            </w:r>
          </w:p>
        </w:tc>
        <w:tc>
          <w:tcPr>
            <w:tcW w:w="7956" w:type="dxa"/>
            <w:tcBorders>
              <w:top w:val="single" w:color="00000A" w:sz="18" w:space="0"/>
              <w:left w:val="single" w:color="00000A" w:sz="12" w:space="0"/>
              <w:bottom w:val="single" w:color="00000A" w:sz="12" w:space="0"/>
              <w:right w:val="single" w:color="00000A" w:sz="12" w:space="0"/>
            </w:tcBorders>
            <w:noWrap w:val="0"/>
            <w:vAlign w:val="center"/>
          </w:tcPr>
          <w:p w14:paraId="2B4D914E">
            <w:pPr>
              <w:pStyle w:val="95"/>
              <w:keepNext w:val="0"/>
              <w:keepLines w:val="0"/>
              <w:pageBreakBefore w:val="0"/>
              <w:kinsoku/>
              <w:wordWrap/>
              <w:overflowPunct/>
              <w:topLinePunct w:val="0"/>
              <w:autoSpaceDE/>
              <w:autoSpaceDN/>
              <w:bidi w:val="0"/>
              <w:adjustRightInd/>
              <w:snapToGrid/>
              <w:spacing w:line="340" w:lineRule="exact"/>
              <w:ind w:left="0" w:leftChars="0" w:right="0" w:rightChars="0"/>
              <w:jc w:val="center"/>
              <w:textAlignment w:val="auto"/>
              <w:rPr>
                <w:rFonts w:hint="eastAsia" w:ascii="宋体" w:hAnsi="宋体" w:eastAsia="宋体" w:cs="宋体"/>
                <w:b w:val="0"/>
                <w:bCs/>
                <w:color w:val="auto"/>
                <w:kern w:val="0"/>
                <w:sz w:val="18"/>
                <w:szCs w:val="18"/>
                <w:highlight w:val="none"/>
                <w:lang w:eastAsia="zh-CN"/>
              </w:rPr>
            </w:pPr>
            <w:r>
              <w:rPr>
                <w:rFonts w:hint="eastAsia" w:ascii="宋体" w:hAnsi="宋体" w:eastAsia="宋体" w:cs="宋体"/>
                <w:i w:val="0"/>
                <w:iCs w:val="0"/>
                <w:color w:val="000000"/>
                <w:kern w:val="0"/>
                <w:sz w:val="18"/>
                <w:szCs w:val="18"/>
                <w:u w:val="none"/>
                <w:lang w:val="en-US" w:eastAsia="zh-CN" w:bidi="ar"/>
              </w:rPr>
              <w:t>根据门洞尺寸（结构面尺寸）进行适配定制</w:t>
            </w:r>
          </w:p>
        </w:tc>
      </w:tr>
      <w:tr w14:paraId="7F144039">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222" w:hRule="atLeast"/>
          <w:jc w:val="center"/>
        </w:trPr>
        <w:tc>
          <w:tcPr>
            <w:tcW w:w="2447" w:type="dxa"/>
            <w:gridSpan w:val="2"/>
            <w:tcBorders>
              <w:top w:val="single" w:color="00000A" w:sz="18" w:space="0"/>
              <w:left w:val="single" w:color="00000A" w:sz="18" w:space="0"/>
              <w:bottom w:val="single" w:color="00000A" w:sz="12" w:space="0"/>
              <w:right w:val="single" w:color="00000A" w:sz="12" w:space="0"/>
            </w:tcBorders>
            <w:noWrap w:val="0"/>
            <w:vAlign w:val="center"/>
          </w:tcPr>
          <w:p w14:paraId="67251CEF">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门高（毫米）：</w:t>
            </w:r>
          </w:p>
        </w:tc>
        <w:tc>
          <w:tcPr>
            <w:tcW w:w="7956" w:type="dxa"/>
            <w:tcBorders>
              <w:top w:val="single" w:color="00000A" w:sz="18" w:space="0"/>
              <w:left w:val="single" w:color="00000A" w:sz="12" w:space="0"/>
              <w:bottom w:val="single" w:color="00000A" w:sz="12" w:space="0"/>
              <w:right w:val="single" w:color="00000A" w:sz="12" w:space="0"/>
            </w:tcBorders>
            <w:noWrap w:val="0"/>
            <w:vAlign w:val="center"/>
          </w:tcPr>
          <w:p w14:paraId="25890BAB">
            <w:pPr>
              <w:pStyle w:val="95"/>
              <w:keepNext w:val="0"/>
              <w:keepLines w:val="0"/>
              <w:pageBreakBefore w:val="0"/>
              <w:kinsoku/>
              <w:wordWrap/>
              <w:overflowPunct/>
              <w:topLinePunct w:val="0"/>
              <w:autoSpaceDE/>
              <w:autoSpaceDN/>
              <w:bidi w:val="0"/>
              <w:adjustRightInd/>
              <w:snapToGrid/>
              <w:spacing w:line="340" w:lineRule="exact"/>
              <w:ind w:left="0" w:leftChars="0" w:right="0" w:rightChars="0"/>
              <w:jc w:val="center"/>
              <w:textAlignment w:val="auto"/>
              <w:rPr>
                <w:rFonts w:hint="eastAsia" w:ascii="宋体" w:hAnsi="宋体" w:eastAsia="宋体" w:cs="宋体"/>
                <w:b w:val="0"/>
                <w:bCs/>
                <w:color w:val="auto"/>
                <w:kern w:val="0"/>
                <w:sz w:val="18"/>
                <w:szCs w:val="18"/>
                <w:highlight w:val="none"/>
                <w:lang w:eastAsia="zh-CN"/>
              </w:rPr>
            </w:pPr>
            <w:r>
              <w:rPr>
                <w:rFonts w:hint="eastAsia" w:ascii="宋体" w:hAnsi="宋体" w:eastAsia="宋体" w:cs="宋体"/>
                <w:i w:val="0"/>
                <w:iCs w:val="0"/>
                <w:color w:val="000000"/>
                <w:kern w:val="0"/>
                <w:sz w:val="18"/>
                <w:szCs w:val="18"/>
                <w:u w:val="none"/>
                <w:lang w:val="en-US" w:eastAsia="zh-CN" w:bidi="ar"/>
              </w:rPr>
              <w:t>根据门洞尺寸（结构面尺寸）进行适配定制</w:t>
            </w:r>
          </w:p>
        </w:tc>
      </w:tr>
      <w:tr w14:paraId="29CA359F">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90" w:hRule="atLeast"/>
          <w:jc w:val="center"/>
        </w:trPr>
        <w:tc>
          <w:tcPr>
            <w:tcW w:w="2447" w:type="dxa"/>
            <w:gridSpan w:val="2"/>
            <w:tcBorders>
              <w:top w:val="single" w:color="00000A" w:sz="18" w:space="0"/>
              <w:left w:val="single" w:color="00000A" w:sz="18" w:space="0"/>
              <w:bottom w:val="single" w:color="00000A" w:sz="12" w:space="0"/>
              <w:right w:val="single" w:color="00000A" w:sz="12" w:space="0"/>
            </w:tcBorders>
            <w:noWrap w:val="0"/>
            <w:vAlign w:val="center"/>
          </w:tcPr>
          <w:p w14:paraId="3E8BA9DC">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轿门数量（套）：</w:t>
            </w:r>
          </w:p>
        </w:tc>
        <w:tc>
          <w:tcPr>
            <w:tcW w:w="7956" w:type="dxa"/>
            <w:tcBorders>
              <w:top w:val="single" w:color="00000A" w:sz="18" w:space="0"/>
              <w:left w:val="single" w:color="00000A" w:sz="12" w:space="0"/>
              <w:bottom w:val="single" w:color="00000A" w:sz="12" w:space="0"/>
              <w:right w:val="single" w:color="00000A" w:sz="12" w:space="0"/>
            </w:tcBorders>
            <w:noWrap w:val="0"/>
            <w:vAlign w:val="center"/>
          </w:tcPr>
          <w:p w14:paraId="281043F9">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default" w:ascii="宋体" w:hAnsi="宋体" w:eastAsia="宋体" w:cs="宋体"/>
                <w:b w:val="0"/>
                <w:bCs/>
                <w:color w:val="auto"/>
                <w:sz w:val="18"/>
                <w:szCs w:val="18"/>
                <w:highlight w:val="none"/>
                <w:lang w:val="en-US" w:eastAsia="zh-CN"/>
              </w:rPr>
            </w:pPr>
            <w:r>
              <w:rPr>
                <w:rFonts w:hint="eastAsia" w:cs="宋体"/>
                <w:b w:val="0"/>
                <w:bCs/>
                <w:color w:val="auto"/>
                <w:sz w:val="18"/>
                <w:szCs w:val="18"/>
                <w:highlight w:val="none"/>
                <w:lang w:val="en-US" w:eastAsia="zh-CN"/>
              </w:rPr>
              <w:t>每部电梯/1套</w:t>
            </w:r>
          </w:p>
        </w:tc>
      </w:tr>
      <w:tr w14:paraId="4D7FA8EA">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223" w:hRule="atLeast"/>
          <w:jc w:val="center"/>
        </w:trPr>
        <w:tc>
          <w:tcPr>
            <w:tcW w:w="2447" w:type="dxa"/>
            <w:gridSpan w:val="2"/>
            <w:tcBorders>
              <w:top w:val="single" w:color="00000A" w:sz="18" w:space="0"/>
              <w:left w:val="single" w:color="00000A" w:sz="18" w:space="0"/>
              <w:bottom w:val="single" w:color="00000A" w:sz="12" w:space="0"/>
              <w:right w:val="single" w:color="00000A" w:sz="12" w:space="0"/>
            </w:tcBorders>
            <w:noWrap w:val="0"/>
            <w:vAlign w:val="center"/>
          </w:tcPr>
          <w:p w14:paraId="5BCBCF09">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厅门数量</w:t>
            </w:r>
            <w:r>
              <w:rPr>
                <w:rFonts w:hint="eastAsia" w:cs="宋体"/>
                <w:b w:val="0"/>
                <w:bCs/>
                <w:color w:val="auto"/>
                <w:sz w:val="18"/>
                <w:szCs w:val="18"/>
                <w:highlight w:val="none"/>
                <w:lang w:eastAsia="zh-CN"/>
              </w:rPr>
              <w:t>（</w:t>
            </w:r>
            <w:r>
              <w:rPr>
                <w:rFonts w:hint="eastAsia" w:cs="宋体"/>
                <w:b w:val="0"/>
                <w:bCs/>
                <w:color w:val="auto"/>
                <w:sz w:val="18"/>
                <w:szCs w:val="18"/>
                <w:highlight w:val="none"/>
                <w:lang w:val="en-US" w:eastAsia="zh-CN"/>
              </w:rPr>
              <w:t>停站数</w:t>
            </w:r>
            <w:r>
              <w:rPr>
                <w:rFonts w:hint="eastAsia" w:cs="宋体"/>
                <w:b w:val="0"/>
                <w:bCs/>
                <w:color w:val="auto"/>
                <w:sz w:val="18"/>
                <w:szCs w:val="18"/>
                <w:highlight w:val="none"/>
                <w:lang w:eastAsia="zh-CN"/>
              </w:rPr>
              <w:t>）</w:t>
            </w:r>
            <w:r>
              <w:rPr>
                <w:rFonts w:hint="eastAsia" w:ascii="宋体" w:hAnsi="宋体" w:eastAsia="宋体" w:cs="宋体"/>
                <w:b w:val="0"/>
                <w:bCs/>
                <w:color w:val="auto"/>
                <w:sz w:val="18"/>
                <w:szCs w:val="18"/>
                <w:highlight w:val="none"/>
              </w:rPr>
              <w:t>：</w:t>
            </w:r>
          </w:p>
        </w:tc>
        <w:tc>
          <w:tcPr>
            <w:tcW w:w="7956" w:type="dxa"/>
            <w:tcBorders>
              <w:top w:val="single" w:color="00000A" w:sz="18" w:space="0"/>
              <w:left w:val="single" w:color="00000A" w:sz="12" w:space="0"/>
              <w:bottom w:val="single" w:color="00000A" w:sz="12" w:space="0"/>
              <w:right w:val="single" w:color="00000A" w:sz="12" w:space="0"/>
            </w:tcBorders>
            <w:noWrap w:val="0"/>
            <w:vAlign w:val="center"/>
          </w:tcPr>
          <w:p w14:paraId="078F0CBF">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default" w:ascii="宋体" w:hAnsi="宋体" w:cs="宋体"/>
                <w:b w:val="0"/>
                <w:bCs/>
                <w:color w:val="auto"/>
                <w:sz w:val="18"/>
                <w:szCs w:val="18"/>
                <w:highlight w:val="none"/>
                <w:lang w:val="en-US" w:eastAsia="zh-CN"/>
              </w:rPr>
            </w:pPr>
            <w:r>
              <w:rPr>
                <w:rFonts w:hint="eastAsia" w:ascii="宋体" w:hAnsi="宋体" w:eastAsia="宋体" w:cs="宋体"/>
                <w:b w:val="0"/>
                <w:bCs/>
                <w:sz w:val="18"/>
                <w:szCs w:val="18"/>
                <w:highlight w:val="none"/>
                <w:lang w:val="en-US" w:eastAsia="zh-CN"/>
              </w:rPr>
              <w:t>详见采购清单</w:t>
            </w:r>
          </w:p>
        </w:tc>
      </w:tr>
      <w:tr w14:paraId="6A83358A">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223" w:hRule="atLeast"/>
          <w:jc w:val="center"/>
        </w:trPr>
        <w:tc>
          <w:tcPr>
            <w:tcW w:w="2447" w:type="dxa"/>
            <w:gridSpan w:val="2"/>
            <w:tcBorders>
              <w:top w:val="single" w:color="00000A" w:sz="18" w:space="0"/>
              <w:left w:val="single" w:color="00000A" w:sz="18" w:space="0"/>
              <w:bottom w:val="single" w:color="00000A" w:sz="12" w:space="0"/>
              <w:right w:val="single" w:color="00000A" w:sz="12" w:space="0"/>
            </w:tcBorders>
            <w:noWrap w:val="0"/>
            <w:vAlign w:val="center"/>
          </w:tcPr>
          <w:p w14:paraId="4CF35522">
            <w:pPr>
              <w:keepNext w:val="0"/>
              <w:keepLines w:val="0"/>
              <w:pageBreakBefore w:val="0"/>
              <w:widowControl/>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kern w:val="0"/>
                <w:sz w:val="18"/>
                <w:szCs w:val="18"/>
                <w:highlight w:val="none"/>
                <w:lang w:val="en-US" w:eastAsia="zh-CN" w:bidi="ar-SA"/>
              </w:rPr>
            </w:pPr>
            <w:r>
              <w:rPr>
                <w:rFonts w:hint="eastAsia" w:ascii="宋体" w:hAnsi="宋体" w:cs="宋体"/>
                <w:b w:val="0"/>
                <w:bCs/>
                <w:kern w:val="0"/>
                <w:sz w:val="18"/>
                <w:szCs w:val="18"/>
                <w:highlight w:val="none"/>
              </w:rPr>
              <w:t>开门方式</w:t>
            </w:r>
            <w:r>
              <w:rPr>
                <w:rFonts w:hint="eastAsia" w:ascii="宋体" w:hAnsi="宋体" w:cs="宋体"/>
                <w:b w:val="0"/>
                <w:bCs/>
                <w:kern w:val="0"/>
                <w:sz w:val="18"/>
                <w:szCs w:val="18"/>
                <w:highlight w:val="none"/>
                <w:lang w:eastAsia="zh-CN"/>
              </w:rPr>
              <w:t>：</w:t>
            </w:r>
          </w:p>
        </w:tc>
        <w:tc>
          <w:tcPr>
            <w:tcW w:w="7956" w:type="dxa"/>
            <w:tcBorders>
              <w:top w:val="single" w:color="00000A" w:sz="18" w:space="0"/>
              <w:left w:val="single" w:color="00000A" w:sz="12" w:space="0"/>
              <w:bottom w:val="single" w:color="00000A" w:sz="12" w:space="0"/>
              <w:right w:val="single" w:color="00000A" w:sz="12" w:space="0"/>
            </w:tcBorders>
            <w:noWrap w:val="0"/>
            <w:vAlign w:val="center"/>
          </w:tcPr>
          <w:p w14:paraId="1EE5B64D">
            <w:pPr>
              <w:keepNext w:val="0"/>
              <w:keepLines w:val="0"/>
              <w:pageBreakBefore w:val="0"/>
              <w:widowControl/>
              <w:kinsoku/>
              <w:wordWrap/>
              <w:overflowPunct/>
              <w:topLinePunct w:val="0"/>
              <w:autoSpaceDE/>
              <w:autoSpaceDN/>
              <w:bidi w:val="0"/>
              <w:adjustRightInd/>
              <w:snapToGrid/>
              <w:spacing w:line="340" w:lineRule="exact"/>
              <w:ind w:left="0" w:right="0"/>
              <w:jc w:val="center"/>
              <w:textAlignment w:val="auto"/>
              <w:rPr>
                <w:rFonts w:hint="eastAsia" w:ascii="宋体" w:hAnsi="宋体" w:cs="宋体"/>
                <w:b w:val="0"/>
                <w:bCs/>
                <w:color w:val="auto"/>
                <w:sz w:val="18"/>
                <w:szCs w:val="18"/>
                <w:highlight w:val="none"/>
                <w:lang w:val="en-US" w:eastAsia="zh-CN"/>
              </w:rPr>
            </w:pPr>
            <w:r>
              <w:rPr>
                <w:rFonts w:hint="eastAsia" w:ascii="宋体" w:hAnsi="宋体" w:eastAsia="宋体" w:cs="宋体"/>
                <w:b w:val="0"/>
                <w:bCs/>
                <w:kern w:val="0"/>
                <w:sz w:val="18"/>
                <w:szCs w:val="18"/>
                <w:highlight w:val="none"/>
                <w:lang w:val="en-US" w:eastAsia="zh-CN" w:bidi="zh-CN"/>
              </w:rPr>
              <w:t>中分双扇门</w:t>
            </w:r>
          </w:p>
        </w:tc>
      </w:tr>
      <w:tr w14:paraId="579D2B89">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223" w:hRule="atLeast"/>
          <w:jc w:val="center"/>
        </w:trPr>
        <w:tc>
          <w:tcPr>
            <w:tcW w:w="2447" w:type="dxa"/>
            <w:gridSpan w:val="2"/>
            <w:tcBorders>
              <w:top w:val="single" w:color="00000A" w:sz="18" w:space="0"/>
              <w:left w:val="single" w:color="00000A" w:sz="18" w:space="0"/>
              <w:bottom w:val="single" w:color="00000A" w:sz="12" w:space="0"/>
              <w:right w:val="single" w:color="00000A" w:sz="12" w:space="0"/>
            </w:tcBorders>
            <w:noWrap w:val="0"/>
            <w:vAlign w:val="center"/>
          </w:tcPr>
          <w:p w14:paraId="011594D7">
            <w:pPr>
              <w:keepNext w:val="0"/>
              <w:keepLines w:val="0"/>
              <w:pageBreakBefore w:val="0"/>
              <w:widowControl/>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kern w:val="0"/>
                <w:sz w:val="18"/>
                <w:szCs w:val="18"/>
                <w:highlight w:val="none"/>
                <w:lang w:val="en-US" w:eastAsia="zh-CN" w:bidi="ar-SA"/>
              </w:rPr>
            </w:pPr>
            <w:r>
              <w:rPr>
                <w:rFonts w:hint="eastAsia" w:ascii="宋体" w:hAnsi="宋体" w:cs="宋体"/>
                <w:b w:val="0"/>
                <w:bCs/>
                <w:kern w:val="0"/>
                <w:sz w:val="18"/>
                <w:szCs w:val="18"/>
                <w:highlight w:val="none"/>
              </w:rPr>
              <w:t>开门尺寸</w:t>
            </w:r>
            <w:r>
              <w:rPr>
                <w:rFonts w:hint="eastAsia" w:ascii="宋体" w:hAnsi="宋体" w:cs="宋体"/>
                <w:b w:val="0"/>
                <w:bCs/>
                <w:kern w:val="0"/>
                <w:sz w:val="18"/>
                <w:szCs w:val="18"/>
                <w:highlight w:val="none"/>
                <w:lang w:eastAsia="zh-CN"/>
              </w:rPr>
              <w:t>：</w:t>
            </w:r>
          </w:p>
        </w:tc>
        <w:tc>
          <w:tcPr>
            <w:tcW w:w="7956" w:type="dxa"/>
            <w:tcBorders>
              <w:top w:val="single" w:color="00000A" w:sz="18" w:space="0"/>
              <w:left w:val="single" w:color="00000A" w:sz="12" w:space="0"/>
              <w:bottom w:val="single" w:color="00000A" w:sz="12" w:space="0"/>
              <w:right w:val="single" w:color="00000A" w:sz="12" w:space="0"/>
            </w:tcBorders>
            <w:noWrap w:val="0"/>
            <w:vAlign w:val="center"/>
          </w:tcPr>
          <w:p w14:paraId="53018959">
            <w:pPr>
              <w:pStyle w:val="95"/>
              <w:keepNext w:val="0"/>
              <w:keepLines w:val="0"/>
              <w:pageBreakBefore w:val="0"/>
              <w:kinsoku/>
              <w:wordWrap/>
              <w:overflowPunct/>
              <w:topLinePunct w:val="0"/>
              <w:autoSpaceDE/>
              <w:autoSpaceDN/>
              <w:bidi w:val="0"/>
              <w:adjustRightInd/>
              <w:snapToGrid/>
              <w:spacing w:line="340" w:lineRule="exact"/>
              <w:ind w:left="0" w:leftChars="0" w:right="0" w:rightChars="0"/>
              <w:jc w:val="center"/>
              <w:textAlignment w:val="auto"/>
              <w:rPr>
                <w:rFonts w:hint="eastAsia" w:ascii="宋体" w:hAnsi="宋体" w:eastAsia="宋体" w:cs="宋体"/>
                <w:b w:val="0"/>
                <w:bCs/>
                <w:color w:val="auto"/>
                <w:kern w:val="0"/>
                <w:sz w:val="18"/>
                <w:szCs w:val="18"/>
                <w:highlight w:val="none"/>
                <w:lang w:val="en-US" w:eastAsia="zh-CN"/>
              </w:rPr>
            </w:pPr>
            <w:r>
              <w:rPr>
                <w:rFonts w:hint="eastAsia" w:ascii="宋体" w:hAnsi="宋体" w:eastAsia="宋体" w:cs="宋体"/>
                <w:i w:val="0"/>
                <w:iCs w:val="0"/>
                <w:color w:val="000000"/>
                <w:kern w:val="0"/>
                <w:sz w:val="18"/>
                <w:szCs w:val="18"/>
                <w:u w:val="none"/>
                <w:lang w:val="en-US" w:eastAsia="zh-CN" w:bidi="ar"/>
              </w:rPr>
              <w:t>根据门洞尺寸（结构面尺寸）进行适配定制</w:t>
            </w:r>
          </w:p>
        </w:tc>
      </w:tr>
      <w:tr w14:paraId="48F46FA4">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223" w:hRule="atLeast"/>
          <w:jc w:val="center"/>
        </w:trPr>
        <w:tc>
          <w:tcPr>
            <w:tcW w:w="2447" w:type="dxa"/>
            <w:gridSpan w:val="2"/>
            <w:tcBorders>
              <w:top w:val="single" w:color="00000A" w:sz="18" w:space="0"/>
              <w:left w:val="single" w:color="00000A" w:sz="18" w:space="0"/>
              <w:bottom w:val="single" w:color="00000A" w:sz="12" w:space="0"/>
              <w:right w:val="single" w:color="00000A" w:sz="12" w:space="0"/>
            </w:tcBorders>
            <w:noWrap w:val="0"/>
            <w:vAlign w:val="center"/>
          </w:tcPr>
          <w:p w14:paraId="27C8F1B5">
            <w:pPr>
              <w:keepNext w:val="0"/>
              <w:keepLines w:val="0"/>
              <w:pageBreakBefore w:val="0"/>
              <w:widowControl/>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kern w:val="0"/>
                <w:sz w:val="18"/>
                <w:szCs w:val="18"/>
                <w:highlight w:val="none"/>
                <w:lang w:val="en-US" w:eastAsia="zh-CN" w:bidi="ar-SA"/>
              </w:rPr>
            </w:pPr>
            <w:r>
              <w:rPr>
                <w:rFonts w:hint="eastAsia" w:ascii="宋体" w:hAnsi="宋体" w:cs="宋体"/>
                <w:b w:val="0"/>
                <w:bCs/>
                <w:kern w:val="0"/>
                <w:sz w:val="18"/>
                <w:szCs w:val="18"/>
                <w:highlight w:val="none"/>
              </w:rPr>
              <w:t>门洞尺寸</w:t>
            </w:r>
            <w:r>
              <w:rPr>
                <w:rFonts w:hint="eastAsia" w:ascii="宋体" w:hAnsi="宋体" w:cs="宋体"/>
                <w:b w:val="0"/>
                <w:bCs/>
                <w:kern w:val="0"/>
                <w:sz w:val="18"/>
                <w:szCs w:val="18"/>
                <w:highlight w:val="none"/>
                <w:lang w:eastAsia="zh-CN"/>
              </w:rPr>
              <w:t>：</w:t>
            </w:r>
          </w:p>
        </w:tc>
        <w:tc>
          <w:tcPr>
            <w:tcW w:w="7956" w:type="dxa"/>
            <w:tcBorders>
              <w:top w:val="single" w:color="00000A" w:sz="18" w:space="0"/>
              <w:left w:val="single" w:color="00000A" w:sz="12" w:space="0"/>
              <w:bottom w:val="single" w:color="00000A" w:sz="12" w:space="0"/>
              <w:right w:val="single" w:color="00000A" w:sz="12" w:space="0"/>
            </w:tcBorders>
            <w:noWrap w:val="0"/>
            <w:vAlign w:val="center"/>
          </w:tcPr>
          <w:p w14:paraId="34D1A700">
            <w:pPr>
              <w:pStyle w:val="95"/>
              <w:keepNext w:val="0"/>
              <w:keepLines w:val="0"/>
              <w:pageBreakBefore w:val="0"/>
              <w:kinsoku/>
              <w:wordWrap/>
              <w:overflowPunct/>
              <w:topLinePunct w:val="0"/>
              <w:autoSpaceDE/>
              <w:autoSpaceDN/>
              <w:bidi w:val="0"/>
              <w:adjustRightInd/>
              <w:snapToGrid/>
              <w:spacing w:line="340" w:lineRule="exact"/>
              <w:ind w:left="0" w:leftChars="0" w:right="0" w:rightChars="0"/>
              <w:jc w:val="center"/>
              <w:textAlignment w:val="auto"/>
              <w:rPr>
                <w:rFonts w:hint="eastAsia" w:ascii="宋体" w:hAnsi="宋体" w:eastAsia="宋体" w:cs="宋体"/>
                <w:b w:val="0"/>
                <w:bCs/>
                <w:color w:val="auto"/>
                <w:kern w:val="0"/>
                <w:sz w:val="18"/>
                <w:szCs w:val="18"/>
                <w:highlight w:val="none"/>
                <w:lang w:val="en-US" w:eastAsia="zh-CN"/>
              </w:rPr>
            </w:pPr>
            <w:r>
              <w:rPr>
                <w:rFonts w:hint="eastAsia" w:ascii="宋体" w:hAnsi="宋体" w:eastAsia="宋体" w:cs="宋体"/>
                <w:b w:val="0"/>
                <w:bCs/>
                <w:sz w:val="18"/>
                <w:szCs w:val="18"/>
                <w:highlight w:val="none"/>
                <w:lang w:val="en-US" w:eastAsia="zh-CN"/>
              </w:rPr>
              <w:t>详见采购清单</w:t>
            </w:r>
          </w:p>
        </w:tc>
      </w:tr>
      <w:tr w14:paraId="6AEC1787">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395" w:hRule="atLeast"/>
          <w:jc w:val="center"/>
        </w:trPr>
        <w:tc>
          <w:tcPr>
            <w:tcW w:w="889" w:type="dxa"/>
            <w:vMerge w:val="restart"/>
            <w:tcBorders>
              <w:top w:val="single" w:color="00000A" w:sz="12" w:space="0"/>
              <w:right w:val="single" w:color="00000A" w:sz="12" w:space="0"/>
            </w:tcBorders>
            <w:noWrap w:val="0"/>
            <w:vAlign w:val="center"/>
          </w:tcPr>
          <w:p w14:paraId="5BAA5C95">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轿箱内装饰</w:t>
            </w:r>
          </w:p>
        </w:tc>
        <w:tc>
          <w:tcPr>
            <w:tcW w:w="1558" w:type="dxa"/>
            <w:tcBorders>
              <w:top w:val="single" w:color="00000A" w:sz="12" w:space="0"/>
              <w:left w:val="single" w:color="00000A" w:sz="12" w:space="0"/>
              <w:bottom w:val="single" w:color="00000A" w:sz="12" w:space="0"/>
              <w:right w:val="single" w:color="00000A" w:sz="12" w:space="0"/>
            </w:tcBorders>
            <w:noWrap w:val="0"/>
            <w:vAlign w:val="center"/>
          </w:tcPr>
          <w:p w14:paraId="4B9CCBE0">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轿门</w:t>
            </w:r>
          </w:p>
        </w:tc>
        <w:tc>
          <w:tcPr>
            <w:tcW w:w="7956" w:type="dxa"/>
            <w:tcBorders>
              <w:top w:val="single" w:color="00000A" w:sz="12" w:space="0"/>
              <w:left w:val="single" w:color="00000A" w:sz="12" w:space="0"/>
              <w:bottom w:val="single" w:color="00000A" w:sz="12" w:space="0"/>
              <w:right w:val="single" w:color="00000A" w:sz="12" w:space="0"/>
            </w:tcBorders>
            <w:noWrap w:val="0"/>
            <w:vAlign w:val="center"/>
          </w:tcPr>
          <w:p w14:paraId="1C4BAF0D">
            <w:pPr>
              <w:pStyle w:val="95"/>
              <w:keepNext w:val="0"/>
              <w:keepLines w:val="0"/>
              <w:pageBreakBefore w:val="0"/>
              <w:kinsoku/>
              <w:wordWrap/>
              <w:overflowPunct/>
              <w:topLinePunct w:val="0"/>
              <w:autoSpaceDE/>
              <w:autoSpaceDN/>
              <w:bidi w:val="0"/>
              <w:adjustRightInd/>
              <w:snapToGrid/>
              <w:spacing w:line="340" w:lineRule="exact"/>
              <w:ind w:left="0" w:leftChars="0" w:right="0" w:rightChars="0"/>
              <w:jc w:val="center"/>
              <w:textAlignment w:val="auto"/>
              <w:rPr>
                <w:rFonts w:hint="eastAsia" w:ascii="宋体" w:hAnsi="宋体" w:eastAsia="宋体" w:cs="宋体"/>
                <w:b w:val="0"/>
                <w:bCs/>
                <w:color w:val="auto"/>
                <w:kern w:val="0"/>
                <w:sz w:val="18"/>
                <w:szCs w:val="18"/>
                <w:highlight w:val="none"/>
                <w:lang w:eastAsia="zh-CN"/>
              </w:rPr>
            </w:pPr>
            <w:r>
              <w:rPr>
                <w:rFonts w:hint="eastAsia" w:ascii="宋体" w:hAnsi="宋体" w:eastAsia="宋体" w:cs="宋体"/>
                <w:b w:val="0"/>
                <w:bCs/>
                <w:color w:val="auto"/>
                <w:kern w:val="0"/>
                <w:sz w:val="18"/>
                <w:szCs w:val="18"/>
                <w:highlight w:val="none"/>
                <w:lang w:eastAsia="zh-CN"/>
              </w:rPr>
              <w:t>前轿门：不锈钢</w:t>
            </w:r>
            <w:r>
              <w:rPr>
                <w:rFonts w:hint="eastAsia" w:ascii="宋体" w:hAnsi="宋体" w:eastAsia="宋体" w:cs="宋体"/>
                <w:b w:val="0"/>
                <w:bCs/>
                <w:color w:val="auto"/>
                <w:kern w:val="0"/>
                <w:sz w:val="18"/>
                <w:szCs w:val="18"/>
                <w:highlight w:val="none"/>
                <w:lang w:val="en-US" w:eastAsia="zh-CN"/>
              </w:rPr>
              <w:t>(SUS304,厚度</w:t>
            </w:r>
            <w:r>
              <w:rPr>
                <w:rFonts w:hint="default" w:ascii="宋体" w:hAnsi="宋体" w:eastAsia="宋体" w:cs="宋体"/>
                <w:b w:val="0"/>
                <w:bCs/>
                <w:color w:val="auto"/>
                <w:kern w:val="0"/>
                <w:sz w:val="18"/>
                <w:szCs w:val="18"/>
                <w:highlight w:val="none"/>
                <w:lang w:val="en-US" w:eastAsia="zh-CN"/>
              </w:rPr>
              <w:t>≥</w:t>
            </w:r>
            <w:r>
              <w:rPr>
                <w:rFonts w:hint="eastAsia" w:ascii="宋体" w:hAnsi="宋体" w:eastAsia="宋体" w:cs="宋体"/>
                <w:b w:val="0"/>
                <w:bCs/>
                <w:color w:val="auto"/>
                <w:kern w:val="0"/>
                <w:sz w:val="18"/>
                <w:szCs w:val="18"/>
                <w:highlight w:val="none"/>
                <w:lang w:val="en-US" w:eastAsia="zh-CN"/>
              </w:rPr>
              <w:t>1.</w:t>
            </w:r>
            <w:r>
              <w:rPr>
                <w:rFonts w:hint="eastAsia" w:cs="宋体"/>
                <w:b w:val="0"/>
                <w:bCs/>
                <w:color w:val="auto"/>
                <w:kern w:val="0"/>
                <w:sz w:val="18"/>
                <w:szCs w:val="18"/>
                <w:highlight w:val="none"/>
                <w:lang w:val="en-US" w:eastAsia="zh-CN"/>
              </w:rPr>
              <w:t>2</w:t>
            </w:r>
            <w:r>
              <w:rPr>
                <w:rFonts w:hint="eastAsia" w:ascii="宋体" w:hAnsi="宋体" w:eastAsia="宋体" w:cs="宋体"/>
                <w:b w:val="0"/>
                <w:bCs/>
                <w:color w:val="auto"/>
                <w:kern w:val="0"/>
                <w:sz w:val="18"/>
                <w:szCs w:val="18"/>
                <w:highlight w:val="none"/>
                <w:lang w:val="en-US" w:eastAsia="zh-CN"/>
              </w:rPr>
              <w:t>mm)</w:t>
            </w:r>
          </w:p>
        </w:tc>
      </w:tr>
      <w:tr w14:paraId="56E3BE53">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501" w:hRule="atLeast"/>
          <w:jc w:val="center"/>
        </w:trPr>
        <w:tc>
          <w:tcPr>
            <w:tcW w:w="889" w:type="dxa"/>
            <w:vMerge w:val="continue"/>
            <w:tcBorders>
              <w:right w:val="single" w:color="00000A" w:sz="12" w:space="0"/>
            </w:tcBorders>
            <w:noWrap w:val="0"/>
            <w:vAlign w:val="center"/>
          </w:tcPr>
          <w:p w14:paraId="39745A76">
            <w:pPr>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p>
        </w:tc>
        <w:tc>
          <w:tcPr>
            <w:tcW w:w="1558" w:type="dxa"/>
            <w:tcBorders>
              <w:top w:val="single" w:color="00000A" w:sz="12" w:space="0"/>
              <w:left w:val="single" w:color="00000A" w:sz="12" w:space="0"/>
              <w:bottom w:val="single" w:color="00000A" w:sz="12" w:space="0"/>
              <w:right w:val="single" w:color="00000A" w:sz="12" w:space="0"/>
            </w:tcBorders>
            <w:noWrap w:val="0"/>
            <w:vAlign w:val="center"/>
          </w:tcPr>
          <w:p w14:paraId="277088F9">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前壁板/门楣装饰</w:t>
            </w:r>
          </w:p>
        </w:tc>
        <w:tc>
          <w:tcPr>
            <w:tcW w:w="7956" w:type="dxa"/>
            <w:tcBorders>
              <w:top w:val="single" w:color="00000A" w:sz="12" w:space="0"/>
              <w:left w:val="single" w:color="00000A" w:sz="12" w:space="0"/>
              <w:bottom w:val="single" w:color="00000A" w:sz="12" w:space="0"/>
              <w:right w:val="single" w:color="00000A" w:sz="12" w:space="0"/>
            </w:tcBorders>
            <w:noWrap w:val="0"/>
            <w:vAlign w:val="center"/>
          </w:tcPr>
          <w:p w14:paraId="0193D9D2">
            <w:pPr>
              <w:pStyle w:val="95"/>
              <w:keepNext w:val="0"/>
              <w:keepLines w:val="0"/>
              <w:pageBreakBefore w:val="0"/>
              <w:kinsoku/>
              <w:wordWrap/>
              <w:overflowPunct/>
              <w:topLinePunct w:val="0"/>
              <w:autoSpaceDE/>
              <w:autoSpaceDN/>
              <w:bidi w:val="0"/>
              <w:adjustRightInd/>
              <w:snapToGrid/>
              <w:spacing w:line="340" w:lineRule="exact"/>
              <w:ind w:left="0" w:leftChars="0" w:right="0" w:rightChars="0"/>
              <w:jc w:val="center"/>
              <w:textAlignment w:val="auto"/>
              <w:rPr>
                <w:rFonts w:hint="eastAsia" w:ascii="宋体" w:hAnsi="宋体" w:eastAsia="宋体" w:cs="宋体"/>
                <w:b w:val="0"/>
                <w:bCs/>
                <w:color w:val="auto"/>
                <w:kern w:val="0"/>
                <w:sz w:val="18"/>
                <w:szCs w:val="18"/>
                <w:highlight w:val="none"/>
                <w:lang w:val="en-US" w:eastAsia="zh-CN"/>
              </w:rPr>
            </w:pPr>
            <w:r>
              <w:rPr>
                <w:rFonts w:hint="eastAsia" w:ascii="宋体" w:hAnsi="宋体" w:eastAsia="宋体" w:cs="宋体"/>
                <w:b w:val="0"/>
                <w:bCs/>
                <w:color w:val="auto"/>
                <w:kern w:val="0"/>
                <w:sz w:val="18"/>
                <w:szCs w:val="18"/>
                <w:highlight w:val="none"/>
                <w:lang w:eastAsia="zh-CN"/>
              </w:rPr>
              <w:t>不锈钢</w:t>
            </w:r>
            <w:r>
              <w:rPr>
                <w:rFonts w:hint="eastAsia" w:ascii="宋体" w:hAnsi="宋体" w:eastAsia="宋体" w:cs="宋体"/>
                <w:b w:val="0"/>
                <w:bCs/>
                <w:color w:val="auto"/>
                <w:kern w:val="0"/>
                <w:sz w:val="18"/>
                <w:szCs w:val="18"/>
                <w:highlight w:val="none"/>
                <w:lang w:val="en-US" w:eastAsia="zh-CN"/>
              </w:rPr>
              <w:t>(SUS304,厚度</w:t>
            </w:r>
            <w:r>
              <w:rPr>
                <w:rFonts w:hint="default" w:ascii="宋体" w:hAnsi="宋体" w:eastAsia="宋体" w:cs="宋体"/>
                <w:b w:val="0"/>
                <w:bCs/>
                <w:color w:val="auto"/>
                <w:kern w:val="0"/>
                <w:sz w:val="18"/>
                <w:szCs w:val="18"/>
                <w:highlight w:val="none"/>
                <w:lang w:val="en-US" w:eastAsia="zh-CN"/>
              </w:rPr>
              <w:t>≥</w:t>
            </w:r>
            <w:r>
              <w:rPr>
                <w:rFonts w:hint="eastAsia" w:ascii="宋体" w:hAnsi="宋体" w:eastAsia="宋体" w:cs="宋体"/>
                <w:b w:val="0"/>
                <w:bCs/>
                <w:color w:val="auto"/>
                <w:kern w:val="0"/>
                <w:sz w:val="18"/>
                <w:szCs w:val="18"/>
                <w:highlight w:val="none"/>
                <w:lang w:val="en-US" w:eastAsia="zh-CN"/>
              </w:rPr>
              <w:t>1.</w:t>
            </w:r>
            <w:r>
              <w:rPr>
                <w:rFonts w:hint="eastAsia" w:cs="宋体"/>
                <w:b w:val="0"/>
                <w:bCs/>
                <w:color w:val="auto"/>
                <w:kern w:val="0"/>
                <w:sz w:val="18"/>
                <w:szCs w:val="18"/>
                <w:highlight w:val="none"/>
                <w:lang w:val="en-US" w:eastAsia="zh-CN"/>
              </w:rPr>
              <w:t>2</w:t>
            </w:r>
            <w:r>
              <w:rPr>
                <w:rFonts w:hint="eastAsia" w:ascii="宋体" w:hAnsi="宋体" w:eastAsia="宋体" w:cs="宋体"/>
                <w:b w:val="0"/>
                <w:bCs/>
                <w:color w:val="auto"/>
                <w:kern w:val="0"/>
                <w:sz w:val="18"/>
                <w:szCs w:val="18"/>
                <w:highlight w:val="none"/>
                <w:lang w:val="en-US" w:eastAsia="zh-CN"/>
              </w:rPr>
              <w:t>mm)</w:t>
            </w:r>
          </w:p>
        </w:tc>
      </w:tr>
      <w:tr w14:paraId="6AF35565">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394" w:hRule="atLeast"/>
          <w:jc w:val="center"/>
        </w:trPr>
        <w:tc>
          <w:tcPr>
            <w:tcW w:w="889" w:type="dxa"/>
            <w:vMerge w:val="continue"/>
            <w:tcBorders>
              <w:right w:val="single" w:color="00000A" w:sz="12" w:space="0"/>
            </w:tcBorders>
            <w:noWrap w:val="0"/>
            <w:vAlign w:val="center"/>
          </w:tcPr>
          <w:p w14:paraId="1AB244BE">
            <w:pPr>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p>
        </w:tc>
        <w:tc>
          <w:tcPr>
            <w:tcW w:w="1558" w:type="dxa"/>
            <w:tcBorders>
              <w:top w:val="single" w:color="00000A" w:sz="12" w:space="0"/>
              <w:left w:val="single" w:color="00000A" w:sz="12" w:space="0"/>
              <w:bottom w:val="single" w:color="00000A" w:sz="12" w:space="0"/>
              <w:right w:val="single" w:color="00000A" w:sz="12" w:space="0"/>
            </w:tcBorders>
            <w:noWrap w:val="0"/>
            <w:vAlign w:val="center"/>
          </w:tcPr>
          <w:p w14:paraId="158E3D2D">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侧壁板装饰</w:t>
            </w:r>
          </w:p>
        </w:tc>
        <w:tc>
          <w:tcPr>
            <w:tcW w:w="7956" w:type="dxa"/>
            <w:tcBorders>
              <w:top w:val="single" w:color="00000A" w:sz="12" w:space="0"/>
              <w:left w:val="single" w:color="00000A" w:sz="12" w:space="0"/>
              <w:bottom w:val="single" w:color="00000A" w:sz="12" w:space="0"/>
              <w:right w:val="single" w:color="00000A" w:sz="12" w:space="0"/>
            </w:tcBorders>
            <w:noWrap w:val="0"/>
            <w:vAlign w:val="center"/>
          </w:tcPr>
          <w:p w14:paraId="4DAFCFB7">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lang w:val="en-US" w:eastAsia="zh-CN"/>
              </w:rPr>
            </w:pPr>
            <w:r>
              <w:rPr>
                <w:rFonts w:hint="eastAsia" w:ascii="宋体" w:hAnsi="宋体" w:eastAsia="宋体" w:cs="宋体"/>
                <w:b w:val="0"/>
                <w:bCs/>
                <w:color w:val="auto"/>
                <w:sz w:val="18"/>
                <w:szCs w:val="18"/>
                <w:highlight w:val="none"/>
                <w:lang w:val="en-US" w:eastAsia="zh-CN"/>
              </w:rPr>
              <w:t>发纹不锈钢</w:t>
            </w:r>
          </w:p>
        </w:tc>
      </w:tr>
      <w:tr w14:paraId="756D2283">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394" w:hRule="atLeast"/>
          <w:jc w:val="center"/>
        </w:trPr>
        <w:tc>
          <w:tcPr>
            <w:tcW w:w="889" w:type="dxa"/>
            <w:vMerge w:val="continue"/>
            <w:tcBorders>
              <w:right w:val="single" w:color="00000A" w:sz="12" w:space="0"/>
            </w:tcBorders>
            <w:noWrap w:val="0"/>
            <w:vAlign w:val="center"/>
          </w:tcPr>
          <w:p w14:paraId="4ADF68DE">
            <w:pPr>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p>
        </w:tc>
        <w:tc>
          <w:tcPr>
            <w:tcW w:w="1558" w:type="dxa"/>
            <w:tcBorders>
              <w:top w:val="single" w:color="00000A" w:sz="12" w:space="0"/>
              <w:left w:val="single" w:color="00000A" w:sz="12" w:space="0"/>
              <w:bottom w:val="single" w:color="00000A" w:sz="12" w:space="0"/>
              <w:right w:val="single" w:color="00000A" w:sz="12" w:space="0"/>
            </w:tcBorders>
            <w:noWrap w:val="0"/>
            <w:vAlign w:val="center"/>
          </w:tcPr>
          <w:p w14:paraId="0E95D915">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后壁板装饰</w:t>
            </w:r>
          </w:p>
        </w:tc>
        <w:tc>
          <w:tcPr>
            <w:tcW w:w="7956" w:type="dxa"/>
            <w:tcBorders>
              <w:top w:val="single" w:color="00000A" w:sz="12" w:space="0"/>
              <w:left w:val="single" w:color="00000A" w:sz="12" w:space="0"/>
              <w:bottom w:val="single" w:color="00000A" w:sz="12" w:space="0"/>
              <w:right w:val="single" w:color="00000A" w:sz="12" w:space="0"/>
            </w:tcBorders>
            <w:noWrap w:val="0"/>
            <w:vAlign w:val="center"/>
          </w:tcPr>
          <w:p w14:paraId="605B76DA">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lang w:val="en-US" w:eastAsia="zh-CN"/>
              </w:rPr>
            </w:pPr>
            <w:r>
              <w:rPr>
                <w:rFonts w:hint="eastAsia" w:ascii="宋体" w:hAnsi="宋体" w:eastAsia="宋体" w:cs="宋体"/>
                <w:b w:val="0"/>
                <w:bCs/>
                <w:color w:val="auto"/>
                <w:sz w:val="18"/>
                <w:szCs w:val="18"/>
                <w:highlight w:val="none"/>
                <w:lang w:val="en-US" w:eastAsia="zh-CN"/>
              </w:rPr>
              <w:t>发纹不锈钢+中间镜面</w:t>
            </w:r>
          </w:p>
        </w:tc>
      </w:tr>
      <w:tr w14:paraId="6DCC1E86">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188" w:hRule="atLeast"/>
          <w:jc w:val="center"/>
        </w:trPr>
        <w:tc>
          <w:tcPr>
            <w:tcW w:w="889" w:type="dxa"/>
            <w:vMerge w:val="continue"/>
            <w:tcBorders>
              <w:right w:val="single" w:color="00000A" w:sz="12" w:space="0"/>
            </w:tcBorders>
            <w:noWrap w:val="0"/>
            <w:vAlign w:val="center"/>
          </w:tcPr>
          <w:p w14:paraId="2401938C">
            <w:pPr>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p>
        </w:tc>
        <w:tc>
          <w:tcPr>
            <w:tcW w:w="1558" w:type="dxa"/>
            <w:tcBorders>
              <w:top w:val="single" w:color="00000A" w:sz="12" w:space="0"/>
              <w:left w:val="single" w:color="00000A" w:sz="12" w:space="0"/>
              <w:bottom w:val="single" w:color="00000A" w:sz="12" w:space="0"/>
              <w:right w:val="single" w:color="00000A" w:sz="12" w:space="0"/>
            </w:tcBorders>
            <w:noWrap w:val="0"/>
            <w:vAlign w:val="center"/>
          </w:tcPr>
          <w:p w14:paraId="190E478A">
            <w:pPr>
              <w:pStyle w:val="95"/>
              <w:keepNext w:val="0"/>
              <w:keepLines w:val="0"/>
              <w:pageBreakBefore w:val="0"/>
              <w:kinsoku/>
              <w:wordWrap/>
              <w:overflowPunct/>
              <w:topLinePunct w:val="0"/>
              <w:autoSpaceDE/>
              <w:autoSpaceDN/>
              <w:bidi w:val="0"/>
              <w:adjustRightInd/>
              <w:snapToGrid/>
              <w:spacing w:line="340" w:lineRule="exact"/>
              <w:ind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轿内操作盘</w:t>
            </w:r>
          </w:p>
        </w:tc>
        <w:tc>
          <w:tcPr>
            <w:tcW w:w="7956" w:type="dxa"/>
            <w:tcBorders>
              <w:top w:val="single" w:color="00000A" w:sz="12" w:space="0"/>
              <w:left w:val="single" w:color="00000A" w:sz="12" w:space="0"/>
              <w:bottom w:val="single" w:color="00000A" w:sz="12" w:space="0"/>
              <w:right w:val="single" w:color="00000A" w:sz="12" w:space="0"/>
            </w:tcBorders>
            <w:noWrap w:val="0"/>
            <w:vAlign w:val="center"/>
          </w:tcPr>
          <w:p w14:paraId="16DC5F24">
            <w:pPr>
              <w:pStyle w:val="95"/>
              <w:keepNext w:val="0"/>
              <w:keepLines w:val="0"/>
              <w:pageBreakBefore w:val="0"/>
              <w:kinsoku/>
              <w:wordWrap/>
              <w:overflowPunct/>
              <w:topLinePunct w:val="0"/>
              <w:autoSpaceDE/>
              <w:autoSpaceDN/>
              <w:bidi w:val="0"/>
              <w:adjustRightInd/>
              <w:snapToGrid/>
              <w:spacing w:line="340" w:lineRule="exact"/>
              <w:ind w:left="0" w:right="0" w:rightChars="0"/>
              <w:jc w:val="center"/>
              <w:textAlignment w:val="auto"/>
              <w:rPr>
                <w:rFonts w:hint="default" w:ascii="宋体" w:hAnsi="宋体" w:eastAsia="宋体" w:cs="宋体"/>
                <w:b w:val="0"/>
                <w:bCs/>
                <w:color w:val="auto"/>
                <w:sz w:val="18"/>
                <w:szCs w:val="18"/>
                <w:highlight w:val="none"/>
                <w:lang w:val="en-US" w:eastAsia="zh-CN"/>
              </w:rPr>
            </w:pPr>
            <w:r>
              <w:rPr>
                <w:rFonts w:hint="eastAsia" w:ascii="宋体" w:hAnsi="宋体" w:eastAsia="宋体" w:cs="宋体"/>
                <w:b w:val="0"/>
                <w:bCs/>
                <w:color w:val="auto"/>
                <w:sz w:val="18"/>
                <w:szCs w:val="18"/>
                <w:highlight w:val="none"/>
                <w:lang w:val="en-US" w:eastAsia="zh-CN"/>
              </w:rPr>
              <w:t>其面为发纹不锈钢</w:t>
            </w:r>
            <w:r>
              <w:rPr>
                <w:rFonts w:hint="eastAsia" w:ascii="宋体" w:hAnsi="宋体" w:cs="宋体"/>
                <w:b w:val="0"/>
                <w:bCs/>
                <w:color w:val="auto"/>
                <w:sz w:val="18"/>
                <w:szCs w:val="18"/>
                <w:highlight w:val="none"/>
                <w:lang w:val="en-US" w:eastAsia="zh-CN"/>
              </w:rPr>
              <w:t>,抗菌按钮,液晶显示,标</w:t>
            </w:r>
            <w:r>
              <w:rPr>
                <w:rFonts w:hint="eastAsia" w:cs="宋体"/>
                <w:b w:val="0"/>
                <w:bCs/>
                <w:color w:val="auto"/>
                <w:sz w:val="18"/>
                <w:szCs w:val="18"/>
                <w:highlight w:val="none"/>
                <w:lang w:val="en-US" w:eastAsia="zh-CN"/>
              </w:rPr>
              <w:t>准</w:t>
            </w:r>
            <w:r>
              <w:rPr>
                <w:rFonts w:hint="eastAsia" w:ascii="宋体" w:hAnsi="宋体" w:cs="宋体"/>
                <w:b w:val="0"/>
                <w:bCs/>
                <w:color w:val="auto"/>
                <w:sz w:val="18"/>
                <w:szCs w:val="18"/>
                <w:highlight w:val="none"/>
                <w:lang w:val="en-US" w:eastAsia="zh-CN"/>
              </w:rPr>
              <w:t>操作盘,带残疾人按板操作盘</w:t>
            </w:r>
          </w:p>
        </w:tc>
      </w:tr>
      <w:tr w14:paraId="6AAB19B7">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174" w:hRule="atLeast"/>
          <w:jc w:val="center"/>
        </w:trPr>
        <w:tc>
          <w:tcPr>
            <w:tcW w:w="889" w:type="dxa"/>
            <w:vMerge w:val="continue"/>
            <w:tcBorders>
              <w:right w:val="single" w:color="00000A" w:sz="12" w:space="0"/>
            </w:tcBorders>
            <w:noWrap w:val="0"/>
            <w:vAlign w:val="center"/>
          </w:tcPr>
          <w:p w14:paraId="7975A7CE">
            <w:pPr>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p>
        </w:tc>
        <w:tc>
          <w:tcPr>
            <w:tcW w:w="1558" w:type="dxa"/>
            <w:tcBorders>
              <w:top w:val="single" w:color="00000A" w:sz="12" w:space="0"/>
              <w:left w:val="single" w:color="00000A" w:sz="12" w:space="0"/>
              <w:bottom w:val="single" w:color="00000A" w:sz="12" w:space="0"/>
              <w:right w:val="single" w:color="00000A" w:sz="12" w:space="0"/>
            </w:tcBorders>
            <w:noWrap w:val="0"/>
            <w:vAlign w:val="center"/>
          </w:tcPr>
          <w:p w14:paraId="7E7020DF">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吊顶</w:t>
            </w:r>
          </w:p>
        </w:tc>
        <w:tc>
          <w:tcPr>
            <w:tcW w:w="7956" w:type="dxa"/>
            <w:tcBorders>
              <w:top w:val="single" w:color="00000A" w:sz="12" w:space="0"/>
              <w:left w:val="single" w:color="00000A" w:sz="12" w:space="0"/>
              <w:bottom w:val="single" w:color="00000A" w:sz="12" w:space="0"/>
              <w:right w:val="single" w:color="00000A" w:sz="12" w:space="0"/>
            </w:tcBorders>
            <w:noWrap w:val="0"/>
            <w:vAlign w:val="center"/>
          </w:tcPr>
          <w:p w14:paraId="23CDA410">
            <w:pPr>
              <w:pStyle w:val="95"/>
              <w:keepNext w:val="0"/>
              <w:keepLines w:val="0"/>
              <w:pageBreakBefore w:val="0"/>
              <w:kinsoku/>
              <w:wordWrap/>
              <w:overflowPunct/>
              <w:topLinePunct w:val="0"/>
              <w:autoSpaceDE/>
              <w:autoSpaceDN/>
              <w:bidi w:val="0"/>
              <w:adjustRightInd/>
              <w:snapToGrid/>
              <w:spacing w:line="340" w:lineRule="exact"/>
              <w:ind w:left="0" w:right="0" w:rightChars="0"/>
              <w:jc w:val="center"/>
              <w:textAlignment w:val="auto"/>
              <w:rPr>
                <w:rFonts w:hint="eastAsia" w:ascii="宋体" w:hAnsi="宋体" w:eastAsia="宋体" w:cs="宋体"/>
                <w:b w:val="0"/>
                <w:bCs/>
                <w:color w:val="auto"/>
                <w:sz w:val="18"/>
                <w:szCs w:val="18"/>
                <w:highlight w:val="none"/>
                <w:lang w:eastAsia="zh-CN"/>
              </w:rPr>
            </w:pPr>
            <w:r>
              <w:rPr>
                <w:rFonts w:hint="eastAsia" w:ascii="宋体" w:hAnsi="宋体" w:eastAsia="宋体" w:cs="宋体"/>
                <w:b w:val="0"/>
                <w:bCs/>
                <w:color w:val="auto"/>
                <w:sz w:val="18"/>
                <w:szCs w:val="18"/>
                <w:highlight w:val="none"/>
                <w:lang w:eastAsia="zh-CN"/>
              </w:rPr>
              <w:t>发纹不锈钢带圆角平板灯装饰顶</w:t>
            </w:r>
            <w:r>
              <w:rPr>
                <w:rFonts w:hint="eastAsia" w:ascii="Arial" w:hAnsi="Arial" w:cs="Arial"/>
                <w:b w:val="0"/>
                <w:bCs/>
                <w:kern w:val="0"/>
                <w:sz w:val="18"/>
                <w:szCs w:val="18"/>
                <w:highlight w:val="none"/>
              </w:rPr>
              <w:t>（不要透明式的吊顶）、LED照明</w:t>
            </w:r>
          </w:p>
        </w:tc>
      </w:tr>
      <w:tr w14:paraId="33C1E045">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394" w:hRule="atLeast"/>
          <w:jc w:val="center"/>
        </w:trPr>
        <w:tc>
          <w:tcPr>
            <w:tcW w:w="889" w:type="dxa"/>
            <w:vMerge w:val="continue"/>
            <w:tcBorders>
              <w:right w:val="single" w:color="00000A" w:sz="12" w:space="0"/>
            </w:tcBorders>
            <w:noWrap w:val="0"/>
            <w:vAlign w:val="center"/>
          </w:tcPr>
          <w:p w14:paraId="0D58B9FF">
            <w:pPr>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p>
        </w:tc>
        <w:tc>
          <w:tcPr>
            <w:tcW w:w="1558" w:type="dxa"/>
            <w:tcBorders>
              <w:top w:val="single" w:color="00000A" w:sz="12" w:space="0"/>
              <w:left w:val="single" w:color="00000A" w:sz="12" w:space="0"/>
              <w:bottom w:val="single" w:color="00000A" w:sz="12" w:space="0"/>
              <w:right w:val="single" w:color="00000A" w:sz="12" w:space="0"/>
            </w:tcBorders>
            <w:noWrap w:val="0"/>
            <w:vAlign w:val="center"/>
          </w:tcPr>
          <w:p w14:paraId="1F5409F5">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地 板</w:t>
            </w:r>
          </w:p>
        </w:tc>
        <w:tc>
          <w:tcPr>
            <w:tcW w:w="7956" w:type="dxa"/>
            <w:tcBorders>
              <w:top w:val="single" w:color="00000A" w:sz="12" w:space="0"/>
              <w:left w:val="single" w:color="00000A" w:sz="12" w:space="0"/>
              <w:bottom w:val="single" w:color="00000A" w:sz="12" w:space="0"/>
              <w:right w:val="single" w:color="00000A" w:sz="12" w:space="0"/>
            </w:tcBorders>
            <w:noWrap w:val="0"/>
            <w:vAlign w:val="center"/>
          </w:tcPr>
          <w:p w14:paraId="55FC8E7F">
            <w:pPr>
              <w:pStyle w:val="95"/>
              <w:keepNext w:val="0"/>
              <w:keepLines w:val="0"/>
              <w:pageBreakBefore w:val="0"/>
              <w:kinsoku/>
              <w:wordWrap/>
              <w:overflowPunct/>
              <w:topLinePunct w:val="0"/>
              <w:autoSpaceDE/>
              <w:autoSpaceDN/>
              <w:bidi w:val="0"/>
              <w:adjustRightInd/>
              <w:snapToGrid/>
              <w:spacing w:line="340" w:lineRule="exact"/>
              <w:ind w:left="0" w:right="0" w:rightChars="0"/>
              <w:jc w:val="center"/>
              <w:textAlignment w:val="auto"/>
              <w:rPr>
                <w:rFonts w:hint="default" w:ascii="宋体" w:hAnsi="宋体" w:eastAsia="宋体" w:cs="宋体"/>
                <w:b w:val="0"/>
                <w:bCs/>
                <w:color w:val="auto"/>
                <w:sz w:val="18"/>
                <w:szCs w:val="18"/>
                <w:highlight w:val="none"/>
                <w:lang w:val="en-US" w:eastAsia="zh-CN"/>
              </w:rPr>
            </w:pPr>
            <w:r>
              <w:rPr>
                <w:rFonts w:hint="eastAsia" w:ascii="宋体" w:hAnsi="宋体" w:eastAsia="宋体" w:cs="宋体"/>
                <w:b w:val="0"/>
                <w:bCs/>
                <w:color w:val="auto"/>
                <w:sz w:val="18"/>
                <w:szCs w:val="18"/>
                <w:highlight w:val="none"/>
                <w:lang w:eastAsia="zh-CN"/>
              </w:rPr>
              <w:t>防滑</w:t>
            </w:r>
            <w:r>
              <w:rPr>
                <w:rFonts w:hint="eastAsia" w:ascii="宋体" w:hAnsi="宋体" w:eastAsia="宋体" w:cs="宋体"/>
                <w:b w:val="0"/>
                <w:bCs/>
                <w:color w:val="auto"/>
                <w:sz w:val="18"/>
                <w:szCs w:val="18"/>
                <w:highlight w:val="none"/>
                <w:lang w:val="en-US" w:eastAsia="zh-CN"/>
              </w:rPr>
              <w:t>大理石铺贴，</w:t>
            </w:r>
            <w:r>
              <w:rPr>
                <w:rFonts w:hint="eastAsia" w:ascii="宋体" w:hAnsi="宋体" w:eastAsia="宋体" w:cs="宋体"/>
                <w:b w:val="0"/>
                <w:bCs/>
                <w:color w:val="auto"/>
                <w:sz w:val="18"/>
                <w:szCs w:val="18"/>
                <w:highlight w:val="none"/>
                <w:lang w:eastAsia="zh-CN"/>
              </w:rPr>
              <w:t>防滑等级≥R1</w:t>
            </w:r>
            <w:r>
              <w:rPr>
                <w:rFonts w:hint="eastAsia" w:ascii="宋体" w:hAnsi="宋体" w:eastAsia="宋体" w:cs="宋体"/>
                <w:b w:val="0"/>
                <w:bCs/>
                <w:color w:val="auto"/>
                <w:sz w:val="18"/>
                <w:szCs w:val="18"/>
                <w:highlight w:val="none"/>
                <w:lang w:val="en-US" w:eastAsia="zh-CN"/>
              </w:rPr>
              <w:t>0，接缝处做防水处理</w:t>
            </w:r>
          </w:p>
        </w:tc>
      </w:tr>
      <w:tr w14:paraId="1F2E13C4">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394" w:hRule="atLeast"/>
          <w:jc w:val="center"/>
        </w:trPr>
        <w:tc>
          <w:tcPr>
            <w:tcW w:w="889" w:type="dxa"/>
            <w:vMerge w:val="continue"/>
            <w:tcBorders>
              <w:bottom w:val="single" w:color="00000A" w:sz="12" w:space="0"/>
              <w:right w:val="single" w:color="00000A" w:sz="12" w:space="0"/>
            </w:tcBorders>
            <w:noWrap w:val="0"/>
            <w:vAlign w:val="center"/>
          </w:tcPr>
          <w:p w14:paraId="6E308727">
            <w:pPr>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p>
        </w:tc>
        <w:tc>
          <w:tcPr>
            <w:tcW w:w="1558" w:type="dxa"/>
            <w:tcBorders>
              <w:top w:val="single" w:color="00000A" w:sz="12" w:space="0"/>
              <w:left w:val="single" w:color="00000A" w:sz="12" w:space="0"/>
              <w:bottom w:val="single" w:color="00000A" w:sz="12" w:space="0"/>
              <w:right w:val="single" w:color="00000A" w:sz="12" w:space="0"/>
            </w:tcBorders>
            <w:noWrap w:val="0"/>
            <w:vAlign w:val="center"/>
          </w:tcPr>
          <w:p w14:paraId="66586399">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lang w:eastAsia="zh-CN"/>
              </w:rPr>
              <w:t>电梯轿厢强风机</w:t>
            </w:r>
          </w:p>
        </w:tc>
        <w:tc>
          <w:tcPr>
            <w:tcW w:w="7956" w:type="dxa"/>
            <w:tcBorders>
              <w:top w:val="single" w:color="00000A" w:sz="12" w:space="0"/>
              <w:left w:val="single" w:color="00000A" w:sz="12" w:space="0"/>
              <w:bottom w:val="single" w:color="00000A" w:sz="12" w:space="0"/>
              <w:right w:val="single" w:color="00000A" w:sz="12" w:space="0"/>
            </w:tcBorders>
            <w:noWrap w:val="0"/>
            <w:vAlign w:val="center"/>
          </w:tcPr>
          <w:p w14:paraId="27E14F94">
            <w:pPr>
              <w:pStyle w:val="95"/>
              <w:keepNext w:val="0"/>
              <w:keepLines w:val="0"/>
              <w:pageBreakBefore w:val="0"/>
              <w:kinsoku/>
              <w:wordWrap/>
              <w:overflowPunct/>
              <w:topLinePunct w:val="0"/>
              <w:autoSpaceDE/>
              <w:autoSpaceDN/>
              <w:bidi w:val="0"/>
              <w:adjustRightInd/>
              <w:snapToGrid/>
              <w:spacing w:line="340" w:lineRule="exact"/>
              <w:ind w:left="0" w:right="0" w:rightChars="0"/>
              <w:jc w:val="center"/>
              <w:textAlignment w:val="auto"/>
              <w:rPr>
                <w:rFonts w:hint="default" w:ascii="宋体" w:hAnsi="宋体" w:eastAsia="宋体" w:cs="宋体"/>
                <w:b w:val="0"/>
                <w:bCs/>
                <w:color w:val="auto"/>
                <w:sz w:val="18"/>
                <w:szCs w:val="18"/>
                <w:highlight w:val="none"/>
                <w:lang w:val="en-US" w:eastAsia="zh-CN"/>
              </w:rPr>
            </w:pPr>
            <w:r>
              <w:rPr>
                <w:rFonts w:hint="eastAsia" w:ascii="宋体" w:hAnsi="宋体" w:eastAsia="宋体" w:cs="宋体"/>
                <w:b w:val="0"/>
                <w:bCs/>
                <w:color w:val="auto"/>
                <w:sz w:val="18"/>
                <w:szCs w:val="18"/>
                <w:highlight w:val="none"/>
                <w:lang w:val="en-US" w:eastAsia="zh-CN"/>
              </w:rPr>
              <w:t>DT1-DT7电梯配备安装</w:t>
            </w:r>
            <w:r>
              <w:rPr>
                <w:rFonts w:hint="eastAsia" w:ascii="宋体" w:hAnsi="宋体" w:eastAsia="宋体" w:cs="宋体"/>
                <w:b w:val="0"/>
                <w:bCs/>
                <w:color w:val="auto"/>
                <w:sz w:val="18"/>
                <w:szCs w:val="18"/>
                <w:highlight w:val="none"/>
                <w:lang w:eastAsia="zh-CN"/>
              </w:rPr>
              <w:t>强风机</w:t>
            </w:r>
          </w:p>
        </w:tc>
      </w:tr>
      <w:tr w14:paraId="2864DD44">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395" w:hRule="atLeast"/>
          <w:jc w:val="center"/>
        </w:trPr>
        <w:tc>
          <w:tcPr>
            <w:tcW w:w="2447" w:type="dxa"/>
            <w:gridSpan w:val="2"/>
            <w:tcBorders>
              <w:top w:val="single" w:color="00000A" w:sz="12" w:space="0"/>
              <w:bottom w:val="single" w:color="00000A" w:sz="12" w:space="0"/>
              <w:right w:val="single" w:color="00000A" w:sz="12" w:space="0"/>
            </w:tcBorders>
            <w:noWrap w:val="0"/>
            <w:vAlign w:val="center"/>
          </w:tcPr>
          <w:p w14:paraId="45B34B0B">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厅门装饰：</w:t>
            </w:r>
          </w:p>
        </w:tc>
        <w:tc>
          <w:tcPr>
            <w:tcW w:w="7956" w:type="dxa"/>
            <w:tcBorders>
              <w:top w:val="single" w:color="00000A" w:sz="12" w:space="0"/>
              <w:left w:val="single" w:color="00000A" w:sz="12" w:space="0"/>
              <w:bottom w:val="single" w:color="00000A" w:sz="12" w:space="0"/>
              <w:right w:val="single" w:color="00000A" w:sz="12" w:space="0"/>
            </w:tcBorders>
            <w:noWrap w:val="0"/>
            <w:vAlign w:val="center"/>
          </w:tcPr>
          <w:p w14:paraId="73F09C7E">
            <w:pPr>
              <w:pStyle w:val="95"/>
              <w:keepNext w:val="0"/>
              <w:keepLines w:val="0"/>
              <w:pageBreakBefore w:val="0"/>
              <w:kinsoku/>
              <w:wordWrap/>
              <w:overflowPunct/>
              <w:topLinePunct w:val="0"/>
              <w:autoSpaceDE/>
              <w:autoSpaceDN/>
              <w:bidi w:val="0"/>
              <w:adjustRightInd/>
              <w:snapToGrid/>
              <w:spacing w:line="340" w:lineRule="exact"/>
              <w:ind w:left="0" w:right="0" w:rightChars="0"/>
              <w:jc w:val="center"/>
              <w:textAlignment w:val="auto"/>
              <w:rPr>
                <w:rFonts w:hint="eastAsia" w:ascii="宋体" w:hAnsi="宋体" w:eastAsia="宋体" w:cs="宋体"/>
                <w:b w:val="0"/>
                <w:bCs/>
                <w:color w:val="auto"/>
                <w:sz w:val="18"/>
                <w:szCs w:val="18"/>
                <w:highlight w:val="none"/>
                <w:lang w:eastAsia="zh-CN"/>
              </w:rPr>
            </w:pPr>
            <w:r>
              <w:rPr>
                <w:rFonts w:hint="eastAsia" w:ascii="宋体" w:hAnsi="宋体" w:eastAsia="宋体" w:cs="宋体"/>
                <w:b w:val="0"/>
                <w:bCs/>
                <w:color w:val="auto"/>
                <w:sz w:val="18"/>
                <w:szCs w:val="18"/>
                <w:highlight w:val="none"/>
                <w:lang w:val="en-US" w:eastAsia="zh-CN"/>
              </w:rPr>
              <w:t>发纹不锈钢(SUS304,厚度</w:t>
            </w:r>
            <w:r>
              <w:rPr>
                <w:rFonts w:hint="default" w:ascii="宋体" w:hAnsi="宋体" w:eastAsia="宋体" w:cs="宋体"/>
                <w:b w:val="0"/>
                <w:bCs/>
                <w:color w:val="auto"/>
                <w:sz w:val="18"/>
                <w:szCs w:val="18"/>
                <w:highlight w:val="none"/>
                <w:lang w:val="en-US" w:eastAsia="zh-CN"/>
              </w:rPr>
              <w:t>≥</w:t>
            </w:r>
            <w:r>
              <w:rPr>
                <w:rFonts w:hint="eastAsia" w:ascii="宋体" w:hAnsi="宋体" w:eastAsia="宋体" w:cs="宋体"/>
                <w:b w:val="0"/>
                <w:bCs/>
                <w:color w:val="auto"/>
                <w:sz w:val="18"/>
                <w:szCs w:val="18"/>
                <w:highlight w:val="none"/>
                <w:lang w:val="en-US" w:eastAsia="zh-CN"/>
              </w:rPr>
              <w:t>1.</w:t>
            </w:r>
            <w:r>
              <w:rPr>
                <w:rFonts w:hint="eastAsia" w:cs="宋体"/>
                <w:b w:val="0"/>
                <w:bCs/>
                <w:color w:val="auto"/>
                <w:sz w:val="18"/>
                <w:szCs w:val="18"/>
                <w:highlight w:val="none"/>
                <w:lang w:val="en-US" w:eastAsia="zh-CN"/>
              </w:rPr>
              <w:t>2</w:t>
            </w:r>
            <w:r>
              <w:rPr>
                <w:rFonts w:hint="eastAsia" w:ascii="宋体" w:hAnsi="宋体" w:eastAsia="宋体" w:cs="宋体"/>
                <w:b w:val="0"/>
                <w:bCs/>
                <w:color w:val="auto"/>
                <w:sz w:val="18"/>
                <w:szCs w:val="18"/>
                <w:highlight w:val="none"/>
                <w:lang w:val="en-US" w:eastAsia="zh-CN"/>
              </w:rPr>
              <w:t>mm)</w:t>
            </w:r>
          </w:p>
        </w:tc>
      </w:tr>
      <w:tr w14:paraId="16D37377">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346" w:hRule="atLeast"/>
          <w:jc w:val="center"/>
        </w:trPr>
        <w:tc>
          <w:tcPr>
            <w:tcW w:w="2447" w:type="dxa"/>
            <w:gridSpan w:val="2"/>
            <w:tcBorders>
              <w:top w:val="single" w:color="00000A" w:sz="12" w:space="0"/>
              <w:bottom w:val="single" w:color="00000A" w:sz="12" w:space="0"/>
              <w:right w:val="single" w:color="00000A" w:sz="12" w:space="0"/>
            </w:tcBorders>
            <w:noWrap w:val="0"/>
            <w:vAlign w:val="center"/>
          </w:tcPr>
          <w:p w14:paraId="3F986CD4">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外呼</w:t>
            </w:r>
          </w:p>
        </w:tc>
        <w:tc>
          <w:tcPr>
            <w:tcW w:w="7956" w:type="dxa"/>
            <w:tcBorders>
              <w:top w:val="single" w:color="00000A" w:sz="12" w:space="0"/>
              <w:left w:val="single" w:color="00000A" w:sz="12" w:space="0"/>
              <w:bottom w:val="single" w:color="00000A" w:sz="12" w:space="0"/>
              <w:right w:val="single" w:color="00000A" w:sz="12" w:space="0"/>
            </w:tcBorders>
            <w:noWrap w:val="0"/>
            <w:vAlign w:val="center"/>
          </w:tcPr>
          <w:p w14:paraId="1539A406">
            <w:pPr>
              <w:pStyle w:val="95"/>
              <w:keepNext w:val="0"/>
              <w:keepLines w:val="0"/>
              <w:pageBreakBefore w:val="0"/>
              <w:kinsoku/>
              <w:wordWrap/>
              <w:overflowPunct/>
              <w:topLinePunct w:val="0"/>
              <w:autoSpaceDE/>
              <w:autoSpaceDN/>
              <w:bidi w:val="0"/>
              <w:adjustRightInd/>
              <w:snapToGrid/>
              <w:spacing w:line="340" w:lineRule="exact"/>
              <w:ind w:left="0" w:right="0" w:rightChars="0"/>
              <w:jc w:val="center"/>
              <w:textAlignment w:val="auto"/>
              <w:rPr>
                <w:rFonts w:hint="eastAsia" w:ascii="宋体" w:hAnsi="宋体" w:eastAsia="宋体" w:cs="宋体"/>
                <w:b w:val="0"/>
                <w:bCs/>
                <w:color w:val="auto"/>
                <w:sz w:val="18"/>
                <w:szCs w:val="18"/>
                <w:highlight w:val="none"/>
                <w:lang w:val="en-US" w:eastAsia="zh-CN"/>
              </w:rPr>
            </w:pPr>
            <w:r>
              <w:rPr>
                <w:rFonts w:hint="eastAsia" w:ascii="宋体" w:hAnsi="宋体" w:eastAsia="宋体" w:cs="宋体"/>
                <w:b w:val="0"/>
                <w:bCs/>
                <w:color w:val="auto"/>
                <w:sz w:val="18"/>
                <w:szCs w:val="18"/>
                <w:highlight w:val="none"/>
                <w:lang w:val="en-US" w:eastAsia="zh-CN"/>
              </w:rPr>
              <w:t>无底盒外呼</w:t>
            </w:r>
          </w:p>
        </w:tc>
      </w:tr>
      <w:tr w14:paraId="50AEFB5E">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355" w:hRule="atLeast"/>
          <w:jc w:val="center"/>
        </w:trPr>
        <w:tc>
          <w:tcPr>
            <w:tcW w:w="2447" w:type="dxa"/>
            <w:gridSpan w:val="2"/>
            <w:tcBorders>
              <w:top w:val="single" w:color="00000A" w:sz="12" w:space="0"/>
              <w:bottom w:val="single" w:color="00000A" w:sz="12" w:space="0"/>
              <w:right w:val="single" w:color="00000A" w:sz="12" w:space="0"/>
            </w:tcBorders>
            <w:noWrap w:val="0"/>
            <w:vAlign w:val="center"/>
          </w:tcPr>
          <w:p w14:paraId="5BE1CCD9">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外呼显示类型：</w:t>
            </w:r>
          </w:p>
        </w:tc>
        <w:tc>
          <w:tcPr>
            <w:tcW w:w="7956" w:type="dxa"/>
            <w:tcBorders>
              <w:top w:val="single" w:color="00000A" w:sz="12" w:space="0"/>
              <w:left w:val="single" w:color="00000A" w:sz="12" w:space="0"/>
              <w:bottom w:val="single" w:color="00000A" w:sz="12" w:space="0"/>
              <w:right w:val="single" w:color="00000A" w:sz="12" w:space="0"/>
            </w:tcBorders>
            <w:noWrap w:val="0"/>
            <w:vAlign w:val="center"/>
          </w:tcPr>
          <w:p w14:paraId="45128BBE">
            <w:pPr>
              <w:pStyle w:val="95"/>
              <w:keepNext w:val="0"/>
              <w:keepLines w:val="0"/>
              <w:pageBreakBefore w:val="0"/>
              <w:kinsoku/>
              <w:wordWrap/>
              <w:overflowPunct/>
              <w:topLinePunct w:val="0"/>
              <w:autoSpaceDE/>
              <w:autoSpaceDN/>
              <w:bidi w:val="0"/>
              <w:adjustRightInd/>
              <w:snapToGrid/>
              <w:spacing w:line="340" w:lineRule="exact"/>
              <w:ind w:left="0" w:right="0" w:rightChars="0"/>
              <w:jc w:val="center"/>
              <w:textAlignment w:val="auto"/>
              <w:rPr>
                <w:rFonts w:hint="eastAsia" w:ascii="宋体" w:hAnsi="宋体" w:eastAsia="宋体" w:cs="宋体"/>
                <w:b w:val="0"/>
                <w:bCs/>
                <w:color w:val="auto"/>
                <w:sz w:val="18"/>
                <w:szCs w:val="18"/>
                <w:highlight w:val="none"/>
                <w:lang w:eastAsia="zh-CN"/>
              </w:rPr>
            </w:pPr>
            <w:r>
              <w:rPr>
                <w:rFonts w:hint="eastAsia" w:ascii="宋体" w:hAnsi="宋体" w:eastAsia="宋体" w:cs="宋体"/>
                <w:b w:val="0"/>
                <w:bCs/>
                <w:color w:val="auto"/>
                <w:sz w:val="18"/>
                <w:szCs w:val="18"/>
                <w:highlight w:val="none"/>
                <w:lang w:eastAsia="zh-CN"/>
              </w:rPr>
              <w:t>LED显示器</w:t>
            </w:r>
          </w:p>
        </w:tc>
      </w:tr>
      <w:tr w14:paraId="3AC54FED">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317" w:hRule="atLeast"/>
          <w:jc w:val="center"/>
        </w:trPr>
        <w:tc>
          <w:tcPr>
            <w:tcW w:w="2447" w:type="dxa"/>
            <w:gridSpan w:val="2"/>
            <w:tcBorders>
              <w:top w:val="single" w:color="00000A" w:sz="12" w:space="0"/>
              <w:bottom w:val="single" w:color="00000A" w:sz="12" w:space="0"/>
              <w:right w:val="single" w:color="00000A" w:sz="12" w:space="0"/>
            </w:tcBorders>
            <w:noWrap w:val="0"/>
            <w:vAlign w:val="center"/>
          </w:tcPr>
          <w:p w14:paraId="6A8DD210">
            <w:pPr>
              <w:pStyle w:val="95"/>
              <w:keepNext w:val="0"/>
              <w:keepLines w:val="0"/>
              <w:pageBreakBefore w:val="0"/>
              <w:kinsoku/>
              <w:wordWrap/>
              <w:overflowPunct/>
              <w:topLinePunct w:val="0"/>
              <w:autoSpaceDE/>
              <w:autoSpaceDN/>
              <w:bidi w:val="0"/>
              <w:adjustRightInd/>
              <w:snapToGrid/>
              <w:spacing w:line="340" w:lineRule="exact"/>
              <w:ind w:right="0"/>
              <w:jc w:val="center"/>
              <w:textAlignment w:val="auto"/>
              <w:rPr>
                <w:rFonts w:hint="eastAsia" w:ascii="宋体" w:hAnsi="宋体" w:eastAsia="宋体" w:cs="宋体"/>
                <w:b w:val="0"/>
                <w:bCs/>
                <w:color w:val="auto"/>
                <w:sz w:val="18"/>
                <w:szCs w:val="18"/>
                <w:highlight w:val="none"/>
                <w:lang w:val="en-US" w:eastAsia="zh-CN"/>
              </w:rPr>
            </w:pPr>
            <w:r>
              <w:rPr>
                <w:rFonts w:hint="eastAsia" w:ascii="宋体" w:hAnsi="宋体" w:eastAsia="宋体" w:cs="宋体"/>
                <w:b w:val="0"/>
                <w:bCs/>
                <w:color w:val="auto"/>
                <w:sz w:val="18"/>
                <w:szCs w:val="18"/>
                <w:highlight w:val="none"/>
                <w:lang w:val="en-US" w:eastAsia="zh-CN"/>
              </w:rPr>
              <w:t>操纵盘</w:t>
            </w:r>
          </w:p>
        </w:tc>
        <w:tc>
          <w:tcPr>
            <w:tcW w:w="7956" w:type="dxa"/>
            <w:tcBorders>
              <w:top w:val="single" w:color="00000A" w:sz="12" w:space="0"/>
              <w:left w:val="single" w:color="00000A" w:sz="12" w:space="0"/>
              <w:bottom w:val="single" w:color="00000A" w:sz="12" w:space="0"/>
              <w:right w:val="single" w:color="00000A" w:sz="12" w:space="0"/>
            </w:tcBorders>
            <w:noWrap w:val="0"/>
            <w:vAlign w:val="center"/>
          </w:tcPr>
          <w:p w14:paraId="604EA6E3">
            <w:pPr>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bidi="ar-SA"/>
              </w:rPr>
              <w:t>一体化操纵盘/残疾人操纵盘，</w:t>
            </w:r>
          </w:p>
          <w:p w14:paraId="4BE06DD3">
            <w:pPr>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bidi="ar-SA"/>
              </w:rPr>
              <w:t>材质发纹不锈钢(SUS304,厚度</w:t>
            </w:r>
            <w:r>
              <w:rPr>
                <w:rFonts w:hint="default" w:ascii="宋体" w:hAnsi="宋体" w:eastAsia="宋体" w:cs="宋体"/>
                <w:b w:val="0"/>
                <w:bCs/>
                <w:color w:val="auto"/>
                <w:kern w:val="2"/>
                <w:sz w:val="18"/>
                <w:szCs w:val="18"/>
                <w:highlight w:val="none"/>
                <w:lang w:val="en-US" w:eastAsia="zh-CN" w:bidi="ar-SA"/>
              </w:rPr>
              <w:t>≥</w:t>
            </w:r>
            <w:r>
              <w:rPr>
                <w:rFonts w:hint="eastAsia" w:ascii="宋体" w:hAnsi="宋体" w:eastAsia="宋体" w:cs="宋体"/>
                <w:b w:val="0"/>
                <w:bCs/>
                <w:color w:val="auto"/>
                <w:kern w:val="2"/>
                <w:sz w:val="18"/>
                <w:szCs w:val="18"/>
                <w:highlight w:val="none"/>
                <w:lang w:val="en-US" w:eastAsia="zh-CN" w:bidi="ar-SA"/>
              </w:rPr>
              <w:t>1.</w:t>
            </w:r>
            <w:r>
              <w:rPr>
                <w:rFonts w:hint="eastAsia" w:ascii="宋体" w:hAnsi="宋体" w:cs="宋体"/>
                <w:b w:val="0"/>
                <w:bCs/>
                <w:color w:val="auto"/>
                <w:kern w:val="2"/>
                <w:sz w:val="18"/>
                <w:szCs w:val="18"/>
                <w:highlight w:val="none"/>
                <w:lang w:val="en-US" w:eastAsia="zh-CN" w:bidi="ar-SA"/>
              </w:rPr>
              <w:t>2</w:t>
            </w:r>
            <w:r>
              <w:rPr>
                <w:rFonts w:hint="eastAsia" w:ascii="宋体" w:hAnsi="宋体" w:eastAsia="宋体" w:cs="宋体"/>
                <w:b w:val="0"/>
                <w:bCs/>
                <w:color w:val="auto"/>
                <w:kern w:val="2"/>
                <w:sz w:val="18"/>
                <w:szCs w:val="18"/>
                <w:highlight w:val="none"/>
                <w:lang w:val="en-US" w:eastAsia="zh-CN" w:bidi="ar-SA"/>
              </w:rPr>
              <w:t>mm)</w:t>
            </w:r>
          </w:p>
        </w:tc>
      </w:tr>
      <w:tr w14:paraId="0C0DFE9E">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308" w:hRule="atLeast"/>
          <w:jc w:val="center"/>
        </w:trPr>
        <w:tc>
          <w:tcPr>
            <w:tcW w:w="2447" w:type="dxa"/>
            <w:gridSpan w:val="2"/>
            <w:tcBorders>
              <w:top w:val="single" w:color="00000A" w:sz="12" w:space="0"/>
              <w:bottom w:val="single" w:color="00000A" w:sz="12" w:space="0"/>
              <w:right w:val="single" w:color="00000A" w:sz="12" w:space="0"/>
            </w:tcBorders>
            <w:noWrap w:val="0"/>
            <w:vAlign w:val="center"/>
          </w:tcPr>
          <w:p w14:paraId="381C8B83">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外呼布局：</w:t>
            </w:r>
          </w:p>
        </w:tc>
        <w:tc>
          <w:tcPr>
            <w:tcW w:w="7956" w:type="dxa"/>
            <w:tcBorders>
              <w:top w:val="single" w:color="00000A" w:sz="12" w:space="0"/>
              <w:left w:val="single" w:color="00000A" w:sz="12" w:space="0"/>
              <w:bottom w:val="single" w:color="00000A" w:sz="12" w:space="0"/>
              <w:right w:val="single" w:color="00000A" w:sz="12" w:space="0"/>
            </w:tcBorders>
            <w:noWrap w:val="0"/>
            <w:vAlign w:val="center"/>
          </w:tcPr>
          <w:p w14:paraId="04DF83CF">
            <w:pPr>
              <w:pStyle w:val="95"/>
              <w:keepNext w:val="0"/>
              <w:keepLines w:val="0"/>
              <w:pageBreakBefore w:val="0"/>
              <w:kinsoku/>
              <w:wordWrap/>
              <w:overflowPunct/>
              <w:topLinePunct w:val="0"/>
              <w:autoSpaceDE/>
              <w:autoSpaceDN/>
              <w:bidi w:val="0"/>
              <w:adjustRightInd/>
              <w:snapToGrid/>
              <w:spacing w:line="340" w:lineRule="exact"/>
              <w:ind w:left="0" w:right="0" w:rightChars="0"/>
              <w:jc w:val="center"/>
              <w:textAlignment w:val="auto"/>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bidi="ar-SA"/>
              </w:rPr>
              <w:t>紧凑单梯</w:t>
            </w:r>
          </w:p>
        </w:tc>
      </w:tr>
      <w:tr w14:paraId="7F9D0840">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394" w:hRule="atLeast"/>
          <w:jc w:val="center"/>
        </w:trPr>
        <w:tc>
          <w:tcPr>
            <w:tcW w:w="2447" w:type="dxa"/>
            <w:gridSpan w:val="2"/>
            <w:tcBorders>
              <w:top w:val="single" w:color="00000A" w:sz="12" w:space="0"/>
              <w:bottom w:val="single" w:color="00000A" w:sz="12" w:space="0"/>
              <w:right w:val="single" w:color="00000A" w:sz="12" w:space="0"/>
            </w:tcBorders>
            <w:noWrap w:val="0"/>
            <w:vAlign w:val="center"/>
          </w:tcPr>
          <w:p w14:paraId="20D6DDE6">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外呼面板材料：</w:t>
            </w:r>
          </w:p>
        </w:tc>
        <w:tc>
          <w:tcPr>
            <w:tcW w:w="7956" w:type="dxa"/>
            <w:tcBorders>
              <w:top w:val="single" w:color="00000A" w:sz="12" w:space="0"/>
              <w:left w:val="single" w:color="00000A" w:sz="12" w:space="0"/>
              <w:bottom w:val="single" w:color="00000A" w:sz="12" w:space="0"/>
              <w:right w:val="single" w:color="00000A" w:sz="12" w:space="0"/>
            </w:tcBorders>
            <w:noWrap w:val="0"/>
            <w:vAlign w:val="center"/>
          </w:tcPr>
          <w:p w14:paraId="4A6FECBE">
            <w:pPr>
              <w:pStyle w:val="95"/>
              <w:keepNext w:val="0"/>
              <w:keepLines w:val="0"/>
              <w:pageBreakBefore w:val="0"/>
              <w:kinsoku/>
              <w:wordWrap/>
              <w:overflowPunct/>
              <w:topLinePunct w:val="0"/>
              <w:autoSpaceDE/>
              <w:autoSpaceDN/>
              <w:bidi w:val="0"/>
              <w:adjustRightInd/>
              <w:snapToGrid/>
              <w:spacing w:line="340" w:lineRule="exact"/>
              <w:ind w:left="0" w:right="0" w:rightChars="0"/>
              <w:jc w:val="center"/>
              <w:textAlignment w:val="auto"/>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sz w:val="18"/>
                <w:szCs w:val="18"/>
                <w:highlight w:val="none"/>
                <w:lang w:val="en-US" w:eastAsia="zh-CN"/>
              </w:rPr>
              <w:t>发纹不锈钢</w:t>
            </w:r>
          </w:p>
        </w:tc>
      </w:tr>
      <w:tr w14:paraId="70C832E1">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298" w:hRule="atLeast"/>
          <w:jc w:val="center"/>
        </w:trPr>
        <w:tc>
          <w:tcPr>
            <w:tcW w:w="2447" w:type="dxa"/>
            <w:gridSpan w:val="2"/>
            <w:tcBorders>
              <w:top w:val="single" w:color="00000A" w:sz="12" w:space="0"/>
              <w:bottom w:val="single" w:color="00000A" w:sz="12" w:space="0"/>
              <w:right w:val="single" w:color="00000A" w:sz="12" w:space="0"/>
            </w:tcBorders>
            <w:noWrap w:val="0"/>
            <w:vAlign w:val="center"/>
          </w:tcPr>
          <w:p w14:paraId="6E07A330">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群控方式</w:t>
            </w:r>
          </w:p>
        </w:tc>
        <w:tc>
          <w:tcPr>
            <w:tcW w:w="7956" w:type="dxa"/>
            <w:tcBorders>
              <w:top w:val="single" w:color="00000A" w:sz="12" w:space="0"/>
              <w:left w:val="single" w:color="00000A" w:sz="12" w:space="0"/>
              <w:bottom w:val="single" w:color="00000A" w:sz="12" w:space="0"/>
              <w:right w:val="single" w:color="00000A" w:sz="12" w:space="0"/>
            </w:tcBorders>
            <w:noWrap w:val="0"/>
            <w:vAlign w:val="center"/>
          </w:tcPr>
          <w:p w14:paraId="3C26B83E">
            <w:pPr>
              <w:pStyle w:val="95"/>
              <w:keepNext w:val="0"/>
              <w:keepLines w:val="0"/>
              <w:pageBreakBefore w:val="0"/>
              <w:kinsoku/>
              <w:wordWrap/>
              <w:overflowPunct/>
              <w:topLinePunct w:val="0"/>
              <w:autoSpaceDE/>
              <w:autoSpaceDN/>
              <w:bidi w:val="0"/>
              <w:adjustRightInd/>
              <w:snapToGrid/>
              <w:spacing w:line="340" w:lineRule="exact"/>
              <w:ind w:left="0" w:right="0" w:rightChars="0"/>
              <w:jc w:val="center"/>
              <w:textAlignment w:val="auto"/>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bidi="ar-SA"/>
              </w:rPr>
              <w:t>群控</w:t>
            </w:r>
          </w:p>
        </w:tc>
      </w:tr>
      <w:tr w14:paraId="7278A7AB">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298" w:hRule="atLeast"/>
          <w:jc w:val="center"/>
        </w:trPr>
        <w:tc>
          <w:tcPr>
            <w:tcW w:w="2447" w:type="dxa"/>
            <w:gridSpan w:val="2"/>
            <w:tcBorders>
              <w:top w:val="single" w:color="00000A" w:sz="12" w:space="0"/>
              <w:bottom w:val="single" w:color="00000A" w:sz="12" w:space="0"/>
              <w:right w:val="single" w:color="00000A" w:sz="12" w:space="0"/>
            </w:tcBorders>
            <w:noWrap w:val="0"/>
            <w:vAlign w:val="center"/>
          </w:tcPr>
          <w:p w14:paraId="6253E2D8">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门套</w:t>
            </w:r>
          </w:p>
        </w:tc>
        <w:tc>
          <w:tcPr>
            <w:tcW w:w="7956" w:type="dxa"/>
            <w:tcBorders>
              <w:top w:val="single" w:color="00000A" w:sz="12" w:space="0"/>
              <w:left w:val="single" w:color="00000A" w:sz="12" w:space="0"/>
              <w:bottom w:val="single" w:color="00000A" w:sz="12" w:space="0"/>
              <w:right w:val="single" w:color="00000A" w:sz="12" w:space="0"/>
            </w:tcBorders>
            <w:noWrap w:val="0"/>
            <w:vAlign w:val="center"/>
          </w:tcPr>
          <w:p w14:paraId="648FEE3B">
            <w:pPr>
              <w:pStyle w:val="95"/>
              <w:keepNext w:val="0"/>
              <w:keepLines w:val="0"/>
              <w:pageBreakBefore w:val="0"/>
              <w:kinsoku/>
              <w:wordWrap/>
              <w:overflowPunct/>
              <w:topLinePunct w:val="0"/>
              <w:autoSpaceDE/>
              <w:autoSpaceDN/>
              <w:bidi w:val="0"/>
              <w:adjustRightInd/>
              <w:snapToGrid/>
              <w:spacing w:line="340" w:lineRule="exact"/>
              <w:ind w:left="0" w:right="0" w:rightChars="0"/>
              <w:jc w:val="center"/>
              <w:textAlignment w:val="auto"/>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bidi="ar-SA"/>
              </w:rPr>
              <w:t>全部发纹不锈钢门套(SUS304,厚度</w:t>
            </w:r>
            <w:r>
              <w:rPr>
                <w:rFonts w:hint="default" w:ascii="宋体" w:hAnsi="宋体" w:eastAsia="宋体" w:cs="宋体"/>
                <w:b w:val="0"/>
                <w:bCs/>
                <w:color w:val="auto"/>
                <w:kern w:val="2"/>
                <w:sz w:val="18"/>
                <w:szCs w:val="18"/>
                <w:highlight w:val="none"/>
                <w:lang w:val="en-US" w:eastAsia="zh-CN" w:bidi="ar-SA"/>
              </w:rPr>
              <w:t>≥</w:t>
            </w:r>
            <w:r>
              <w:rPr>
                <w:rFonts w:hint="eastAsia" w:ascii="宋体" w:hAnsi="宋体" w:eastAsia="宋体" w:cs="宋体"/>
                <w:b w:val="0"/>
                <w:bCs/>
                <w:color w:val="auto"/>
                <w:kern w:val="2"/>
                <w:sz w:val="18"/>
                <w:szCs w:val="18"/>
                <w:highlight w:val="none"/>
                <w:lang w:val="en-US" w:eastAsia="zh-CN" w:bidi="ar-SA"/>
              </w:rPr>
              <w:t>1.</w:t>
            </w:r>
            <w:r>
              <w:rPr>
                <w:rFonts w:hint="eastAsia" w:cs="宋体"/>
                <w:b w:val="0"/>
                <w:bCs/>
                <w:color w:val="auto"/>
                <w:kern w:val="2"/>
                <w:sz w:val="18"/>
                <w:szCs w:val="18"/>
                <w:highlight w:val="none"/>
                <w:lang w:val="en-US" w:eastAsia="zh-CN" w:bidi="ar-SA"/>
              </w:rPr>
              <w:t>2</w:t>
            </w:r>
            <w:r>
              <w:rPr>
                <w:rFonts w:hint="eastAsia" w:ascii="宋体" w:hAnsi="宋体" w:eastAsia="宋体" w:cs="宋体"/>
                <w:b w:val="0"/>
                <w:bCs/>
                <w:color w:val="auto"/>
                <w:kern w:val="2"/>
                <w:sz w:val="18"/>
                <w:szCs w:val="18"/>
                <w:highlight w:val="none"/>
                <w:lang w:val="en-US" w:eastAsia="zh-CN" w:bidi="ar-SA"/>
              </w:rPr>
              <w:t>mm)</w:t>
            </w:r>
          </w:p>
        </w:tc>
      </w:tr>
      <w:tr w14:paraId="35535A5F">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285" w:hRule="atLeast"/>
          <w:jc w:val="center"/>
        </w:trPr>
        <w:tc>
          <w:tcPr>
            <w:tcW w:w="2447" w:type="dxa"/>
            <w:gridSpan w:val="2"/>
            <w:tcBorders>
              <w:top w:val="single" w:color="00000A" w:sz="12" w:space="0"/>
              <w:bottom w:val="single" w:color="00000A" w:sz="12" w:space="0"/>
              <w:right w:val="single" w:color="00000A" w:sz="12" w:space="0"/>
            </w:tcBorders>
            <w:noWrap w:val="0"/>
            <w:vAlign w:val="center"/>
          </w:tcPr>
          <w:p w14:paraId="5F74DE4A">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lang w:val="en-US" w:eastAsia="zh-CN"/>
              </w:rPr>
            </w:pPr>
            <w:r>
              <w:rPr>
                <w:rFonts w:hint="eastAsia" w:ascii="宋体" w:hAnsi="宋体" w:eastAsia="宋体" w:cs="宋体"/>
                <w:b w:val="0"/>
                <w:bCs/>
                <w:color w:val="auto"/>
                <w:sz w:val="18"/>
                <w:szCs w:val="18"/>
                <w:highlight w:val="none"/>
                <w:lang w:val="en-US" w:eastAsia="zh-CN"/>
              </w:rPr>
              <w:t>其他配置</w:t>
            </w:r>
          </w:p>
        </w:tc>
        <w:tc>
          <w:tcPr>
            <w:tcW w:w="7956" w:type="dxa"/>
            <w:tcBorders>
              <w:top w:val="single" w:color="00000A" w:sz="12" w:space="0"/>
              <w:left w:val="single" w:color="00000A" w:sz="12" w:space="0"/>
              <w:bottom w:val="single" w:color="00000A" w:sz="12" w:space="0"/>
              <w:right w:val="single" w:color="auto" w:sz="4" w:space="0"/>
            </w:tcBorders>
            <w:noWrap w:val="0"/>
            <w:vAlign w:val="center"/>
          </w:tcPr>
          <w:p w14:paraId="6568676B">
            <w:pPr>
              <w:keepNext w:val="0"/>
              <w:keepLines w:val="0"/>
              <w:pageBreakBefore w:val="0"/>
              <w:widowControl/>
              <w:kinsoku/>
              <w:wordWrap/>
              <w:overflowPunct/>
              <w:topLinePunct w:val="0"/>
              <w:autoSpaceDE/>
              <w:autoSpaceDN/>
              <w:bidi w:val="0"/>
              <w:adjustRightInd/>
              <w:snapToGrid/>
              <w:spacing w:line="340" w:lineRule="exact"/>
              <w:ind w:left="0" w:right="0"/>
              <w:jc w:val="center"/>
              <w:textAlignment w:val="auto"/>
              <w:rPr>
                <w:rFonts w:hint="default" w:ascii="宋体" w:hAnsi="宋体" w:eastAsia="宋体" w:cs="宋体"/>
                <w:b w:val="0"/>
                <w:bCs/>
                <w:color w:val="auto"/>
                <w:sz w:val="18"/>
                <w:szCs w:val="18"/>
                <w:highlight w:val="none"/>
                <w:lang w:val="en-US" w:eastAsia="zh-CN"/>
              </w:rPr>
            </w:pPr>
            <w:r>
              <w:rPr>
                <w:rFonts w:hint="eastAsia" w:ascii="宋体" w:hAnsi="宋体"/>
                <w:b w:val="0"/>
                <w:bCs/>
                <w:color w:val="auto"/>
                <w:sz w:val="18"/>
                <w:szCs w:val="18"/>
                <w:highlight w:val="none"/>
              </w:rPr>
              <w:t>停电应急平层装置</w:t>
            </w:r>
            <w:r>
              <w:rPr>
                <w:rFonts w:hint="eastAsia" w:ascii="宋体" w:hAnsi="宋体"/>
                <w:b w:val="0"/>
                <w:bCs/>
                <w:color w:val="auto"/>
                <w:sz w:val="18"/>
                <w:szCs w:val="18"/>
                <w:highlight w:val="none"/>
                <w:lang w:eastAsia="zh-CN"/>
              </w:rPr>
              <w:t>、</w:t>
            </w:r>
            <w:r>
              <w:rPr>
                <w:rFonts w:hint="eastAsia"/>
                <w:b w:val="0"/>
                <w:bCs/>
                <w:color w:val="auto"/>
                <w:sz w:val="18"/>
                <w:szCs w:val="18"/>
                <w:highlight w:val="none"/>
                <w:lang w:eastAsia="zh-CN"/>
              </w:rPr>
              <w:t>电梯服务支援系</w:t>
            </w:r>
            <w:r>
              <w:rPr>
                <w:rFonts w:hint="eastAsia" w:ascii="Times New Roman" w:hAnsi="Times New Roman" w:eastAsia="宋体" w:cs="Times New Roman"/>
                <w:b w:val="0"/>
                <w:bCs/>
                <w:color w:val="auto"/>
                <w:sz w:val="18"/>
                <w:szCs w:val="18"/>
                <w:highlight w:val="none"/>
                <w:lang w:eastAsia="zh-CN"/>
              </w:rPr>
              <w:t>统、电梯物联网系统、</w:t>
            </w:r>
            <w:r>
              <w:rPr>
                <w:rFonts w:hint="eastAsia" w:ascii="Times New Roman" w:hAnsi="Times New Roman" w:eastAsia="宋体" w:cs="Times New Roman"/>
                <w:b w:val="0"/>
                <w:bCs/>
                <w:color w:val="auto"/>
                <w:sz w:val="18"/>
                <w:szCs w:val="18"/>
                <w:highlight w:val="none"/>
                <w:lang w:val="en-US" w:eastAsia="zh-CN"/>
              </w:rPr>
              <w:t>按采购人实际需求配备智能紫外线杀菌灯，杀菌覆盖面积≥轿厢内部面积，门开启时立即断电，杀菌完成后自动关闭并记录日志（可查询近 30 天杀菌记录）、无障碍电梯（DT5、DT8）轿厢内配备两侧纵向扶手（高度 900mm）+ 后壁横向扶手（高度 700mm），操作盘带盲文按钮，按钮中心高度≤1.2m。</w:t>
            </w:r>
          </w:p>
        </w:tc>
      </w:tr>
      <w:tr w14:paraId="418D56BB">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197" w:hRule="atLeast"/>
          <w:jc w:val="center"/>
        </w:trPr>
        <w:tc>
          <w:tcPr>
            <w:tcW w:w="2447" w:type="dxa"/>
            <w:gridSpan w:val="2"/>
            <w:tcBorders>
              <w:top w:val="single" w:color="00000A" w:sz="12" w:space="0"/>
              <w:bottom w:val="single" w:color="00000A" w:sz="12" w:space="0"/>
              <w:right w:val="single" w:color="00000A" w:sz="12" w:space="0"/>
            </w:tcBorders>
            <w:noWrap w:val="0"/>
            <w:vAlign w:val="center"/>
          </w:tcPr>
          <w:p w14:paraId="426A01A2">
            <w:pPr>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Calibri" w:hAnsi="Calibri" w:eastAsia="宋体" w:cs="Times New Roman"/>
                <w:b w:val="0"/>
                <w:bCs/>
                <w:kern w:val="2"/>
                <w:sz w:val="18"/>
                <w:szCs w:val="18"/>
                <w:highlight w:val="none"/>
                <w:lang w:val="en-US" w:eastAsia="zh-CN" w:bidi="ar-SA"/>
              </w:rPr>
            </w:pPr>
            <w:r>
              <w:rPr>
                <w:rFonts w:hint="eastAsia"/>
                <w:b w:val="0"/>
                <w:bCs/>
                <w:sz w:val="18"/>
                <w:szCs w:val="18"/>
                <w:highlight w:val="none"/>
              </w:rPr>
              <w:t>平层精度</w:t>
            </w:r>
          </w:p>
        </w:tc>
        <w:tc>
          <w:tcPr>
            <w:tcW w:w="7956" w:type="dxa"/>
            <w:tcBorders>
              <w:top w:val="single" w:color="00000A" w:sz="12" w:space="0"/>
              <w:left w:val="single" w:color="00000A" w:sz="12" w:space="0"/>
              <w:bottom w:val="single" w:color="00000A" w:sz="12" w:space="0"/>
              <w:right w:val="single" w:color="auto" w:sz="4" w:space="0"/>
            </w:tcBorders>
            <w:noWrap w:val="0"/>
            <w:vAlign w:val="center"/>
          </w:tcPr>
          <w:p w14:paraId="58E430F9">
            <w:pPr>
              <w:keepNext w:val="0"/>
              <w:keepLines w:val="0"/>
              <w:pageBreakBefore w:val="0"/>
              <w:widowControl/>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lang w:eastAsia="zh-CN"/>
              </w:rPr>
            </w:pPr>
            <w:r>
              <w:rPr>
                <w:rFonts w:hint="eastAsia" w:ascii="微软雅黑" w:hAnsi="微软雅黑" w:eastAsia="微软雅黑" w:cs="微软雅黑"/>
                <w:b w:val="0"/>
                <w:bCs/>
                <w:sz w:val="18"/>
                <w:szCs w:val="18"/>
                <w:highlight w:val="none"/>
              </w:rPr>
              <w:t>±</w:t>
            </w:r>
            <w:r>
              <w:rPr>
                <w:b w:val="0"/>
                <w:bCs/>
                <w:sz w:val="18"/>
                <w:szCs w:val="18"/>
                <w:highlight w:val="none"/>
              </w:rPr>
              <w:t>3mm</w:t>
            </w:r>
          </w:p>
        </w:tc>
      </w:tr>
      <w:tr w14:paraId="79F03BB0">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306" w:hRule="atLeast"/>
          <w:jc w:val="center"/>
        </w:trPr>
        <w:tc>
          <w:tcPr>
            <w:tcW w:w="2447" w:type="dxa"/>
            <w:gridSpan w:val="2"/>
            <w:tcBorders>
              <w:bottom w:val="single" w:color="00000A" w:sz="12" w:space="0"/>
              <w:right w:val="single" w:color="00000A" w:sz="12" w:space="0"/>
            </w:tcBorders>
            <w:noWrap w:val="0"/>
            <w:vAlign w:val="center"/>
          </w:tcPr>
          <w:p w14:paraId="1DECFEED">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电 源 要 求</w:t>
            </w:r>
          </w:p>
        </w:tc>
        <w:tc>
          <w:tcPr>
            <w:tcW w:w="7956" w:type="dxa"/>
            <w:tcBorders>
              <w:left w:val="single" w:color="00000A" w:sz="12" w:space="0"/>
              <w:bottom w:val="single" w:color="00000A" w:sz="12" w:space="0"/>
              <w:right w:val="single" w:color="auto" w:sz="4" w:space="0"/>
            </w:tcBorders>
            <w:noWrap w:val="0"/>
            <w:vAlign w:val="center"/>
          </w:tcPr>
          <w:p w14:paraId="28555AF1">
            <w:pPr>
              <w:keepNext w:val="0"/>
              <w:keepLines w:val="0"/>
              <w:pageBreakBefore w:val="0"/>
              <w:widowControl/>
              <w:kinsoku/>
              <w:wordWrap/>
              <w:overflowPunct/>
              <w:topLinePunct w:val="0"/>
              <w:autoSpaceDE/>
              <w:autoSpaceDN/>
              <w:bidi w:val="0"/>
              <w:adjustRightInd/>
              <w:snapToGrid/>
              <w:spacing w:line="340" w:lineRule="exact"/>
              <w:ind w:left="0" w:right="0"/>
              <w:jc w:val="center"/>
              <w:textAlignment w:val="auto"/>
              <w:rPr>
                <w:rFonts w:hint="default" w:ascii="宋体" w:hAnsi="宋体" w:eastAsia="宋体" w:cs="宋体"/>
                <w:b w:val="0"/>
                <w:bCs/>
                <w:color w:val="auto"/>
                <w:sz w:val="18"/>
                <w:szCs w:val="18"/>
                <w:highlight w:val="none"/>
                <w:lang w:val="en-US" w:eastAsia="zh-CN"/>
              </w:rPr>
            </w:pPr>
            <w:r>
              <w:rPr>
                <w:rFonts w:hint="eastAsia" w:ascii="宋体" w:hAnsi="宋体" w:cs="宋体"/>
                <w:b w:val="0"/>
                <w:bCs/>
                <w:color w:val="auto"/>
                <w:sz w:val="18"/>
                <w:szCs w:val="18"/>
                <w:highlight w:val="none"/>
                <w:lang w:val="en-US" w:eastAsia="zh-CN"/>
              </w:rPr>
              <w:t>电梯</w:t>
            </w:r>
            <w:r>
              <w:rPr>
                <w:rFonts w:hint="eastAsia" w:ascii="宋体" w:hAnsi="宋体" w:eastAsia="宋体" w:cs="宋体"/>
                <w:b w:val="0"/>
                <w:bCs/>
                <w:color w:val="auto"/>
                <w:sz w:val="18"/>
                <w:szCs w:val="18"/>
                <w:highlight w:val="none"/>
              </w:rPr>
              <w:t>供电电压相对于额定电压的波动应在±</w:t>
            </w:r>
            <w:r>
              <w:rPr>
                <w:rFonts w:hint="eastAsia" w:ascii="宋体" w:hAnsi="宋体" w:cs="宋体"/>
                <w:b w:val="0"/>
                <w:bCs/>
                <w:color w:val="auto"/>
                <w:sz w:val="18"/>
                <w:szCs w:val="18"/>
                <w:highlight w:val="none"/>
                <w:lang w:val="en-US" w:eastAsia="zh-CN"/>
              </w:rPr>
              <w:t>10</w:t>
            </w:r>
            <w:r>
              <w:rPr>
                <w:rFonts w:hint="eastAsia" w:ascii="宋体" w:hAnsi="宋体" w:eastAsia="宋体" w:cs="宋体"/>
                <w:b w:val="0"/>
                <w:bCs/>
                <w:color w:val="auto"/>
                <w:sz w:val="18"/>
                <w:szCs w:val="18"/>
                <w:highlight w:val="none"/>
              </w:rPr>
              <w:t>%的范围内</w:t>
            </w:r>
            <w:r>
              <w:rPr>
                <w:rFonts w:hint="eastAsia" w:ascii="宋体" w:hAnsi="宋体" w:cs="宋体"/>
                <w:b w:val="0"/>
                <w:bCs/>
                <w:color w:val="auto"/>
                <w:sz w:val="18"/>
                <w:szCs w:val="18"/>
                <w:highlight w:val="none"/>
                <w:lang w:val="en-US" w:eastAsia="zh-CN"/>
              </w:rPr>
              <w:t>能正常工作</w:t>
            </w:r>
          </w:p>
          <w:p w14:paraId="6D242F30">
            <w:pPr>
              <w:keepNext w:val="0"/>
              <w:keepLines w:val="0"/>
              <w:pageBreakBefore w:val="0"/>
              <w:widowControl/>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b w:val="0"/>
                <w:bCs/>
                <w:sz w:val="18"/>
                <w:szCs w:val="18"/>
                <w:highlight w:val="none"/>
              </w:rPr>
              <w:t>动力：三相五线制交流</w:t>
            </w:r>
            <w:r>
              <w:rPr>
                <w:b w:val="0"/>
                <w:bCs/>
                <w:sz w:val="18"/>
                <w:szCs w:val="18"/>
                <w:highlight w:val="none"/>
              </w:rPr>
              <w:t>380V/50HZ</w:t>
            </w:r>
            <w:r>
              <w:rPr>
                <w:rFonts w:hint="eastAsia"/>
                <w:b w:val="0"/>
                <w:bCs/>
                <w:sz w:val="18"/>
                <w:szCs w:val="18"/>
                <w:highlight w:val="none"/>
              </w:rPr>
              <w:t>；照明：单相交流</w:t>
            </w:r>
            <w:r>
              <w:rPr>
                <w:b w:val="0"/>
                <w:bCs/>
                <w:sz w:val="18"/>
                <w:szCs w:val="18"/>
                <w:highlight w:val="none"/>
              </w:rPr>
              <w:t>220V/50HZ</w:t>
            </w:r>
          </w:p>
        </w:tc>
      </w:tr>
      <w:tr w14:paraId="520F9565">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357" w:hRule="atLeast"/>
          <w:jc w:val="center"/>
        </w:trPr>
        <w:tc>
          <w:tcPr>
            <w:tcW w:w="2447" w:type="dxa"/>
            <w:gridSpan w:val="2"/>
            <w:tcBorders>
              <w:top w:val="single" w:color="00000A" w:sz="12" w:space="0"/>
              <w:bottom w:val="single" w:color="00000A" w:sz="12" w:space="0"/>
              <w:right w:val="single" w:color="00000A" w:sz="12" w:space="0"/>
            </w:tcBorders>
            <w:noWrap w:val="0"/>
            <w:vAlign w:val="center"/>
          </w:tcPr>
          <w:p w14:paraId="78886F86">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制 造 规 范</w:t>
            </w:r>
          </w:p>
        </w:tc>
        <w:tc>
          <w:tcPr>
            <w:tcW w:w="7956" w:type="dxa"/>
            <w:tcBorders>
              <w:top w:val="single" w:color="00000A" w:sz="12" w:space="0"/>
              <w:left w:val="single" w:color="00000A" w:sz="12" w:space="0"/>
              <w:bottom w:val="single" w:color="00000A" w:sz="12" w:space="0"/>
              <w:right w:val="single" w:color="auto" w:sz="4" w:space="0"/>
            </w:tcBorders>
            <w:noWrap w:val="0"/>
            <w:vAlign w:val="center"/>
          </w:tcPr>
          <w:p w14:paraId="1CB09BD7">
            <w:pPr>
              <w:keepNext w:val="0"/>
              <w:keepLines w:val="0"/>
              <w:pageBreakBefore w:val="0"/>
              <w:widowControl/>
              <w:kinsoku/>
              <w:wordWrap/>
              <w:overflowPunct/>
              <w:topLinePunct w:val="0"/>
              <w:autoSpaceDE/>
              <w:autoSpaceDN/>
              <w:bidi w:val="0"/>
              <w:adjustRightInd/>
              <w:snapToGrid/>
              <w:spacing w:line="340" w:lineRule="exact"/>
              <w:ind w:left="0" w:right="0"/>
              <w:jc w:val="center"/>
              <w:textAlignment w:val="auto"/>
              <w:rPr>
                <w:rFonts w:hint="default" w:ascii="宋体" w:hAnsi="宋体" w:eastAsia="宋体" w:cs="宋体"/>
                <w:b w:val="0"/>
                <w:bCs/>
                <w:color w:val="auto"/>
                <w:sz w:val="18"/>
                <w:szCs w:val="18"/>
                <w:highlight w:val="none"/>
                <w:lang w:val="en-US" w:eastAsia="zh-CN"/>
              </w:rPr>
            </w:pPr>
            <w:r>
              <w:rPr>
                <w:rFonts w:hint="eastAsia" w:ascii="宋体" w:hAnsi="宋体" w:eastAsia="宋体" w:cs="宋体"/>
                <w:b w:val="0"/>
                <w:bCs/>
                <w:color w:val="auto"/>
                <w:sz w:val="18"/>
                <w:szCs w:val="18"/>
                <w:highlight w:val="none"/>
              </w:rPr>
              <w:t>G</w:t>
            </w:r>
            <w:r>
              <w:rPr>
                <w:rFonts w:hint="eastAsia" w:ascii="宋体" w:hAnsi="宋体" w:eastAsia="宋体" w:cs="宋体"/>
                <w:b w:val="0"/>
                <w:bCs/>
                <w:color w:val="auto"/>
                <w:sz w:val="18"/>
                <w:szCs w:val="18"/>
                <w:highlight w:val="none"/>
                <w:lang w:val="en-US" w:eastAsia="zh-CN"/>
              </w:rPr>
              <w:t xml:space="preserve">B/T </w:t>
            </w:r>
            <w:r>
              <w:rPr>
                <w:rFonts w:hint="eastAsia" w:ascii="宋体" w:hAnsi="宋体" w:eastAsia="宋体" w:cs="宋体"/>
                <w:b w:val="0"/>
                <w:bCs/>
                <w:color w:val="auto"/>
                <w:sz w:val="18"/>
                <w:szCs w:val="18"/>
                <w:highlight w:val="none"/>
              </w:rPr>
              <w:t>7588</w:t>
            </w:r>
            <w:r>
              <w:rPr>
                <w:rFonts w:hint="eastAsia" w:ascii="宋体" w:hAnsi="宋体" w:eastAsia="宋体" w:cs="宋体"/>
                <w:b w:val="0"/>
                <w:bCs/>
                <w:color w:val="auto"/>
                <w:sz w:val="18"/>
                <w:szCs w:val="18"/>
                <w:highlight w:val="none"/>
                <w:lang w:val="en-US" w:eastAsia="zh-CN"/>
              </w:rPr>
              <w:t>.1</w:t>
            </w:r>
            <w:r>
              <w:rPr>
                <w:rFonts w:hint="eastAsia" w:ascii="宋体" w:hAnsi="宋体" w:eastAsia="宋体" w:cs="宋体"/>
                <w:b w:val="0"/>
                <w:bCs/>
                <w:color w:val="auto"/>
                <w:sz w:val="18"/>
                <w:szCs w:val="18"/>
                <w:highlight w:val="none"/>
              </w:rPr>
              <w:t>-20</w:t>
            </w:r>
            <w:r>
              <w:rPr>
                <w:rFonts w:hint="eastAsia" w:ascii="宋体" w:hAnsi="宋体" w:eastAsia="宋体" w:cs="宋体"/>
                <w:b w:val="0"/>
                <w:bCs/>
                <w:color w:val="auto"/>
                <w:sz w:val="18"/>
                <w:szCs w:val="18"/>
                <w:highlight w:val="none"/>
                <w:lang w:val="en-US" w:eastAsia="zh-CN"/>
              </w:rPr>
              <w:t>20</w:t>
            </w:r>
          </w:p>
        </w:tc>
      </w:tr>
      <w:tr w14:paraId="50BC8509">
        <w:tblPrEx>
          <w:tblBorders>
            <w:top w:val="single" w:color="00000A" w:sz="18" w:space="0"/>
            <w:left w:val="single" w:color="00000A" w:sz="18" w:space="0"/>
            <w:bottom w:val="single" w:color="00000A" w:sz="18" w:space="0"/>
            <w:right w:val="single" w:color="00000A" w:sz="18" w:space="0"/>
            <w:insideH w:val="single" w:color="00000A" w:sz="18" w:space="0"/>
            <w:insideV w:val="single" w:color="00000A" w:sz="18" w:space="0"/>
          </w:tblBorders>
          <w:tblCellMar>
            <w:top w:w="0" w:type="dxa"/>
            <w:left w:w="0" w:type="dxa"/>
            <w:bottom w:w="0" w:type="dxa"/>
            <w:right w:w="0" w:type="dxa"/>
          </w:tblCellMar>
        </w:tblPrEx>
        <w:trPr>
          <w:trHeight w:val="357" w:hRule="atLeast"/>
          <w:jc w:val="center"/>
        </w:trPr>
        <w:tc>
          <w:tcPr>
            <w:tcW w:w="2447" w:type="dxa"/>
            <w:gridSpan w:val="2"/>
            <w:tcBorders>
              <w:top w:val="single" w:color="00000A" w:sz="12" w:space="0"/>
              <w:bottom w:val="single" w:color="auto" w:sz="4" w:space="0"/>
              <w:right w:val="single" w:color="00000A" w:sz="12" w:space="0"/>
            </w:tcBorders>
            <w:noWrap w:val="0"/>
            <w:vAlign w:val="center"/>
          </w:tcPr>
          <w:p w14:paraId="62329DB8">
            <w:pPr>
              <w:pStyle w:val="95"/>
              <w:keepNext w:val="0"/>
              <w:keepLines w:val="0"/>
              <w:pageBreakBefore w:val="0"/>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color w:val="auto"/>
                <w:kern w:val="0"/>
                <w:sz w:val="21"/>
                <w:szCs w:val="21"/>
                <w:highlight w:val="none"/>
              </w:rPr>
              <w:t>备注</w:t>
            </w:r>
          </w:p>
        </w:tc>
        <w:tc>
          <w:tcPr>
            <w:tcW w:w="7956" w:type="dxa"/>
            <w:tcBorders>
              <w:top w:val="single" w:color="00000A" w:sz="12" w:space="0"/>
              <w:left w:val="single" w:color="00000A" w:sz="12" w:space="0"/>
              <w:bottom w:val="single" w:color="auto" w:sz="4" w:space="0"/>
              <w:right w:val="single" w:color="auto" w:sz="4" w:space="0"/>
            </w:tcBorders>
            <w:noWrap w:val="0"/>
            <w:vAlign w:val="center"/>
          </w:tcPr>
          <w:p w14:paraId="6E5E0BC8">
            <w:pPr>
              <w:keepNext w:val="0"/>
              <w:keepLines w:val="0"/>
              <w:pageBreakBefore w:val="0"/>
              <w:widowControl/>
              <w:kinsoku/>
              <w:wordWrap/>
              <w:overflowPunct/>
              <w:topLinePunct w:val="0"/>
              <w:autoSpaceDE/>
              <w:autoSpaceDN/>
              <w:bidi w:val="0"/>
              <w:adjustRightInd/>
              <w:snapToGrid/>
              <w:spacing w:line="340" w:lineRule="exact"/>
              <w:ind w:left="0" w:right="0"/>
              <w:jc w:val="center"/>
              <w:textAlignment w:val="auto"/>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具体井道尺寸以实际勘测为准。</w:t>
            </w:r>
          </w:p>
        </w:tc>
      </w:tr>
    </w:tbl>
    <w:p w14:paraId="6ABDB3FF">
      <w:pPr>
        <w:pStyle w:val="174"/>
        <w:keepNext w:val="0"/>
        <w:keepLines w:val="0"/>
        <w:pageBreakBefore w:val="0"/>
        <w:widowControl w:val="0"/>
        <w:numPr>
          <w:ilvl w:val="0"/>
          <w:numId w:val="0"/>
        </w:numPr>
        <w:kinsoku/>
        <w:wordWrap/>
        <w:overflowPunct/>
        <w:topLinePunct w:val="0"/>
        <w:autoSpaceDE/>
        <w:autoSpaceDN/>
        <w:bidi w:val="0"/>
        <w:adjustRightInd/>
        <w:snapToGrid/>
        <w:spacing w:before="0" w:beforeLines="50" w:line="360" w:lineRule="auto"/>
        <w:textAlignment w:val="auto"/>
        <w:rPr>
          <w:rStyle w:val="42"/>
          <w:rFonts w:hint="eastAsia" w:ascii="宋体" w:hAnsi="宋体" w:eastAsia="宋体" w:cs="宋体"/>
          <w:b/>
          <w:sz w:val="21"/>
          <w:szCs w:val="21"/>
          <w:highlight w:val="white"/>
        </w:rPr>
      </w:pPr>
      <w:r>
        <w:rPr>
          <w:rStyle w:val="42"/>
          <w:rFonts w:hint="eastAsia" w:ascii="宋体" w:hAnsi="宋体" w:eastAsia="宋体" w:cs="宋体"/>
          <w:b/>
          <w:sz w:val="21"/>
          <w:szCs w:val="21"/>
          <w:highlight w:val="white"/>
          <w:lang w:eastAsia="zh-CN"/>
        </w:rPr>
        <w:t>三、</w:t>
      </w:r>
      <w:r>
        <w:rPr>
          <w:rStyle w:val="42"/>
          <w:rFonts w:hint="eastAsia" w:ascii="宋体" w:hAnsi="宋体" w:eastAsia="宋体" w:cs="宋体"/>
          <w:b/>
          <w:sz w:val="21"/>
          <w:szCs w:val="21"/>
          <w:highlight w:val="white"/>
        </w:rPr>
        <w:t>乘客电梯标准功能说明（主要功能）</w:t>
      </w:r>
    </w:p>
    <w:tbl>
      <w:tblPr>
        <w:tblStyle w:val="40"/>
        <w:tblW w:w="10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2988"/>
        <w:gridCol w:w="681"/>
        <w:gridCol w:w="2157"/>
        <w:gridCol w:w="704"/>
        <w:gridCol w:w="3404"/>
      </w:tblGrid>
      <w:tr w14:paraId="2F116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98" w:type="dxa"/>
            <w:tcBorders>
              <w:top w:val="single" w:color="auto" w:sz="4" w:space="0"/>
              <w:left w:val="single" w:color="auto" w:sz="12" w:space="0"/>
              <w:bottom w:val="single" w:color="auto" w:sz="8" w:space="0"/>
              <w:right w:val="single" w:color="auto" w:sz="8" w:space="0"/>
            </w:tcBorders>
            <w:noWrap w:val="0"/>
            <w:vAlign w:val="center"/>
          </w:tcPr>
          <w:p w14:paraId="18905176">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lang w:eastAsia="zh-CN"/>
              </w:rPr>
              <w:t>序号</w:t>
            </w:r>
          </w:p>
        </w:tc>
        <w:tc>
          <w:tcPr>
            <w:tcW w:w="2988" w:type="dxa"/>
            <w:tcBorders>
              <w:top w:val="single" w:color="auto" w:sz="4" w:space="0"/>
              <w:left w:val="single" w:color="auto" w:sz="8" w:space="0"/>
              <w:bottom w:val="single" w:color="auto" w:sz="8" w:space="0"/>
              <w:right w:val="single" w:color="auto" w:sz="8" w:space="0"/>
            </w:tcBorders>
            <w:noWrap w:val="0"/>
            <w:vAlign w:val="center"/>
          </w:tcPr>
          <w:p w14:paraId="46C48765">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功能简称</w:t>
            </w:r>
          </w:p>
        </w:tc>
        <w:tc>
          <w:tcPr>
            <w:tcW w:w="681" w:type="dxa"/>
            <w:tcBorders>
              <w:top w:val="single" w:color="auto" w:sz="4" w:space="0"/>
              <w:left w:val="single" w:color="auto" w:sz="8" w:space="0"/>
              <w:bottom w:val="single" w:color="auto" w:sz="8" w:space="0"/>
              <w:right w:val="single" w:color="auto" w:sz="8" w:space="0"/>
            </w:tcBorders>
            <w:noWrap w:val="0"/>
            <w:vAlign w:val="center"/>
          </w:tcPr>
          <w:p w14:paraId="14AC2806">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lang w:eastAsia="zh-CN"/>
              </w:rPr>
              <w:t>序号</w:t>
            </w:r>
          </w:p>
        </w:tc>
        <w:tc>
          <w:tcPr>
            <w:tcW w:w="2157" w:type="dxa"/>
            <w:tcBorders>
              <w:top w:val="single" w:color="auto" w:sz="4" w:space="0"/>
              <w:left w:val="single" w:color="auto" w:sz="8" w:space="0"/>
              <w:bottom w:val="single" w:color="auto" w:sz="8" w:space="0"/>
              <w:right w:val="single" w:color="auto" w:sz="12" w:space="0"/>
            </w:tcBorders>
            <w:noWrap w:val="0"/>
            <w:vAlign w:val="center"/>
          </w:tcPr>
          <w:p w14:paraId="6D2FB538">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功能简称</w:t>
            </w:r>
          </w:p>
        </w:tc>
        <w:tc>
          <w:tcPr>
            <w:tcW w:w="704" w:type="dxa"/>
            <w:tcBorders>
              <w:top w:val="single" w:color="auto" w:sz="4" w:space="0"/>
              <w:left w:val="single" w:color="auto" w:sz="8" w:space="0"/>
              <w:bottom w:val="single" w:color="auto" w:sz="8" w:space="0"/>
              <w:right w:val="single" w:color="auto" w:sz="12" w:space="0"/>
            </w:tcBorders>
            <w:noWrap w:val="0"/>
            <w:vAlign w:val="center"/>
          </w:tcPr>
          <w:p w14:paraId="66896867">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lang w:eastAsia="zh-CN"/>
              </w:rPr>
              <w:t>序号</w:t>
            </w:r>
          </w:p>
        </w:tc>
        <w:tc>
          <w:tcPr>
            <w:tcW w:w="3404" w:type="dxa"/>
            <w:tcBorders>
              <w:top w:val="single" w:color="auto" w:sz="4" w:space="0"/>
              <w:left w:val="single" w:color="auto" w:sz="8" w:space="0"/>
              <w:bottom w:val="single" w:color="auto" w:sz="8" w:space="0"/>
              <w:right w:val="single" w:color="auto" w:sz="12" w:space="0"/>
            </w:tcBorders>
            <w:noWrap w:val="0"/>
            <w:vAlign w:val="center"/>
          </w:tcPr>
          <w:p w14:paraId="691DADF3">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功能简称</w:t>
            </w:r>
          </w:p>
        </w:tc>
      </w:tr>
      <w:tr w14:paraId="22AD5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698" w:type="dxa"/>
            <w:tcBorders>
              <w:top w:val="single" w:color="auto" w:sz="8" w:space="0"/>
              <w:left w:val="single" w:color="auto" w:sz="12" w:space="0"/>
              <w:bottom w:val="single" w:color="auto" w:sz="8" w:space="0"/>
              <w:right w:val="single" w:color="auto" w:sz="8" w:space="0"/>
            </w:tcBorders>
            <w:noWrap w:val="0"/>
            <w:vAlign w:val="center"/>
          </w:tcPr>
          <w:p w14:paraId="0CE004CB">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1</w:t>
            </w:r>
          </w:p>
        </w:tc>
        <w:tc>
          <w:tcPr>
            <w:tcW w:w="2988" w:type="dxa"/>
            <w:tcBorders>
              <w:top w:val="single" w:color="auto" w:sz="8" w:space="0"/>
              <w:left w:val="single" w:color="auto" w:sz="8" w:space="0"/>
              <w:bottom w:val="single" w:color="auto" w:sz="8" w:space="0"/>
              <w:right w:val="single" w:color="auto" w:sz="8" w:space="0"/>
            </w:tcBorders>
            <w:noWrap w:val="0"/>
            <w:vAlign w:val="center"/>
          </w:tcPr>
          <w:p w14:paraId="35C15697">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自动再平层</w:t>
            </w:r>
          </w:p>
        </w:tc>
        <w:tc>
          <w:tcPr>
            <w:tcW w:w="681" w:type="dxa"/>
            <w:tcBorders>
              <w:top w:val="single" w:color="auto" w:sz="8" w:space="0"/>
              <w:left w:val="single" w:color="auto" w:sz="8" w:space="0"/>
              <w:bottom w:val="single" w:color="auto" w:sz="8" w:space="0"/>
              <w:right w:val="single" w:color="auto" w:sz="8" w:space="0"/>
            </w:tcBorders>
            <w:noWrap w:val="0"/>
            <w:vAlign w:val="center"/>
          </w:tcPr>
          <w:p w14:paraId="5D0029CE">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lang w:val="en-US" w:eastAsia="zh-CN"/>
              </w:rPr>
              <w:t>27</w:t>
            </w:r>
          </w:p>
        </w:tc>
        <w:tc>
          <w:tcPr>
            <w:tcW w:w="2157" w:type="dxa"/>
            <w:tcBorders>
              <w:top w:val="single" w:color="auto" w:sz="8" w:space="0"/>
              <w:left w:val="single" w:color="auto" w:sz="8" w:space="0"/>
              <w:bottom w:val="single" w:color="auto" w:sz="8" w:space="0"/>
              <w:right w:val="single" w:color="auto" w:sz="12" w:space="0"/>
            </w:tcBorders>
            <w:noWrap w:val="0"/>
            <w:vAlign w:val="center"/>
          </w:tcPr>
          <w:p w14:paraId="6BC6995C">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即时关门</w:t>
            </w:r>
          </w:p>
        </w:tc>
        <w:tc>
          <w:tcPr>
            <w:tcW w:w="704" w:type="dxa"/>
            <w:tcBorders>
              <w:top w:val="single" w:color="auto" w:sz="8" w:space="0"/>
              <w:left w:val="single" w:color="auto" w:sz="8" w:space="0"/>
              <w:bottom w:val="single" w:color="auto" w:sz="8" w:space="0"/>
              <w:right w:val="single" w:color="auto" w:sz="12" w:space="0"/>
            </w:tcBorders>
            <w:noWrap w:val="0"/>
            <w:vAlign w:val="center"/>
          </w:tcPr>
          <w:p w14:paraId="2832FD6D">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rPr>
            </w:pPr>
            <w:r>
              <w:rPr>
                <w:rFonts w:hint="eastAsia" w:ascii="宋体" w:hAnsi="宋体" w:eastAsia="宋体" w:cs="宋体"/>
                <w:b w:val="0"/>
                <w:bCs/>
                <w:color w:val="000000"/>
                <w:kern w:val="0"/>
                <w:sz w:val="21"/>
                <w:szCs w:val="21"/>
                <w:highlight w:val="none"/>
                <w:shd w:val="clear" w:color="auto" w:fill="auto"/>
                <w:lang w:val="en-US" w:eastAsia="zh-CN"/>
              </w:rPr>
              <w:t>53</w:t>
            </w:r>
          </w:p>
        </w:tc>
        <w:tc>
          <w:tcPr>
            <w:tcW w:w="3404" w:type="dxa"/>
            <w:tcBorders>
              <w:top w:val="single" w:color="auto" w:sz="8" w:space="0"/>
              <w:left w:val="single" w:color="auto" w:sz="8" w:space="0"/>
              <w:bottom w:val="single" w:color="auto" w:sz="8" w:space="0"/>
              <w:right w:val="single" w:color="auto" w:sz="12" w:space="0"/>
            </w:tcBorders>
            <w:noWrap w:val="0"/>
            <w:vAlign w:val="center"/>
          </w:tcPr>
          <w:p w14:paraId="77E63D69">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本层再开门</w:t>
            </w:r>
          </w:p>
        </w:tc>
      </w:tr>
      <w:tr w14:paraId="0FE90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698" w:type="dxa"/>
            <w:tcBorders>
              <w:top w:val="single" w:color="auto" w:sz="8" w:space="0"/>
              <w:left w:val="single" w:color="auto" w:sz="12" w:space="0"/>
              <w:bottom w:val="single" w:color="auto" w:sz="8" w:space="0"/>
              <w:right w:val="single" w:color="auto" w:sz="8" w:space="0"/>
            </w:tcBorders>
            <w:noWrap w:val="0"/>
            <w:vAlign w:val="center"/>
          </w:tcPr>
          <w:p w14:paraId="5BBA8FDB">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2</w:t>
            </w:r>
          </w:p>
        </w:tc>
        <w:tc>
          <w:tcPr>
            <w:tcW w:w="2988" w:type="dxa"/>
            <w:tcBorders>
              <w:top w:val="single" w:color="auto" w:sz="8" w:space="0"/>
              <w:left w:val="single" w:color="auto" w:sz="8" w:space="0"/>
              <w:bottom w:val="single" w:color="auto" w:sz="8" w:space="0"/>
              <w:right w:val="single" w:color="auto" w:sz="8" w:space="0"/>
            </w:tcBorders>
            <w:noWrap w:val="0"/>
            <w:vAlign w:val="center"/>
          </w:tcPr>
          <w:p w14:paraId="1A1F6484">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电梯受阻失速保护</w:t>
            </w:r>
          </w:p>
        </w:tc>
        <w:tc>
          <w:tcPr>
            <w:tcW w:w="681" w:type="dxa"/>
            <w:tcBorders>
              <w:top w:val="single" w:color="auto" w:sz="8" w:space="0"/>
              <w:left w:val="single" w:color="auto" w:sz="8" w:space="0"/>
              <w:bottom w:val="single" w:color="auto" w:sz="8" w:space="0"/>
              <w:right w:val="single" w:color="auto" w:sz="8" w:space="0"/>
            </w:tcBorders>
            <w:noWrap w:val="0"/>
            <w:vAlign w:val="center"/>
          </w:tcPr>
          <w:p w14:paraId="2DCC14F7">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lang w:val="en-US" w:eastAsia="zh-CN"/>
              </w:rPr>
              <w:t>28</w:t>
            </w:r>
          </w:p>
        </w:tc>
        <w:tc>
          <w:tcPr>
            <w:tcW w:w="2157" w:type="dxa"/>
            <w:tcBorders>
              <w:top w:val="single" w:color="auto" w:sz="8" w:space="0"/>
              <w:left w:val="single" w:color="auto" w:sz="8" w:space="0"/>
              <w:bottom w:val="single" w:color="auto" w:sz="8" w:space="0"/>
              <w:right w:val="single" w:color="auto" w:sz="12" w:space="0"/>
            </w:tcBorders>
            <w:noWrap w:val="0"/>
            <w:vAlign w:val="center"/>
          </w:tcPr>
          <w:p w14:paraId="6A4B4243">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紧急电动运行</w:t>
            </w:r>
          </w:p>
        </w:tc>
        <w:tc>
          <w:tcPr>
            <w:tcW w:w="704" w:type="dxa"/>
            <w:tcBorders>
              <w:top w:val="single" w:color="auto" w:sz="8" w:space="0"/>
              <w:left w:val="single" w:color="auto" w:sz="8" w:space="0"/>
              <w:bottom w:val="single" w:color="auto" w:sz="8" w:space="0"/>
              <w:right w:val="single" w:color="auto" w:sz="12" w:space="0"/>
            </w:tcBorders>
            <w:noWrap w:val="0"/>
            <w:vAlign w:val="center"/>
          </w:tcPr>
          <w:p w14:paraId="351A5319">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rPr>
            </w:pPr>
            <w:r>
              <w:rPr>
                <w:rFonts w:hint="eastAsia" w:ascii="宋体" w:hAnsi="宋体" w:eastAsia="宋体" w:cs="宋体"/>
                <w:b w:val="0"/>
                <w:bCs/>
                <w:color w:val="000000"/>
                <w:kern w:val="0"/>
                <w:sz w:val="21"/>
                <w:szCs w:val="21"/>
                <w:highlight w:val="none"/>
                <w:shd w:val="clear" w:color="auto" w:fill="auto"/>
                <w:lang w:val="en-US" w:eastAsia="zh-CN"/>
              </w:rPr>
              <w:t>54</w:t>
            </w:r>
          </w:p>
        </w:tc>
        <w:tc>
          <w:tcPr>
            <w:tcW w:w="3404" w:type="dxa"/>
            <w:tcBorders>
              <w:top w:val="single" w:color="auto" w:sz="8" w:space="0"/>
              <w:left w:val="single" w:color="auto" w:sz="8" w:space="0"/>
              <w:bottom w:val="single" w:color="auto" w:sz="8" w:space="0"/>
              <w:right w:val="single" w:color="auto" w:sz="12" w:space="0"/>
            </w:tcBorders>
            <w:noWrap w:val="0"/>
            <w:vAlign w:val="center"/>
          </w:tcPr>
          <w:p w14:paraId="0940E9BB">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逆行保护</w:t>
            </w:r>
          </w:p>
        </w:tc>
      </w:tr>
      <w:tr w14:paraId="1CA7F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698" w:type="dxa"/>
            <w:tcBorders>
              <w:top w:val="single" w:color="auto" w:sz="8" w:space="0"/>
              <w:left w:val="single" w:color="auto" w:sz="12" w:space="0"/>
              <w:bottom w:val="single" w:color="auto" w:sz="8" w:space="0"/>
              <w:right w:val="single" w:color="auto" w:sz="8" w:space="0"/>
            </w:tcBorders>
            <w:noWrap w:val="0"/>
            <w:vAlign w:val="center"/>
          </w:tcPr>
          <w:p w14:paraId="6B1B796C">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3</w:t>
            </w:r>
          </w:p>
        </w:tc>
        <w:tc>
          <w:tcPr>
            <w:tcW w:w="2988" w:type="dxa"/>
            <w:tcBorders>
              <w:top w:val="single" w:color="auto" w:sz="8" w:space="0"/>
              <w:left w:val="single" w:color="auto" w:sz="8" w:space="0"/>
              <w:bottom w:val="single" w:color="auto" w:sz="8" w:space="0"/>
              <w:right w:val="single" w:color="auto" w:sz="8" w:space="0"/>
            </w:tcBorders>
            <w:noWrap w:val="0"/>
            <w:vAlign w:val="center"/>
          </w:tcPr>
          <w:p w14:paraId="5DF56532">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直达运行</w:t>
            </w:r>
          </w:p>
        </w:tc>
        <w:tc>
          <w:tcPr>
            <w:tcW w:w="681" w:type="dxa"/>
            <w:tcBorders>
              <w:top w:val="single" w:color="auto" w:sz="8" w:space="0"/>
              <w:left w:val="single" w:color="auto" w:sz="8" w:space="0"/>
              <w:bottom w:val="single" w:color="auto" w:sz="8" w:space="0"/>
              <w:right w:val="single" w:color="auto" w:sz="8" w:space="0"/>
            </w:tcBorders>
            <w:noWrap w:val="0"/>
            <w:vAlign w:val="center"/>
          </w:tcPr>
          <w:p w14:paraId="4D2D8A33">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lang w:val="en-US" w:eastAsia="zh-CN"/>
              </w:rPr>
              <w:t>29</w:t>
            </w:r>
          </w:p>
        </w:tc>
        <w:tc>
          <w:tcPr>
            <w:tcW w:w="2157" w:type="dxa"/>
            <w:tcBorders>
              <w:top w:val="single" w:color="auto" w:sz="8" w:space="0"/>
              <w:left w:val="single" w:color="auto" w:sz="8" w:space="0"/>
              <w:bottom w:val="single" w:color="auto" w:sz="8" w:space="0"/>
              <w:right w:val="single" w:color="auto" w:sz="12" w:space="0"/>
            </w:tcBorders>
            <w:noWrap w:val="0"/>
            <w:vAlign w:val="center"/>
          </w:tcPr>
          <w:p w14:paraId="4E3912C0">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故障自诊断</w:t>
            </w:r>
          </w:p>
        </w:tc>
        <w:tc>
          <w:tcPr>
            <w:tcW w:w="704" w:type="dxa"/>
            <w:tcBorders>
              <w:top w:val="single" w:color="auto" w:sz="8" w:space="0"/>
              <w:left w:val="single" w:color="auto" w:sz="8" w:space="0"/>
              <w:bottom w:val="single" w:color="auto" w:sz="8" w:space="0"/>
              <w:right w:val="single" w:color="auto" w:sz="12" w:space="0"/>
            </w:tcBorders>
            <w:noWrap w:val="0"/>
            <w:vAlign w:val="center"/>
          </w:tcPr>
          <w:p w14:paraId="5FD4B23D">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rPr>
            </w:pPr>
            <w:r>
              <w:rPr>
                <w:rFonts w:hint="eastAsia" w:ascii="宋体" w:hAnsi="宋体" w:eastAsia="宋体" w:cs="宋体"/>
                <w:b w:val="0"/>
                <w:bCs/>
                <w:color w:val="000000"/>
                <w:kern w:val="0"/>
                <w:sz w:val="21"/>
                <w:szCs w:val="21"/>
                <w:highlight w:val="none"/>
                <w:shd w:val="clear" w:color="auto" w:fill="auto"/>
                <w:lang w:val="en-US" w:eastAsia="zh-CN"/>
              </w:rPr>
              <w:t>55</w:t>
            </w:r>
          </w:p>
        </w:tc>
        <w:tc>
          <w:tcPr>
            <w:tcW w:w="3404" w:type="dxa"/>
            <w:tcBorders>
              <w:top w:val="single" w:color="auto" w:sz="8" w:space="0"/>
              <w:left w:val="single" w:color="auto" w:sz="8" w:space="0"/>
              <w:bottom w:val="single" w:color="auto" w:sz="8" w:space="0"/>
              <w:right w:val="single" w:color="auto" w:sz="12" w:space="0"/>
            </w:tcBorders>
            <w:noWrap w:val="0"/>
            <w:vAlign w:val="center"/>
          </w:tcPr>
          <w:p w14:paraId="3A236712">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选层器修正</w:t>
            </w:r>
          </w:p>
        </w:tc>
      </w:tr>
      <w:tr w14:paraId="0B0A2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698" w:type="dxa"/>
            <w:tcBorders>
              <w:top w:val="single" w:color="auto" w:sz="8" w:space="0"/>
              <w:left w:val="single" w:color="auto" w:sz="12" w:space="0"/>
              <w:bottom w:val="single" w:color="auto" w:sz="8" w:space="0"/>
              <w:right w:val="single" w:color="auto" w:sz="8" w:space="0"/>
            </w:tcBorders>
            <w:noWrap w:val="0"/>
            <w:vAlign w:val="center"/>
          </w:tcPr>
          <w:p w14:paraId="60FEAC38">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4</w:t>
            </w:r>
          </w:p>
        </w:tc>
        <w:tc>
          <w:tcPr>
            <w:tcW w:w="2988" w:type="dxa"/>
            <w:tcBorders>
              <w:top w:val="single" w:color="auto" w:sz="8" w:space="0"/>
              <w:left w:val="single" w:color="auto" w:sz="8" w:space="0"/>
              <w:bottom w:val="single" w:color="auto" w:sz="8" w:space="0"/>
              <w:right w:val="single" w:color="auto" w:sz="8" w:space="0"/>
            </w:tcBorders>
            <w:noWrap w:val="0"/>
            <w:vAlign w:val="center"/>
          </w:tcPr>
          <w:p w14:paraId="74D065A7">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制动器冗余保护</w:t>
            </w:r>
          </w:p>
        </w:tc>
        <w:tc>
          <w:tcPr>
            <w:tcW w:w="681" w:type="dxa"/>
            <w:tcBorders>
              <w:top w:val="single" w:color="auto" w:sz="8" w:space="0"/>
              <w:left w:val="single" w:color="auto" w:sz="8" w:space="0"/>
              <w:bottom w:val="single" w:color="auto" w:sz="8" w:space="0"/>
              <w:right w:val="single" w:color="auto" w:sz="8" w:space="0"/>
            </w:tcBorders>
            <w:noWrap w:val="0"/>
            <w:vAlign w:val="center"/>
          </w:tcPr>
          <w:p w14:paraId="0CA42D50">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lang w:val="en-US" w:eastAsia="zh-CN"/>
              </w:rPr>
              <w:t>30</w:t>
            </w:r>
          </w:p>
        </w:tc>
        <w:tc>
          <w:tcPr>
            <w:tcW w:w="2157" w:type="dxa"/>
            <w:tcBorders>
              <w:top w:val="single" w:color="auto" w:sz="8" w:space="0"/>
              <w:left w:val="single" w:color="auto" w:sz="8" w:space="0"/>
              <w:bottom w:val="single" w:color="auto" w:sz="8" w:space="0"/>
              <w:right w:val="single" w:color="auto" w:sz="12" w:space="0"/>
            </w:tcBorders>
            <w:noWrap w:val="0"/>
            <w:vAlign w:val="center"/>
          </w:tcPr>
          <w:p w14:paraId="54316093">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轿内报警</w:t>
            </w:r>
          </w:p>
        </w:tc>
        <w:tc>
          <w:tcPr>
            <w:tcW w:w="704" w:type="dxa"/>
            <w:tcBorders>
              <w:top w:val="single" w:color="auto" w:sz="8" w:space="0"/>
              <w:left w:val="single" w:color="auto" w:sz="8" w:space="0"/>
              <w:bottom w:val="single" w:color="auto" w:sz="8" w:space="0"/>
              <w:right w:val="single" w:color="auto" w:sz="12" w:space="0"/>
            </w:tcBorders>
            <w:noWrap w:val="0"/>
            <w:vAlign w:val="center"/>
          </w:tcPr>
          <w:p w14:paraId="560BBDFD">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rPr>
            </w:pPr>
            <w:r>
              <w:rPr>
                <w:rFonts w:hint="eastAsia" w:ascii="宋体" w:hAnsi="宋体" w:eastAsia="宋体" w:cs="宋体"/>
                <w:b w:val="0"/>
                <w:bCs/>
                <w:color w:val="000000"/>
                <w:kern w:val="0"/>
                <w:sz w:val="21"/>
                <w:szCs w:val="21"/>
                <w:highlight w:val="none"/>
                <w:shd w:val="clear" w:color="auto" w:fill="auto"/>
                <w:lang w:val="en-US" w:eastAsia="zh-CN"/>
              </w:rPr>
              <w:t>56</w:t>
            </w:r>
          </w:p>
        </w:tc>
        <w:tc>
          <w:tcPr>
            <w:tcW w:w="3404" w:type="dxa"/>
            <w:tcBorders>
              <w:top w:val="single" w:color="auto" w:sz="8" w:space="0"/>
              <w:left w:val="single" w:color="auto" w:sz="8" w:space="0"/>
              <w:bottom w:val="single" w:color="auto" w:sz="8" w:space="0"/>
              <w:right w:val="single" w:color="auto" w:sz="12" w:space="0"/>
            </w:tcBorders>
            <w:noWrap w:val="0"/>
            <w:vAlign w:val="center"/>
          </w:tcPr>
          <w:p w14:paraId="7A1A5C49">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安全停靠</w:t>
            </w:r>
          </w:p>
        </w:tc>
      </w:tr>
      <w:tr w14:paraId="6ABC0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698" w:type="dxa"/>
            <w:tcBorders>
              <w:top w:val="single" w:color="auto" w:sz="8" w:space="0"/>
              <w:left w:val="single" w:color="auto" w:sz="12" w:space="0"/>
              <w:bottom w:val="single" w:color="auto" w:sz="8" w:space="0"/>
              <w:right w:val="single" w:color="auto" w:sz="8" w:space="0"/>
            </w:tcBorders>
            <w:noWrap w:val="0"/>
            <w:vAlign w:val="center"/>
          </w:tcPr>
          <w:p w14:paraId="07CA701E">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5</w:t>
            </w:r>
          </w:p>
        </w:tc>
        <w:tc>
          <w:tcPr>
            <w:tcW w:w="2988" w:type="dxa"/>
            <w:tcBorders>
              <w:top w:val="single" w:color="auto" w:sz="8" w:space="0"/>
              <w:left w:val="single" w:color="auto" w:sz="8" w:space="0"/>
              <w:bottom w:val="single" w:color="auto" w:sz="8" w:space="0"/>
              <w:right w:val="single" w:color="auto" w:sz="8" w:space="0"/>
            </w:tcBorders>
            <w:noWrap w:val="0"/>
            <w:vAlign w:val="center"/>
          </w:tcPr>
          <w:p w14:paraId="5900452B">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轿厢微机异常处理</w:t>
            </w:r>
          </w:p>
        </w:tc>
        <w:tc>
          <w:tcPr>
            <w:tcW w:w="681" w:type="dxa"/>
            <w:tcBorders>
              <w:top w:val="single" w:color="auto" w:sz="8" w:space="0"/>
              <w:left w:val="single" w:color="auto" w:sz="8" w:space="0"/>
              <w:bottom w:val="single" w:color="auto" w:sz="8" w:space="0"/>
              <w:right w:val="single" w:color="auto" w:sz="8" w:space="0"/>
            </w:tcBorders>
            <w:noWrap w:val="0"/>
            <w:vAlign w:val="center"/>
          </w:tcPr>
          <w:p w14:paraId="6995CC8F">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lang w:val="en-US" w:eastAsia="zh-CN"/>
              </w:rPr>
              <w:t>31</w:t>
            </w:r>
          </w:p>
        </w:tc>
        <w:tc>
          <w:tcPr>
            <w:tcW w:w="2157" w:type="dxa"/>
            <w:tcBorders>
              <w:top w:val="single" w:color="auto" w:sz="8" w:space="0"/>
              <w:left w:val="single" w:color="auto" w:sz="8" w:space="0"/>
              <w:bottom w:val="single" w:color="auto" w:sz="8" w:space="0"/>
              <w:right w:val="single" w:color="auto" w:sz="12" w:space="0"/>
            </w:tcBorders>
            <w:noWrap w:val="0"/>
            <w:vAlign w:val="center"/>
          </w:tcPr>
          <w:p w14:paraId="1D5BC412">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电气安全回路保护</w:t>
            </w:r>
          </w:p>
        </w:tc>
        <w:tc>
          <w:tcPr>
            <w:tcW w:w="704" w:type="dxa"/>
            <w:tcBorders>
              <w:top w:val="single" w:color="auto" w:sz="8" w:space="0"/>
              <w:left w:val="single" w:color="auto" w:sz="8" w:space="0"/>
              <w:bottom w:val="single" w:color="auto" w:sz="8" w:space="0"/>
              <w:right w:val="single" w:color="auto" w:sz="12" w:space="0"/>
            </w:tcBorders>
            <w:noWrap w:val="0"/>
            <w:vAlign w:val="center"/>
          </w:tcPr>
          <w:p w14:paraId="0E25D370">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rPr>
            </w:pPr>
            <w:r>
              <w:rPr>
                <w:rFonts w:hint="eastAsia" w:ascii="宋体" w:hAnsi="宋体" w:eastAsia="宋体" w:cs="宋体"/>
                <w:b w:val="0"/>
                <w:bCs/>
                <w:color w:val="000000"/>
                <w:kern w:val="0"/>
                <w:sz w:val="21"/>
                <w:szCs w:val="21"/>
                <w:highlight w:val="none"/>
                <w:shd w:val="clear" w:color="auto" w:fill="auto"/>
                <w:lang w:val="en-US" w:eastAsia="zh-CN"/>
              </w:rPr>
              <w:t>57</w:t>
            </w:r>
          </w:p>
        </w:tc>
        <w:tc>
          <w:tcPr>
            <w:tcW w:w="3404" w:type="dxa"/>
            <w:tcBorders>
              <w:top w:val="single" w:color="auto" w:sz="8" w:space="0"/>
              <w:left w:val="single" w:color="auto" w:sz="8" w:space="0"/>
              <w:bottom w:val="single" w:color="auto" w:sz="8" w:space="0"/>
              <w:right w:val="single" w:color="auto" w:sz="12" w:space="0"/>
            </w:tcBorders>
            <w:noWrap w:val="0"/>
            <w:vAlign w:val="center"/>
          </w:tcPr>
          <w:p w14:paraId="31406D8D">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停层开门</w:t>
            </w:r>
          </w:p>
        </w:tc>
      </w:tr>
      <w:tr w14:paraId="4AB71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698" w:type="dxa"/>
            <w:tcBorders>
              <w:top w:val="single" w:color="auto" w:sz="8" w:space="0"/>
              <w:left w:val="single" w:color="auto" w:sz="12" w:space="0"/>
              <w:bottom w:val="single" w:color="auto" w:sz="8" w:space="0"/>
              <w:right w:val="single" w:color="auto" w:sz="8" w:space="0"/>
            </w:tcBorders>
            <w:noWrap w:val="0"/>
            <w:vAlign w:val="center"/>
          </w:tcPr>
          <w:p w14:paraId="3459A22C">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6</w:t>
            </w:r>
          </w:p>
        </w:tc>
        <w:tc>
          <w:tcPr>
            <w:tcW w:w="2988" w:type="dxa"/>
            <w:tcBorders>
              <w:top w:val="single" w:color="auto" w:sz="8" w:space="0"/>
              <w:left w:val="single" w:color="auto" w:sz="8" w:space="0"/>
              <w:bottom w:val="single" w:color="auto" w:sz="8" w:space="0"/>
              <w:right w:val="single" w:color="auto" w:sz="8" w:space="0"/>
            </w:tcBorders>
            <w:noWrap w:val="0"/>
            <w:vAlign w:val="center"/>
          </w:tcPr>
          <w:p w14:paraId="499E827D">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轿内反向指令消除</w:t>
            </w:r>
          </w:p>
        </w:tc>
        <w:tc>
          <w:tcPr>
            <w:tcW w:w="681" w:type="dxa"/>
            <w:tcBorders>
              <w:top w:val="single" w:color="auto" w:sz="8" w:space="0"/>
              <w:left w:val="single" w:color="auto" w:sz="8" w:space="0"/>
              <w:bottom w:val="single" w:color="auto" w:sz="8" w:space="0"/>
              <w:right w:val="single" w:color="auto" w:sz="8" w:space="0"/>
            </w:tcBorders>
            <w:noWrap w:val="0"/>
            <w:vAlign w:val="center"/>
          </w:tcPr>
          <w:p w14:paraId="369415EB">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lang w:val="en-US" w:eastAsia="zh-CN"/>
              </w:rPr>
              <w:t>32</w:t>
            </w:r>
          </w:p>
        </w:tc>
        <w:tc>
          <w:tcPr>
            <w:tcW w:w="2157" w:type="dxa"/>
            <w:tcBorders>
              <w:top w:val="single" w:color="auto" w:sz="8" w:space="0"/>
              <w:left w:val="single" w:color="auto" w:sz="8" w:space="0"/>
              <w:bottom w:val="single" w:color="auto" w:sz="8" w:space="0"/>
              <w:right w:val="single" w:color="auto" w:sz="12" w:space="0"/>
            </w:tcBorders>
            <w:noWrap w:val="0"/>
            <w:vAlign w:val="center"/>
          </w:tcPr>
          <w:p w14:paraId="13C9AD6F">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专用服务指示</w:t>
            </w:r>
          </w:p>
        </w:tc>
        <w:tc>
          <w:tcPr>
            <w:tcW w:w="704" w:type="dxa"/>
            <w:tcBorders>
              <w:top w:val="single" w:color="auto" w:sz="8" w:space="0"/>
              <w:left w:val="single" w:color="auto" w:sz="8" w:space="0"/>
              <w:bottom w:val="single" w:color="auto" w:sz="8" w:space="0"/>
              <w:right w:val="single" w:color="auto" w:sz="12" w:space="0"/>
            </w:tcBorders>
            <w:noWrap w:val="0"/>
            <w:vAlign w:val="center"/>
          </w:tcPr>
          <w:p w14:paraId="516C2E83">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rPr>
            </w:pPr>
            <w:r>
              <w:rPr>
                <w:rFonts w:hint="eastAsia" w:ascii="宋体" w:hAnsi="宋体" w:eastAsia="宋体" w:cs="宋体"/>
                <w:b w:val="0"/>
                <w:bCs/>
                <w:color w:val="000000"/>
                <w:kern w:val="0"/>
                <w:sz w:val="21"/>
                <w:szCs w:val="21"/>
                <w:highlight w:val="none"/>
                <w:shd w:val="clear" w:color="auto" w:fill="auto"/>
                <w:lang w:val="en-US" w:eastAsia="zh-CN"/>
              </w:rPr>
              <w:t>58</w:t>
            </w:r>
          </w:p>
        </w:tc>
        <w:tc>
          <w:tcPr>
            <w:tcW w:w="3404" w:type="dxa"/>
            <w:tcBorders>
              <w:top w:val="single" w:color="auto" w:sz="8" w:space="0"/>
              <w:left w:val="single" w:color="auto" w:sz="8" w:space="0"/>
              <w:bottom w:val="single" w:color="auto" w:sz="8" w:space="0"/>
              <w:right w:val="single" w:color="auto" w:sz="12" w:space="0"/>
            </w:tcBorders>
            <w:noWrap w:val="0"/>
            <w:vAlign w:val="center"/>
          </w:tcPr>
          <w:p w14:paraId="0A366ACA">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逆变装置高温检测</w:t>
            </w:r>
          </w:p>
        </w:tc>
      </w:tr>
      <w:tr w14:paraId="17B10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98" w:type="dxa"/>
            <w:tcBorders>
              <w:top w:val="single" w:color="auto" w:sz="8" w:space="0"/>
              <w:left w:val="single" w:color="auto" w:sz="12" w:space="0"/>
              <w:bottom w:val="single" w:color="auto" w:sz="8" w:space="0"/>
              <w:right w:val="single" w:color="auto" w:sz="8" w:space="0"/>
            </w:tcBorders>
            <w:noWrap w:val="0"/>
            <w:vAlign w:val="center"/>
          </w:tcPr>
          <w:p w14:paraId="2B95791E">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7</w:t>
            </w:r>
          </w:p>
        </w:tc>
        <w:tc>
          <w:tcPr>
            <w:tcW w:w="2988" w:type="dxa"/>
            <w:tcBorders>
              <w:top w:val="single" w:color="auto" w:sz="8" w:space="0"/>
              <w:left w:val="single" w:color="auto" w:sz="8" w:space="0"/>
              <w:bottom w:val="single" w:color="auto" w:sz="8" w:space="0"/>
              <w:right w:val="single" w:color="auto" w:sz="8" w:space="0"/>
            </w:tcBorders>
            <w:noWrap w:val="0"/>
            <w:vAlign w:val="center"/>
          </w:tcPr>
          <w:p w14:paraId="48280FAA">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18"/>
                <w:szCs w:val="18"/>
                <w:highlight w:val="none"/>
                <w:shd w:val="clear" w:color="auto" w:fill="auto"/>
              </w:rPr>
              <w:t>轿内通风装置手动关闭（按钮型）</w:t>
            </w:r>
          </w:p>
        </w:tc>
        <w:tc>
          <w:tcPr>
            <w:tcW w:w="681" w:type="dxa"/>
            <w:tcBorders>
              <w:top w:val="single" w:color="auto" w:sz="8" w:space="0"/>
              <w:left w:val="single" w:color="auto" w:sz="8" w:space="0"/>
              <w:bottom w:val="single" w:color="auto" w:sz="8" w:space="0"/>
              <w:right w:val="single" w:color="auto" w:sz="8" w:space="0"/>
            </w:tcBorders>
            <w:noWrap w:val="0"/>
            <w:vAlign w:val="center"/>
          </w:tcPr>
          <w:p w14:paraId="42B3A292">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lang w:val="en-US" w:eastAsia="zh-CN"/>
              </w:rPr>
              <w:t>33</w:t>
            </w:r>
          </w:p>
        </w:tc>
        <w:tc>
          <w:tcPr>
            <w:tcW w:w="2157" w:type="dxa"/>
            <w:tcBorders>
              <w:top w:val="single" w:color="auto" w:sz="8" w:space="0"/>
              <w:left w:val="single" w:color="auto" w:sz="8" w:space="0"/>
              <w:bottom w:val="single" w:color="auto" w:sz="8" w:space="0"/>
              <w:right w:val="single" w:color="auto" w:sz="12" w:space="0"/>
            </w:tcBorders>
            <w:noWrap w:val="0"/>
            <w:vAlign w:val="center"/>
          </w:tcPr>
          <w:p w14:paraId="53207E2A">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消防运行到位</w:t>
            </w:r>
          </w:p>
        </w:tc>
        <w:tc>
          <w:tcPr>
            <w:tcW w:w="704" w:type="dxa"/>
            <w:tcBorders>
              <w:top w:val="single" w:color="auto" w:sz="8" w:space="0"/>
              <w:left w:val="single" w:color="auto" w:sz="8" w:space="0"/>
              <w:bottom w:val="single" w:color="auto" w:sz="8" w:space="0"/>
              <w:right w:val="single" w:color="auto" w:sz="12" w:space="0"/>
            </w:tcBorders>
            <w:noWrap w:val="0"/>
            <w:vAlign w:val="center"/>
          </w:tcPr>
          <w:p w14:paraId="5BFF1329">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rPr>
            </w:pPr>
            <w:r>
              <w:rPr>
                <w:rFonts w:hint="eastAsia" w:ascii="宋体" w:hAnsi="宋体" w:eastAsia="宋体" w:cs="宋体"/>
                <w:b w:val="0"/>
                <w:bCs/>
                <w:color w:val="000000"/>
                <w:kern w:val="0"/>
                <w:sz w:val="21"/>
                <w:szCs w:val="21"/>
                <w:highlight w:val="none"/>
                <w:shd w:val="clear" w:color="auto" w:fill="auto"/>
                <w:lang w:val="en-US" w:eastAsia="zh-CN"/>
              </w:rPr>
              <w:t>59</w:t>
            </w:r>
          </w:p>
        </w:tc>
        <w:tc>
          <w:tcPr>
            <w:tcW w:w="3404" w:type="dxa"/>
            <w:tcBorders>
              <w:top w:val="single" w:color="auto" w:sz="8" w:space="0"/>
              <w:left w:val="single" w:color="auto" w:sz="8" w:space="0"/>
              <w:bottom w:val="single" w:color="auto" w:sz="8" w:space="0"/>
              <w:right w:val="single" w:color="auto" w:sz="12" w:space="0"/>
            </w:tcBorders>
            <w:noWrap w:val="0"/>
            <w:vAlign w:val="center"/>
          </w:tcPr>
          <w:p w14:paraId="052D4A8B">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终端强制减速</w:t>
            </w:r>
          </w:p>
        </w:tc>
      </w:tr>
      <w:tr w14:paraId="5F35A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698" w:type="dxa"/>
            <w:tcBorders>
              <w:top w:val="single" w:color="auto" w:sz="8" w:space="0"/>
              <w:left w:val="single" w:color="auto" w:sz="12" w:space="0"/>
              <w:bottom w:val="single" w:color="auto" w:sz="8" w:space="0"/>
              <w:right w:val="single" w:color="auto" w:sz="8" w:space="0"/>
            </w:tcBorders>
            <w:noWrap w:val="0"/>
            <w:vAlign w:val="center"/>
          </w:tcPr>
          <w:p w14:paraId="7F8C2D40">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8</w:t>
            </w:r>
          </w:p>
        </w:tc>
        <w:tc>
          <w:tcPr>
            <w:tcW w:w="2988" w:type="dxa"/>
            <w:tcBorders>
              <w:top w:val="single" w:color="auto" w:sz="8" w:space="0"/>
              <w:left w:val="single" w:color="auto" w:sz="8" w:space="0"/>
              <w:bottom w:val="single" w:color="auto" w:sz="8" w:space="0"/>
              <w:right w:val="single" w:color="auto" w:sz="8" w:space="0"/>
            </w:tcBorders>
            <w:noWrap w:val="0"/>
            <w:vAlign w:val="center"/>
          </w:tcPr>
          <w:p w14:paraId="41C0A9D4">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轿内照明手动关闭（按钮型）</w:t>
            </w:r>
          </w:p>
        </w:tc>
        <w:tc>
          <w:tcPr>
            <w:tcW w:w="681" w:type="dxa"/>
            <w:tcBorders>
              <w:top w:val="single" w:color="auto" w:sz="8" w:space="0"/>
              <w:left w:val="single" w:color="auto" w:sz="8" w:space="0"/>
              <w:bottom w:val="single" w:color="auto" w:sz="8" w:space="0"/>
              <w:right w:val="single" w:color="auto" w:sz="8" w:space="0"/>
            </w:tcBorders>
            <w:noWrap w:val="0"/>
            <w:vAlign w:val="center"/>
          </w:tcPr>
          <w:p w14:paraId="04785D15">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lang w:val="en-US" w:eastAsia="zh-CN"/>
              </w:rPr>
              <w:t>34</w:t>
            </w:r>
          </w:p>
        </w:tc>
        <w:tc>
          <w:tcPr>
            <w:tcW w:w="2157" w:type="dxa"/>
            <w:tcBorders>
              <w:top w:val="single" w:color="auto" w:sz="8" w:space="0"/>
              <w:left w:val="single" w:color="auto" w:sz="8" w:space="0"/>
              <w:bottom w:val="single" w:color="auto" w:sz="8" w:space="0"/>
              <w:right w:val="single" w:color="auto" w:sz="12" w:space="0"/>
            </w:tcBorders>
            <w:noWrap w:val="0"/>
            <w:vAlign w:val="center"/>
          </w:tcPr>
          <w:p w14:paraId="21A883AD">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层站按钮灯闪烁指示</w:t>
            </w:r>
          </w:p>
        </w:tc>
        <w:tc>
          <w:tcPr>
            <w:tcW w:w="704" w:type="dxa"/>
            <w:tcBorders>
              <w:top w:val="single" w:color="auto" w:sz="8" w:space="0"/>
              <w:left w:val="single" w:color="auto" w:sz="8" w:space="0"/>
              <w:bottom w:val="single" w:color="auto" w:sz="8" w:space="0"/>
              <w:right w:val="single" w:color="auto" w:sz="12" w:space="0"/>
            </w:tcBorders>
            <w:noWrap w:val="0"/>
            <w:vAlign w:val="center"/>
          </w:tcPr>
          <w:p w14:paraId="3F8D3EEE">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rPr>
            </w:pPr>
            <w:r>
              <w:rPr>
                <w:rFonts w:hint="eastAsia" w:ascii="宋体" w:hAnsi="宋体" w:eastAsia="宋体" w:cs="宋体"/>
                <w:b w:val="0"/>
                <w:bCs/>
                <w:color w:val="000000"/>
                <w:kern w:val="0"/>
                <w:sz w:val="21"/>
                <w:szCs w:val="21"/>
                <w:highlight w:val="none"/>
                <w:shd w:val="clear" w:color="auto" w:fill="auto"/>
                <w:lang w:val="en-US" w:eastAsia="zh-CN"/>
              </w:rPr>
              <w:t>60</w:t>
            </w:r>
          </w:p>
        </w:tc>
        <w:tc>
          <w:tcPr>
            <w:tcW w:w="3404" w:type="dxa"/>
            <w:tcBorders>
              <w:top w:val="single" w:color="auto" w:sz="8" w:space="0"/>
              <w:left w:val="single" w:color="auto" w:sz="8" w:space="0"/>
              <w:bottom w:val="single" w:color="auto" w:sz="8" w:space="0"/>
              <w:right w:val="single" w:color="auto" w:sz="12" w:space="0"/>
            </w:tcBorders>
            <w:noWrap w:val="0"/>
            <w:vAlign w:val="center"/>
          </w:tcPr>
          <w:p w14:paraId="5364922E">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轿厢意外移动保护</w:t>
            </w:r>
          </w:p>
        </w:tc>
      </w:tr>
      <w:tr w14:paraId="5435C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698" w:type="dxa"/>
            <w:tcBorders>
              <w:top w:val="single" w:color="auto" w:sz="8" w:space="0"/>
              <w:left w:val="single" w:color="auto" w:sz="12" w:space="0"/>
              <w:bottom w:val="single" w:color="auto" w:sz="8" w:space="0"/>
              <w:right w:val="single" w:color="auto" w:sz="8" w:space="0"/>
            </w:tcBorders>
            <w:noWrap w:val="0"/>
            <w:vAlign w:val="center"/>
          </w:tcPr>
          <w:p w14:paraId="18A32A05">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9</w:t>
            </w:r>
          </w:p>
        </w:tc>
        <w:tc>
          <w:tcPr>
            <w:tcW w:w="2988" w:type="dxa"/>
            <w:tcBorders>
              <w:top w:val="single" w:color="auto" w:sz="8" w:space="0"/>
              <w:left w:val="single" w:color="auto" w:sz="8" w:space="0"/>
              <w:bottom w:val="single" w:color="auto" w:sz="8" w:space="0"/>
              <w:right w:val="single" w:color="auto" w:sz="8" w:space="0"/>
            </w:tcBorders>
            <w:noWrap w:val="0"/>
            <w:vAlign w:val="center"/>
          </w:tcPr>
          <w:p w14:paraId="596F390F">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关门保护</w:t>
            </w:r>
          </w:p>
        </w:tc>
        <w:tc>
          <w:tcPr>
            <w:tcW w:w="681" w:type="dxa"/>
            <w:tcBorders>
              <w:top w:val="single" w:color="auto" w:sz="8" w:space="0"/>
              <w:left w:val="single" w:color="auto" w:sz="8" w:space="0"/>
              <w:bottom w:val="single" w:color="auto" w:sz="8" w:space="0"/>
              <w:right w:val="single" w:color="auto" w:sz="8" w:space="0"/>
            </w:tcBorders>
            <w:noWrap w:val="0"/>
            <w:vAlign w:val="center"/>
          </w:tcPr>
          <w:p w14:paraId="143538D3">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lang w:val="en-US" w:eastAsia="zh-CN"/>
              </w:rPr>
              <w:t>35</w:t>
            </w:r>
          </w:p>
        </w:tc>
        <w:tc>
          <w:tcPr>
            <w:tcW w:w="2157" w:type="dxa"/>
            <w:tcBorders>
              <w:top w:val="single" w:color="auto" w:sz="8" w:space="0"/>
              <w:left w:val="single" w:color="auto" w:sz="8" w:space="0"/>
              <w:bottom w:val="single" w:color="auto" w:sz="8" w:space="0"/>
              <w:right w:val="single" w:color="auto" w:sz="12" w:space="0"/>
            </w:tcBorders>
            <w:noWrap w:val="0"/>
            <w:vAlign w:val="center"/>
          </w:tcPr>
          <w:p w14:paraId="19A5F528">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层高自测定</w:t>
            </w:r>
          </w:p>
        </w:tc>
        <w:tc>
          <w:tcPr>
            <w:tcW w:w="704" w:type="dxa"/>
            <w:tcBorders>
              <w:top w:val="single" w:color="auto" w:sz="8" w:space="0"/>
              <w:left w:val="single" w:color="auto" w:sz="8" w:space="0"/>
              <w:bottom w:val="single" w:color="auto" w:sz="8" w:space="0"/>
              <w:right w:val="single" w:color="auto" w:sz="12" w:space="0"/>
            </w:tcBorders>
            <w:noWrap w:val="0"/>
            <w:vAlign w:val="center"/>
          </w:tcPr>
          <w:p w14:paraId="0C702016">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rPr>
            </w:pPr>
            <w:r>
              <w:rPr>
                <w:rFonts w:hint="eastAsia" w:ascii="宋体" w:hAnsi="宋体" w:eastAsia="宋体" w:cs="宋体"/>
                <w:b w:val="0"/>
                <w:bCs/>
                <w:color w:val="000000"/>
                <w:kern w:val="0"/>
                <w:sz w:val="21"/>
                <w:szCs w:val="21"/>
                <w:highlight w:val="none"/>
                <w:shd w:val="clear" w:color="auto" w:fill="auto"/>
                <w:lang w:val="en-US" w:eastAsia="zh-CN"/>
              </w:rPr>
              <w:t>61</w:t>
            </w:r>
          </w:p>
        </w:tc>
        <w:tc>
          <w:tcPr>
            <w:tcW w:w="3404" w:type="dxa"/>
            <w:tcBorders>
              <w:top w:val="single" w:color="auto" w:sz="8" w:space="0"/>
              <w:left w:val="single" w:color="auto" w:sz="8" w:space="0"/>
              <w:bottom w:val="single" w:color="auto" w:sz="8" w:space="0"/>
              <w:right w:val="single" w:color="auto" w:sz="12" w:space="0"/>
            </w:tcBorders>
            <w:noWrap w:val="0"/>
            <w:vAlign w:val="center"/>
          </w:tcPr>
          <w:p w14:paraId="15632805">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过低速保护</w:t>
            </w:r>
          </w:p>
        </w:tc>
      </w:tr>
      <w:tr w14:paraId="18D86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698" w:type="dxa"/>
            <w:tcBorders>
              <w:top w:val="single" w:color="auto" w:sz="8" w:space="0"/>
              <w:left w:val="single" w:color="auto" w:sz="12" w:space="0"/>
              <w:bottom w:val="single" w:color="auto" w:sz="8" w:space="0"/>
              <w:right w:val="single" w:color="auto" w:sz="8" w:space="0"/>
            </w:tcBorders>
            <w:noWrap w:val="0"/>
            <w:vAlign w:val="center"/>
          </w:tcPr>
          <w:p w14:paraId="38334C36">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10</w:t>
            </w:r>
          </w:p>
        </w:tc>
        <w:tc>
          <w:tcPr>
            <w:tcW w:w="2988" w:type="dxa"/>
            <w:tcBorders>
              <w:top w:val="single" w:color="auto" w:sz="8" w:space="0"/>
              <w:left w:val="single" w:color="auto" w:sz="8" w:space="0"/>
              <w:bottom w:val="single" w:color="auto" w:sz="8" w:space="0"/>
              <w:right w:val="single" w:color="auto" w:sz="8" w:space="0"/>
            </w:tcBorders>
            <w:noWrap w:val="0"/>
            <w:vAlign w:val="center"/>
          </w:tcPr>
          <w:p w14:paraId="027C62A9">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连续服务</w:t>
            </w:r>
          </w:p>
        </w:tc>
        <w:tc>
          <w:tcPr>
            <w:tcW w:w="681" w:type="dxa"/>
            <w:tcBorders>
              <w:top w:val="single" w:color="auto" w:sz="8" w:space="0"/>
              <w:left w:val="single" w:color="auto" w:sz="8" w:space="0"/>
              <w:bottom w:val="single" w:color="auto" w:sz="8" w:space="0"/>
              <w:right w:val="single" w:color="auto" w:sz="8" w:space="0"/>
            </w:tcBorders>
            <w:noWrap w:val="0"/>
            <w:vAlign w:val="center"/>
          </w:tcPr>
          <w:p w14:paraId="392ABC94">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lang w:val="en-US" w:eastAsia="zh-CN"/>
              </w:rPr>
              <w:t>36</w:t>
            </w:r>
          </w:p>
        </w:tc>
        <w:tc>
          <w:tcPr>
            <w:tcW w:w="2157" w:type="dxa"/>
            <w:tcBorders>
              <w:top w:val="single" w:color="auto" w:sz="8" w:space="0"/>
              <w:left w:val="single" w:color="auto" w:sz="8" w:space="0"/>
              <w:bottom w:val="single" w:color="auto" w:sz="8" w:space="0"/>
              <w:right w:val="single" w:color="auto" w:sz="12" w:space="0"/>
            </w:tcBorders>
            <w:noWrap w:val="0"/>
            <w:vAlign w:val="center"/>
          </w:tcPr>
          <w:p w14:paraId="689FAA6C">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层站召唤自动登记</w:t>
            </w:r>
          </w:p>
        </w:tc>
        <w:tc>
          <w:tcPr>
            <w:tcW w:w="704" w:type="dxa"/>
            <w:tcBorders>
              <w:top w:val="single" w:color="auto" w:sz="8" w:space="0"/>
              <w:left w:val="single" w:color="auto" w:sz="8" w:space="0"/>
              <w:bottom w:val="single" w:color="auto" w:sz="8" w:space="0"/>
              <w:right w:val="single" w:color="auto" w:sz="12" w:space="0"/>
            </w:tcBorders>
            <w:noWrap w:val="0"/>
            <w:vAlign w:val="center"/>
          </w:tcPr>
          <w:p w14:paraId="7E0BBFF3">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rPr>
            </w:pPr>
            <w:r>
              <w:rPr>
                <w:rFonts w:hint="eastAsia" w:ascii="宋体" w:hAnsi="宋体" w:eastAsia="宋体" w:cs="宋体"/>
                <w:b w:val="0"/>
                <w:bCs/>
                <w:color w:val="000000"/>
                <w:kern w:val="0"/>
                <w:sz w:val="21"/>
                <w:szCs w:val="21"/>
                <w:highlight w:val="none"/>
                <w:shd w:val="clear" w:color="auto" w:fill="auto"/>
                <w:lang w:val="en-US" w:eastAsia="zh-CN"/>
              </w:rPr>
              <w:t>62</w:t>
            </w:r>
          </w:p>
        </w:tc>
        <w:tc>
          <w:tcPr>
            <w:tcW w:w="3404" w:type="dxa"/>
            <w:tcBorders>
              <w:top w:val="single" w:color="auto" w:sz="8" w:space="0"/>
              <w:left w:val="single" w:color="auto" w:sz="8" w:space="0"/>
              <w:bottom w:val="single" w:color="auto" w:sz="8" w:space="0"/>
              <w:right w:val="single" w:color="auto" w:sz="12" w:space="0"/>
            </w:tcBorders>
            <w:noWrap w:val="0"/>
            <w:vAlign w:val="center"/>
          </w:tcPr>
          <w:p w14:paraId="70554ED6">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满员自动通过</w:t>
            </w:r>
          </w:p>
        </w:tc>
      </w:tr>
      <w:tr w14:paraId="4A834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698" w:type="dxa"/>
            <w:tcBorders>
              <w:top w:val="single" w:color="auto" w:sz="8" w:space="0"/>
              <w:left w:val="single" w:color="auto" w:sz="12" w:space="0"/>
              <w:bottom w:val="single" w:color="auto" w:sz="8" w:space="0"/>
              <w:right w:val="single" w:color="auto" w:sz="8" w:space="0"/>
            </w:tcBorders>
            <w:noWrap w:val="0"/>
            <w:vAlign w:val="center"/>
          </w:tcPr>
          <w:p w14:paraId="16B80838">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11</w:t>
            </w:r>
          </w:p>
        </w:tc>
        <w:tc>
          <w:tcPr>
            <w:tcW w:w="2988" w:type="dxa"/>
            <w:tcBorders>
              <w:top w:val="single" w:color="auto" w:sz="8" w:space="0"/>
              <w:left w:val="single" w:color="auto" w:sz="8" w:space="0"/>
              <w:bottom w:val="single" w:color="auto" w:sz="8" w:space="0"/>
              <w:right w:val="single" w:color="auto" w:sz="8" w:space="0"/>
            </w:tcBorders>
            <w:noWrap w:val="0"/>
            <w:vAlign w:val="center"/>
          </w:tcPr>
          <w:p w14:paraId="6D166766">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轿厢溜车安全保护</w:t>
            </w:r>
          </w:p>
        </w:tc>
        <w:tc>
          <w:tcPr>
            <w:tcW w:w="681" w:type="dxa"/>
            <w:tcBorders>
              <w:top w:val="single" w:color="auto" w:sz="8" w:space="0"/>
              <w:left w:val="single" w:color="auto" w:sz="8" w:space="0"/>
              <w:bottom w:val="single" w:color="auto" w:sz="8" w:space="0"/>
              <w:right w:val="single" w:color="auto" w:sz="8" w:space="0"/>
            </w:tcBorders>
            <w:noWrap w:val="0"/>
            <w:vAlign w:val="center"/>
          </w:tcPr>
          <w:p w14:paraId="297AC7B6">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lang w:val="en-US" w:eastAsia="zh-CN"/>
              </w:rPr>
              <w:t>37</w:t>
            </w:r>
          </w:p>
        </w:tc>
        <w:tc>
          <w:tcPr>
            <w:tcW w:w="2157" w:type="dxa"/>
            <w:tcBorders>
              <w:top w:val="single" w:color="auto" w:sz="8" w:space="0"/>
              <w:left w:val="single" w:color="auto" w:sz="8" w:space="0"/>
              <w:bottom w:val="single" w:color="auto" w:sz="8" w:space="0"/>
              <w:right w:val="single" w:color="auto" w:sz="12" w:space="0"/>
            </w:tcBorders>
            <w:noWrap w:val="0"/>
            <w:vAlign w:val="center"/>
          </w:tcPr>
          <w:p w14:paraId="7FD836C6">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独立运行</w:t>
            </w:r>
          </w:p>
        </w:tc>
        <w:tc>
          <w:tcPr>
            <w:tcW w:w="704" w:type="dxa"/>
            <w:tcBorders>
              <w:top w:val="single" w:color="auto" w:sz="8" w:space="0"/>
              <w:left w:val="single" w:color="auto" w:sz="8" w:space="0"/>
              <w:bottom w:val="single" w:color="auto" w:sz="8" w:space="0"/>
              <w:right w:val="single" w:color="auto" w:sz="12" w:space="0"/>
            </w:tcBorders>
            <w:noWrap w:val="0"/>
            <w:vAlign w:val="center"/>
          </w:tcPr>
          <w:p w14:paraId="0CDB3EAF">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rPr>
            </w:pPr>
            <w:r>
              <w:rPr>
                <w:rFonts w:hint="eastAsia" w:ascii="宋体" w:hAnsi="宋体" w:eastAsia="宋体" w:cs="宋体"/>
                <w:b w:val="0"/>
                <w:bCs/>
                <w:color w:val="000000"/>
                <w:kern w:val="0"/>
                <w:sz w:val="21"/>
                <w:szCs w:val="21"/>
                <w:highlight w:val="none"/>
                <w:shd w:val="clear" w:color="auto" w:fill="auto"/>
                <w:lang w:val="en-US" w:eastAsia="zh-CN"/>
              </w:rPr>
              <w:t>63</w:t>
            </w:r>
          </w:p>
        </w:tc>
        <w:tc>
          <w:tcPr>
            <w:tcW w:w="3404" w:type="dxa"/>
            <w:tcBorders>
              <w:top w:val="single" w:color="auto" w:sz="8" w:space="0"/>
              <w:left w:val="single" w:color="auto" w:sz="8" w:space="0"/>
              <w:bottom w:val="single" w:color="auto" w:sz="8" w:space="0"/>
              <w:right w:val="single" w:color="auto" w:sz="12" w:space="0"/>
            </w:tcBorders>
            <w:noWrap w:val="0"/>
            <w:vAlign w:val="center"/>
          </w:tcPr>
          <w:p w14:paraId="77365949">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司机服务</w:t>
            </w:r>
          </w:p>
        </w:tc>
      </w:tr>
      <w:tr w14:paraId="7DDB2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698" w:type="dxa"/>
            <w:tcBorders>
              <w:top w:val="single" w:color="auto" w:sz="8" w:space="0"/>
              <w:left w:val="single" w:color="auto" w:sz="12" w:space="0"/>
              <w:bottom w:val="single" w:color="auto" w:sz="12" w:space="0"/>
              <w:right w:val="single" w:color="auto" w:sz="8" w:space="0"/>
            </w:tcBorders>
            <w:noWrap w:val="0"/>
            <w:vAlign w:val="center"/>
          </w:tcPr>
          <w:p w14:paraId="23C1251B">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12</w:t>
            </w:r>
          </w:p>
        </w:tc>
        <w:tc>
          <w:tcPr>
            <w:tcW w:w="2988" w:type="dxa"/>
            <w:tcBorders>
              <w:top w:val="single" w:color="auto" w:sz="8" w:space="0"/>
              <w:left w:val="single" w:color="auto" w:sz="8" w:space="0"/>
              <w:bottom w:val="single" w:color="auto" w:sz="12" w:space="0"/>
              <w:right w:val="single" w:color="auto" w:sz="8" w:space="0"/>
            </w:tcBorders>
            <w:noWrap w:val="0"/>
            <w:vAlign w:val="center"/>
          </w:tcPr>
          <w:p w14:paraId="086BF8D6">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轿内运行方向指示</w:t>
            </w:r>
          </w:p>
        </w:tc>
        <w:tc>
          <w:tcPr>
            <w:tcW w:w="681" w:type="dxa"/>
            <w:tcBorders>
              <w:top w:val="single" w:color="auto" w:sz="8" w:space="0"/>
              <w:left w:val="single" w:color="auto" w:sz="8" w:space="0"/>
              <w:bottom w:val="single" w:color="auto" w:sz="12" w:space="0"/>
              <w:right w:val="single" w:color="auto" w:sz="8" w:space="0"/>
            </w:tcBorders>
            <w:noWrap w:val="0"/>
            <w:vAlign w:val="center"/>
          </w:tcPr>
          <w:p w14:paraId="37A23AB5">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lang w:val="en-US" w:eastAsia="zh-CN"/>
              </w:rPr>
              <w:t>38</w:t>
            </w:r>
          </w:p>
        </w:tc>
        <w:tc>
          <w:tcPr>
            <w:tcW w:w="2157" w:type="dxa"/>
            <w:tcBorders>
              <w:top w:val="single" w:color="auto" w:sz="8" w:space="0"/>
              <w:left w:val="single" w:color="auto" w:sz="8" w:space="0"/>
              <w:bottom w:val="single" w:color="auto" w:sz="12" w:space="0"/>
              <w:right w:val="single" w:color="auto" w:sz="12" w:space="0"/>
            </w:tcBorders>
            <w:noWrap w:val="0"/>
            <w:vAlign w:val="center"/>
          </w:tcPr>
          <w:p w14:paraId="2EE42626">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检修操作</w:t>
            </w:r>
          </w:p>
        </w:tc>
        <w:tc>
          <w:tcPr>
            <w:tcW w:w="704" w:type="dxa"/>
            <w:tcBorders>
              <w:top w:val="single" w:color="auto" w:sz="8" w:space="0"/>
              <w:left w:val="single" w:color="auto" w:sz="8" w:space="0"/>
              <w:bottom w:val="single" w:color="auto" w:sz="12" w:space="0"/>
              <w:right w:val="single" w:color="auto" w:sz="12" w:space="0"/>
            </w:tcBorders>
            <w:noWrap w:val="0"/>
            <w:vAlign w:val="center"/>
          </w:tcPr>
          <w:p w14:paraId="1762EDA7">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rPr>
            </w:pPr>
            <w:r>
              <w:rPr>
                <w:rFonts w:hint="eastAsia" w:ascii="宋体" w:hAnsi="宋体" w:eastAsia="宋体" w:cs="宋体"/>
                <w:b w:val="0"/>
                <w:bCs/>
                <w:color w:val="000000"/>
                <w:kern w:val="0"/>
                <w:sz w:val="21"/>
                <w:szCs w:val="21"/>
                <w:highlight w:val="none"/>
                <w:shd w:val="clear" w:color="auto" w:fill="auto"/>
                <w:lang w:val="en-US" w:eastAsia="zh-CN"/>
              </w:rPr>
              <w:t>64</w:t>
            </w:r>
          </w:p>
        </w:tc>
        <w:tc>
          <w:tcPr>
            <w:tcW w:w="3404" w:type="dxa"/>
            <w:tcBorders>
              <w:top w:val="single" w:color="auto" w:sz="8" w:space="0"/>
              <w:left w:val="single" w:color="auto" w:sz="8" w:space="0"/>
              <w:bottom w:val="single" w:color="auto" w:sz="12" w:space="0"/>
              <w:right w:val="single" w:color="auto" w:sz="12" w:space="0"/>
            </w:tcBorders>
            <w:noWrap w:val="0"/>
            <w:vAlign w:val="center"/>
          </w:tcPr>
          <w:p w14:paraId="5F2A5E4D">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司机服务指示</w:t>
            </w:r>
          </w:p>
        </w:tc>
      </w:tr>
      <w:tr w14:paraId="3A83F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698" w:type="dxa"/>
            <w:noWrap w:val="0"/>
            <w:vAlign w:val="center"/>
          </w:tcPr>
          <w:p w14:paraId="52A232A3">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13</w:t>
            </w:r>
          </w:p>
        </w:tc>
        <w:tc>
          <w:tcPr>
            <w:tcW w:w="2988" w:type="dxa"/>
            <w:noWrap w:val="0"/>
            <w:vAlign w:val="center"/>
          </w:tcPr>
          <w:p w14:paraId="12B9FED3">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层站运行方向指示</w:t>
            </w:r>
          </w:p>
        </w:tc>
        <w:tc>
          <w:tcPr>
            <w:tcW w:w="681" w:type="dxa"/>
            <w:noWrap w:val="0"/>
            <w:vAlign w:val="center"/>
          </w:tcPr>
          <w:p w14:paraId="1981B973">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lang w:val="en-US" w:eastAsia="zh-CN"/>
              </w:rPr>
              <w:t>39</w:t>
            </w:r>
          </w:p>
        </w:tc>
        <w:tc>
          <w:tcPr>
            <w:tcW w:w="2157" w:type="dxa"/>
            <w:noWrap w:val="0"/>
            <w:vAlign w:val="center"/>
          </w:tcPr>
          <w:p w14:paraId="172A4DDE">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多方通话装置</w:t>
            </w:r>
          </w:p>
        </w:tc>
        <w:tc>
          <w:tcPr>
            <w:tcW w:w="704" w:type="dxa"/>
            <w:noWrap w:val="0"/>
            <w:vAlign w:val="center"/>
          </w:tcPr>
          <w:p w14:paraId="76F99166">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rPr>
            </w:pPr>
            <w:r>
              <w:rPr>
                <w:rFonts w:hint="eastAsia" w:ascii="宋体" w:hAnsi="宋体" w:eastAsia="宋体" w:cs="宋体"/>
                <w:b w:val="0"/>
                <w:bCs/>
                <w:color w:val="000000"/>
                <w:kern w:val="0"/>
                <w:sz w:val="21"/>
                <w:szCs w:val="21"/>
                <w:highlight w:val="none"/>
                <w:shd w:val="clear" w:color="auto" w:fill="auto"/>
                <w:lang w:val="en-US" w:eastAsia="zh-CN"/>
              </w:rPr>
              <w:t>65</w:t>
            </w:r>
          </w:p>
        </w:tc>
        <w:tc>
          <w:tcPr>
            <w:tcW w:w="3404" w:type="dxa"/>
            <w:noWrap w:val="0"/>
            <w:vAlign w:val="center"/>
          </w:tcPr>
          <w:p w14:paraId="6BD9D299">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层站直达运行指示</w:t>
            </w:r>
          </w:p>
        </w:tc>
      </w:tr>
      <w:tr w14:paraId="7513F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98" w:type="dxa"/>
            <w:noWrap w:val="0"/>
            <w:vAlign w:val="center"/>
          </w:tcPr>
          <w:p w14:paraId="3A838DE2">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14</w:t>
            </w:r>
          </w:p>
        </w:tc>
        <w:tc>
          <w:tcPr>
            <w:tcW w:w="2988" w:type="dxa"/>
            <w:noWrap w:val="0"/>
            <w:vAlign w:val="center"/>
          </w:tcPr>
          <w:p w14:paraId="46AE63BC">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门锁旁路运行</w:t>
            </w:r>
          </w:p>
        </w:tc>
        <w:tc>
          <w:tcPr>
            <w:tcW w:w="681" w:type="dxa"/>
            <w:noWrap w:val="0"/>
            <w:vAlign w:val="center"/>
          </w:tcPr>
          <w:p w14:paraId="3AECF5AA">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lang w:val="en-US" w:eastAsia="zh-CN"/>
              </w:rPr>
              <w:t>40</w:t>
            </w:r>
          </w:p>
        </w:tc>
        <w:tc>
          <w:tcPr>
            <w:tcW w:w="2157" w:type="dxa"/>
            <w:noWrap w:val="0"/>
            <w:vAlign w:val="center"/>
          </w:tcPr>
          <w:p w14:paraId="38A67585">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称重启动</w:t>
            </w:r>
          </w:p>
        </w:tc>
        <w:tc>
          <w:tcPr>
            <w:tcW w:w="704" w:type="dxa"/>
            <w:noWrap w:val="0"/>
            <w:vAlign w:val="center"/>
          </w:tcPr>
          <w:p w14:paraId="6C056EBE">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rPr>
            </w:pPr>
            <w:r>
              <w:rPr>
                <w:rFonts w:hint="eastAsia" w:ascii="宋体" w:hAnsi="宋体" w:eastAsia="宋体" w:cs="宋体"/>
                <w:b w:val="0"/>
                <w:bCs/>
                <w:color w:val="000000"/>
                <w:kern w:val="0"/>
                <w:sz w:val="21"/>
                <w:szCs w:val="21"/>
                <w:highlight w:val="none"/>
                <w:shd w:val="clear" w:color="auto" w:fill="auto"/>
                <w:lang w:val="en-US" w:eastAsia="zh-CN"/>
              </w:rPr>
              <w:t>66</w:t>
            </w:r>
          </w:p>
        </w:tc>
        <w:tc>
          <w:tcPr>
            <w:tcW w:w="3404" w:type="dxa"/>
            <w:noWrap w:val="0"/>
            <w:vAlign w:val="center"/>
          </w:tcPr>
          <w:p w14:paraId="53FF530B">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轿内通风装置自动关闭</w:t>
            </w:r>
          </w:p>
        </w:tc>
      </w:tr>
      <w:tr w14:paraId="030C1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98" w:type="dxa"/>
            <w:noWrap w:val="0"/>
            <w:vAlign w:val="center"/>
          </w:tcPr>
          <w:p w14:paraId="6085233A">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15</w:t>
            </w:r>
          </w:p>
        </w:tc>
        <w:tc>
          <w:tcPr>
            <w:tcW w:w="2988" w:type="dxa"/>
            <w:noWrap w:val="0"/>
            <w:vAlign w:val="center"/>
          </w:tcPr>
          <w:p w14:paraId="35BB721D">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关门按钮响应指示</w:t>
            </w:r>
          </w:p>
        </w:tc>
        <w:tc>
          <w:tcPr>
            <w:tcW w:w="681" w:type="dxa"/>
            <w:noWrap w:val="0"/>
            <w:vAlign w:val="center"/>
          </w:tcPr>
          <w:p w14:paraId="0F340CEB">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lang w:val="en-US" w:eastAsia="zh-CN"/>
              </w:rPr>
              <w:t>41</w:t>
            </w:r>
          </w:p>
        </w:tc>
        <w:tc>
          <w:tcPr>
            <w:tcW w:w="2157" w:type="dxa"/>
            <w:noWrap w:val="0"/>
            <w:vAlign w:val="center"/>
          </w:tcPr>
          <w:p w14:paraId="227D2433">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光幕安全触板</w:t>
            </w:r>
          </w:p>
        </w:tc>
        <w:tc>
          <w:tcPr>
            <w:tcW w:w="704" w:type="dxa"/>
            <w:noWrap w:val="0"/>
            <w:vAlign w:val="center"/>
          </w:tcPr>
          <w:p w14:paraId="4847A6E7">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rPr>
            </w:pPr>
            <w:r>
              <w:rPr>
                <w:rFonts w:hint="eastAsia" w:ascii="宋体" w:hAnsi="宋体" w:eastAsia="宋体" w:cs="宋体"/>
                <w:b w:val="0"/>
                <w:bCs/>
                <w:color w:val="000000"/>
                <w:kern w:val="0"/>
                <w:sz w:val="21"/>
                <w:szCs w:val="21"/>
                <w:highlight w:val="none"/>
                <w:shd w:val="clear" w:color="auto" w:fill="auto"/>
                <w:lang w:val="en-US" w:eastAsia="zh-CN"/>
              </w:rPr>
              <w:t>67</w:t>
            </w:r>
          </w:p>
        </w:tc>
        <w:tc>
          <w:tcPr>
            <w:tcW w:w="3404" w:type="dxa"/>
            <w:noWrap w:val="0"/>
            <w:vAlign w:val="center"/>
          </w:tcPr>
          <w:p w14:paraId="5A430C1E">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轿内照明自动关闭</w:t>
            </w:r>
          </w:p>
        </w:tc>
      </w:tr>
      <w:tr w14:paraId="5AB2B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98" w:type="dxa"/>
            <w:noWrap w:val="0"/>
            <w:vAlign w:val="center"/>
          </w:tcPr>
          <w:p w14:paraId="653896BF">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16</w:t>
            </w:r>
          </w:p>
        </w:tc>
        <w:tc>
          <w:tcPr>
            <w:tcW w:w="2988" w:type="dxa"/>
            <w:noWrap w:val="0"/>
            <w:vAlign w:val="center"/>
          </w:tcPr>
          <w:p w14:paraId="224B395B">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换向重开门</w:t>
            </w:r>
          </w:p>
        </w:tc>
        <w:tc>
          <w:tcPr>
            <w:tcW w:w="681" w:type="dxa"/>
            <w:noWrap w:val="0"/>
            <w:vAlign w:val="center"/>
          </w:tcPr>
          <w:p w14:paraId="6117123F">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lang w:val="en-US" w:eastAsia="zh-CN"/>
              </w:rPr>
              <w:t>42</w:t>
            </w:r>
          </w:p>
        </w:tc>
        <w:tc>
          <w:tcPr>
            <w:tcW w:w="2157" w:type="dxa"/>
            <w:noWrap w:val="0"/>
            <w:vAlign w:val="center"/>
          </w:tcPr>
          <w:p w14:paraId="59A916C9">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电梯不启动报警</w:t>
            </w:r>
          </w:p>
        </w:tc>
        <w:tc>
          <w:tcPr>
            <w:tcW w:w="704" w:type="dxa"/>
            <w:noWrap w:val="0"/>
            <w:vAlign w:val="center"/>
          </w:tcPr>
          <w:p w14:paraId="2AE8BD43">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rPr>
            </w:pPr>
            <w:r>
              <w:rPr>
                <w:rFonts w:hint="eastAsia" w:ascii="宋体" w:hAnsi="宋体" w:eastAsia="宋体" w:cs="宋体"/>
                <w:b w:val="0"/>
                <w:bCs/>
                <w:color w:val="000000"/>
                <w:kern w:val="0"/>
                <w:sz w:val="21"/>
                <w:szCs w:val="21"/>
                <w:highlight w:val="none"/>
                <w:shd w:val="clear" w:color="auto" w:fill="auto"/>
                <w:lang w:val="en-US" w:eastAsia="zh-CN"/>
              </w:rPr>
              <w:t>68</w:t>
            </w:r>
          </w:p>
        </w:tc>
        <w:tc>
          <w:tcPr>
            <w:tcW w:w="3404" w:type="dxa"/>
            <w:noWrap w:val="0"/>
            <w:vAlign w:val="center"/>
          </w:tcPr>
          <w:p w14:paraId="623A147E">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停电应急停靠</w:t>
            </w:r>
          </w:p>
        </w:tc>
      </w:tr>
      <w:tr w14:paraId="212FE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98" w:type="dxa"/>
            <w:noWrap w:val="0"/>
            <w:vAlign w:val="center"/>
          </w:tcPr>
          <w:p w14:paraId="6788840C">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17</w:t>
            </w:r>
          </w:p>
        </w:tc>
        <w:tc>
          <w:tcPr>
            <w:tcW w:w="2988" w:type="dxa"/>
            <w:noWrap w:val="0"/>
            <w:vAlign w:val="center"/>
          </w:tcPr>
          <w:p w14:paraId="0AD4341F">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开门延长按钮</w:t>
            </w:r>
          </w:p>
        </w:tc>
        <w:tc>
          <w:tcPr>
            <w:tcW w:w="681" w:type="dxa"/>
            <w:noWrap w:val="0"/>
            <w:vAlign w:val="center"/>
          </w:tcPr>
          <w:p w14:paraId="67F171DC">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lang w:val="en-US" w:eastAsia="zh-CN"/>
              </w:rPr>
              <w:t>43</w:t>
            </w:r>
          </w:p>
        </w:tc>
        <w:tc>
          <w:tcPr>
            <w:tcW w:w="2157" w:type="dxa"/>
            <w:noWrap w:val="0"/>
            <w:vAlign w:val="center"/>
          </w:tcPr>
          <w:p w14:paraId="7871169F">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次层停靠</w:t>
            </w:r>
          </w:p>
        </w:tc>
        <w:tc>
          <w:tcPr>
            <w:tcW w:w="704" w:type="dxa"/>
            <w:noWrap w:val="0"/>
            <w:vAlign w:val="center"/>
          </w:tcPr>
          <w:p w14:paraId="7251CEE0">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rPr>
            </w:pPr>
            <w:r>
              <w:rPr>
                <w:rFonts w:hint="eastAsia" w:ascii="宋体" w:hAnsi="宋体" w:eastAsia="宋体" w:cs="宋体"/>
                <w:b w:val="0"/>
                <w:bCs/>
                <w:color w:val="000000"/>
                <w:kern w:val="0"/>
                <w:sz w:val="21"/>
                <w:szCs w:val="21"/>
                <w:highlight w:val="none"/>
                <w:shd w:val="clear" w:color="auto" w:fill="auto"/>
                <w:lang w:val="en-US" w:eastAsia="zh-CN"/>
              </w:rPr>
              <w:t>69</w:t>
            </w:r>
          </w:p>
        </w:tc>
        <w:tc>
          <w:tcPr>
            <w:tcW w:w="3404" w:type="dxa"/>
            <w:noWrap w:val="0"/>
            <w:vAlign w:val="center"/>
          </w:tcPr>
          <w:p w14:paraId="429BCCF3">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轿内误指令自动消除</w:t>
            </w:r>
          </w:p>
        </w:tc>
      </w:tr>
      <w:tr w14:paraId="59B91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698" w:type="dxa"/>
            <w:noWrap w:val="0"/>
            <w:vAlign w:val="center"/>
          </w:tcPr>
          <w:p w14:paraId="5007C3AB">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18</w:t>
            </w:r>
          </w:p>
        </w:tc>
        <w:tc>
          <w:tcPr>
            <w:tcW w:w="2988" w:type="dxa"/>
            <w:noWrap w:val="0"/>
            <w:vAlign w:val="center"/>
          </w:tcPr>
          <w:p w14:paraId="403E4A6B">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开门延长按钮响应指示</w:t>
            </w:r>
          </w:p>
        </w:tc>
        <w:tc>
          <w:tcPr>
            <w:tcW w:w="681" w:type="dxa"/>
            <w:noWrap w:val="0"/>
            <w:vAlign w:val="center"/>
          </w:tcPr>
          <w:p w14:paraId="6F5607EB">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lang w:val="en-US" w:eastAsia="zh-CN"/>
              </w:rPr>
              <w:t>44</w:t>
            </w:r>
          </w:p>
        </w:tc>
        <w:tc>
          <w:tcPr>
            <w:tcW w:w="2157" w:type="dxa"/>
            <w:noWrap w:val="0"/>
            <w:vAlign w:val="center"/>
          </w:tcPr>
          <w:p w14:paraId="30F779F4">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过电流保护</w:t>
            </w:r>
          </w:p>
        </w:tc>
        <w:tc>
          <w:tcPr>
            <w:tcW w:w="704" w:type="dxa"/>
            <w:noWrap w:val="0"/>
            <w:vAlign w:val="center"/>
          </w:tcPr>
          <w:p w14:paraId="4677C387">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rPr>
            </w:pPr>
            <w:r>
              <w:rPr>
                <w:rFonts w:hint="eastAsia" w:ascii="宋体" w:hAnsi="宋体" w:eastAsia="宋体" w:cs="宋体"/>
                <w:b w:val="0"/>
                <w:bCs/>
                <w:color w:val="000000"/>
                <w:kern w:val="0"/>
                <w:sz w:val="21"/>
                <w:szCs w:val="21"/>
                <w:highlight w:val="none"/>
                <w:shd w:val="clear" w:color="auto" w:fill="auto"/>
                <w:lang w:val="en-US" w:eastAsia="zh-CN"/>
              </w:rPr>
              <w:t>70</w:t>
            </w:r>
          </w:p>
        </w:tc>
        <w:tc>
          <w:tcPr>
            <w:tcW w:w="3404" w:type="dxa"/>
            <w:noWrap w:val="0"/>
            <w:vAlign w:val="center"/>
          </w:tcPr>
          <w:p w14:paraId="5073974F">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轿内误指令人工消除(轿内按钮型)</w:t>
            </w:r>
          </w:p>
        </w:tc>
      </w:tr>
      <w:tr w14:paraId="0BB88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98" w:type="dxa"/>
            <w:noWrap w:val="0"/>
            <w:vAlign w:val="center"/>
          </w:tcPr>
          <w:p w14:paraId="57BFFFBA">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19</w:t>
            </w:r>
          </w:p>
        </w:tc>
        <w:tc>
          <w:tcPr>
            <w:tcW w:w="2988" w:type="dxa"/>
            <w:noWrap w:val="0"/>
            <w:vAlign w:val="center"/>
          </w:tcPr>
          <w:p w14:paraId="09CC1B49">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门负载检测</w:t>
            </w:r>
          </w:p>
        </w:tc>
        <w:tc>
          <w:tcPr>
            <w:tcW w:w="681" w:type="dxa"/>
            <w:noWrap w:val="0"/>
            <w:vAlign w:val="center"/>
          </w:tcPr>
          <w:p w14:paraId="33EE27AF">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lang w:val="en-US" w:eastAsia="zh-CN"/>
              </w:rPr>
              <w:t>45</w:t>
            </w:r>
          </w:p>
        </w:tc>
        <w:tc>
          <w:tcPr>
            <w:tcW w:w="2157" w:type="dxa"/>
            <w:noWrap w:val="0"/>
            <w:vAlign w:val="center"/>
          </w:tcPr>
          <w:p w14:paraId="3A7FEFD3">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分散待机</w:t>
            </w:r>
          </w:p>
        </w:tc>
        <w:tc>
          <w:tcPr>
            <w:tcW w:w="704" w:type="dxa"/>
            <w:noWrap w:val="0"/>
            <w:vAlign w:val="center"/>
          </w:tcPr>
          <w:p w14:paraId="7DC2425C">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rPr>
            </w:pPr>
            <w:r>
              <w:rPr>
                <w:rFonts w:hint="eastAsia" w:ascii="宋体" w:hAnsi="宋体" w:eastAsia="宋体" w:cs="宋体"/>
                <w:b w:val="0"/>
                <w:bCs/>
                <w:color w:val="000000"/>
                <w:kern w:val="0"/>
                <w:sz w:val="21"/>
                <w:szCs w:val="21"/>
                <w:highlight w:val="none"/>
                <w:shd w:val="clear" w:color="auto" w:fill="auto"/>
                <w:lang w:val="en-US" w:eastAsia="zh-CN"/>
              </w:rPr>
              <w:t>71</w:t>
            </w:r>
          </w:p>
        </w:tc>
        <w:tc>
          <w:tcPr>
            <w:tcW w:w="3404" w:type="dxa"/>
            <w:noWrap w:val="0"/>
            <w:vAlign w:val="center"/>
          </w:tcPr>
          <w:p w14:paraId="6749CC6B">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消防专用</w:t>
            </w:r>
          </w:p>
        </w:tc>
      </w:tr>
      <w:tr w14:paraId="344E5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98" w:type="dxa"/>
            <w:noWrap w:val="0"/>
            <w:vAlign w:val="center"/>
          </w:tcPr>
          <w:p w14:paraId="6B7290E4">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20</w:t>
            </w:r>
          </w:p>
        </w:tc>
        <w:tc>
          <w:tcPr>
            <w:tcW w:w="2988" w:type="dxa"/>
            <w:noWrap w:val="0"/>
            <w:vAlign w:val="center"/>
          </w:tcPr>
          <w:p w14:paraId="6562A016">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开门按钮响应指示</w:t>
            </w:r>
          </w:p>
        </w:tc>
        <w:tc>
          <w:tcPr>
            <w:tcW w:w="681" w:type="dxa"/>
            <w:noWrap w:val="0"/>
            <w:vAlign w:val="center"/>
          </w:tcPr>
          <w:p w14:paraId="37F68CA7">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lang w:val="en-US" w:eastAsia="zh-CN"/>
              </w:rPr>
              <w:t>46</w:t>
            </w:r>
          </w:p>
        </w:tc>
        <w:tc>
          <w:tcPr>
            <w:tcW w:w="2157" w:type="dxa"/>
            <w:noWrap w:val="0"/>
            <w:vAlign w:val="center"/>
          </w:tcPr>
          <w:p w14:paraId="5C35E4A0">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超载报警</w:t>
            </w:r>
          </w:p>
        </w:tc>
        <w:tc>
          <w:tcPr>
            <w:tcW w:w="704" w:type="dxa"/>
            <w:noWrap w:val="0"/>
            <w:vAlign w:val="center"/>
          </w:tcPr>
          <w:p w14:paraId="6B403CA2">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rPr>
            </w:pPr>
            <w:r>
              <w:rPr>
                <w:rFonts w:hint="eastAsia" w:ascii="宋体" w:hAnsi="宋体" w:eastAsia="宋体" w:cs="宋体"/>
                <w:b w:val="0"/>
                <w:bCs/>
                <w:color w:val="000000"/>
                <w:kern w:val="0"/>
                <w:sz w:val="21"/>
                <w:szCs w:val="21"/>
                <w:highlight w:val="none"/>
                <w:shd w:val="clear" w:color="auto" w:fill="auto"/>
                <w:lang w:val="en-US" w:eastAsia="zh-CN"/>
              </w:rPr>
              <w:t>72</w:t>
            </w:r>
          </w:p>
        </w:tc>
        <w:tc>
          <w:tcPr>
            <w:tcW w:w="3404" w:type="dxa"/>
            <w:noWrap w:val="0"/>
            <w:vAlign w:val="center"/>
          </w:tcPr>
          <w:p w14:paraId="6C3415FE">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轿内FE运行指示</w:t>
            </w:r>
          </w:p>
        </w:tc>
      </w:tr>
      <w:tr w14:paraId="6FC60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98" w:type="dxa"/>
            <w:noWrap w:val="0"/>
            <w:vAlign w:val="center"/>
          </w:tcPr>
          <w:p w14:paraId="6BDC486B">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21</w:t>
            </w:r>
          </w:p>
        </w:tc>
        <w:tc>
          <w:tcPr>
            <w:tcW w:w="2988" w:type="dxa"/>
            <w:noWrap w:val="0"/>
            <w:vAlign w:val="center"/>
          </w:tcPr>
          <w:p w14:paraId="3F258D5C">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开门受阻控制</w:t>
            </w:r>
          </w:p>
        </w:tc>
        <w:tc>
          <w:tcPr>
            <w:tcW w:w="681" w:type="dxa"/>
            <w:noWrap w:val="0"/>
            <w:vAlign w:val="center"/>
          </w:tcPr>
          <w:p w14:paraId="7448B624">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lang w:val="en-US" w:eastAsia="zh-CN"/>
              </w:rPr>
              <w:t>47</w:t>
            </w:r>
          </w:p>
        </w:tc>
        <w:tc>
          <w:tcPr>
            <w:tcW w:w="2157" w:type="dxa"/>
            <w:noWrap w:val="0"/>
            <w:vAlign w:val="center"/>
          </w:tcPr>
          <w:p w14:paraId="44404943">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超速保护</w:t>
            </w:r>
          </w:p>
        </w:tc>
        <w:tc>
          <w:tcPr>
            <w:tcW w:w="704" w:type="dxa"/>
            <w:noWrap w:val="0"/>
            <w:vAlign w:val="center"/>
          </w:tcPr>
          <w:p w14:paraId="2668F6F8">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rPr>
            </w:pPr>
            <w:r>
              <w:rPr>
                <w:rFonts w:hint="eastAsia" w:ascii="宋体" w:hAnsi="宋体" w:eastAsia="宋体" w:cs="宋体"/>
                <w:b w:val="0"/>
                <w:bCs/>
                <w:color w:val="000000"/>
                <w:kern w:val="0"/>
                <w:sz w:val="21"/>
                <w:szCs w:val="21"/>
                <w:highlight w:val="none"/>
                <w:shd w:val="clear" w:color="auto" w:fill="auto"/>
                <w:lang w:val="en-US" w:eastAsia="zh-CN"/>
              </w:rPr>
              <w:t>73</w:t>
            </w:r>
          </w:p>
        </w:tc>
        <w:tc>
          <w:tcPr>
            <w:tcW w:w="3404" w:type="dxa"/>
            <w:noWrap w:val="0"/>
            <w:vAlign w:val="center"/>
          </w:tcPr>
          <w:p w14:paraId="689BF265">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响铃强制关门</w:t>
            </w:r>
          </w:p>
        </w:tc>
      </w:tr>
      <w:tr w14:paraId="2AA56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98" w:type="dxa"/>
            <w:noWrap w:val="0"/>
            <w:vAlign w:val="center"/>
          </w:tcPr>
          <w:p w14:paraId="4FA7CA69">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22</w:t>
            </w:r>
          </w:p>
        </w:tc>
        <w:tc>
          <w:tcPr>
            <w:tcW w:w="2988" w:type="dxa"/>
            <w:noWrap w:val="0"/>
            <w:vAlign w:val="center"/>
          </w:tcPr>
          <w:p w14:paraId="52313F8B">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开门保持时间自动调整</w:t>
            </w:r>
          </w:p>
        </w:tc>
        <w:tc>
          <w:tcPr>
            <w:tcW w:w="681" w:type="dxa"/>
            <w:noWrap w:val="0"/>
            <w:vAlign w:val="center"/>
          </w:tcPr>
          <w:p w14:paraId="06153DB1">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lang w:val="en-US" w:eastAsia="zh-CN"/>
              </w:rPr>
              <w:t>48</w:t>
            </w:r>
          </w:p>
        </w:tc>
        <w:tc>
          <w:tcPr>
            <w:tcW w:w="2157" w:type="dxa"/>
            <w:noWrap w:val="0"/>
            <w:vAlign w:val="center"/>
          </w:tcPr>
          <w:p w14:paraId="73771004">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电机过热保护</w:t>
            </w:r>
          </w:p>
        </w:tc>
        <w:tc>
          <w:tcPr>
            <w:tcW w:w="704" w:type="dxa"/>
            <w:noWrap w:val="0"/>
            <w:vAlign w:val="center"/>
          </w:tcPr>
          <w:p w14:paraId="6739613F">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rPr>
            </w:pPr>
            <w:r>
              <w:rPr>
                <w:rFonts w:hint="eastAsia" w:ascii="宋体" w:hAnsi="宋体" w:eastAsia="宋体" w:cs="宋体"/>
                <w:b w:val="0"/>
                <w:bCs/>
                <w:color w:val="000000"/>
                <w:kern w:val="0"/>
                <w:sz w:val="21"/>
                <w:szCs w:val="21"/>
                <w:highlight w:val="none"/>
                <w:shd w:val="clear" w:color="auto" w:fill="auto"/>
                <w:lang w:val="en-US" w:eastAsia="zh-CN"/>
              </w:rPr>
              <w:t>74</w:t>
            </w:r>
          </w:p>
        </w:tc>
        <w:tc>
          <w:tcPr>
            <w:tcW w:w="3404" w:type="dxa"/>
            <w:noWrap w:val="0"/>
            <w:vAlign w:val="center"/>
          </w:tcPr>
          <w:p w14:paraId="471289DD">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auto"/>
                <w:kern w:val="0"/>
                <w:sz w:val="21"/>
                <w:szCs w:val="21"/>
                <w:lang w:val="en-US" w:eastAsia="zh-CN" w:bidi="ar-SA"/>
              </w:rPr>
            </w:pPr>
            <w:r>
              <w:rPr>
                <w:rFonts w:hint="eastAsia" w:ascii="宋体" w:hAnsi="宋体" w:eastAsia="宋体" w:cs="宋体"/>
                <w:b w:val="0"/>
                <w:bCs/>
                <w:color w:val="auto"/>
                <w:kern w:val="0"/>
                <w:sz w:val="21"/>
                <w:szCs w:val="21"/>
              </w:rPr>
              <w:t>停电应急平层</w:t>
            </w:r>
          </w:p>
        </w:tc>
      </w:tr>
      <w:tr w14:paraId="325CB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98" w:type="dxa"/>
            <w:noWrap w:val="0"/>
            <w:vAlign w:val="center"/>
          </w:tcPr>
          <w:p w14:paraId="4B0A2647">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23</w:t>
            </w:r>
          </w:p>
        </w:tc>
        <w:tc>
          <w:tcPr>
            <w:tcW w:w="2988" w:type="dxa"/>
            <w:noWrap w:val="0"/>
            <w:vAlign w:val="center"/>
          </w:tcPr>
          <w:p w14:paraId="1ED56741">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门锁短接保护</w:t>
            </w:r>
          </w:p>
        </w:tc>
        <w:tc>
          <w:tcPr>
            <w:tcW w:w="681" w:type="dxa"/>
            <w:noWrap w:val="0"/>
            <w:vAlign w:val="center"/>
          </w:tcPr>
          <w:p w14:paraId="4F52EA33">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lang w:val="en-US" w:eastAsia="zh-CN"/>
              </w:rPr>
              <w:t>49</w:t>
            </w:r>
          </w:p>
        </w:tc>
        <w:tc>
          <w:tcPr>
            <w:tcW w:w="2157" w:type="dxa"/>
            <w:noWrap w:val="0"/>
            <w:vAlign w:val="center"/>
          </w:tcPr>
          <w:p w14:paraId="7E1109B9">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过电压保护</w:t>
            </w:r>
          </w:p>
        </w:tc>
        <w:tc>
          <w:tcPr>
            <w:tcW w:w="704" w:type="dxa"/>
            <w:noWrap w:val="0"/>
            <w:vAlign w:val="center"/>
          </w:tcPr>
          <w:p w14:paraId="4084F5F8">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rPr>
            </w:pPr>
            <w:r>
              <w:rPr>
                <w:rFonts w:hint="eastAsia" w:ascii="宋体" w:hAnsi="宋体" w:eastAsia="宋体" w:cs="宋体"/>
                <w:b w:val="0"/>
                <w:bCs/>
                <w:color w:val="000000"/>
                <w:kern w:val="0"/>
                <w:sz w:val="21"/>
                <w:szCs w:val="21"/>
                <w:highlight w:val="none"/>
                <w:shd w:val="clear" w:color="auto" w:fill="auto"/>
                <w:lang w:val="en-US" w:eastAsia="zh-CN"/>
              </w:rPr>
              <w:t>75</w:t>
            </w:r>
          </w:p>
        </w:tc>
        <w:tc>
          <w:tcPr>
            <w:tcW w:w="3404" w:type="dxa"/>
            <w:noWrap w:val="0"/>
            <w:vAlign w:val="center"/>
          </w:tcPr>
          <w:p w14:paraId="797C27F0">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auto"/>
                <w:kern w:val="0"/>
                <w:sz w:val="21"/>
                <w:szCs w:val="21"/>
                <w:lang w:val="en-US" w:eastAsia="zh-CN" w:bidi="ar-SA"/>
              </w:rPr>
            </w:pPr>
            <w:r>
              <w:rPr>
                <w:rFonts w:hint="eastAsia" w:ascii="宋体" w:hAnsi="宋体" w:eastAsia="宋体" w:cs="宋体"/>
                <w:b w:val="0"/>
                <w:bCs/>
                <w:color w:val="auto"/>
                <w:kern w:val="0"/>
                <w:sz w:val="21"/>
                <w:szCs w:val="21"/>
              </w:rPr>
              <w:t>开门时间调整</w:t>
            </w:r>
          </w:p>
        </w:tc>
      </w:tr>
      <w:tr w14:paraId="33AA6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98" w:type="dxa"/>
            <w:noWrap w:val="0"/>
            <w:vAlign w:val="center"/>
          </w:tcPr>
          <w:p w14:paraId="58785B7E">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24</w:t>
            </w:r>
          </w:p>
        </w:tc>
        <w:tc>
          <w:tcPr>
            <w:tcW w:w="2988" w:type="dxa"/>
            <w:noWrap w:val="0"/>
            <w:vAlign w:val="center"/>
          </w:tcPr>
          <w:p w14:paraId="2948E9AE">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关门力矩控制</w:t>
            </w:r>
          </w:p>
        </w:tc>
        <w:tc>
          <w:tcPr>
            <w:tcW w:w="681" w:type="dxa"/>
            <w:noWrap w:val="0"/>
            <w:vAlign w:val="center"/>
          </w:tcPr>
          <w:p w14:paraId="643E5DCB">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lang w:val="en-US" w:eastAsia="zh-CN"/>
              </w:rPr>
              <w:t>50</w:t>
            </w:r>
          </w:p>
        </w:tc>
        <w:tc>
          <w:tcPr>
            <w:tcW w:w="2157" w:type="dxa"/>
            <w:noWrap w:val="0"/>
            <w:vAlign w:val="center"/>
          </w:tcPr>
          <w:p w14:paraId="6059075C">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电源故障保护</w:t>
            </w:r>
          </w:p>
        </w:tc>
        <w:tc>
          <w:tcPr>
            <w:tcW w:w="704" w:type="dxa"/>
            <w:noWrap w:val="0"/>
            <w:vAlign w:val="center"/>
          </w:tcPr>
          <w:p w14:paraId="028C606E">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rPr>
            </w:pPr>
            <w:r>
              <w:rPr>
                <w:rFonts w:hint="eastAsia" w:ascii="宋体" w:hAnsi="宋体" w:eastAsia="宋体" w:cs="宋体"/>
                <w:b w:val="0"/>
                <w:bCs/>
                <w:color w:val="000000"/>
                <w:kern w:val="0"/>
                <w:sz w:val="21"/>
                <w:szCs w:val="21"/>
                <w:highlight w:val="none"/>
                <w:shd w:val="clear" w:color="auto" w:fill="auto"/>
                <w:lang w:val="en-US" w:eastAsia="zh-CN"/>
              </w:rPr>
              <w:t>76</w:t>
            </w:r>
          </w:p>
        </w:tc>
        <w:tc>
          <w:tcPr>
            <w:tcW w:w="3404" w:type="dxa"/>
            <w:noWrap w:val="0"/>
            <w:vAlign w:val="center"/>
          </w:tcPr>
          <w:p w14:paraId="1E6BA9CA">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层站微机异常处理</w:t>
            </w:r>
          </w:p>
        </w:tc>
      </w:tr>
      <w:tr w14:paraId="2A5A5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98" w:type="dxa"/>
            <w:noWrap w:val="0"/>
            <w:vAlign w:val="center"/>
          </w:tcPr>
          <w:p w14:paraId="3B5700E6">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25</w:t>
            </w:r>
          </w:p>
        </w:tc>
        <w:tc>
          <w:tcPr>
            <w:tcW w:w="2988" w:type="dxa"/>
            <w:noWrap w:val="0"/>
            <w:vAlign w:val="center"/>
          </w:tcPr>
          <w:p w14:paraId="120EAA57">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轿厢应急照明</w:t>
            </w:r>
          </w:p>
        </w:tc>
        <w:tc>
          <w:tcPr>
            <w:tcW w:w="681" w:type="dxa"/>
            <w:noWrap w:val="0"/>
            <w:vAlign w:val="center"/>
          </w:tcPr>
          <w:p w14:paraId="3BB3EC0B">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lang w:val="en-US" w:eastAsia="zh-CN"/>
              </w:rPr>
              <w:t>51</w:t>
            </w:r>
          </w:p>
        </w:tc>
        <w:tc>
          <w:tcPr>
            <w:tcW w:w="2157" w:type="dxa"/>
            <w:noWrap w:val="0"/>
            <w:vAlign w:val="center"/>
          </w:tcPr>
          <w:p w14:paraId="074FCCDA">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上电再平层</w:t>
            </w:r>
          </w:p>
        </w:tc>
        <w:tc>
          <w:tcPr>
            <w:tcW w:w="704" w:type="dxa"/>
            <w:noWrap w:val="0"/>
            <w:vAlign w:val="center"/>
          </w:tcPr>
          <w:p w14:paraId="34A8DB11">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rPr>
            </w:pPr>
            <w:r>
              <w:rPr>
                <w:rFonts w:hint="eastAsia" w:ascii="宋体" w:hAnsi="宋体" w:eastAsia="宋体" w:cs="宋体"/>
                <w:b w:val="0"/>
                <w:bCs/>
                <w:color w:val="000000"/>
                <w:kern w:val="0"/>
                <w:sz w:val="21"/>
                <w:szCs w:val="21"/>
                <w:highlight w:val="none"/>
                <w:shd w:val="clear" w:color="auto" w:fill="auto"/>
                <w:lang w:val="en-US" w:eastAsia="zh-CN"/>
              </w:rPr>
              <w:t>77</w:t>
            </w:r>
          </w:p>
        </w:tc>
        <w:tc>
          <w:tcPr>
            <w:tcW w:w="3404" w:type="dxa"/>
            <w:noWrap w:val="0"/>
            <w:vAlign w:val="center"/>
          </w:tcPr>
          <w:p w14:paraId="446DA3E6">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医用运行（按钮型）</w:t>
            </w:r>
          </w:p>
        </w:tc>
      </w:tr>
      <w:tr w14:paraId="57961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698" w:type="dxa"/>
            <w:noWrap w:val="0"/>
            <w:vAlign w:val="center"/>
          </w:tcPr>
          <w:p w14:paraId="4B77340E">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26</w:t>
            </w:r>
          </w:p>
        </w:tc>
        <w:tc>
          <w:tcPr>
            <w:tcW w:w="2988" w:type="dxa"/>
            <w:noWrap w:val="0"/>
            <w:vAlign w:val="center"/>
          </w:tcPr>
          <w:p w14:paraId="31997319">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运行次数与时间统计</w:t>
            </w:r>
          </w:p>
        </w:tc>
        <w:tc>
          <w:tcPr>
            <w:tcW w:w="681" w:type="dxa"/>
            <w:noWrap w:val="0"/>
            <w:vAlign w:val="center"/>
          </w:tcPr>
          <w:p w14:paraId="14A7BBC3">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lang w:val="en-US" w:eastAsia="zh-CN"/>
              </w:rPr>
              <w:t>52</w:t>
            </w:r>
          </w:p>
        </w:tc>
        <w:tc>
          <w:tcPr>
            <w:tcW w:w="2157" w:type="dxa"/>
            <w:noWrap w:val="0"/>
            <w:vAlign w:val="center"/>
          </w:tcPr>
          <w:p w14:paraId="0919FB86">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重复关门</w:t>
            </w:r>
          </w:p>
        </w:tc>
        <w:tc>
          <w:tcPr>
            <w:tcW w:w="704" w:type="dxa"/>
            <w:noWrap w:val="0"/>
            <w:vAlign w:val="center"/>
          </w:tcPr>
          <w:p w14:paraId="66CCEB09">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rPr>
            </w:pPr>
            <w:r>
              <w:rPr>
                <w:rFonts w:hint="eastAsia" w:ascii="宋体" w:hAnsi="宋体" w:eastAsia="宋体" w:cs="宋体"/>
                <w:b w:val="0"/>
                <w:bCs/>
                <w:color w:val="000000"/>
                <w:kern w:val="0"/>
                <w:sz w:val="21"/>
                <w:szCs w:val="21"/>
                <w:highlight w:val="none"/>
                <w:shd w:val="clear" w:color="auto" w:fill="auto"/>
                <w:lang w:val="en-US" w:eastAsia="zh-CN"/>
              </w:rPr>
              <w:t>78</w:t>
            </w:r>
          </w:p>
        </w:tc>
        <w:tc>
          <w:tcPr>
            <w:tcW w:w="3404" w:type="dxa"/>
            <w:noWrap w:val="0"/>
            <w:vAlign w:val="center"/>
          </w:tcPr>
          <w:p w14:paraId="7C79B3FF">
            <w:pPr>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宋体" w:hAnsi="宋体" w:eastAsia="宋体" w:cs="宋体"/>
                <w:b w:val="0"/>
                <w:bCs/>
                <w:color w:val="000000"/>
                <w:kern w:val="0"/>
                <w:sz w:val="21"/>
                <w:szCs w:val="21"/>
                <w:highlight w:val="none"/>
                <w:shd w:val="clear" w:color="auto" w:fill="auto"/>
                <w:lang w:val="en-US" w:eastAsia="zh-CN" w:bidi="ar-SA"/>
              </w:rPr>
            </w:pPr>
            <w:r>
              <w:rPr>
                <w:rFonts w:hint="eastAsia" w:ascii="宋体" w:hAnsi="宋体" w:eastAsia="宋体" w:cs="宋体"/>
                <w:b w:val="0"/>
                <w:bCs/>
                <w:color w:val="000000"/>
                <w:kern w:val="0"/>
                <w:sz w:val="21"/>
                <w:szCs w:val="21"/>
                <w:highlight w:val="none"/>
                <w:shd w:val="clear" w:color="auto" w:fill="auto"/>
              </w:rPr>
              <w:t>层站运行控制开关</w:t>
            </w:r>
          </w:p>
        </w:tc>
      </w:tr>
      <w:tr w14:paraId="33D1B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32" w:type="dxa"/>
            <w:gridSpan w:val="6"/>
            <w:noWrap w:val="0"/>
            <w:vAlign w:val="center"/>
          </w:tcPr>
          <w:p w14:paraId="701C5CAF">
            <w:pPr>
              <w:pStyle w:val="171"/>
              <w:keepNext w:val="0"/>
              <w:keepLines w:val="0"/>
              <w:pageBreakBefore w:val="0"/>
              <w:widowControl w:val="0"/>
              <w:kinsoku/>
              <w:wordWrap/>
              <w:overflowPunct/>
              <w:topLinePunct w:val="0"/>
              <w:autoSpaceDE/>
              <w:autoSpaceDN/>
              <w:bidi w:val="0"/>
              <w:adjustRightInd/>
              <w:snapToGrid/>
              <w:spacing w:line="340" w:lineRule="exact"/>
              <w:ind w:left="0"/>
              <w:textAlignment w:val="auto"/>
              <w:rPr>
                <w:rFonts w:hint="eastAsia" w:ascii="宋体" w:hAnsi="宋体" w:eastAsia="宋体" w:cs="宋体"/>
                <w:b w:val="0"/>
                <w:bCs/>
                <w:color w:val="000000"/>
                <w:kern w:val="0"/>
                <w:sz w:val="21"/>
                <w:szCs w:val="21"/>
                <w:highlight w:val="none"/>
                <w:shd w:val="clear" w:color="auto" w:fill="auto"/>
              </w:rPr>
            </w:pPr>
            <w:r>
              <w:rPr>
                <w:rFonts w:hint="eastAsia" w:ascii="宋体" w:hAnsi="宋体" w:eastAsia="宋体" w:cs="宋体"/>
                <w:spacing w:val="10"/>
                <w:sz w:val="20"/>
                <w:szCs w:val="20"/>
              </w:rPr>
              <w:t>备注：除满足上述有机房电梯的基本功能要求外，同时还须</w:t>
            </w:r>
            <w:r>
              <w:rPr>
                <w:rFonts w:hint="eastAsia" w:ascii="宋体" w:hAnsi="宋体" w:eastAsia="宋体" w:cs="宋体"/>
                <w:spacing w:val="9"/>
                <w:sz w:val="20"/>
                <w:szCs w:val="20"/>
              </w:rPr>
              <w:t>满足国家有</w:t>
            </w:r>
            <w:r>
              <w:rPr>
                <w:rFonts w:hint="eastAsia" w:ascii="宋体" w:hAnsi="宋体" w:eastAsia="宋体" w:cs="宋体"/>
                <w:spacing w:val="10"/>
                <w:sz w:val="20"/>
                <w:szCs w:val="20"/>
              </w:rPr>
              <w:t>关标准要求的有机房乘客电梯功能。如有增加的附加功能，请列明；</w:t>
            </w:r>
            <w:r>
              <w:rPr>
                <w:rFonts w:hint="eastAsia" w:ascii="宋体" w:hAnsi="宋体" w:eastAsia="宋体" w:cs="宋体"/>
                <w:spacing w:val="10"/>
                <w:sz w:val="20"/>
                <w:szCs w:val="20"/>
                <w:lang w:eastAsia="zh-CN"/>
              </w:rPr>
              <w:t>投标人可提供</w:t>
            </w:r>
            <w:r>
              <w:rPr>
                <w:rFonts w:hint="eastAsia" w:ascii="宋体" w:hAnsi="宋体" w:eastAsia="宋体" w:cs="宋体"/>
                <w:spacing w:val="10"/>
                <w:sz w:val="20"/>
                <w:szCs w:val="20"/>
              </w:rPr>
              <w:t>所投电梯生产厂家针对本项目</w:t>
            </w:r>
            <w:r>
              <w:rPr>
                <w:rFonts w:hint="eastAsia" w:ascii="宋体" w:hAnsi="宋体" w:eastAsia="宋体" w:cs="宋体"/>
                <w:spacing w:val="9"/>
                <w:sz w:val="20"/>
                <w:szCs w:val="20"/>
              </w:rPr>
              <w:t>出具的授权代理经销证明、质量保证承诺书和售后服务承诺书</w:t>
            </w:r>
            <w:r>
              <w:rPr>
                <w:rFonts w:hint="eastAsia" w:ascii="宋体" w:hAnsi="宋体" w:eastAsia="宋体" w:cs="宋体"/>
                <w:spacing w:val="9"/>
                <w:sz w:val="20"/>
                <w:szCs w:val="20"/>
                <w:lang w:eastAsia="zh-CN"/>
              </w:rPr>
              <w:t>。</w:t>
            </w:r>
          </w:p>
        </w:tc>
      </w:tr>
    </w:tbl>
    <w:p w14:paraId="5F01B8D5">
      <w:pPr>
        <w:pStyle w:val="174"/>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default" w:ascii="宋体" w:hAnsi="宋体" w:eastAsia="宋体" w:cs="宋体"/>
          <w:b/>
          <w:bCs/>
          <w:kern w:val="0"/>
          <w:sz w:val="21"/>
          <w:szCs w:val="21"/>
          <w:highlight w:val="none"/>
          <w:lang w:val="en-US" w:eastAsia="zh-CN" w:bidi="ar"/>
        </w:rPr>
      </w:pPr>
      <w:r>
        <w:rPr>
          <w:rFonts w:hint="eastAsia" w:ascii="宋体" w:hAnsi="宋体" w:cs="宋体"/>
          <w:b/>
          <w:bCs/>
          <w:kern w:val="0"/>
          <w:sz w:val="21"/>
          <w:szCs w:val="21"/>
          <w:highlight w:val="none"/>
          <w:lang w:val="en-US" w:eastAsia="zh-CN" w:bidi="ar"/>
        </w:rPr>
        <w:t>医梯、客梯均按要满足以上技术和配置要求，污梯、洁梯在以上技术要求中最终由采购人确定技术和配置要求。</w:t>
      </w:r>
    </w:p>
    <w:p w14:paraId="1252D724">
      <w:pPr>
        <w:pStyle w:val="174"/>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ascii="宋体" w:hAnsi="宋体" w:eastAsia="宋体" w:cs="宋体"/>
          <w:b/>
          <w:bCs/>
          <w:color w:val="auto"/>
          <w:kern w:val="0"/>
          <w:sz w:val="21"/>
          <w:szCs w:val="21"/>
          <w:highlight w:val="none"/>
          <w:lang w:bidi="ar"/>
        </w:rPr>
      </w:pPr>
      <w:r>
        <w:rPr>
          <w:rFonts w:hint="eastAsia" w:ascii="宋体" w:hAnsi="宋体" w:eastAsia="宋体" w:cs="宋体"/>
          <w:b/>
          <w:bCs/>
          <w:color w:val="auto"/>
          <w:kern w:val="0"/>
          <w:sz w:val="21"/>
          <w:szCs w:val="21"/>
          <w:highlight w:val="none"/>
          <w:lang w:eastAsia="zh-CN" w:bidi="ar"/>
        </w:rPr>
        <w:t>四</w:t>
      </w:r>
      <w:r>
        <w:rPr>
          <w:rFonts w:hint="eastAsia" w:ascii="宋体" w:hAnsi="宋体" w:eastAsia="宋体" w:cs="宋体"/>
          <w:b/>
          <w:bCs/>
          <w:color w:val="auto"/>
          <w:kern w:val="0"/>
          <w:sz w:val="21"/>
          <w:szCs w:val="21"/>
          <w:highlight w:val="none"/>
          <w:lang w:bidi="ar"/>
        </w:rPr>
        <w:t>、功能和质量要求：</w:t>
      </w:r>
    </w:p>
    <w:p w14:paraId="655BD890">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1、主要部件技术要求</w:t>
      </w:r>
    </w:p>
    <w:p w14:paraId="64454BD3">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color w:val="auto"/>
          <w:kern w:val="0"/>
          <w:sz w:val="21"/>
          <w:szCs w:val="21"/>
          <w:highlight w:val="none"/>
          <w:lang w:bidi="ar"/>
        </w:rPr>
        <w:t>1.1投标人应充分考虑</w:t>
      </w:r>
      <w:r>
        <w:rPr>
          <w:rFonts w:hint="eastAsia" w:ascii="宋体" w:hAnsi="宋体" w:eastAsia="宋体" w:cs="宋体"/>
          <w:color w:val="auto"/>
          <w:sz w:val="21"/>
          <w:szCs w:val="21"/>
          <w:highlight w:val="none"/>
          <w:lang w:val="en-US" w:eastAsia="zh-CN"/>
        </w:rPr>
        <w:t>曳引机系统、安全保护系统（包含安全钳、限速器）、电梯控制系统（控制器）、门系统（包含门机、门锁）、电力拖动系统（变频器）</w:t>
      </w:r>
      <w:r>
        <w:rPr>
          <w:rFonts w:hint="eastAsia" w:ascii="宋体" w:hAnsi="宋体" w:eastAsia="宋体" w:cs="宋体"/>
          <w:color w:val="auto"/>
          <w:kern w:val="0"/>
          <w:sz w:val="21"/>
          <w:szCs w:val="21"/>
          <w:highlight w:val="none"/>
          <w:lang w:bidi="ar"/>
        </w:rPr>
        <w:t>等各部件之间的兼容性，确保电梯的性能质量。</w:t>
      </w:r>
    </w:p>
    <w:p w14:paraId="45A5456D">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1.2电梯曳引机采用永磁同步无齿轮技术；</w:t>
      </w:r>
    </w:p>
    <w:p w14:paraId="0F678DCA">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highlight w:val="none"/>
          <w:lang w:bidi="ar"/>
        </w:rPr>
      </w:pPr>
      <w:r>
        <w:rPr>
          <w:rFonts w:hint="eastAsia" w:ascii="宋体" w:hAnsi="宋体" w:eastAsia="宋体" w:cs="宋体"/>
          <w:kern w:val="0"/>
          <w:sz w:val="21"/>
          <w:szCs w:val="21"/>
          <w:lang w:bidi="ar"/>
        </w:rPr>
        <w:t>1.3</w:t>
      </w:r>
      <w:r>
        <w:rPr>
          <w:rFonts w:hint="eastAsia" w:ascii="宋体" w:hAnsi="宋体" w:eastAsia="宋体" w:cs="宋体"/>
          <w:kern w:val="0"/>
          <w:sz w:val="21"/>
          <w:szCs w:val="21"/>
          <w:highlight w:val="none"/>
          <w:lang w:bidi="ar"/>
        </w:rPr>
        <w:t>电梯门机采用永磁同步技术；</w:t>
      </w:r>
    </w:p>
    <w:p w14:paraId="495B76A7">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2﹑电梯导靴须采用主动式滑动导靴。</w:t>
      </w:r>
    </w:p>
    <w:p w14:paraId="620749D6">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 、外观质量要求</w:t>
      </w:r>
    </w:p>
    <w:p w14:paraId="17C1F6A2">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3.1 外观质量要求应符合GB/T10058《电梯技术条件》要求。</w:t>
      </w:r>
    </w:p>
    <w:p w14:paraId="55E489D5">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3.2 层门形式与装饰为标准中分门和旁开门，带红外线光幕保护装置。门机应采用交流变频控制；门套和厅门均采用发纹不锈钢。</w:t>
      </w:r>
    </w:p>
    <w:p w14:paraId="3D801279">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3.3 装潢要求</w:t>
      </w:r>
    </w:p>
    <w:p w14:paraId="0FFB7BD1">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3.3.1 轿厢：厢壁采用发纹不锈钢装修，轿顶设带两台静音横流风机。轿顶采用LED照明（嵌入式）天花板及不锈钢地面装潢，应采用最新的装饰标准。投标人应在投标文件中提供详细的轿厢内部装潢方案，装潢费用应分项报价，并含在投标总价中。</w:t>
      </w:r>
    </w:p>
    <w:p w14:paraId="483847E1">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3.3.2 轿门：均采用发纹不锈钢装修，医梯自动中分门和旁开门，均带光幕及安全触板保护装置。</w:t>
      </w:r>
    </w:p>
    <w:p w14:paraId="56D89DDD">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3.3.3 厅门地坎采用模压硬质铝材料。</w:t>
      </w:r>
    </w:p>
    <w:p w14:paraId="408C7C1C">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3.4 信号指示装置要求</w:t>
      </w:r>
    </w:p>
    <w:p w14:paraId="3021EFC1">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3.4.1 轿厢信号装置: 一体式电梯操纵箱设在轿厢前壁，设有数字式楼层指示器和上下行箭头，显示电梯位置及运行方向，采用液晶显示装置，显示形式为数字式。控制按钮为微动式或触模式，投标人应在投标文件中详细说明面板具体的式样并提供相应图片供选择。</w:t>
      </w:r>
    </w:p>
    <w:p w14:paraId="71C4DFA7">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3.4.2 层门信号装置：各层均配无底盒液晶显示装置，能显示运行方向、层站和维修状态提示符号等，投标人应在投标文件中详细说明面板具体的式样并提供相应图片供选择。</w:t>
      </w:r>
    </w:p>
    <w:p w14:paraId="391157C4">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3.5 层门召呼按钮：每层层门装有微动式上/下召呼按钮，投标人应在投标文件中详细说明面板具体的式样并提供相应图片供选择。</w:t>
      </w:r>
    </w:p>
    <w:p w14:paraId="624BECAF">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3.6 信号指示装置的布置方式及装饰要求美观、新颖，投标人应在投标文件中详细说明面板具体的式样并提供相应图片供选择。</w:t>
      </w:r>
    </w:p>
    <w:p w14:paraId="5E08A7DA">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highlight w:val="none"/>
          <w:lang w:bidi="ar"/>
        </w:rPr>
      </w:pPr>
      <w:r>
        <w:rPr>
          <w:rFonts w:hint="eastAsia" w:ascii="宋体" w:hAnsi="宋体" w:eastAsia="宋体" w:cs="宋体"/>
          <w:kern w:val="0"/>
          <w:sz w:val="21"/>
          <w:szCs w:val="21"/>
          <w:lang w:bidi="ar"/>
        </w:rPr>
        <w:t xml:space="preserve">3.7 </w:t>
      </w:r>
      <w:r>
        <w:rPr>
          <w:rFonts w:hint="eastAsia" w:ascii="宋体" w:hAnsi="宋体" w:eastAsia="宋体" w:cs="宋体"/>
          <w:kern w:val="0"/>
          <w:sz w:val="21"/>
          <w:szCs w:val="21"/>
          <w:highlight w:val="none"/>
          <w:lang w:bidi="ar"/>
        </w:rPr>
        <w:t>配置智能紫外线杀菌灯。</w:t>
      </w:r>
    </w:p>
    <w:p w14:paraId="29D57B6B">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4、控制系统要求</w:t>
      </w:r>
    </w:p>
    <w:p w14:paraId="71F6D02C">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4.1 采用全电脑及模块集成电路控制系统，微电脑处理器（模块化、CPU采用单片32位以上）。</w:t>
      </w:r>
    </w:p>
    <w:p w14:paraId="745488CA">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4.2 控制系统应具有以下功能，其信息应在中控显示屏显示：</w:t>
      </w:r>
    </w:p>
    <w:p w14:paraId="65CE35C5">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4.2.1 监测电梯的运行启停状态，向下/向上运行状态，故障报警显示状态；</w:t>
      </w:r>
    </w:p>
    <w:p w14:paraId="4A89BA72">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4.2.2 发生火灾时控制电梯降至首层，并显示状态；</w:t>
      </w:r>
    </w:p>
    <w:p w14:paraId="48C15B8F">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4.2.3 记录各种参数、状态、报警时间、故障显示、启停时间、累计运行时间及历史数据等。</w:t>
      </w:r>
    </w:p>
    <w:p w14:paraId="2E80BC0B">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4.2.4 应用全数字化电源系统（DC-DC电源技术）。</w:t>
      </w:r>
    </w:p>
    <w:p w14:paraId="2935EFD0">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5、拖动系统要求</w:t>
      </w:r>
    </w:p>
    <w:p w14:paraId="2D2628F6">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5.1 电梯均应采用矢量型变频变压调速VVVF拖动系统。</w:t>
      </w:r>
    </w:p>
    <w:p w14:paraId="3F0723CD">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5.2 曳引机应采用永磁同步无齿曳引机拖动方式。</w:t>
      </w:r>
    </w:p>
    <w:p w14:paraId="06E46CCE">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5.3 曳引机应满足GB/T10058《电梯技术条件》中3.5条要求。</w:t>
      </w:r>
    </w:p>
    <w:p w14:paraId="5F7DE79C">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6、门机系统要求</w:t>
      </w:r>
    </w:p>
    <w:p w14:paraId="3E5688FA">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电梯采用永磁同步电机（PM）驱动的门机，传动装置为无连杆的同步带方式，采用速度和电流双闭环的VVVF变压变频控制技术，高性能的单片微处理器能够检测出各个楼层的层门重量，并自动调整到最佳的开关门速度和力矩，这样就能确保每个层门平稳地动作，能够平滑、安静的开关门。</w:t>
      </w:r>
    </w:p>
    <w:p w14:paraId="259A8347">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7、其他要求</w:t>
      </w:r>
    </w:p>
    <w:p w14:paraId="23F54299">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7.1 本次采购的电梯必须是整套全新、符合国标GB/T 7588.1-2020《电梯制造与安装安全规范》、GB/T7025等有关质量和安全技术标准。</w:t>
      </w:r>
    </w:p>
    <w:p w14:paraId="50B6D791">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7.2 供应商所提供的货物不仅要符合相应的国家标准要求，还应满足本项目招标文件中的技术要求。</w:t>
      </w:r>
    </w:p>
    <w:p w14:paraId="420C499F">
      <w:pPr>
        <w:pStyle w:val="174"/>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ascii="宋体" w:hAnsi="宋体" w:eastAsia="宋体" w:cs="宋体"/>
          <w:b/>
          <w:bCs/>
          <w:kern w:val="0"/>
          <w:sz w:val="21"/>
          <w:szCs w:val="21"/>
          <w:highlight w:val="none"/>
          <w:lang w:bidi="ar"/>
        </w:rPr>
      </w:pPr>
      <w:r>
        <w:rPr>
          <w:rFonts w:hint="eastAsia" w:ascii="宋体" w:hAnsi="宋体" w:eastAsia="宋体" w:cs="宋体"/>
          <w:b/>
          <w:bCs/>
          <w:kern w:val="0"/>
          <w:sz w:val="21"/>
          <w:szCs w:val="21"/>
          <w:highlight w:val="none"/>
          <w:lang w:eastAsia="zh-CN" w:bidi="ar"/>
        </w:rPr>
        <w:t>五</w:t>
      </w:r>
      <w:r>
        <w:rPr>
          <w:rFonts w:hint="eastAsia" w:ascii="宋体" w:hAnsi="宋体" w:eastAsia="宋体" w:cs="宋体"/>
          <w:b/>
          <w:bCs/>
          <w:kern w:val="0"/>
          <w:sz w:val="21"/>
          <w:szCs w:val="21"/>
          <w:highlight w:val="none"/>
          <w:lang w:bidi="ar"/>
        </w:rPr>
        <w:t>、设备制造安装验收标准</w:t>
      </w:r>
    </w:p>
    <w:p w14:paraId="3EC4D023">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（1）中华人民共和国的国家标准：电梯施工质量验收规范（GB50310-2002）</w:t>
      </w:r>
    </w:p>
    <w:p w14:paraId="1ED055EF">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（2）中华人民共和国的国家标准：电梯技术条件（GB/T10058-2023）</w:t>
      </w:r>
    </w:p>
    <w:p w14:paraId="26FEFD3B">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（3）中华人民共和国的国家标准：电梯试验方法（GB/T10059-2023）</w:t>
      </w:r>
    </w:p>
    <w:p w14:paraId="19161DD2">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（4）中华人民共和国国家建设部：电梯手册（JJ49）</w:t>
      </w:r>
    </w:p>
    <w:p w14:paraId="14819B6C">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（5）电梯曳引机（GB/T24478-2023）</w:t>
      </w:r>
    </w:p>
    <w:p w14:paraId="1D3EAB9E">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（6）中华人民共和国的国家标准:高层民用建筑设计消防规范（GB50045）</w:t>
      </w:r>
    </w:p>
    <w:p w14:paraId="52FDE6D9">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val="en-US" w:eastAsia="zh-CN" w:bidi="ar"/>
        </w:rPr>
        <w:t>7</w:t>
      </w: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bidi="ar"/>
        </w:rPr>
        <w:t>中华人民共和国国家标准：电梯制造与安装安全规范（GB7588）</w:t>
      </w:r>
    </w:p>
    <w:p w14:paraId="3241AC5A">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val="en-US" w:eastAsia="zh-CN" w:bidi="ar"/>
        </w:rPr>
        <w:t>8</w:t>
      </w: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bidi="ar"/>
        </w:rPr>
        <w:t>中华人民共和国国家标准：电梯电气装置施工及验收规范（GB50182）</w:t>
      </w:r>
    </w:p>
    <w:p w14:paraId="2868E6E1">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val="en-US" w:eastAsia="zh-CN" w:bidi="ar"/>
        </w:rPr>
        <w:t>9</w:t>
      </w: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bidi="ar"/>
        </w:rPr>
        <w:t>中华人民共和国国家标准：电气装置安装工程及施工验收规范（GB50303）</w:t>
      </w:r>
    </w:p>
    <w:p w14:paraId="1AA98270">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val="en-US" w:eastAsia="zh-CN" w:bidi="ar"/>
        </w:rPr>
        <w:t>10</w:t>
      </w: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bidi="ar"/>
        </w:rPr>
        <w:t>中华人民共和国国家标准：电气装置安装工程及施工验收规范（GB50303）</w:t>
      </w:r>
    </w:p>
    <w:p w14:paraId="56A738E0">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val="en-US" w:eastAsia="zh-CN" w:bidi="ar"/>
        </w:rPr>
        <w:t>11</w:t>
      </w: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bidi="ar"/>
        </w:rPr>
        <w:t>中华人民共和国城乡建设环境保护部部标准：电梯导轨（JJ49）</w:t>
      </w:r>
    </w:p>
    <w:p w14:paraId="14220393">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val="en-US" w:eastAsia="zh-CN" w:bidi="ar"/>
        </w:rPr>
        <w:t>12</w:t>
      </w: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bidi="ar"/>
        </w:rPr>
        <w:t>中华人民共和国国家标准：电梯安装工程质量检验评定标准（试用本）</w:t>
      </w:r>
    </w:p>
    <w:p w14:paraId="7C476FF7">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val="en-US" w:eastAsia="zh-CN" w:bidi="ar"/>
        </w:rPr>
        <w:t>13</w:t>
      </w:r>
      <w:r>
        <w:rPr>
          <w:rFonts w:hint="eastAsia" w:ascii="宋体" w:hAnsi="宋体" w:eastAsia="宋体" w:cs="宋体"/>
          <w:kern w:val="0"/>
          <w:sz w:val="21"/>
          <w:szCs w:val="21"/>
          <w:lang w:eastAsia="zh-CN" w:bidi="ar"/>
        </w:rPr>
        <w:t>）</w:t>
      </w:r>
      <w:r>
        <w:rPr>
          <w:rFonts w:hint="default" w:ascii="宋体" w:hAnsi="宋体" w:eastAsia="宋体" w:cs="宋体"/>
          <w:kern w:val="0"/>
          <w:sz w:val="21"/>
          <w:szCs w:val="21"/>
          <w:lang w:bidi="ar"/>
        </w:rPr>
        <w:t>GB 50016-2014（2018 年版）《建筑设计防火规范》中消防电梯的强制要求</w:t>
      </w:r>
    </w:p>
    <w:p w14:paraId="3F585E24">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val="en-US" w:eastAsia="zh-CN" w:bidi="ar"/>
        </w:rPr>
        <w:t>1</w:t>
      </w:r>
      <w:r>
        <w:rPr>
          <w:rFonts w:hint="eastAsia" w:ascii="宋体" w:hAnsi="宋体" w:cs="宋体"/>
          <w:kern w:val="0"/>
          <w:sz w:val="21"/>
          <w:szCs w:val="21"/>
          <w:lang w:val="en-US" w:eastAsia="zh-CN" w:bidi="ar"/>
        </w:rPr>
        <w:t>4</w:t>
      </w: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bidi="ar"/>
        </w:rPr>
        <w:t>用于建筑物电气装置的最新的电气工程师学会条例，及其所有修订版本。</w:t>
      </w:r>
    </w:p>
    <w:p w14:paraId="5315D2F7">
      <w:pPr>
        <w:pStyle w:val="174"/>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w:t>
      </w:r>
      <w:r>
        <w:rPr>
          <w:rFonts w:hint="eastAsia" w:ascii="宋体" w:hAnsi="宋体" w:eastAsia="宋体" w:cs="宋体"/>
          <w:kern w:val="0"/>
          <w:sz w:val="21"/>
          <w:szCs w:val="21"/>
          <w:lang w:val="en-US" w:eastAsia="zh-CN" w:bidi="ar"/>
        </w:rPr>
        <w:t>1</w:t>
      </w:r>
      <w:r>
        <w:rPr>
          <w:rFonts w:hint="eastAsia" w:ascii="宋体" w:hAnsi="宋体" w:cs="宋体"/>
          <w:kern w:val="0"/>
          <w:sz w:val="21"/>
          <w:szCs w:val="21"/>
          <w:lang w:val="en-US" w:eastAsia="zh-CN" w:bidi="ar"/>
        </w:rPr>
        <w:t>5</w:t>
      </w:r>
      <w:r>
        <w:rPr>
          <w:rFonts w:hint="eastAsia" w:ascii="宋体" w:hAnsi="宋体" w:eastAsia="宋体" w:cs="宋体"/>
          <w:kern w:val="0"/>
          <w:sz w:val="21"/>
          <w:szCs w:val="21"/>
          <w:lang w:bidi="ar"/>
        </w:rPr>
        <w:t>）其他有关的国家规定和标准。</w:t>
      </w:r>
    </w:p>
    <w:p w14:paraId="752C199D">
      <w:pPr>
        <w:pStyle w:val="174"/>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Style w:val="177"/>
          <w:rFonts w:hint="eastAsia" w:ascii="宋体" w:hAnsi="宋体" w:eastAsia="宋体" w:cs="宋体"/>
          <w:color w:val="auto"/>
          <w:sz w:val="21"/>
          <w:szCs w:val="21"/>
          <w:lang w:val="en-US" w:eastAsia="zh-CN"/>
        </w:rPr>
      </w:pPr>
      <w:r>
        <w:rPr>
          <w:rStyle w:val="42"/>
          <w:rFonts w:hint="eastAsia" w:ascii="宋体" w:hAnsi="宋体" w:eastAsia="宋体" w:cs="宋体"/>
          <w:b/>
          <w:sz w:val="21"/>
          <w:szCs w:val="21"/>
          <w:highlight w:val="white"/>
          <w:lang w:val="en-US" w:eastAsia="zh-CN"/>
        </w:rPr>
        <w:t>六、其他</w:t>
      </w:r>
    </w:p>
    <w:p w14:paraId="7C91371F">
      <w:pPr>
        <w:pStyle w:val="115"/>
        <w:spacing w:line="480" w:lineRule="auto"/>
        <w:ind w:firstLine="420" w:firstLineChars="200"/>
        <w:jc w:val="left"/>
        <w:rPr>
          <w:rStyle w:val="177"/>
          <w:rFonts w:hint="eastAsia" w:ascii="宋体" w:hAnsi="宋体" w:eastAsia="宋体" w:cs="宋体"/>
          <w:color w:val="auto"/>
          <w:sz w:val="21"/>
          <w:szCs w:val="21"/>
          <w:lang w:val="en-US" w:eastAsia="zh-CN"/>
        </w:rPr>
      </w:pPr>
      <w:r>
        <w:rPr>
          <w:rStyle w:val="177"/>
          <w:rFonts w:hint="eastAsia" w:ascii="宋体" w:hAnsi="宋体" w:eastAsia="宋体" w:cs="宋体"/>
          <w:kern w:val="2"/>
          <w:sz w:val="21"/>
          <w:szCs w:val="21"/>
          <w:lang w:val="en-US" w:eastAsia="zh-CN" w:bidi="ar-SA"/>
        </w:rPr>
        <w:t>投标人</w:t>
      </w:r>
      <w:r>
        <w:rPr>
          <w:rStyle w:val="177"/>
          <w:rFonts w:hint="eastAsia" w:ascii="宋体" w:hAnsi="宋体" w:eastAsia="宋体" w:cs="宋体"/>
          <w:color w:val="auto"/>
          <w:sz w:val="21"/>
          <w:szCs w:val="21"/>
          <w:lang w:val="en-US" w:eastAsia="zh-CN"/>
        </w:rPr>
        <w:t>需根据采购需求提供针对本项目的项目实施方案，方案应包括但不限于：①实施总体方案、②项目人员配备及安排、③项目进度计划及保证措施、④安装调试程序、⑤安全文明施工措施、⑥质量保证措施等内容。</w:t>
      </w:r>
    </w:p>
    <w:p w14:paraId="141FF95A">
      <w:pPr>
        <w:pStyle w:val="115"/>
        <w:spacing w:line="480" w:lineRule="auto"/>
        <w:ind w:firstLine="420" w:firstLineChars="200"/>
        <w:jc w:val="left"/>
        <w:rPr>
          <w:rStyle w:val="177"/>
          <w:rFonts w:hint="eastAsia" w:ascii="宋体" w:hAnsi="宋体" w:eastAsia="宋体" w:cs="宋体"/>
          <w:color w:val="auto"/>
          <w:sz w:val="21"/>
          <w:szCs w:val="21"/>
          <w:lang w:val="en-US" w:eastAsia="zh-CN"/>
        </w:rPr>
      </w:pPr>
    </w:p>
    <w:p w14:paraId="15DADA07">
      <w:pPr>
        <w:pStyle w:val="174"/>
        <w:widowControl/>
        <w:jc w:val="center"/>
        <w:rPr>
          <w:rStyle w:val="42"/>
          <w:rFonts w:hint="eastAsia" w:ascii="黑体" w:hAnsi="黑体" w:eastAsia="黑体" w:cs="黑体"/>
          <w:b/>
          <w:bCs/>
          <w:color w:val="auto"/>
          <w:spacing w:val="30"/>
          <w:kern w:val="0"/>
          <w:sz w:val="28"/>
          <w:szCs w:val="28"/>
          <w:lang w:val="en-US" w:eastAsia="zh-CN" w:bidi="ar-SA"/>
        </w:rPr>
      </w:pPr>
    </w:p>
    <w:p w14:paraId="07199E13">
      <w:pPr>
        <w:pStyle w:val="174"/>
        <w:widowControl/>
        <w:jc w:val="center"/>
        <w:rPr>
          <w:rStyle w:val="42"/>
          <w:rFonts w:hint="eastAsia" w:ascii="黑体" w:hAnsi="黑体" w:eastAsia="黑体" w:cs="黑体"/>
          <w:b/>
          <w:bCs/>
          <w:color w:val="auto"/>
          <w:spacing w:val="30"/>
          <w:kern w:val="0"/>
          <w:sz w:val="28"/>
          <w:szCs w:val="28"/>
          <w:lang w:val="en-US" w:eastAsia="zh-CN" w:bidi="ar-SA"/>
        </w:rPr>
      </w:pPr>
    </w:p>
    <w:p w14:paraId="66EC6E59">
      <w:pPr>
        <w:pStyle w:val="174"/>
        <w:widowControl/>
        <w:jc w:val="center"/>
        <w:rPr>
          <w:rStyle w:val="42"/>
          <w:rFonts w:hint="eastAsia" w:ascii="黑体" w:hAnsi="黑体" w:eastAsia="黑体" w:cs="黑体"/>
          <w:b/>
          <w:bCs/>
          <w:color w:val="auto"/>
          <w:spacing w:val="30"/>
          <w:kern w:val="0"/>
          <w:sz w:val="28"/>
          <w:szCs w:val="28"/>
          <w:lang w:val="en-US" w:eastAsia="zh-CN" w:bidi="ar-SA"/>
        </w:rPr>
      </w:pPr>
    </w:p>
    <w:p w14:paraId="02B3DB5E">
      <w:pPr>
        <w:pStyle w:val="174"/>
        <w:widowControl/>
        <w:jc w:val="center"/>
        <w:rPr>
          <w:rStyle w:val="42"/>
          <w:rFonts w:hint="eastAsia" w:ascii="黑体" w:hAnsi="黑体" w:eastAsia="黑体" w:cs="黑体"/>
          <w:b/>
          <w:bCs/>
          <w:color w:val="auto"/>
          <w:spacing w:val="30"/>
          <w:kern w:val="0"/>
          <w:sz w:val="28"/>
          <w:szCs w:val="28"/>
          <w:lang w:val="en-US" w:eastAsia="zh-CN" w:bidi="ar-SA"/>
        </w:rPr>
      </w:pPr>
    </w:p>
    <w:p w14:paraId="66B32E40">
      <w:pPr>
        <w:pStyle w:val="174"/>
        <w:widowControl/>
        <w:jc w:val="center"/>
        <w:rPr>
          <w:rStyle w:val="42"/>
          <w:rFonts w:hint="eastAsia" w:ascii="黑体" w:hAnsi="黑体" w:eastAsia="黑体" w:cs="黑体"/>
          <w:b/>
          <w:bCs/>
          <w:color w:val="auto"/>
          <w:spacing w:val="30"/>
          <w:kern w:val="0"/>
          <w:sz w:val="28"/>
          <w:szCs w:val="28"/>
          <w:lang w:val="en-US" w:eastAsia="zh-CN" w:bidi="ar-SA"/>
        </w:rPr>
      </w:pPr>
    </w:p>
    <w:p w14:paraId="41A12FE0">
      <w:pPr>
        <w:pStyle w:val="174"/>
        <w:widowControl/>
        <w:jc w:val="center"/>
        <w:rPr>
          <w:rStyle w:val="42"/>
          <w:rFonts w:hint="eastAsia" w:ascii="黑体" w:hAnsi="黑体" w:eastAsia="黑体" w:cs="黑体"/>
          <w:b/>
          <w:bCs/>
          <w:color w:val="auto"/>
          <w:spacing w:val="30"/>
          <w:kern w:val="0"/>
          <w:sz w:val="28"/>
          <w:szCs w:val="28"/>
          <w:lang w:val="en-US" w:eastAsia="zh-CN" w:bidi="ar-SA"/>
        </w:rPr>
      </w:pPr>
    </w:p>
    <w:p w14:paraId="48BA17A3">
      <w:pPr>
        <w:pStyle w:val="174"/>
        <w:widowControl/>
        <w:jc w:val="center"/>
        <w:rPr>
          <w:rStyle w:val="42"/>
          <w:rFonts w:hint="eastAsia" w:ascii="黑体" w:hAnsi="黑体" w:eastAsia="黑体" w:cs="黑体"/>
          <w:b/>
          <w:bCs/>
          <w:color w:val="auto"/>
          <w:spacing w:val="30"/>
          <w:kern w:val="0"/>
          <w:sz w:val="28"/>
          <w:szCs w:val="28"/>
          <w:lang w:val="en-US" w:eastAsia="zh-CN" w:bidi="ar-SA"/>
        </w:rPr>
      </w:pPr>
    </w:p>
    <w:p w14:paraId="2412E36C">
      <w:pPr>
        <w:pStyle w:val="174"/>
        <w:widowControl/>
        <w:jc w:val="center"/>
        <w:rPr>
          <w:rStyle w:val="42"/>
          <w:rFonts w:hint="eastAsia" w:ascii="黑体" w:hAnsi="黑体" w:eastAsia="黑体" w:cs="黑体"/>
          <w:b/>
          <w:bCs/>
          <w:color w:val="auto"/>
          <w:spacing w:val="30"/>
          <w:kern w:val="0"/>
          <w:sz w:val="28"/>
          <w:szCs w:val="28"/>
          <w:lang w:val="en-US" w:eastAsia="zh-CN" w:bidi="ar-SA"/>
        </w:rPr>
      </w:pPr>
    </w:p>
    <w:p w14:paraId="4071B020">
      <w:pPr>
        <w:pStyle w:val="174"/>
        <w:widowControl/>
        <w:jc w:val="center"/>
        <w:rPr>
          <w:rStyle w:val="42"/>
          <w:rFonts w:hint="eastAsia" w:ascii="黑体" w:hAnsi="黑体" w:eastAsia="黑体" w:cs="黑体"/>
          <w:b/>
          <w:bCs/>
          <w:color w:val="auto"/>
          <w:spacing w:val="30"/>
          <w:kern w:val="0"/>
          <w:sz w:val="28"/>
          <w:szCs w:val="28"/>
          <w:lang w:val="en-US" w:eastAsia="zh-CN" w:bidi="ar-SA"/>
        </w:rPr>
      </w:pPr>
    </w:p>
    <w:p w14:paraId="789FAF2A">
      <w:pPr>
        <w:pStyle w:val="174"/>
        <w:widowControl/>
        <w:jc w:val="center"/>
        <w:rPr>
          <w:rStyle w:val="42"/>
          <w:rFonts w:hint="eastAsia" w:ascii="黑体" w:hAnsi="黑体" w:eastAsia="黑体" w:cs="黑体"/>
          <w:b/>
          <w:bCs/>
          <w:color w:val="auto"/>
          <w:spacing w:val="30"/>
          <w:kern w:val="0"/>
          <w:sz w:val="28"/>
          <w:szCs w:val="28"/>
          <w:lang w:val="en-US" w:eastAsia="zh-CN" w:bidi="ar-SA"/>
        </w:rPr>
      </w:pPr>
    </w:p>
    <w:p w14:paraId="060103FF">
      <w:pPr>
        <w:pStyle w:val="174"/>
        <w:widowControl/>
        <w:jc w:val="center"/>
        <w:rPr>
          <w:rStyle w:val="42"/>
          <w:rFonts w:hint="eastAsia" w:ascii="黑体" w:hAnsi="黑体" w:eastAsia="黑体" w:cs="黑体"/>
          <w:b/>
          <w:bCs/>
          <w:color w:val="auto"/>
          <w:spacing w:val="30"/>
          <w:kern w:val="0"/>
          <w:sz w:val="28"/>
          <w:szCs w:val="28"/>
          <w:lang w:val="en-US" w:eastAsia="zh-CN" w:bidi="ar-SA"/>
        </w:rPr>
      </w:pPr>
    </w:p>
    <w:p w14:paraId="57FF8A76">
      <w:pPr>
        <w:pStyle w:val="174"/>
        <w:widowControl/>
        <w:jc w:val="center"/>
        <w:rPr>
          <w:rStyle w:val="42"/>
          <w:rFonts w:hint="eastAsia" w:ascii="黑体" w:hAnsi="黑体" w:eastAsia="黑体" w:cs="黑体"/>
          <w:b/>
          <w:bCs/>
          <w:color w:val="auto"/>
          <w:spacing w:val="30"/>
          <w:kern w:val="0"/>
          <w:sz w:val="28"/>
          <w:szCs w:val="28"/>
          <w:lang w:val="en-US" w:eastAsia="zh-CN" w:bidi="ar-SA"/>
        </w:rPr>
      </w:pPr>
    </w:p>
    <w:p w14:paraId="42BB981A">
      <w:pPr>
        <w:pStyle w:val="174"/>
        <w:widowControl/>
        <w:jc w:val="center"/>
        <w:rPr>
          <w:rStyle w:val="42"/>
          <w:rFonts w:hint="eastAsia" w:ascii="黑体" w:hAnsi="黑体" w:eastAsia="黑体" w:cs="黑体"/>
          <w:b/>
          <w:bCs/>
          <w:color w:val="auto"/>
          <w:spacing w:val="30"/>
          <w:kern w:val="0"/>
          <w:sz w:val="28"/>
          <w:szCs w:val="28"/>
          <w:lang w:val="en-US" w:eastAsia="zh-CN" w:bidi="ar-SA"/>
        </w:rPr>
      </w:pPr>
    </w:p>
    <w:p w14:paraId="289741F7">
      <w:pPr>
        <w:pStyle w:val="174"/>
        <w:widowControl/>
        <w:jc w:val="center"/>
        <w:rPr>
          <w:rStyle w:val="42"/>
          <w:rFonts w:hint="eastAsia" w:ascii="黑体" w:hAnsi="黑体" w:eastAsia="黑体" w:cs="黑体"/>
          <w:b/>
          <w:bCs/>
          <w:color w:val="auto"/>
          <w:spacing w:val="30"/>
          <w:kern w:val="0"/>
          <w:sz w:val="28"/>
          <w:szCs w:val="28"/>
          <w:lang w:val="en-US" w:eastAsia="zh-CN" w:bidi="ar-SA"/>
        </w:rPr>
      </w:pPr>
    </w:p>
    <w:p w14:paraId="2ECE29D3">
      <w:pPr>
        <w:pStyle w:val="174"/>
        <w:widowControl/>
        <w:jc w:val="center"/>
        <w:rPr>
          <w:rStyle w:val="42"/>
          <w:rFonts w:hint="eastAsia" w:ascii="黑体" w:hAnsi="黑体" w:eastAsia="黑体" w:cs="黑体"/>
          <w:b/>
          <w:bCs/>
          <w:color w:val="auto"/>
          <w:spacing w:val="30"/>
          <w:kern w:val="0"/>
          <w:sz w:val="28"/>
          <w:szCs w:val="28"/>
          <w:lang w:val="en-US" w:eastAsia="zh-CN" w:bidi="ar-SA"/>
        </w:rPr>
      </w:pPr>
    </w:p>
    <w:p w14:paraId="20E05B0A">
      <w:pPr>
        <w:pStyle w:val="174"/>
        <w:widowControl/>
        <w:jc w:val="center"/>
        <w:rPr>
          <w:rStyle w:val="42"/>
          <w:rFonts w:hint="eastAsia" w:ascii="宋体" w:hAnsi="宋体" w:eastAsia="宋体" w:cs="宋体"/>
          <w:b/>
          <w:bCs/>
          <w:spacing w:val="30"/>
          <w:kern w:val="0"/>
          <w:sz w:val="21"/>
          <w:szCs w:val="21"/>
        </w:rPr>
      </w:pPr>
      <w:r>
        <w:rPr>
          <w:rStyle w:val="42"/>
          <w:rFonts w:hint="eastAsia" w:ascii="黑体" w:hAnsi="黑体" w:eastAsia="黑体" w:cs="黑体"/>
          <w:b/>
          <w:bCs/>
          <w:color w:val="auto"/>
          <w:spacing w:val="30"/>
          <w:kern w:val="0"/>
          <w:sz w:val="28"/>
          <w:szCs w:val="28"/>
          <w:lang w:val="en-US" w:eastAsia="zh-CN" w:bidi="ar-SA"/>
        </w:rPr>
        <w:t>第二节 商务要求</w:t>
      </w:r>
    </w:p>
    <w:p w14:paraId="3B344A66">
      <w:pPr>
        <w:pStyle w:val="174"/>
        <w:widowControl/>
        <w:spacing w:line="360" w:lineRule="auto"/>
        <w:jc w:val="left"/>
        <w:rPr>
          <w:rStyle w:val="42"/>
          <w:rFonts w:hint="eastAsia" w:ascii="宋体" w:hAnsi="宋体" w:eastAsia="宋体" w:cs="宋体"/>
          <w:b/>
          <w:kern w:val="0"/>
          <w:sz w:val="21"/>
          <w:szCs w:val="21"/>
        </w:rPr>
      </w:pPr>
      <w:r>
        <w:rPr>
          <w:rStyle w:val="42"/>
          <w:rFonts w:hint="eastAsia" w:ascii="宋体" w:hAnsi="宋体" w:eastAsia="宋体" w:cs="宋体"/>
          <w:b/>
          <w:spacing w:val="30"/>
          <w:kern w:val="0"/>
          <w:sz w:val="21"/>
          <w:szCs w:val="21"/>
        </w:rPr>
        <w:t>一</w:t>
      </w:r>
      <w:r>
        <w:rPr>
          <w:rStyle w:val="42"/>
          <w:rFonts w:hint="eastAsia" w:ascii="宋体" w:hAnsi="宋体" w:eastAsia="宋体" w:cs="宋体"/>
          <w:b/>
          <w:spacing w:val="30"/>
          <w:kern w:val="0"/>
          <w:sz w:val="21"/>
          <w:szCs w:val="21"/>
          <w:lang w:eastAsia="zh-CN"/>
        </w:rPr>
        <w:t>、</w:t>
      </w:r>
      <w:r>
        <w:rPr>
          <w:rStyle w:val="42"/>
          <w:rFonts w:hint="eastAsia" w:ascii="宋体" w:hAnsi="宋体" w:eastAsia="宋体" w:cs="宋体"/>
          <w:b/>
          <w:spacing w:val="30"/>
          <w:kern w:val="0"/>
          <w:sz w:val="21"/>
          <w:szCs w:val="21"/>
        </w:rPr>
        <w:t>主要商务要求</w:t>
      </w:r>
    </w:p>
    <w:tbl>
      <w:tblPr>
        <w:tblStyle w:val="40"/>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2972"/>
        <w:gridCol w:w="6099"/>
      </w:tblGrid>
      <w:tr w14:paraId="4AB65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9" w:hRule="atLeast"/>
          <w:jc w:val="center"/>
        </w:trPr>
        <w:tc>
          <w:tcPr>
            <w:tcW w:w="2972" w:type="dxa"/>
            <w:noWrap w:val="0"/>
            <w:tcMar>
              <w:top w:w="0" w:type="dxa"/>
              <w:left w:w="108" w:type="dxa"/>
              <w:bottom w:w="0" w:type="dxa"/>
              <w:right w:w="108" w:type="dxa"/>
            </w:tcMar>
            <w:vAlign w:val="center"/>
          </w:tcPr>
          <w:p w14:paraId="2883D22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eastAsia="zh-CN"/>
              </w:rPr>
              <w:t>履行合同的时间、地点及方式</w:t>
            </w:r>
          </w:p>
        </w:tc>
        <w:tc>
          <w:tcPr>
            <w:tcW w:w="6099" w:type="dxa"/>
            <w:noWrap w:val="0"/>
            <w:tcMar>
              <w:top w:w="0" w:type="dxa"/>
              <w:left w:w="108" w:type="dxa"/>
              <w:bottom w:w="0" w:type="dxa"/>
              <w:right w:w="108" w:type="dxa"/>
            </w:tcMar>
            <w:vAlign w:val="center"/>
          </w:tcPr>
          <w:p w14:paraId="68139C61">
            <w:pPr>
              <w:keepNext w:val="0"/>
              <w:keepLines w:val="0"/>
              <w:pageBreakBefore w:val="0"/>
              <w:numPr>
                <w:ilvl w:val="0"/>
                <w:numId w:val="0"/>
              </w:numPr>
              <w:kinsoku/>
              <w:wordWrap/>
              <w:overflowPunct/>
              <w:topLinePunct w:val="0"/>
              <w:autoSpaceDE/>
              <w:autoSpaceDN/>
              <w:bidi w:val="0"/>
              <w:adjustRightInd/>
              <w:snapToGrid/>
              <w:spacing w:line="400" w:lineRule="exact"/>
              <w:textAlignment w:val="auto"/>
              <w:rPr>
                <w:rFonts w:hint="eastAsia" w:ascii="Arial" w:hAnsi="Arial" w:eastAsia="宋体" w:cs="Arial"/>
                <w:i w:val="0"/>
                <w:iCs w:val="0"/>
                <w:caps w:val="0"/>
                <w:color w:val="333333"/>
                <w:spacing w:val="0"/>
                <w:sz w:val="19"/>
                <w:szCs w:val="19"/>
                <w:shd w:val="clear" w:fill="FFFFFF"/>
                <w:lang w:val="en-US" w:eastAsia="zh-CN"/>
              </w:rPr>
            </w:pPr>
            <w:r>
              <w:rPr>
                <w:rFonts w:hint="eastAsia" w:ascii="Arial" w:hAnsi="Arial" w:eastAsia="宋体" w:cs="Arial"/>
                <w:i w:val="0"/>
                <w:iCs w:val="0"/>
                <w:caps w:val="0"/>
                <w:color w:val="333333"/>
                <w:spacing w:val="0"/>
                <w:kern w:val="2"/>
                <w:sz w:val="19"/>
                <w:szCs w:val="19"/>
                <w:shd w:val="clear" w:fill="FFFFFF"/>
                <w:lang w:val="en-US" w:eastAsia="zh-CN" w:bidi="ar-SA"/>
              </w:rPr>
              <w:t>1、</w:t>
            </w:r>
            <w:r>
              <w:rPr>
                <w:rFonts w:ascii="Arial" w:hAnsi="Arial" w:eastAsia="宋体" w:cs="Arial"/>
                <w:i w:val="0"/>
                <w:iCs w:val="0"/>
                <w:caps w:val="0"/>
                <w:color w:val="333333"/>
                <w:spacing w:val="0"/>
                <w:sz w:val="19"/>
                <w:szCs w:val="19"/>
                <w:shd w:val="clear" w:fill="FFFFFF"/>
              </w:rPr>
              <w:t xml:space="preserve">合同签订后 </w:t>
            </w:r>
            <w:r>
              <w:rPr>
                <w:rFonts w:hint="eastAsia" w:ascii="Arial" w:hAnsi="Arial" w:cs="Arial"/>
                <w:i w:val="0"/>
                <w:iCs w:val="0"/>
                <w:caps w:val="0"/>
                <w:color w:val="333333"/>
                <w:spacing w:val="0"/>
                <w:sz w:val="19"/>
                <w:szCs w:val="19"/>
                <w:shd w:val="clear" w:fill="FFFFFF"/>
                <w:lang w:val="en-US" w:eastAsia="zh-CN"/>
              </w:rPr>
              <w:t>90</w:t>
            </w:r>
            <w:r>
              <w:rPr>
                <w:rFonts w:ascii="Arial" w:hAnsi="Arial" w:eastAsia="宋体" w:cs="Arial"/>
                <w:i w:val="0"/>
                <w:iCs w:val="0"/>
                <w:caps w:val="0"/>
                <w:color w:val="333333"/>
                <w:spacing w:val="0"/>
                <w:sz w:val="19"/>
                <w:szCs w:val="19"/>
                <w:shd w:val="clear" w:fill="FFFFFF"/>
              </w:rPr>
              <w:t xml:space="preserve"> 天内完成安装调试并取得《特种设备（电梯）使用标志》</w:t>
            </w:r>
            <w:r>
              <w:rPr>
                <w:rFonts w:hint="eastAsia" w:ascii="Arial" w:hAnsi="Arial" w:eastAsia="宋体" w:cs="Arial"/>
                <w:i w:val="0"/>
                <w:iCs w:val="0"/>
                <w:caps w:val="0"/>
                <w:color w:val="333333"/>
                <w:spacing w:val="0"/>
                <w:sz w:val="19"/>
                <w:szCs w:val="19"/>
                <w:shd w:val="clear" w:fill="FFFFFF"/>
                <w:lang w:val="en-US" w:eastAsia="zh-CN"/>
              </w:rPr>
              <w:t>并交付使用。</w:t>
            </w:r>
          </w:p>
          <w:p w14:paraId="0998AA8F">
            <w:pPr>
              <w:keepNext w:val="0"/>
              <w:keepLines w:val="0"/>
              <w:pageBreakBefore w:val="0"/>
              <w:numPr>
                <w:ilvl w:val="0"/>
                <w:numId w:val="0"/>
              </w:numPr>
              <w:kinsoku/>
              <w:wordWrap/>
              <w:overflowPunct/>
              <w:topLinePunct w:val="0"/>
              <w:autoSpaceDE/>
              <w:autoSpaceDN/>
              <w:bidi w:val="0"/>
              <w:adjustRightInd/>
              <w:snapToGrid/>
              <w:spacing w:line="400" w:lineRule="exact"/>
              <w:textAlignment w:val="auto"/>
              <w:rPr>
                <w:rFonts w:hint="eastAsia" w:ascii="Arial" w:hAnsi="Arial" w:eastAsia="宋体" w:cs="Arial"/>
                <w:i w:val="0"/>
                <w:iCs w:val="0"/>
                <w:caps w:val="0"/>
                <w:color w:val="333333"/>
                <w:spacing w:val="0"/>
                <w:sz w:val="19"/>
                <w:szCs w:val="19"/>
                <w:shd w:val="clear" w:fill="FFFFFF"/>
                <w:lang w:val="en-US" w:eastAsia="zh-CN"/>
              </w:rPr>
            </w:pPr>
            <w:r>
              <w:rPr>
                <w:rFonts w:hint="eastAsia" w:ascii="宋体" w:hAnsi="宋体" w:eastAsia="宋体" w:cs="宋体"/>
                <w:color w:val="auto"/>
                <w:kern w:val="0"/>
                <w:sz w:val="21"/>
                <w:szCs w:val="21"/>
                <w:lang w:eastAsia="zh-CN"/>
              </w:rPr>
              <w:t>履行合同的时间</w:t>
            </w:r>
            <w:r>
              <w:rPr>
                <w:rFonts w:hint="eastAsia" w:ascii="宋体" w:hAnsi="宋体" w:eastAsia="宋体" w:cs="宋体"/>
                <w:color w:val="auto"/>
                <w:kern w:val="0"/>
                <w:sz w:val="21"/>
                <w:szCs w:val="21"/>
                <w:lang w:val="en-US" w:eastAsia="zh-CN"/>
              </w:rPr>
              <w:t>节点：1.</w:t>
            </w:r>
            <w:r>
              <w:rPr>
                <w:rFonts w:hint="eastAsia" w:ascii="Arial" w:hAnsi="Arial" w:eastAsia="宋体" w:cs="Arial"/>
                <w:i w:val="0"/>
                <w:iCs w:val="0"/>
                <w:caps w:val="0"/>
                <w:color w:val="333333"/>
                <w:spacing w:val="0"/>
                <w:sz w:val="19"/>
                <w:szCs w:val="19"/>
                <w:shd w:val="clear" w:fill="FFFFFF"/>
                <w:lang w:val="en-US" w:eastAsia="zh-CN"/>
              </w:rPr>
              <w:t>合同签订后 30 天内：完成设备生产并发货；</w:t>
            </w:r>
          </w:p>
          <w:p w14:paraId="53D09984">
            <w:pPr>
              <w:keepNext w:val="0"/>
              <w:keepLines w:val="0"/>
              <w:pageBreakBefore w:val="0"/>
              <w:numPr>
                <w:ilvl w:val="0"/>
                <w:numId w:val="0"/>
              </w:numPr>
              <w:kinsoku/>
              <w:wordWrap/>
              <w:overflowPunct/>
              <w:topLinePunct w:val="0"/>
              <w:autoSpaceDE/>
              <w:autoSpaceDN/>
              <w:bidi w:val="0"/>
              <w:adjustRightInd/>
              <w:snapToGrid/>
              <w:spacing w:line="400" w:lineRule="exact"/>
              <w:textAlignment w:val="auto"/>
              <w:rPr>
                <w:rFonts w:hint="eastAsia" w:ascii="Arial" w:hAnsi="Arial" w:eastAsia="宋体" w:cs="Arial"/>
                <w:i w:val="0"/>
                <w:iCs w:val="0"/>
                <w:caps w:val="0"/>
                <w:color w:val="333333"/>
                <w:spacing w:val="0"/>
                <w:sz w:val="19"/>
                <w:szCs w:val="19"/>
                <w:shd w:val="clear" w:fill="FFFFFF"/>
                <w:lang w:val="en-US" w:eastAsia="zh-CN"/>
              </w:rPr>
            </w:pPr>
            <w:r>
              <w:rPr>
                <w:rFonts w:hint="eastAsia" w:ascii="Arial" w:hAnsi="Arial" w:eastAsia="宋体" w:cs="Arial"/>
                <w:i w:val="0"/>
                <w:iCs w:val="0"/>
                <w:caps w:val="0"/>
                <w:color w:val="333333"/>
                <w:spacing w:val="0"/>
                <w:kern w:val="2"/>
                <w:sz w:val="19"/>
                <w:szCs w:val="19"/>
                <w:shd w:val="clear" w:fill="FFFFFF"/>
                <w:lang w:val="en-US" w:eastAsia="zh-CN" w:bidi="ar-SA"/>
              </w:rPr>
              <w:t>2.</w:t>
            </w:r>
            <w:r>
              <w:rPr>
                <w:rFonts w:hint="eastAsia" w:ascii="Arial" w:hAnsi="Arial" w:eastAsia="宋体" w:cs="Arial"/>
                <w:i w:val="0"/>
                <w:iCs w:val="0"/>
                <w:caps w:val="0"/>
                <w:color w:val="333333"/>
                <w:spacing w:val="0"/>
                <w:sz w:val="19"/>
                <w:szCs w:val="19"/>
                <w:shd w:val="clear" w:fill="FFFFFF"/>
                <w:lang w:val="en-US" w:eastAsia="zh-CN"/>
              </w:rPr>
              <w:t xml:space="preserve">设备到场后 </w:t>
            </w:r>
            <w:r>
              <w:rPr>
                <w:rFonts w:hint="eastAsia" w:ascii="Arial" w:hAnsi="Arial" w:cs="Arial"/>
                <w:i w:val="0"/>
                <w:iCs w:val="0"/>
                <w:caps w:val="0"/>
                <w:color w:val="333333"/>
                <w:spacing w:val="0"/>
                <w:sz w:val="19"/>
                <w:szCs w:val="19"/>
                <w:shd w:val="clear" w:fill="FFFFFF"/>
                <w:lang w:val="en-US" w:eastAsia="zh-CN"/>
              </w:rPr>
              <w:t>30</w:t>
            </w:r>
            <w:r>
              <w:rPr>
                <w:rFonts w:hint="eastAsia" w:ascii="Arial" w:hAnsi="Arial" w:eastAsia="宋体" w:cs="Arial"/>
                <w:i w:val="0"/>
                <w:iCs w:val="0"/>
                <w:caps w:val="0"/>
                <w:color w:val="333333"/>
                <w:spacing w:val="0"/>
                <w:sz w:val="19"/>
                <w:szCs w:val="19"/>
                <w:shd w:val="clear" w:fill="FFFFFF"/>
                <w:lang w:val="en-US" w:eastAsia="zh-CN"/>
              </w:rPr>
              <w:t xml:space="preserve"> 天内：完成所有电梯安装调试；</w:t>
            </w:r>
          </w:p>
          <w:p w14:paraId="52747993">
            <w:pPr>
              <w:keepNext w:val="0"/>
              <w:keepLines w:val="0"/>
              <w:pageBreakBefore w:val="0"/>
              <w:numPr>
                <w:ilvl w:val="0"/>
                <w:numId w:val="0"/>
              </w:numPr>
              <w:kinsoku/>
              <w:wordWrap/>
              <w:overflowPunct/>
              <w:topLinePunct w:val="0"/>
              <w:autoSpaceDE/>
              <w:autoSpaceDN/>
              <w:bidi w:val="0"/>
              <w:adjustRightInd/>
              <w:snapToGrid/>
              <w:spacing w:line="400" w:lineRule="exact"/>
              <w:textAlignment w:val="auto"/>
              <w:rPr>
                <w:rFonts w:hint="eastAsia" w:ascii="Arial" w:hAnsi="Arial" w:eastAsia="宋体" w:cs="Arial"/>
                <w:i w:val="0"/>
                <w:iCs w:val="0"/>
                <w:caps w:val="0"/>
                <w:color w:val="333333"/>
                <w:spacing w:val="0"/>
                <w:sz w:val="19"/>
                <w:szCs w:val="19"/>
                <w:shd w:val="clear" w:fill="FFFFFF"/>
                <w:lang w:val="en-US" w:eastAsia="zh-CN"/>
              </w:rPr>
            </w:pPr>
            <w:r>
              <w:rPr>
                <w:rFonts w:hint="eastAsia" w:ascii="Arial" w:hAnsi="Arial" w:eastAsia="宋体" w:cs="Arial"/>
                <w:i w:val="0"/>
                <w:iCs w:val="0"/>
                <w:caps w:val="0"/>
                <w:color w:val="333333"/>
                <w:spacing w:val="0"/>
                <w:kern w:val="2"/>
                <w:sz w:val="19"/>
                <w:szCs w:val="19"/>
                <w:shd w:val="clear" w:fill="FFFFFF"/>
                <w:lang w:val="en-US" w:eastAsia="zh-CN" w:bidi="ar-SA"/>
              </w:rPr>
              <w:t>3.</w:t>
            </w:r>
            <w:r>
              <w:rPr>
                <w:rFonts w:hint="eastAsia" w:ascii="Arial" w:hAnsi="Arial" w:eastAsia="宋体" w:cs="Arial"/>
                <w:i w:val="0"/>
                <w:iCs w:val="0"/>
                <w:caps w:val="0"/>
                <w:color w:val="333333"/>
                <w:spacing w:val="0"/>
                <w:sz w:val="19"/>
                <w:szCs w:val="19"/>
                <w:shd w:val="clear" w:fill="FFFFFF"/>
                <w:lang w:val="en-US" w:eastAsia="zh-CN"/>
              </w:rPr>
              <w:t>安装完成后 2</w:t>
            </w:r>
            <w:r>
              <w:rPr>
                <w:rFonts w:hint="eastAsia" w:ascii="Arial" w:hAnsi="Arial" w:cs="Arial"/>
                <w:i w:val="0"/>
                <w:iCs w:val="0"/>
                <w:caps w:val="0"/>
                <w:color w:val="333333"/>
                <w:spacing w:val="0"/>
                <w:sz w:val="19"/>
                <w:szCs w:val="19"/>
                <w:shd w:val="clear" w:fill="FFFFFF"/>
                <w:lang w:val="en-US" w:eastAsia="zh-CN"/>
              </w:rPr>
              <w:t>5</w:t>
            </w:r>
            <w:r>
              <w:rPr>
                <w:rFonts w:hint="eastAsia" w:ascii="Arial" w:hAnsi="Arial" w:eastAsia="宋体" w:cs="Arial"/>
                <w:i w:val="0"/>
                <w:iCs w:val="0"/>
                <w:caps w:val="0"/>
                <w:color w:val="333333"/>
                <w:spacing w:val="0"/>
                <w:sz w:val="19"/>
                <w:szCs w:val="19"/>
                <w:shd w:val="clear" w:fill="FFFFFF"/>
                <w:lang w:val="en-US" w:eastAsia="zh-CN"/>
              </w:rPr>
              <w:t>天内：完成报检并取得《特种设备（电梯）使用标志》；</w:t>
            </w:r>
          </w:p>
          <w:p w14:paraId="5FC421FF">
            <w:pPr>
              <w:keepNext w:val="0"/>
              <w:keepLines w:val="0"/>
              <w:pageBreakBefore w:val="0"/>
              <w:numPr>
                <w:ilvl w:val="0"/>
                <w:numId w:val="0"/>
              </w:numPr>
              <w:kinsoku/>
              <w:wordWrap/>
              <w:overflowPunct/>
              <w:topLinePunct w:val="0"/>
              <w:autoSpaceDE/>
              <w:autoSpaceDN/>
              <w:bidi w:val="0"/>
              <w:adjustRightInd/>
              <w:snapToGrid/>
              <w:spacing w:line="400" w:lineRule="exact"/>
              <w:textAlignment w:val="auto"/>
              <w:rPr>
                <w:rFonts w:hint="eastAsia" w:ascii="Arial" w:hAnsi="Arial" w:eastAsia="宋体" w:cs="Arial"/>
                <w:i w:val="0"/>
                <w:iCs w:val="0"/>
                <w:caps w:val="0"/>
                <w:color w:val="333333"/>
                <w:spacing w:val="0"/>
                <w:sz w:val="19"/>
                <w:szCs w:val="19"/>
                <w:shd w:val="clear" w:fill="FFFFFF"/>
                <w:lang w:val="en-US" w:eastAsia="zh-CN"/>
              </w:rPr>
            </w:pPr>
            <w:r>
              <w:rPr>
                <w:rFonts w:hint="eastAsia" w:ascii="Arial" w:hAnsi="Arial" w:eastAsia="宋体" w:cs="Arial"/>
                <w:i w:val="0"/>
                <w:iCs w:val="0"/>
                <w:caps w:val="0"/>
                <w:color w:val="333333"/>
                <w:spacing w:val="0"/>
                <w:kern w:val="2"/>
                <w:sz w:val="19"/>
                <w:szCs w:val="19"/>
                <w:shd w:val="clear" w:fill="FFFFFF"/>
                <w:lang w:val="en-US" w:eastAsia="zh-CN" w:bidi="ar-SA"/>
              </w:rPr>
              <w:t>4.</w:t>
            </w:r>
            <w:r>
              <w:rPr>
                <w:rFonts w:hint="eastAsia" w:ascii="Arial" w:hAnsi="Arial" w:eastAsia="宋体" w:cs="Arial"/>
                <w:i w:val="0"/>
                <w:iCs w:val="0"/>
                <w:caps w:val="0"/>
                <w:color w:val="333333"/>
                <w:spacing w:val="0"/>
                <w:sz w:val="19"/>
                <w:szCs w:val="19"/>
                <w:shd w:val="clear" w:fill="FFFFFF"/>
                <w:lang w:val="en-US" w:eastAsia="zh-CN"/>
              </w:rPr>
              <w:t>取证后 5 天内：完成采购人验收</w:t>
            </w:r>
            <w:r>
              <w:rPr>
                <w:rFonts w:hint="eastAsia" w:ascii="Arial" w:hAnsi="Arial" w:cs="Arial"/>
                <w:i w:val="0"/>
                <w:iCs w:val="0"/>
                <w:caps w:val="0"/>
                <w:color w:val="333333"/>
                <w:spacing w:val="0"/>
                <w:sz w:val="19"/>
                <w:szCs w:val="19"/>
                <w:shd w:val="clear" w:fill="FFFFFF"/>
                <w:lang w:val="en-US" w:eastAsia="zh-CN"/>
              </w:rPr>
              <w:t>达到投入使用条件</w:t>
            </w:r>
            <w:r>
              <w:rPr>
                <w:rFonts w:hint="eastAsia" w:ascii="Arial" w:hAnsi="Arial" w:eastAsia="宋体" w:cs="Arial"/>
                <w:i w:val="0"/>
                <w:iCs w:val="0"/>
                <w:caps w:val="0"/>
                <w:color w:val="333333"/>
                <w:spacing w:val="0"/>
                <w:sz w:val="19"/>
                <w:szCs w:val="19"/>
                <w:shd w:val="clear" w:fill="FFFFFF"/>
                <w:lang w:val="en-US" w:eastAsia="zh-CN"/>
              </w:rPr>
              <w:t>。</w:t>
            </w:r>
          </w:p>
          <w:p w14:paraId="7F175684">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2、地点：</w:t>
            </w:r>
            <w:r>
              <w:rPr>
                <w:rFonts w:ascii="Arial" w:hAnsi="Arial" w:eastAsia="宋体" w:cs="Arial"/>
                <w:i w:val="0"/>
                <w:iCs w:val="0"/>
                <w:caps w:val="0"/>
                <w:color w:val="333333"/>
                <w:spacing w:val="0"/>
                <w:sz w:val="19"/>
                <w:szCs w:val="19"/>
                <w:shd w:val="clear" w:fill="FFFFFF"/>
              </w:rPr>
              <w:t>岳阳县城关镇天鹅路65号</w:t>
            </w:r>
            <w:r>
              <w:rPr>
                <w:rFonts w:hint="eastAsia" w:ascii="Arial" w:hAnsi="Arial" w:eastAsia="宋体" w:cs="Arial"/>
                <w:i w:val="0"/>
                <w:iCs w:val="0"/>
                <w:caps w:val="0"/>
                <w:color w:val="333333"/>
                <w:spacing w:val="0"/>
                <w:sz w:val="19"/>
                <w:szCs w:val="19"/>
                <w:shd w:val="clear" w:fill="FFFFFF"/>
                <w:lang w:val="en-US" w:eastAsia="zh-CN"/>
              </w:rPr>
              <w:t>岳阳县人民医院</w:t>
            </w:r>
            <w:r>
              <w:rPr>
                <w:rFonts w:hint="eastAsia" w:ascii="宋体" w:hAnsi="宋体" w:eastAsia="宋体" w:cs="宋体"/>
                <w:color w:val="auto"/>
                <w:kern w:val="0"/>
                <w:sz w:val="21"/>
                <w:szCs w:val="21"/>
                <w:lang w:val="en-US" w:eastAsia="zh-CN"/>
              </w:rPr>
              <w:t>（采购人指定地点）。</w:t>
            </w:r>
          </w:p>
        </w:tc>
      </w:tr>
      <w:tr w14:paraId="2F409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9" w:hRule="atLeast"/>
          <w:jc w:val="center"/>
        </w:trPr>
        <w:tc>
          <w:tcPr>
            <w:tcW w:w="2972" w:type="dxa"/>
            <w:noWrap w:val="0"/>
            <w:tcMar>
              <w:top w:w="0" w:type="dxa"/>
              <w:left w:w="108" w:type="dxa"/>
              <w:bottom w:w="0" w:type="dxa"/>
              <w:right w:w="108" w:type="dxa"/>
            </w:tcMar>
            <w:vAlign w:val="center"/>
          </w:tcPr>
          <w:p w14:paraId="207EBE1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eastAsia="zh-CN"/>
              </w:rPr>
              <w:t>质量保证期</w:t>
            </w:r>
          </w:p>
        </w:tc>
        <w:tc>
          <w:tcPr>
            <w:tcW w:w="6099" w:type="dxa"/>
            <w:noWrap w:val="0"/>
            <w:tcMar>
              <w:top w:w="0" w:type="dxa"/>
              <w:left w:w="108" w:type="dxa"/>
              <w:bottom w:w="0" w:type="dxa"/>
              <w:right w:w="108" w:type="dxa"/>
            </w:tcMar>
            <w:vAlign w:val="center"/>
          </w:tcPr>
          <w:p w14:paraId="04DEA1F8">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自安装完成并经相关部门验收并取的特种设备使用证书之日起质保</w:t>
            </w:r>
            <w:r>
              <w:rPr>
                <w:rFonts w:hint="eastAsia" w:ascii="宋体" w:hAnsi="宋体" w:eastAsia="宋体" w:cs="宋体"/>
                <w:color w:val="auto"/>
                <w:kern w:val="0"/>
                <w:sz w:val="21"/>
                <w:szCs w:val="21"/>
                <w:highlight w:val="none"/>
                <w:lang w:val="en-US" w:eastAsia="zh-CN"/>
              </w:rPr>
              <w:t>期为一年。</w:t>
            </w:r>
            <w:r>
              <w:rPr>
                <w:rFonts w:hint="eastAsia" w:ascii="宋体" w:hAnsi="宋体" w:eastAsia="宋体" w:cs="宋体"/>
                <w:color w:val="auto"/>
                <w:kern w:val="0"/>
                <w:sz w:val="21"/>
                <w:szCs w:val="21"/>
                <w:lang w:val="en-US" w:eastAsia="zh-CN"/>
              </w:rPr>
              <w:t>生产厂家或中标人质保期优于招标文件规定的，按生产厂家或中标人的质保承诺提供质保服务。</w:t>
            </w:r>
          </w:p>
        </w:tc>
      </w:tr>
      <w:tr w14:paraId="5D36D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38" w:hRule="atLeast"/>
          <w:jc w:val="center"/>
        </w:trPr>
        <w:tc>
          <w:tcPr>
            <w:tcW w:w="2972" w:type="dxa"/>
            <w:noWrap w:val="0"/>
            <w:tcMar>
              <w:top w:w="0" w:type="dxa"/>
              <w:left w:w="108" w:type="dxa"/>
              <w:bottom w:w="0" w:type="dxa"/>
              <w:right w:w="108" w:type="dxa"/>
            </w:tcMar>
            <w:vAlign w:val="center"/>
          </w:tcPr>
          <w:p w14:paraId="2676E47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响应时间</w:t>
            </w:r>
          </w:p>
        </w:tc>
        <w:tc>
          <w:tcPr>
            <w:tcW w:w="6099" w:type="dxa"/>
            <w:noWrap w:val="0"/>
            <w:tcMar>
              <w:top w:w="0" w:type="dxa"/>
              <w:left w:w="108" w:type="dxa"/>
              <w:bottom w:w="0" w:type="dxa"/>
              <w:right w:w="108" w:type="dxa"/>
            </w:tcMar>
            <w:vAlign w:val="center"/>
          </w:tcPr>
          <w:p w14:paraId="56A7B319">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1、提供 7×24 小时的故障服务受理。</w:t>
            </w:r>
          </w:p>
          <w:p w14:paraId="57AAACBA">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2、中标人接到采购人的故障通知、需要维护的电话后，30分钟以内响应，2小时内提出解决方案；紧急突发事件成交供应商需于30分钟内赶赴现场进行处置；一般故障在 24小时内排除；重大故障在48小时内排除。</w:t>
            </w:r>
          </w:p>
        </w:tc>
      </w:tr>
      <w:tr w14:paraId="1A835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80" w:hRule="atLeast"/>
          <w:jc w:val="center"/>
        </w:trPr>
        <w:tc>
          <w:tcPr>
            <w:tcW w:w="2972" w:type="dxa"/>
            <w:noWrap w:val="0"/>
            <w:tcMar>
              <w:top w:w="0" w:type="dxa"/>
              <w:left w:w="108" w:type="dxa"/>
              <w:bottom w:w="0" w:type="dxa"/>
              <w:right w:w="108" w:type="dxa"/>
            </w:tcMar>
            <w:vAlign w:val="center"/>
          </w:tcPr>
          <w:p w14:paraId="12B815D5">
            <w:pPr>
              <w:keepNext w:val="0"/>
              <w:keepLines w:val="0"/>
              <w:pageBreakBefore w:val="0"/>
              <w:widowControl/>
              <w:kinsoku/>
              <w:wordWrap/>
              <w:overflowPunct/>
              <w:topLinePunct w:val="0"/>
              <w:autoSpaceDE/>
              <w:autoSpaceDN/>
              <w:bidi w:val="0"/>
              <w:adjustRightInd/>
              <w:snapToGrid/>
              <w:spacing w:line="400" w:lineRule="exact"/>
              <w:jc w:val="center"/>
              <w:textAlignment w:val="auto"/>
              <w:rPr>
                <w:rStyle w:val="42"/>
                <w:rFonts w:hint="eastAsia" w:ascii="宋体" w:hAnsi="宋体" w:eastAsia="宋体" w:cs="宋体"/>
                <w:color w:val="auto"/>
                <w:spacing w:val="30"/>
                <w:kern w:val="0"/>
                <w:sz w:val="21"/>
                <w:szCs w:val="21"/>
              </w:rPr>
            </w:pPr>
            <w:r>
              <w:rPr>
                <w:rFonts w:hint="eastAsia" w:ascii="宋体" w:hAnsi="宋体" w:eastAsia="宋体" w:cs="宋体"/>
                <w:color w:val="auto"/>
                <w:kern w:val="0"/>
                <w:sz w:val="21"/>
                <w:szCs w:val="21"/>
                <w:lang w:val="en-US" w:eastAsia="zh-CN" w:bidi="ar"/>
              </w:rPr>
              <w:t>合同价款支付方式和条件</w:t>
            </w:r>
          </w:p>
        </w:tc>
        <w:tc>
          <w:tcPr>
            <w:tcW w:w="6099" w:type="dxa"/>
            <w:noWrap w:val="0"/>
            <w:tcMar>
              <w:top w:w="0" w:type="dxa"/>
              <w:left w:w="108" w:type="dxa"/>
              <w:bottom w:w="0" w:type="dxa"/>
              <w:right w:w="108" w:type="dxa"/>
            </w:tcMar>
            <w:vAlign w:val="center"/>
          </w:tcPr>
          <w:p w14:paraId="15FB69E6">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付款方式：设备安装调试</w:t>
            </w:r>
            <w:r>
              <w:rPr>
                <w:rFonts w:hint="eastAsia" w:ascii="宋体" w:hAnsi="宋体" w:cs="宋体"/>
                <w:color w:val="auto"/>
                <w:kern w:val="0"/>
                <w:sz w:val="21"/>
                <w:szCs w:val="21"/>
                <w:highlight w:val="none"/>
                <w:lang w:val="en-US" w:eastAsia="zh-CN" w:bidi="ar"/>
              </w:rPr>
              <w:t>完成通过采购人及相关监督单位</w:t>
            </w:r>
            <w:r>
              <w:rPr>
                <w:rFonts w:hint="eastAsia" w:ascii="宋体" w:hAnsi="宋体" w:eastAsia="宋体" w:cs="宋体"/>
                <w:color w:val="auto"/>
                <w:kern w:val="0"/>
                <w:sz w:val="21"/>
                <w:szCs w:val="21"/>
                <w:highlight w:val="none"/>
                <w:lang w:val="en-US" w:eastAsia="zh-CN" w:bidi="ar"/>
              </w:rPr>
              <w:t>验收合格并取得特种设备</w:t>
            </w:r>
            <w:r>
              <w:rPr>
                <w:rFonts w:hint="eastAsia" w:ascii="宋体" w:hAnsi="宋体" w:cs="宋体"/>
                <w:color w:val="auto"/>
                <w:kern w:val="0"/>
                <w:sz w:val="21"/>
                <w:szCs w:val="21"/>
                <w:highlight w:val="none"/>
                <w:lang w:val="en-US" w:eastAsia="zh-CN" w:bidi="ar"/>
              </w:rPr>
              <w:t>（电梯）</w:t>
            </w:r>
            <w:r>
              <w:rPr>
                <w:rFonts w:hint="eastAsia" w:ascii="宋体" w:hAnsi="宋体" w:eastAsia="宋体" w:cs="宋体"/>
                <w:color w:val="auto"/>
                <w:kern w:val="0"/>
                <w:sz w:val="21"/>
                <w:szCs w:val="21"/>
                <w:highlight w:val="none"/>
                <w:lang w:val="en-US" w:eastAsia="zh-CN" w:bidi="ar"/>
              </w:rPr>
              <w:t>使用证书后采购人向中标人支付合同金额97％，余款3％在取得特种设备</w:t>
            </w:r>
            <w:r>
              <w:rPr>
                <w:rFonts w:hint="eastAsia" w:ascii="宋体" w:hAnsi="宋体" w:cs="宋体"/>
                <w:color w:val="auto"/>
                <w:kern w:val="0"/>
                <w:sz w:val="21"/>
                <w:szCs w:val="21"/>
                <w:highlight w:val="none"/>
                <w:lang w:val="en-US" w:eastAsia="zh-CN" w:bidi="ar"/>
              </w:rPr>
              <w:t>（电梯）</w:t>
            </w:r>
            <w:r>
              <w:rPr>
                <w:rFonts w:hint="eastAsia" w:ascii="宋体" w:hAnsi="宋体" w:eastAsia="宋体" w:cs="宋体"/>
                <w:color w:val="auto"/>
                <w:kern w:val="0"/>
                <w:sz w:val="21"/>
                <w:szCs w:val="21"/>
                <w:highlight w:val="none"/>
                <w:lang w:val="en-US" w:eastAsia="zh-CN" w:bidi="ar"/>
              </w:rPr>
              <w:t>使用证书</w:t>
            </w:r>
            <w:r>
              <w:rPr>
                <w:rFonts w:hint="eastAsia" w:ascii="宋体" w:hAnsi="宋体" w:cs="宋体"/>
                <w:color w:val="auto"/>
                <w:kern w:val="0"/>
                <w:sz w:val="21"/>
                <w:szCs w:val="21"/>
                <w:highlight w:val="none"/>
                <w:lang w:val="en-US" w:eastAsia="zh-CN" w:bidi="ar"/>
              </w:rPr>
              <w:t>一年后</w:t>
            </w:r>
            <w:r>
              <w:rPr>
                <w:rFonts w:hint="eastAsia" w:ascii="宋体" w:hAnsi="宋体" w:eastAsia="宋体" w:cs="宋体"/>
                <w:color w:val="auto"/>
                <w:kern w:val="0"/>
                <w:sz w:val="21"/>
                <w:szCs w:val="21"/>
                <w:highlight w:val="none"/>
                <w:lang w:val="en-US" w:eastAsia="zh-CN" w:bidi="ar"/>
              </w:rPr>
              <w:t>无息付清</w:t>
            </w:r>
            <w:r>
              <w:rPr>
                <w:rFonts w:hint="eastAsia" w:ascii="宋体" w:hAnsi="宋体" w:cs="宋体"/>
                <w:color w:val="auto"/>
                <w:kern w:val="0"/>
                <w:sz w:val="21"/>
                <w:szCs w:val="21"/>
                <w:highlight w:val="none"/>
                <w:lang w:val="en-US" w:eastAsia="zh-CN" w:bidi="ar"/>
              </w:rPr>
              <w:t>（中标人已按约定完成所有质保服务（提供完整维保记录） 且无重大质量问题，15 日内无息付清）</w:t>
            </w:r>
            <w:r>
              <w:rPr>
                <w:rFonts w:hint="eastAsia" w:ascii="宋体" w:hAnsi="宋体" w:eastAsia="宋体" w:cs="宋体"/>
                <w:color w:val="auto"/>
                <w:kern w:val="0"/>
                <w:sz w:val="21"/>
                <w:szCs w:val="21"/>
                <w:highlight w:val="none"/>
                <w:lang w:val="en-US" w:eastAsia="zh-CN" w:bidi="ar"/>
              </w:rPr>
              <w:t>；</w:t>
            </w:r>
          </w:p>
          <w:p w14:paraId="5B4D5D0E">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highlight w:val="none"/>
                <w:lang w:val="en-US" w:eastAsia="zh-CN" w:bidi="ar"/>
              </w:rPr>
              <w:t>付款条件： 中标人应提供正式、有效、合法的税务发票, 否则采购人有权拒付。</w:t>
            </w:r>
          </w:p>
        </w:tc>
      </w:tr>
      <w:tr w14:paraId="30E51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54" w:hRule="atLeast"/>
          <w:jc w:val="center"/>
        </w:trPr>
        <w:tc>
          <w:tcPr>
            <w:tcW w:w="2972" w:type="dxa"/>
            <w:noWrap w:val="0"/>
            <w:tcMar>
              <w:top w:w="0" w:type="dxa"/>
              <w:left w:w="108" w:type="dxa"/>
              <w:bottom w:w="0" w:type="dxa"/>
              <w:right w:w="108" w:type="dxa"/>
            </w:tcMar>
            <w:vAlign w:val="center"/>
          </w:tcPr>
          <w:p w14:paraId="5F2D060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pacing w:val="30"/>
                <w:kern w:val="0"/>
                <w:sz w:val="21"/>
                <w:szCs w:val="21"/>
                <w:lang w:val="en-US" w:eastAsia="zh-CN" w:bidi="ar-SA"/>
              </w:rPr>
            </w:pPr>
            <w:r>
              <w:rPr>
                <w:rStyle w:val="42"/>
                <w:rFonts w:hint="eastAsia" w:ascii="宋体" w:hAnsi="宋体" w:eastAsia="宋体" w:cs="宋体"/>
                <w:color w:val="auto"/>
                <w:spacing w:val="30"/>
                <w:kern w:val="0"/>
                <w:sz w:val="21"/>
                <w:szCs w:val="21"/>
              </w:rPr>
              <w:t>解决争议的方式</w:t>
            </w:r>
          </w:p>
        </w:tc>
        <w:tc>
          <w:tcPr>
            <w:tcW w:w="6099" w:type="dxa"/>
            <w:noWrap w:val="0"/>
            <w:tcMar>
              <w:top w:w="0" w:type="dxa"/>
              <w:left w:w="108" w:type="dxa"/>
              <w:bottom w:w="0" w:type="dxa"/>
              <w:right w:w="108" w:type="dxa"/>
            </w:tcMar>
            <w:vAlign w:val="center"/>
          </w:tcPr>
          <w:p w14:paraId="542B620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pacing w:val="30"/>
                <w:kern w:val="0"/>
                <w:sz w:val="21"/>
                <w:szCs w:val="21"/>
                <w:lang w:val="en-US" w:eastAsia="zh-CN" w:bidi="ar-SA"/>
              </w:rPr>
            </w:pPr>
            <w:r>
              <w:rPr>
                <w:rFonts w:hint="eastAsia" w:ascii="宋体" w:hAnsi="宋体" w:eastAsia="宋体" w:cs="宋体"/>
                <w:bCs/>
                <w:color w:val="auto"/>
                <w:kern w:val="0"/>
                <w:sz w:val="21"/>
                <w:szCs w:val="21"/>
                <w:lang w:eastAsia="zh-CN"/>
              </w:rPr>
              <w:t>□</w:t>
            </w:r>
            <w:r>
              <w:rPr>
                <w:rFonts w:hint="eastAsia" w:ascii="宋体" w:hAnsi="宋体" w:eastAsia="宋体" w:cs="宋体"/>
                <w:color w:val="auto"/>
                <w:sz w:val="21"/>
                <w:szCs w:val="21"/>
              </w:rPr>
              <w:t>仲裁</w:t>
            </w:r>
            <w:r>
              <w:rPr>
                <w:rFonts w:hint="eastAsia" w:ascii="宋体" w:hAnsi="宋体" w:eastAsia="宋体" w:cs="宋体"/>
                <w:color w:val="auto"/>
                <w:sz w:val="21"/>
                <w:szCs w:val="21"/>
                <w:lang w:val="en-US" w:eastAsia="zh-CN"/>
              </w:rPr>
              <w:t xml:space="preserve">  </w:t>
            </w:r>
            <w:r>
              <w:rPr>
                <w:rFonts w:hint="eastAsia" w:ascii="宋体" w:hAnsi="宋体" w:eastAsia="宋体" w:cs="宋体"/>
                <w:bCs/>
                <w:color w:val="auto"/>
                <w:kern w:val="0"/>
                <w:sz w:val="21"/>
                <w:szCs w:val="21"/>
                <w:lang w:eastAsia="zh-CN"/>
              </w:rPr>
              <w:t>☑</w:t>
            </w:r>
            <w:r>
              <w:rPr>
                <w:rFonts w:hint="eastAsia" w:ascii="宋体" w:hAnsi="宋体" w:eastAsia="宋体" w:cs="宋体"/>
                <w:color w:val="auto"/>
                <w:sz w:val="21"/>
                <w:szCs w:val="21"/>
                <w:lang w:val="en-US" w:eastAsia="zh-CN"/>
              </w:rPr>
              <w:t>诉讼</w:t>
            </w:r>
          </w:p>
        </w:tc>
      </w:tr>
    </w:tbl>
    <w:p w14:paraId="5E5B9D84">
      <w:pPr>
        <w:rPr>
          <w:rStyle w:val="42"/>
          <w:rFonts w:hint="eastAsia" w:ascii="宋体" w:hAnsi="宋体" w:eastAsia="宋体" w:cs="宋体"/>
          <w:b/>
          <w:bCs/>
          <w:color w:val="auto"/>
          <w:spacing w:val="30"/>
          <w:kern w:val="0"/>
          <w:sz w:val="21"/>
          <w:szCs w:val="21"/>
          <w:lang w:eastAsia="zh-CN"/>
        </w:rPr>
        <w:sectPr>
          <w:pgSz w:w="12240" w:h="15840"/>
          <w:pgMar w:top="1701" w:right="1701" w:bottom="1417" w:left="1701" w:header="1003" w:footer="947" w:gutter="0"/>
          <w:pgBorders>
            <w:top w:val="none" w:sz="0" w:space="0"/>
            <w:left w:val="none" w:sz="0" w:space="0"/>
            <w:bottom w:val="none" w:sz="0" w:space="0"/>
            <w:right w:val="none" w:sz="0" w:space="0"/>
          </w:pgBorders>
          <w:pgNumType w:fmt="numberInDash"/>
          <w:cols w:space="720" w:num="1"/>
        </w:sectPr>
      </w:pPr>
    </w:p>
    <w:p w14:paraId="18DCB765">
      <w:pPr>
        <w:pStyle w:val="13"/>
        <w:keepNext w:val="0"/>
        <w:keepLines w:val="0"/>
        <w:pageBreakBefore w:val="0"/>
        <w:widowControl w:val="0"/>
        <w:numPr>
          <w:ilvl w:val="0"/>
          <w:numId w:val="0"/>
        </w:numPr>
        <w:kinsoku/>
        <w:wordWrap/>
        <w:overflowPunct/>
        <w:topLinePunct w:val="0"/>
        <w:bidi w:val="0"/>
        <w:adjustRightInd w:val="0"/>
        <w:snapToGrid/>
        <w:spacing w:line="360" w:lineRule="exact"/>
        <w:ind w:firstLine="542" w:firstLineChars="200"/>
        <w:textAlignment w:val="auto"/>
        <w:rPr>
          <w:rStyle w:val="42"/>
          <w:rFonts w:hint="eastAsia" w:ascii="宋体" w:hAnsi="宋体" w:eastAsia="宋体" w:cs="宋体"/>
          <w:b/>
          <w:bCs/>
          <w:color w:val="auto"/>
          <w:spacing w:val="30"/>
          <w:kern w:val="0"/>
          <w:sz w:val="21"/>
          <w:szCs w:val="21"/>
          <w:lang w:val="en-US" w:eastAsia="zh-CN"/>
        </w:rPr>
      </w:pPr>
      <w:r>
        <w:rPr>
          <w:rStyle w:val="42"/>
          <w:rFonts w:hint="eastAsia" w:ascii="宋体" w:hAnsi="宋体" w:eastAsia="宋体" w:cs="宋体"/>
          <w:b/>
          <w:bCs/>
          <w:color w:val="auto"/>
          <w:spacing w:val="30"/>
          <w:kern w:val="0"/>
          <w:sz w:val="21"/>
          <w:szCs w:val="21"/>
          <w:lang w:val="en-US" w:eastAsia="zh-CN"/>
        </w:rPr>
        <w:t>二、其他商务要求</w:t>
      </w:r>
    </w:p>
    <w:p w14:paraId="75B6A18E">
      <w:pPr>
        <w:pStyle w:val="13"/>
        <w:keepNext w:val="0"/>
        <w:keepLines w:val="0"/>
        <w:pageBreakBefore w:val="0"/>
        <w:widowControl w:val="0"/>
        <w:numPr>
          <w:ilvl w:val="0"/>
          <w:numId w:val="0"/>
        </w:numPr>
        <w:kinsoku/>
        <w:wordWrap/>
        <w:overflowPunct/>
        <w:topLinePunct w:val="0"/>
        <w:bidi w:val="0"/>
        <w:adjustRightInd w:val="0"/>
        <w:snapToGrid/>
        <w:spacing w:line="360" w:lineRule="exact"/>
        <w:ind w:firstLine="422" w:firstLineChars="200"/>
        <w:textAlignment w:val="auto"/>
        <w:rPr>
          <w:rFonts w:hint="eastAsia" w:ascii="宋体" w:hAnsi="宋体" w:eastAsia="宋体" w:cs="宋体"/>
          <w:b/>
          <w:bCs/>
          <w:color w:val="auto"/>
          <w:kern w:val="0"/>
          <w:sz w:val="21"/>
          <w:szCs w:val="21"/>
          <w:lang w:val="en-US" w:eastAsia="zh-CN"/>
        </w:rPr>
      </w:pPr>
      <w:r>
        <w:rPr>
          <w:rFonts w:hint="eastAsia" w:ascii="宋体" w:hAnsi="宋体" w:eastAsia="宋体" w:cs="宋体"/>
          <w:b/>
          <w:bCs/>
          <w:color w:val="auto"/>
          <w:kern w:val="0"/>
          <w:sz w:val="21"/>
          <w:szCs w:val="21"/>
          <w:lang w:val="en-US" w:eastAsia="zh-CN"/>
        </w:rPr>
        <w:t xml:space="preserve">（一）产品运输、保险及保管 </w:t>
      </w:r>
    </w:p>
    <w:p w14:paraId="180EBDEB">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1、中标人负责产品到交货地点的全部运输，包括装卸及现场搬运等。 由于搬运、装卸、吊装及运输不当造成的各种事故责任和损失由中标人承担。</w:t>
      </w:r>
    </w:p>
    <w:p w14:paraId="670CCDD6">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2、货物包装适合长途运输，做到防潮、防雨、防锈、防震，包装箱上应用中文标出装运标记。</w:t>
      </w:r>
    </w:p>
    <w:p w14:paraId="3B566626">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3、中标人应保证产品包装完整，到达指定的交货地点前未拆封。</w:t>
      </w:r>
    </w:p>
    <w:p w14:paraId="1B3F1ADC">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4、中标人负责货物在施工地点的保管，直至项目验收合格。</w:t>
      </w:r>
    </w:p>
    <w:p w14:paraId="2DB09FF4">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5、中标人应对提供的货物在运输、存放及交货过程中的毁损或灭失进行保险投保，负责其派出的安装、服务等人员的人身意外保险。</w:t>
      </w:r>
    </w:p>
    <w:p w14:paraId="411725D8">
      <w:pPr>
        <w:pStyle w:val="13"/>
        <w:keepNext w:val="0"/>
        <w:keepLines w:val="0"/>
        <w:pageBreakBefore w:val="0"/>
        <w:widowControl w:val="0"/>
        <w:numPr>
          <w:ilvl w:val="0"/>
          <w:numId w:val="0"/>
        </w:numPr>
        <w:kinsoku/>
        <w:wordWrap/>
        <w:overflowPunct/>
        <w:topLinePunct w:val="0"/>
        <w:bidi w:val="0"/>
        <w:adjustRightInd w:val="0"/>
        <w:snapToGrid/>
        <w:spacing w:line="360" w:lineRule="exact"/>
        <w:ind w:firstLine="422" w:firstLineChars="200"/>
        <w:textAlignment w:val="auto"/>
        <w:rPr>
          <w:rFonts w:hint="eastAsia" w:ascii="宋体" w:hAnsi="宋体" w:eastAsia="宋体" w:cs="宋体"/>
          <w:b/>
          <w:bCs/>
          <w:color w:val="auto"/>
          <w:kern w:val="0"/>
          <w:sz w:val="21"/>
          <w:szCs w:val="21"/>
          <w:lang w:val="en-US" w:eastAsia="zh-CN"/>
        </w:rPr>
      </w:pPr>
      <w:r>
        <w:rPr>
          <w:rFonts w:hint="eastAsia" w:ascii="宋体" w:hAnsi="宋体" w:eastAsia="宋体" w:cs="宋体"/>
          <w:b/>
          <w:bCs/>
          <w:color w:val="auto"/>
          <w:kern w:val="0"/>
          <w:sz w:val="21"/>
          <w:szCs w:val="21"/>
          <w:lang w:val="en-US" w:eastAsia="zh-CN"/>
        </w:rPr>
        <w:t>（二）施工</w:t>
      </w:r>
    </w:p>
    <w:p w14:paraId="56BA143F">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中标人须加强施工的组织管理，所有施工人员须遵守文明安全施工的有关规章制度，持证上岗。施工过程不得影响采购人的正常工作和生活。保证采购人所在单位所有人员及财产安全，若发生任何安全事故均由中标人负责。</w:t>
      </w:r>
    </w:p>
    <w:p w14:paraId="2DF59F27">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2、由中标人负责在用户现场进行电梯的整机安装、调试及试运行。安装为全包工程（包括运输卸车、搭井道脚手架、预埋件等与电梯安全运行的全部工作）。</w:t>
      </w:r>
    </w:p>
    <w:p w14:paraId="768B1324">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3、在签订合同之日起，应对施工现场进行策划，拿出设计方案、施工计划、并开始组织施工（前期预留、预埋件施工），需要进行整改的方案应提前向采购人提出申请审批，不得影响施工进度。</w:t>
      </w:r>
    </w:p>
    <w:p w14:paraId="391277CC">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4、中标人在与采购人签订合同后10天内在施工前应仔细核对电梯井道相关数据及现场实际土建条件是否满足电梯相关规范要求，如发现电梯井道、底坑深度、缓冲装置、机房高度、吊钩、安全门、井道隔障设置等在建筑或结构方面存在问题，应及时给予书面意见提出，并提供解决措施以便采购人参考；若中标人未提出复核异议或已签字确认土建合格或符合电梯安装条件，在进场施工后， 再发现上述方面存在问题，不能满足电梯相关规范要求和验收要求，需要土建整改或改造，其费用及责任由中标人承担。</w:t>
      </w:r>
    </w:p>
    <w:p w14:paraId="2AA66FCF">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5、中标人须按采购人的需求做好洞口拆除（若有装饰）、恢复装饰工作；洞口尺寸、位置及门洞装饰材料规格等由中标人负责提交报告，施工过程由采购人负责验收确认，未按采购人的需求进行施工或未经采购人验收确认所造成的损失由中标人承担。</w:t>
      </w:r>
    </w:p>
    <w:p w14:paraId="45735A07">
      <w:pPr>
        <w:pStyle w:val="13"/>
        <w:keepNext w:val="0"/>
        <w:keepLines w:val="0"/>
        <w:pageBreakBefore w:val="0"/>
        <w:widowControl w:val="0"/>
        <w:numPr>
          <w:ilvl w:val="0"/>
          <w:numId w:val="0"/>
        </w:numPr>
        <w:kinsoku/>
        <w:wordWrap/>
        <w:overflowPunct/>
        <w:topLinePunct w:val="0"/>
        <w:bidi w:val="0"/>
        <w:adjustRightInd w:val="0"/>
        <w:snapToGrid/>
        <w:spacing w:line="360" w:lineRule="exact"/>
        <w:ind w:firstLine="422" w:firstLineChars="200"/>
        <w:textAlignment w:val="auto"/>
        <w:rPr>
          <w:rFonts w:hint="eastAsia" w:ascii="宋体" w:hAnsi="宋体" w:eastAsia="宋体" w:cs="宋体"/>
          <w:b/>
          <w:bCs/>
          <w:color w:val="auto"/>
          <w:kern w:val="0"/>
          <w:sz w:val="21"/>
          <w:szCs w:val="21"/>
          <w:lang w:val="en-US" w:eastAsia="zh-CN"/>
        </w:rPr>
      </w:pPr>
      <w:r>
        <w:rPr>
          <w:rFonts w:hint="eastAsia" w:ascii="宋体" w:hAnsi="宋体" w:eastAsia="宋体" w:cs="宋体"/>
          <w:b/>
          <w:bCs/>
          <w:color w:val="auto"/>
          <w:kern w:val="0"/>
          <w:sz w:val="21"/>
          <w:szCs w:val="21"/>
          <w:lang w:val="en-US" w:eastAsia="zh-CN"/>
        </w:rPr>
        <w:t xml:space="preserve">（三）安装调试 </w:t>
      </w:r>
    </w:p>
    <w:p w14:paraId="6A433905">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中标人须负责所有设备的安装调试，在项目安装过程中须加强项目实施的组织管理，派人跟踪产品的安装和调试，直到达到功能、性能等技术要求、能正常运行为止，其费用由成交供应商负担，费用计入投标总价。所有人员应遵守采购人有关规章制度。</w:t>
      </w:r>
    </w:p>
    <w:p w14:paraId="426E2306">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2、开始安装以前，成交供应商提供投标设备的主要配置清单，详细列出设备的名称、规格、型号、原产地等。</w:t>
      </w:r>
    </w:p>
    <w:p w14:paraId="7454FC13">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3、安装所用的工具、设备、材料由安装队伍自备及自费运到安装场地，进场后进行必要的性能安全检查，完工后从安装场地自费搬出运走，安装所用的材料及工具由采购人提供场所存放并由安装队伍自行保管，不得随便存放，以免造成不必要的丢失、损坏。采购人或大楼总承包单位提供临时水源电源(水电费由成交供应商承担)，其它由安装队伍负责。</w:t>
      </w:r>
    </w:p>
    <w:p w14:paraId="749A7813">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4、电梯安装、调试完毕后，负责办理电梯的有关报检手续，通过国家核准的电梯检验机构检验合格，并取得《特种设备（电梯）使用标志》。</w:t>
      </w:r>
    </w:p>
    <w:p w14:paraId="0F92B3F3">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5、中标人必须提供电梯的全中文技术资料及图纸，并负责免费培训采购人的操作保养人员2 名。培训至操作维修人员能够熟练、正确使用，操作维修人员能排除一般故障。</w:t>
      </w:r>
    </w:p>
    <w:p w14:paraId="0B83A2D9">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6、中标人在施工、安装、调试等全过程中接受采购人的监督。</w:t>
      </w:r>
    </w:p>
    <w:p w14:paraId="2596A6EE">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7、五方通话：电梯五方通话是指电梯对讲系统中管理中心主机、电梯轿厢、电梯机房分机、电梯顶部、电梯井道底部五方之间进行的通话。用于解决困人问题，以及平时电梯保养维修时各部位的沟通连接。五方通话设备供应及安装调试由中标人负责，其中电梯机房至采购人指定的控制室管线敷设由中标人负责，中标人将通讯电缆规格型号以书面形式提交采购人。</w:t>
      </w:r>
    </w:p>
    <w:p w14:paraId="00A47A7A">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 xml:space="preserve">8、项目完成后，中标人应将项目有关的全部资料，包括产品资料、出厂合格证等移交采购人。 </w:t>
      </w:r>
    </w:p>
    <w:p w14:paraId="0D1C6B26">
      <w:pPr>
        <w:pStyle w:val="13"/>
        <w:keepNext w:val="0"/>
        <w:keepLines w:val="0"/>
        <w:pageBreakBefore w:val="0"/>
        <w:widowControl w:val="0"/>
        <w:numPr>
          <w:ilvl w:val="0"/>
          <w:numId w:val="0"/>
        </w:numPr>
        <w:kinsoku/>
        <w:wordWrap/>
        <w:overflowPunct/>
        <w:topLinePunct w:val="0"/>
        <w:bidi w:val="0"/>
        <w:adjustRightInd w:val="0"/>
        <w:snapToGrid/>
        <w:spacing w:line="360" w:lineRule="exact"/>
        <w:ind w:firstLine="422" w:firstLineChars="200"/>
        <w:textAlignment w:val="auto"/>
        <w:rPr>
          <w:rFonts w:hint="eastAsia" w:ascii="宋体" w:hAnsi="宋体" w:eastAsia="宋体" w:cs="宋体"/>
          <w:b/>
          <w:bCs/>
          <w:color w:val="auto"/>
          <w:kern w:val="0"/>
          <w:sz w:val="21"/>
          <w:szCs w:val="21"/>
          <w:lang w:val="en-US" w:eastAsia="zh-CN"/>
        </w:rPr>
      </w:pPr>
      <w:r>
        <w:rPr>
          <w:rFonts w:hint="eastAsia" w:ascii="宋体" w:hAnsi="宋体" w:eastAsia="宋体" w:cs="宋体"/>
          <w:b/>
          <w:bCs/>
          <w:color w:val="auto"/>
          <w:kern w:val="0"/>
          <w:sz w:val="21"/>
          <w:szCs w:val="21"/>
          <w:lang w:val="en-US" w:eastAsia="zh-CN"/>
        </w:rPr>
        <w:t>（四）质保期及质量要求</w:t>
      </w:r>
    </w:p>
    <w:p w14:paraId="002F9182">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1、本项目质保期为一年，自项目整体验收合格并</w:t>
      </w:r>
      <w:r>
        <w:rPr>
          <w:rFonts w:hint="eastAsia" w:ascii="宋体" w:hAnsi="宋体" w:eastAsia="宋体" w:cs="宋体"/>
          <w:color w:val="auto"/>
          <w:kern w:val="0"/>
          <w:sz w:val="21"/>
          <w:szCs w:val="21"/>
          <w:highlight w:val="none"/>
          <w:lang w:val="en-US" w:eastAsia="zh-CN" w:bidi="ar"/>
        </w:rPr>
        <w:t>取得特种设</w:t>
      </w:r>
      <w:r>
        <w:rPr>
          <w:rFonts w:hint="eastAsia" w:ascii="宋体" w:hAnsi="宋体" w:eastAsia="宋体" w:cs="宋体"/>
          <w:color w:val="auto"/>
          <w:kern w:val="0"/>
          <w:sz w:val="21"/>
          <w:szCs w:val="21"/>
          <w:lang w:val="en-US" w:eastAsia="zh-CN"/>
        </w:rPr>
        <w:t>备（电梯）使用证书后签字之日起计算。</w:t>
      </w:r>
      <w:r>
        <w:rPr>
          <w:rFonts w:hint="eastAsia" w:ascii="宋体" w:hAnsi="宋体" w:eastAsia="宋体" w:cs="宋体"/>
          <w:color w:val="auto"/>
          <w:kern w:val="0"/>
          <w:sz w:val="21"/>
          <w:szCs w:val="21"/>
          <w:highlight w:val="none"/>
          <w:lang w:val="en-US" w:eastAsia="zh-CN"/>
        </w:rPr>
        <w:t>质保期内所有设备维护维修等要求免费上门服务。质保期满后，采购人有权选择自行维修保养或</w:t>
      </w:r>
      <w:r>
        <w:rPr>
          <w:rFonts w:hint="eastAsia" w:ascii="宋体" w:hAnsi="宋体" w:eastAsia="宋体" w:cs="宋体"/>
          <w:color w:val="auto"/>
          <w:kern w:val="0"/>
          <w:sz w:val="21"/>
          <w:szCs w:val="21"/>
          <w:lang w:val="en-US" w:eastAsia="zh-CN"/>
        </w:rPr>
        <w:t>委托中标人继续维修保养，不管采取何种形式，中标人必须保证能及时、优惠地为采购人提供所需的零配件，并在售后服务承诺书中进行承诺。生产厂家或中标人质保期优于招标文件规定的，按生产厂家或中标人的质保承诺提供质保服务。质保期内产品如有零部件损坏或出现严重质量问题，中标人应负责免费包换、包修，中标人应无偿提供并承担全部费用。</w:t>
      </w:r>
    </w:p>
    <w:p w14:paraId="506A2BD3">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中标单位约定由制造商委托或其合作定点维保单位进行维保的应覆盖电梯维保核心环节（如故障维修、定期巡检、备件供应），维保期限须与质保期一致，委托维保的应提供合作协议书提供</w:t>
      </w:r>
      <w:r>
        <w:rPr>
          <w:rFonts w:hint="default" w:ascii="宋体" w:hAnsi="宋体" w:eastAsia="宋体" w:cs="宋体"/>
          <w:color w:val="auto"/>
          <w:kern w:val="0"/>
          <w:sz w:val="21"/>
          <w:szCs w:val="21"/>
          <w:lang w:val="en-US" w:eastAsia="zh-CN"/>
        </w:rPr>
        <w:t>有效期覆盖质保期的正式合作协议，协议中应明确维保单位名称、资质（《特种设备安装改造维修许可证》、核心服务内容（故障维修、每月 2 次定期巡检、备件供应等）、应急响应时间、违约责任及中标人连带责任条款，并附维保单位资质证书复印件（加盖中标人公章）</w:t>
      </w:r>
      <w:r>
        <w:rPr>
          <w:rFonts w:hint="eastAsia" w:ascii="宋体" w:hAnsi="宋体" w:eastAsia="宋体" w:cs="宋体"/>
          <w:color w:val="auto"/>
          <w:kern w:val="0"/>
          <w:sz w:val="21"/>
          <w:szCs w:val="21"/>
          <w:lang w:val="en-US" w:eastAsia="zh-CN"/>
        </w:rPr>
        <w:t>。</w:t>
      </w:r>
    </w:p>
    <w:p w14:paraId="7DD675AF">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若 “合作定点维保单位” 未履行服务承诺（如应急响应超时、维保质量不达标），由中标人承担连带责任，并负责维保服务事宜，不得影响项目后期维保服务。</w:t>
      </w:r>
    </w:p>
    <w:p w14:paraId="19A6F71F">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2、安装调试交付使用后,质保期内全免费上门包修，定期回访、终生维护。质保期内每月上门服务两次（检查、清洁、除尘、加油、调整）。</w:t>
      </w:r>
    </w:p>
    <w:p w14:paraId="1DFAD382">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3、中标人提供的产品应是原装正品，符合国家质量检测标准，具有出厂合格证或国家鉴定合格证。</w:t>
      </w:r>
    </w:p>
    <w:p w14:paraId="160DFB1C">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4、质保期内出现任何质量问题（人为破坏或自然灾害等不可抗力除外），由中标人负责全免费（免全部工时费、材料费、管理费、财务费等）更换或维修。质保期满后，无论采购人是否另行选择维保供应商，中标人应及时优惠提供所需的备品备件。</w:t>
      </w:r>
    </w:p>
    <w:p w14:paraId="6C69B28F">
      <w:pPr>
        <w:pStyle w:val="13"/>
        <w:keepNext w:val="0"/>
        <w:keepLines w:val="0"/>
        <w:pageBreakBefore w:val="0"/>
        <w:widowControl w:val="0"/>
        <w:numPr>
          <w:ilvl w:val="0"/>
          <w:numId w:val="0"/>
        </w:numPr>
        <w:kinsoku/>
        <w:wordWrap/>
        <w:overflowPunct/>
        <w:topLinePunct w:val="0"/>
        <w:bidi w:val="0"/>
        <w:adjustRightInd w:val="0"/>
        <w:snapToGrid/>
        <w:spacing w:line="360" w:lineRule="exact"/>
        <w:ind w:firstLine="422" w:firstLineChars="200"/>
        <w:textAlignment w:val="auto"/>
        <w:rPr>
          <w:rFonts w:hint="eastAsia" w:ascii="宋体" w:hAnsi="宋体" w:eastAsia="宋体" w:cs="宋体"/>
          <w:b/>
          <w:bCs/>
          <w:color w:val="auto"/>
          <w:kern w:val="0"/>
          <w:sz w:val="21"/>
          <w:szCs w:val="21"/>
          <w:lang w:val="en-US" w:eastAsia="zh-CN"/>
        </w:rPr>
      </w:pPr>
      <w:r>
        <w:rPr>
          <w:rFonts w:hint="eastAsia" w:ascii="宋体" w:hAnsi="宋体" w:eastAsia="宋体" w:cs="宋体"/>
          <w:b/>
          <w:bCs/>
          <w:color w:val="auto"/>
          <w:kern w:val="0"/>
          <w:sz w:val="21"/>
          <w:szCs w:val="21"/>
          <w:lang w:val="en-US" w:eastAsia="zh-CN"/>
        </w:rPr>
        <w:t xml:space="preserve">（五）测试验收 </w:t>
      </w:r>
    </w:p>
    <w:p w14:paraId="6B5E37C7">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1、投标人对所提供的产品及材料等的合法性负责。</w:t>
      </w:r>
    </w:p>
    <w:p w14:paraId="0B44A8FE">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2、验收的标准和依据：包括本采购项目的招标文件、中标人的投标文件、政府采购合同和有关国家标准与行业规范。设备及其材料的各项技术性能必须达到合同和相关技术文件规定的要求，必须符合国家和行业的有关规定和标准。</w:t>
      </w:r>
    </w:p>
    <w:p w14:paraId="7A4EE642">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3、采购人代表组织项目验收。中标人应向采购人验收代表提交验收申请，提供产品、原材料、安装调试等资料，供采购人验收时审查。验收费用由中标人承担。在验收实施过程中，允许对产品进行使用性测试，及破损性实验。测试过程中因产品质量问题造成的损失由中标人承担。 如验收不合格，中标人须更换合格货物、辅材，重新进行安装与调试，直至验收合格。</w:t>
      </w:r>
    </w:p>
    <w:p w14:paraId="5E3EA1B7">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第一次验收不合格的，中标人须在采购人出具《整改通知书》后 15 日内完成整改并申请二次验收；二次验收仍不合格的，采购人可在 7 日内书面通知中标人终止合同。终止合同后，采购人另行采购的费用超出原合同金额的部分，由中标人承担；两次验收的判定标准以本项目招标文件、中标人投标文件及国家电梯验收规范（GB 10060《电梯安装验收规范》）为准，具体不合格情形包括但不限于：安全部件检测不达标、运行噪音超标、平层精度误差超过±5mm 等。</w:t>
      </w:r>
    </w:p>
    <w:p w14:paraId="323E80E1">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4、验收过程中产生纠纷的，由质量技术监督部门或其认定的检测机构进行检测,如为中标人原因造成的，由中标人承担检测费用；否则，由采购人承担。</w:t>
      </w:r>
    </w:p>
    <w:p w14:paraId="693EAB3A">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5、投标产品、辅材和配件应有详细的原材料的产地、品牌来源、材质性能介绍、参数描述,采购人应在收到中标人提交的原材料证明材料后 7 日内完成核实，如需中标人补充材料，应一次性书面告知；中标人应在 10 日内提供补充材料（若有进口配件可延长至 15 日）。因中标人无法提供有效证明导致无法核实的，采购人可拒绝接收；因采购人无故拖延核实导致验收延误的，责任由采购人承担。</w:t>
      </w:r>
    </w:p>
    <w:p w14:paraId="577EE292">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b/>
          <w:bCs/>
          <w:color w:val="auto"/>
          <w:kern w:val="0"/>
          <w:sz w:val="21"/>
          <w:szCs w:val="21"/>
          <w:lang w:val="en-US" w:eastAsia="zh-CN"/>
        </w:rPr>
      </w:pPr>
      <w:r>
        <w:rPr>
          <w:rFonts w:hint="eastAsia" w:ascii="宋体" w:hAnsi="宋体" w:eastAsia="宋体" w:cs="宋体"/>
          <w:color w:val="auto"/>
          <w:kern w:val="0"/>
          <w:sz w:val="21"/>
          <w:szCs w:val="21"/>
          <w:lang w:val="en-US" w:eastAsia="zh-CN"/>
        </w:rPr>
        <w:t>6、项目验收合格，出具验收报告，验收报告作为申请付款的凭证之一。</w:t>
      </w:r>
    </w:p>
    <w:p w14:paraId="65D43EE7">
      <w:pPr>
        <w:pStyle w:val="13"/>
        <w:keepNext w:val="0"/>
        <w:keepLines w:val="0"/>
        <w:pageBreakBefore w:val="0"/>
        <w:widowControl w:val="0"/>
        <w:numPr>
          <w:ilvl w:val="0"/>
          <w:numId w:val="0"/>
        </w:numPr>
        <w:kinsoku/>
        <w:wordWrap/>
        <w:overflowPunct/>
        <w:topLinePunct w:val="0"/>
        <w:bidi w:val="0"/>
        <w:adjustRightInd w:val="0"/>
        <w:snapToGrid/>
        <w:spacing w:line="360" w:lineRule="exact"/>
        <w:ind w:firstLine="422" w:firstLineChars="200"/>
        <w:textAlignment w:val="auto"/>
        <w:rPr>
          <w:rFonts w:hint="eastAsia" w:ascii="宋体" w:hAnsi="宋体" w:eastAsia="宋体" w:cs="宋体"/>
          <w:b/>
          <w:bCs/>
          <w:color w:val="auto"/>
          <w:kern w:val="0"/>
          <w:sz w:val="21"/>
          <w:szCs w:val="21"/>
          <w:lang w:val="en-US" w:eastAsia="zh-CN"/>
        </w:rPr>
      </w:pPr>
      <w:r>
        <w:rPr>
          <w:rFonts w:hint="eastAsia" w:ascii="宋体" w:hAnsi="宋体" w:eastAsia="宋体" w:cs="宋体"/>
          <w:b/>
          <w:bCs/>
          <w:color w:val="auto"/>
          <w:kern w:val="0"/>
          <w:sz w:val="21"/>
          <w:szCs w:val="21"/>
          <w:lang w:val="en-US" w:eastAsia="zh-CN"/>
        </w:rPr>
        <w:t>（六）培训及维护</w:t>
      </w:r>
    </w:p>
    <w:p w14:paraId="4C443610">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1、中标人应就电梯的调试使用、维护、操作、故障处理及应急措施等，对采购人相关人员进行必要的培训，达到熟练掌握产品性能、操作技能及排除一般故障的程度。</w:t>
      </w:r>
    </w:p>
    <w:p w14:paraId="02915D88">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2、中标人在培训开始前提出培训计划(培训时间及人员根据需要确定)，并获得采购人同意。</w:t>
      </w:r>
    </w:p>
    <w:p w14:paraId="02DCD0AF">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3、培训所需费用，包括交通食宿等费用由中标人负担，包含在报价中。</w:t>
      </w:r>
    </w:p>
    <w:p w14:paraId="664B477D">
      <w:pPr>
        <w:pStyle w:val="13"/>
        <w:keepNext w:val="0"/>
        <w:keepLines w:val="0"/>
        <w:pageBreakBefore w:val="0"/>
        <w:widowControl w:val="0"/>
        <w:numPr>
          <w:ilvl w:val="0"/>
          <w:numId w:val="0"/>
        </w:numPr>
        <w:kinsoku/>
        <w:wordWrap/>
        <w:overflowPunct/>
        <w:topLinePunct w:val="0"/>
        <w:bidi w:val="0"/>
        <w:adjustRightInd w:val="0"/>
        <w:snapToGrid/>
        <w:spacing w:line="360" w:lineRule="exact"/>
        <w:ind w:firstLine="422" w:firstLineChars="200"/>
        <w:textAlignment w:val="auto"/>
        <w:rPr>
          <w:rFonts w:hint="eastAsia" w:ascii="宋体" w:hAnsi="宋体" w:eastAsia="宋体" w:cs="宋体"/>
          <w:b/>
          <w:bCs/>
          <w:color w:val="auto"/>
          <w:kern w:val="0"/>
          <w:sz w:val="21"/>
          <w:szCs w:val="21"/>
          <w:lang w:val="en-US" w:eastAsia="zh-CN"/>
        </w:rPr>
      </w:pPr>
      <w:r>
        <w:rPr>
          <w:rFonts w:hint="eastAsia" w:ascii="宋体" w:hAnsi="宋体" w:eastAsia="宋体" w:cs="宋体"/>
          <w:b/>
          <w:bCs/>
          <w:color w:val="auto"/>
          <w:kern w:val="0"/>
          <w:sz w:val="21"/>
          <w:szCs w:val="21"/>
          <w:lang w:val="en-US" w:eastAsia="zh-CN"/>
        </w:rPr>
        <w:t>（七）售后服务</w:t>
      </w:r>
    </w:p>
    <w:p w14:paraId="36D229E5">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1、投标人需提供以下内容：</w:t>
      </w:r>
    </w:p>
    <w:p w14:paraId="6111ABE9">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（1）本项目售后服务机构名称、地址；</w:t>
      </w:r>
    </w:p>
    <w:p w14:paraId="1D61DF18">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（2）本项目售后服务的负责人姓名、联系方式 (电话、传真、手机）；</w:t>
      </w:r>
    </w:p>
    <w:p w14:paraId="3935E141">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（3）维护计划；定期维护计划；对采购人不定期维护要求的响应措施；维修服务响应时间、解决故障的措施、方法及所需要的时间；对采购人修改设计要求的响应措施等；</w:t>
      </w:r>
    </w:p>
    <w:p w14:paraId="0D10F956">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（4）技术支持</w:t>
      </w:r>
    </w:p>
    <w:p w14:paraId="582D11EA">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提供 7×24 小时的技术咨询服务。</w:t>
      </w:r>
    </w:p>
    <w:p w14:paraId="255AB661">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（5）故障响应</w:t>
      </w:r>
    </w:p>
    <w:p w14:paraId="231CBF84">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1）提供 7×24 小时的故障服务受理。</w:t>
      </w:r>
    </w:p>
    <w:p w14:paraId="34AB7EFF">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2）中标人接到采购人的故障通知、需要维护的电话后，30分钟以内响应，2小时内提出解决方案；紧急突发事件成交供应商需于30分钟内赶赴现场进行处置；一般故障在24小时内排除；重大故障在48小时内排除。</w:t>
      </w:r>
    </w:p>
    <w:p w14:paraId="28E74A46">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（6）保修期内的服务内容，保修期外的服务内容及收费标准；</w:t>
      </w:r>
    </w:p>
    <w:p w14:paraId="7C31D23B">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（7）服务内容须列明投标人承诺或提供的服务内容，投标人须提供但不限于投标人承诺或提供的服务；</w:t>
      </w:r>
    </w:p>
    <w:p w14:paraId="6C164EF3">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（8）其他的服务内容。</w:t>
      </w:r>
    </w:p>
    <w:p w14:paraId="7B0CAFCA">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2、投标人须提供针对本项目的售后服务方案，方案内容应包括①售后服务机构设置、②故障响应时间、③售后维护解决措施、④备品配件方案、⑤定期及不定期维护计划等内容。</w:t>
      </w:r>
    </w:p>
    <w:p w14:paraId="5E017501">
      <w:pPr>
        <w:pStyle w:val="13"/>
        <w:keepNext w:val="0"/>
        <w:keepLines w:val="0"/>
        <w:pageBreakBefore w:val="0"/>
        <w:widowControl w:val="0"/>
        <w:numPr>
          <w:ilvl w:val="0"/>
          <w:numId w:val="0"/>
        </w:numPr>
        <w:kinsoku/>
        <w:wordWrap/>
        <w:overflowPunct/>
        <w:topLinePunct w:val="0"/>
        <w:bidi w:val="0"/>
        <w:adjustRightInd w:val="0"/>
        <w:snapToGrid/>
        <w:spacing w:line="360" w:lineRule="exact"/>
        <w:ind w:firstLine="422"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b/>
          <w:bCs/>
          <w:color w:val="auto"/>
          <w:kern w:val="0"/>
          <w:sz w:val="21"/>
          <w:szCs w:val="21"/>
          <w:lang w:val="en-US" w:eastAsia="zh-CN"/>
        </w:rPr>
        <w:t>（八）其他要求</w:t>
      </w:r>
      <w:r>
        <w:rPr>
          <w:rFonts w:hint="eastAsia" w:ascii="宋体" w:hAnsi="宋体" w:eastAsia="宋体" w:cs="宋体"/>
          <w:color w:val="auto"/>
          <w:kern w:val="0"/>
          <w:sz w:val="21"/>
          <w:szCs w:val="21"/>
          <w:lang w:val="en-US" w:eastAsia="zh-CN"/>
        </w:rPr>
        <w:t xml:space="preserve"> </w:t>
      </w:r>
    </w:p>
    <w:p w14:paraId="19A5B7CA">
      <w:pPr>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firstLineChars="200"/>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总报价包含货物送到交货地点，安装、验收及相关售后服务等所有内容的价格（本项目为交钥匙工程，投标总价应包含所有可能发生的施工、货物设备及材料购置、运输费、装卸费、各种税费、安装调试费、以及施工现场（本项目外科大楼为新建）总包单位</w:t>
      </w:r>
      <w:r>
        <w:rPr>
          <w:rFonts w:hint="eastAsia" w:ascii="宋体" w:hAnsi="宋体" w:cs="宋体"/>
          <w:color w:val="auto"/>
          <w:kern w:val="0"/>
          <w:sz w:val="21"/>
          <w:szCs w:val="21"/>
          <w:lang w:val="en-US" w:eastAsia="zh-CN"/>
        </w:rPr>
        <w:t>（</w:t>
      </w:r>
      <w:r>
        <w:rPr>
          <w:rFonts w:hint="eastAsia" w:ascii="宋体" w:hAnsi="宋体" w:eastAsia="宋体" w:cs="宋体"/>
          <w:color w:val="auto"/>
          <w:kern w:val="0"/>
          <w:sz w:val="21"/>
          <w:szCs w:val="21"/>
          <w:lang w:val="en-US" w:eastAsia="zh-CN"/>
        </w:rPr>
        <w:t>湖南省第五工程有限公司、中机国际工程设计研究院有限责任公司</w:t>
      </w:r>
      <w:r>
        <w:rPr>
          <w:rFonts w:hint="eastAsia" w:ascii="宋体" w:hAnsi="宋体" w:cs="宋体"/>
          <w:color w:val="auto"/>
          <w:kern w:val="0"/>
          <w:sz w:val="21"/>
          <w:szCs w:val="21"/>
          <w:lang w:val="en-US" w:eastAsia="zh-CN"/>
        </w:rPr>
        <w:t>）</w:t>
      </w:r>
      <w:r>
        <w:rPr>
          <w:rFonts w:hint="eastAsia" w:ascii="宋体" w:hAnsi="宋体" w:eastAsia="宋体" w:cs="宋体"/>
          <w:color w:val="auto"/>
          <w:kern w:val="0"/>
          <w:sz w:val="21"/>
          <w:szCs w:val="21"/>
          <w:lang w:val="en-US" w:eastAsia="zh-CN"/>
        </w:rPr>
        <w:t>现场管理费</w:t>
      </w:r>
      <w:r>
        <w:rPr>
          <w:rFonts w:hint="eastAsia" w:ascii="宋体" w:hAnsi="宋体" w:cs="宋体"/>
          <w:color w:val="auto"/>
          <w:kern w:val="0"/>
          <w:sz w:val="21"/>
          <w:szCs w:val="21"/>
          <w:lang w:val="en-US" w:eastAsia="zh-CN"/>
        </w:rPr>
        <w:t>，</w:t>
      </w:r>
      <w:r>
        <w:rPr>
          <w:rFonts w:hint="eastAsia" w:ascii="宋体" w:hAnsi="宋体" w:eastAsia="宋体" w:cs="宋体"/>
          <w:color w:val="auto"/>
          <w:kern w:val="0"/>
          <w:sz w:val="21"/>
          <w:szCs w:val="21"/>
          <w:lang w:val="en-US" w:eastAsia="zh-CN"/>
        </w:rPr>
        <w:t>不超中标合同金额2%（总包合同约定）和采购需求和清单未考虑到的相关辅材配件等费用，采购人不再支付任何费用；如采购人土建不符合电梯安装要求，整改费用另行核算）。</w:t>
      </w:r>
    </w:p>
    <w:p w14:paraId="7F4F82A0">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2、本项目所列的国家或行业相关标准要求，如与最新出台的国家或行业标准相冲突的，按最新的标准执行。</w:t>
      </w:r>
    </w:p>
    <w:p w14:paraId="2C568DCC">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3、投标人承诺所投品牌型号电梯在投标截止之日前五年内未出现因电梯质量问题而导致发生《特种设备安全监察条例》中所列的一般事故、较大事故、重大事故、特别重大事故等情形。 事故认定以特种设备安全监督管理部门会同有关部门组织事故调查的结果为准。</w:t>
      </w:r>
    </w:p>
    <w:p w14:paraId="67CB9E02">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4、电梯作为特种设备，其生产、经营和采购人均必须严格遵守《特种设备安全法》、《特种设备安全监察条例》、《特种设备生产和充装单位许可规则》等相关法律法规和安全技术规范要求，至少包括：</w:t>
      </w:r>
    </w:p>
    <w:p w14:paraId="7AB2A02B">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（1）电梯生产、经营和采购人的单位负责人对电梯生产、经营和使用的安全负责。</w:t>
      </w:r>
    </w:p>
    <w:p w14:paraId="57F3F56C">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（2）电梯生产、经营、使用、检验、检测应当遵守有关特种设备安全技术规范及相关标准。电梯出厂时，应当随附产品质量合格证明、安装及使用维护保养说明、监督检验证明等相关 技术资料和文件，并在特种设备显著位置设置产品铭牌、安全警示标志及其说明。</w:t>
      </w:r>
    </w:p>
    <w:p w14:paraId="361A24B9">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3）电梯井道的土建工程必须符合建筑工程质量要求。电梯安装施工过程中，中标人及其安装人员应当遵守施工现场的安全生产要求，落实现场安全防护措施。电梯安装施工过程中，施工现场的安全生产监督，由有关部门依照有关法律、行政法规的规定执行。</w:t>
      </w:r>
    </w:p>
    <w:p w14:paraId="1C469D04">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（4）电梯的安装、改造、修理活动结束后，中标人应当按照安全技术规范的要求对电梯进行校验和调试，并对校验和调试的结果负责。</w:t>
      </w:r>
    </w:p>
    <w:p w14:paraId="028858FA">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5）电梯的质保期内的维护保养机构应当在维护保养中严格执行安全技术规范的要求，保证其维护保养的电梯的安全性能，并负责落实现场安全防护措施，保证施工安全。电梯的维护保养单位应当对其维护保养的电梯的安全性能负责；接到故障通知后，应当立即赶赴现场，并采取必要的应急救援措施。</w:t>
      </w:r>
    </w:p>
    <w:p w14:paraId="6941DF2E">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（6）电梯的安装、改造、重大修理过程，应当经特种设备检验机构按照安全技术规范的要求进行监督检验；未经监督检验或者监督检验不合格的，不得出厂或者交付使用。</w:t>
      </w:r>
    </w:p>
    <w:p w14:paraId="0CE97D51">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7）电梯投入使用后，中标人应当对其制造的电梯的安全运行情况进行跟踪调查和了解，对电梯的维护保养单位或者采购人在维护保养和安全运行方面存在的问题，提出改进建议，并提供必要的技术帮助；发现电梯存在严重事故隐患时，应当及时告知采购人，并向负责特种设备安全监督管理的部门报告。中标人对调查和了解的情况，应当作出记录。</w:t>
      </w:r>
    </w:p>
    <w:p w14:paraId="330D1DF9">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（8）电梯的全部安装工作由中标人负责，电梯的安装必须使其达到功能、性能等技术要求。</w:t>
      </w:r>
    </w:p>
    <w:p w14:paraId="66017135">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6、投标人应按国家有关的标准与规范以及合同中的要求，在收到中标通知后，在征得采购人同意的前提下，对本次电梯采购与安装过程在原采购需求和相关资料及现场实际情况的基础上进行深化设计工作。投标人的所有的设计方案应由采购人审查评议，未经采购人审查评议和审批确认，投标人不得进行下一步工作。</w:t>
      </w:r>
    </w:p>
    <w:p w14:paraId="152C417C">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7、免责声明事项</w:t>
      </w:r>
    </w:p>
    <w:p w14:paraId="4878711B">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7.1、投标人应在投标文件中保证，采购人在使用投标人负责提供的设备和材料时，免受第三方提出的侵犯其专利权、商标权、工业设计权和其他知识产权的起诉。任何第三方如果提出侵权指控，中标人须与第三方交涉并承担由此而引起的一切法律责任和费用。</w:t>
      </w:r>
    </w:p>
    <w:p w14:paraId="7E3F235A">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7.2、中标人须按照交钥匙工程的要求确定项目实施方案和投标报价，承担包括安全责任、价格（包括各种费用）上涨的任何风险，不可抗力因素引起的除外。</w:t>
      </w:r>
    </w:p>
    <w:p w14:paraId="23A35E5B">
      <w:pPr>
        <w:pStyle w:val="13"/>
        <w:keepNext w:val="0"/>
        <w:keepLines w:val="0"/>
        <w:pageBreakBefore w:val="0"/>
        <w:widowControl w:val="0"/>
        <w:numPr>
          <w:ilvl w:val="0"/>
          <w:numId w:val="0"/>
        </w:numPr>
        <w:kinsoku/>
        <w:wordWrap/>
        <w:overflowPunct/>
        <w:topLinePunct w:val="0"/>
        <w:bidi w:val="0"/>
        <w:adjustRightInd w:val="0"/>
        <w:snapToGrid/>
        <w:spacing w:line="360" w:lineRule="exact"/>
        <w:ind w:left="0" w:leftChars="0" w:firstLine="420" w:firstLineChars="200"/>
        <w:textAlignment w:val="auto"/>
        <w:rPr>
          <w:rFonts w:hint="default"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8、投标人拟派本项目安装人员持有特种设备作业人员证（电梯），并配备项目经理1人，安全员1人。</w:t>
      </w:r>
    </w:p>
    <w:p w14:paraId="6CBA6935">
      <w:pPr>
        <w:pStyle w:val="13"/>
        <w:keepNext w:val="0"/>
        <w:keepLines w:val="0"/>
        <w:pageBreakBefore w:val="0"/>
        <w:widowControl w:val="0"/>
        <w:numPr>
          <w:ilvl w:val="0"/>
          <w:numId w:val="0"/>
        </w:numPr>
        <w:kinsoku/>
        <w:wordWrap/>
        <w:overflowPunct/>
        <w:topLinePunct w:val="0"/>
        <w:bidi w:val="0"/>
        <w:adjustRightInd w:val="0"/>
        <w:snapToGrid/>
        <w:spacing w:line="360" w:lineRule="exact"/>
        <w:ind w:firstLine="422" w:firstLineChars="200"/>
        <w:textAlignment w:val="auto"/>
        <w:rPr>
          <w:rFonts w:hint="eastAsia" w:ascii="宋体" w:hAnsi="宋体" w:eastAsia="宋体" w:cs="宋体"/>
          <w:b/>
          <w:bCs/>
          <w:color w:val="auto"/>
          <w:kern w:val="0"/>
          <w:sz w:val="21"/>
          <w:szCs w:val="21"/>
          <w:lang w:val="en-US" w:eastAsia="zh-CN"/>
        </w:rPr>
      </w:pPr>
      <w:r>
        <w:rPr>
          <w:rFonts w:hint="eastAsia" w:ascii="宋体" w:hAnsi="宋体" w:eastAsia="宋体" w:cs="宋体"/>
          <w:b/>
          <w:bCs/>
          <w:color w:val="auto"/>
          <w:kern w:val="0"/>
          <w:sz w:val="21"/>
          <w:szCs w:val="21"/>
          <w:lang w:val="en-US" w:eastAsia="zh-CN"/>
        </w:rPr>
        <w:t>（九）技术资料要求</w:t>
      </w:r>
    </w:p>
    <w:p w14:paraId="12E78B56">
      <w:pPr>
        <w:pStyle w:val="13"/>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1、提供以下全套技术资料：</w:t>
      </w:r>
    </w:p>
    <w:p w14:paraId="31616B18">
      <w:pPr>
        <w:pStyle w:val="13"/>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•使用维护说明</w:t>
      </w:r>
    </w:p>
    <w:p w14:paraId="56CCEDC5">
      <w:pPr>
        <w:pStyle w:val="13"/>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•随机文件、质量验收文件</w:t>
      </w:r>
    </w:p>
    <w:p w14:paraId="02683DE7">
      <w:pPr>
        <w:pStyle w:val="13"/>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•设备结构图</w:t>
      </w:r>
    </w:p>
    <w:p w14:paraId="174599B8">
      <w:pPr>
        <w:pStyle w:val="13"/>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•安装调试说明书</w:t>
      </w:r>
    </w:p>
    <w:p w14:paraId="0DD9D4B4">
      <w:pPr>
        <w:pStyle w:val="13"/>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•电梯部件安装图</w:t>
      </w:r>
    </w:p>
    <w:p w14:paraId="4862FF1D">
      <w:pPr>
        <w:pStyle w:val="13"/>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•电梯电器原理图</w:t>
      </w:r>
    </w:p>
    <w:p w14:paraId="7DEF9451">
      <w:pPr>
        <w:pStyle w:val="13"/>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•电梯电器接线图</w:t>
      </w:r>
    </w:p>
    <w:p w14:paraId="7DBB9EEA">
      <w:pPr>
        <w:pStyle w:val="13"/>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•产品技术标准（含验收标准）和试验方法，产品原产地出厂合格证等</w:t>
      </w:r>
    </w:p>
    <w:p w14:paraId="723E1208">
      <w:pPr>
        <w:pStyle w:val="13"/>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•合同中要求的其他文件资料</w:t>
      </w:r>
    </w:p>
    <w:p w14:paraId="5BCAAAAD">
      <w:pPr>
        <w:pStyle w:val="13"/>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•出厂明细表（装箱单）</w:t>
      </w:r>
    </w:p>
    <w:p w14:paraId="0893945D">
      <w:pPr>
        <w:pStyle w:val="13"/>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•电梯安装竣工图、 电梯使用证和电梯验收报告。</w:t>
      </w:r>
    </w:p>
    <w:p w14:paraId="3AADB47A">
      <w:pPr>
        <w:pStyle w:val="13"/>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exact"/>
        <w:ind w:left="0" w:leftChars="0"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中标人应在电梯安装调试完成后、验收前 10 日内，向采购人提交技术资料（纸质版 2 套、电子版 1 套，电子版为 PDF 格式），其中电梯安装竣工图须加盖中标人公章，电梯使用证和验收报告须为原件复印件（加盖中标人公章），所有资料需按《特种设备技术档案管理规范》整理归档。</w:t>
      </w:r>
    </w:p>
    <w:p w14:paraId="2F5CA042">
      <w:pPr>
        <w:pStyle w:val="13"/>
        <w:keepNext w:val="0"/>
        <w:keepLines w:val="0"/>
        <w:pageBreakBefore w:val="0"/>
        <w:widowControl w:val="0"/>
        <w:numPr>
          <w:ilvl w:val="0"/>
          <w:numId w:val="0"/>
        </w:numPr>
        <w:kinsoku/>
        <w:wordWrap/>
        <w:overflowPunct/>
        <w:topLinePunct w:val="0"/>
        <w:bidi w:val="0"/>
        <w:adjustRightInd w:val="0"/>
        <w:snapToGrid/>
        <w:spacing w:line="360" w:lineRule="exact"/>
        <w:ind w:firstLine="422" w:firstLineChars="200"/>
        <w:textAlignment w:val="auto"/>
        <w:rPr>
          <w:rFonts w:hint="eastAsia" w:ascii="宋体" w:hAnsi="宋体" w:eastAsia="宋体" w:cs="宋体"/>
          <w:b/>
          <w:bCs/>
          <w:color w:val="auto"/>
          <w:kern w:val="0"/>
          <w:sz w:val="21"/>
          <w:szCs w:val="21"/>
          <w:lang w:val="en-US" w:eastAsia="zh-CN"/>
        </w:rPr>
      </w:pPr>
      <w:r>
        <w:rPr>
          <w:rFonts w:hint="eastAsia" w:ascii="宋体" w:hAnsi="宋体" w:eastAsia="宋体" w:cs="宋体"/>
          <w:b/>
          <w:bCs/>
          <w:color w:val="auto"/>
          <w:kern w:val="0"/>
          <w:sz w:val="21"/>
          <w:szCs w:val="21"/>
          <w:lang w:val="en-US" w:eastAsia="zh-CN"/>
        </w:rPr>
        <w:t xml:space="preserve">（十）踏勘 </w:t>
      </w:r>
    </w:p>
    <w:p w14:paraId="03113197">
      <w:pPr>
        <w:pStyle w:val="175"/>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hint="eastAsia" w:ascii="宋体" w:hAnsi="宋体" w:eastAsia="宋体" w:cs="宋体"/>
          <w:b/>
          <w:bCs/>
          <w:color w:val="auto"/>
          <w:kern w:val="0"/>
          <w:sz w:val="21"/>
          <w:szCs w:val="21"/>
          <w:lang w:val="en-US" w:eastAsia="zh-CN"/>
        </w:rPr>
      </w:pPr>
      <w:r>
        <w:rPr>
          <w:rFonts w:hint="eastAsia" w:ascii="宋体" w:hAnsi="宋体" w:eastAsia="宋体" w:cs="宋体"/>
          <w:color w:val="auto"/>
          <w:kern w:val="0"/>
          <w:sz w:val="21"/>
          <w:szCs w:val="21"/>
          <w:lang w:val="en-US" w:eastAsia="zh-CN"/>
        </w:rPr>
        <w:t>采购人不组织踏勘现场。为做出合理的项目实施方案，投标人可自行到采购人项目现场进行实地勘察，投标人自行踏勘时，采购人可提供必要的现场进入便利，有关费用自理，踏勘期间发生的意外自负。</w:t>
      </w:r>
    </w:p>
    <w:p w14:paraId="6BDDBFEB">
      <w:pPr>
        <w:pStyle w:val="115"/>
        <w:spacing w:line="480" w:lineRule="auto"/>
        <w:ind w:firstLine="422" w:firstLineChars="200"/>
        <w:jc w:val="left"/>
        <w:rPr>
          <w:rFonts w:hint="eastAsia" w:ascii="宋体" w:hAnsi="宋体" w:eastAsia="宋体" w:cs="宋体"/>
          <w:b/>
          <w:bCs/>
          <w:color w:val="auto"/>
          <w:kern w:val="0"/>
          <w:sz w:val="21"/>
          <w:szCs w:val="21"/>
          <w:lang w:val="en-US" w:eastAsia="zh-CN"/>
        </w:rPr>
      </w:pPr>
      <w:r>
        <w:rPr>
          <w:rFonts w:hint="eastAsia" w:ascii="宋体" w:hAnsi="宋体" w:eastAsia="宋体" w:cs="宋体"/>
          <w:b/>
          <w:bCs/>
          <w:color w:val="auto"/>
          <w:kern w:val="0"/>
          <w:sz w:val="21"/>
          <w:szCs w:val="21"/>
          <w:lang w:val="en-US" w:eastAsia="zh-CN"/>
        </w:rPr>
        <w:t>其他未尽事宜由采购人和中标人在采购合同中详细约定。</w:t>
      </w:r>
    </w:p>
    <w:p w14:paraId="66293BFC">
      <w:pPr>
        <w:widowControl/>
        <w:spacing w:line="500" w:lineRule="exact"/>
        <w:rPr>
          <w:rFonts w:ascii="宋体" w:hAnsi="宋体" w:cs="宋体"/>
          <w:kern w:val="0"/>
          <w:szCs w:val="21"/>
        </w:rPr>
      </w:pPr>
      <w:r>
        <w:rPr>
          <w:rFonts w:hint="eastAsia" w:ascii="宋体" w:hAnsi="宋体" w:cs="宋体"/>
          <w:b/>
          <w:bCs/>
          <w:kern w:val="0"/>
          <w:szCs w:val="21"/>
        </w:rPr>
        <w:t>对于上述项目要求，投标人应在投标文件中进行回应，作出承诺及说明。</w:t>
      </w:r>
    </w:p>
    <w:p w14:paraId="2EA997B5">
      <w:pPr>
        <w:pStyle w:val="115"/>
        <w:spacing w:line="480" w:lineRule="auto"/>
        <w:ind w:firstLine="422" w:firstLineChars="200"/>
        <w:jc w:val="left"/>
        <w:rPr>
          <w:rFonts w:hint="eastAsia" w:ascii="宋体" w:hAnsi="宋体" w:eastAsia="宋体" w:cs="宋体"/>
          <w:b/>
          <w:bCs/>
          <w:color w:val="auto"/>
          <w:kern w:val="0"/>
          <w:sz w:val="21"/>
          <w:szCs w:val="21"/>
          <w:lang w:val="en-US" w:eastAsia="zh-CN"/>
        </w:rPr>
        <w:sectPr>
          <w:footerReference r:id="rId6" w:type="default"/>
          <w:pgSz w:w="11900" w:h="16840"/>
          <w:pgMar w:top="1455" w:right="1357" w:bottom="1485" w:left="1011" w:header="0" w:footer="1025" w:gutter="0"/>
          <w:pgBorders>
            <w:top w:val="none" w:sz="0" w:space="0"/>
            <w:left w:val="none" w:sz="0" w:space="0"/>
            <w:bottom w:val="none" w:sz="0" w:space="0"/>
            <w:right w:val="none" w:sz="0" w:space="0"/>
          </w:pgBorders>
          <w:cols w:space="720" w:num="1"/>
        </w:sectPr>
      </w:pPr>
    </w:p>
    <w:bookmarkEnd w:id="114"/>
    <w:bookmarkEnd w:id="115"/>
    <w:bookmarkEnd w:id="116"/>
    <w:bookmarkEnd w:id="117"/>
    <w:bookmarkEnd w:id="118"/>
    <w:bookmarkEnd w:id="119"/>
    <w:p w14:paraId="1A404D63">
      <w:pPr>
        <w:pStyle w:val="103"/>
        <w:tabs>
          <w:tab w:val="left" w:pos="1342"/>
        </w:tabs>
        <w:spacing w:before="67"/>
        <w:ind w:firstLine="0" w:firstLineChars="0"/>
        <w:jc w:val="center"/>
        <w:textAlignment w:val="baseline"/>
        <w:outlineLvl w:val="1"/>
        <w:rPr>
          <w:rFonts w:ascii="宋体" w:hAnsi="宋体" w:cs="宋体"/>
          <w:sz w:val="32"/>
        </w:rPr>
      </w:pPr>
      <w:r>
        <w:rPr>
          <w:rFonts w:hint="eastAsia" w:ascii="宋体" w:hAnsi="宋体" w:cs="宋体"/>
          <w:sz w:val="32"/>
        </w:rPr>
        <w:t>第五章 政府采购合同</w:t>
      </w:r>
    </w:p>
    <w:p w14:paraId="31AA7B12">
      <w:pPr>
        <w:pStyle w:val="3"/>
        <w:jc w:val="center"/>
        <w:rPr>
          <w:rFonts w:ascii="宋体" w:hAnsi="宋体" w:cs="宋体"/>
          <w:b w:val="0"/>
          <w:sz w:val="28"/>
          <w:szCs w:val="28"/>
        </w:rPr>
      </w:pPr>
      <w:bookmarkStart w:id="120" w:name="_Toc2040"/>
      <w:bookmarkStart w:id="121" w:name="_Toc26750"/>
      <w:r>
        <w:rPr>
          <w:rFonts w:hint="eastAsia" w:ascii="宋体" w:hAnsi="宋体" w:cs="宋体"/>
          <w:b w:val="0"/>
          <w:sz w:val="28"/>
          <w:szCs w:val="28"/>
        </w:rPr>
        <w:t>第一节 政府采购合同协议书</w:t>
      </w:r>
      <w:bookmarkEnd w:id="120"/>
      <w:bookmarkEnd w:id="121"/>
    </w:p>
    <w:p w14:paraId="0A9B7DFF">
      <w:pPr>
        <w:adjustRightInd w:val="0"/>
        <w:snapToGrid w:val="0"/>
        <w:spacing w:beforeLines="50" w:line="360" w:lineRule="auto"/>
        <w:jc w:val="center"/>
        <w:rPr>
          <w:rFonts w:ascii="宋体" w:hAnsi="宋体" w:cs="宋体"/>
          <w:szCs w:val="21"/>
        </w:rPr>
      </w:pPr>
      <w:r>
        <w:rPr>
          <w:rFonts w:hint="eastAsia" w:ascii="宋体" w:hAnsi="宋体" w:cs="宋体"/>
          <w:szCs w:val="21"/>
        </w:rPr>
        <w:t xml:space="preserve">                                                        政府采购编号：</w:t>
      </w:r>
      <w:r>
        <w:rPr>
          <w:rFonts w:hint="eastAsia" w:ascii="宋体" w:hAnsi="宋体" w:cs="宋体"/>
          <w:szCs w:val="21"/>
          <w:u w:val="single"/>
        </w:rPr>
        <w:t xml:space="preserve">             </w:t>
      </w:r>
      <w:r>
        <w:rPr>
          <w:rFonts w:hint="eastAsia" w:ascii="宋体" w:hAnsi="宋体" w:cs="宋体"/>
          <w:szCs w:val="21"/>
        </w:rPr>
        <w:tab/>
      </w:r>
    </w:p>
    <w:p w14:paraId="7283B734">
      <w:pPr>
        <w:adjustRightInd w:val="0"/>
        <w:snapToGrid w:val="0"/>
        <w:spacing w:line="360" w:lineRule="auto"/>
        <w:rPr>
          <w:rFonts w:ascii="宋体" w:hAnsi="宋体" w:cs="宋体"/>
          <w:szCs w:val="21"/>
        </w:rPr>
      </w:pPr>
      <w:r>
        <w:rPr>
          <w:rFonts w:hint="eastAsia" w:ascii="宋体" w:hAnsi="宋体" w:cs="宋体"/>
          <w:szCs w:val="21"/>
        </w:rPr>
        <w:t>采购人（全称）：</w:t>
      </w:r>
      <w:r>
        <w:rPr>
          <w:rFonts w:hint="eastAsia" w:ascii="宋体" w:hAnsi="宋体" w:cs="宋体"/>
          <w:szCs w:val="21"/>
          <w:u w:val="single"/>
        </w:rPr>
        <w:t xml:space="preserve">                             </w:t>
      </w:r>
      <w:r>
        <w:rPr>
          <w:rFonts w:hint="eastAsia" w:ascii="宋体" w:hAnsi="宋体" w:cs="宋体"/>
          <w:szCs w:val="21"/>
        </w:rPr>
        <w:t>（甲方）</w:t>
      </w:r>
    </w:p>
    <w:p w14:paraId="39FD32F3">
      <w:pPr>
        <w:adjustRightInd w:val="0"/>
        <w:snapToGrid w:val="0"/>
        <w:spacing w:line="360" w:lineRule="auto"/>
        <w:rPr>
          <w:rFonts w:ascii="宋体" w:hAnsi="宋体" w:cs="宋体"/>
          <w:szCs w:val="21"/>
        </w:rPr>
      </w:pPr>
      <w:r>
        <w:rPr>
          <w:rFonts w:hint="eastAsia" w:ascii="宋体" w:hAnsi="宋体" w:cs="宋体"/>
          <w:szCs w:val="21"/>
        </w:rPr>
        <w:t>投标人（全称）：</w:t>
      </w:r>
      <w:r>
        <w:rPr>
          <w:rFonts w:hint="eastAsia" w:ascii="宋体" w:hAnsi="宋体" w:cs="宋体"/>
          <w:szCs w:val="21"/>
          <w:u w:val="single"/>
        </w:rPr>
        <w:t xml:space="preserve">                             </w:t>
      </w:r>
      <w:r>
        <w:rPr>
          <w:rFonts w:hint="eastAsia" w:ascii="宋体" w:hAnsi="宋体" w:cs="宋体"/>
          <w:szCs w:val="21"/>
        </w:rPr>
        <w:t>（乙方）</w:t>
      </w:r>
    </w:p>
    <w:p w14:paraId="2378112C">
      <w:pPr>
        <w:pStyle w:val="21"/>
        <w:tabs>
          <w:tab w:val="left" w:pos="2715"/>
        </w:tabs>
        <w:adjustRightInd w:val="0"/>
        <w:snapToGrid w:val="0"/>
        <w:spacing w:after="0" w:line="360" w:lineRule="auto"/>
        <w:rPr>
          <w:rFonts w:ascii="宋体" w:hAnsi="宋体" w:cs="宋体"/>
          <w:szCs w:val="21"/>
        </w:rPr>
      </w:pPr>
      <w:r>
        <w:rPr>
          <w:rFonts w:hint="eastAsia" w:ascii="宋体" w:hAnsi="宋体" w:cs="宋体"/>
          <w:szCs w:val="21"/>
        </w:rPr>
        <w:tab/>
      </w:r>
    </w:p>
    <w:p w14:paraId="756129AC">
      <w:pPr>
        <w:pStyle w:val="21"/>
        <w:adjustRightInd w:val="0"/>
        <w:snapToGrid w:val="0"/>
        <w:spacing w:beforeLines="50" w:after="0" w:line="360" w:lineRule="auto"/>
        <w:ind w:left="0" w:leftChars="0" w:firstLine="420" w:firstLineChars="200"/>
        <w:rPr>
          <w:rFonts w:ascii="宋体" w:hAnsi="宋体"/>
          <w:kern w:val="2"/>
          <w:sz w:val="21"/>
          <w:szCs w:val="21"/>
        </w:rPr>
      </w:pPr>
      <w:r>
        <w:rPr>
          <w:rFonts w:hint="eastAsia" w:ascii="宋体" w:hAnsi="宋体"/>
          <w:kern w:val="2"/>
          <w:sz w:val="21"/>
          <w:szCs w:val="21"/>
        </w:rPr>
        <w:t>为了保护甲、乙双方合法权益，根据《中华人民共和国民法典》、《中华人民共和国政府采购法》及其他有关法律、法规、规章，双方签订本合同协议书。</w:t>
      </w:r>
    </w:p>
    <w:p w14:paraId="2D3FC1A2">
      <w:pPr>
        <w:adjustRightInd w:val="0"/>
        <w:snapToGrid w:val="0"/>
        <w:spacing w:beforeLines="50" w:line="360" w:lineRule="auto"/>
        <w:ind w:firstLine="422" w:firstLineChars="200"/>
        <w:rPr>
          <w:rFonts w:ascii="宋体" w:hAnsi="宋体"/>
          <w:b/>
          <w:szCs w:val="21"/>
        </w:rPr>
      </w:pPr>
      <w:r>
        <w:rPr>
          <w:rFonts w:hint="eastAsia" w:ascii="宋体" w:hAnsi="宋体"/>
          <w:b/>
          <w:szCs w:val="21"/>
        </w:rPr>
        <w:t>1.项目信息</w:t>
      </w:r>
    </w:p>
    <w:p w14:paraId="195298B0">
      <w:pPr>
        <w:pStyle w:val="21"/>
        <w:adjustRightInd w:val="0"/>
        <w:snapToGrid w:val="0"/>
        <w:spacing w:beforeLines="50" w:after="0" w:line="360" w:lineRule="auto"/>
        <w:rPr>
          <w:rFonts w:ascii="宋体" w:hAnsi="宋体"/>
          <w:szCs w:val="21"/>
        </w:rPr>
      </w:pPr>
      <w:r>
        <w:rPr>
          <w:rFonts w:hint="eastAsia" w:ascii="宋体" w:hAnsi="宋体"/>
          <w:kern w:val="2"/>
          <w:sz w:val="21"/>
          <w:szCs w:val="21"/>
        </w:rPr>
        <w:t>（1）采购项目名称：</w:t>
      </w:r>
      <w:r>
        <w:rPr>
          <w:rFonts w:ascii="宋体" w:hAnsi="宋体"/>
          <w:szCs w:val="21"/>
          <w:u w:val="single"/>
        </w:rPr>
        <w:t xml:space="preserve">                                          </w:t>
      </w:r>
    </w:p>
    <w:p w14:paraId="589F1B6E">
      <w:pPr>
        <w:pStyle w:val="21"/>
        <w:adjustRightInd w:val="0"/>
        <w:snapToGrid w:val="0"/>
        <w:spacing w:beforeLines="50" w:after="0" w:line="360" w:lineRule="auto"/>
        <w:rPr>
          <w:rFonts w:ascii="宋体" w:hAnsi="宋体"/>
          <w:szCs w:val="21"/>
        </w:rPr>
      </w:pPr>
      <w:r>
        <w:rPr>
          <w:rFonts w:hint="eastAsia" w:ascii="宋体" w:hAnsi="宋体"/>
          <w:kern w:val="2"/>
          <w:sz w:val="21"/>
          <w:szCs w:val="21"/>
        </w:rPr>
        <w:t>（2）采购计划编号：</w:t>
      </w:r>
      <w:r>
        <w:rPr>
          <w:rFonts w:ascii="宋体" w:hAnsi="宋体"/>
          <w:szCs w:val="21"/>
          <w:u w:val="single"/>
        </w:rPr>
        <w:t xml:space="preserve">                          </w:t>
      </w:r>
      <w:r>
        <w:rPr>
          <w:rFonts w:ascii="宋体" w:hAnsi="宋体"/>
          <w:szCs w:val="21"/>
        </w:rPr>
        <w:t xml:space="preserve"> </w:t>
      </w:r>
    </w:p>
    <w:p w14:paraId="19E943E9">
      <w:pPr>
        <w:adjustRightInd w:val="0"/>
        <w:snapToGrid w:val="0"/>
        <w:spacing w:beforeLines="50" w:line="360" w:lineRule="auto"/>
        <w:ind w:firstLine="420" w:firstLineChars="200"/>
        <w:rPr>
          <w:rFonts w:ascii="宋体" w:hAnsi="宋体"/>
          <w:szCs w:val="21"/>
        </w:rPr>
      </w:pPr>
      <w:r>
        <w:rPr>
          <w:rFonts w:hint="eastAsia" w:ascii="宋体" w:hAnsi="宋体"/>
          <w:szCs w:val="21"/>
        </w:rPr>
        <w:t>（3）项目内容：</w:t>
      </w:r>
      <w:r>
        <w:rPr>
          <w:rFonts w:hint="eastAsia" w:ascii="宋体" w:hAnsi="宋体"/>
          <w:szCs w:val="21"/>
          <w:u w:val="single"/>
        </w:rPr>
        <w:t xml:space="preserve">                             </w:t>
      </w:r>
    </w:p>
    <w:p w14:paraId="19A03514">
      <w:pPr>
        <w:adjustRightInd w:val="0"/>
        <w:snapToGrid w:val="0"/>
        <w:spacing w:beforeLines="50" w:line="360" w:lineRule="auto"/>
        <w:ind w:firstLine="420" w:firstLineChars="200"/>
        <w:rPr>
          <w:rFonts w:ascii="宋体" w:hAnsi="宋体"/>
          <w:szCs w:val="21"/>
        </w:rPr>
      </w:pPr>
      <w:r>
        <w:rPr>
          <w:rFonts w:hint="eastAsia" w:ascii="宋体" w:hAnsi="宋体"/>
          <w:szCs w:val="21"/>
        </w:rPr>
        <w:t>（4）是否分包：</w:t>
      </w:r>
      <w:r>
        <w:rPr>
          <w:rFonts w:hint="eastAsia" w:ascii="宋体" w:hAnsi="宋体"/>
          <w:szCs w:val="21"/>
          <w:u w:val="single"/>
        </w:rPr>
        <w:t xml:space="preserve">               </w:t>
      </w:r>
      <w:r>
        <w:rPr>
          <w:rFonts w:hint="eastAsia" w:ascii="宋体" w:hAnsi="宋体"/>
          <w:szCs w:val="21"/>
        </w:rPr>
        <w:t>。</w:t>
      </w:r>
    </w:p>
    <w:p w14:paraId="19305D86">
      <w:pPr>
        <w:adjustRightInd w:val="0"/>
        <w:snapToGrid w:val="0"/>
        <w:spacing w:beforeLines="50" w:line="360" w:lineRule="auto"/>
        <w:ind w:firstLine="420" w:firstLineChars="200"/>
        <w:rPr>
          <w:rFonts w:ascii="宋体" w:hAnsi="宋体"/>
          <w:szCs w:val="21"/>
        </w:rPr>
      </w:pPr>
      <w:r>
        <w:rPr>
          <w:rFonts w:hint="eastAsia" w:ascii="宋体" w:hAnsi="宋体"/>
          <w:szCs w:val="21"/>
        </w:rPr>
        <w:t>（5）项目负责人：</w:t>
      </w:r>
      <w:r>
        <w:rPr>
          <w:rFonts w:hint="eastAsia" w:ascii="宋体" w:hAnsi="宋体"/>
          <w:szCs w:val="21"/>
          <w:u w:val="single"/>
        </w:rPr>
        <w:t xml:space="preserve">               </w:t>
      </w:r>
      <w:r>
        <w:rPr>
          <w:rFonts w:hint="eastAsia" w:ascii="宋体" w:hAnsi="宋体"/>
          <w:szCs w:val="21"/>
        </w:rPr>
        <w:t>。</w:t>
      </w:r>
    </w:p>
    <w:p w14:paraId="74619689">
      <w:pPr>
        <w:adjustRightInd w:val="0"/>
        <w:snapToGrid w:val="0"/>
        <w:spacing w:beforeLines="50" w:line="360" w:lineRule="auto"/>
        <w:ind w:firstLine="420" w:firstLineChars="200"/>
        <w:rPr>
          <w:rFonts w:ascii="宋体" w:hAnsi="宋体"/>
          <w:szCs w:val="21"/>
        </w:rPr>
      </w:pPr>
      <w:r>
        <w:rPr>
          <w:rFonts w:hint="eastAsia" w:ascii="宋体" w:hAnsi="宋体"/>
          <w:szCs w:val="21"/>
        </w:rPr>
        <w:t>（6）联系电话：</w:t>
      </w:r>
      <w:r>
        <w:rPr>
          <w:rFonts w:hint="eastAsia" w:ascii="宋体" w:hAnsi="宋体"/>
          <w:szCs w:val="21"/>
          <w:u w:val="single"/>
        </w:rPr>
        <w:t xml:space="preserve">               </w:t>
      </w:r>
      <w:r>
        <w:rPr>
          <w:rFonts w:hint="eastAsia" w:ascii="宋体" w:hAnsi="宋体"/>
          <w:szCs w:val="21"/>
        </w:rPr>
        <w:t>。</w:t>
      </w:r>
    </w:p>
    <w:p w14:paraId="6BB39A0E">
      <w:pPr>
        <w:adjustRightInd w:val="0"/>
        <w:snapToGrid w:val="0"/>
        <w:spacing w:beforeLines="50" w:line="360" w:lineRule="auto"/>
        <w:ind w:firstLine="413" w:firstLineChars="196"/>
        <w:rPr>
          <w:rFonts w:ascii="宋体" w:hAnsi="宋体"/>
          <w:b/>
          <w:szCs w:val="21"/>
        </w:rPr>
      </w:pPr>
      <w:r>
        <w:rPr>
          <w:rFonts w:hint="eastAsia" w:ascii="宋体" w:hAnsi="宋体"/>
          <w:b/>
          <w:szCs w:val="21"/>
        </w:rPr>
        <w:t>2.合同金额</w:t>
      </w:r>
    </w:p>
    <w:p w14:paraId="0053316E">
      <w:pPr>
        <w:adjustRightInd w:val="0"/>
        <w:snapToGrid w:val="0"/>
        <w:spacing w:beforeLines="50" w:line="360" w:lineRule="auto"/>
        <w:ind w:firstLine="420" w:firstLineChars="200"/>
        <w:rPr>
          <w:rFonts w:ascii="宋体" w:hAnsi="宋体"/>
          <w:szCs w:val="21"/>
        </w:rPr>
      </w:pPr>
      <w:r>
        <w:rPr>
          <w:rFonts w:hint="eastAsia" w:ascii="宋体" w:hAnsi="宋体"/>
          <w:szCs w:val="21"/>
        </w:rPr>
        <w:t>（1）合同金额小写：</w:t>
      </w:r>
      <w:r>
        <w:rPr>
          <w:rFonts w:hint="eastAsia" w:ascii="宋体" w:hAnsi="宋体"/>
          <w:szCs w:val="21"/>
          <w:u w:val="single"/>
        </w:rPr>
        <w:t xml:space="preserve">                      </w:t>
      </w:r>
    </w:p>
    <w:p w14:paraId="7DED4D40">
      <w:pPr>
        <w:adjustRightInd w:val="0"/>
        <w:snapToGrid w:val="0"/>
        <w:spacing w:beforeLines="50" w:line="360" w:lineRule="auto"/>
        <w:ind w:firstLine="1260" w:firstLineChars="600"/>
        <w:rPr>
          <w:rFonts w:ascii="宋体" w:hAnsi="宋体"/>
          <w:b/>
          <w:szCs w:val="21"/>
        </w:rPr>
      </w:pPr>
      <w:r>
        <w:rPr>
          <w:rFonts w:hint="eastAsia" w:ascii="宋体" w:hAnsi="宋体"/>
          <w:szCs w:val="21"/>
        </w:rPr>
        <w:t>大写：</w:t>
      </w:r>
      <w:r>
        <w:rPr>
          <w:rFonts w:hint="eastAsia" w:ascii="宋体" w:hAnsi="宋体"/>
          <w:szCs w:val="21"/>
          <w:u w:val="single"/>
        </w:rPr>
        <w:t xml:space="preserve">                      </w:t>
      </w:r>
    </w:p>
    <w:p w14:paraId="38B97079">
      <w:pPr>
        <w:adjustRightInd w:val="0"/>
        <w:snapToGrid w:val="0"/>
        <w:spacing w:beforeLines="50" w:line="360" w:lineRule="auto"/>
        <w:ind w:firstLine="420" w:firstLineChars="200"/>
        <w:rPr>
          <w:rFonts w:ascii="宋体" w:hAnsi="宋体"/>
          <w:szCs w:val="21"/>
        </w:rPr>
      </w:pPr>
      <w:r>
        <w:rPr>
          <w:rFonts w:hint="eastAsia" w:ascii="宋体" w:hAnsi="宋体"/>
          <w:szCs w:val="21"/>
        </w:rPr>
        <w:t>（2）具体标的见附件。</w:t>
      </w:r>
    </w:p>
    <w:p w14:paraId="45C73D22">
      <w:pPr>
        <w:adjustRightInd w:val="0"/>
        <w:snapToGrid w:val="0"/>
        <w:spacing w:beforeLines="50" w:line="360" w:lineRule="auto"/>
        <w:ind w:firstLine="420" w:firstLineChars="200"/>
        <w:rPr>
          <w:rFonts w:ascii="宋体" w:hAnsi="宋体"/>
          <w:szCs w:val="21"/>
        </w:rPr>
      </w:pPr>
      <w:r>
        <w:rPr>
          <w:rFonts w:hint="eastAsia" w:ascii="宋体" w:hAnsi="宋体"/>
          <w:szCs w:val="21"/>
        </w:rPr>
        <w:t>（3）合同定价方式：</w:t>
      </w:r>
      <w:r>
        <w:rPr>
          <w:rFonts w:hint="eastAsia" w:ascii="宋体" w:hAnsi="宋体"/>
          <w:iCs/>
          <w:szCs w:val="21"/>
        </w:rPr>
        <w:sym w:font="Wingdings" w:char="00A8"/>
      </w:r>
      <w:r>
        <w:rPr>
          <w:rFonts w:hint="eastAsia" w:ascii="宋体" w:hAnsi="宋体"/>
          <w:iCs/>
          <w:szCs w:val="21"/>
        </w:rPr>
        <w:t xml:space="preserve">固定总价 </w:t>
      </w:r>
      <w:r>
        <w:rPr>
          <w:rFonts w:hint="eastAsia" w:ascii="宋体" w:hAnsi="宋体"/>
          <w:iCs/>
          <w:szCs w:val="21"/>
        </w:rPr>
        <w:sym w:font="Wingdings" w:char="00A8"/>
      </w:r>
      <w:r>
        <w:rPr>
          <w:rFonts w:hint="eastAsia" w:ascii="宋体" w:hAnsi="宋体"/>
          <w:iCs/>
          <w:szCs w:val="21"/>
        </w:rPr>
        <w:t xml:space="preserve">固定单价 </w:t>
      </w:r>
      <w:r>
        <w:rPr>
          <w:rFonts w:hint="eastAsia" w:ascii="宋体" w:hAnsi="宋体"/>
          <w:iCs/>
          <w:szCs w:val="21"/>
        </w:rPr>
        <w:sym w:font="Wingdings" w:char="00A8"/>
      </w:r>
      <w:r>
        <w:rPr>
          <w:rFonts w:hint="eastAsia" w:ascii="宋体" w:hAnsi="宋体"/>
          <w:iCs/>
          <w:szCs w:val="21"/>
        </w:rPr>
        <w:t xml:space="preserve">成本补偿 </w:t>
      </w:r>
      <w:r>
        <w:rPr>
          <w:rFonts w:hint="eastAsia" w:ascii="宋体" w:hAnsi="宋体"/>
          <w:iCs/>
          <w:szCs w:val="21"/>
        </w:rPr>
        <w:sym w:font="Wingdings" w:char="00A8"/>
      </w:r>
      <w:r>
        <w:rPr>
          <w:rFonts w:hint="eastAsia" w:ascii="宋体" w:hAnsi="宋体"/>
          <w:iCs/>
          <w:szCs w:val="21"/>
        </w:rPr>
        <w:t>绩效激励</w:t>
      </w:r>
    </w:p>
    <w:p w14:paraId="02E55A80">
      <w:pPr>
        <w:pStyle w:val="125"/>
        <w:spacing w:line="360" w:lineRule="auto"/>
        <w:rPr>
          <w:rFonts w:hAnsi="宋体" w:cs="Times New Roman"/>
          <w:color w:val="auto"/>
          <w:kern w:val="2"/>
          <w:sz w:val="21"/>
          <w:szCs w:val="21"/>
        </w:rPr>
      </w:pPr>
      <w:r>
        <w:rPr>
          <w:rFonts w:hint="eastAsia" w:hAnsi="宋体" w:cs="Times New Roman"/>
          <w:color w:val="auto"/>
          <w:kern w:val="2"/>
          <w:sz w:val="21"/>
          <w:szCs w:val="21"/>
        </w:rPr>
        <w:t>（4）付款方式（按项目实际勾选填写）：</w:t>
      </w:r>
    </w:p>
    <w:p w14:paraId="1CD3EEC7">
      <w:pPr>
        <w:adjustRightInd w:val="0"/>
        <w:snapToGrid w:val="0"/>
        <w:spacing w:beforeLines="50" w:line="360" w:lineRule="auto"/>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全额付款：</w:t>
      </w:r>
      <w:r>
        <w:rPr>
          <w:rFonts w:hint="eastAsia" w:ascii="宋体" w:hAnsi="宋体"/>
          <w:szCs w:val="21"/>
          <w:u w:val="single"/>
        </w:rPr>
        <w:t xml:space="preserve">     （应一次性支付全部合同款项）                    </w:t>
      </w:r>
    </w:p>
    <w:p w14:paraId="5EA69208">
      <w:pPr>
        <w:adjustRightInd w:val="0"/>
        <w:snapToGrid w:val="0"/>
        <w:spacing w:beforeLines="50" w:line="360" w:lineRule="auto"/>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预付款：</w:t>
      </w:r>
      <w:r>
        <w:rPr>
          <w:rFonts w:hint="eastAsia" w:ascii="宋体" w:hAnsi="宋体"/>
          <w:szCs w:val="21"/>
          <w:u w:val="single"/>
        </w:rPr>
        <w:t xml:space="preserve">    （应明确预付款的支付比例和支付条件）               </w:t>
      </w:r>
    </w:p>
    <w:p w14:paraId="4E776580">
      <w:pPr>
        <w:adjustRightInd w:val="0"/>
        <w:snapToGrid w:val="0"/>
        <w:spacing w:beforeLines="50" w:line="360" w:lineRule="auto"/>
        <w:ind w:firstLine="630" w:firstLineChars="300"/>
        <w:rPr>
          <w:rFonts w:ascii="宋体" w:hAnsi="宋体"/>
          <w:szCs w:val="21"/>
        </w:rPr>
      </w:pPr>
      <w:r>
        <w:rPr>
          <w:rFonts w:hint="eastAsia" w:ascii="宋体" w:hAnsi="宋体"/>
          <w:szCs w:val="21"/>
        </w:rPr>
        <w:sym w:font="Wingdings" w:char="00A8"/>
      </w:r>
      <w:r>
        <w:rPr>
          <w:rFonts w:hint="eastAsia" w:ascii="宋体" w:hAnsi="宋体"/>
          <w:szCs w:val="21"/>
        </w:rPr>
        <w:t>分期付款：</w:t>
      </w:r>
      <w:r>
        <w:rPr>
          <w:rFonts w:hint="eastAsia" w:ascii="宋体" w:hAnsi="宋体"/>
          <w:szCs w:val="21"/>
          <w:u w:val="single"/>
        </w:rPr>
        <w:t xml:space="preserve">     （应按照季度分期支付合同款项）                   </w:t>
      </w:r>
    </w:p>
    <w:p w14:paraId="2716DF97">
      <w:pPr>
        <w:adjustRightInd w:val="0"/>
        <w:snapToGrid w:val="0"/>
        <w:spacing w:beforeLines="50" w:line="360" w:lineRule="auto"/>
        <w:ind w:firstLine="630" w:firstLineChars="300"/>
        <w:rPr>
          <w:rFonts w:ascii="宋体" w:hAnsi="宋体"/>
          <w:szCs w:val="21"/>
        </w:rPr>
      </w:pPr>
      <w:r>
        <w:rPr>
          <w:rFonts w:hint="eastAsia" w:ascii="宋体" w:hAnsi="宋体"/>
          <w:szCs w:val="21"/>
        </w:rPr>
        <w:sym w:font="Wingdings" w:char="00A8"/>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3483DFFA">
      <w:pPr>
        <w:adjustRightInd w:val="0"/>
        <w:snapToGrid w:val="0"/>
        <w:spacing w:beforeLines="50" w:line="360" w:lineRule="auto"/>
        <w:ind w:firstLine="630" w:firstLineChars="300"/>
        <w:rPr>
          <w:rFonts w:ascii="宋体" w:hAnsi="宋体"/>
          <w:szCs w:val="21"/>
        </w:rPr>
      </w:pPr>
      <w:r>
        <w:rPr>
          <w:rFonts w:hint="eastAsia" w:ascii="宋体" w:hAnsi="宋体"/>
          <w:szCs w:val="21"/>
        </w:rPr>
        <w:sym w:font="Wingdings" w:char="00A8"/>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322F4391">
      <w:pPr>
        <w:adjustRightInd w:val="0"/>
        <w:snapToGrid w:val="0"/>
        <w:spacing w:beforeLines="50" w:line="360" w:lineRule="auto"/>
        <w:ind w:firstLine="422" w:firstLineChars="200"/>
        <w:rPr>
          <w:rFonts w:ascii="宋体" w:hAnsi="宋体"/>
          <w:szCs w:val="21"/>
          <w:u w:val="single"/>
        </w:rPr>
      </w:pPr>
      <w:r>
        <w:rPr>
          <w:rFonts w:hint="eastAsia" w:ascii="宋体" w:hAnsi="宋体"/>
          <w:b/>
          <w:szCs w:val="21"/>
        </w:rPr>
        <w:t>3.合同履行</w:t>
      </w:r>
    </w:p>
    <w:p w14:paraId="74335140">
      <w:pPr>
        <w:adjustRightInd w:val="0"/>
        <w:snapToGrid w:val="0"/>
        <w:spacing w:beforeLines="50" w:line="360" w:lineRule="auto"/>
        <w:ind w:firstLine="420" w:firstLineChars="200"/>
        <w:rPr>
          <w:rFonts w:ascii="宋体" w:hAnsi="宋体"/>
          <w:szCs w:val="21"/>
        </w:rPr>
      </w:pPr>
      <w:r>
        <w:rPr>
          <w:rFonts w:hint="eastAsia" w:ascii="宋体" w:hAnsi="宋体"/>
          <w:szCs w:val="21"/>
        </w:rPr>
        <w:t>（1）起始日期：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日，完成日期：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日。总日历天数：</w:t>
      </w:r>
      <w:r>
        <w:rPr>
          <w:rFonts w:hint="eastAsia" w:ascii="宋体" w:hAnsi="宋体"/>
          <w:szCs w:val="21"/>
          <w:u w:val="single"/>
        </w:rPr>
        <w:t xml:space="preserve">     </w:t>
      </w:r>
      <w:r>
        <w:rPr>
          <w:rFonts w:hint="eastAsia" w:ascii="宋体" w:hAnsi="宋体"/>
          <w:szCs w:val="21"/>
        </w:rPr>
        <w:t>天。</w:t>
      </w:r>
    </w:p>
    <w:p w14:paraId="2CCBCAEB">
      <w:pPr>
        <w:adjustRightInd w:val="0"/>
        <w:snapToGrid w:val="0"/>
        <w:spacing w:beforeLines="50" w:line="360" w:lineRule="auto"/>
        <w:ind w:firstLine="420" w:firstLineChars="200"/>
        <w:rPr>
          <w:rFonts w:ascii="宋体" w:hAnsi="宋体"/>
          <w:szCs w:val="21"/>
          <w:u w:val="single"/>
        </w:rPr>
      </w:pPr>
      <w:r>
        <w:rPr>
          <w:rFonts w:hint="eastAsia" w:ascii="宋体" w:hAnsi="宋体"/>
          <w:szCs w:val="21"/>
        </w:rPr>
        <w:t>（2）地点</w:t>
      </w:r>
      <w:r>
        <w:rPr>
          <w:rFonts w:hint="eastAsia" w:ascii="宋体" w:hAnsi="宋体"/>
          <w:b/>
          <w:szCs w:val="21"/>
        </w:rPr>
        <w:t>：</w:t>
      </w:r>
      <w:r>
        <w:rPr>
          <w:rFonts w:hint="eastAsia" w:ascii="宋体" w:hAnsi="宋体"/>
          <w:szCs w:val="21"/>
          <w:u w:val="single"/>
        </w:rPr>
        <w:t xml:space="preserve">                             </w:t>
      </w:r>
    </w:p>
    <w:p w14:paraId="46073FF1">
      <w:pPr>
        <w:adjustRightInd w:val="0"/>
        <w:snapToGrid w:val="0"/>
        <w:spacing w:beforeLines="50" w:line="360" w:lineRule="auto"/>
        <w:ind w:firstLine="420" w:firstLineChars="200"/>
        <w:rPr>
          <w:rFonts w:ascii="宋体" w:hAnsi="宋体"/>
          <w:szCs w:val="21"/>
          <w:u w:val="single"/>
        </w:rPr>
      </w:pPr>
      <w:r>
        <w:rPr>
          <w:rFonts w:hint="eastAsia" w:ascii="宋体" w:hAnsi="宋体"/>
          <w:szCs w:val="21"/>
        </w:rPr>
        <w:t>（3）方式：</w:t>
      </w:r>
      <w:r>
        <w:rPr>
          <w:rFonts w:hint="eastAsia" w:ascii="宋体" w:hAnsi="宋体"/>
          <w:szCs w:val="21"/>
          <w:u w:val="single"/>
        </w:rPr>
        <w:t xml:space="preserve">                             </w:t>
      </w:r>
    </w:p>
    <w:p w14:paraId="7A497D13">
      <w:pPr>
        <w:adjustRightInd w:val="0"/>
        <w:snapToGrid w:val="0"/>
        <w:spacing w:beforeLines="50" w:line="360" w:lineRule="auto"/>
        <w:ind w:firstLine="420" w:firstLineChars="200"/>
        <w:rPr>
          <w:rFonts w:ascii="宋体" w:hAnsi="宋体"/>
          <w:bCs/>
          <w:szCs w:val="21"/>
        </w:rPr>
      </w:pPr>
      <w:r>
        <w:rPr>
          <w:rFonts w:hint="eastAsia" w:ascii="宋体" w:hAnsi="宋体"/>
          <w:bCs/>
          <w:szCs w:val="21"/>
        </w:rPr>
        <w:t>（4）履约担保：</w:t>
      </w:r>
      <w:r>
        <w:rPr>
          <w:rFonts w:hint="eastAsia" w:ascii="宋体" w:hAnsi="宋体"/>
          <w:bCs/>
          <w:szCs w:val="21"/>
          <w:u w:val="single"/>
        </w:rPr>
        <w:t>履约担保的金额、形式和期限要求</w:t>
      </w:r>
      <w:r>
        <w:rPr>
          <w:rFonts w:hint="eastAsia" w:ascii="宋体" w:hAnsi="宋体"/>
          <w:bCs/>
          <w:szCs w:val="21"/>
        </w:rPr>
        <w:t>。</w:t>
      </w:r>
    </w:p>
    <w:p w14:paraId="01F23BED">
      <w:pPr>
        <w:adjustRightInd w:val="0"/>
        <w:snapToGrid w:val="0"/>
        <w:spacing w:beforeLines="50" w:line="360" w:lineRule="auto"/>
        <w:ind w:firstLine="420" w:firstLineChars="200"/>
        <w:rPr>
          <w:rFonts w:ascii="宋体" w:hAnsi="宋体"/>
          <w:bCs/>
          <w:szCs w:val="21"/>
        </w:rPr>
      </w:pPr>
      <w:r>
        <w:rPr>
          <w:rFonts w:hint="eastAsia" w:ascii="宋体" w:hAnsi="宋体"/>
          <w:bCs/>
          <w:szCs w:val="21"/>
        </w:rPr>
        <w:t>（5）质量保证金：</w:t>
      </w:r>
      <w:r>
        <w:rPr>
          <w:rFonts w:hint="eastAsia" w:ascii="宋体" w:hAnsi="宋体"/>
          <w:bCs/>
          <w:szCs w:val="21"/>
          <w:u w:val="single"/>
        </w:rPr>
        <w:t>质量保证金的金额、形式和期限要求</w:t>
      </w:r>
      <w:r>
        <w:rPr>
          <w:rFonts w:hint="eastAsia" w:ascii="宋体" w:hAnsi="宋体"/>
          <w:bCs/>
          <w:szCs w:val="21"/>
        </w:rPr>
        <w:t>。</w:t>
      </w:r>
    </w:p>
    <w:p w14:paraId="7A6560F1">
      <w:pPr>
        <w:adjustRightInd w:val="0"/>
        <w:snapToGrid w:val="0"/>
        <w:spacing w:beforeLines="50" w:line="360" w:lineRule="auto"/>
        <w:ind w:firstLine="422" w:firstLineChars="200"/>
        <w:rPr>
          <w:rFonts w:ascii="宋体" w:hAnsi="宋体"/>
          <w:b/>
          <w:szCs w:val="21"/>
        </w:rPr>
      </w:pPr>
      <w:r>
        <w:rPr>
          <w:rFonts w:hint="eastAsia" w:ascii="宋体" w:hAnsi="宋体"/>
          <w:b/>
          <w:szCs w:val="21"/>
        </w:rPr>
        <w:t>4.合同验收</w:t>
      </w:r>
    </w:p>
    <w:p w14:paraId="6AFBD343">
      <w:pPr>
        <w:adjustRightInd w:val="0"/>
        <w:snapToGrid w:val="0"/>
        <w:spacing w:beforeLines="50" w:line="360" w:lineRule="auto"/>
        <w:ind w:firstLine="420" w:firstLineChars="200"/>
        <w:rPr>
          <w:rFonts w:ascii="宋体" w:hAnsi="宋体"/>
          <w:bCs/>
          <w:szCs w:val="21"/>
        </w:rPr>
      </w:pPr>
      <w:r>
        <w:rPr>
          <w:rFonts w:hint="eastAsia" w:ascii="宋体" w:hAnsi="宋体"/>
          <w:bCs/>
          <w:szCs w:val="21"/>
        </w:rPr>
        <w:t>（1）验收主体：</w:t>
      </w:r>
      <w:r>
        <w:rPr>
          <w:rFonts w:hint="eastAsia" w:ascii="宋体" w:hAnsi="宋体"/>
          <w:bCs/>
          <w:szCs w:val="21"/>
          <w:u w:val="single"/>
        </w:rPr>
        <w:t xml:space="preserve">                             </w:t>
      </w:r>
      <w:r>
        <w:rPr>
          <w:rFonts w:hint="eastAsia" w:ascii="宋体" w:hAnsi="宋体"/>
          <w:bCs/>
          <w:szCs w:val="21"/>
        </w:rPr>
        <w:t>。</w:t>
      </w:r>
    </w:p>
    <w:p w14:paraId="03A28019">
      <w:pPr>
        <w:adjustRightInd w:val="0"/>
        <w:snapToGrid w:val="0"/>
        <w:spacing w:beforeLines="50" w:line="360" w:lineRule="auto"/>
        <w:ind w:firstLine="420" w:firstLineChars="200"/>
        <w:rPr>
          <w:rFonts w:ascii="宋体" w:hAnsi="宋体"/>
          <w:bCs/>
          <w:szCs w:val="21"/>
        </w:rPr>
      </w:pPr>
      <w:r>
        <w:rPr>
          <w:rFonts w:hint="eastAsia" w:ascii="宋体" w:hAnsi="宋体"/>
          <w:bCs/>
          <w:szCs w:val="21"/>
        </w:rPr>
        <w:t>（2）验收方式：</w:t>
      </w:r>
      <w:r>
        <w:rPr>
          <w:rFonts w:hint="eastAsia" w:ascii="宋体" w:hAnsi="宋体"/>
          <w:bCs/>
          <w:szCs w:val="21"/>
          <w:u w:val="single"/>
        </w:rPr>
        <w:t xml:space="preserve">                             </w:t>
      </w:r>
      <w:r>
        <w:rPr>
          <w:rFonts w:hint="eastAsia" w:ascii="宋体" w:hAnsi="宋体"/>
          <w:bCs/>
          <w:szCs w:val="21"/>
        </w:rPr>
        <w:t>。</w:t>
      </w:r>
    </w:p>
    <w:p w14:paraId="1A3E5F43">
      <w:pPr>
        <w:adjustRightInd w:val="0"/>
        <w:snapToGrid w:val="0"/>
        <w:spacing w:beforeLines="50" w:line="360" w:lineRule="auto"/>
        <w:ind w:firstLine="420" w:firstLineChars="200"/>
        <w:rPr>
          <w:rFonts w:ascii="宋体" w:hAnsi="宋体"/>
          <w:bCs/>
          <w:szCs w:val="21"/>
        </w:rPr>
      </w:pPr>
      <w:r>
        <w:rPr>
          <w:rFonts w:hint="eastAsia" w:ascii="宋体" w:hAnsi="宋体"/>
          <w:bCs/>
          <w:szCs w:val="21"/>
        </w:rPr>
        <w:t>（3）验收标准：</w:t>
      </w:r>
      <w:r>
        <w:rPr>
          <w:rFonts w:hint="eastAsia" w:ascii="宋体" w:hAnsi="宋体"/>
          <w:bCs/>
          <w:szCs w:val="21"/>
          <w:u w:val="single"/>
        </w:rPr>
        <w:t xml:space="preserve">                             </w:t>
      </w:r>
      <w:r>
        <w:rPr>
          <w:rFonts w:hint="eastAsia" w:ascii="宋体" w:hAnsi="宋体"/>
          <w:bCs/>
          <w:szCs w:val="21"/>
        </w:rPr>
        <w:t>。</w:t>
      </w:r>
    </w:p>
    <w:p w14:paraId="7CA03015">
      <w:pPr>
        <w:adjustRightInd w:val="0"/>
        <w:snapToGrid w:val="0"/>
        <w:spacing w:beforeLines="50" w:line="360" w:lineRule="auto"/>
        <w:ind w:firstLine="422" w:firstLineChars="200"/>
        <w:rPr>
          <w:rFonts w:ascii="宋体" w:hAnsi="宋体"/>
          <w:b/>
          <w:szCs w:val="21"/>
        </w:rPr>
      </w:pPr>
      <w:r>
        <w:rPr>
          <w:rFonts w:hint="eastAsia" w:ascii="宋体" w:hAnsi="宋体"/>
          <w:b/>
          <w:szCs w:val="21"/>
        </w:rPr>
        <w:t>5.组成合同的文件</w:t>
      </w:r>
    </w:p>
    <w:p w14:paraId="771E43D5">
      <w:pPr>
        <w:adjustRightInd w:val="0"/>
        <w:snapToGrid w:val="0"/>
        <w:spacing w:beforeLines="50" w:line="360" w:lineRule="auto"/>
        <w:ind w:firstLine="420" w:firstLineChars="200"/>
        <w:rPr>
          <w:rFonts w:ascii="宋体" w:hAnsi="宋体"/>
          <w:szCs w:val="21"/>
        </w:rPr>
      </w:pPr>
      <w:r>
        <w:rPr>
          <w:rFonts w:hint="eastAsia" w:ascii="宋体" w:hAnsi="宋体"/>
          <w:szCs w:val="21"/>
        </w:rPr>
        <w:t>本协议书与下列文件一起构成合同文件，如下述文件之间有任何抵触、矛盾或歧义，应按以下顺序解释：</w:t>
      </w:r>
    </w:p>
    <w:p w14:paraId="43026314">
      <w:pPr>
        <w:adjustRightInd w:val="0"/>
        <w:snapToGrid w:val="0"/>
        <w:spacing w:beforeLines="50" w:line="360" w:lineRule="auto"/>
        <w:ind w:firstLine="420" w:firstLineChars="200"/>
        <w:rPr>
          <w:rFonts w:ascii="宋体" w:hAnsi="宋体"/>
          <w:szCs w:val="21"/>
        </w:rPr>
      </w:pPr>
      <w:r>
        <w:rPr>
          <w:rFonts w:hint="eastAsia" w:ascii="宋体" w:hAnsi="宋体"/>
          <w:szCs w:val="21"/>
        </w:rPr>
        <w:t>（1）在采购或合同履行过程中乙方作出的承诺以及双方协商达成的变更或补充协议</w:t>
      </w:r>
    </w:p>
    <w:p w14:paraId="13A7E212">
      <w:pPr>
        <w:adjustRightInd w:val="0"/>
        <w:snapToGrid w:val="0"/>
        <w:spacing w:beforeLines="50" w:line="360" w:lineRule="auto"/>
        <w:ind w:firstLine="420" w:firstLineChars="200"/>
        <w:rPr>
          <w:rFonts w:ascii="宋体" w:hAnsi="宋体"/>
          <w:szCs w:val="21"/>
        </w:rPr>
      </w:pPr>
      <w:r>
        <w:rPr>
          <w:rFonts w:hint="eastAsia" w:ascii="宋体" w:hAnsi="宋体"/>
          <w:szCs w:val="21"/>
        </w:rPr>
        <w:t>（2）本合同协议书</w:t>
      </w:r>
    </w:p>
    <w:p w14:paraId="5B47EDD3">
      <w:pPr>
        <w:adjustRightInd w:val="0"/>
        <w:snapToGrid w:val="0"/>
        <w:spacing w:beforeLines="50" w:line="360" w:lineRule="auto"/>
        <w:ind w:firstLine="420" w:firstLineChars="200"/>
        <w:rPr>
          <w:rFonts w:ascii="宋体" w:hAnsi="宋体"/>
          <w:szCs w:val="21"/>
        </w:rPr>
      </w:pPr>
      <w:r>
        <w:rPr>
          <w:rFonts w:hint="eastAsia" w:ascii="宋体" w:hAnsi="宋体"/>
          <w:szCs w:val="21"/>
        </w:rPr>
        <w:t>（3）中标通知书</w:t>
      </w:r>
    </w:p>
    <w:p w14:paraId="5F8B9D5E">
      <w:pPr>
        <w:adjustRightInd w:val="0"/>
        <w:snapToGrid w:val="0"/>
        <w:spacing w:beforeLines="50" w:line="360" w:lineRule="auto"/>
        <w:ind w:firstLine="420" w:firstLineChars="200"/>
        <w:rPr>
          <w:rFonts w:ascii="宋体" w:hAnsi="宋体"/>
          <w:szCs w:val="21"/>
        </w:rPr>
      </w:pPr>
      <w:r>
        <w:rPr>
          <w:rFonts w:hint="eastAsia" w:ascii="宋体" w:hAnsi="宋体"/>
          <w:szCs w:val="21"/>
        </w:rPr>
        <w:t>（4）投标文件</w:t>
      </w:r>
    </w:p>
    <w:p w14:paraId="1D8E46D7">
      <w:pPr>
        <w:adjustRightInd w:val="0"/>
        <w:snapToGrid w:val="0"/>
        <w:spacing w:beforeLines="50" w:line="360" w:lineRule="auto"/>
        <w:ind w:firstLine="420" w:firstLineChars="200"/>
        <w:rPr>
          <w:rFonts w:ascii="宋体" w:hAnsi="宋体"/>
          <w:szCs w:val="21"/>
        </w:rPr>
      </w:pPr>
      <w:r>
        <w:rPr>
          <w:rFonts w:hint="eastAsia" w:ascii="宋体" w:hAnsi="宋体"/>
          <w:szCs w:val="21"/>
        </w:rPr>
        <w:t>（5）政府采购合同专用条款</w:t>
      </w:r>
    </w:p>
    <w:p w14:paraId="401B1D88">
      <w:pPr>
        <w:adjustRightInd w:val="0"/>
        <w:snapToGrid w:val="0"/>
        <w:spacing w:beforeLines="50" w:line="360" w:lineRule="auto"/>
        <w:ind w:firstLine="420" w:firstLineChars="200"/>
        <w:rPr>
          <w:rFonts w:ascii="宋体" w:hAnsi="宋体"/>
          <w:szCs w:val="21"/>
        </w:rPr>
      </w:pPr>
      <w:r>
        <w:rPr>
          <w:rFonts w:hint="eastAsia" w:ascii="宋体" w:hAnsi="宋体"/>
          <w:szCs w:val="21"/>
        </w:rPr>
        <w:t>（6）政府采购合同通用条款</w:t>
      </w:r>
    </w:p>
    <w:p w14:paraId="20495F31">
      <w:pPr>
        <w:adjustRightInd w:val="0"/>
        <w:snapToGrid w:val="0"/>
        <w:spacing w:beforeLines="50" w:line="360" w:lineRule="auto"/>
        <w:ind w:firstLine="420" w:firstLineChars="200"/>
        <w:rPr>
          <w:rFonts w:ascii="宋体" w:hAnsi="宋体"/>
          <w:szCs w:val="21"/>
        </w:rPr>
      </w:pPr>
      <w:r>
        <w:rPr>
          <w:rFonts w:hint="eastAsia" w:ascii="宋体" w:hAnsi="宋体"/>
          <w:szCs w:val="21"/>
        </w:rPr>
        <w:t>（7）标准、规范及有关技术文件，图纸。</w:t>
      </w:r>
    </w:p>
    <w:p w14:paraId="296AEEBB">
      <w:pPr>
        <w:adjustRightInd w:val="0"/>
        <w:snapToGrid w:val="0"/>
        <w:spacing w:beforeLines="50" w:line="360" w:lineRule="auto"/>
        <w:ind w:firstLine="420" w:firstLineChars="200"/>
        <w:rPr>
          <w:rFonts w:ascii="宋体" w:hAnsi="宋体"/>
          <w:szCs w:val="21"/>
        </w:rPr>
      </w:pPr>
      <w:r>
        <w:rPr>
          <w:rFonts w:hint="eastAsia" w:ascii="宋体" w:hAnsi="宋体"/>
          <w:szCs w:val="21"/>
        </w:rPr>
        <w:t>（8）其他合同文件。</w:t>
      </w:r>
    </w:p>
    <w:p w14:paraId="0D51E324">
      <w:pPr>
        <w:adjustRightInd w:val="0"/>
        <w:snapToGrid w:val="0"/>
        <w:spacing w:beforeLines="50" w:line="360" w:lineRule="auto"/>
        <w:ind w:firstLine="310" w:firstLineChars="147"/>
        <w:rPr>
          <w:rFonts w:ascii="宋体" w:hAnsi="宋体"/>
          <w:b/>
          <w:szCs w:val="21"/>
        </w:rPr>
      </w:pPr>
      <w:r>
        <w:rPr>
          <w:rFonts w:hint="eastAsia" w:ascii="宋体" w:hAnsi="宋体"/>
          <w:b/>
          <w:szCs w:val="21"/>
        </w:rPr>
        <w:t>6.合同生效</w:t>
      </w:r>
    </w:p>
    <w:p w14:paraId="2A6A36A3">
      <w:pPr>
        <w:adjustRightInd w:val="0"/>
        <w:snapToGrid w:val="0"/>
        <w:spacing w:beforeLines="50" w:line="360" w:lineRule="auto"/>
        <w:ind w:firstLine="420" w:firstLineChars="200"/>
        <w:rPr>
          <w:rFonts w:ascii="宋体" w:hAnsi="宋体"/>
          <w:szCs w:val="21"/>
        </w:rPr>
      </w:pPr>
      <w:r>
        <w:rPr>
          <w:rFonts w:hint="eastAsia" w:ascii="宋体" w:hAnsi="宋体"/>
          <w:szCs w:val="21"/>
        </w:rPr>
        <w:t>本合同自</w:t>
      </w:r>
      <w:r>
        <w:rPr>
          <w:rFonts w:hint="eastAsia" w:ascii="宋体" w:hAnsi="宋体"/>
          <w:szCs w:val="21"/>
          <w:u w:val="single"/>
        </w:rPr>
        <w:t xml:space="preserve">                             </w:t>
      </w:r>
      <w:r>
        <w:rPr>
          <w:rFonts w:hint="eastAsia" w:ascii="宋体" w:hAnsi="宋体"/>
          <w:szCs w:val="21"/>
        </w:rPr>
        <w:t>生效。</w:t>
      </w:r>
    </w:p>
    <w:p w14:paraId="6CC89C77">
      <w:pPr>
        <w:adjustRightInd w:val="0"/>
        <w:snapToGrid w:val="0"/>
        <w:spacing w:beforeLines="50" w:line="360" w:lineRule="auto"/>
        <w:ind w:firstLine="310" w:firstLineChars="147"/>
        <w:rPr>
          <w:rFonts w:ascii="宋体" w:hAnsi="宋体"/>
          <w:b/>
          <w:szCs w:val="21"/>
        </w:rPr>
      </w:pPr>
      <w:r>
        <w:rPr>
          <w:rFonts w:hint="eastAsia" w:ascii="宋体" w:hAnsi="宋体"/>
          <w:b/>
          <w:szCs w:val="21"/>
        </w:rPr>
        <w:t>7.合同份数</w:t>
      </w:r>
    </w:p>
    <w:p w14:paraId="3FFDF70A">
      <w:pPr>
        <w:adjustRightInd w:val="0"/>
        <w:snapToGrid w:val="0"/>
        <w:spacing w:beforeLines="50" w:line="360" w:lineRule="auto"/>
        <w:ind w:firstLine="420" w:firstLineChars="200"/>
        <w:rPr>
          <w:rFonts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份，采购人执</w:t>
      </w:r>
      <w:r>
        <w:rPr>
          <w:rFonts w:hint="eastAsia" w:ascii="宋体" w:hAnsi="宋体"/>
          <w:szCs w:val="21"/>
          <w:u w:val="single"/>
        </w:rPr>
        <w:t xml:space="preserve">   </w:t>
      </w:r>
      <w:r>
        <w:rPr>
          <w:rFonts w:hint="eastAsia" w:ascii="宋体" w:hAnsi="宋体"/>
          <w:szCs w:val="21"/>
        </w:rPr>
        <w:t>份，供应商执</w:t>
      </w:r>
      <w:r>
        <w:rPr>
          <w:rFonts w:hint="eastAsia" w:ascii="宋体" w:hAnsi="宋体"/>
          <w:szCs w:val="21"/>
          <w:u w:val="single"/>
        </w:rPr>
        <w:t xml:space="preserve">   </w:t>
      </w:r>
      <w:r>
        <w:rPr>
          <w:rFonts w:hint="eastAsia" w:ascii="宋体" w:hAnsi="宋体"/>
          <w:szCs w:val="21"/>
        </w:rPr>
        <w:t>份，均具有同等法律效力。</w:t>
      </w:r>
    </w:p>
    <w:p w14:paraId="36E7819A">
      <w:pPr>
        <w:adjustRightInd w:val="0"/>
        <w:snapToGrid w:val="0"/>
        <w:spacing w:beforeLines="50" w:line="360" w:lineRule="auto"/>
        <w:rPr>
          <w:rFonts w:ascii="宋体" w:hAnsi="宋体"/>
          <w:szCs w:val="21"/>
        </w:rPr>
      </w:pPr>
    </w:p>
    <w:p w14:paraId="57654D7B">
      <w:pPr>
        <w:adjustRightInd w:val="0"/>
        <w:snapToGrid w:val="0"/>
        <w:spacing w:beforeLines="50" w:line="360" w:lineRule="auto"/>
        <w:ind w:firstLine="420" w:firstLineChars="200"/>
        <w:rPr>
          <w:rFonts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DA333D4">
      <w:pPr>
        <w:adjustRightInd w:val="0"/>
        <w:snapToGrid w:val="0"/>
        <w:spacing w:beforeLines="50" w:line="360" w:lineRule="auto"/>
        <w:ind w:firstLine="420" w:firstLineChars="200"/>
        <w:rPr>
          <w:rFonts w:ascii="宋体" w:hAnsi="宋体"/>
          <w:szCs w:val="21"/>
        </w:rPr>
      </w:pPr>
      <w:r>
        <w:rPr>
          <w:rFonts w:hint="eastAsia" w:ascii="宋体" w:hAnsi="宋体"/>
          <w:szCs w:val="21"/>
        </w:rPr>
        <w:t>合同订立地点：</w:t>
      </w:r>
      <w:r>
        <w:rPr>
          <w:rFonts w:hint="eastAsia" w:ascii="宋体" w:hAnsi="宋体"/>
          <w:szCs w:val="21"/>
          <w:u w:val="single"/>
        </w:rPr>
        <w:t xml:space="preserve">                           </w:t>
      </w:r>
    </w:p>
    <w:p w14:paraId="3402C432">
      <w:pPr>
        <w:adjustRightInd w:val="0"/>
        <w:snapToGrid w:val="0"/>
        <w:spacing w:beforeLines="50" w:line="360" w:lineRule="auto"/>
        <w:ind w:firstLine="420" w:firstLineChars="200"/>
        <w:rPr>
          <w:rFonts w:ascii="宋体" w:hAnsi="宋体"/>
          <w:szCs w:val="21"/>
        </w:rPr>
      </w:pPr>
      <w:r>
        <w:rPr>
          <w:rFonts w:hint="eastAsia" w:ascii="宋体" w:hAnsi="宋体"/>
          <w:szCs w:val="21"/>
        </w:rPr>
        <w:t xml:space="preserve">附件：具体标的明细、分包合同等。    </w:t>
      </w:r>
    </w:p>
    <w:p w14:paraId="59E93038">
      <w:pPr>
        <w:pStyle w:val="125"/>
        <w:ind w:firstLine="640"/>
        <w:rPr>
          <w:rFonts w:hAnsi="宋体"/>
        </w:rPr>
      </w:pPr>
    </w:p>
    <w:p w14:paraId="366E25E7">
      <w:pPr>
        <w:pStyle w:val="125"/>
        <w:ind w:firstLine="640"/>
        <w:rPr>
          <w:rFonts w:hAnsi="宋体"/>
        </w:rPr>
      </w:pPr>
    </w:p>
    <w:p w14:paraId="18BB1B24">
      <w:pPr>
        <w:adjustRightInd w:val="0"/>
        <w:snapToGrid w:val="0"/>
        <w:spacing w:beforeLines="50" w:line="360" w:lineRule="auto"/>
        <w:rPr>
          <w:rFonts w:ascii="宋体" w:hAnsi="宋体"/>
          <w:szCs w:val="21"/>
        </w:rPr>
      </w:pPr>
      <w:r>
        <w:rPr>
          <w:rFonts w:hint="eastAsia" w:ascii="宋体" w:hAnsi="宋体"/>
          <w:szCs w:val="21"/>
        </w:rPr>
        <w:t>甲      方：（公章）                     乙      方：（公章）</w:t>
      </w:r>
    </w:p>
    <w:p w14:paraId="494FE049">
      <w:pPr>
        <w:adjustRightInd w:val="0"/>
        <w:snapToGrid w:val="0"/>
        <w:spacing w:beforeLines="50" w:line="360" w:lineRule="auto"/>
        <w:rPr>
          <w:rFonts w:ascii="宋体" w:hAnsi="宋体"/>
          <w:szCs w:val="21"/>
        </w:rPr>
      </w:pPr>
      <w:r>
        <w:rPr>
          <w:rFonts w:hint="eastAsia" w:ascii="宋体" w:hAnsi="宋体"/>
          <w:szCs w:val="21"/>
        </w:rPr>
        <w:t>法定代表人：</w:t>
      </w:r>
      <w:r>
        <w:rPr>
          <w:rFonts w:hint="eastAsia" w:ascii="宋体" w:hAnsi="宋体"/>
          <w:szCs w:val="21"/>
          <w:u w:val="single"/>
        </w:rPr>
        <w:t xml:space="preserve">                   </w:t>
      </w:r>
      <w:r>
        <w:rPr>
          <w:rFonts w:hint="eastAsia" w:ascii="宋体" w:hAnsi="宋体"/>
          <w:szCs w:val="21"/>
        </w:rPr>
        <w:t xml:space="preserve">         法定代表人：</w:t>
      </w:r>
      <w:r>
        <w:rPr>
          <w:rFonts w:hint="eastAsia" w:ascii="宋体" w:hAnsi="宋体"/>
          <w:szCs w:val="21"/>
          <w:u w:val="single"/>
        </w:rPr>
        <w:t xml:space="preserve">                   </w:t>
      </w:r>
    </w:p>
    <w:p w14:paraId="43C384E7">
      <w:pPr>
        <w:adjustRightInd w:val="0"/>
        <w:snapToGrid w:val="0"/>
        <w:spacing w:beforeLines="50" w:line="360" w:lineRule="auto"/>
        <w:rPr>
          <w:rFonts w:ascii="宋体" w:hAnsi="宋体"/>
          <w:szCs w:val="21"/>
        </w:rPr>
      </w:pP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 xml:space="preserve">         委托代理人：</w:t>
      </w:r>
      <w:r>
        <w:rPr>
          <w:rFonts w:hint="eastAsia" w:ascii="宋体" w:hAnsi="宋体"/>
          <w:szCs w:val="21"/>
          <w:u w:val="single"/>
        </w:rPr>
        <w:t xml:space="preserve">                   </w:t>
      </w:r>
    </w:p>
    <w:p w14:paraId="31C01170">
      <w:pPr>
        <w:adjustRightInd w:val="0"/>
        <w:snapToGrid w:val="0"/>
        <w:spacing w:beforeLines="50" w:line="360" w:lineRule="auto"/>
        <w:rPr>
          <w:rFonts w:ascii="宋体" w:hAnsi="宋体"/>
          <w:szCs w:val="21"/>
        </w:rPr>
      </w:pPr>
      <w:r>
        <w:rPr>
          <w:rFonts w:hint="eastAsia" w:ascii="宋体" w:hAnsi="宋体"/>
          <w:szCs w:val="21"/>
        </w:rPr>
        <w:t>电      话：</w:t>
      </w:r>
      <w:r>
        <w:rPr>
          <w:rFonts w:hint="eastAsia" w:ascii="宋体" w:hAnsi="宋体"/>
          <w:szCs w:val="21"/>
          <w:u w:val="single"/>
        </w:rPr>
        <w:t xml:space="preserve">                   </w:t>
      </w:r>
      <w:r>
        <w:rPr>
          <w:rFonts w:hint="eastAsia" w:ascii="宋体" w:hAnsi="宋体"/>
          <w:szCs w:val="21"/>
        </w:rPr>
        <w:t xml:space="preserve">         电      话：</w:t>
      </w:r>
      <w:r>
        <w:rPr>
          <w:rFonts w:hint="eastAsia" w:ascii="宋体" w:hAnsi="宋体"/>
          <w:szCs w:val="21"/>
          <w:u w:val="single"/>
        </w:rPr>
        <w:t xml:space="preserve">                   </w:t>
      </w:r>
    </w:p>
    <w:p w14:paraId="5F28439A">
      <w:pPr>
        <w:adjustRightInd w:val="0"/>
        <w:snapToGrid w:val="0"/>
        <w:spacing w:beforeLines="50" w:line="360" w:lineRule="auto"/>
        <w:rPr>
          <w:rFonts w:ascii="宋体" w:hAnsi="宋体"/>
          <w:szCs w:val="21"/>
        </w:rPr>
      </w:pPr>
      <w:r>
        <w:rPr>
          <w:rFonts w:hint="eastAsia" w:ascii="宋体" w:hAnsi="宋体"/>
          <w:szCs w:val="21"/>
        </w:rPr>
        <w:t>传      真：</w:t>
      </w:r>
      <w:r>
        <w:rPr>
          <w:rFonts w:hint="eastAsia" w:ascii="宋体" w:hAnsi="宋体"/>
          <w:szCs w:val="21"/>
          <w:u w:val="single"/>
        </w:rPr>
        <w:t xml:space="preserve">                   </w:t>
      </w:r>
      <w:r>
        <w:rPr>
          <w:rFonts w:hint="eastAsia" w:ascii="宋体" w:hAnsi="宋体"/>
          <w:szCs w:val="21"/>
        </w:rPr>
        <w:t xml:space="preserve">         传      真：</w:t>
      </w:r>
      <w:r>
        <w:rPr>
          <w:rFonts w:hint="eastAsia" w:ascii="宋体" w:hAnsi="宋体"/>
          <w:szCs w:val="21"/>
          <w:u w:val="single"/>
        </w:rPr>
        <w:t xml:space="preserve">                   </w:t>
      </w:r>
    </w:p>
    <w:p w14:paraId="289CD1C2">
      <w:pPr>
        <w:adjustRightInd w:val="0"/>
        <w:snapToGrid w:val="0"/>
        <w:spacing w:beforeLines="50" w:line="360" w:lineRule="auto"/>
        <w:ind w:firstLine="420" w:firstLineChars="200"/>
        <w:rPr>
          <w:rFonts w:ascii="宋体" w:hAnsi="宋体"/>
          <w:szCs w:val="21"/>
        </w:rPr>
      </w:pPr>
      <w:r>
        <w:rPr>
          <w:rFonts w:hint="eastAsia" w:ascii="宋体" w:hAnsi="宋体"/>
          <w:szCs w:val="21"/>
        </w:rPr>
        <w:t xml:space="preserve">                                    开 户 银 行：</w:t>
      </w:r>
      <w:r>
        <w:rPr>
          <w:rFonts w:hint="eastAsia" w:ascii="宋体" w:hAnsi="宋体"/>
          <w:szCs w:val="21"/>
          <w:u w:val="single"/>
        </w:rPr>
        <w:t xml:space="preserve">                   </w:t>
      </w:r>
    </w:p>
    <w:p w14:paraId="4EF6D1E7">
      <w:pPr>
        <w:adjustRightInd w:val="0"/>
        <w:snapToGrid w:val="0"/>
        <w:spacing w:beforeLines="50" w:line="360" w:lineRule="auto"/>
        <w:jc w:val="center"/>
        <w:rPr>
          <w:rFonts w:ascii="宋体" w:hAnsi="宋体"/>
          <w:b/>
          <w:szCs w:val="21"/>
        </w:rPr>
      </w:pPr>
      <w:r>
        <w:rPr>
          <w:rFonts w:hint="eastAsia" w:ascii="宋体" w:hAnsi="宋体"/>
          <w:szCs w:val="21"/>
        </w:rPr>
        <w:t xml:space="preserve">         账       号：</w:t>
      </w:r>
      <w:r>
        <w:rPr>
          <w:rFonts w:hint="eastAsia" w:ascii="宋体" w:hAnsi="宋体"/>
          <w:szCs w:val="21"/>
          <w:u w:val="single"/>
        </w:rPr>
        <w:t xml:space="preserve">                   </w:t>
      </w:r>
    </w:p>
    <w:p w14:paraId="01E5846D">
      <w:pPr>
        <w:pStyle w:val="3"/>
        <w:jc w:val="center"/>
        <w:rPr>
          <w:rFonts w:ascii="宋体" w:hAnsi="宋体"/>
          <w:color w:val="000000"/>
          <w:szCs w:val="21"/>
        </w:rPr>
      </w:pPr>
    </w:p>
    <w:p w14:paraId="15722016">
      <w:pPr>
        <w:adjustRightInd w:val="0"/>
        <w:snapToGrid w:val="0"/>
        <w:spacing w:beforeLines="50" w:line="360" w:lineRule="auto"/>
        <w:jc w:val="center"/>
        <w:rPr>
          <w:rFonts w:ascii="宋体" w:hAnsi="宋体" w:cs="宋体"/>
          <w:szCs w:val="21"/>
          <w:u w:val="single"/>
        </w:rPr>
      </w:pPr>
    </w:p>
    <w:p w14:paraId="635F966A">
      <w:pPr>
        <w:pStyle w:val="3"/>
        <w:jc w:val="center"/>
        <w:rPr>
          <w:rFonts w:ascii="宋体" w:hAnsi="宋体" w:cs="宋体"/>
          <w:b w:val="0"/>
          <w:sz w:val="28"/>
          <w:szCs w:val="28"/>
        </w:rPr>
      </w:pPr>
      <w:r>
        <w:rPr>
          <w:rFonts w:hint="eastAsia" w:ascii="宋体" w:hAnsi="宋体" w:cs="宋体"/>
          <w:szCs w:val="21"/>
          <w:u w:val="single"/>
        </w:rPr>
        <w:br w:type="page"/>
      </w:r>
      <w:bookmarkStart w:id="122" w:name="_Toc22335"/>
      <w:bookmarkStart w:id="123" w:name="_Toc2064"/>
      <w:r>
        <w:rPr>
          <w:rFonts w:hint="eastAsia" w:ascii="宋体" w:hAnsi="宋体" w:cs="宋体"/>
          <w:b w:val="0"/>
          <w:sz w:val="28"/>
          <w:szCs w:val="28"/>
        </w:rPr>
        <w:t>第二节 政府采购合同通用条款</w:t>
      </w:r>
      <w:bookmarkEnd w:id="122"/>
      <w:bookmarkEnd w:id="123"/>
    </w:p>
    <w:p w14:paraId="122AEDA7">
      <w:pPr>
        <w:tabs>
          <w:tab w:val="left" w:pos="8820"/>
          <w:tab w:val="left" w:pos="9345"/>
          <w:tab w:val="left" w:pos="9765"/>
        </w:tabs>
        <w:adjustRightInd w:val="0"/>
        <w:snapToGrid w:val="0"/>
        <w:spacing w:line="360" w:lineRule="auto"/>
        <w:ind w:firstLine="422" w:firstLineChars="200"/>
        <w:jc w:val="left"/>
        <w:rPr>
          <w:rFonts w:ascii="宋体" w:hAnsi="宋体"/>
          <w:b/>
          <w:bCs/>
          <w:szCs w:val="21"/>
        </w:rPr>
      </w:pPr>
      <w:r>
        <w:rPr>
          <w:rFonts w:hint="eastAsia" w:ascii="宋体" w:hAnsi="宋体"/>
          <w:b/>
          <w:szCs w:val="21"/>
        </w:rPr>
        <w:t>1.</w:t>
      </w:r>
      <w:r>
        <w:rPr>
          <w:rFonts w:hint="eastAsia" w:ascii="宋体" w:hAnsi="宋体"/>
          <w:b/>
          <w:bCs/>
          <w:szCs w:val="21"/>
        </w:rPr>
        <w:t>定义</w:t>
      </w:r>
    </w:p>
    <w:p w14:paraId="5B41A573">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1.1合同当事人</w:t>
      </w:r>
    </w:p>
    <w:p w14:paraId="4C377EC5">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（1）采购人（以下称甲方）是指使用财政性资金，通过政府采购程序向投标人购买货物、服务的国家机关、事业单位、团体组织。本次采购的甲方名称、地址见</w:t>
      </w:r>
      <w:r>
        <w:rPr>
          <w:rFonts w:hint="eastAsia" w:ascii="宋体" w:hAnsi="宋体"/>
          <w:b/>
          <w:szCs w:val="21"/>
        </w:rPr>
        <w:t>【政府采购合同专用条款】。</w:t>
      </w:r>
    </w:p>
    <w:p w14:paraId="1B06D3F2">
      <w:pPr>
        <w:autoSpaceDE w:val="0"/>
        <w:autoSpaceDN w:val="0"/>
        <w:adjustRightInd w:val="0"/>
        <w:snapToGrid w:val="0"/>
        <w:spacing w:line="360" w:lineRule="auto"/>
        <w:ind w:firstLine="420" w:firstLineChars="200"/>
        <w:jc w:val="left"/>
        <w:rPr>
          <w:rFonts w:ascii="宋体" w:hAnsi="宋体"/>
          <w:b/>
          <w:szCs w:val="21"/>
        </w:rPr>
      </w:pPr>
      <w:r>
        <w:rPr>
          <w:rFonts w:hint="eastAsia" w:ascii="宋体" w:hAnsi="宋体"/>
          <w:szCs w:val="21"/>
        </w:rPr>
        <w:t>（2）投标人（以下称乙方）是指参加政府采购活动而取得中标结果，并向采购人提供货物、服务的法人、其他组织或者自然人。</w:t>
      </w:r>
    </w:p>
    <w:p w14:paraId="7CAF1941">
      <w:pPr>
        <w:tabs>
          <w:tab w:val="left" w:pos="570"/>
          <w:tab w:val="left" w:pos="9240"/>
          <w:tab w:val="left" w:pos="9555"/>
        </w:tabs>
        <w:adjustRightInd w:val="0"/>
        <w:snapToGrid w:val="0"/>
        <w:spacing w:line="360" w:lineRule="auto"/>
        <w:ind w:firstLine="420" w:firstLineChars="200"/>
        <w:jc w:val="left"/>
        <w:rPr>
          <w:rFonts w:ascii="宋体" w:hAnsi="宋体"/>
          <w:szCs w:val="21"/>
        </w:rPr>
      </w:pPr>
      <w:r>
        <w:rPr>
          <w:rFonts w:hint="eastAsia" w:ascii="宋体" w:hAnsi="宋体"/>
          <w:szCs w:val="21"/>
        </w:rPr>
        <w:t>1.2本合同下列术语应解释为：</w:t>
      </w:r>
    </w:p>
    <w:p w14:paraId="1CC244AA">
      <w:pPr>
        <w:tabs>
          <w:tab w:val="left" w:pos="570"/>
          <w:tab w:val="left" w:pos="9240"/>
          <w:tab w:val="left" w:pos="9555"/>
        </w:tabs>
        <w:adjustRightInd w:val="0"/>
        <w:snapToGrid w:val="0"/>
        <w:spacing w:line="360" w:lineRule="auto"/>
        <w:ind w:firstLine="420" w:firstLineChars="200"/>
        <w:jc w:val="left"/>
        <w:rPr>
          <w:rFonts w:ascii="宋体" w:hAnsi="宋体"/>
          <w:szCs w:val="21"/>
        </w:rPr>
      </w:pPr>
      <w:r>
        <w:rPr>
          <w:rFonts w:hint="eastAsia" w:ascii="宋体" w:hAnsi="宋体"/>
          <w:szCs w:val="21"/>
        </w:rPr>
        <w:t>（1）“合同”系指甲乙双方签署的、政府采购合同协议书中载明的甲乙双方所达成的协议，包括所有的附页、附录和上述文件所提到的构成合同的所有文件。</w:t>
      </w:r>
    </w:p>
    <w:p w14:paraId="3B8EA1AA">
      <w:pPr>
        <w:tabs>
          <w:tab w:val="left" w:pos="570"/>
          <w:tab w:val="left" w:pos="9240"/>
          <w:tab w:val="left" w:pos="9555"/>
        </w:tabs>
        <w:adjustRightInd w:val="0"/>
        <w:snapToGrid w:val="0"/>
        <w:spacing w:line="360" w:lineRule="auto"/>
        <w:ind w:firstLine="420" w:firstLineChars="200"/>
        <w:jc w:val="left"/>
        <w:rPr>
          <w:rFonts w:ascii="宋体" w:hAnsi="宋体"/>
          <w:szCs w:val="21"/>
        </w:rPr>
      </w:pPr>
      <w:r>
        <w:rPr>
          <w:rFonts w:hint="eastAsia" w:ascii="宋体" w:hAnsi="宋体"/>
          <w:szCs w:val="21"/>
        </w:rPr>
        <w:t>（2）“合同价”系指根据本合同规定乙方在正确地完全履行合同义务后甲方应支付给乙方的价款。</w:t>
      </w:r>
    </w:p>
    <w:p w14:paraId="540895BF">
      <w:pPr>
        <w:tabs>
          <w:tab w:val="left" w:pos="570"/>
          <w:tab w:val="left" w:pos="9240"/>
          <w:tab w:val="left" w:pos="9555"/>
        </w:tabs>
        <w:adjustRightInd w:val="0"/>
        <w:snapToGrid w:val="0"/>
        <w:spacing w:line="360" w:lineRule="auto"/>
        <w:ind w:firstLine="420" w:firstLineChars="200"/>
        <w:jc w:val="left"/>
        <w:rPr>
          <w:rFonts w:ascii="宋体" w:hAnsi="宋体"/>
          <w:szCs w:val="21"/>
        </w:rPr>
      </w:pPr>
      <w:r>
        <w:rPr>
          <w:rFonts w:hint="eastAsia" w:ascii="宋体" w:hAnsi="宋体"/>
          <w:szCs w:val="21"/>
        </w:rPr>
        <w:t>（3）“货物”系指乙方根据本合同规定须向甲方提供的各种形态和种类的物品，包括原材料、设备、产品（包括软件）及相关的其备品备件、工具、手册及其它技术资料和材料。</w:t>
      </w:r>
    </w:p>
    <w:p w14:paraId="75F63178">
      <w:pPr>
        <w:tabs>
          <w:tab w:val="left" w:pos="570"/>
          <w:tab w:val="left" w:pos="8880"/>
          <w:tab w:val="left" w:pos="9555"/>
        </w:tabs>
        <w:adjustRightInd w:val="0"/>
        <w:snapToGrid w:val="0"/>
        <w:spacing w:line="360" w:lineRule="auto"/>
        <w:ind w:firstLine="420" w:firstLineChars="200"/>
        <w:jc w:val="left"/>
        <w:rPr>
          <w:rFonts w:ascii="宋体" w:hAnsi="宋体"/>
          <w:szCs w:val="21"/>
        </w:rPr>
      </w:pPr>
      <w:r>
        <w:rPr>
          <w:rFonts w:hint="eastAsia" w:ascii="宋体" w:hAnsi="宋体"/>
          <w:szCs w:val="21"/>
        </w:rPr>
        <w:t>（4）“伴随服务”系指根据本合同规定乙方承担与供货有关的辅助服务，如运输、保</w:t>
      </w:r>
      <w:r>
        <w:rPr>
          <w:rFonts w:hint="eastAsia" w:ascii="宋体" w:hAnsi="宋体"/>
          <w:spacing w:val="2"/>
          <w:szCs w:val="21"/>
        </w:rPr>
        <w:t>险以及其它的伴随服务，例如安装、调试、提供技术</w:t>
      </w:r>
      <w:r>
        <w:rPr>
          <w:rFonts w:hint="eastAsia" w:ascii="宋体" w:hAnsi="宋体"/>
          <w:szCs w:val="21"/>
        </w:rPr>
        <w:t>协</w:t>
      </w:r>
      <w:r>
        <w:rPr>
          <w:rFonts w:hint="eastAsia" w:ascii="宋体" w:hAnsi="宋体"/>
          <w:spacing w:val="2"/>
          <w:szCs w:val="21"/>
        </w:rPr>
        <w:t>助、培训和合同中规定</w:t>
      </w:r>
      <w:r>
        <w:rPr>
          <w:rFonts w:hint="eastAsia" w:ascii="宋体" w:hAnsi="宋体"/>
          <w:szCs w:val="21"/>
        </w:rPr>
        <w:t>乙方应承担的其它义务。</w:t>
      </w:r>
    </w:p>
    <w:p w14:paraId="6FB55BCF">
      <w:pPr>
        <w:tabs>
          <w:tab w:val="left" w:pos="570"/>
          <w:tab w:val="left" w:pos="9240"/>
          <w:tab w:val="left" w:pos="9555"/>
        </w:tabs>
        <w:adjustRightInd w:val="0"/>
        <w:snapToGrid w:val="0"/>
        <w:spacing w:line="360" w:lineRule="auto"/>
        <w:ind w:firstLine="420" w:firstLineChars="200"/>
        <w:jc w:val="left"/>
        <w:rPr>
          <w:rFonts w:ascii="宋体" w:hAnsi="宋体"/>
          <w:szCs w:val="21"/>
        </w:rPr>
      </w:pPr>
      <w:r>
        <w:rPr>
          <w:rFonts w:hint="eastAsia" w:ascii="宋体" w:hAnsi="宋体"/>
          <w:szCs w:val="21"/>
        </w:rPr>
        <w:t>（5）“合同条款”系指本合同条款。</w:t>
      </w:r>
    </w:p>
    <w:p w14:paraId="6DF34DCA">
      <w:pPr>
        <w:tabs>
          <w:tab w:val="left" w:pos="570"/>
          <w:tab w:val="left" w:pos="9240"/>
          <w:tab w:val="left" w:pos="9555"/>
        </w:tabs>
        <w:adjustRightInd w:val="0"/>
        <w:snapToGrid w:val="0"/>
        <w:spacing w:line="360" w:lineRule="auto"/>
        <w:ind w:firstLine="420" w:firstLineChars="200"/>
        <w:jc w:val="left"/>
        <w:rPr>
          <w:rFonts w:ascii="宋体" w:hAnsi="宋体"/>
          <w:szCs w:val="21"/>
        </w:rPr>
      </w:pPr>
      <w:r>
        <w:rPr>
          <w:rFonts w:hint="eastAsia" w:ascii="宋体" w:hAnsi="宋体"/>
          <w:szCs w:val="21"/>
        </w:rPr>
        <w:t>（6）“项目现场”系指本合同项下货物安装、运行的现场，其名称见</w:t>
      </w:r>
      <w:r>
        <w:rPr>
          <w:rFonts w:hint="eastAsia" w:ascii="宋体" w:hAnsi="宋体"/>
          <w:b/>
          <w:szCs w:val="21"/>
        </w:rPr>
        <w:t>【政府采购合同专用条款】</w:t>
      </w:r>
      <w:r>
        <w:rPr>
          <w:rFonts w:hint="eastAsia" w:ascii="宋体" w:hAnsi="宋体"/>
          <w:szCs w:val="21"/>
        </w:rPr>
        <w:t>。</w:t>
      </w:r>
    </w:p>
    <w:p w14:paraId="748E920F">
      <w:pPr>
        <w:autoSpaceDE w:val="0"/>
        <w:autoSpaceDN w:val="0"/>
        <w:adjustRightInd w:val="0"/>
        <w:snapToGrid w:val="0"/>
        <w:spacing w:line="360" w:lineRule="auto"/>
        <w:ind w:firstLine="422" w:firstLineChars="200"/>
        <w:jc w:val="left"/>
        <w:rPr>
          <w:rFonts w:ascii="宋体" w:hAnsi="宋体"/>
          <w:b/>
          <w:szCs w:val="21"/>
        </w:rPr>
      </w:pPr>
      <w:r>
        <w:rPr>
          <w:rFonts w:hint="eastAsia" w:ascii="宋体" w:hAnsi="宋体"/>
          <w:b/>
          <w:szCs w:val="21"/>
        </w:rPr>
        <w:t>2.合同的适用范围</w:t>
      </w:r>
    </w:p>
    <w:p w14:paraId="6301E40E">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2.1 本合同条款适用于没有被本合同其他部分的条款所取代的范围。</w:t>
      </w:r>
    </w:p>
    <w:p w14:paraId="19658993">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2.2 合同内容根据招标文件、投标文件而确定。</w:t>
      </w:r>
    </w:p>
    <w:p w14:paraId="15D35E5C">
      <w:pPr>
        <w:autoSpaceDE w:val="0"/>
        <w:autoSpaceDN w:val="0"/>
        <w:adjustRightInd w:val="0"/>
        <w:snapToGrid w:val="0"/>
        <w:spacing w:line="360" w:lineRule="auto"/>
        <w:ind w:firstLine="422" w:firstLineChars="200"/>
        <w:jc w:val="left"/>
        <w:rPr>
          <w:rFonts w:ascii="宋体" w:hAnsi="宋体"/>
          <w:b/>
          <w:bCs/>
          <w:szCs w:val="21"/>
        </w:rPr>
      </w:pPr>
      <w:r>
        <w:rPr>
          <w:rFonts w:hint="eastAsia" w:ascii="宋体" w:hAnsi="宋体"/>
          <w:b/>
          <w:bCs/>
          <w:szCs w:val="21"/>
        </w:rPr>
        <w:t>3.</w:t>
      </w:r>
      <w:r>
        <w:rPr>
          <w:rFonts w:hint="eastAsia" w:ascii="宋体" w:hAnsi="宋体"/>
          <w:b/>
          <w:szCs w:val="21"/>
        </w:rPr>
        <w:t>合同标的及金额</w:t>
      </w:r>
    </w:p>
    <w:p w14:paraId="65B12072">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3.1 合同标的及金额应与中标结果一致。</w:t>
      </w:r>
    </w:p>
    <w:p w14:paraId="43A3E8B2">
      <w:pPr>
        <w:autoSpaceDE w:val="0"/>
        <w:autoSpaceDN w:val="0"/>
        <w:adjustRightInd w:val="0"/>
        <w:snapToGrid w:val="0"/>
        <w:spacing w:line="360" w:lineRule="auto"/>
        <w:ind w:firstLine="422" w:firstLineChars="200"/>
        <w:jc w:val="left"/>
        <w:rPr>
          <w:rFonts w:ascii="宋体" w:hAnsi="宋体"/>
          <w:b/>
          <w:bCs/>
          <w:szCs w:val="21"/>
        </w:rPr>
      </w:pPr>
      <w:r>
        <w:rPr>
          <w:rFonts w:hint="eastAsia" w:ascii="宋体" w:hAnsi="宋体"/>
          <w:b/>
          <w:bCs/>
          <w:szCs w:val="21"/>
        </w:rPr>
        <w:t>4.</w:t>
      </w:r>
      <w:r>
        <w:rPr>
          <w:rFonts w:hint="eastAsia" w:ascii="宋体" w:hAnsi="宋体"/>
          <w:b/>
          <w:szCs w:val="21"/>
        </w:rPr>
        <w:t>合同价款</w:t>
      </w:r>
    </w:p>
    <w:p w14:paraId="671C90C4">
      <w:pPr>
        <w:adjustRightInd w:val="0"/>
        <w:snapToGrid w:val="0"/>
        <w:spacing w:line="360" w:lineRule="auto"/>
        <w:ind w:firstLine="420" w:firstLineChars="200"/>
        <w:jc w:val="left"/>
        <w:rPr>
          <w:rFonts w:ascii="宋体" w:hAnsi="宋体"/>
          <w:b/>
          <w:bCs/>
          <w:i/>
          <w:iCs/>
          <w:szCs w:val="21"/>
        </w:rPr>
      </w:pPr>
      <w:r>
        <w:rPr>
          <w:rFonts w:hint="eastAsia" w:ascii="宋体" w:hAnsi="宋体"/>
          <w:szCs w:val="21"/>
        </w:rPr>
        <w:t>4.1具体合同价款见本合同第3.1条。乙方为履行本合同而发生的所有费用均应包含在合同价款中，甲方不再另行支付其它任何费用。</w:t>
      </w:r>
    </w:p>
    <w:p w14:paraId="00BB29EA">
      <w:pPr>
        <w:adjustRightInd w:val="0"/>
        <w:snapToGrid w:val="0"/>
        <w:spacing w:line="360" w:lineRule="auto"/>
        <w:ind w:firstLine="422" w:firstLineChars="200"/>
        <w:jc w:val="left"/>
        <w:rPr>
          <w:rFonts w:ascii="宋体" w:hAnsi="宋体"/>
          <w:b/>
          <w:szCs w:val="21"/>
        </w:rPr>
      </w:pPr>
      <w:r>
        <w:rPr>
          <w:rFonts w:hint="eastAsia" w:ascii="宋体" w:hAnsi="宋体"/>
          <w:b/>
          <w:szCs w:val="21"/>
        </w:rPr>
        <w:t>5.履行合同的期限、地点和方式</w:t>
      </w:r>
    </w:p>
    <w:p w14:paraId="3D0DD7AE">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5.1 乙方应当在甲方确定的时间、指定的地点履行合同，具体的交货时间、地点和方式见</w:t>
      </w:r>
      <w:r>
        <w:rPr>
          <w:rFonts w:hint="eastAsia" w:ascii="宋体" w:hAnsi="宋体"/>
          <w:b/>
          <w:szCs w:val="21"/>
        </w:rPr>
        <w:t>【政府采购合同专用条款】</w:t>
      </w:r>
      <w:r>
        <w:rPr>
          <w:rFonts w:hint="eastAsia" w:ascii="宋体" w:hAnsi="宋体"/>
          <w:szCs w:val="21"/>
        </w:rPr>
        <w:t>。</w:t>
      </w:r>
    </w:p>
    <w:p w14:paraId="602BFA1A">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5.2 乙方提供服务的应当在甲方指定的地点完成服务项目。</w:t>
      </w:r>
    </w:p>
    <w:p w14:paraId="660BA024">
      <w:pPr>
        <w:adjustRightInd w:val="0"/>
        <w:snapToGrid w:val="0"/>
        <w:spacing w:line="360" w:lineRule="auto"/>
        <w:ind w:firstLine="422" w:firstLineChars="200"/>
        <w:jc w:val="left"/>
        <w:rPr>
          <w:rFonts w:ascii="宋体" w:hAnsi="宋体"/>
          <w:b/>
          <w:bCs/>
          <w:szCs w:val="21"/>
        </w:rPr>
      </w:pPr>
      <w:r>
        <w:rPr>
          <w:rFonts w:hint="eastAsia" w:ascii="宋体" w:hAnsi="宋体"/>
          <w:b/>
          <w:bCs/>
          <w:szCs w:val="21"/>
        </w:rPr>
        <w:t>6.</w:t>
      </w:r>
      <w:r>
        <w:rPr>
          <w:rFonts w:hint="eastAsia" w:ascii="宋体" w:hAnsi="宋体"/>
          <w:b/>
          <w:szCs w:val="21"/>
        </w:rPr>
        <w:t>货物的验收</w:t>
      </w:r>
    </w:p>
    <w:p w14:paraId="474B9531">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6.1 甲方在收到乙方交付的货物后应当及时组织验收。</w:t>
      </w:r>
    </w:p>
    <w:p w14:paraId="1E780C14">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6.2 货物的表面瑕疵，甲方应在验收时当面提出；对质量问题有异议的应在安装调试后十个工作日内提出。</w:t>
      </w:r>
    </w:p>
    <w:p w14:paraId="2A87D7AA">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6.3 在验收过程中发现数量不足或有质量、技术等问题，乙方应负责按照甲方的要求采取补足、更换或退货等处理措施，并承担由此发生的一切费用和损失。</w:t>
      </w:r>
    </w:p>
    <w:p w14:paraId="48F7BA8E">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6.4 甲方在乙方按合同规定交货或安装、调试后，无正当理由而拖延接收、验收或拒绝接收、验收的，应承担因此给乙方造成的直接损失。</w:t>
      </w:r>
    </w:p>
    <w:p w14:paraId="757DD517">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6.5 甲方对货物进行检查验收合格后，应当收取发票并在《交货验收单》上签署验收意见及加盖单位印章。</w:t>
      </w:r>
    </w:p>
    <w:p w14:paraId="2A414A64">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6.6 大型或者复杂的货物采购项目，甲方可以邀请国家认可的质量检测机构参加验收工作，并由其出具验收报告单。</w:t>
      </w:r>
    </w:p>
    <w:p w14:paraId="053A55F7">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6.7 乙方提供的进口产品，乙方应出示中华人民共和国进出口商品检验部门出具的检验证书（招标文件第四章“技术规格、参数及要求”另有约定的除外）。</w:t>
      </w:r>
    </w:p>
    <w:p w14:paraId="157724BF">
      <w:pPr>
        <w:adjustRightInd w:val="0"/>
        <w:snapToGrid w:val="0"/>
        <w:spacing w:line="360" w:lineRule="auto"/>
        <w:ind w:firstLine="422" w:firstLineChars="200"/>
        <w:jc w:val="left"/>
        <w:rPr>
          <w:rFonts w:ascii="宋体" w:hAnsi="宋体"/>
          <w:b/>
          <w:bCs/>
          <w:szCs w:val="21"/>
        </w:rPr>
      </w:pPr>
      <w:r>
        <w:rPr>
          <w:rFonts w:hint="eastAsia" w:ascii="宋体" w:hAnsi="宋体"/>
          <w:b/>
          <w:bCs/>
          <w:szCs w:val="21"/>
        </w:rPr>
        <w:t>7.货物包装要求</w:t>
      </w:r>
    </w:p>
    <w:p w14:paraId="2B2AE4B1">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7.1 乙方所出售的全部货物均应按标准保护措施进行包装，包装应适应于远距离运输、防潮、防震、防锈和防野蛮装卸等要求，以确保货物安全无损地运抵指定现场。由于包装防护措施不妥而引起的损坏、丢失由乙方负责。</w:t>
      </w:r>
    </w:p>
    <w:p w14:paraId="74EAC550">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7.2 每一个包装箱内应附一份详细装箱单、质量证书和保修保养证书。</w:t>
      </w:r>
    </w:p>
    <w:p w14:paraId="3598D214">
      <w:pPr>
        <w:adjustRightInd w:val="0"/>
        <w:snapToGrid w:val="0"/>
        <w:spacing w:line="360" w:lineRule="auto"/>
        <w:ind w:firstLine="422" w:firstLineChars="200"/>
        <w:jc w:val="left"/>
        <w:rPr>
          <w:rFonts w:ascii="宋体" w:hAnsi="宋体"/>
          <w:b/>
          <w:szCs w:val="21"/>
        </w:rPr>
      </w:pPr>
      <w:r>
        <w:rPr>
          <w:rFonts w:hint="eastAsia" w:ascii="宋体" w:hAnsi="宋体"/>
          <w:b/>
          <w:szCs w:val="21"/>
        </w:rPr>
        <w:t>8.运输和保险</w:t>
      </w:r>
    </w:p>
    <w:p w14:paraId="39CACDEE">
      <w:pPr>
        <w:adjustRightInd w:val="0"/>
        <w:snapToGrid w:val="0"/>
        <w:spacing w:line="360" w:lineRule="auto"/>
        <w:ind w:firstLine="420" w:firstLineChars="200"/>
        <w:jc w:val="left"/>
        <w:rPr>
          <w:rFonts w:ascii="宋体" w:hAnsi="宋体"/>
          <w:szCs w:val="21"/>
        </w:rPr>
      </w:pPr>
      <w:r>
        <w:rPr>
          <w:rFonts w:hint="eastAsia" w:ascii="宋体" w:hAnsi="宋体"/>
          <w:szCs w:val="21"/>
        </w:rPr>
        <w:t>8.1乙方负责办理将货物运抵本合同第5.1条规定的交货地点的一切运输事项，相关费用应包括在合同总价中。</w:t>
      </w:r>
    </w:p>
    <w:p w14:paraId="289F2C8C">
      <w:pPr>
        <w:adjustRightInd w:val="0"/>
        <w:snapToGrid w:val="0"/>
        <w:spacing w:line="360" w:lineRule="auto"/>
        <w:ind w:firstLine="420" w:firstLineChars="200"/>
        <w:jc w:val="left"/>
        <w:rPr>
          <w:rFonts w:ascii="宋体" w:hAnsi="宋体"/>
          <w:szCs w:val="21"/>
        </w:rPr>
      </w:pPr>
      <w:r>
        <w:rPr>
          <w:rFonts w:hint="eastAsia" w:ascii="宋体" w:hAnsi="宋体"/>
          <w:szCs w:val="21"/>
        </w:rPr>
        <w:t>8.2乙方应向保险公司投保以甲方为受益人的发运合同货物发票金额的110％运输一切险。</w:t>
      </w:r>
    </w:p>
    <w:p w14:paraId="79A8876F">
      <w:pPr>
        <w:adjustRightInd w:val="0"/>
        <w:snapToGrid w:val="0"/>
        <w:spacing w:line="360" w:lineRule="auto"/>
        <w:ind w:firstLine="422" w:firstLineChars="200"/>
        <w:jc w:val="left"/>
        <w:rPr>
          <w:rFonts w:ascii="宋体" w:hAnsi="宋体"/>
          <w:b/>
          <w:szCs w:val="21"/>
        </w:rPr>
      </w:pPr>
      <w:r>
        <w:rPr>
          <w:rFonts w:hint="eastAsia" w:ascii="宋体" w:hAnsi="宋体"/>
          <w:b/>
          <w:szCs w:val="21"/>
        </w:rPr>
        <w:t>9.质量标准和保证</w:t>
      </w:r>
    </w:p>
    <w:p w14:paraId="174F9317">
      <w:pPr>
        <w:pStyle w:val="25"/>
        <w:adjustRightInd w:val="0"/>
        <w:snapToGrid w:val="0"/>
        <w:spacing w:line="360" w:lineRule="auto"/>
        <w:ind w:firstLine="400" w:firstLineChars="200"/>
        <w:jc w:val="left"/>
        <w:rPr>
          <w:rFonts w:hAnsi="宋体"/>
          <w:b/>
        </w:rPr>
      </w:pPr>
      <w:r>
        <w:rPr>
          <w:rFonts w:hint="eastAsia" w:hAnsi="宋体"/>
        </w:rPr>
        <w:t>9.1 质量标准</w:t>
      </w:r>
    </w:p>
    <w:p w14:paraId="747DD80D">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（1）本合同下交付的货物应符合招标文件第四章“技术规格、参数与要求”所述的标准。如果没有提及适用标准，则应符合中华人民共和国有关机构发布的最新版本的标准。</w:t>
      </w:r>
    </w:p>
    <w:p w14:paraId="6CCA3DFA">
      <w:pPr>
        <w:pStyle w:val="25"/>
        <w:adjustRightInd w:val="0"/>
        <w:snapToGrid w:val="0"/>
        <w:spacing w:line="360" w:lineRule="auto"/>
        <w:ind w:firstLine="400" w:firstLineChars="200"/>
        <w:jc w:val="left"/>
        <w:rPr>
          <w:rFonts w:hAnsi="宋体"/>
        </w:rPr>
      </w:pPr>
      <w:r>
        <w:rPr>
          <w:rFonts w:hint="eastAsia" w:hAnsi="宋体"/>
        </w:rPr>
        <w:t>（2）采用中华人民共和国法定计量单位。</w:t>
      </w:r>
    </w:p>
    <w:p w14:paraId="656B79DB">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（3）乙方所出售的货物还应符合国家有关安全、环保、卫生之规定。</w:t>
      </w:r>
    </w:p>
    <w:p w14:paraId="3A736860">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9.2 保证</w:t>
      </w:r>
    </w:p>
    <w:p w14:paraId="4A362CD3">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乙方应保证所供货物是全新的、未使用过的，并完全符合合同规定的质量、规格和性能的要求。乙方应保证其货物在正确安装、正常使用和保养条件下，在其使用寿命期内应具有满意的性能，或者没有因乙方的行为或疏忽而产生的缺陷。在货物最终交付验收后不少于</w:t>
      </w:r>
      <w:r>
        <w:rPr>
          <w:rFonts w:hint="eastAsia" w:ascii="宋体" w:hAnsi="宋体"/>
          <w:b/>
          <w:szCs w:val="21"/>
        </w:rPr>
        <w:t>【政府采购合同专用条款】</w:t>
      </w:r>
      <w:r>
        <w:rPr>
          <w:rFonts w:hint="eastAsia" w:ascii="宋体" w:hAnsi="宋体"/>
          <w:szCs w:val="21"/>
        </w:rPr>
        <w:t>规定或乙方承诺（两者以较长的为准）的质量保证期内，本保证保持有效。</w:t>
      </w:r>
    </w:p>
    <w:p w14:paraId="5C0E027E">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（2）在质量保证期内所发现的缺陷，甲方应尽快以书面形式通知乙方。</w:t>
      </w:r>
    </w:p>
    <w:p w14:paraId="08E43E7A">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14:paraId="7C45AE73">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（4）在质量保证期内，如果货物的质量或规格与合同不符，或证实货物是有缺陷的，包括潜在的缺陷或使用不符合要求的材料等，甲方可以根据本合同第15.1条规定以书面形式向乙方提出补救措施或索赔。</w:t>
      </w:r>
    </w:p>
    <w:p w14:paraId="06F0D523">
      <w:pPr>
        <w:adjustRightInd w:val="0"/>
        <w:snapToGrid w:val="0"/>
        <w:spacing w:line="360" w:lineRule="auto"/>
        <w:ind w:firstLine="420" w:firstLineChars="200"/>
        <w:jc w:val="left"/>
        <w:rPr>
          <w:rFonts w:ascii="宋体" w:hAnsi="宋体"/>
          <w:b/>
          <w:szCs w:val="21"/>
        </w:rPr>
      </w:pPr>
      <w:r>
        <w:rPr>
          <w:rFonts w:hint="eastAsia" w:ascii="宋体" w:hAnsi="宋体"/>
          <w:szCs w:val="21"/>
        </w:rPr>
        <w:t>（5）乙方在约定的时间内未能弥补缺陷，甲方可采取必要的补救措施，但其风险和费用将由乙方承担，甲方根据合同规定对乙方行使的其他权利不受影响。</w:t>
      </w:r>
    </w:p>
    <w:p w14:paraId="62C9C74D">
      <w:pPr>
        <w:adjustRightInd w:val="0"/>
        <w:snapToGrid w:val="0"/>
        <w:spacing w:line="360" w:lineRule="auto"/>
        <w:ind w:firstLine="422" w:firstLineChars="200"/>
        <w:jc w:val="left"/>
        <w:rPr>
          <w:rFonts w:ascii="宋体" w:hAnsi="宋体"/>
          <w:b/>
          <w:bCs/>
          <w:szCs w:val="21"/>
        </w:rPr>
      </w:pPr>
      <w:r>
        <w:rPr>
          <w:rFonts w:hint="eastAsia" w:ascii="宋体" w:hAnsi="宋体"/>
          <w:b/>
          <w:bCs/>
          <w:szCs w:val="21"/>
        </w:rPr>
        <w:t>10.权利瑕疵担保</w:t>
      </w:r>
    </w:p>
    <w:p w14:paraId="273A2BB1">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10.1 乙方保证对其出售的货物享有合法的权利。</w:t>
      </w:r>
    </w:p>
    <w:p w14:paraId="6ED8716A">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10.2 乙方保证在其出售的货物上不存在任何未曾向甲方透露的担保物权，如抵押权、质押权、留置权等。</w:t>
      </w:r>
    </w:p>
    <w:p w14:paraId="7F01E5A4">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10.3 如甲方使用该货物构成上述侵权的，则由乙方承担全部责任。</w:t>
      </w:r>
    </w:p>
    <w:p w14:paraId="3AE2985F">
      <w:pPr>
        <w:autoSpaceDE w:val="0"/>
        <w:autoSpaceDN w:val="0"/>
        <w:adjustRightInd w:val="0"/>
        <w:snapToGrid w:val="0"/>
        <w:spacing w:line="360" w:lineRule="auto"/>
        <w:ind w:firstLine="422" w:firstLineChars="200"/>
        <w:jc w:val="left"/>
        <w:rPr>
          <w:rFonts w:ascii="宋体" w:hAnsi="宋体"/>
          <w:b/>
          <w:bCs/>
          <w:szCs w:val="21"/>
        </w:rPr>
      </w:pPr>
      <w:r>
        <w:rPr>
          <w:rFonts w:hint="eastAsia" w:ascii="宋体" w:hAnsi="宋体"/>
          <w:b/>
          <w:bCs/>
          <w:szCs w:val="21"/>
        </w:rPr>
        <w:t>11.知识产权保护</w:t>
      </w:r>
    </w:p>
    <w:p w14:paraId="06A58F14">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11.1 乙方对其所销售的货物应当享有知识产权或经权利人合法授权，保证没有侵犯任何第三人的知识产权和商业秘密等权利。</w:t>
      </w:r>
    </w:p>
    <w:p w14:paraId="02205601">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11.2 甲方使用乙方提供的货物对第三人构成侵权的，应当由乙方承担全部法律责任，给甲方造成损害的，乙方应当承担赔偿责任。</w:t>
      </w:r>
    </w:p>
    <w:p w14:paraId="37A87CD2">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11.3 甲方委托乙方开发的产品，甲方享有知识产权，未经甲方许可不得转让任何第三人。</w:t>
      </w:r>
    </w:p>
    <w:p w14:paraId="0FC1633B">
      <w:pPr>
        <w:autoSpaceDE w:val="0"/>
        <w:autoSpaceDN w:val="0"/>
        <w:adjustRightInd w:val="0"/>
        <w:snapToGrid w:val="0"/>
        <w:spacing w:line="360" w:lineRule="auto"/>
        <w:ind w:firstLine="422" w:firstLineChars="200"/>
        <w:jc w:val="left"/>
        <w:rPr>
          <w:rFonts w:ascii="宋体" w:hAnsi="宋体"/>
          <w:b/>
          <w:bCs/>
          <w:szCs w:val="21"/>
        </w:rPr>
      </w:pPr>
      <w:r>
        <w:rPr>
          <w:rFonts w:hint="eastAsia" w:ascii="宋体" w:hAnsi="宋体"/>
          <w:b/>
          <w:bCs/>
          <w:szCs w:val="21"/>
        </w:rPr>
        <w:t>12.保密义务</w:t>
      </w:r>
    </w:p>
    <w:p w14:paraId="35545C88">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12.1 甲、乙双方在采购和履行合同过程中所获悉的对方属于保密的内容，双方均有保密义务。</w:t>
      </w:r>
    </w:p>
    <w:p w14:paraId="7FD92411">
      <w:pPr>
        <w:autoSpaceDE w:val="0"/>
        <w:autoSpaceDN w:val="0"/>
        <w:adjustRightInd w:val="0"/>
        <w:snapToGrid w:val="0"/>
        <w:spacing w:line="360" w:lineRule="auto"/>
        <w:ind w:firstLine="422" w:firstLineChars="200"/>
        <w:jc w:val="left"/>
        <w:rPr>
          <w:rFonts w:ascii="宋体" w:hAnsi="宋体"/>
          <w:b/>
          <w:bCs/>
          <w:szCs w:val="21"/>
        </w:rPr>
      </w:pPr>
      <w:r>
        <w:rPr>
          <w:rFonts w:hint="eastAsia" w:ascii="宋体" w:hAnsi="宋体"/>
          <w:b/>
          <w:bCs/>
          <w:szCs w:val="21"/>
        </w:rPr>
        <w:t>13.合同价款支付</w:t>
      </w:r>
    </w:p>
    <w:p w14:paraId="6E7D805B">
      <w:pPr>
        <w:adjustRightInd w:val="0"/>
        <w:snapToGrid w:val="0"/>
        <w:spacing w:line="360" w:lineRule="auto"/>
        <w:ind w:firstLine="420" w:firstLineChars="200"/>
        <w:jc w:val="left"/>
        <w:rPr>
          <w:rFonts w:ascii="宋体" w:hAnsi="宋体"/>
          <w:szCs w:val="21"/>
        </w:rPr>
      </w:pPr>
      <w:r>
        <w:rPr>
          <w:rFonts w:hint="eastAsia" w:ascii="宋体" w:hAnsi="宋体"/>
          <w:szCs w:val="21"/>
        </w:rPr>
        <w:t>13.1验收合格后，乙方出具正规发票给甲方，凭甲方开具的《政府采购合同验收报告单》办理合同价</w:t>
      </w:r>
      <w:r>
        <w:rPr>
          <w:rFonts w:hint="eastAsia" w:ascii="宋体" w:hAnsi="宋体"/>
          <w:bCs/>
          <w:szCs w:val="21"/>
        </w:rPr>
        <w:t>款</w:t>
      </w:r>
      <w:r>
        <w:rPr>
          <w:rFonts w:hint="eastAsia" w:ascii="宋体" w:hAnsi="宋体"/>
          <w:szCs w:val="21"/>
        </w:rPr>
        <w:t>结算手续。</w:t>
      </w:r>
    </w:p>
    <w:p w14:paraId="0FE51DF5">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13.2 合同价款构成中应当由财政支付的部分，甲方应当在货物验收合格后的十五个工作日内向国库管理部门申请支付，经国库管理部门审核后直接支付给乙方。</w:t>
      </w:r>
    </w:p>
    <w:p w14:paraId="31DFAC2F">
      <w:pPr>
        <w:adjustRightInd w:val="0"/>
        <w:snapToGrid w:val="0"/>
        <w:spacing w:line="360" w:lineRule="auto"/>
        <w:ind w:firstLine="420" w:firstLineChars="200"/>
        <w:jc w:val="left"/>
        <w:rPr>
          <w:rFonts w:ascii="宋体" w:hAnsi="宋体"/>
          <w:szCs w:val="21"/>
        </w:rPr>
      </w:pPr>
      <w:r>
        <w:rPr>
          <w:rFonts w:hint="eastAsia" w:ascii="宋体" w:hAnsi="宋体"/>
          <w:szCs w:val="21"/>
        </w:rPr>
        <w:t>13.3 合同价款构成中应当由甲方自行支付的部分，甲方应当在货物验收合格后十五个工作内支付。</w:t>
      </w:r>
    </w:p>
    <w:p w14:paraId="7760BD69">
      <w:pPr>
        <w:adjustRightInd w:val="0"/>
        <w:snapToGrid w:val="0"/>
        <w:spacing w:line="360" w:lineRule="auto"/>
        <w:ind w:firstLine="420" w:firstLineChars="200"/>
        <w:jc w:val="left"/>
        <w:rPr>
          <w:rFonts w:ascii="宋体" w:hAnsi="宋体"/>
          <w:szCs w:val="21"/>
        </w:rPr>
      </w:pPr>
      <w:r>
        <w:rPr>
          <w:rFonts w:hint="eastAsia" w:ascii="宋体" w:hAnsi="宋体"/>
          <w:szCs w:val="21"/>
        </w:rPr>
        <w:t>13.4支付合同价</w:t>
      </w:r>
      <w:r>
        <w:rPr>
          <w:rFonts w:hint="eastAsia" w:ascii="宋体" w:hAnsi="宋体"/>
          <w:bCs/>
          <w:szCs w:val="21"/>
        </w:rPr>
        <w:t>款</w:t>
      </w:r>
      <w:r>
        <w:rPr>
          <w:rFonts w:hint="eastAsia" w:ascii="宋体" w:hAnsi="宋体"/>
          <w:szCs w:val="21"/>
        </w:rPr>
        <w:t>时，一律不向乙方以外的任何第三方办理付款手续。开户行和帐号以签订的政府采购合同为准，如果乙方要求变更，则乙方必须提供加盖了财务专用章、法定代表人签字的证明文件，报经甲方审查同意。</w:t>
      </w:r>
    </w:p>
    <w:p w14:paraId="614D741B">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13.5 合同价款支付方式</w:t>
      </w:r>
      <w:r>
        <w:rPr>
          <w:rFonts w:hint="eastAsia" w:ascii="宋体" w:hAnsi="宋体"/>
          <w:bCs/>
          <w:szCs w:val="21"/>
        </w:rPr>
        <w:t>和条件在</w:t>
      </w:r>
      <w:r>
        <w:rPr>
          <w:rFonts w:hint="eastAsia" w:ascii="宋体" w:hAnsi="宋体"/>
          <w:b/>
          <w:szCs w:val="21"/>
        </w:rPr>
        <w:t>【政府采购合同专用条款】</w:t>
      </w:r>
      <w:r>
        <w:rPr>
          <w:rFonts w:hint="eastAsia" w:ascii="宋体" w:hAnsi="宋体"/>
          <w:szCs w:val="21"/>
        </w:rPr>
        <w:t>中另有规定。</w:t>
      </w:r>
    </w:p>
    <w:p w14:paraId="1AC70741">
      <w:pPr>
        <w:autoSpaceDE w:val="0"/>
        <w:autoSpaceDN w:val="0"/>
        <w:adjustRightInd w:val="0"/>
        <w:snapToGrid w:val="0"/>
        <w:spacing w:line="360" w:lineRule="auto"/>
        <w:ind w:firstLine="422" w:firstLineChars="200"/>
        <w:jc w:val="left"/>
        <w:rPr>
          <w:rFonts w:ascii="宋体" w:hAnsi="宋体"/>
          <w:b/>
          <w:szCs w:val="21"/>
        </w:rPr>
      </w:pPr>
      <w:r>
        <w:rPr>
          <w:rFonts w:hint="eastAsia" w:ascii="宋体" w:hAnsi="宋体"/>
          <w:b/>
          <w:bCs/>
          <w:szCs w:val="21"/>
        </w:rPr>
        <w:t>14.</w:t>
      </w:r>
      <w:r>
        <w:rPr>
          <w:rFonts w:hint="eastAsia" w:ascii="宋体" w:hAnsi="宋体"/>
          <w:b/>
          <w:szCs w:val="21"/>
        </w:rPr>
        <w:t>伴随服务</w:t>
      </w:r>
    </w:p>
    <w:p w14:paraId="2BC06520">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14.1 乙方应向甲方提交所提供货物的技术文件，包括相应的中文技术文件，如：产品目录、图纸、操作手册、使用说明、维护手册或服务指南。这些文件应包装好随同货物一起发运。</w:t>
      </w:r>
    </w:p>
    <w:p w14:paraId="520FAF9A">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14.2 乙方还应提供下列服务：</w:t>
      </w:r>
    </w:p>
    <w:p w14:paraId="744CC03C">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（1）货物的现场移动、安装、调试、启动监督及技术支持；</w:t>
      </w:r>
    </w:p>
    <w:p w14:paraId="1BD092BA">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（2）提供货物组装和维修所需的专用工具和辅助材料；</w:t>
      </w:r>
    </w:p>
    <w:p w14:paraId="1AB73B77">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（3）在合同各方商定的一定期限内对所有的货物实施运行监督、维修，但前提条件是该服务并不能免除乙方在质量保证期内所承担的义务；</w:t>
      </w:r>
    </w:p>
    <w:p w14:paraId="606955F1">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（4）在制造商或项目现场就货物的安装、启动、运营、维护对甲方操作人员进行培训。</w:t>
      </w:r>
    </w:p>
    <w:p w14:paraId="286B98B3">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（5）</w:t>
      </w:r>
      <w:r>
        <w:rPr>
          <w:rFonts w:hint="eastAsia" w:ascii="宋体" w:hAnsi="宋体"/>
          <w:b/>
          <w:szCs w:val="21"/>
        </w:rPr>
        <w:t>【政府采购合同专用条款】</w:t>
      </w:r>
      <w:r>
        <w:rPr>
          <w:rFonts w:hint="eastAsia" w:ascii="宋体" w:hAnsi="宋体"/>
          <w:szCs w:val="21"/>
        </w:rPr>
        <w:t>与招标文件第四章“技术规格、参数和要求”规定的其他伴随服务</w:t>
      </w:r>
    </w:p>
    <w:p w14:paraId="0D913369">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14.3 乙方提供的伴随服务的费用应包含在合同价款中，甲方不再另行支付。</w:t>
      </w:r>
    </w:p>
    <w:p w14:paraId="59D4764C">
      <w:pPr>
        <w:adjustRightInd w:val="0"/>
        <w:snapToGrid w:val="0"/>
        <w:spacing w:line="360" w:lineRule="auto"/>
        <w:ind w:firstLine="422" w:firstLineChars="200"/>
        <w:jc w:val="left"/>
        <w:rPr>
          <w:rFonts w:ascii="宋体" w:hAnsi="宋体"/>
          <w:b/>
          <w:bCs/>
          <w:szCs w:val="21"/>
        </w:rPr>
      </w:pPr>
      <w:r>
        <w:rPr>
          <w:rFonts w:hint="eastAsia" w:ascii="宋体" w:hAnsi="宋体"/>
          <w:b/>
          <w:bCs/>
          <w:szCs w:val="21"/>
        </w:rPr>
        <w:t>15.违约责任</w:t>
      </w:r>
    </w:p>
    <w:p w14:paraId="04F1E820">
      <w:pPr>
        <w:adjustRightInd w:val="0"/>
        <w:snapToGrid w:val="0"/>
        <w:spacing w:line="360" w:lineRule="auto"/>
        <w:ind w:firstLine="420" w:firstLineChars="200"/>
        <w:jc w:val="left"/>
        <w:rPr>
          <w:rFonts w:ascii="宋体" w:hAnsi="宋体"/>
          <w:bCs/>
          <w:szCs w:val="21"/>
        </w:rPr>
      </w:pPr>
      <w:r>
        <w:rPr>
          <w:rFonts w:hint="eastAsia" w:ascii="宋体" w:hAnsi="宋体"/>
          <w:bCs/>
          <w:szCs w:val="21"/>
        </w:rPr>
        <w:t>15.1质量瑕疵的补救措施和索赔</w:t>
      </w:r>
    </w:p>
    <w:p w14:paraId="24ADA0F0">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如果乙方提供的产品不符合质量标准或存在产品质量缺陷，而甲方在合同条款第9条或合同的其他条款规定的检验、安装、调试、验收和质量保证期内，根据法定质量检测部门出具的检验证书向乙方提出了索赔，乙方应按照甲方同意的下列一种或几种方式结合起来解决索赔事宜：</w:t>
      </w:r>
    </w:p>
    <w:p w14:paraId="5E370027">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①乙方同意退货并将货款退还给甲方，由此发生的一切费用和损失由乙方承担。</w:t>
      </w:r>
    </w:p>
    <w:p w14:paraId="6D0F458F">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②根据货物的质量状况以及甲方所遭受的损失，经过甲乙双方商定降低货物的价格。</w:t>
      </w:r>
    </w:p>
    <w:p w14:paraId="5A9B82F9">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③乙方应在接到甲方通知后七日内负责采用符合合同规定的规格、质量和性能要求的新零件、部件和设备来更换有缺陷的部分或修补缺陷部分，其费用由乙方负担。同时，乙方应在约定的质量保证期基础上相应延长修补和更换件的质量保证期。</w:t>
      </w:r>
    </w:p>
    <w:p w14:paraId="5918A38F">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2）如果在甲方发出索赔通知后十日内乙方未作答复，上述索赔应视为已被乙方接受。如果乙方未能在甲方发出索赔通知后十日内或甲方同意延长的期限内，按照上述规定的任何一种方法采取补救措施，甲方有权从应付货款中扣除索赔金额或者没收质量保证金，如不足以弥补甲方损失的，甲方有权进一步要求乙方赔偿。</w:t>
      </w:r>
    </w:p>
    <w:p w14:paraId="72D11A9E">
      <w:pPr>
        <w:autoSpaceDE w:val="0"/>
        <w:autoSpaceDN w:val="0"/>
        <w:adjustRightInd w:val="0"/>
        <w:snapToGrid w:val="0"/>
        <w:spacing w:line="360" w:lineRule="auto"/>
        <w:ind w:firstLine="420" w:firstLineChars="200"/>
        <w:jc w:val="left"/>
        <w:rPr>
          <w:rFonts w:ascii="宋体" w:hAnsi="宋体"/>
          <w:bCs/>
          <w:szCs w:val="21"/>
        </w:rPr>
      </w:pPr>
      <w:r>
        <w:rPr>
          <w:rFonts w:hint="eastAsia" w:ascii="宋体" w:hAnsi="宋体"/>
          <w:bCs/>
          <w:szCs w:val="21"/>
        </w:rPr>
        <w:t>15.2 迟延交货的违约责任</w:t>
      </w:r>
    </w:p>
    <w:p w14:paraId="7AE31DDD">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14:paraId="6CE45701">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（2）除本合同</w:t>
      </w:r>
      <w:r>
        <w:rPr>
          <w:rFonts w:hint="eastAsia" w:ascii="宋体" w:hAnsi="宋体"/>
          <w:bCs/>
          <w:szCs w:val="21"/>
        </w:rPr>
        <w:t>第20条</w:t>
      </w:r>
      <w:r>
        <w:rPr>
          <w:rFonts w:hint="eastAsia" w:ascii="宋体" w:hAnsi="宋体"/>
          <w:szCs w:val="21"/>
        </w:rPr>
        <w:t>规定情况外，如果乙方没有按照合同规定的时间交货和提供服务，甲方有权从货款中扣除误期赔偿费而不影响合同项下的其他补救方法，赔偿费按每周（一周按七天计算，不足七日按一周计算）赔偿迟交货物的交货价或延期服务的服务费用的百分之零点五（0.5%）计收，直至交货或提供服务为止。但误期赔偿费的最高限额不超过合同价的百分之五（5%）。一旦达到误期赔偿的最高限额，甲方可以终止合同。</w:t>
      </w:r>
    </w:p>
    <w:p w14:paraId="783A95F5">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3）如果乙方迟延交货，甲方有权终止全部或部分合同，并依其认为适当的条件和方法购买与未交货物类似的货物，乙方应对购买类似货物所超出的那部分费用负责。但是，乙方应继续执行合同中未终止的部分。</w:t>
      </w:r>
    </w:p>
    <w:p w14:paraId="7E795580">
      <w:pPr>
        <w:autoSpaceDE w:val="0"/>
        <w:autoSpaceDN w:val="0"/>
        <w:adjustRightInd w:val="0"/>
        <w:snapToGrid w:val="0"/>
        <w:spacing w:line="360" w:lineRule="auto"/>
        <w:ind w:firstLine="422" w:firstLineChars="200"/>
        <w:jc w:val="left"/>
        <w:rPr>
          <w:rFonts w:ascii="宋体" w:hAnsi="宋体"/>
          <w:b/>
          <w:szCs w:val="21"/>
        </w:rPr>
      </w:pPr>
      <w:r>
        <w:rPr>
          <w:rFonts w:hint="eastAsia" w:ascii="宋体" w:hAnsi="宋体"/>
          <w:b/>
          <w:szCs w:val="21"/>
        </w:rPr>
        <w:t>16.合同的变更</w:t>
      </w:r>
    </w:p>
    <w:p w14:paraId="33AF3BAB">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16.1 在合同履行过程中，甲、乙双方可就合同履行的时间、地点和方式等协商进行变更。协商一致后，双方应签订书面的补充协议。</w:t>
      </w:r>
    </w:p>
    <w:p w14:paraId="3BB7E2FD">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16.2 在不改变合同其他条款的前提下，甲方有权在合同价款百分之十的范围内追加与合同标的相同的货物或服务，并就此与乙方签订补充合同，乙方不得拒绝。</w:t>
      </w:r>
    </w:p>
    <w:p w14:paraId="66BADEA3">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16.3 除双方签署书面协议，并成为合同不可分割的一部分外，本合同条件不得有任何变更。</w:t>
      </w:r>
    </w:p>
    <w:p w14:paraId="23AB51FD">
      <w:pPr>
        <w:autoSpaceDE w:val="0"/>
        <w:autoSpaceDN w:val="0"/>
        <w:adjustRightInd w:val="0"/>
        <w:snapToGrid w:val="0"/>
        <w:spacing w:line="360" w:lineRule="auto"/>
        <w:ind w:firstLine="422" w:firstLineChars="200"/>
        <w:jc w:val="left"/>
        <w:rPr>
          <w:rFonts w:ascii="宋体" w:hAnsi="宋体"/>
          <w:b/>
          <w:szCs w:val="21"/>
        </w:rPr>
      </w:pPr>
      <w:r>
        <w:rPr>
          <w:rFonts w:hint="eastAsia" w:ascii="宋体" w:hAnsi="宋体"/>
          <w:b/>
          <w:szCs w:val="21"/>
        </w:rPr>
        <w:t>17.合同中止与终止</w:t>
      </w:r>
    </w:p>
    <w:p w14:paraId="58A704E4">
      <w:pPr>
        <w:adjustRightInd w:val="0"/>
        <w:snapToGrid w:val="0"/>
        <w:spacing w:line="360" w:lineRule="auto"/>
        <w:ind w:firstLine="420" w:firstLineChars="200"/>
        <w:jc w:val="left"/>
        <w:rPr>
          <w:rFonts w:ascii="宋体" w:hAnsi="宋体"/>
          <w:szCs w:val="21"/>
        </w:rPr>
      </w:pPr>
      <w:r>
        <w:rPr>
          <w:rFonts w:hint="eastAsia" w:ascii="宋体" w:hAnsi="宋体"/>
          <w:szCs w:val="21"/>
        </w:rPr>
        <w:t>17.1合同的中止</w:t>
      </w:r>
    </w:p>
    <w:p w14:paraId="4F8039D7">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（1）合同在履行过程中，因采购计划调整，甲方可以要求中止履行，待计划确定后继续履行；</w:t>
      </w:r>
    </w:p>
    <w:p w14:paraId="51600EE0">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（2）合同履行过程中因投标人就采购过程或结果提起投诉的，甲方认为有必要或财政部门责令中止的，应当中止合同的履行。</w:t>
      </w:r>
    </w:p>
    <w:p w14:paraId="09FB5F02">
      <w:pPr>
        <w:adjustRightInd w:val="0"/>
        <w:snapToGrid w:val="0"/>
        <w:spacing w:line="360" w:lineRule="auto"/>
        <w:ind w:firstLine="420" w:firstLineChars="200"/>
        <w:jc w:val="left"/>
        <w:rPr>
          <w:rFonts w:ascii="宋体" w:hAnsi="宋体"/>
          <w:szCs w:val="21"/>
        </w:rPr>
      </w:pPr>
      <w:r>
        <w:rPr>
          <w:rFonts w:hint="eastAsia" w:ascii="宋体" w:hAnsi="宋体"/>
          <w:szCs w:val="21"/>
        </w:rPr>
        <w:t>17.2合同的终止</w:t>
      </w:r>
    </w:p>
    <w:p w14:paraId="75F36BCB">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（1）合同因有效期限届满而终止；</w:t>
      </w:r>
    </w:p>
    <w:p w14:paraId="6EA36B4F">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（2）乙方未能依照本合同约定条件履行合同，已构成根本性违约的，甲方有权终止本合同，并追究乙方的违约责任。</w:t>
      </w:r>
    </w:p>
    <w:p w14:paraId="3AE6DD20">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（3）如果乙方丧失履约能力或被宣告破产，甲方可在任何时候以书面形式通知乙方终止合同而不给乙方补偿。</w:t>
      </w:r>
    </w:p>
    <w:p w14:paraId="0042458E">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（4）如果乙方在履行合同过程中有不正当竞争行为，甲方有权解除合同，并按《中华人民共和国反不正当竞争法》规定由有关部门追究其法律责任。</w:t>
      </w:r>
    </w:p>
    <w:p w14:paraId="29A91784">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（5）如果合同的履行将损害国家利益或社会公共利益，甲方有权终止合同的履行，给乙方造成损失的予以相应补偿。</w:t>
      </w:r>
    </w:p>
    <w:p w14:paraId="021408F9">
      <w:pPr>
        <w:autoSpaceDE w:val="0"/>
        <w:autoSpaceDN w:val="0"/>
        <w:adjustRightInd w:val="0"/>
        <w:snapToGrid w:val="0"/>
        <w:spacing w:line="360" w:lineRule="auto"/>
        <w:ind w:firstLine="422" w:firstLineChars="200"/>
        <w:jc w:val="left"/>
        <w:rPr>
          <w:rFonts w:ascii="宋体" w:hAnsi="宋体"/>
          <w:b/>
          <w:bCs/>
          <w:szCs w:val="21"/>
        </w:rPr>
      </w:pPr>
      <w:r>
        <w:rPr>
          <w:rFonts w:hint="eastAsia" w:ascii="宋体" w:hAnsi="宋体"/>
          <w:b/>
          <w:bCs/>
          <w:szCs w:val="21"/>
        </w:rPr>
        <w:t>18.合同转让和分包</w:t>
      </w:r>
    </w:p>
    <w:p w14:paraId="2487BCFE">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18.1 乙方不得以任何形式将合同转包。</w:t>
      </w:r>
    </w:p>
    <w:p w14:paraId="2565C389">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18.2 乙方未在投标文件中说明，不得将</w:t>
      </w:r>
      <w:r>
        <w:rPr>
          <w:rFonts w:hint="eastAsia" w:ascii="宋体" w:hAnsi="宋体"/>
          <w:bCs/>
          <w:szCs w:val="21"/>
        </w:rPr>
        <w:t>合同</w:t>
      </w:r>
      <w:r>
        <w:rPr>
          <w:rFonts w:hint="eastAsia" w:ascii="宋体" w:hAnsi="宋体"/>
          <w:szCs w:val="21"/>
        </w:rPr>
        <w:t>的非主体、非关键性工作分包给他人。</w:t>
      </w:r>
    </w:p>
    <w:p w14:paraId="2AF9C6AB">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18.3 根据政府采购</w:t>
      </w:r>
      <w:r>
        <w:rPr>
          <w:rFonts w:hint="eastAsia" w:ascii="宋体" w:hAnsi="宋体" w:cs="宋体"/>
          <w:bCs/>
          <w:kern w:val="0"/>
          <w:szCs w:val="21"/>
        </w:rPr>
        <w:t>支持</w:t>
      </w:r>
      <w:r>
        <w:rPr>
          <w:rFonts w:hint="eastAsia" w:ascii="宋体" w:hAnsi="宋体"/>
          <w:szCs w:val="21"/>
        </w:rPr>
        <w:t>中小企业发展政策规定，经甲方同意，获得政府采购合同的大型企业可依法向中小企业分包。</w:t>
      </w:r>
    </w:p>
    <w:p w14:paraId="78574A9F">
      <w:pPr>
        <w:autoSpaceDE w:val="0"/>
        <w:autoSpaceDN w:val="0"/>
        <w:adjustRightInd w:val="0"/>
        <w:snapToGrid w:val="0"/>
        <w:spacing w:line="360" w:lineRule="auto"/>
        <w:ind w:firstLine="422" w:firstLineChars="200"/>
        <w:jc w:val="left"/>
        <w:rPr>
          <w:rFonts w:ascii="宋体" w:hAnsi="宋体"/>
          <w:b/>
          <w:bCs/>
          <w:szCs w:val="21"/>
        </w:rPr>
      </w:pPr>
      <w:r>
        <w:rPr>
          <w:rFonts w:hint="eastAsia" w:ascii="宋体" w:hAnsi="宋体"/>
          <w:b/>
          <w:bCs/>
          <w:szCs w:val="21"/>
        </w:rPr>
        <w:t>19.不可抗力</w:t>
      </w:r>
    </w:p>
    <w:p w14:paraId="4FB24507">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19.1 不可抗力是指合同双方不可预见、不可避免、不可克服的自然灾害和社会事件。</w:t>
      </w:r>
    </w:p>
    <w:p w14:paraId="631F82B3">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19.2 任何一方对由于不可抗力造成的部分或全部不能履行合同不承担违约责任。但迟延履行后发生不可抗力的，不能免除责任。</w:t>
      </w:r>
    </w:p>
    <w:p w14:paraId="3CB8176B">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19.3 遇有不可抗力的一方，应在三日内将事件的情况以书面形式通知另一方，并在事件发生后十日内，向另一方提交合同不能履行或部分不能履行或需要延期履行理由的报告。</w:t>
      </w:r>
    </w:p>
    <w:p w14:paraId="2ECF93C8">
      <w:pPr>
        <w:autoSpaceDE w:val="0"/>
        <w:autoSpaceDN w:val="0"/>
        <w:adjustRightInd w:val="0"/>
        <w:snapToGrid w:val="0"/>
        <w:spacing w:line="360" w:lineRule="auto"/>
        <w:ind w:firstLine="422" w:firstLineChars="200"/>
        <w:jc w:val="left"/>
        <w:rPr>
          <w:rFonts w:ascii="宋体" w:hAnsi="宋体"/>
          <w:b/>
          <w:bCs/>
          <w:szCs w:val="21"/>
        </w:rPr>
      </w:pPr>
      <w:r>
        <w:rPr>
          <w:rFonts w:hint="eastAsia" w:ascii="宋体" w:hAnsi="宋体"/>
          <w:b/>
          <w:bCs/>
          <w:szCs w:val="21"/>
        </w:rPr>
        <w:t>20.解决争议的方法</w:t>
      </w:r>
    </w:p>
    <w:p w14:paraId="7BDA21F9">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20.1 合同各方应通过友好协商，解决在执行合同过程中所发生的或与合同有关的一切争端。如从协商开始后十日内仍不能解决，可以向财政部门提请调解。</w:t>
      </w:r>
    </w:p>
    <w:p w14:paraId="229F70FC">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20.2 调解不成可以按</w:t>
      </w:r>
      <w:r>
        <w:rPr>
          <w:rFonts w:hint="eastAsia" w:ascii="宋体" w:hAnsi="宋体"/>
          <w:b/>
          <w:szCs w:val="21"/>
        </w:rPr>
        <w:t>【政府采购合同专用条款】</w:t>
      </w:r>
      <w:r>
        <w:rPr>
          <w:rFonts w:hint="eastAsia" w:ascii="宋体" w:hAnsi="宋体"/>
          <w:szCs w:val="21"/>
        </w:rPr>
        <w:t>中约定中规定下列方式之一提起仲裁或诉讼：</w:t>
      </w:r>
    </w:p>
    <w:p w14:paraId="6659B0D2">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（1）向甲方所在地仲裁机构提起仲裁；</w:t>
      </w:r>
    </w:p>
    <w:p w14:paraId="50A2ABB6">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（2）向甲方所在地人民法院提起诉讼。</w:t>
      </w:r>
    </w:p>
    <w:p w14:paraId="440BC247">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20.3 如仲裁或诉讼事项不影响合同其它部分的履行，则在仲裁或诉讼期间，除正在进行仲裁或诉讼的部分外，合同的其它部分应继续执行。</w:t>
      </w:r>
    </w:p>
    <w:p w14:paraId="7D78BA04">
      <w:pPr>
        <w:autoSpaceDE w:val="0"/>
        <w:autoSpaceDN w:val="0"/>
        <w:adjustRightInd w:val="0"/>
        <w:snapToGrid w:val="0"/>
        <w:spacing w:line="360" w:lineRule="auto"/>
        <w:ind w:firstLine="422" w:firstLineChars="200"/>
        <w:jc w:val="left"/>
        <w:rPr>
          <w:rFonts w:ascii="宋体" w:hAnsi="宋体"/>
          <w:b/>
          <w:szCs w:val="21"/>
        </w:rPr>
      </w:pPr>
      <w:r>
        <w:rPr>
          <w:rFonts w:hint="eastAsia" w:ascii="宋体" w:hAnsi="宋体"/>
          <w:b/>
          <w:szCs w:val="21"/>
        </w:rPr>
        <w:t>21.法律适用</w:t>
      </w:r>
    </w:p>
    <w:p w14:paraId="051EF940">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21.1 本合同适用中华人民共和国现行法律、行政法规和规章，如合同条款与法律、行政法规和规章不一致的，按照法律、行政法规和规章修改本合同。</w:t>
      </w:r>
    </w:p>
    <w:p w14:paraId="52EDA332">
      <w:pPr>
        <w:autoSpaceDE w:val="0"/>
        <w:autoSpaceDN w:val="0"/>
        <w:adjustRightInd w:val="0"/>
        <w:snapToGrid w:val="0"/>
        <w:spacing w:line="360" w:lineRule="auto"/>
        <w:ind w:firstLine="422" w:firstLineChars="200"/>
        <w:jc w:val="left"/>
        <w:rPr>
          <w:rFonts w:ascii="宋体" w:hAnsi="宋体"/>
          <w:b/>
          <w:szCs w:val="21"/>
        </w:rPr>
      </w:pPr>
      <w:r>
        <w:rPr>
          <w:rFonts w:hint="eastAsia" w:ascii="宋体" w:hAnsi="宋体"/>
          <w:b/>
          <w:bCs/>
          <w:szCs w:val="21"/>
        </w:rPr>
        <w:t>22.</w:t>
      </w:r>
      <w:r>
        <w:rPr>
          <w:rFonts w:hint="eastAsia" w:ascii="宋体" w:hAnsi="宋体"/>
          <w:b/>
          <w:szCs w:val="21"/>
        </w:rPr>
        <w:t>通知</w:t>
      </w:r>
    </w:p>
    <w:p w14:paraId="5CB36BAD">
      <w:pPr>
        <w:adjustRightInd w:val="0"/>
        <w:snapToGrid w:val="0"/>
        <w:spacing w:line="360" w:lineRule="auto"/>
        <w:ind w:firstLine="420" w:firstLineChars="200"/>
        <w:jc w:val="left"/>
        <w:rPr>
          <w:rFonts w:ascii="宋体" w:hAnsi="宋体"/>
          <w:szCs w:val="21"/>
        </w:rPr>
      </w:pPr>
      <w:r>
        <w:rPr>
          <w:rFonts w:hint="eastAsia" w:ascii="宋体" w:hAnsi="宋体"/>
          <w:szCs w:val="21"/>
        </w:rPr>
        <w:t>22.1本合同一方给另一方的通知均应采用书面形式，传真或快递送到本合同中规定的对方的地址和办理签收手续，</w:t>
      </w:r>
    </w:p>
    <w:p w14:paraId="2FAA0490">
      <w:pPr>
        <w:adjustRightInd w:val="0"/>
        <w:snapToGrid w:val="0"/>
        <w:spacing w:line="360" w:lineRule="auto"/>
        <w:ind w:firstLine="420" w:firstLineChars="200"/>
        <w:jc w:val="left"/>
        <w:rPr>
          <w:rFonts w:ascii="宋体" w:hAnsi="宋体"/>
          <w:szCs w:val="21"/>
        </w:rPr>
      </w:pPr>
      <w:r>
        <w:rPr>
          <w:rFonts w:hint="eastAsia" w:ascii="宋体" w:hAnsi="宋体"/>
          <w:szCs w:val="21"/>
        </w:rPr>
        <w:t>22.2通知以送到之日或通知书中规定的生效之日起生效，两者中以较迟之日为准。</w:t>
      </w:r>
    </w:p>
    <w:p w14:paraId="2BC0CE36">
      <w:pPr>
        <w:adjustRightInd w:val="0"/>
        <w:snapToGrid w:val="0"/>
        <w:spacing w:line="360" w:lineRule="auto"/>
        <w:ind w:firstLine="422" w:firstLineChars="200"/>
        <w:jc w:val="left"/>
        <w:rPr>
          <w:rFonts w:ascii="宋体" w:hAnsi="宋体"/>
          <w:b/>
          <w:bCs/>
          <w:szCs w:val="21"/>
        </w:rPr>
      </w:pPr>
      <w:r>
        <w:rPr>
          <w:rFonts w:hint="eastAsia" w:ascii="宋体" w:hAnsi="宋体"/>
          <w:b/>
          <w:bCs/>
          <w:szCs w:val="21"/>
        </w:rPr>
        <w:t>23. 合同未尽事项</w:t>
      </w:r>
    </w:p>
    <w:p w14:paraId="07D1D3E0">
      <w:pPr>
        <w:adjustRightInd w:val="0"/>
        <w:snapToGrid w:val="0"/>
        <w:spacing w:line="360" w:lineRule="auto"/>
        <w:ind w:firstLine="420" w:firstLineChars="200"/>
        <w:jc w:val="left"/>
        <w:rPr>
          <w:rFonts w:ascii="宋体" w:hAnsi="宋体"/>
          <w:bCs/>
          <w:szCs w:val="21"/>
        </w:rPr>
      </w:pPr>
      <w:r>
        <w:rPr>
          <w:rFonts w:hint="eastAsia" w:ascii="宋体" w:hAnsi="宋体"/>
          <w:bCs/>
          <w:szCs w:val="21"/>
        </w:rPr>
        <w:t>23.1合同未尽事项见</w:t>
      </w:r>
      <w:r>
        <w:rPr>
          <w:rFonts w:hint="eastAsia" w:ascii="宋体" w:hAnsi="宋体"/>
          <w:b/>
          <w:szCs w:val="21"/>
        </w:rPr>
        <w:t>【政府采购合同专用条款】。</w:t>
      </w:r>
    </w:p>
    <w:p w14:paraId="67916763">
      <w:pPr>
        <w:adjustRightInd w:val="0"/>
        <w:snapToGrid w:val="0"/>
        <w:spacing w:line="360" w:lineRule="auto"/>
        <w:ind w:firstLine="422" w:firstLineChars="200"/>
        <w:jc w:val="left"/>
        <w:rPr>
          <w:rFonts w:ascii="宋体" w:hAnsi="宋体"/>
          <w:b/>
          <w:bCs/>
          <w:szCs w:val="21"/>
        </w:rPr>
      </w:pPr>
      <w:r>
        <w:rPr>
          <w:rFonts w:hint="eastAsia" w:ascii="宋体" w:hAnsi="宋体"/>
          <w:b/>
          <w:bCs/>
          <w:szCs w:val="21"/>
        </w:rPr>
        <w:t>24.合同生效</w:t>
      </w:r>
    </w:p>
    <w:p w14:paraId="3497EF66">
      <w:pPr>
        <w:adjustRightInd w:val="0"/>
        <w:snapToGrid w:val="0"/>
        <w:spacing w:line="360" w:lineRule="auto"/>
        <w:ind w:firstLine="420" w:firstLineChars="200"/>
        <w:rPr>
          <w:rFonts w:ascii="宋体" w:hAnsi="宋体" w:cs="宋体"/>
          <w:b/>
          <w:szCs w:val="21"/>
        </w:rPr>
      </w:pPr>
      <w:r>
        <w:rPr>
          <w:rFonts w:hint="eastAsia" w:ascii="宋体" w:hAnsi="宋体"/>
          <w:szCs w:val="21"/>
        </w:rPr>
        <w:t>24.1 本合同在合同双方签字盖章后生效。</w:t>
      </w:r>
    </w:p>
    <w:p w14:paraId="5A69BAD7">
      <w:pPr>
        <w:autoSpaceDE w:val="0"/>
        <w:autoSpaceDN w:val="0"/>
        <w:adjustRightInd w:val="0"/>
        <w:snapToGrid w:val="0"/>
        <w:spacing w:line="360" w:lineRule="auto"/>
        <w:ind w:firstLine="420" w:firstLineChars="200"/>
        <w:jc w:val="left"/>
        <w:rPr>
          <w:rFonts w:ascii="宋体" w:hAnsi="宋体" w:cs="宋体"/>
          <w:szCs w:val="21"/>
        </w:rPr>
      </w:pPr>
    </w:p>
    <w:p w14:paraId="47E3CE0C">
      <w:pPr>
        <w:autoSpaceDE w:val="0"/>
        <w:autoSpaceDN w:val="0"/>
        <w:adjustRightInd w:val="0"/>
        <w:snapToGrid w:val="0"/>
        <w:spacing w:line="360" w:lineRule="auto"/>
        <w:ind w:firstLine="420" w:firstLineChars="200"/>
        <w:jc w:val="center"/>
        <w:rPr>
          <w:rFonts w:ascii="宋体" w:hAnsi="宋体" w:cs="宋体"/>
          <w:szCs w:val="21"/>
        </w:rPr>
      </w:pPr>
      <w:r>
        <w:rPr>
          <w:rFonts w:hint="eastAsia" w:ascii="宋体" w:hAnsi="宋体" w:cs="宋体"/>
          <w:szCs w:val="21"/>
        </w:rPr>
        <w:br w:type="page"/>
      </w:r>
    </w:p>
    <w:p w14:paraId="796FAE33">
      <w:pPr>
        <w:pStyle w:val="3"/>
        <w:jc w:val="center"/>
        <w:rPr>
          <w:rFonts w:ascii="宋体" w:hAnsi="宋体" w:cs="宋体"/>
          <w:bCs w:val="0"/>
          <w:sz w:val="28"/>
          <w:szCs w:val="28"/>
        </w:rPr>
      </w:pPr>
      <w:bookmarkStart w:id="124" w:name="_Toc19483"/>
      <w:bookmarkStart w:id="125" w:name="_Toc19033"/>
      <w:bookmarkStart w:id="126" w:name="_Toc19730"/>
      <w:r>
        <w:rPr>
          <w:rFonts w:hint="eastAsia" w:ascii="宋体" w:hAnsi="宋体" w:cs="宋体"/>
          <w:bCs w:val="0"/>
          <w:sz w:val="28"/>
          <w:szCs w:val="28"/>
        </w:rPr>
        <w:t>第三节 政府采购合同专用条</w:t>
      </w:r>
      <w:bookmarkEnd w:id="124"/>
      <w:r>
        <w:rPr>
          <w:rFonts w:hint="eastAsia" w:ascii="宋体" w:hAnsi="宋体" w:cs="宋体"/>
          <w:bCs w:val="0"/>
          <w:sz w:val="28"/>
          <w:szCs w:val="28"/>
        </w:rPr>
        <w:t>款</w:t>
      </w:r>
    </w:p>
    <w:p w14:paraId="175BA61D">
      <w:pPr>
        <w:jc w:val="center"/>
        <w:rPr>
          <w:rFonts w:ascii="宋体" w:hAnsi="宋体" w:cs="宋体"/>
          <w:sz w:val="24"/>
        </w:rPr>
      </w:pPr>
    </w:p>
    <w:tbl>
      <w:tblPr>
        <w:tblStyle w:val="40"/>
        <w:tblW w:w="9799"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850"/>
        <w:gridCol w:w="1768"/>
        <w:gridCol w:w="6181"/>
      </w:tblGrid>
      <w:tr w14:paraId="1D78A6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10" w:hRule="atLeast"/>
        </w:trPr>
        <w:tc>
          <w:tcPr>
            <w:tcW w:w="1850" w:type="dxa"/>
            <w:noWrap/>
            <w:vAlign w:val="center"/>
          </w:tcPr>
          <w:p w14:paraId="497D98AC">
            <w:pPr>
              <w:adjustRightInd w:val="0"/>
              <w:snapToGrid w:val="0"/>
              <w:jc w:val="center"/>
              <w:rPr>
                <w:rFonts w:ascii="宋体" w:hAnsi="宋体" w:cs="宋体"/>
                <w:szCs w:val="21"/>
              </w:rPr>
            </w:pPr>
            <w:r>
              <w:rPr>
                <w:rFonts w:hint="eastAsia" w:ascii="宋体" w:hAnsi="宋体" w:cs="宋体"/>
                <w:szCs w:val="21"/>
              </w:rPr>
              <w:t>第五章</w:t>
            </w:r>
          </w:p>
          <w:p w14:paraId="6377E7E9">
            <w:pPr>
              <w:adjustRightInd w:val="0"/>
              <w:snapToGrid w:val="0"/>
              <w:jc w:val="center"/>
              <w:rPr>
                <w:rFonts w:ascii="宋体" w:hAnsi="宋体" w:cs="宋体"/>
                <w:szCs w:val="21"/>
              </w:rPr>
            </w:pPr>
            <w:r>
              <w:rPr>
                <w:rFonts w:hint="eastAsia" w:ascii="宋体" w:hAnsi="宋体" w:cs="宋体"/>
                <w:szCs w:val="21"/>
              </w:rPr>
              <w:t>第1.1款</w:t>
            </w:r>
          </w:p>
        </w:tc>
        <w:tc>
          <w:tcPr>
            <w:tcW w:w="1768" w:type="dxa"/>
            <w:noWrap/>
            <w:vAlign w:val="center"/>
          </w:tcPr>
          <w:p w14:paraId="00430F82">
            <w:pPr>
              <w:adjustRightInd w:val="0"/>
              <w:snapToGrid w:val="0"/>
              <w:jc w:val="left"/>
              <w:rPr>
                <w:rFonts w:ascii="宋体" w:hAnsi="宋体" w:cs="宋体"/>
                <w:szCs w:val="21"/>
              </w:rPr>
            </w:pPr>
            <w:r>
              <w:rPr>
                <w:rFonts w:hint="eastAsia" w:ascii="宋体" w:hAnsi="宋体" w:cs="宋体"/>
                <w:szCs w:val="21"/>
              </w:rPr>
              <w:t>甲方名称、地址</w:t>
            </w:r>
          </w:p>
        </w:tc>
        <w:tc>
          <w:tcPr>
            <w:tcW w:w="6181" w:type="dxa"/>
            <w:noWrap/>
            <w:vAlign w:val="center"/>
          </w:tcPr>
          <w:p w14:paraId="7EB861BF">
            <w:pPr>
              <w:adjustRightInd w:val="0"/>
              <w:snapToGrid w:val="0"/>
              <w:jc w:val="left"/>
              <w:rPr>
                <w:rFonts w:hint="eastAsia" w:ascii="宋体" w:hAnsi="宋体" w:eastAsia="宋体" w:cs="宋体"/>
                <w:szCs w:val="21"/>
                <w:lang w:eastAsia="zh-CN"/>
              </w:rPr>
            </w:pPr>
            <w:r>
              <w:rPr>
                <w:rFonts w:hint="eastAsia" w:ascii="宋体" w:hAnsi="宋体" w:cs="宋体"/>
                <w:szCs w:val="21"/>
              </w:rPr>
              <w:t>名  称：</w:t>
            </w:r>
            <w:r>
              <w:rPr>
                <w:rFonts w:hint="eastAsia" w:ascii="宋体" w:hAnsi="宋体" w:cs="宋体"/>
                <w:szCs w:val="21"/>
                <w:lang w:eastAsia="zh-CN"/>
              </w:rPr>
              <w:t>岳阳县人民医院</w:t>
            </w:r>
          </w:p>
          <w:p w14:paraId="0E7C9C7E">
            <w:pPr>
              <w:adjustRightInd w:val="0"/>
              <w:snapToGrid w:val="0"/>
              <w:jc w:val="left"/>
              <w:rPr>
                <w:rFonts w:ascii="宋体" w:hAnsi="宋体" w:cs="宋体"/>
                <w:szCs w:val="21"/>
              </w:rPr>
            </w:pPr>
            <w:r>
              <w:rPr>
                <w:rFonts w:hint="eastAsia" w:ascii="宋体" w:hAnsi="宋体" w:cs="宋体"/>
                <w:szCs w:val="21"/>
              </w:rPr>
              <w:t>地  址：</w:t>
            </w:r>
            <w:r>
              <w:rPr>
                <w:rFonts w:ascii="Arial" w:hAnsi="Arial" w:eastAsia="宋体" w:cs="Arial"/>
                <w:i w:val="0"/>
                <w:iCs w:val="0"/>
                <w:caps w:val="0"/>
                <w:color w:val="333333"/>
                <w:spacing w:val="0"/>
                <w:sz w:val="19"/>
                <w:szCs w:val="19"/>
                <w:shd w:val="clear" w:fill="FFFFFF"/>
              </w:rPr>
              <w:t>岳阳县城关镇天鹅路65号</w:t>
            </w:r>
          </w:p>
        </w:tc>
      </w:tr>
      <w:tr w14:paraId="4C1CDA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850" w:type="dxa"/>
            <w:noWrap/>
            <w:vAlign w:val="center"/>
          </w:tcPr>
          <w:p w14:paraId="20E48A2F">
            <w:pPr>
              <w:adjustRightInd w:val="0"/>
              <w:snapToGrid w:val="0"/>
              <w:jc w:val="center"/>
              <w:rPr>
                <w:rFonts w:ascii="宋体" w:hAnsi="宋体" w:cs="宋体"/>
                <w:szCs w:val="21"/>
              </w:rPr>
            </w:pPr>
            <w:r>
              <w:rPr>
                <w:rFonts w:hint="eastAsia" w:ascii="宋体" w:hAnsi="宋体" w:cs="宋体"/>
                <w:szCs w:val="21"/>
              </w:rPr>
              <w:t>第五章</w:t>
            </w:r>
          </w:p>
          <w:p w14:paraId="71FF5AEE">
            <w:pPr>
              <w:adjustRightInd w:val="0"/>
              <w:snapToGrid w:val="0"/>
              <w:jc w:val="center"/>
              <w:rPr>
                <w:rFonts w:ascii="宋体" w:hAnsi="宋体" w:cs="宋体"/>
                <w:szCs w:val="21"/>
              </w:rPr>
            </w:pPr>
            <w:r>
              <w:rPr>
                <w:rFonts w:hint="eastAsia" w:ascii="宋体" w:hAnsi="宋体" w:cs="宋体"/>
                <w:szCs w:val="21"/>
              </w:rPr>
              <w:t>第1.2（6）项</w:t>
            </w:r>
          </w:p>
        </w:tc>
        <w:tc>
          <w:tcPr>
            <w:tcW w:w="1768" w:type="dxa"/>
            <w:noWrap/>
            <w:vAlign w:val="center"/>
          </w:tcPr>
          <w:p w14:paraId="54B8E722">
            <w:pPr>
              <w:adjustRightInd w:val="0"/>
              <w:snapToGrid w:val="0"/>
              <w:jc w:val="left"/>
              <w:rPr>
                <w:rFonts w:ascii="宋体" w:hAnsi="宋体" w:cs="宋体"/>
                <w:szCs w:val="21"/>
              </w:rPr>
            </w:pPr>
            <w:r>
              <w:rPr>
                <w:rFonts w:hint="eastAsia" w:ascii="宋体" w:hAnsi="宋体" w:cs="宋体"/>
                <w:szCs w:val="21"/>
              </w:rPr>
              <w:t>项目现场</w:t>
            </w:r>
          </w:p>
        </w:tc>
        <w:tc>
          <w:tcPr>
            <w:tcW w:w="6181" w:type="dxa"/>
            <w:noWrap/>
            <w:vAlign w:val="center"/>
          </w:tcPr>
          <w:p w14:paraId="4026A734">
            <w:pPr>
              <w:adjustRightInd w:val="0"/>
              <w:snapToGrid w:val="0"/>
              <w:jc w:val="left"/>
              <w:rPr>
                <w:rFonts w:ascii="宋体" w:hAnsi="宋体" w:cs="宋体"/>
                <w:szCs w:val="21"/>
              </w:rPr>
            </w:pPr>
            <w:r>
              <w:rPr>
                <w:rFonts w:ascii="Arial" w:hAnsi="Arial" w:eastAsia="宋体" w:cs="Arial"/>
                <w:i w:val="0"/>
                <w:iCs w:val="0"/>
                <w:caps w:val="0"/>
                <w:color w:val="333333"/>
                <w:spacing w:val="0"/>
                <w:sz w:val="19"/>
                <w:szCs w:val="19"/>
                <w:shd w:val="clear" w:fill="FFFFFF"/>
              </w:rPr>
              <w:t>岳阳县城关镇天鹅路65号</w:t>
            </w:r>
            <w:r>
              <w:rPr>
                <w:rFonts w:hint="eastAsia" w:ascii="宋体" w:hAnsi="宋体" w:cs="宋体"/>
                <w:szCs w:val="21"/>
                <w:lang w:eastAsia="zh-CN"/>
              </w:rPr>
              <w:t>岳阳县人民医院</w:t>
            </w:r>
          </w:p>
        </w:tc>
      </w:tr>
      <w:tr w14:paraId="14C2A8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44" w:hRule="atLeast"/>
        </w:trPr>
        <w:tc>
          <w:tcPr>
            <w:tcW w:w="1850" w:type="dxa"/>
            <w:noWrap/>
            <w:vAlign w:val="center"/>
          </w:tcPr>
          <w:p w14:paraId="23598E34">
            <w:pPr>
              <w:adjustRightInd w:val="0"/>
              <w:snapToGrid w:val="0"/>
              <w:jc w:val="center"/>
              <w:rPr>
                <w:rFonts w:ascii="宋体" w:hAnsi="宋体" w:cs="宋体"/>
                <w:szCs w:val="21"/>
              </w:rPr>
            </w:pPr>
            <w:r>
              <w:rPr>
                <w:rFonts w:hint="eastAsia" w:ascii="宋体" w:hAnsi="宋体" w:cs="宋体"/>
                <w:szCs w:val="21"/>
              </w:rPr>
              <w:t>第五章</w:t>
            </w:r>
          </w:p>
          <w:p w14:paraId="749D4171">
            <w:pPr>
              <w:adjustRightInd w:val="0"/>
              <w:snapToGrid w:val="0"/>
              <w:jc w:val="center"/>
              <w:rPr>
                <w:rFonts w:ascii="宋体" w:hAnsi="宋体" w:cs="宋体"/>
                <w:szCs w:val="21"/>
              </w:rPr>
            </w:pPr>
            <w:r>
              <w:rPr>
                <w:rFonts w:hint="eastAsia" w:ascii="宋体" w:hAnsi="宋体" w:cs="宋体"/>
                <w:szCs w:val="21"/>
              </w:rPr>
              <w:t>第5.1款</w:t>
            </w:r>
          </w:p>
        </w:tc>
        <w:tc>
          <w:tcPr>
            <w:tcW w:w="1768" w:type="dxa"/>
            <w:noWrap/>
            <w:vAlign w:val="center"/>
          </w:tcPr>
          <w:p w14:paraId="44B0260E">
            <w:pPr>
              <w:adjustRightInd w:val="0"/>
              <w:snapToGrid w:val="0"/>
              <w:jc w:val="left"/>
              <w:rPr>
                <w:rFonts w:ascii="宋体" w:hAnsi="宋体" w:cs="宋体"/>
                <w:szCs w:val="21"/>
              </w:rPr>
            </w:pPr>
            <w:r>
              <w:rPr>
                <w:rFonts w:hint="eastAsia" w:ascii="宋体" w:hAnsi="宋体" w:cs="宋体"/>
                <w:szCs w:val="21"/>
              </w:rPr>
              <w:t>履行合同的期限、地</w:t>
            </w:r>
            <w:r>
              <w:rPr>
                <w:rFonts w:hint="eastAsia" w:ascii="宋体" w:hAnsi="宋体" w:cs="宋体"/>
                <w:b w:val="0"/>
                <w:bCs w:val="0"/>
                <w:szCs w:val="21"/>
              </w:rPr>
              <w:t>点及</w:t>
            </w:r>
            <w:r>
              <w:rPr>
                <w:rFonts w:hint="eastAsia" w:ascii="宋体" w:hAnsi="宋体" w:cs="宋体"/>
                <w:szCs w:val="21"/>
              </w:rPr>
              <w:t>方式</w:t>
            </w:r>
          </w:p>
        </w:tc>
        <w:tc>
          <w:tcPr>
            <w:tcW w:w="6181" w:type="dxa"/>
            <w:noWrap/>
            <w:vAlign w:val="center"/>
          </w:tcPr>
          <w:p w14:paraId="415E1435">
            <w:pPr>
              <w:adjustRightInd w:val="0"/>
              <w:snapToGrid w:val="0"/>
              <w:jc w:val="left"/>
              <w:rPr>
                <w:rFonts w:hint="eastAsia" w:ascii="Arial" w:hAnsi="Arial" w:eastAsia="宋体" w:cs="Arial"/>
                <w:i w:val="0"/>
                <w:iCs w:val="0"/>
                <w:caps w:val="0"/>
                <w:color w:val="333333"/>
                <w:spacing w:val="0"/>
                <w:sz w:val="19"/>
                <w:szCs w:val="19"/>
                <w:shd w:val="clear" w:fill="FFFFFF"/>
                <w:lang w:val="en-US" w:eastAsia="zh-CN"/>
              </w:rPr>
            </w:pPr>
            <w:r>
              <w:rPr>
                <w:rFonts w:hint="eastAsia" w:ascii="Arial" w:hAnsi="Arial" w:eastAsia="宋体" w:cs="Arial"/>
                <w:i w:val="0"/>
                <w:iCs w:val="0"/>
                <w:caps w:val="0"/>
                <w:color w:val="333333"/>
                <w:spacing w:val="0"/>
                <w:sz w:val="19"/>
                <w:szCs w:val="19"/>
                <w:shd w:val="clear" w:fill="FFFFFF"/>
                <w:lang w:val="en-US" w:eastAsia="zh-CN"/>
              </w:rPr>
              <w:t>1、</w:t>
            </w:r>
            <w:r>
              <w:rPr>
                <w:rFonts w:ascii="Arial" w:hAnsi="Arial" w:eastAsia="宋体" w:cs="Arial"/>
                <w:i w:val="0"/>
                <w:iCs w:val="0"/>
                <w:caps w:val="0"/>
                <w:color w:val="333333"/>
                <w:spacing w:val="0"/>
                <w:sz w:val="19"/>
                <w:szCs w:val="19"/>
                <w:shd w:val="clear" w:fill="FFFFFF"/>
              </w:rPr>
              <w:t xml:space="preserve">合同签订后 </w:t>
            </w:r>
            <w:r>
              <w:rPr>
                <w:rFonts w:hint="eastAsia" w:ascii="Arial" w:hAnsi="Arial" w:eastAsia="宋体" w:cs="Arial"/>
                <w:i w:val="0"/>
                <w:iCs w:val="0"/>
                <w:caps w:val="0"/>
                <w:color w:val="333333"/>
                <w:spacing w:val="0"/>
                <w:sz w:val="19"/>
                <w:szCs w:val="19"/>
                <w:shd w:val="clear" w:fill="FFFFFF"/>
                <w:lang w:val="en-US" w:eastAsia="zh-CN"/>
              </w:rPr>
              <w:t>90</w:t>
            </w:r>
            <w:r>
              <w:rPr>
                <w:rFonts w:ascii="Arial" w:hAnsi="Arial" w:eastAsia="宋体" w:cs="Arial"/>
                <w:i w:val="0"/>
                <w:iCs w:val="0"/>
                <w:caps w:val="0"/>
                <w:color w:val="333333"/>
                <w:spacing w:val="0"/>
                <w:sz w:val="19"/>
                <w:szCs w:val="19"/>
                <w:shd w:val="clear" w:fill="FFFFFF"/>
              </w:rPr>
              <w:t xml:space="preserve"> 天内完成安装调试并取得《特种设备（电梯）使用标志》</w:t>
            </w:r>
            <w:r>
              <w:rPr>
                <w:rFonts w:hint="eastAsia" w:ascii="Arial" w:hAnsi="Arial" w:eastAsia="宋体" w:cs="Arial"/>
                <w:i w:val="0"/>
                <w:iCs w:val="0"/>
                <w:caps w:val="0"/>
                <w:color w:val="333333"/>
                <w:spacing w:val="0"/>
                <w:sz w:val="19"/>
                <w:szCs w:val="19"/>
                <w:shd w:val="clear" w:fill="FFFFFF"/>
                <w:lang w:val="en-US" w:eastAsia="zh-CN"/>
              </w:rPr>
              <w:t>并交付使用。</w:t>
            </w:r>
          </w:p>
          <w:p w14:paraId="700E2049">
            <w:pPr>
              <w:adjustRightInd w:val="0"/>
              <w:snapToGrid w:val="0"/>
              <w:jc w:val="left"/>
              <w:rPr>
                <w:rFonts w:hint="eastAsia" w:ascii="Arial" w:hAnsi="Arial" w:eastAsia="宋体" w:cs="Arial"/>
                <w:i w:val="0"/>
                <w:iCs w:val="0"/>
                <w:caps w:val="0"/>
                <w:color w:val="333333"/>
                <w:spacing w:val="0"/>
                <w:sz w:val="19"/>
                <w:szCs w:val="19"/>
                <w:shd w:val="clear" w:fill="FFFFFF"/>
                <w:lang w:val="en-US" w:eastAsia="zh-CN"/>
              </w:rPr>
            </w:pPr>
            <w:r>
              <w:rPr>
                <w:rFonts w:hint="eastAsia" w:ascii="Arial" w:hAnsi="Arial" w:eastAsia="宋体" w:cs="Arial"/>
                <w:i w:val="0"/>
                <w:iCs w:val="0"/>
                <w:caps w:val="0"/>
                <w:color w:val="333333"/>
                <w:spacing w:val="0"/>
                <w:sz w:val="19"/>
                <w:szCs w:val="19"/>
                <w:shd w:val="clear" w:fill="FFFFFF"/>
                <w:lang w:eastAsia="zh-CN"/>
              </w:rPr>
              <w:t>履行合同的时间</w:t>
            </w:r>
            <w:r>
              <w:rPr>
                <w:rFonts w:hint="eastAsia" w:ascii="Arial" w:hAnsi="Arial" w:eastAsia="宋体" w:cs="Arial"/>
                <w:i w:val="0"/>
                <w:iCs w:val="0"/>
                <w:caps w:val="0"/>
                <w:color w:val="333333"/>
                <w:spacing w:val="0"/>
                <w:sz w:val="19"/>
                <w:szCs w:val="19"/>
                <w:shd w:val="clear" w:fill="FFFFFF"/>
                <w:lang w:val="en-US" w:eastAsia="zh-CN"/>
              </w:rPr>
              <w:t>节点：1.合同签订后 30 天内：完成设备生产并发货；</w:t>
            </w:r>
          </w:p>
          <w:p w14:paraId="32F54209">
            <w:pPr>
              <w:adjustRightInd w:val="0"/>
              <w:snapToGrid w:val="0"/>
              <w:jc w:val="left"/>
              <w:rPr>
                <w:rFonts w:hint="eastAsia" w:ascii="Arial" w:hAnsi="Arial" w:eastAsia="宋体" w:cs="Arial"/>
                <w:i w:val="0"/>
                <w:iCs w:val="0"/>
                <w:caps w:val="0"/>
                <w:color w:val="333333"/>
                <w:spacing w:val="0"/>
                <w:sz w:val="19"/>
                <w:szCs w:val="19"/>
                <w:shd w:val="clear" w:fill="FFFFFF"/>
                <w:lang w:val="en-US" w:eastAsia="zh-CN"/>
              </w:rPr>
            </w:pPr>
            <w:r>
              <w:rPr>
                <w:rFonts w:hint="eastAsia" w:ascii="Arial" w:hAnsi="Arial" w:eastAsia="宋体" w:cs="Arial"/>
                <w:i w:val="0"/>
                <w:iCs w:val="0"/>
                <w:caps w:val="0"/>
                <w:color w:val="333333"/>
                <w:spacing w:val="0"/>
                <w:sz w:val="19"/>
                <w:szCs w:val="19"/>
                <w:shd w:val="clear" w:fill="FFFFFF"/>
                <w:lang w:val="en-US" w:eastAsia="zh-CN"/>
              </w:rPr>
              <w:t>2.设备到场后 30 天内：完成所有电梯安装调试；</w:t>
            </w:r>
          </w:p>
          <w:p w14:paraId="48A49B94">
            <w:pPr>
              <w:adjustRightInd w:val="0"/>
              <w:snapToGrid w:val="0"/>
              <w:jc w:val="left"/>
              <w:rPr>
                <w:rFonts w:hint="eastAsia" w:ascii="Arial" w:hAnsi="Arial" w:eastAsia="宋体" w:cs="Arial"/>
                <w:i w:val="0"/>
                <w:iCs w:val="0"/>
                <w:caps w:val="0"/>
                <w:color w:val="333333"/>
                <w:spacing w:val="0"/>
                <w:sz w:val="19"/>
                <w:szCs w:val="19"/>
                <w:shd w:val="clear" w:fill="FFFFFF"/>
                <w:lang w:val="en-US" w:eastAsia="zh-CN"/>
              </w:rPr>
            </w:pPr>
            <w:r>
              <w:rPr>
                <w:rFonts w:hint="eastAsia" w:ascii="Arial" w:hAnsi="Arial" w:eastAsia="宋体" w:cs="Arial"/>
                <w:i w:val="0"/>
                <w:iCs w:val="0"/>
                <w:caps w:val="0"/>
                <w:color w:val="333333"/>
                <w:spacing w:val="0"/>
                <w:sz w:val="19"/>
                <w:szCs w:val="19"/>
                <w:shd w:val="clear" w:fill="FFFFFF"/>
                <w:lang w:val="en-US" w:eastAsia="zh-CN"/>
              </w:rPr>
              <w:t>3.安装完成后 25天内：完成报检并取得《特种设备（电梯）使用标志》；</w:t>
            </w:r>
          </w:p>
          <w:p w14:paraId="3733CD9D">
            <w:pPr>
              <w:adjustRightInd w:val="0"/>
              <w:snapToGrid w:val="0"/>
              <w:jc w:val="left"/>
              <w:rPr>
                <w:rFonts w:hint="eastAsia" w:ascii="Arial" w:hAnsi="Arial" w:eastAsia="宋体" w:cs="Arial"/>
                <w:i w:val="0"/>
                <w:iCs w:val="0"/>
                <w:caps w:val="0"/>
                <w:color w:val="333333"/>
                <w:spacing w:val="0"/>
                <w:sz w:val="19"/>
                <w:szCs w:val="19"/>
                <w:shd w:val="clear" w:fill="FFFFFF"/>
                <w:lang w:val="en-US" w:eastAsia="zh-CN"/>
              </w:rPr>
            </w:pPr>
            <w:r>
              <w:rPr>
                <w:rFonts w:hint="eastAsia" w:ascii="Arial" w:hAnsi="Arial" w:eastAsia="宋体" w:cs="Arial"/>
                <w:i w:val="0"/>
                <w:iCs w:val="0"/>
                <w:caps w:val="0"/>
                <w:color w:val="333333"/>
                <w:spacing w:val="0"/>
                <w:sz w:val="19"/>
                <w:szCs w:val="19"/>
                <w:shd w:val="clear" w:fill="FFFFFF"/>
                <w:lang w:val="en-US" w:eastAsia="zh-CN"/>
              </w:rPr>
              <w:t>4.取证后 5 天内：完成采购人验收达到投入使用条件。</w:t>
            </w:r>
          </w:p>
          <w:p w14:paraId="68B27180">
            <w:pPr>
              <w:adjustRightInd w:val="0"/>
              <w:snapToGrid w:val="0"/>
              <w:jc w:val="left"/>
              <w:rPr>
                <w:rFonts w:ascii="宋体" w:hAnsi="宋体" w:cs="宋体"/>
                <w:szCs w:val="21"/>
              </w:rPr>
            </w:pPr>
            <w:r>
              <w:rPr>
                <w:rFonts w:hint="eastAsia" w:ascii="Arial" w:hAnsi="Arial" w:eastAsia="宋体" w:cs="Arial"/>
                <w:i w:val="0"/>
                <w:iCs w:val="0"/>
                <w:caps w:val="0"/>
                <w:color w:val="333333"/>
                <w:spacing w:val="0"/>
                <w:sz w:val="19"/>
                <w:szCs w:val="19"/>
                <w:shd w:val="clear" w:fill="FFFFFF"/>
                <w:lang w:val="en-US" w:eastAsia="zh-CN"/>
              </w:rPr>
              <w:t>2、地点：</w:t>
            </w:r>
            <w:r>
              <w:rPr>
                <w:rFonts w:ascii="Arial" w:hAnsi="Arial" w:eastAsia="宋体" w:cs="Arial"/>
                <w:i w:val="0"/>
                <w:iCs w:val="0"/>
                <w:caps w:val="0"/>
                <w:color w:val="333333"/>
                <w:spacing w:val="0"/>
                <w:sz w:val="19"/>
                <w:szCs w:val="19"/>
                <w:shd w:val="clear" w:fill="FFFFFF"/>
              </w:rPr>
              <w:t>岳阳县城关镇天鹅路65号</w:t>
            </w:r>
            <w:r>
              <w:rPr>
                <w:rFonts w:hint="eastAsia" w:ascii="Arial" w:hAnsi="Arial" w:eastAsia="宋体" w:cs="Arial"/>
                <w:i w:val="0"/>
                <w:iCs w:val="0"/>
                <w:caps w:val="0"/>
                <w:color w:val="333333"/>
                <w:spacing w:val="0"/>
                <w:sz w:val="19"/>
                <w:szCs w:val="19"/>
                <w:shd w:val="clear" w:fill="FFFFFF"/>
                <w:lang w:val="en-US" w:eastAsia="zh-CN"/>
              </w:rPr>
              <w:t>岳阳县人民医院（采购人指定地点）。</w:t>
            </w:r>
          </w:p>
        </w:tc>
      </w:tr>
      <w:tr w14:paraId="063EAB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850" w:type="dxa"/>
            <w:noWrap/>
            <w:vAlign w:val="center"/>
          </w:tcPr>
          <w:p w14:paraId="7067B687">
            <w:pPr>
              <w:adjustRightInd w:val="0"/>
              <w:snapToGrid w:val="0"/>
              <w:jc w:val="center"/>
              <w:rPr>
                <w:rFonts w:ascii="宋体" w:hAnsi="宋体" w:cs="宋体"/>
                <w:szCs w:val="21"/>
              </w:rPr>
            </w:pPr>
            <w:r>
              <w:rPr>
                <w:rFonts w:hint="eastAsia" w:ascii="宋体" w:hAnsi="宋体" w:cs="宋体"/>
                <w:szCs w:val="21"/>
              </w:rPr>
              <w:t>第五章</w:t>
            </w:r>
          </w:p>
          <w:p w14:paraId="5F69503F">
            <w:pPr>
              <w:adjustRightInd w:val="0"/>
              <w:snapToGrid w:val="0"/>
              <w:jc w:val="center"/>
              <w:rPr>
                <w:rFonts w:ascii="宋体" w:hAnsi="宋体" w:cs="宋体"/>
                <w:szCs w:val="21"/>
              </w:rPr>
            </w:pPr>
            <w:r>
              <w:rPr>
                <w:rFonts w:hint="eastAsia" w:ascii="宋体" w:hAnsi="宋体" w:cs="宋体"/>
                <w:szCs w:val="21"/>
              </w:rPr>
              <w:t>第13.5款</w:t>
            </w:r>
          </w:p>
        </w:tc>
        <w:tc>
          <w:tcPr>
            <w:tcW w:w="1768" w:type="dxa"/>
            <w:noWrap/>
            <w:vAlign w:val="center"/>
          </w:tcPr>
          <w:p w14:paraId="6368B654">
            <w:pPr>
              <w:adjustRightInd w:val="0"/>
              <w:snapToGrid w:val="0"/>
              <w:jc w:val="left"/>
              <w:rPr>
                <w:rFonts w:ascii="宋体" w:hAnsi="宋体" w:cs="宋体"/>
                <w:szCs w:val="21"/>
              </w:rPr>
            </w:pPr>
            <w:r>
              <w:rPr>
                <w:rFonts w:hint="eastAsia" w:ascii="宋体" w:hAnsi="宋体" w:cs="宋体"/>
                <w:b w:val="0"/>
                <w:bCs w:val="0"/>
                <w:szCs w:val="21"/>
              </w:rPr>
              <w:t>合同价款支付方式和条件</w:t>
            </w:r>
          </w:p>
        </w:tc>
        <w:tc>
          <w:tcPr>
            <w:tcW w:w="6181" w:type="dxa"/>
            <w:noWrap/>
            <w:vAlign w:val="center"/>
          </w:tcPr>
          <w:p w14:paraId="15B419D2">
            <w:pPr>
              <w:adjustRightInd w:val="0"/>
              <w:snapToGrid w:val="0"/>
              <w:jc w:val="left"/>
              <w:rPr>
                <w:rFonts w:hint="default" w:ascii="宋体" w:hAnsi="宋体" w:eastAsia="宋体" w:cs="宋体"/>
                <w:szCs w:val="21"/>
                <w:lang w:val="en-US" w:eastAsia="zh-CN"/>
              </w:rPr>
            </w:pPr>
            <w:r>
              <w:rPr>
                <w:rFonts w:hint="eastAsia" w:ascii="宋体" w:hAnsi="宋体" w:cs="宋体"/>
                <w:szCs w:val="21"/>
                <w:lang w:val="en-US" w:eastAsia="zh-CN"/>
              </w:rPr>
              <w:t>见采购需求</w:t>
            </w:r>
          </w:p>
        </w:tc>
      </w:tr>
      <w:tr w14:paraId="49FFC0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850" w:type="dxa"/>
            <w:noWrap/>
            <w:vAlign w:val="center"/>
          </w:tcPr>
          <w:p w14:paraId="48575217">
            <w:pPr>
              <w:adjustRightInd w:val="0"/>
              <w:snapToGrid w:val="0"/>
              <w:jc w:val="center"/>
              <w:rPr>
                <w:rFonts w:ascii="宋体" w:hAnsi="宋体" w:cs="宋体"/>
                <w:szCs w:val="21"/>
              </w:rPr>
            </w:pPr>
            <w:r>
              <w:rPr>
                <w:rFonts w:hint="eastAsia" w:ascii="宋体" w:hAnsi="宋体" w:cs="宋体"/>
                <w:szCs w:val="21"/>
              </w:rPr>
              <w:t>第五章</w:t>
            </w:r>
          </w:p>
          <w:p w14:paraId="7103C318">
            <w:pPr>
              <w:adjustRightInd w:val="0"/>
              <w:snapToGrid w:val="0"/>
              <w:jc w:val="center"/>
              <w:rPr>
                <w:rFonts w:ascii="宋体" w:hAnsi="宋体" w:cs="宋体"/>
                <w:szCs w:val="21"/>
              </w:rPr>
            </w:pPr>
            <w:r>
              <w:rPr>
                <w:rFonts w:hint="eastAsia" w:ascii="宋体" w:hAnsi="宋体" w:cs="宋体"/>
                <w:szCs w:val="21"/>
              </w:rPr>
              <w:t>第14.2（5）项</w:t>
            </w:r>
          </w:p>
        </w:tc>
        <w:tc>
          <w:tcPr>
            <w:tcW w:w="1768" w:type="dxa"/>
            <w:noWrap/>
            <w:vAlign w:val="center"/>
          </w:tcPr>
          <w:p w14:paraId="711F23C0">
            <w:pPr>
              <w:adjustRightInd w:val="0"/>
              <w:snapToGrid w:val="0"/>
              <w:jc w:val="left"/>
              <w:rPr>
                <w:rFonts w:ascii="宋体" w:hAnsi="宋体" w:cs="宋体"/>
                <w:szCs w:val="21"/>
              </w:rPr>
            </w:pPr>
            <w:r>
              <w:rPr>
                <w:rFonts w:hint="eastAsia" w:ascii="宋体" w:hAnsi="宋体" w:cs="宋体"/>
                <w:szCs w:val="21"/>
              </w:rPr>
              <w:t>伴随服务</w:t>
            </w:r>
          </w:p>
        </w:tc>
        <w:tc>
          <w:tcPr>
            <w:tcW w:w="6181" w:type="dxa"/>
            <w:noWrap/>
            <w:vAlign w:val="center"/>
          </w:tcPr>
          <w:p w14:paraId="77BD7A95">
            <w:pPr>
              <w:adjustRightInd w:val="0"/>
              <w:snapToGrid w:val="0"/>
              <w:jc w:val="left"/>
              <w:rPr>
                <w:rFonts w:ascii="宋体" w:hAnsi="宋体" w:cs="宋体"/>
                <w:szCs w:val="21"/>
              </w:rPr>
            </w:pPr>
            <w:r>
              <w:rPr>
                <w:rFonts w:hint="eastAsia" w:ascii="宋体" w:hAnsi="宋体" w:cs="宋体"/>
                <w:szCs w:val="21"/>
              </w:rPr>
              <w:t>详见本章第二节相关内容及第四章“技术规格、参数和要求”</w:t>
            </w:r>
          </w:p>
        </w:tc>
      </w:tr>
      <w:tr w14:paraId="6E604C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00" w:hRule="atLeast"/>
        </w:trPr>
        <w:tc>
          <w:tcPr>
            <w:tcW w:w="1850" w:type="dxa"/>
            <w:noWrap/>
            <w:vAlign w:val="center"/>
          </w:tcPr>
          <w:p w14:paraId="24D83ED2">
            <w:pPr>
              <w:adjustRightInd w:val="0"/>
              <w:snapToGrid w:val="0"/>
              <w:jc w:val="center"/>
              <w:rPr>
                <w:rFonts w:ascii="宋体" w:hAnsi="宋体" w:cs="宋体"/>
                <w:szCs w:val="21"/>
              </w:rPr>
            </w:pPr>
            <w:r>
              <w:rPr>
                <w:rFonts w:hint="eastAsia" w:ascii="宋体" w:hAnsi="宋体" w:cs="宋体"/>
                <w:szCs w:val="21"/>
              </w:rPr>
              <w:t>第五章</w:t>
            </w:r>
          </w:p>
          <w:p w14:paraId="128E63AA">
            <w:pPr>
              <w:adjustRightInd w:val="0"/>
              <w:snapToGrid w:val="0"/>
              <w:jc w:val="center"/>
              <w:rPr>
                <w:rFonts w:ascii="宋体" w:hAnsi="宋体" w:cs="宋体"/>
                <w:bCs/>
                <w:szCs w:val="21"/>
              </w:rPr>
            </w:pPr>
            <w:r>
              <w:rPr>
                <w:rFonts w:hint="eastAsia" w:ascii="宋体" w:hAnsi="宋体" w:cs="宋体"/>
                <w:szCs w:val="21"/>
              </w:rPr>
              <w:t>第20.2款</w:t>
            </w:r>
          </w:p>
        </w:tc>
        <w:tc>
          <w:tcPr>
            <w:tcW w:w="1768" w:type="dxa"/>
            <w:noWrap/>
            <w:vAlign w:val="center"/>
          </w:tcPr>
          <w:p w14:paraId="5D772542">
            <w:pPr>
              <w:adjustRightInd w:val="0"/>
              <w:snapToGrid w:val="0"/>
              <w:jc w:val="left"/>
              <w:rPr>
                <w:rFonts w:ascii="宋体" w:hAnsi="宋体" w:cs="宋体"/>
                <w:bCs/>
                <w:szCs w:val="21"/>
              </w:rPr>
            </w:pPr>
            <w:r>
              <w:rPr>
                <w:rFonts w:hint="eastAsia" w:ascii="宋体" w:hAnsi="宋体" w:cs="宋体"/>
                <w:szCs w:val="21"/>
              </w:rPr>
              <w:t>解决争议的方式</w:t>
            </w:r>
          </w:p>
        </w:tc>
        <w:tc>
          <w:tcPr>
            <w:tcW w:w="6181" w:type="dxa"/>
            <w:noWrap/>
            <w:vAlign w:val="center"/>
          </w:tcPr>
          <w:p w14:paraId="679203DF">
            <w:pPr>
              <w:adjustRightInd w:val="0"/>
              <w:snapToGrid w:val="0"/>
              <w:jc w:val="left"/>
              <w:rPr>
                <w:rFonts w:hint="eastAsia" w:ascii="宋体" w:hAnsi="宋体" w:eastAsia="宋体" w:cs="宋体"/>
                <w:szCs w:val="21"/>
                <w:lang w:eastAsia="zh-CN"/>
              </w:rPr>
            </w:pPr>
            <w:r>
              <w:rPr>
                <w:rFonts w:hint="eastAsia" w:ascii="宋体" w:hAnsi="宋体" w:cs="宋体"/>
                <w:szCs w:val="21"/>
              </w:rPr>
              <w:t>☑ 诉讼</w:t>
            </w:r>
            <w:r>
              <w:rPr>
                <w:rFonts w:hint="eastAsia" w:ascii="宋体" w:hAnsi="宋体" w:cs="宋体"/>
                <w:szCs w:val="21"/>
                <w:lang w:eastAsia="zh-CN"/>
              </w:rPr>
              <w:t>（采购人所在地法院）</w:t>
            </w:r>
          </w:p>
          <w:p w14:paraId="5BEB0C7A">
            <w:pPr>
              <w:adjustRightInd w:val="0"/>
              <w:snapToGrid w:val="0"/>
              <w:jc w:val="left"/>
              <w:rPr>
                <w:rFonts w:ascii="宋体" w:hAnsi="宋体" w:cs="宋体"/>
                <w:szCs w:val="21"/>
              </w:rPr>
            </w:pPr>
            <w:r>
              <w:rPr>
                <w:rFonts w:hint="eastAsia" w:ascii="宋体" w:hAnsi="宋体" w:cs="宋体"/>
                <w:szCs w:val="21"/>
              </w:rPr>
              <w:t>□ 仲裁</w:t>
            </w:r>
          </w:p>
        </w:tc>
      </w:tr>
      <w:tr w14:paraId="2CA4B6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98" w:hRule="atLeast"/>
        </w:trPr>
        <w:tc>
          <w:tcPr>
            <w:tcW w:w="1850" w:type="dxa"/>
            <w:noWrap/>
            <w:vAlign w:val="center"/>
          </w:tcPr>
          <w:p w14:paraId="24DFE93D">
            <w:pPr>
              <w:adjustRightInd w:val="0"/>
              <w:snapToGrid w:val="0"/>
              <w:jc w:val="center"/>
              <w:rPr>
                <w:rFonts w:ascii="宋体" w:hAnsi="宋体" w:cs="宋体"/>
                <w:szCs w:val="21"/>
              </w:rPr>
            </w:pPr>
            <w:r>
              <w:rPr>
                <w:rFonts w:hint="eastAsia" w:ascii="宋体" w:hAnsi="宋体" w:cs="宋体"/>
                <w:szCs w:val="21"/>
              </w:rPr>
              <w:t>第五章</w:t>
            </w:r>
          </w:p>
          <w:p w14:paraId="54A97FCA">
            <w:pPr>
              <w:adjustRightInd w:val="0"/>
              <w:snapToGrid w:val="0"/>
              <w:jc w:val="center"/>
              <w:rPr>
                <w:rFonts w:ascii="宋体" w:hAnsi="宋体" w:cs="宋体"/>
                <w:szCs w:val="21"/>
              </w:rPr>
            </w:pPr>
            <w:r>
              <w:rPr>
                <w:rFonts w:hint="eastAsia" w:ascii="宋体" w:hAnsi="宋体" w:cs="宋体"/>
                <w:szCs w:val="21"/>
              </w:rPr>
              <w:t>第23.1款</w:t>
            </w:r>
          </w:p>
        </w:tc>
        <w:tc>
          <w:tcPr>
            <w:tcW w:w="1768" w:type="dxa"/>
            <w:noWrap/>
            <w:vAlign w:val="center"/>
          </w:tcPr>
          <w:p w14:paraId="190EFD64">
            <w:pPr>
              <w:adjustRightInd w:val="0"/>
              <w:snapToGrid w:val="0"/>
              <w:jc w:val="left"/>
              <w:rPr>
                <w:rFonts w:ascii="宋体" w:hAnsi="宋体" w:cs="宋体"/>
                <w:szCs w:val="21"/>
              </w:rPr>
            </w:pPr>
            <w:r>
              <w:rPr>
                <w:rFonts w:hint="eastAsia" w:ascii="宋体" w:hAnsi="宋体" w:cs="宋体"/>
                <w:bCs/>
                <w:szCs w:val="21"/>
              </w:rPr>
              <w:t>合同未尽事项</w:t>
            </w:r>
          </w:p>
        </w:tc>
        <w:tc>
          <w:tcPr>
            <w:tcW w:w="6181" w:type="dxa"/>
            <w:noWrap/>
            <w:vAlign w:val="center"/>
          </w:tcPr>
          <w:p w14:paraId="1427EA96">
            <w:pPr>
              <w:adjustRightInd w:val="0"/>
              <w:snapToGrid w:val="0"/>
              <w:jc w:val="left"/>
              <w:rPr>
                <w:rFonts w:ascii="宋体" w:hAnsi="宋体" w:cs="宋体"/>
                <w:szCs w:val="21"/>
              </w:rPr>
            </w:pPr>
            <w:r>
              <w:rPr>
                <w:rFonts w:hint="eastAsia" w:ascii="宋体" w:hAnsi="宋体" w:cs="宋体"/>
                <w:b/>
                <w:bCs/>
                <w:szCs w:val="21"/>
              </w:rPr>
              <w:t>双方协商解决</w:t>
            </w:r>
          </w:p>
        </w:tc>
      </w:tr>
    </w:tbl>
    <w:p w14:paraId="50284F55">
      <w:pPr>
        <w:pStyle w:val="25"/>
        <w:adjustRightInd w:val="0"/>
        <w:snapToGrid w:val="0"/>
        <w:spacing w:beforeLines="50" w:line="360" w:lineRule="auto"/>
        <w:jc w:val="center"/>
        <w:rPr>
          <w:rFonts w:hAnsi="宋体" w:cs="宋体"/>
          <w:b/>
          <w:sz w:val="32"/>
          <w:szCs w:val="32"/>
        </w:rPr>
      </w:pPr>
    </w:p>
    <w:p w14:paraId="04E49D6D">
      <w:pPr>
        <w:pStyle w:val="25"/>
        <w:adjustRightInd w:val="0"/>
        <w:snapToGrid w:val="0"/>
        <w:spacing w:beforeLines="50" w:line="360" w:lineRule="auto"/>
        <w:jc w:val="center"/>
        <w:rPr>
          <w:rFonts w:hAnsi="宋体" w:cs="宋体"/>
          <w:b/>
          <w:sz w:val="32"/>
          <w:szCs w:val="32"/>
        </w:rPr>
      </w:pPr>
    </w:p>
    <w:p w14:paraId="3BDE127E">
      <w:pPr>
        <w:pStyle w:val="25"/>
        <w:adjustRightInd w:val="0"/>
        <w:snapToGrid w:val="0"/>
        <w:spacing w:beforeLines="50" w:line="360" w:lineRule="auto"/>
        <w:jc w:val="center"/>
        <w:rPr>
          <w:rFonts w:hAnsi="宋体" w:cs="宋体"/>
          <w:b/>
          <w:sz w:val="32"/>
          <w:szCs w:val="32"/>
        </w:rPr>
      </w:pPr>
    </w:p>
    <w:p w14:paraId="4CC93A0F">
      <w:pPr>
        <w:pStyle w:val="25"/>
        <w:adjustRightInd w:val="0"/>
        <w:snapToGrid w:val="0"/>
        <w:spacing w:beforeLines="50" w:line="360" w:lineRule="auto"/>
        <w:jc w:val="center"/>
        <w:rPr>
          <w:rFonts w:hAnsi="宋体" w:cs="宋体"/>
          <w:b/>
          <w:sz w:val="32"/>
          <w:szCs w:val="32"/>
        </w:rPr>
      </w:pPr>
    </w:p>
    <w:p w14:paraId="339904C6">
      <w:pPr>
        <w:pStyle w:val="25"/>
        <w:adjustRightInd w:val="0"/>
        <w:snapToGrid w:val="0"/>
        <w:spacing w:beforeLines="50" w:line="360" w:lineRule="auto"/>
        <w:jc w:val="center"/>
        <w:rPr>
          <w:rFonts w:hAnsi="宋体" w:cs="宋体"/>
          <w:b/>
          <w:sz w:val="32"/>
          <w:szCs w:val="32"/>
        </w:rPr>
      </w:pPr>
    </w:p>
    <w:p w14:paraId="4EFB4A0A">
      <w:pPr>
        <w:pStyle w:val="25"/>
        <w:adjustRightInd w:val="0"/>
        <w:snapToGrid w:val="0"/>
        <w:spacing w:beforeLines="50" w:line="360" w:lineRule="auto"/>
        <w:jc w:val="center"/>
        <w:rPr>
          <w:rFonts w:hAnsi="宋体" w:cs="宋体"/>
          <w:b/>
          <w:sz w:val="32"/>
          <w:szCs w:val="32"/>
        </w:rPr>
      </w:pPr>
    </w:p>
    <w:p w14:paraId="261D4548">
      <w:pPr>
        <w:pStyle w:val="13"/>
      </w:pPr>
    </w:p>
    <w:p w14:paraId="2C235C36">
      <w:pPr>
        <w:pStyle w:val="25"/>
        <w:adjustRightInd w:val="0"/>
        <w:snapToGrid w:val="0"/>
        <w:spacing w:beforeLines="50" w:line="360" w:lineRule="auto"/>
        <w:jc w:val="center"/>
        <w:rPr>
          <w:rFonts w:hAnsi="宋体" w:cs="宋体"/>
          <w:b/>
          <w:sz w:val="32"/>
          <w:szCs w:val="32"/>
        </w:rPr>
      </w:pPr>
    </w:p>
    <w:p w14:paraId="7E464ECD">
      <w:pPr>
        <w:pStyle w:val="25"/>
        <w:adjustRightInd w:val="0"/>
        <w:snapToGrid w:val="0"/>
        <w:spacing w:beforeLines="50" w:line="360" w:lineRule="auto"/>
        <w:jc w:val="center"/>
        <w:rPr>
          <w:rFonts w:hAnsi="宋体" w:cs="宋体"/>
          <w:b/>
          <w:sz w:val="32"/>
          <w:szCs w:val="32"/>
        </w:rPr>
      </w:pPr>
    </w:p>
    <w:p w14:paraId="7D4522E5">
      <w:pPr>
        <w:pStyle w:val="13"/>
      </w:pPr>
    </w:p>
    <w:bookmarkEnd w:id="125"/>
    <w:bookmarkEnd w:id="126"/>
    <w:p w14:paraId="16C5B21E">
      <w:pPr>
        <w:rPr>
          <w:rFonts w:hAnsi="宋体" w:cs="宋体"/>
          <w:b/>
          <w:sz w:val="32"/>
          <w:szCs w:val="32"/>
        </w:rPr>
      </w:pPr>
      <w:r>
        <w:rPr>
          <w:rFonts w:hint="eastAsia" w:hAnsi="宋体" w:cs="宋体"/>
          <w:b/>
          <w:sz w:val="32"/>
          <w:szCs w:val="32"/>
        </w:rPr>
        <w:br w:type="page"/>
      </w:r>
    </w:p>
    <w:p w14:paraId="221360A5">
      <w:pPr>
        <w:pStyle w:val="25"/>
        <w:adjustRightInd w:val="0"/>
        <w:snapToGrid w:val="0"/>
        <w:spacing w:line="360" w:lineRule="auto"/>
        <w:jc w:val="center"/>
        <w:outlineLvl w:val="0"/>
        <w:rPr>
          <w:rFonts w:ascii="黑体" w:hAnsi="华文中宋" w:eastAsia="黑体"/>
          <w:b/>
          <w:sz w:val="32"/>
          <w:szCs w:val="32"/>
        </w:rPr>
      </w:pPr>
      <w:r>
        <w:rPr>
          <w:rFonts w:hint="eastAsia" w:hAnsi="宋体" w:cs="宋体"/>
          <w:b/>
          <w:sz w:val="32"/>
          <w:szCs w:val="32"/>
        </w:rPr>
        <w:t xml:space="preserve">第六章 </w:t>
      </w:r>
      <w:r>
        <w:rPr>
          <w:rFonts w:hint="eastAsia" w:ascii="黑体" w:hAnsi="华文中宋" w:eastAsia="黑体"/>
          <w:b/>
          <w:sz w:val="32"/>
          <w:szCs w:val="32"/>
        </w:rPr>
        <w:t xml:space="preserve"> 投标文件的组成</w:t>
      </w:r>
    </w:p>
    <w:p w14:paraId="575CB320">
      <w:pPr>
        <w:adjustRightInd w:val="0"/>
        <w:snapToGrid w:val="0"/>
        <w:spacing w:line="360" w:lineRule="auto"/>
        <w:ind w:left="-88" w:leftChars="-42"/>
        <w:jc w:val="center"/>
        <w:rPr>
          <w:b/>
          <w:bCs/>
          <w:sz w:val="32"/>
        </w:rPr>
      </w:pPr>
    </w:p>
    <w:p w14:paraId="1AD5CE43">
      <w:pPr>
        <w:adjustRightInd w:val="0"/>
        <w:snapToGrid w:val="0"/>
        <w:spacing w:beforeLines="50" w:line="360" w:lineRule="auto"/>
        <w:jc w:val="left"/>
        <w:rPr>
          <w:rFonts w:ascii="宋体" w:hAnsi="宋体"/>
          <w:b/>
          <w:szCs w:val="21"/>
        </w:rPr>
      </w:pPr>
      <w:r>
        <w:rPr>
          <w:rFonts w:hint="eastAsia" w:ascii="宋体" w:hAnsi="宋体"/>
          <w:b/>
          <w:szCs w:val="21"/>
        </w:rPr>
        <w:t>第一部分 资格证明文件</w:t>
      </w:r>
    </w:p>
    <w:p w14:paraId="04D5CA76">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一、开标一览表</w:t>
      </w:r>
    </w:p>
    <w:p w14:paraId="7B4E9CA5">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二、法定代理人（单位负责人）身份证明</w:t>
      </w:r>
    </w:p>
    <w:p w14:paraId="540C1FCC">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三、授权委托书</w:t>
      </w:r>
    </w:p>
    <w:p w14:paraId="2B354157">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四、投标人提供的资格证明文件</w:t>
      </w:r>
    </w:p>
    <w:p w14:paraId="422E6FA4">
      <w:pPr>
        <w:adjustRightInd w:val="0"/>
        <w:snapToGrid w:val="0"/>
        <w:spacing w:beforeLines="50" w:line="360" w:lineRule="auto"/>
        <w:jc w:val="left"/>
        <w:rPr>
          <w:rFonts w:ascii="宋体" w:hAnsi="宋体"/>
          <w:b/>
          <w:szCs w:val="21"/>
        </w:rPr>
      </w:pPr>
      <w:r>
        <w:rPr>
          <w:rFonts w:hint="eastAsia" w:ascii="宋体" w:hAnsi="宋体"/>
          <w:b/>
          <w:szCs w:val="21"/>
        </w:rPr>
        <w:t>第二部分 商务技术文件</w:t>
      </w:r>
    </w:p>
    <w:p w14:paraId="2569D567">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五、投标函</w:t>
      </w:r>
    </w:p>
    <w:p w14:paraId="0EFBC12B">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六、分项报价</w:t>
      </w:r>
    </w:p>
    <w:p w14:paraId="2B745158">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七、采购需求响应</w:t>
      </w:r>
    </w:p>
    <w:p w14:paraId="0BB86E0C">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八、合同条款偏离表</w:t>
      </w:r>
    </w:p>
    <w:p w14:paraId="66CA6B57">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九、采购需求偏离表</w:t>
      </w:r>
    </w:p>
    <w:p w14:paraId="686654C9">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十、享受政府采购政策优惠的证明资料和清单表</w:t>
      </w:r>
    </w:p>
    <w:p w14:paraId="4871FD84">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十一、投标人认为需提供的其他资料</w:t>
      </w:r>
    </w:p>
    <w:p w14:paraId="2042464C">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注：投标人可编制资格审查索引表、符合性审查索引表、评审索引表，以便采购人及采购代理机构资格审查和评标委员会评审。</w:t>
      </w:r>
    </w:p>
    <w:p w14:paraId="1BCD7976">
      <w:pPr>
        <w:jc w:val="center"/>
        <w:rPr>
          <w:rFonts w:ascii="黑体" w:eastAsia="黑体"/>
          <w:sz w:val="32"/>
          <w:szCs w:val="32"/>
        </w:rPr>
      </w:pPr>
      <w:r>
        <w:rPr>
          <w:rFonts w:ascii="仿宋_GB2312" w:hAnsi="宋体" w:eastAsia="仿宋_GB2312"/>
          <w:szCs w:val="21"/>
        </w:rPr>
        <w:br w:type="page"/>
      </w:r>
    </w:p>
    <w:p w14:paraId="20707E1F">
      <w:pPr>
        <w:jc w:val="center"/>
        <w:rPr>
          <w:rFonts w:ascii="黑体" w:eastAsia="黑体"/>
          <w:sz w:val="32"/>
          <w:szCs w:val="32"/>
        </w:rPr>
      </w:pPr>
    </w:p>
    <w:p w14:paraId="0EEF2319">
      <w:pPr>
        <w:jc w:val="center"/>
        <w:rPr>
          <w:rFonts w:ascii="华文中宋" w:hAnsi="华文中宋" w:eastAsia="华文中宋"/>
          <w:b/>
          <w:sz w:val="84"/>
          <w:szCs w:val="84"/>
        </w:rPr>
      </w:pPr>
      <w:r>
        <w:rPr>
          <w:rFonts w:hint="eastAsia" w:ascii="华文中宋" w:hAnsi="华文中宋" w:eastAsia="华文中宋"/>
          <w:b/>
          <w:sz w:val="84"/>
          <w:szCs w:val="84"/>
        </w:rPr>
        <w:t>岳阳政府采购</w:t>
      </w:r>
    </w:p>
    <w:p w14:paraId="21935759">
      <w:pPr>
        <w:jc w:val="center"/>
        <w:rPr>
          <w:rFonts w:ascii="华文中宋" w:hAnsi="华文中宋" w:eastAsia="华文中宋"/>
          <w:b/>
          <w:sz w:val="84"/>
          <w:szCs w:val="84"/>
        </w:rPr>
      </w:pPr>
      <w:r>
        <w:rPr>
          <w:rFonts w:hint="eastAsia" w:ascii="华文中宋" w:hAnsi="华文中宋" w:eastAsia="华文中宋"/>
          <w:b/>
          <w:sz w:val="84"/>
          <w:szCs w:val="84"/>
        </w:rPr>
        <w:t>公开招标电子投标文件</w:t>
      </w:r>
    </w:p>
    <w:p w14:paraId="5E470CB1">
      <w:pPr>
        <w:pStyle w:val="5"/>
      </w:pPr>
    </w:p>
    <w:p w14:paraId="0C2A7E17">
      <w:pPr>
        <w:pStyle w:val="3"/>
        <w:adjustRightInd w:val="0"/>
        <w:snapToGrid w:val="0"/>
        <w:jc w:val="center"/>
        <w:rPr>
          <w:rFonts w:ascii="黑体" w:hAnsi="黑体" w:eastAsia="黑体"/>
          <w:sz w:val="44"/>
          <w:szCs w:val="44"/>
        </w:rPr>
      </w:pPr>
      <w:bookmarkStart w:id="127" w:name="_Toc20651241"/>
      <w:r>
        <w:rPr>
          <w:rFonts w:hint="eastAsia" w:ascii="黑体" w:hAnsi="黑体" w:eastAsia="黑体"/>
          <w:sz w:val="44"/>
          <w:szCs w:val="44"/>
        </w:rPr>
        <w:t>第一部分 资格证明文件</w:t>
      </w:r>
      <w:bookmarkEnd w:id="127"/>
    </w:p>
    <w:p w14:paraId="4E6D0D7C">
      <w:pPr>
        <w:adjustRightInd w:val="0"/>
        <w:snapToGrid w:val="0"/>
        <w:spacing w:line="360" w:lineRule="auto"/>
        <w:rPr>
          <w:rFonts w:ascii="宋体" w:hAnsi="宋体"/>
          <w:b/>
          <w:sz w:val="30"/>
          <w:szCs w:val="30"/>
        </w:rPr>
      </w:pPr>
      <w:r>
        <w:rPr>
          <w:rFonts w:hint="eastAsia" w:ascii="宋体" w:hAnsi="宋体"/>
          <w:b/>
          <w:sz w:val="32"/>
          <w:szCs w:val="32"/>
        </w:rPr>
        <w:t xml:space="preserve">                     </w:t>
      </w:r>
    </w:p>
    <w:p w14:paraId="40E09602">
      <w:pPr>
        <w:pStyle w:val="25"/>
        <w:adjustRightInd w:val="0"/>
        <w:snapToGrid w:val="0"/>
        <w:spacing w:line="360" w:lineRule="auto"/>
        <w:ind w:firstLine="1988" w:firstLineChars="660"/>
        <w:rPr>
          <w:rFonts w:hAnsi="宋体"/>
          <w:b/>
          <w:bCs/>
          <w:sz w:val="30"/>
          <w:szCs w:val="30"/>
          <w:u w:val="single"/>
        </w:rPr>
      </w:pPr>
      <w:r>
        <w:rPr>
          <w:rFonts w:hint="eastAsia" w:hAnsi="宋体"/>
          <w:b/>
          <w:bCs/>
          <w:sz w:val="30"/>
          <w:szCs w:val="30"/>
        </w:rPr>
        <w:t>采购项目名称:</w:t>
      </w:r>
      <w:r>
        <w:rPr>
          <w:rFonts w:hint="eastAsia" w:hAnsi="宋体"/>
          <w:b/>
          <w:bCs/>
          <w:sz w:val="30"/>
          <w:szCs w:val="30"/>
          <w:u w:val="single"/>
        </w:rPr>
        <w:t xml:space="preserve">                       </w:t>
      </w:r>
    </w:p>
    <w:p w14:paraId="4F7C9297">
      <w:pPr>
        <w:pStyle w:val="25"/>
        <w:adjustRightInd w:val="0"/>
        <w:snapToGrid w:val="0"/>
        <w:spacing w:line="360" w:lineRule="auto"/>
        <w:ind w:firstLine="1988" w:firstLineChars="660"/>
        <w:rPr>
          <w:rFonts w:hAnsi="宋体"/>
          <w:b/>
          <w:bCs/>
          <w:sz w:val="30"/>
          <w:szCs w:val="30"/>
        </w:rPr>
      </w:pPr>
      <w:r>
        <w:rPr>
          <w:rFonts w:hint="eastAsia" w:hAnsi="宋体"/>
          <w:b/>
          <w:bCs/>
          <w:sz w:val="30"/>
          <w:szCs w:val="30"/>
        </w:rPr>
        <w:t>采   购   人：</w:t>
      </w:r>
      <w:r>
        <w:rPr>
          <w:rFonts w:hint="eastAsia" w:hAnsi="宋体"/>
          <w:b/>
          <w:bCs/>
          <w:sz w:val="30"/>
          <w:szCs w:val="30"/>
          <w:u w:val="single"/>
        </w:rPr>
        <w:t xml:space="preserve">                      </w:t>
      </w:r>
    </w:p>
    <w:p w14:paraId="79B8D087">
      <w:pPr>
        <w:pStyle w:val="25"/>
        <w:adjustRightInd w:val="0"/>
        <w:snapToGrid w:val="0"/>
        <w:spacing w:line="360" w:lineRule="auto"/>
        <w:ind w:firstLine="1988" w:firstLineChars="660"/>
        <w:rPr>
          <w:rFonts w:hAnsi="宋体"/>
          <w:b/>
          <w:bCs/>
          <w:sz w:val="30"/>
          <w:szCs w:val="30"/>
          <w:u w:val="single"/>
        </w:rPr>
      </w:pPr>
      <w:r>
        <w:rPr>
          <w:rFonts w:hint="eastAsia" w:hAnsi="宋体"/>
          <w:b/>
          <w:bCs/>
          <w:sz w:val="30"/>
          <w:szCs w:val="30"/>
        </w:rPr>
        <w:t>政府采购编号:</w:t>
      </w:r>
      <w:r>
        <w:rPr>
          <w:rFonts w:hint="eastAsia" w:hAnsi="宋体"/>
          <w:b/>
          <w:bCs/>
          <w:sz w:val="30"/>
          <w:szCs w:val="30"/>
          <w:u w:val="single"/>
        </w:rPr>
        <w:t xml:space="preserve">                       </w:t>
      </w:r>
    </w:p>
    <w:p w14:paraId="0B1BC47F">
      <w:pPr>
        <w:pStyle w:val="25"/>
        <w:adjustRightInd w:val="0"/>
        <w:snapToGrid w:val="0"/>
        <w:spacing w:line="360" w:lineRule="auto"/>
        <w:ind w:firstLine="1988" w:firstLineChars="660"/>
        <w:rPr>
          <w:rFonts w:hAnsi="宋体"/>
          <w:b/>
          <w:bCs/>
          <w:sz w:val="30"/>
          <w:szCs w:val="30"/>
          <w:u w:val="single"/>
        </w:rPr>
      </w:pPr>
      <w:r>
        <w:rPr>
          <w:rFonts w:hint="eastAsia" w:hAnsi="宋体"/>
          <w:b/>
          <w:bCs/>
          <w:sz w:val="30"/>
          <w:szCs w:val="30"/>
        </w:rPr>
        <w:t>采购代理编号:</w:t>
      </w:r>
      <w:r>
        <w:rPr>
          <w:rFonts w:hint="eastAsia" w:hAnsi="宋体"/>
          <w:b/>
          <w:bCs/>
          <w:sz w:val="30"/>
          <w:szCs w:val="30"/>
          <w:u w:val="single"/>
        </w:rPr>
        <w:t xml:space="preserve">                       </w:t>
      </w:r>
    </w:p>
    <w:p w14:paraId="1A36FA00">
      <w:pPr>
        <w:pStyle w:val="25"/>
        <w:adjustRightInd w:val="0"/>
        <w:snapToGrid w:val="0"/>
        <w:spacing w:line="360" w:lineRule="auto"/>
        <w:ind w:firstLine="1988" w:firstLineChars="660"/>
        <w:rPr>
          <w:rFonts w:hAnsi="宋体"/>
          <w:b/>
          <w:bCs/>
          <w:sz w:val="30"/>
          <w:szCs w:val="30"/>
          <w:u w:val="single"/>
        </w:rPr>
      </w:pPr>
      <w:r>
        <w:rPr>
          <w:rFonts w:hint="eastAsia" w:hAnsi="宋体"/>
          <w:b/>
          <w:bCs/>
          <w:sz w:val="30"/>
          <w:szCs w:val="30"/>
        </w:rPr>
        <w:t>采购代理机构：</w:t>
      </w:r>
      <w:r>
        <w:rPr>
          <w:rFonts w:hint="eastAsia" w:hAnsi="宋体"/>
          <w:b/>
          <w:bCs/>
          <w:sz w:val="30"/>
          <w:szCs w:val="30"/>
          <w:u w:val="single"/>
        </w:rPr>
        <w:t xml:space="preserve">                      </w:t>
      </w:r>
    </w:p>
    <w:p w14:paraId="0C9E5D4C">
      <w:pPr>
        <w:adjustRightInd w:val="0"/>
        <w:snapToGrid w:val="0"/>
        <w:spacing w:line="360" w:lineRule="auto"/>
        <w:rPr>
          <w:rFonts w:ascii="黑体" w:hAnsi="黑体" w:eastAsia="黑体"/>
          <w:sz w:val="30"/>
          <w:szCs w:val="30"/>
        </w:rPr>
      </w:pPr>
    </w:p>
    <w:p w14:paraId="3E5791A6">
      <w:pPr>
        <w:adjustRightInd w:val="0"/>
        <w:snapToGrid w:val="0"/>
        <w:spacing w:line="360" w:lineRule="auto"/>
        <w:rPr>
          <w:rFonts w:ascii="黑体" w:hAnsi="宋体" w:eastAsia="黑体"/>
          <w:sz w:val="30"/>
          <w:szCs w:val="30"/>
        </w:rPr>
      </w:pPr>
    </w:p>
    <w:p w14:paraId="1F13572A">
      <w:pPr>
        <w:adjustRightInd w:val="0"/>
        <w:snapToGrid w:val="0"/>
        <w:spacing w:line="360" w:lineRule="auto"/>
        <w:rPr>
          <w:rFonts w:ascii="黑体" w:hAnsi="宋体" w:eastAsia="黑体"/>
          <w:sz w:val="30"/>
          <w:szCs w:val="30"/>
        </w:rPr>
      </w:pPr>
    </w:p>
    <w:p w14:paraId="7E58F86B">
      <w:pPr>
        <w:adjustRightInd w:val="0"/>
        <w:snapToGrid w:val="0"/>
        <w:spacing w:line="360" w:lineRule="auto"/>
        <w:ind w:firstLine="1984" w:firstLineChars="620"/>
        <w:rPr>
          <w:rFonts w:ascii="黑体" w:hAnsi="宋体" w:eastAsia="黑体"/>
          <w:sz w:val="32"/>
          <w:szCs w:val="32"/>
          <w:u w:val="single"/>
        </w:rPr>
      </w:pPr>
      <w:r>
        <w:rPr>
          <w:rFonts w:hint="eastAsia" w:ascii="黑体" w:hAnsi="宋体" w:eastAsia="黑体"/>
          <w:sz w:val="32"/>
          <w:szCs w:val="32"/>
        </w:rPr>
        <w:t>投标人</w:t>
      </w:r>
      <w:r>
        <w:rPr>
          <w:rFonts w:hint="eastAsia" w:ascii="黑体" w:hAnsi="宋体" w:eastAsia="黑体"/>
          <w:sz w:val="32"/>
          <w:szCs w:val="32"/>
          <w:u w:val="single"/>
        </w:rPr>
        <w:t xml:space="preserve">                         </w:t>
      </w:r>
    </w:p>
    <w:p w14:paraId="50E1D0F0">
      <w:pPr>
        <w:pStyle w:val="5"/>
        <w:adjustRightInd w:val="0"/>
        <w:snapToGrid w:val="0"/>
        <w:spacing w:beforeLines="50" w:after="0" w:line="360" w:lineRule="auto"/>
        <w:jc w:val="center"/>
        <w:rPr>
          <w:rFonts w:ascii="黑体" w:hAnsi="宋体"/>
          <w:sz w:val="32"/>
          <w:szCs w:val="32"/>
        </w:rPr>
      </w:pPr>
      <w:r>
        <w:rPr>
          <w:rFonts w:hint="eastAsia" w:ascii="黑体" w:hAnsi="宋体"/>
          <w:sz w:val="32"/>
          <w:szCs w:val="32"/>
        </w:rPr>
        <w:t>年  月  日</w:t>
      </w:r>
      <w:bookmarkStart w:id="128" w:name="_Toc20651242"/>
    </w:p>
    <w:p w14:paraId="1FE3D73C">
      <w:pPr>
        <w:sectPr>
          <w:headerReference r:id="rId7" w:type="default"/>
          <w:footerReference r:id="rId8" w:type="default"/>
          <w:pgSz w:w="11906" w:h="16838"/>
          <w:pgMar w:top="1213" w:right="1080" w:bottom="1213" w:left="1080" w:header="737" w:footer="907" w:gutter="0"/>
          <w:pgBorders>
            <w:top w:val="none" w:sz="0" w:space="0"/>
            <w:left w:val="none" w:sz="0" w:space="0"/>
            <w:bottom w:val="none" w:sz="0" w:space="0"/>
            <w:right w:val="none" w:sz="0" w:space="0"/>
          </w:pgBorders>
          <w:cols w:space="720" w:num="1"/>
          <w:docGrid w:type="lines" w:linePitch="312" w:charSpace="0"/>
        </w:sectPr>
      </w:pPr>
    </w:p>
    <w:p w14:paraId="01F2CF10">
      <w:pPr>
        <w:pStyle w:val="5"/>
        <w:adjustRightInd w:val="0"/>
        <w:snapToGrid w:val="0"/>
        <w:spacing w:beforeLines="50" w:after="0" w:line="360" w:lineRule="auto"/>
        <w:jc w:val="left"/>
        <w:rPr>
          <w:rFonts w:ascii="黑体" w:hAnsi="黑体"/>
          <w:b w:val="0"/>
          <w:sz w:val="21"/>
          <w:szCs w:val="21"/>
        </w:rPr>
      </w:pPr>
    </w:p>
    <w:p w14:paraId="2B6D93EB">
      <w:pPr>
        <w:pStyle w:val="5"/>
        <w:adjustRightInd w:val="0"/>
        <w:snapToGrid w:val="0"/>
        <w:spacing w:beforeLines="50" w:after="0" w:line="360" w:lineRule="auto"/>
        <w:jc w:val="left"/>
        <w:rPr>
          <w:rFonts w:ascii="黑体" w:hAnsi="黑体"/>
          <w:b w:val="0"/>
          <w:sz w:val="21"/>
          <w:szCs w:val="21"/>
        </w:rPr>
      </w:pPr>
      <w:r>
        <w:rPr>
          <w:rFonts w:hint="eastAsia" w:ascii="黑体" w:hAnsi="黑体"/>
          <w:b w:val="0"/>
          <w:sz w:val="21"/>
          <w:szCs w:val="21"/>
        </w:rPr>
        <w:t xml:space="preserve">索引表1 </w:t>
      </w:r>
    </w:p>
    <w:p w14:paraId="4B48A058">
      <w:pPr>
        <w:adjustRightInd w:val="0"/>
        <w:snapToGrid w:val="0"/>
        <w:spacing w:beforeLines="50" w:line="360" w:lineRule="auto"/>
        <w:jc w:val="center"/>
        <w:rPr>
          <w:rFonts w:ascii="黑体" w:hAnsi="黑体" w:eastAsia="黑体"/>
          <w:sz w:val="28"/>
          <w:szCs w:val="28"/>
        </w:rPr>
      </w:pPr>
      <w:r>
        <w:rPr>
          <w:rFonts w:hint="eastAsia" w:ascii="黑体" w:hAnsi="黑体" w:eastAsia="黑体"/>
          <w:sz w:val="28"/>
          <w:szCs w:val="28"/>
        </w:rPr>
        <w:t>资格审查索引表</w:t>
      </w:r>
    </w:p>
    <w:tbl>
      <w:tblPr>
        <w:tblStyle w:val="41"/>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89"/>
        <w:gridCol w:w="1871"/>
        <w:gridCol w:w="2551"/>
        <w:gridCol w:w="2127"/>
        <w:gridCol w:w="1722"/>
      </w:tblGrid>
      <w:tr w14:paraId="7A94C1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vAlign w:val="center"/>
          </w:tcPr>
          <w:p w14:paraId="02CF8426">
            <w:pPr>
              <w:adjustRightInd w:val="0"/>
              <w:snapToGrid w:val="0"/>
              <w:spacing w:beforeLines="50" w:line="360" w:lineRule="auto"/>
              <w:jc w:val="center"/>
              <w:rPr>
                <w:rFonts w:ascii="宋体" w:hAnsi="宋体"/>
                <w:b/>
                <w:kern w:val="0"/>
                <w:szCs w:val="21"/>
              </w:rPr>
            </w:pPr>
            <w:r>
              <w:rPr>
                <w:rFonts w:hint="eastAsia" w:ascii="宋体" w:hAnsi="宋体"/>
                <w:b/>
                <w:kern w:val="0"/>
                <w:szCs w:val="21"/>
              </w:rPr>
              <w:t>序号</w:t>
            </w:r>
          </w:p>
        </w:tc>
        <w:tc>
          <w:tcPr>
            <w:tcW w:w="1871" w:type="dxa"/>
            <w:tcBorders>
              <w:right w:val="single" w:color="auto" w:sz="4" w:space="0"/>
            </w:tcBorders>
            <w:noWrap/>
            <w:vAlign w:val="center"/>
          </w:tcPr>
          <w:p w14:paraId="67FB0079">
            <w:pPr>
              <w:adjustRightInd w:val="0"/>
              <w:snapToGrid w:val="0"/>
              <w:spacing w:beforeLines="50" w:line="360" w:lineRule="auto"/>
              <w:jc w:val="center"/>
              <w:rPr>
                <w:rFonts w:ascii="宋体" w:hAnsi="宋体"/>
                <w:b/>
                <w:kern w:val="0"/>
                <w:sz w:val="20"/>
                <w:szCs w:val="21"/>
              </w:rPr>
            </w:pPr>
            <w:r>
              <w:rPr>
                <w:rFonts w:hint="eastAsia" w:ascii="宋体" w:hAnsi="宋体"/>
                <w:b/>
                <w:kern w:val="0"/>
                <w:sz w:val="20"/>
                <w:szCs w:val="21"/>
              </w:rPr>
              <w:t>招标文件条款号</w:t>
            </w:r>
          </w:p>
        </w:tc>
        <w:tc>
          <w:tcPr>
            <w:tcW w:w="2551" w:type="dxa"/>
            <w:tcBorders>
              <w:left w:val="single" w:color="auto" w:sz="4" w:space="0"/>
            </w:tcBorders>
            <w:noWrap/>
            <w:vAlign w:val="center"/>
          </w:tcPr>
          <w:p w14:paraId="73D0C32F">
            <w:pPr>
              <w:adjustRightInd w:val="0"/>
              <w:snapToGrid w:val="0"/>
              <w:spacing w:beforeLines="50" w:line="360" w:lineRule="auto"/>
              <w:jc w:val="center"/>
              <w:rPr>
                <w:rFonts w:ascii="宋体" w:hAnsi="宋体"/>
                <w:b/>
                <w:kern w:val="0"/>
                <w:sz w:val="20"/>
                <w:szCs w:val="21"/>
              </w:rPr>
            </w:pPr>
            <w:r>
              <w:rPr>
                <w:rFonts w:hint="eastAsia" w:ascii="宋体" w:hAnsi="宋体"/>
                <w:b/>
                <w:kern w:val="0"/>
                <w:szCs w:val="21"/>
              </w:rPr>
              <w:t>资格审查标准</w:t>
            </w:r>
          </w:p>
        </w:tc>
        <w:tc>
          <w:tcPr>
            <w:tcW w:w="2127" w:type="dxa"/>
            <w:noWrap/>
            <w:vAlign w:val="center"/>
          </w:tcPr>
          <w:p w14:paraId="45CDCE6D">
            <w:pPr>
              <w:adjustRightInd w:val="0"/>
              <w:snapToGrid w:val="0"/>
              <w:spacing w:beforeLines="50" w:line="360" w:lineRule="auto"/>
              <w:jc w:val="center"/>
              <w:rPr>
                <w:rFonts w:ascii="宋体" w:hAnsi="宋体"/>
                <w:b/>
                <w:kern w:val="0"/>
                <w:szCs w:val="21"/>
              </w:rPr>
            </w:pPr>
            <w:r>
              <w:rPr>
                <w:rFonts w:hint="eastAsia" w:ascii="宋体" w:hAnsi="宋体"/>
                <w:b/>
                <w:kern w:val="0"/>
                <w:szCs w:val="21"/>
              </w:rPr>
              <w:t>证明材料</w:t>
            </w:r>
          </w:p>
        </w:tc>
        <w:tc>
          <w:tcPr>
            <w:tcW w:w="1722" w:type="dxa"/>
            <w:noWrap/>
            <w:vAlign w:val="center"/>
          </w:tcPr>
          <w:p w14:paraId="0F97F6C5">
            <w:pPr>
              <w:adjustRightInd w:val="0"/>
              <w:snapToGrid w:val="0"/>
              <w:spacing w:beforeLines="50" w:line="360" w:lineRule="auto"/>
              <w:jc w:val="center"/>
              <w:rPr>
                <w:rFonts w:ascii="宋体" w:hAnsi="宋体"/>
                <w:b/>
                <w:kern w:val="0"/>
                <w:sz w:val="20"/>
                <w:szCs w:val="21"/>
              </w:rPr>
            </w:pPr>
            <w:r>
              <w:rPr>
                <w:rFonts w:hint="eastAsia" w:ascii="宋体" w:hAnsi="宋体"/>
                <w:b/>
                <w:kern w:val="0"/>
                <w:szCs w:val="21"/>
              </w:rPr>
              <w:t>投标文件对应内容的册及页码</w:t>
            </w:r>
          </w:p>
        </w:tc>
      </w:tr>
      <w:tr w14:paraId="39B1B6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tcPr>
          <w:p w14:paraId="0DD6DC16">
            <w:pPr>
              <w:adjustRightInd w:val="0"/>
              <w:snapToGrid w:val="0"/>
              <w:spacing w:beforeLines="50" w:line="360" w:lineRule="auto"/>
              <w:jc w:val="center"/>
              <w:rPr>
                <w:rFonts w:ascii="宋体" w:hAnsi="宋体"/>
                <w:kern w:val="0"/>
                <w:szCs w:val="21"/>
              </w:rPr>
            </w:pPr>
          </w:p>
        </w:tc>
        <w:tc>
          <w:tcPr>
            <w:tcW w:w="1871" w:type="dxa"/>
            <w:tcBorders>
              <w:right w:val="single" w:color="auto" w:sz="4" w:space="0"/>
            </w:tcBorders>
            <w:noWrap/>
          </w:tcPr>
          <w:p w14:paraId="6FA7DC91">
            <w:pPr>
              <w:adjustRightInd w:val="0"/>
              <w:snapToGrid w:val="0"/>
              <w:spacing w:beforeLines="50" w:line="360" w:lineRule="auto"/>
              <w:jc w:val="center"/>
              <w:rPr>
                <w:rFonts w:ascii="宋体" w:hAnsi="宋体"/>
                <w:kern w:val="0"/>
                <w:sz w:val="20"/>
                <w:szCs w:val="21"/>
              </w:rPr>
            </w:pPr>
          </w:p>
        </w:tc>
        <w:tc>
          <w:tcPr>
            <w:tcW w:w="2551" w:type="dxa"/>
            <w:tcBorders>
              <w:left w:val="single" w:color="auto" w:sz="4" w:space="0"/>
            </w:tcBorders>
            <w:noWrap/>
          </w:tcPr>
          <w:p w14:paraId="61890975">
            <w:pPr>
              <w:adjustRightInd w:val="0"/>
              <w:snapToGrid w:val="0"/>
              <w:spacing w:beforeLines="50" w:line="360" w:lineRule="auto"/>
              <w:jc w:val="center"/>
              <w:rPr>
                <w:rFonts w:ascii="宋体" w:hAnsi="宋体"/>
                <w:kern w:val="0"/>
                <w:sz w:val="20"/>
                <w:szCs w:val="21"/>
              </w:rPr>
            </w:pPr>
          </w:p>
        </w:tc>
        <w:tc>
          <w:tcPr>
            <w:tcW w:w="2127" w:type="dxa"/>
            <w:noWrap/>
          </w:tcPr>
          <w:p w14:paraId="3D0DF401">
            <w:pPr>
              <w:adjustRightInd w:val="0"/>
              <w:snapToGrid w:val="0"/>
              <w:spacing w:beforeLines="50" w:line="360" w:lineRule="auto"/>
              <w:jc w:val="center"/>
              <w:rPr>
                <w:rFonts w:ascii="宋体" w:hAnsi="宋体"/>
                <w:kern w:val="0"/>
                <w:szCs w:val="21"/>
              </w:rPr>
            </w:pPr>
          </w:p>
        </w:tc>
        <w:tc>
          <w:tcPr>
            <w:tcW w:w="1722" w:type="dxa"/>
            <w:noWrap/>
          </w:tcPr>
          <w:p w14:paraId="5074FACB">
            <w:pPr>
              <w:adjustRightInd w:val="0"/>
              <w:snapToGrid w:val="0"/>
              <w:spacing w:beforeLines="50" w:line="360" w:lineRule="auto"/>
              <w:jc w:val="center"/>
              <w:rPr>
                <w:rFonts w:ascii="宋体" w:hAnsi="宋体"/>
                <w:kern w:val="0"/>
                <w:sz w:val="20"/>
                <w:szCs w:val="21"/>
              </w:rPr>
            </w:pPr>
          </w:p>
        </w:tc>
      </w:tr>
      <w:tr w14:paraId="654C00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tcPr>
          <w:p w14:paraId="6DA9B941">
            <w:pPr>
              <w:adjustRightInd w:val="0"/>
              <w:snapToGrid w:val="0"/>
              <w:spacing w:beforeLines="50" w:line="360" w:lineRule="auto"/>
              <w:jc w:val="center"/>
              <w:rPr>
                <w:rFonts w:ascii="宋体" w:hAnsi="宋体"/>
                <w:kern w:val="0"/>
                <w:sz w:val="20"/>
                <w:szCs w:val="21"/>
              </w:rPr>
            </w:pPr>
          </w:p>
        </w:tc>
        <w:tc>
          <w:tcPr>
            <w:tcW w:w="1871" w:type="dxa"/>
            <w:tcBorders>
              <w:right w:val="single" w:color="auto" w:sz="4" w:space="0"/>
            </w:tcBorders>
            <w:noWrap/>
          </w:tcPr>
          <w:p w14:paraId="5C46FF88">
            <w:pPr>
              <w:adjustRightInd w:val="0"/>
              <w:snapToGrid w:val="0"/>
              <w:spacing w:beforeLines="50" w:line="360" w:lineRule="auto"/>
              <w:jc w:val="center"/>
              <w:rPr>
                <w:rFonts w:ascii="宋体" w:hAnsi="宋体"/>
                <w:kern w:val="0"/>
                <w:sz w:val="20"/>
                <w:szCs w:val="21"/>
              </w:rPr>
            </w:pPr>
          </w:p>
        </w:tc>
        <w:tc>
          <w:tcPr>
            <w:tcW w:w="2551" w:type="dxa"/>
            <w:tcBorders>
              <w:left w:val="single" w:color="auto" w:sz="4" w:space="0"/>
            </w:tcBorders>
            <w:noWrap/>
          </w:tcPr>
          <w:p w14:paraId="684FF1EC">
            <w:pPr>
              <w:adjustRightInd w:val="0"/>
              <w:snapToGrid w:val="0"/>
              <w:spacing w:beforeLines="50" w:line="360" w:lineRule="auto"/>
              <w:jc w:val="center"/>
              <w:rPr>
                <w:rFonts w:ascii="宋体" w:hAnsi="宋体"/>
                <w:kern w:val="0"/>
                <w:sz w:val="20"/>
                <w:szCs w:val="21"/>
              </w:rPr>
            </w:pPr>
          </w:p>
        </w:tc>
        <w:tc>
          <w:tcPr>
            <w:tcW w:w="2127" w:type="dxa"/>
            <w:noWrap/>
          </w:tcPr>
          <w:p w14:paraId="37A0CF09">
            <w:pPr>
              <w:adjustRightInd w:val="0"/>
              <w:snapToGrid w:val="0"/>
              <w:spacing w:beforeLines="50" w:line="360" w:lineRule="auto"/>
              <w:jc w:val="center"/>
              <w:rPr>
                <w:rFonts w:ascii="宋体" w:hAnsi="宋体"/>
                <w:kern w:val="0"/>
                <w:sz w:val="20"/>
                <w:szCs w:val="21"/>
              </w:rPr>
            </w:pPr>
          </w:p>
        </w:tc>
        <w:tc>
          <w:tcPr>
            <w:tcW w:w="1722" w:type="dxa"/>
            <w:noWrap/>
          </w:tcPr>
          <w:p w14:paraId="0CD6AC0C">
            <w:pPr>
              <w:adjustRightInd w:val="0"/>
              <w:snapToGrid w:val="0"/>
              <w:spacing w:beforeLines="50" w:line="360" w:lineRule="auto"/>
              <w:jc w:val="center"/>
              <w:rPr>
                <w:rFonts w:ascii="宋体" w:hAnsi="宋体"/>
                <w:kern w:val="0"/>
                <w:sz w:val="20"/>
                <w:szCs w:val="21"/>
              </w:rPr>
            </w:pPr>
          </w:p>
        </w:tc>
      </w:tr>
      <w:tr w14:paraId="6294C9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tcPr>
          <w:p w14:paraId="642368F8">
            <w:pPr>
              <w:adjustRightInd w:val="0"/>
              <w:snapToGrid w:val="0"/>
              <w:spacing w:beforeLines="50" w:line="360" w:lineRule="auto"/>
              <w:jc w:val="center"/>
              <w:rPr>
                <w:rFonts w:ascii="宋体" w:hAnsi="宋体"/>
                <w:kern w:val="0"/>
                <w:sz w:val="20"/>
                <w:szCs w:val="21"/>
              </w:rPr>
            </w:pPr>
          </w:p>
        </w:tc>
        <w:tc>
          <w:tcPr>
            <w:tcW w:w="1871" w:type="dxa"/>
            <w:tcBorders>
              <w:right w:val="single" w:color="auto" w:sz="4" w:space="0"/>
            </w:tcBorders>
            <w:noWrap/>
          </w:tcPr>
          <w:p w14:paraId="07F30D08">
            <w:pPr>
              <w:adjustRightInd w:val="0"/>
              <w:snapToGrid w:val="0"/>
              <w:spacing w:beforeLines="50" w:line="360" w:lineRule="auto"/>
              <w:jc w:val="center"/>
              <w:rPr>
                <w:rFonts w:ascii="宋体" w:hAnsi="宋体"/>
                <w:kern w:val="0"/>
                <w:sz w:val="20"/>
                <w:szCs w:val="21"/>
              </w:rPr>
            </w:pPr>
          </w:p>
        </w:tc>
        <w:tc>
          <w:tcPr>
            <w:tcW w:w="2551" w:type="dxa"/>
            <w:tcBorders>
              <w:left w:val="single" w:color="auto" w:sz="4" w:space="0"/>
            </w:tcBorders>
            <w:noWrap/>
          </w:tcPr>
          <w:p w14:paraId="40161EEE">
            <w:pPr>
              <w:adjustRightInd w:val="0"/>
              <w:snapToGrid w:val="0"/>
              <w:spacing w:beforeLines="50" w:line="360" w:lineRule="auto"/>
              <w:jc w:val="center"/>
              <w:rPr>
                <w:rFonts w:ascii="宋体" w:hAnsi="宋体"/>
                <w:kern w:val="0"/>
                <w:sz w:val="20"/>
                <w:szCs w:val="21"/>
              </w:rPr>
            </w:pPr>
          </w:p>
        </w:tc>
        <w:tc>
          <w:tcPr>
            <w:tcW w:w="2127" w:type="dxa"/>
            <w:noWrap/>
          </w:tcPr>
          <w:p w14:paraId="37D25687">
            <w:pPr>
              <w:adjustRightInd w:val="0"/>
              <w:snapToGrid w:val="0"/>
              <w:spacing w:beforeLines="50" w:line="360" w:lineRule="auto"/>
              <w:jc w:val="center"/>
              <w:rPr>
                <w:rFonts w:ascii="宋体" w:hAnsi="宋体"/>
                <w:kern w:val="0"/>
                <w:sz w:val="20"/>
                <w:szCs w:val="21"/>
              </w:rPr>
            </w:pPr>
          </w:p>
        </w:tc>
        <w:tc>
          <w:tcPr>
            <w:tcW w:w="1722" w:type="dxa"/>
            <w:noWrap/>
          </w:tcPr>
          <w:p w14:paraId="74D9456F">
            <w:pPr>
              <w:adjustRightInd w:val="0"/>
              <w:snapToGrid w:val="0"/>
              <w:spacing w:beforeLines="50" w:line="360" w:lineRule="auto"/>
              <w:jc w:val="center"/>
              <w:rPr>
                <w:rFonts w:ascii="宋体" w:hAnsi="宋体"/>
                <w:kern w:val="0"/>
                <w:sz w:val="20"/>
                <w:szCs w:val="21"/>
              </w:rPr>
            </w:pPr>
          </w:p>
        </w:tc>
      </w:tr>
      <w:tr w14:paraId="0B0AD1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tcPr>
          <w:p w14:paraId="3C7C915A">
            <w:pPr>
              <w:adjustRightInd w:val="0"/>
              <w:snapToGrid w:val="0"/>
              <w:spacing w:beforeLines="50" w:line="360" w:lineRule="auto"/>
              <w:jc w:val="center"/>
              <w:rPr>
                <w:rFonts w:ascii="宋体" w:hAnsi="宋体"/>
                <w:kern w:val="0"/>
                <w:sz w:val="20"/>
                <w:szCs w:val="21"/>
              </w:rPr>
            </w:pPr>
          </w:p>
        </w:tc>
        <w:tc>
          <w:tcPr>
            <w:tcW w:w="1871" w:type="dxa"/>
            <w:tcBorders>
              <w:right w:val="single" w:color="auto" w:sz="4" w:space="0"/>
            </w:tcBorders>
            <w:noWrap/>
          </w:tcPr>
          <w:p w14:paraId="1FA68D16">
            <w:pPr>
              <w:adjustRightInd w:val="0"/>
              <w:snapToGrid w:val="0"/>
              <w:spacing w:beforeLines="50" w:line="360" w:lineRule="auto"/>
              <w:jc w:val="center"/>
              <w:rPr>
                <w:rFonts w:ascii="宋体" w:hAnsi="宋体"/>
                <w:kern w:val="0"/>
                <w:sz w:val="20"/>
                <w:szCs w:val="21"/>
              </w:rPr>
            </w:pPr>
          </w:p>
        </w:tc>
        <w:tc>
          <w:tcPr>
            <w:tcW w:w="2551" w:type="dxa"/>
            <w:tcBorders>
              <w:left w:val="single" w:color="auto" w:sz="4" w:space="0"/>
            </w:tcBorders>
            <w:noWrap/>
          </w:tcPr>
          <w:p w14:paraId="1C889E6E">
            <w:pPr>
              <w:adjustRightInd w:val="0"/>
              <w:snapToGrid w:val="0"/>
              <w:spacing w:beforeLines="50" w:line="360" w:lineRule="auto"/>
              <w:jc w:val="center"/>
              <w:rPr>
                <w:rFonts w:ascii="宋体" w:hAnsi="宋体"/>
                <w:kern w:val="0"/>
                <w:sz w:val="20"/>
                <w:szCs w:val="21"/>
              </w:rPr>
            </w:pPr>
          </w:p>
        </w:tc>
        <w:tc>
          <w:tcPr>
            <w:tcW w:w="2127" w:type="dxa"/>
            <w:noWrap/>
          </w:tcPr>
          <w:p w14:paraId="36208EA8">
            <w:pPr>
              <w:adjustRightInd w:val="0"/>
              <w:snapToGrid w:val="0"/>
              <w:spacing w:beforeLines="50" w:line="360" w:lineRule="auto"/>
              <w:jc w:val="center"/>
              <w:rPr>
                <w:rFonts w:ascii="宋体" w:hAnsi="宋体"/>
                <w:kern w:val="0"/>
                <w:sz w:val="20"/>
                <w:szCs w:val="21"/>
              </w:rPr>
            </w:pPr>
          </w:p>
        </w:tc>
        <w:tc>
          <w:tcPr>
            <w:tcW w:w="1722" w:type="dxa"/>
            <w:noWrap/>
          </w:tcPr>
          <w:p w14:paraId="078594C3">
            <w:pPr>
              <w:adjustRightInd w:val="0"/>
              <w:snapToGrid w:val="0"/>
              <w:spacing w:beforeLines="50" w:line="360" w:lineRule="auto"/>
              <w:jc w:val="center"/>
              <w:rPr>
                <w:rFonts w:ascii="宋体" w:hAnsi="宋体"/>
                <w:kern w:val="0"/>
                <w:sz w:val="20"/>
                <w:szCs w:val="21"/>
              </w:rPr>
            </w:pPr>
          </w:p>
        </w:tc>
      </w:tr>
      <w:tr w14:paraId="24C38A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tcPr>
          <w:p w14:paraId="1B32AE58">
            <w:pPr>
              <w:adjustRightInd w:val="0"/>
              <w:snapToGrid w:val="0"/>
              <w:spacing w:beforeLines="50" w:line="360" w:lineRule="auto"/>
              <w:jc w:val="center"/>
              <w:rPr>
                <w:rFonts w:ascii="宋体" w:hAnsi="宋体"/>
                <w:kern w:val="0"/>
                <w:sz w:val="20"/>
                <w:szCs w:val="21"/>
              </w:rPr>
            </w:pPr>
          </w:p>
        </w:tc>
        <w:tc>
          <w:tcPr>
            <w:tcW w:w="1871" w:type="dxa"/>
            <w:tcBorders>
              <w:right w:val="single" w:color="auto" w:sz="4" w:space="0"/>
            </w:tcBorders>
            <w:noWrap/>
          </w:tcPr>
          <w:p w14:paraId="60CA60D8">
            <w:pPr>
              <w:adjustRightInd w:val="0"/>
              <w:snapToGrid w:val="0"/>
              <w:spacing w:beforeLines="50" w:line="360" w:lineRule="auto"/>
              <w:jc w:val="center"/>
              <w:rPr>
                <w:rFonts w:ascii="宋体" w:hAnsi="宋体"/>
                <w:kern w:val="0"/>
                <w:sz w:val="20"/>
                <w:szCs w:val="21"/>
              </w:rPr>
            </w:pPr>
          </w:p>
        </w:tc>
        <w:tc>
          <w:tcPr>
            <w:tcW w:w="2551" w:type="dxa"/>
            <w:tcBorders>
              <w:left w:val="single" w:color="auto" w:sz="4" w:space="0"/>
            </w:tcBorders>
            <w:noWrap/>
          </w:tcPr>
          <w:p w14:paraId="1886A84A">
            <w:pPr>
              <w:adjustRightInd w:val="0"/>
              <w:snapToGrid w:val="0"/>
              <w:spacing w:beforeLines="50" w:line="360" w:lineRule="auto"/>
              <w:jc w:val="center"/>
              <w:rPr>
                <w:rFonts w:ascii="宋体" w:hAnsi="宋体"/>
                <w:kern w:val="0"/>
                <w:sz w:val="20"/>
                <w:szCs w:val="21"/>
              </w:rPr>
            </w:pPr>
          </w:p>
        </w:tc>
        <w:tc>
          <w:tcPr>
            <w:tcW w:w="2127" w:type="dxa"/>
            <w:noWrap/>
          </w:tcPr>
          <w:p w14:paraId="013BA46E">
            <w:pPr>
              <w:adjustRightInd w:val="0"/>
              <w:snapToGrid w:val="0"/>
              <w:spacing w:beforeLines="50" w:line="360" w:lineRule="auto"/>
              <w:jc w:val="center"/>
              <w:rPr>
                <w:rFonts w:ascii="宋体" w:hAnsi="宋体"/>
                <w:kern w:val="0"/>
                <w:sz w:val="20"/>
                <w:szCs w:val="21"/>
              </w:rPr>
            </w:pPr>
          </w:p>
        </w:tc>
        <w:tc>
          <w:tcPr>
            <w:tcW w:w="1722" w:type="dxa"/>
            <w:noWrap/>
          </w:tcPr>
          <w:p w14:paraId="54F687C2">
            <w:pPr>
              <w:adjustRightInd w:val="0"/>
              <w:snapToGrid w:val="0"/>
              <w:spacing w:beforeLines="50" w:line="360" w:lineRule="auto"/>
              <w:jc w:val="center"/>
              <w:rPr>
                <w:rFonts w:ascii="宋体" w:hAnsi="宋体"/>
                <w:kern w:val="0"/>
                <w:sz w:val="20"/>
                <w:szCs w:val="21"/>
              </w:rPr>
            </w:pPr>
          </w:p>
        </w:tc>
      </w:tr>
      <w:tr w14:paraId="0E238D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tcPr>
          <w:p w14:paraId="676C3542">
            <w:pPr>
              <w:adjustRightInd w:val="0"/>
              <w:snapToGrid w:val="0"/>
              <w:spacing w:beforeLines="50" w:line="360" w:lineRule="auto"/>
              <w:jc w:val="center"/>
              <w:rPr>
                <w:rFonts w:ascii="宋体" w:hAnsi="宋体"/>
                <w:kern w:val="0"/>
                <w:sz w:val="20"/>
                <w:szCs w:val="21"/>
              </w:rPr>
            </w:pPr>
          </w:p>
        </w:tc>
        <w:tc>
          <w:tcPr>
            <w:tcW w:w="1871" w:type="dxa"/>
            <w:tcBorders>
              <w:right w:val="single" w:color="auto" w:sz="4" w:space="0"/>
            </w:tcBorders>
            <w:noWrap/>
          </w:tcPr>
          <w:p w14:paraId="0A6D3C29">
            <w:pPr>
              <w:adjustRightInd w:val="0"/>
              <w:snapToGrid w:val="0"/>
              <w:spacing w:beforeLines="50" w:line="360" w:lineRule="auto"/>
              <w:jc w:val="center"/>
              <w:rPr>
                <w:rFonts w:ascii="宋体" w:hAnsi="宋体"/>
                <w:kern w:val="0"/>
                <w:sz w:val="20"/>
                <w:szCs w:val="21"/>
              </w:rPr>
            </w:pPr>
          </w:p>
        </w:tc>
        <w:tc>
          <w:tcPr>
            <w:tcW w:w="2551" w:type="dxa"/>
            <w:tcBorders>
              <w:left w:val="single" w:color="auto" w:sz="4" w:space="0"/>
            </w:tcBorders>
            <w:noWrap/>
          </w:tcPr>
          <w:p w14:paraId="161E6A65">
            <w:pPr>
              <w:adjustRightInd w:val="0"/>
              <w:snapToGrid w:val="0"/>
              <w:spacing w:beforeLines="50" w:line="360" w:lineRule="auto"/>
              <w:jc w:val="center"/>
              <w:rPr>
                <w:rFonts w:ascii="宋体" w:hAnsi="宋体"/>
                <w:kern w:val="0"/>
                <w:sz w:val="20"/>
                <w:szCs w:val="21"/>
              </w:rPr>
            </w:pPr>
          </w:p>
        </w:tc>
        <w:tc>
          <w:tcPr>
            <w:tcW w:w="2127" w:type="dxa"/>
            <w:noWrap/>
          </w:tcPr>
          <w:p w14:paraId="09A30DC9">
            <w:pPr>
              <w:adjustRightInd w:val="0"/>
              <w:snapToGrid w:val="0"/>
              <w:spacing w:beforeLines="50" w:line="360" w:lineRule="auto"/>
              <w:jc w:val="center"/>
              <w:rPr>
                <w:rFonts w:ascii="宋体" w:hAnsi="宋体"/>
                <w:kern w:val="0"/>
                <w:sz w:val="20"/>
                <w:szCs w:val="21"/>
              </w:rPr>
            </w:pPr>
          </w:p>
        </w:tc>
        <w:tc>
          <w:tcPr>
            <w:tcW w:w="1722" w:type="dxa"/>
            <w:noWrap/>
          </w:tcPr>
          <w:p w14:paraId="3A8659BD">
            <w:pPr>
              <w:adjustRightInd w:val="0"/>
              <w:snapToGrid w:val="0"/>
              <w:spacing w:beforeLines="50" w:line="360" w:lineRule="auto"/>
              <w:jc w:val="center"/>
              <w:rPr>
                <w:rFonts w:ascii="宋体" w:hAnsi="宋体"/>
                <w:kern w:val="0"/>
                <w:sz w:val="20"/>
                <w:szCs w:val="21"/>
              </w:rPr>
            </w:pPr>
          </w:p>
        </w:tc>
      </w:tr>
      <w:tr w14:paraId="2FA3E7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tcPr>
          <w:p w14:paraId="082A2B0F">
            <w:pPr>
              <w:adjustRightInd w:val="0"/>
              <w:snapToGrid w:val="0"/>
              <w:spacing w:beforeLines="50" w:line="360" w:lineRule="auto"/>
              <w:jc w:val="center"/>
              <w:rPr>
                <w:rFonts w:ascii="宋体" w:hAnsi="宋体"/>
                <w:kern w:val="0"/>
                <w:sz w:val="20"/>
                <w:szCs w:val="21"/>
              </w:rPr>
            </w:pPr>
          </w:p>
        </w:tc>
        <w:tc>
          <w:tcPr>
            <w:tcW w:w="1871" w:type="dxa"/>
            <w:tcBorders>
              <w:right w:val="single" w:color="auto" w:sz="4" w:space="0"/>
            </w:tcBorders>
            <w:noWrap/>
          </w:tcPr>
          <w:p w14:paraId="65A02E44">
            <w:pPr>
              <w:adjustRightInd w:val="0"/>
              <w:snapToGrid w:val="0"/>
              <w:spacing w:beforeLines="50" w:line="360" w:lineRule="auto"/>
              <w:jc w:val="center"/>
              <w:rPr>
                <w:rFonts w:ascii="宋体" w:hAnsi="宋体"/>
                <w:kern w:val="0"/>
                <w:sz w:val="20"/>
                <w:szCs w:val="21"/>
              </w:rPr>
            </w:pPr>
          </w:p>
        </w:tc>
        <w:tc>
          <w:tcPr>
            <w:tcW w:w="2551" w:type="dxa"/>
            <w:tcBorders>
              <w:left w:val="single" w:color="auto" w:sz="4" w:space="0"/>
            </w:tcBorders>
            <w:noWrap/>
          </w:tcPr>
          <w:p w14:paraId="63C6B799">
            <w:pPr>
              <w:adjustRightInd w:val="0"/>
              <w:snapToGrid w:val="0"/>
              <w:spacing w:beforeLines="50" w:line="360" w:lineRule="auto"/>
              <w:jc w:val="center"/>
              <w:rPr>
                <w:rFonts w:ascii="宋体" w:hAnsi="宋体"/>
                <w:kern w:val="0"/>
                <w:sz w:val="20"/>
                <w:szCs w:val="21"/>
              </w:rPr>
            </w:pPr>
          </w:p>
        </w:tc>
        <w:tc>
          <w:tcPr>
            <w:tcW w:w="2127" w:type="dxa"/>
            <w:noWrap/>
          </w:tcPr>
          <w:p w14:paraId="5587519E">
            <w:pPr>
              <w:adjustRightInd w:val="0"/>
              <w:snapToGrid w:val="0"/>
              <w:spacing w:beforeLines="50" w:line="360" w:lineRule="auto"/>
              <w:jc w:val="center"/>
              <w:rPr>
                <w:rFonts w:ascii="宋体" w:hAnsi="宋体"/>
                <w:kern w:val="0"/>
                <w:sz w:val="20"/>
                <w:szCs w:val="21"/>
              </w:rPr>
            </w:pPr>
          </w:p>
        </w:tc>
        <w:tc>
          <w:tcPr>
            <w:tcW w:w="1722" w:type="dxa"/>
            <w:noWrap/>
          </w:tcPr>
          <w:p w14:paraId="76806845">
            <w:pPr>
              <w:adjustRightInd w:val="0"/>
              <w:snapToGrid w:val="0"/>
              <w:spacing w:beforeLines="50" w:line="360" w:lineRule="auto"/>
              <w:jc w:val="center"/>
              <w:rPr>
                <w:rFonts w:ascii="宋体" w:hAnsi="宋体"/>
                <w:kern w:val="0"/>
                <w:sz w:val="20"/>
                <w:szCs w:val="21"/>
              </w:rPr>
            </w:pPr>
          </w:p>
        </w:tc>
      </w:tr>
      <w:tr w14:paraId="081311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tcPr>
          <w:p w14:paraId="271734FD">
            <w:pPr>
              <w:adjustRightInd w:val="0"/>
              <w:snapToGrid w:val="0"/>
              <w:spacing w:beforeLines="50" w:line="360" w:lineRule="auto"/>
              <w:jc w:val="center"/>
              <w:rPr>
                <w:rFonts w:ascii="宋体" w:hAnsi="宋体"/>
                <w:kern w:val="0"/>
                <w:sz w:val="20"/>
                <w:szCs w:val="21"/>
              </w:rPr>
            </w:pPr>
          </w:p>
        </w:tc>
        <w:tc>
          <w:tcPr>
            <w:tcW w:w="1871" w:type="dxa"/>
            <w:tcBorders>
              <w:right w:val="single" w:color="auto" w:sz="4" w:space="0"/>
            </w:tcBorders>
            <w:noWrap/>
          </w:tcPr>
          <w:p w14:paraId="01889F68">
            <w:pPr>
              <w:adjustRightInd w:val="0"/>
              <w:snapToGrid w:val="0"/>
              <w:spacing w:beforeLines="50" w:line="360" w:lineRule="auto"/>
              <w:jc w:val="center"/>
              <w:rPr>
                <w:rFonts w:ascii="宋体" w:hAnsi="宋体"/>
                <w:kern w:val="0"/>
                <w:sz w:val="20"/>
                <w:szCs w:val="21"/>
              </w:rPr>
            </w:pPr>
          </w:p>
        </w:tc>
        <w:tc>
          <w:tcPr>
            <w:tcW w:w="2551" w:type="dxa"/>
            <w:tcBorders>
              <w:left w:val="single" w:color="auto" w:sz="4" w:space="0"/>
            </w:tcBorders>
            <w:noWrap/>
          </w:tcPr>
          <w:p w14:paraId="13B5EC11">
            <w:pPr>
              <w:adjustRightInd w:val="0"/>
              <w:snapToGrid w:val="0"/>
              <w:spacing w:beforeLines="50" w:line="360" w:lineRule="auto"/>
              <w:jc w:val="center"/>
              <w:rPr>
                <w:rFonts w:ascii="宋体" w:hAnsi="宋体"/>
                <w:kern w:val="0"/>
                <w:sz w:val="20"/>
                <w:szCs w:val="21"/>
              </w:rPr>
            </w:pPr>
          </w:p>
        </w:tc>
        <w:tc>
          <w:tcPr>
            <w:tcW w:w="2127" w:type="dxa"/>
            <w:noWrap/>
          </w:tcPr>
          <w:p w14:paraId="0CC49287">
            <w:pPr>
              <w:adjustRightInd w:val="0"/>
              <w:snapToGrid w:val="0"/>
              <w:spacing w:beforeLines="50" w:line="360" w:lineRule="auto"/>
              <w:jc w:val="center"/>
              <w:rPr>
                <w:rFonts w:ascii="宋体" w:hAnsi="宋体"/>
                <w:kern w:val="0"/>
                <w:sz w:val="20"/>
                <w:szCs w:val="21"/>
              </w:rPr>
            </w:pPr>
          </w:p>
        </w:tc>
        <w:tc>
          <w:tcPr>
            <w:tcW w:w="1722" w:type="dxa"/>
            <w:noWrap/>
          </w:tcPr>
          <w:p w14:paraId="6AC45FFF">
            <w:pPr>
              <w:adjustRightInd w:val="0"/>
              <w:snapToGrid w:val="0"/>
              <w:spacing w:beforeLines="50" w:line="360" w:lineRule="auto"/>
              <w:jc w:val="center"/>
              <w:rPr>
                <w:rFonts w:ascii="宋体" w:hAnsi="宋体"/>
                <w:kern w:val="0"/>
                <w:sz w:val="20"/>
                <w:szCs w:val="21"/>
              </w:rPr>
            </w:pPr>
          </w:p>
        </w:tc>
      </w:tr>
      <w:tr w14:paraId="3ACF05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tcPr>
          <w:p w14:paraId="56A0ECC8">
            <w:pPr>
              <w:adjustRightInd w:val="0"/>
              <w:snapToGrid w:val="0"/>
              <w:spacing w:beforeLines="50" w:line="360" w:lineRule="auto"/>
              <w:jc w:val="center"/>
              <w:rPr>
                <w:rFonts w:ascii="宋体" w:hAnsi="宋体"/>
                <w:kern w:val="0"/>
                <w:sz w:val="20"/>
                <w:szCs w:val="21"/>
              </w:rPr>
            </w:pPr>
          </w:p>
        </w:tc>
        <w:tc>
          <w:tcPr>
            <w:tcW w:w="1871" w:type="dxa"/>
            <w:tcBorders>
              <w:right w:val="single" w:color="auto" w:sz="4" w:space="0"/>
            </w:tcBorders>
            <w:noWrap/>
          </w:tcPr>
          <w:p w14:paraId="7D377381">
            <w:pPr>
              <w:adjustRightInd w:val="0"/>
              <w:snapToGrid w:val="0"/>
              <w:spacing w:beforeLines="50" w:line="360" w:lineRule="auto"/>
              <w:jc w:val="center"/>
              <w:rPr>
                <w:rFonts w:ascii="宋体" w:hAnsi="宋体"/>
                <w:kern w:val="0"/>
                <w:sz w:val="20"/>
                <w:szCs w:val="21"/>
              </w:rPr>
            </w:pPr>
          </w:p>
        </w:tc>
        <w:tc>
          <w:tcPr>
            <w:tcW w:w="2551" w:type="dxa"/>
            <w:tcBorders>
              <w:left w:val="single" w:color="auto" w:sz="4" w:space="0"/>
            </w:tcBorders>
            <w:noWrap/>
          </w:tcPr>
          <w:p w14:paraId="00F50989">
            <w:pPr>
              <w:adjustRightInd w:val="0"/>
              <w:snapToGrid w:val="0"/>
              <w:spacing w:beforeLines="50" w:line="360" w:lineRule="auto"/>
              <w:jc w:val="center"/>
              <w:rPr>
                <w:rFonts w:ascii="宋体" w:hAnsi="宋体"/>
                <w:kern w:val="0"/>
                <w:sz w:val="20"/>
                <w:szCs w:val="21"/>
              </w:rPr>
            </w:pPr>
          </w:p>
        </w:tc>
        <w:tc>
          <w:tcPr>
            <w:tcW w:w="2127" w:type="dxa"/>
            <w:noWrap/>
          </w:tcPr>
          <w:p w14:paraId="17895729">
            <w:pPr>
              <w:adjustRightInd w:val="0"/>
              <w:snapToGrid w:val="0"/>
              <w:spacing w:beforeLines="50" w:line="360" w:lineRule="auto"/>
              <w:jc w:val="center"/>
              <w:rPr>
                <w:rFonts w:ascii="宋体" w:hAnsi="宋体"/>
                <w:kern w:val="0"/>
                <w:sz w:val="20"/>
                <w:szCs w:val="21"/>
              </w:rPr>
            </w:pPr>
          </w:p>
        </w:tc>
        <w:tc>
          <w:tcPr>
            <w:tcW w:w="1722" w:type="dxa"/>
            <w:noWrap/>
          </w:tcPr>
          <w:p w14:paraId="6EBFCAF7">
            <w:pPr>
              <w:adjustRightInd w:val="0"/>
              <w:snapToGrid w:val="0"/>
              <w:spacing w:beforeLines="50" w:line="360" w:lineRule="auto"/>
              <w:jc w:val="center"/>
              <w:rPr>
                <w:rFonts w:ascii="宋体" w:hAnsi="宋体"/>
                <w:kern w:val="0"/>
                <w:sz w:val="20"/>
                <w:szCs w:val="21"/>
              </w:rPr>
            </w:pPr>
          </w:p>
        </w:tc>
      </w:tr>
      <w:tr w14:paraId="7DE05C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tcPr>
          <w:p w14:paraId="2005C809">
            <w:pPr>
              <w:adjustRightInd w:val="0"/>
              <w:snapToGrid w:val="0"/>
              <w:spacing w:beforeLines="50" w:line="360" w:lineRule="auto"/>
              <w:jc w:val="center"/>
              <w:rPr>
                <w:rFonts w:ascii="宋体" w:hAnsi="宋体"/>
                <w:kern w:val="0"/>
                <w:sz w:val="20"/>
                <w:szCs w:val="21"/>
              </w:rPr>
            </w:pPr>
          </w:p>
        </w:tc>
        <w:tc>
          <w:tcPr>
            <w:tcW w:w="1871" w:type="dxa"/>
            <w:tcBorders>
              <w:right w:val="single" w:color="auto" w:sz="4" w:space="0"/>
            </w:tcBorders>
            <w:noWrap/>
          </w:tcPr>
          <w:p w14:paraId="65602660">
            <w:pPr>
              <w:adjustRightInd w:val="0"/>
              <w:snapToGrid w:val="0"/>
              <w:spacing w:beforeLines="50" w:line="360" w:lineRule="auto"/>
              <w:jc w:val="center"/>
              <w:rPr>
                <w:rFonts w:ascii="宋体" w:hAnsi="宋体"/>
                <w:kern w:val="0"/>
                <w:sz w:val="20"/>
                <w:szCs w:val="21"/>
              </w:rPr>
            </w:pPr>
          </w:p>
        </w:tc>
        <w:tc>
          <w:tcPr>
            <w:tcW w:w="2551" w:type="dxa"/>
            <w:tcBorders>
              <w:left w:val="single" w:color="auto" w:sz="4" w:space="0"/>
            </w:tcBorders>
            <w:noWrap/>
          </w:tcPr>
          <w:p w14:paraId="78082809">
            <w:pPr>
              <w:adjustRightInd w:val="0"/>
              <w:snapToGrid w:val="0"/>
              <w:spacing w:beforeLines="50" w:line="360" w:lineRule="auto"/>
              <w:jc w:val="center"/>
              <w:rPr>
                <w:rFonts w:ascii="宋体" w:hAnsi="宋体"/>
                <w:kern w:val="0"/>
                <w:sz w:val="20"/>
                <w:szCs w:val="21"/>
              </w:rPr>
            </w:pPr>
          </w:p>
        </w:tc>
        <w:tc>
          <w:tcPr>
            <w:tcW w:w="2127" w:type="dxa"/>
            <w:noWrap/>
          </w:tcPr>
          <w:p w14:paraId="69247356">
            <w:pPr>
              <w:adjustRightInd w:val="0"/>
              <w:snapToGrid w:val="0"/>
              <w:spacing w:beforeLines="50" w:line="360" w:lineRule="auto"/>
              <w:jc w:val="center"/>
              <w:rPr>
                <w:rFonts w:ascii="宋体" w:hAnsi="宋体"/>
                <w:kern w:val="0"/>
                <w:sz w:val="20"/>
                <w:szCs w:val="21"/>
              </w:rPr>
            </w:pPr>
          </w:p>
        </w:tc>
        <w:tc>
          <w:tcPr>
            <w:tcW w:w="1722" w:type="dxa"/>
            <w:noWrap/>
          </w:tcPr>
          <w:p w14:paraId="6A0D7852">
            <w:pPr>
              <w:adjustRightInd w:val="0"/>
              <w:snapToGrid w:val="0"/>
              <w:spacing w:beforeLines="50" w:line="360" w:lineRule="auto"/>
              <w:jc w:val="center"/>
              <w:rPr>
                <w:rFonts w:ascii="宋体" w:hAnsi="宋体"/>
                <w:kern w:val="0"/>
                <w:sz w:val="20"/>
                <w:szCs w:val="21"/>
              </w:rPr>
            </w:pPr>
          </w:p>
        </w:tc>
      </w:tr>
      <w:tr w14:paraId="2B1522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789" w:type="dxa"/>
            <w:noWrap/>
          </w:tcPr>
          <w:p w14:paraId="6EE508F8">
            <w:pPr>
              <w:adjustRightInd w:val="0"/>
              <w:snapToGrid w:val="0"/>
              <w:spacing w:beforeLines="50" w:line="360" w:lineRule="auto"/>
              <w:jc w:val="center"/>
              <w:rPr>
                <w:rFonts w:ascii="宋体" w:hAnsi="宋体"/>
                <w:kern w:val="0"/>
                <w:sz w:val="20"/>
                <w:szCs w:val="21"/>
              </w:rPr>
            </w:pPr>
          </w:p>
        </w:tc>
        <w:tc>
          <w:tcPr>
            <w:tcW w:w="1871" w:type="dxa"/>
            <w:tcBorders>
              <w:right w:val="single" w:color="auto" w:sz="4" w:space="0"/>
            </w:tcBorders>
            <w:noWrap/>
          </w:tcPr>
          <w:p w14:paraId="100F8AF2">
            <w:pPr>
              <w:adjustRightInd w:val="0"/>
              <w:snapToGrid w:val="0"/>
              <w:spacing w:beforeLines="50" w:line="360" w:lineRule="auto"/>
              <w:jc w:val="center"/>
              <w:rPr>
                <w:rFonts w:ascii="宋体" w:hAnsi="宋体"/>
                <w:kern w:val="0"/>
                <w:sz w:val="20"/>
                <w:szCs w:val="21"/>
              </w:rPr>
            </w:pPr>
          </w:p>
        </w:tc>
        <w:tc>
          <w:tcPr>
            <w:tcW w:w="2551" w:type="dxa"/>
            <w:tcBorders>
              <w:left w:val="single" w:color="auto" w:sz="4" w:space="0"/>
            </w:tcBorders>
            <w:noWrap/>
          </w:tcPr>
          <w:p w14:paraId="4DC29ADC">
            <w:pPr>
              <w:adjustRightInd w:val="0"/>
              <w:snapToGrid w:val="0"/>
              <w:spacing w:beforeLines="50" w:line="360" w:lineRule="auto"/>
              <w:jc w:val="center"/>
              <w:rPr>
                <w:rFonts w:ascii="宋体" w:hAnsi="宋体"/>
                <w:kern w:val="0"/>
                <w:sz w:val="20"/>
                <w:szCs w:val="21"/>
              </w:rPr>
            </w:pPr>
          </w:p>
        </w:tc>
        <w:tc>
          <w:tcPr>
            <w:tcW w:w="2127" w:type="dxa"/>
            <w:noWrap/>
          </w:tcPr>
          <w:p w14:paraId="15B37AB0">
            <w:pPr>
              <w:adjustRightInd w:val="0"/>
              <w:snapToGrid w:val="0"/>
              <w:spacing w:beforeLines="50" w:line="360" w:lineRule="auto"/>
              <w:jc w:val="center"/>
              <w:rPr>
                <w:rFonts w:ascii="宋体" w:hAnsi="宋体"/>
                <w:kern w:val="0"/>
                <w:sz w:val="20"/>
                <w:szCs w:val="21"/>
              </w:rPr>
            </w:pPr>
          </w:p>
        </w:tc>
        <w:tc>
          <w:tcPr>
            <w:tcW w:w="1722" w:type="dxa"/>
            <w:noWrap/>
          </w:tcPr>
          <w:p w14:paraId="39AE863A">
            <w:pPr>
              <w:adjustRightInd w:val="0"/>
              <w:snapToGrid w:val="0"/>
              <w:spacing w:beforeLines="50" w:line="360" w:lineRule="auto"/>
              <w:jc w:val="center"/>
              <w:rPr>
                <w:rFonts w:ascii="宋体" w:hAnsi="宋体"/>
                <w:kern w:val="0"/>
                <w:sz w:val="20"/>
                <w:szCs w:val="21"/>
              </w:rPr>
            </w:pPr>
          </w:p>
        </w:tc>
      </w:tr>
    </w:tbl>
    <w:p w14:paraId="4BF6D419"/>
    <w:p w14:paraId="6DE19944">
      <w:pPr>
        <w:pStyle w:val="5"/>
        <w:adjustRightInd w:val="0"/>
        <w:snapToGrid w:val="0"/>
        <w:spacing w:beforeLines="50" w:after="0" w:line="360" w:lineRule="auto"/>
        <w:jc w:val="left"/>
        <w:rPr>
          <w:rFonts w:ascii="黑体" w:hAnsi="黑体"/>
          <w:b w:val="0"/>
          <w:sz w:val="21"/>
          <w:szCs w:val="21"/>
        </w:rPr>
      </w:pPr>
    </w:p>
    <w:bookmarkEnd w:id="128"/>
    <w:p w14:paraId="1F9ADF3D">
      <w:pPr>
        <w:pStyle w:val="4"/>
        <w:adjustRightInd w:val="0"/>
        <w:snapToGrid w:val="0"/>
        <w:spacing w:before="0" w:after="0" w:line="360" w:lineRule="auto"/>
        <w:jc w:val="center"/>
        <w:rPr>
          <w:rFonts w:ascii="黑体" w:hAnsi="宋体" w:eastAsia="黑体"/>
          <w:sz w:val="28"/>
          <w:szCs w:val="28"/>
        </w:rPr>
      </w:pPr>
      <w:r>
        <w:rPr>
          <w:rFonts w:ascii="黑体" w:hAnsi="宋体" w:eastAsia="黑体"/>
          <w:sz w:val="28"/>
          <w:szCs w:val="28"/>
        </w:rPr>
        <w:br w:type="page"/>
      </w:r>
    </w:p>
    <w:p w14:paraId="68D740C6">
      <w:pPr>
        <w:pStyle w:val="4"/>
        <w:adjustRightInd w:val="0"/>
        <w:snapToGrid w:val="0"/>
        <w:spacing w:before="0" w:after="0" w:line="360" w:lineRule="auto"/>
        <w:jc w:val="center"/>
        <w:rPr>
          <w:rFonts w:ascii="黑体" w:hAnsi="宋体" w:eastAsia="黑体"/>
          <w:sz w:val="28"/>
          <w:szCs w:val="28"/>
        </w:rPr>
      </w:pPr>
      <w:bookmarkStart w:id="129" w:name="_Toc20651243"/>
      <w:r>
        <w:rPr>
          <w:rFonts w:hint="eastAsia" w:ascii="黑体" w:hAnsi="宋体" w:eastAsia="黑体"/>
          <w:sz w:val="28"/>
          <w:szCs w:val="28"/>
        </w:rPr>
        <w:t>一、开标一览表</w:t>
      </w:r>
      <w:bookmarkEnd w:id="129"/>
    </w:p>
    <w:p w14:paraId="5F44D42E">
      <w:pPr>
        <w:adjustRightInd w:val="0"/>
        <w:snapToGrid w:val="0"/>
        <w:spacing w:line="360" w:lineRule="auto"/>
        <w:ind w:left="-88" w:leftChars="-42"/>
        <w:jc w:val="center"/>
        <w:rPr>
          <w:rFonts w:ascii="仿宋_GB2312" w:hAnsi="宋体" w:eastAsia="仿宋_GB2312"/>
          <w:sz w:val="24"/>
        </w:rPr>
      </w:pPr>
    </w:p>
    <w:p w14:paraId="62C2A127">
      <w:pPr>
        <w:adjustRightInd w:val="0"/>
        <w:snapToGrid w:val="0"/>
        <w:spacing w:line="360" w:lineRule="auto"/>
        <w:rPr>
          <w:rFonts w:ascii="宋体" w:hAnsi="宋体"/>
          <w:szCs w:val="21"/>
        </w:rPr>
      </w:pPr>
      <w:r>
        <w:rPr>
          <w:rFonts w:hint="eastAsia" w:ascii="宋体" w:hAnsi="宋体"/>
          <w:szCs w:val="21"/>
        </w:rPr>
        <w:t>采购代理编号：</w:t>
      </w:r>
      <w:r>
        <w:rPr>
          <w:rFonts w:hint="eastAsia" w:ascii="宋体" w:hAnsi="宋体"/>
          <w:szCs w:val="21"/>
          <w:u w:val="single"/>
        </w:rPr>
        <w:t xml:space="preserve">              </w:t>
      </w:r>
      <w:r>
        <w:rPr>
          <w:rFonts w:hint="eastAsia" w:ascii="宋体" w:hAnsi="宋体"/>
          <w:szCs w:val="21"/>
        </w:rPr>
        <w:t xml:space="preserve">                       项目名称：</w:t>
      </w:r>
      <w:r>
        <w:rPr>
          <w:rFonts w:hint="eastAsia" w:ascii="宋体" w:hAnsi="宋体"/>
          <w:szCs w:val="21"/>
          <w:u w:val="single"/>
        </w:rPr>
        <w:t xml:space="preserve">                          </w:t>
      </w:r>
      <w:r>
        <w:rPr>
          <w:rFonts w:hint="eastAsia" w:ascii="宋体" w:hAnsi="宋体"/>
          <w:szCs w:val="21"/>
        </w:rPr>
        <w:t xml:space="preserve"> </w:t>
      </w:r>
    </w:p>
    <w:p w14:paraId="3B5960E1">
      <w:pPr>
        <w:adjustRightInd w:val="0"/>
        <w:snapToGrid w:val="0"/>
        <w:spacing w:line="360" w:lineRule="auto"/>
        <w:rPr>
          <w:rFonts w:ascii="宋体" w:hAnsi="宋体"/>
          <w:b/>
          <w:szCs w:val="21"/>
        </w:rPr>
      </w:pPr>
      <w:r>
        <w:rPr>
          <w:rFonts w:hint="eastAsia" w:ascii="宋体" w:hAnsi="宋体"/>
          <w:szCs w:val="21"/>
        </w:rPr>
        <w:t>包号：</w:t>
      </w:r>
      <w:r>
        <w:rPr>
          <w:rFonts w:hint="eastAsia" w:ascii="宋体" w:hAnsi="宋体"/>
          <w:szCs w:val="21"/>
          <w:u w:val="single"/>
        </w:rPr>
        <w:t xml:space="preserve">              </w:t>
      </w:r>
      <w:r>
        <w:rPr>
          <w:rFonts w:hint="eastAsia" w:ascii="宋体" w:hAnsi="宋体"/>
          <w:szCs w:val="21"/>
        </w:rPr>
        <w:t xml:space="preserve">                               包名称：</w:t>
      </w:r>
      <w:r>
        <w:rPr>
          <w:rFonts w:hint="eastAsia" w:ascii="宋体" w:hAnsi="宋体"/>
          <w:szCs w:val="21"/>
          <w:u w:val="single"/>
        </w:rPr>
        <w:t xml:space="preserve">                             </w:t>
      </w:r>
    </w:p>
    <w:tbl>
      <w:tblPr>
        <w:tblStyle w:val="40"/>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670"/>
        <w:gridCol w:w="3119"/>
      </w:tblGrid>
      <w:tr w14:paraId="4E4C1A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14:paraId="44E55A2C">
            <w:pPr>
              <w:adjustRightInd w:val="0"/>
              <w:snapToGrid w:val="0"/>
              <w:spacing w:line="360" w:lineRule="auto"/>
              <w:jc w:val="center"/>
              <w:rPr>
                <w:rFonts w:ascii="宋体" w:hAnsi="宋体" w:cs="宋体"/>
                <w:b/>
                <w:color w:val="000000"/>
                <w:kern w:val="0"/>
                <w:sz w:val="20"/>
                <w:szCs w:val="21"/>
              </w:rPr>
            </w:pPr>
            <w:r>
              <w:rPr>
                <w:rFonts w:hint="eastAsia" w:ascii="宋体" w:hAnsi="宋体" w:cs="宋体"/>
                <w:b/>
                <w:color w:val="000000"/>
                <w:kern w:val="0"/>
                <w:szCs w:val="21"/>
              </w:rPr>
              <w:t>投标报价</w:t>
            </w:r>
          </w:p>
        </w:tc>
        <w:tc>
          <w:tcPr>
            <w:tcW w:w="3119" w:type="dxa"/>
            <w:vAlign w:val="center"/>
          </w:tcPr>
          <w:p w14:paraId="37783F88">
            <w:pPr>
              <w:adjustRightInd w:val="0"/>
              <w:snapToGrid w:val="0"/>
              <w:spacing w:line="360" w:lineRule="auto"/>
              <w:jc w:val="center"/>
              <w:rPr>
                <w:rFonts w:ascii="宋体" w:hAnsi="宋体" w:cs="宋体"/>
                <w:b/>
                <w:color w:val="000000"/>
                <w:kern w:val="0"/>
                <w:szCs w:val="21"/>
              </w:rPr>
            </w:pPr>
            <w:r>
              <w:rPr>
                <w:rFonts w:hint="eastAsia" w:ascii="宋体" w:hAnsi="宋体" w:cs="宋体"/>
                <w:b/>
                <w:color w:val="000000"/>
                <w:kern w:val="0"/>
                <w:szCs w:val="21"/>
              </w:rPr>
              <w:t>其他内容</w:t>
            </w:r>
          </w:p>
        </w:tc>
      </w:tr>
      <w:tr w14:paraId="300580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14:paraId="5C145DE0">
            <w:pPr>
              <w:adjustRightInd w:val="0"/>
              <w:snapToGrid w:val="0"/>
              <w:spacing w:line="360" w:lineRule="auto"/>
              <w:jc w:val="center"/>
              <w:rPr>
                <w:rFonts w:ascii="宋体" w:hAnsi="宋体" w:cs="宋体"/>
                <w:color w:val="000000"/>
                <w:kern w:val="0"/>
                <w:szCs w:val="21"/>
              </w:rPr>
            </w:pPr>
            <w:r>
              <w:rPr>
                <w:rFonts w:hint="eastAsia" w:ascii="宋体" w:hAnsi="宋体" w:cs="宋体"/>
                <w:color w:val="000000"/>
                <w:kern w:val="0"/>
                <w:szCs w:val="21"/>
              </w:rPr>
              <w:t>小写金额：</w:t>
            </w:r>
            <w:r>
              <w:rPr>
                <w:rFonts w:hint="eastAsia" w:ascii="宋体" w:hAnsi="宋体" w:cs="宋体"/>
                <w:color w:val="000000"/>
                <w:kern w:val="0"/>
                <w:szCs w:val="21"/>
                <w:u w:val="single"/>
              </w:rPr>
              <w:t xml:space="preserve">               </w:t>
            </w:r>
            <w:r>
              <w:rPr>
                <w:rFonts w:hint="eastAsia" w:ascii="宋体" w:hAnsi="宋体" w:cs="宋体"/>
                <w:color w:val="000000"/>
                <w:kern w:val="0"/>
                <w:szCs w:val="21"/>
              </w:rPr>
              <w:t>（</w:t>
            </w:r>
            <w:r>
              <w:rPr>
                <w:rFonts w:hint="eastAsia" w:ascii="宋体" w:hAnsi="宋体" w:cs="宋体"/>
                <w:color w:val="000000"/>
                <w:kern w:val="0"/>
                <w:sz w:val="20"/>
                <w:szCs w:val="21"/>
              </w:rPr>
              <w:t>人民币元</w:t>
            </w:r>
            <w:r>
              <w:rPr>
                <w:rFonts w:hint="eastAsia" w:ascii="宋体" w:hAnsi="宋体" w:cs="宋体"/>
                <w:color w:val="000000"/>
                <w:kern w:val="0"/>
                <w:szCs w:val="21"/>
              </w:rPr>
              <w:t>）</w:t>
            </w:r>
          </w:p>
          <w:p w14:paraId="29F18F55">
            <w:pPr>
              <w:adjustRightInd w:val="0"/>
              <w:snapToGrid w:val="0"/>
              <w:spacing w:line="360" w:lineRule="auto"/>
              <w:jc w:val="center"/>
              <w:rPr>
                <w:rFonts w:ascii="宋体" w:hAnsi="宋体" w:cs="宋体"/>
                <w:color w:val="000000"/>
                <w:kern w:val="0"/>
                <w:szCs w:val="21"/>
                <w:u w:val="single"/>
              </w:rPr>
            </w:pPr>
            <w:r>
              <w:rPr>
                <w:rFonts w:hint="eastAsia" w:ascii="宋体" w:hAnsi="宋体" w:cs="宋体"/>
                <w:color w:val="000000"/>
                <w:kern w:val="0"/>
                <w:szCs w:val="21"/>
              </w:rPr>
              <w:t>大写金额：</w:t>
            </w:r>
            <w:r>
              <w:rPr>
                <w:rFonts w:hint="eastAsia" w:ascii="宋体" w:hAnsi="宋体" w:cs="宋体"/>
                <w:color w:val="000000"/>
                <w:kern w:val="0"/>
                <w:szCs w:val="21"/>
                <w:u w:val="single"/>
              </w:rPr>
              <w:t xml:space="preserve">                </w:t>
            </w:r>
            <w:r>
              <w:rPr>
                <w:rFonts w:hint="eastAsia" w:ascii="宋体" w:hAnsi="宋体" w:cs="宋体"/>
                <w:color w:val="000000"/>
                <w:kern w:val="0"/>
                <w:szCs w:val="21"/>
              </w:rPr>
              <w:t>（</w:t>
            </w:r>
            <w:r>
              <w:rPr>
                <w:rFonts w:hint="eastAsia" w:ascii="宋体" w:hAnsi="宋体" w:cs="宋体"/>
                <w:color w:val="000000"/>
                <w:kern w:val="0"/>
                <w:sz w:val="20"/>
                <w:szCs w:val="21"/>
              </w:rPr>
              <w:t>人民币元</w:t>
            </w:r>
            <w:r>
              <w:rPr>
                <w:rFonts w:hint="eastAsia" w:ascii="宋体" w:hAnsi="宋体" w:cs="宋体"/>
                <w:color w:val="000000"/>
                <w:kern w:val="0"/>
                <w:szCs w:val="21"/>
              </w:rPr>
              <w:t>）</w:t>
            </w:r>
          </w:p>
          <w:p w14:paraId="51A5CF99">
            <w:pPr>
              <w:adjustRightInd w:val="0"/>
              <w:snapToGrid w:val="0"/>
              <w:spacing w:line="360" w:lineRule="auto"/>
              <w:jc w:val="center"/>
              <w:rPr>
                <w:rFonts w:ascii="宋体" w:hAnsi="宋体" w:cs="宋体"/>
                <w:color w:val="000000"/>
                <w:kern w:val="0"/>
                <w:sz w:val="20"/>
                <w:szCs w:val="21"/>
              </w:rPr>
            </w:pPr>
            <w:r>
              <w:rPr>
                <w:rFonts w:hint="eastAsia" w:ascii="宋体" w:hAnsi="宋体" w:cs="宋体"/>
                <w:color w:val="000000"/>
                <w:kern w:val="0"/>
                <w:szCs w:val="21"/>
              </w:rPr>
              <w:t>（</w:t>
            </w:r>
            <w:r>
              <w:rPr>
                <w:rFonts w:hint="eastAsia" w:ascii="宋体" w:hAnsi="宋体" w:cs="宋体"/>
                <w:color w:val="000000"/>
                <w:kern w:val="0"/>
                <w:sz w:val="24"/>
              </w:rPr>
              <w:t>大写金额与小写金额不一致时，以大写金额为准</w:t>
            </w:r>
            <w:r>
              <w:rPr>
                <w:rFonts w:hint="eastAsia" w:ascii="宋体" w:hAnsi="宋体" w:cs="宋体"/>
                <w:color w:val="000000"/>
                <w:kern w:val="0"/>
                <w:szCs w:val="21"/>
              </w:rPr>
              <w:t>）</w:t>
            </w:r>
          </w:p>
        </w:tc>
        <w:tc>
          <w:tcPr>
            <w:tcW w:w="3119" w:type="dxa"/>
            <w:vAlign w:val="center"/>
          </w:tcPr>
          <w:p w14:paraId="7A61CC44">
            <w:pPr>
              <w:adjustRightInd w:val="0"/>
              <w:snapToGrid w:val="0"/>
              <w:spacing w:line="360" w:lineRule="auto"/>
              <w:jc w:val="center"/>
              <w:rPr>
                <w:rFonts w:ascii="宋体" w:hAnsi="宋体" w:cs="宋体"/>
                <w:color w:val="000000"/>
                <w:kern w:val="0"/>
                <w:szCs w:val="21"/>
              </w:rPr>
            </w:pPr>
          </w:p>
        </w:tc>
      </w:tr>
    </w:tbl>
    <w:p w14:paraId="5407BC9A">
      <w:pPr>
        <w:adjustRightInd w:val="0"/>
        <w:snapToGrid w:val="0"/>
        <w:spacing w:line="360" w:lineRule="auto"/>
        <w:rPr>
          <w:rFonts w:ascii="宋体" w:hAnsi="宋体"/>
          <w:b/>
          <w:szCs w:val="21"/>
        </w:rPr>
      </w:pPr>
    </w:p>
    <w:p w14:paraId="3CA47F7C">
      <w:pPr>
        <w:adjustRightInd w:val="0"/>
        <w:snapToGrid w:val="0"/>
        <w:spacing w:line="360" w:lineRule="auto"/>
        <w:rPr>
          <w:rFonts w:ascii="宋体" w:hAnsi="宋体"/>
          <w:szCs w:val="21"/>
        </w:rPr>
      </w:pPr>
      <w:r>
        <w:rPr>
          <w:rFonts w:hint="eastAsia" w:ascii="宋体" w:hAnsi="宋体"/>
          <w:b/>
          <w:szCs w:val="21"/>
        </w:rPr>
        <w:t>备注：</w:t>
      </w:r>
      <w:r>
        <w:rPr>
          <w:rFonts w:hint="eastAsia" w:ascii="宋体" w:hAnsi="宋体"/>
          <w:szCs w:val="21"/>
        </w:rPr>
        <w:t>（1）本表须按包填写，一个“包号”一份。</w:t>
      </w:r>
    </w:p>
    <w:p w14:paraId="7D36FF78">
      <w:pPr>
        <w:adjustRightInd w:val="0"/>
        <w:snapToGrid w:val="0"/>
        <w:spacing w:line="360" w:lineRule="auto"/>
        <w:ind w:firstLine="420" w:firstLineChars="200"/>
        <w:rPr>
          <w:rFonts w:ascii="宋体" w:hAnsi="宋体"/>
          <w:szCs w:val="21"/>
        </w:rPr>
      </w:pPr>
      <w:r>
        <w:rPr>
          <w:rFonts w:hint="eastAsia" w:ascii="宋体" w:hAnsi="宋体"/>
          <w:szCs w:val="21"/>
        </w:rPr>
        <w:t>（2）投标人提交两份及以上投标报价不同的“开标一览表”，且未书面说明哪个有效或以哪个为准的，其</w:t>
      </w:r>
      <w:r>
        <w:rPr>
          <w:rFonts w:hint="eastAsia" w:ascii="宋体" w:hAnsi="宋体"/>
          <w:b/>
          <w:szCs w:val="21"/>
        </w:rPr>
        <w:t>投标无效</w:t>
      </w:r>
      <w:r>
        <w:rPr>
          <w:rFonts w:hint="eastAsia" w:ascii="宋体" w:hAnsi="宋体"/>
          <w:szCs w:val="21"/>
        </w:rPr>
        <w:t>。</w:t>
      </w:r>
    </w:p>
    <w:p w14:paraId="46AA7027">
      <w:pPr>
        <w:adjustRightInd w:val="0"/>
        <w:snapToGrid w:val="0"/>
        <w:spacing w:line="360" w:lineRule="auto"/>
        <w:ind w:firstLine="420" w:firstLineChars="200"/>
        <w:jc w:val="left"/>
        <w:rPr>
          <w:rFonts w:ascii="宋体" w:hAnsi="宋体"/>
        </w:rPr>
      </w:pPr>
      <w:r>
        <w:rPr>
          <w:rFonts w:hint="eastAsia" w:ascii="宋体" w:hAnsi="宋体"/>
          <w:szCs w:val="21"/>
        </w:rPr>
        <w:t>（3）</w:t>
      </w:r>
      <w:r>
        <w:rPr>
          <w:rFonts w:hint="eastAsia" w:ascii="宋体" w:hAnsi="宋体"/>
        </w:rPr>
        <w:t>投标人在投标截止时间前修改“开标一览表”中的投标报价的，应同时修改投标文件“分项报价明细表”“享受政府采购政策优惠的证明资料”以及“联合体协议书”（如果影响）等相关内容。</w:t>
      </w:r>
    </w:p>
    <w:p w14:paraId="5CD1CA70">
      <w:pPr>
        <w:adjustRightInd w:val="0"/>
        <w:snapToGrid w:val="0"/>
        <w:spacing w:line="360" w:lineRule="auto"/>
        <w:ind w:firstLine="420" w:firstLineChars="200"/>
        <w:rPr>
          <w:rFonts w:ascii="宋体" w:hAnsi="宋体"/>
          <w:szCs w:val="21"/>
        </w:rPr>
      </w:pPr>
    </w:p>
    <w:p w14:paraId="14ADCFB7">
      <w:pPr>
        <w:adjustRightInd w:val="0"/>
        <w:snapToGrid w:val="0"/>
        <w:spacing w:line="360" w:lineRule="auto"/>
        <w:ind w:firstLine="420" w:firstLineChars="200"/>
        <w:rPr>
          <w:rFonts w:ascii="宋体" w:hAnsi="宋体"/>
          <w:szCs w:val="21"/>
        </w:rPr>
      </w:pPr>
    </w:p>
    <w:p w14:paraId="4CC1CA72">
      <w:pPr>
        <w:adjustRightInd w:val="0"/>
        <w:snapToGrid w:val="0"/>
        <w:spacing w:line="360" w:lineRule="auto"/>
        <w:rPr>
          <w:rFonts w:ascii="宋体" w:hAnsi="宋体"/>
          <w:szCs w:val="21"/>
        </w:rPr>
      </w:pPr>
    </w:p>
    <w:p w14:paraId="5942F566">
      <w:pPr>
        <w:adjustRightInd w:val="0"/>
        <w:snapToGrid w:val="0"/>
        <w:spacing w:line="360" w:lineRule="auto"/>
        <w:rPr>
          <w:rFonts w:ascii="宋体" w:hAnsi="宋体"/>
          <w:szCs w:val="21"/>
        </w:rPr>
      </w:pPr>
      <w:r>
        <w:rPr>
          <w:rFonts w:hint="eastAsia" w:ascii="宋体" w:hAnsi="宋体"/>
          <w:szCs w:val="21"/>
        </w:rPr>
        <w:t>投标人名称（盖单位章）：</w:t>
      </w:r>
    </w:p>
    <w:p w14:paraId="133E2A38">
      <w:pPr>
        <w:adjustRightInd w:val="0"/>
        <w:snapToGrid w:val="0"/>
        <w:spacing w:line="360" w:lineRule="auto"/>
        <w:rPr>
          <w:rFonts w:ascii="宋体" w:hAnsi="宋体"/>
          <w:szCs w:val="21"/>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或其授权的代理人（签字或印章）：</w:t>
      </w:r>
      <w:r>
        <w:rPr>
          <w:rFonts w:hint="eastAsia" w:ascii="宋体" w:hAnsi="宋体"/>
          <w:szCs w:val="21"/>
          <w:u w:val="single"/>
        </w:rPr>
        <w:t xml:space="preserve">                </w:t>
      </w:r>
      <w:r>
        <w:rPr>
          <w:rFonts w:hint="eastAsia" w:ascii="宋体" w:hAnsi="宋体"/>
          <w:szCs w:val="21"/>
        </w:rPr>
        <w:t>_</w:t>
      </w:r>
    </w:p>
    <w:p w14:paraId="6845710E">
      <w:pPr>
        <w:adjustRightInd w:val="0"/>
        <w:snapToGrid w:val="0"/>
        <w:spacing w:line="360" w:lineRule="auto"/>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15D4F57">
      <w:pPr>
        <w:widowControl/>
        <w:jc w:val="left"/>
        <w:rPr>
          <w:rFonts w:ascii="宋体" w:hAnsi="宋体"/>
          <w:szCs w:val="21"/>
        </w:rPr>
      </w:pPr>
      <w:r>
        <w:rPr>
          <w:rFonts w:ascii="宋体" w:hAnsi="宋体"/>
          <w:szCs w:val="21"/>
        </w:rPr>
        <w:br w:type="page"/>
      </w:r>
    </w:p>
    <w:p w14:paraId="65297A38">
      <w:pPr>
        <w:pStyle w:val="4"/>
        <w:adjustRightInd w:val="0"/>
        <w:snapToGrid w:val="0"/>
        <w:spacing w:before="0" w:after="0" w:line="360" w:lineRule="auto"/>
        <w:jc w:val="center"/>
        <w:rPr>
          <w:rFonts w:ascii="黑体" w:hAnsi="黑体" w:eastAsia="黑体"/>
          <w:sz w:val="28"/>
          <w:szCs w:val="28"/>
        </w:rPr>
      </w:pPr>
      <w:bookmarkStart w:id="130" w:name="_Toc20651246"/>
      <w:r>
        <w:rPr>
          <w:rFonts w:hint="eastAsia" w:ascii="黑体" w:hAnsi="黑体" w:eastAsia="黑体"/>
          <w:sz w:val="28"/>
          <w:szCs w:val="28"/>
        </w:rPr>
        <w:t>二、法定代表人（单位负责人）身份证明</w:t>
      </w:r>
      <w:bookmarkEnd w:id="130"/>
    </w:p>
    <w:p w14:paraId="066489A7">
      <w:pPr>
        <w:tabs>
          <w:tab w:val="left" w:pos="3880"/>
        </w:tabs>
        <w:autoSpaceDE w:val="0"/>
        <w:autoSpaceDN w:val="0"/>
        <w:adjustRightInd w:val="0"/>
        <w:snapToGrid w:val="0"/>
        <w:spacing w:line="360" w:lineRule="auto"/>
        <w:ind w:left="100" w:right="-20"/>
        <w:jc w:val="left"/>
        <w:rPr>
          <w:rFonts w:ascii="宋体" w:hAnsi="宋体" w:cs="微软雅黑"/>
          <w:kern w:val="0"/>
          <w:position w:val="-4"/>
          <w:szCs w:val="21"/>
        </w:rPr>
      </w:pPr>
    </w:p>
    <w:p w14:paraId="7DB29933">
      <w:pPr>
        <w:tabs>
          <w:tab w:val="left" w:pos="3880"/>
        </w:tabs>
        <w:autoSpaceDE w:val="0"/>
        <w:autoSpaceDN w:val="0"/>
        <w:adjustRightInd w:val="0"/>
        <w:snapToGrid w:val="0"/>
        <w:spacing w:line="360" w:lineRule="auto"/>
        <w:ind w:left="100" w:right="-20"/>
        <w:jc w:val="left"/>
        <w:rPr>
          <w:rFonts w:ascii="宋体" w:hAnsi="宋体" w:cs="微软雅黑"/>
          <w:kern w:val="0"/>
          <w:szCs w:val="21"/>
        </w:rPr>
      </w:pPr>
      <w:r>
        <w:rPr>
          <w:rFonts w:hint="eastAsia" w:ascii="宋体" w:hAnsi="宋体" w:cs="微软雅黑"/>
          <w:kern w:val="0"/>
          <w:position w:val="-4"/>
          <w:szCs w:val="21"/>
        </w:rPr>
        <w:t>投标</w:t>
      </w:r>
      <w:r>
        <w:rPr>
          <w:rFonts w:hint="eastAsia" w:ascii="宋体" w:hAnsi="宋体" w:cs="微软雅黑"/>
          <w:spacing w:val="-2"/>
          <w:kern w:val="0"/>
          <w:position w:val="-4"/>
          <w:szCs w:val="21"/>
        </w:rPr>
        <w:t>人</w:t>
      </w:r>
      <w:r>
        <w:rPr>
          <w:rFonts w:hint="eastAsia" w:ascii="宋体" w:hAnsi="宋体" w:cs="微软雅黑"/>
          <w:kern w:val="0"/>
          <w:position w:val="-4"/>
          <w:szCs w:val="21"/>
        </w:rPr>
        <w:t>名</w:t>
      </w:r>
      <w:r>
        <w:rPr>
          <w:rFonts w:hint="eastAsia" w:ascii="宋体" w:hAnsi="宋体" w:cs="微软雅黑"/>
          <w:spacing w:val="-2"/>
          <w:kern w:val="0"/>
          <w:position w:val="-4"/>
          <w:szCs w:val="21"/>
        </w:rPr>
        <w:t>称</w:t>
      </w:r>
      <w:r>
        <w:rPr>
          <w:rFonts w:hint="eastAsia" w:ascii="宋体" w:hAnsi="宋体" w:cs="微软雅黑"/>
          <w:kern w:val="0"/>
          <w:position w:val="-4"/>
          <w:szCs w:val="21"/>
        </w:rPr>
        <w:t>：</w:t>
      </w:r>
      <w:r>
        <w:rPr>
          <w:rFonts w:hint="eastAsia" w:ascii="宋体" w:hAnsi="宋体"/>
          <w:szCs w:val="21"/>
          <w:u w:val="single"/>
        </w:rPr>
        <w:t xml:space="preserve">                 </w:t>
      </w:r>
    </w:p>
    <w:p w14:paraId="064E2ED6">
      <w:pPr>
        <w:tabs>
          <w:tab w:val="left" w:pos="2400"/>
          <w:tab w:val="left" w:pos="3880"/>
          <w:tab w:val="left" w:pos="5340"/>
          <w:tab w:val="left" w:pos="6820"/>
        </w:tabs>
        <w:autoSpaceDE w:val="0"/>
        <w:autoSpaceDN w:val="0"/>
        <w:adjustRightInd w:val="0"/>
        <w:snapToGrid w:val="0"/>
        <w:spacing w:line="360" w:lineRule="auto"/>
        <w:ind w:left="100" w:right="-20"/>
        <w:jc w:val="left"/>
        <w:rPr>
          <w:rFonts w:ascii="宋体" w:hAnsi="宋体" w:cs="微软雅黑"/>
          <w:kern w:val="0"/>
          <w:position w:val="-2"/>
          <w:szCs w:val="21"/>
        </w:rPr>
      </w:pPr>
      <w:r>
        <w:rPr>
          <w:rFonts w:hint="eastAsia" w:ascii="宋体" w:hAnsi="宋体" w:cs="微软雅黑"/>
          <w:kern w:val="0"/>
          <w:position w:val="-2"/>
          <w:szCs w:val="21"/>
        </w:rPr>
        <w:t>统一社会信用代码：</w:t>
      </w:r>
      <w:r>
        <w:rPr>
          <w:rFonts w:hint="eastAsia" w:ascii="宋体" w:hAnsi="宋体"/>
          <w:szCs w:val="21"/>
          <w:u w:val="single"/>
        </w:rPr>
        <w:t xml:space="preserve">                 </w:t>
      </w:r>
    </w:p>
    <w:p w14:paraId="71541C36">
      <w:pPr>
        <w:tabs>
          <w:tab w:val="left" w:pos="2400"/>
          <w:tab w:val="left" w:pos="3880"/>
          <w:tab w:val="left" w:pos="5340"/>
          <w:tab w:val="left" w:pos="6820"/>
        </w:tabs>
        <w:autoSpaceDE w:val="0"/>
        <w:autoSpaceDN w:val="0"/>
        <w:adjustRightInd w:val="0"/>
        <w:snapToGrid w:val="0"/>
        <w:spacing w:line="360" w:lineRule="auto"/>
        <w:ind w:left="100" w:right="-20"/>
        <w:jc w:val="left"/>
        <w:rPr>
          <w:rFonts w:ascii="宋体" w:hAnsi="宋体" w:cs="微软雅黑"/>
          <w:kern w:val="0"/>
          <w:position w:val="-2"/>
          <w:szCs w:val="21"/>
        </w:rPr>
      </w:pPr>
      <w:r>
        <w:rPr>
          <w:rFonts w:hint="eastAsia" w:ascii="宋体" w:hAnsi="宋体" w:cs="微软雅黑"/>
          <w:kern w:val="0"/>
          <w:position w:val="-2"/>
          <w:szCs w:val="21"/>
        </w:rPr>
        <w:t>注册地址：</w:t>
      </w:r>
      <w:r>
        <w:rPr>
          <w:rFonts w:hint="eastAsia" w:ascii="宋体" w:hAnsi="宋体"/>
          <w:szCs w:val="21"/>
          <w:u w:val="single"/>
        </w:rPr>
        <w:t xml:space="preserve">                 </w:t>
      </w:r>
    </w:p>
    <w:p w14:paraId="73BFCD59">
      <w:pPr>
        <w:tabs>
          <w:tab w:val="left" w:pos="2400"/>
          <w:tab w:val="left" w:pos="3880"/>
          <w:tab w:val="left" w:pos="5340"/>
          <w:tab w:val="left" w:pos="6820"/>
        </w:tabs>
        <w:autoSpaceDE w:val="0"/>
        <w:autoSpaceDN w:val="0"/>
        <w:adjustRightInd w:val="0"/>
        <w:snapToGrid w:val="0"/>
        <w:spacing w:line="360" w:lineRule="auto"/>
        <w:ind w:left="102" w:right="-23" w:firstLine="420" w:firstLineChars="200"/>
        <w:jc w:val="left"/>
        <w:rPr>
          <w:rFonts w:ascii="宋体" w:hAnsi="宋体" w:cs="微软雅黑"/>
          <w:kern w:val="0"/>
          <w:szCs w:val="21"/>
        </w:rPr>
      </w:pPr>
      <w:r>
        <w:rPr>
          <w:rFonts w:hint="eastAsia" w:ascii="宋体" w:hAnsi="宋体" w:cs="微软雅黑"/>
          <w:kern w:val="0"/>
          <w:position w:val="-2"/>
          <w:szCs w:val="21"/>
        </w:rPr>
        <w:t>姓名</w:t>
      </w:r>
      <w:r>
        <w:rPr>
          <w:rFonts w:hint="eastAsia" w:ascii="宋体" w:hAnsi="宋体" w:cs="微软雅黑"/>
          <w:spacing w:val="-2"/>
          <w:kern w:val="0"/>
          <w:position w:val="-2"/>
          <w:szCs w:val="21"/>
        </w:rPr>
        <w:t>：</w:t>
      </w:r>
      <w:r>
        <w:rPr>
          <w:rFonts w:hint="eastAsia" w:ascii="宋体" w:hAnsi="宋体"/>
          <w:szCs w:val="21"/>
          <w:u w:val="single"/>
        </w:rPr>
        <w:t xml:space="preserve">         </w:t>
      </w:r>
      <w:r>
        <w:rPr>
          <w:rFonts w:hint="eastAsia" w:ascii="宋体" w:hAnsi="宋体" w:cs="微软雅黑"/>
          <w:kern w:val="0"/>
          <w:position w:val="-2"/>
          <w:szCs w:val="21"/>
        </w:rPr>
        <w:t>性别</w:t>
      </w:r>
      <w:r>
        <w:rPr>
          <w:rFonts w:hint="eastAsia" w:ascii="宋体" w:hAnsi="宋体" w:cs="微软雅黑"/>
          <w:spacing w:val="-2"/>
          <w:kern w:val="0"/>
          <w:position w:val="-2"/>
          <w:szCs w:val="21"/>
        </w:rPr>
        <w:t>：</w:t>
      </w:r>
      <w:r>
        <w:rPr>
          <w:rFonts w:hint="eastAsia" w:ascii="宋体" w:hAnsi="宋体"/>
          <w:szCs w:val="21"/>
          <w:u w:val="single"/>
        </w:rPr>
        <w:t xml:space="preserve">         </w:t>
      </w:r>
      <w:r>
        <w:rPr>
          <w:rFonts w:hint="eastAsia" w:ascii="宋体" w:hAnsi="宋体" w:cs="微软雅黑"/>
          <w:kern w:val="0"/>
          <w:position w:val="-2"/>
          <w:szCs w:val="21"/>
        </w:rPr>
        <w:t>年</w:t>
      </w:r>
      <w:r>
        <w:rPr>
          <w:rFonts w:hint="eastAsia" w:ascii="宋体" w:hAnsi="宋体" w:cs="微软雅黑"/>
          <w:spacing w:val="-2"/>
          <w:kern w:val="0"/>
          <w:position w:val="-2"/>
          <w:szCs w:val="21"/>
        </w:rPr>
        <w:t>龄</w:t>
      </w:r>
      <w:r>
        <w:rPr>
          <w:rFonts w:hint="eastAsia" w:ascii="宋体" w:hAnsi="宋体" w:cs="微软雅黑"/>
          <w:kern w:val="0"/>
          <w:position w:val="-2"/>
          <w:szCs w:val="21"/>
        </w:rPr>
        <w:t>：</w:t>
      </w:r>
      <w:r>
        <w:rPr>
          <w:rFonts w:hint="eastAsia" w:ascii="宋体" w:hAnsi="宋体"/>
          <w:szCs w:val="21"/>
          <w:u w:val="single"/>
        </w:rPr>
        <w:t xml:space="preserve">         </w:t>
      </w:r>
      <w:r>
        <w:rPr>
          <w:rFonts w:hint="eastAsia" w:ascii="宋体" w:hAnsi="宋体" w:cs="微软雅黑"/>
          <w:kern w:val="0"/>
          <w:position w:val="-2"/>
          <w:szCs w:val="21"/>
        </w:rPr>
        <w:t>职</w:t>
      </w:r>
      <w:r>
        <w:rPr>
          <w:rFonts w:hint="eastAsia" w:ascii="宋体" w:hAnsi="宋体" w:cs="微软雅黑"/>
          <w:spacing w:val="-2"/>
          <w:kern w:val="0"/>
          <w:position w:val="-2"/>
          <w:szCs w:val="21"/>
        </w:rPr>
        <w:t>务</w:t>
      </w:r>
      <w:r>
        <w:rPr>
          <w:rFonts w:hint="eastAsia" w:ascii="宋体" w:hAnsi="宋体" w:cs="微软雅黑"/>
          <w:kern w:val="0"/>
          <w:position w:val="-2"/>
          <w:szCs w:val="21"/>
        </w:rPr>
        <w:t>：</w:t>
      </w:r>
      <w:r>
        <w:rPr>
          <w:rFonts w:hint="eastAsia" w:ascii="宋体" w:hAnsi="宋体"/>
          <w:szCs w:val="21"/>
          <w:u w:val="single"/>
        </w:rPr>
        <w:t xml:space="preserve">         </w:t>
      </w:r>
      <w:r>
        <w:rPr>
          <w:rFonts w:hint="eastAsia" w:ascii="宋体" w:hAnsi="宋体" w:cs="微软雅黑"/>
          <w:kern w:val="0"/>
          <w:position w:val="-2"/>
          <w:szCs w:val="21"/>
        </w:rPr>
        <w:t>系</w:t>
      </w:r>
      <w:r>
        <w:rPr>
          <w:rFonts w:hint="eastAsia" w:ascii="宋体" w:hAnsi="宋体"/>
          <w:szCs w:val="21"/>
          <w:u w:val="single"/>
        </w:rPr>
        <w:t xml:space="preserve">         </w:t>
      </w:r>
      <w:r>
        <w:rPr>
          <w:rFonts w:hint="eastAsia" w:ascii="宋体" w:hAnsi="宋体" w:cs="微软雅黑"/>
          <w:spacing w:val="-2"/>
          <w:kern w:val="0"/>
          <w:position w:val="-2"/>
          <w:szCs w:val="21"/>
        </w:rPr>
        <w:t>（</w:t>
      </w:r>
      <w:r>
        <w:rPr>
          <w:rFonts w:hint="eastAsia" w:ascii="宋体" w:hAnsi="宋体" w:cs="微软雅黑"/>
          <w:kern w:val="0"/>
          <w:position w:val="-2"/>
          <w:szCs w:val="21"/>
        </w:rPr>
        <w:t>投</w:t>
      </w:r>
      <w:r>
        <w:rPr>
          <w:rFonts w:hint="eastAsia" w:ascii="宋体" w:hAnsi="宋体" w:cs="微软雅黑"/>
          <w:spacing w:val="-2"/>
          <w:kern w:val="0"/>
          <w:position w:val="-2"/>
          <w:szCs w:val="21"/>
        </w:rPr>
        <w:t>标</w:t>
      </w:r>
      <w:r>
        <w:rPr>
          <w:rFonts w:hint="eastAsia" w:ascii="宋体" w:hAnsi="宋体" w:cs="微软雅黑"/>
          <w:kern w:val="0"/>
          <w:position w:val="-2"/>
          <w:szCs w:val="21"/>
        </w:rPr>
        <w:t>人</w:t>
      </w:r>
      <w:r>
        <w:rPr>
          <w:rFonts w:hint="eastAsia" w:ascii="宋体" w:hAnsi="宋体" w:cs="微软雅黑"/>
          <w:spacing w:val="-2"/>
          <w:kern w:val="0"/>
          <w:position w:val="-2"/>
          <w:szCs w:val="21"/>
        </w:rPr>
        <w:t>名</w:t>
      </w:r>
      <w:r>
        <w:rPr>
          <w:rFonts w:hint="eastAsia" w:ascii="宋体" w:hAnsi="宋体" w:cs="微软雅黑"/>
          <w:kern w:val="0"/>
          <w:position w:val="-2"/>
          <w:szCs w:val="21"/>
        </w:rPr>
        <w:t>称</w:t>
      </w:r>
      <w:r>
        <w:rPr>
          <w:rFonts w:hint="eastAsia" w:ascii="宋体" w:hAnsi="宋体" w:cs="微软雅黑"/>
          <w:spacing w:val="-2"/>
          <w:kern w:val="0"/>
          <w:position w:val="-2"/>
          <w:szCs w:val="21"/>
        </w:rPr>
        <w:t>）</w:t>
      </w:r>
      <w:r>
        <w:rPr>
          <w:rFonts w:hint="eastAsia" w:ascii="宋体" w:hAnsi="宋体" w:cs="微软雅黑"/>
          <w:kern w:val="0"/>
          <w:position w:val="-2"/>
          <w:szCs w:val="21"/>
        </w:rPr>
        <w:t>的</w:t>
      </w:r>
      <w:r>
        <w:rPr>
          <w:rFonts w:hint="eastAsia" w:ascii="宋体" w:hAnsi="宋体" w:cs="微软雅黑"/>
          <w:spacing w:val="-2"/>
          <w:kern w:val="0"/>
          <w:position w:val="-2"/>
          <w:szCs w:val="21"/>
        </w:rPr>
        <w:t>法定</w:t>
      </w:r>
      <w:r>
        <w:rPr>
          <w:rFonts w:hint="eastAsia" w:ascii="宋体" w:hAnsi="宋体" w:cs="微软雅黑"/>
          <w:kern w:val="0"/>
          <w:position w:val="-2"/>
          <w:szCs w:val="21"/>
        </w:rPr>
        <w:t>代表</w:t>
      </w:r>
      <w:r>
        <w:rPr>
          <w:rFonts w:hint="eastAsia" w:ascii="宋体" w:hAnsi="宋体" w:cs="微软雅黑"/>
          <w:spacing w:val="-2"/>
          <w:kern w:val="0"/>
          <w:position w:val="-2"/>
          <w:szCs w:val="21"/>
        </w:rPr>
        <w:t>人</w:t>
      </w:r>
      <w:r>
        <w:rPr>
          <w:rFonts w:hint="eastAsia" w:ascii="宋体" w:hAnsi="宋体" w:cs="微软雅黑"/>
          <w:kern w:val="0"/>
          <w:position w:val="-2"/>
          <w:szCs w:val="21"/>
        </w:rPr>
        <w:t>（</w:t>
      </w:r>
      <w:r>
        <w:rPr>
          <w:rFonts w:hint="eastAsia" w:ascii="宋体" w:hAnsi="宋体" w:cs="微软雅黑"/>
          <w:spacing w:val="-2"/>
          <w:kern w:val="0"/>
          <w:position w:val="-2"/>
          <w:szCs w:val="21"/>
        </w:rPr>
        <w:t>单</w:t>
      </w:r>
      <w:r>
        <w:rPr>
          <w:rFonts w:hint="eastAsia" w:ascii="宋体" w:hAnsi="宋体" w:cs="微软雅黑"/>
          <w:kern w:val="0"/>
          <w:position w:val="-2"/>
          <w:szCs w:val="21"/>
        </w:rPr>
        <w:t>位</w:t>
      </w:r>
      <w:r>
        <w:rPr>
          <w:rFonts w:hint="eastAsia" w:ascii="宋体" w:hAnsi="宋体" w:cs="微软雅黑"/>
          <w:spacing w:val="-2"/>
          <w:kern w:val="0"/>
          <w:position w:val="-2"/>
          <w:szCs w:val="21"/>
        </w:rPr>
        <w:t>负</w:t>
      </w:r>
      <w:r>
        <w:rPr>
          <w:rFonts w:hint="eastAsia" w:ascii="宋体" w:hAnsi="宋体" w:cs="微软雅黑"/>
          <w:kern w:val="0"/>
          <w:position w:val="-2"/>
          <w:szCs w:val="21"/>
        </w:rPr>
        <w:t>责</w:t>
      </w:r>
      <w:r>
        <w:rPr>
          <w:rFonts w:hint="eastAsia" w:ascii="宋体" w:hAnsi="宋体" w:cs="微软雅黑"/>
          <w:spacing w:val="-2"/>
          <w:kern w:val="0"/>
          <w:position w:val="-2"/>
          <w:szCs w:val="21"/>
        </w:rPr>
        <w:t>人</w:t>
      </w:r>
      <w:r>
        <w:rPr>
          <w:rFonts w:hint="eastAsia" w:ascii="宋体" w:hAnsi="宋体" w:cs="微软雅黑"/>
          <w:spacing w:val="-106"/>
          <w:kern w:val="0"/>
          <w:position w:val="-2"/>
          <w:szCs w:val="21"/>
        </w:rPr>
        <w:t>）</w:t>
      </w:r>
      <w:r>
        <w:rPr>
          <w:rFonts w:hint="eastAsia" w:ascii="宋体" w:hAnsi="宋体" w:cs="微软雅黑"/>
          <w:kern w:val="0"/>
          <w:position w:val="-2"/>
          <w:szCs w:val="21"/>
        </w:rPr>
        <w:t>。</w:t>
      </w:r>
    </w:p>
    <w:p w14:paraId="02892526">
      <w:pPr>
        <w:autoSpaceDE w:val="0"/>
        <w:autoSpaceDN w:val="0"/>
        <w:adjustRightInd w:val="0"/>
        <w:snapToGrid w:val="0"/>
        <w:spacing w:line="360" w:lineRule="auto"/>
        <w:ind w:left="520" w:right="-20"/>
        <w:jc w:val="left"/>
        <w:rPr>
          <w:rFonts w:ascii="宋体" w:hAnsi="宋体" w:cs="微软雅黑"/>
          <w:kern w:val="0"/>
          <w:szCs w:val="21"/>
        </w:rPr>
      </w:pPr>
      <w:r>
        <w:rPr>
          <w:rFonts w:hint="eastAsia" w:ascii="宋体" w:hAnsi="宋体" w:cs="微软雅黑"/>
          <w:kern w:val="0"/>
          <w:szCs w:val="21"/>
        </w:rPr>
        <w:t>特此</w:t>
      </w:r>
      <w:r>
        <w:rPr>
          <w:rFonts w:hint="eastAsia" w:ascii="宋体" w:hAnsi="宋体" w:cs="微软雅黑"/>
          <w:spacing w:val="-2"/>
          <w:kern w:val="0"/>
          <w:szCs w:val="21"/>
        </w:rPr>
        <w:t>证</w:t>
      </w:r>
      <w:r>
        <w:rPr>
          <w:rFonts w:hint="eastAsia" w:ascii="宋体" w:hAnsi="宋体" w:cs="微软雅黑"/>
          <w:kern w:val="0"/>
          <w:szCs w:val="21"/>
        </w:rPr>
        <w:t>明。</w:t>
      </w:r>
    </w:p>
    <w:p w14:paraId="6757F75B">
      <w:pPr>
        <w:autoSpaceDE w:val="0"/>
        <w:autoSpaceDN w:val="0"/>
        <w:adjustRightInd w:val="0"/>
        <w:snapToGrid w:val="0"/>
        <w:spacing w:line="360" w:lineRule="auto"/>
        <w:ind w:left="100" w:right="4231"/>
        <w:jc w:val="left"/>
        <w:rPr>
          <w:rFonts w:ascii="宋体" w:hAnsi="宋体" w:cs="微软雅黑"/>
          <w:kern w:val="0"/>
          <w:szCs w:val="21"/>
        </w:rPr>
      </w:pPr>
      <w:r>
        <w:rPr>
          <w:rFonts w:hint="eastAsia" w:ascii="宋体" w:hAnsi="宋体" w:cs="微软雅黑"/>
          <w:kern w:val="0"/>
          <w:szCs w:val="21"/>
        </w:rPr>
        <w:t>附：</w:t>
      </w: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cs="微软雅黑"/>
          <w:kern w:val="0"/>
          <w:szCs w:val="21"/>
        </w:rPr>
        <w:t>身</w:t>
      </w:r>
      <w:r>
        <w:rPr>
          <w:rFonts w:hint="eastAsia" w:ascii="宋体" w:hAnsi="宋体" w:cs="微软雅黑"/>
          <w:spacing w:val="-2"/>
          <w:kern w:val="0"/>
          <w:szCs w:val="21"/>
        </w:rPr>
        <w:t>份</w:t>
      </w:r>
      <w:r>
        <w:rPr>
          <w:rFonts w:hint="eastAsia" w:ascii="宋体" w:hAnsi="宋体" w:cs="微软雅黑"/>
          <w:kern w:val="0"/>
          <w:szCs w:val="21"/>
        </w:rPr>
        <w:t>证</w:t>
      </w:r>
      <w:r>
        <w:rPr>
          <w:rFonts w:hint="eastAsia" w:ascii="宋体" w:hAnsi="宋体" w:cs="微软雅黑"/>
          <w:spacing w:val="-2"/>
          <w:kern w:val="0"/>
          <w:szCs w:val="21"/>
        </w:rPr>
        <w:t>扫描件</w:t>
      </w:r>
      <w:r>
        <w:rPr>
          <w:rFonts w:hint="eastAsia" w:ascii="宋体" w:hAnsi="宋体" w:cs="微软雅黑"/>
          <w:kern w:val="0"/>
          <w:szCs w:val="21"/>
        </w:rPr>
        <w:t>。</w:t>
      </w:r>
    </w:p>
    <w:tbl>
      <w:tblPr>
        <w:tblStyle w:val="41"/>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57567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65" w:hRule="atLeast"/>
        </w:trPr>
        <w:tc>
          <w:tcPr>
            <w:tcW w:w="3898" w:type="dxa"/>
            <w:noWrap/>
            <w:vAlign w:val="center"/>
          </w:tcPr>
          <w:p w14:paraId="64DC186A">
            <w:pPr>
              <w:adjustRightInd w:val="0"/>
              <w:snapToGrid w:val="0"/>
              <w:spacing w:line="360" w:lineRule="auto"/>
              <w:jc w:val="center"/>
              <w:rPr>
                <w:rFonts w:ascii="宋体" w:hAnsi="宋体"/>
                <w:szCs w:val="21"/>
              </w:rPr>
            </w:pPr>
            <w:r>
              <w:rPr>
                <w:rFonts w:hint="eastAsia" w:ascii="宋体" w:hAnsi="宋体"/>
                <w:szCs w:val="21"/>
              </w:rPr>
              <w:t>身份证（正面）</w:t>
            </w:r>
            <w:r>
              <w:rPr>
                <w:rFonts w:hint="eastAsia" w:ascii="宋体" w:hAnsi="宋体" w:cs="微软雅黑"/>
                <w:spacing w:val="-2"/>
                <w:kern w:val="0"/>
                <w:szCs w:val="21"/>
              </w:rPr>
              <w:t>扫描件</w:t>
            </w:r>
          </w:p>
        </w:tc>
        <w:tc>
          <w:tcPr>
            <w:tcW w:w="3899" w:type="dxa"/>
            <w:noWrap/>
            <w:vAlign w:val="center"/>
          </w:tcPr>
          <w:p w14:paraId="132E7880">
            <w:pPr>
              <w:adjustRightInd w:val="0"/>
              <w:snapToGrid w:val="0"/>
              <w:spacing w:line="360" w:lineRule="auto"/>
              <w:jc w:val="center"/>
              <w:rPr>
                <w:rFonts w:ascii="宋体" w:hAnsi="宋体"/>
                <w:szCs w:val="21"/>
              </w:rPr>
            </w:pPr>
            <w:r>
              <w:rPr>
                <w:rFonts w:hint="eastAsia" w:ascii="宋体" w:hAnsi="宋体"/>
                <w:szCs w:val="21"/>
              </w:rPr>
              <w:t>身份证（反面）</w:t>
            </w:r>
            <w:r>
              <w:rPr>
                <w:rFonts w:hint="eastAsia" w:ascii="宋体" w:hAnsi="宋体" w:cs="微软雅黑"/>
                <w:spacing w:val="-2"/>
                <w:kern w:val="0"/>
                <w:szCs w:val="21"/>
              </w:rPr>
              <w:t>扫描件</w:t>
            </w:r>
          </w:p>
        </w:tc>
      </w:tr>
    </w:tbl>
    <w:p w14:paraId="2650B241">
      <w:pPr>
        <w:adjustRightInd w:val="0"/>
        <w:snapToGrid w:val="0"/>
        <w:spacing w:line="360" w:lineRule="auto"/>
        <w:rPr>
          <w:rFonts w:ascii="宋体" w:hAnsi="宋体"/>
          <w:szCs w:val="21"/>
        </w:rPr>
      </w:pPr>
    </w:p>
    <w:p w14:paraId="5A172611">
      <w:pPr>
        <w:adjustRightInd w:val="0"/>
        <w:snapToGrid w:val="0"/>
        <w:spacing w:line="360" w:lineRule="auto"/>
        <w:rPr>
          <w:rFonts w:ascii="宋体" w:hAnsi="宋体"/>
          <w:szCs w:val="21"/>
        </w:rPr>
      </w:pPr>
      <w:r>
        <w:rPr>
          <w:rFonts w:hint="eastAsia" w:ascii="宋体" w:hAnsi="宋体"/>
          <w:szCs w:val="21"/>
        </w:rPr>
        <w:t>注：投标人代表为法定代表人（单位负责人）的提供。自然人投标的无需提供。</w:t>
      </w:r>
    </w:p>
    <w:p w14:paraId="583F3B89">
      <w:pPr>
        <w:adjustRightInd w:val="0"/>
        <w:snapToGrid w:val="0"/>
        <w:spacing w:line="360" w:lineRule="auto"/>
        <w:rPr>
          <w:rFonts w:ascii="宋体" w:hAnsi="宋体"/>
          <w:szCs w:val="21"/>
        </w:rPr>
      </w:pPr>
    </w:p>
    <w:p w14:paraId="2068E39D">
      <w:pPr>
        <w:adjustRightInd w:val="0"/>
        <w:snapToGrid w:val="0"/>
        <w:spacing w:line="360" w:lineRule="auto"/>
        <w:rPr>
          <w:rFonts w:ascii="宋体" w:hAnsi="宋体"/>
          <w:szCs w:val="21"/>
        </w:rPr>
      </w:pPr>
      <w:r>
        <w:rPr>
          <w:rFonts w:hint="eastAsia" w:ascii="宋体" w:hAnsi="宋体"/>
          <w:szCs w:val="21"/>
        </w:rPr>
        <w:t>投标人名称（盖单位章）：</w:t>
      </w:r>
      <w:r>
        <w:rPr>
          <w:rFonts w:hint="eastAsia" w:ascii="宋体" w:hAnsi="宋体"/>
          <w:szCs w:val="21"/>
          <w:u w:val="single"/>
        </w:rPr>
        <w:t xml:space="preserve">                 </w:t>
      </w:r>
    </w:p>
    <w:p w14:paraId="5B7EF63C">
      <w:pPr>
        <w:adjustRightInd w:val="0"/>
        <w:snapToGrid w:val="0"/>
        <w:spacing w:line="360" w:lineRule="auto"/>
        <w:ind w:right="420"/>
        <w:rPr>
          <w:rFonts w:ascii="宋体" w:hAnsi="宋体"/>
          <w:szCs w:val="21"/>
        </w:rPr>
      </w:pPr>
      <w:r>
        <w:rPr>
          <w:rFonts w:hint="eastAsia" w:ascii="宋体" w:hAnsi="宋体" w:cs="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535955B9">
      <w:pPr>
        <w:adjustRightInd w:val="0"/>
        <w:snapToGrid w:val="0"/>
        <w:spacing w:line="360" w:lineRule="auto"/>
      </w:pPr>
    </w:p>
    <w:p w14:paraId="6456C4FC">
      <w:pPr>
        <w:widowControl/>
        <w:jc w:val="left"/>
      </w:pPr>
      <w:r>
        <w:br w:type="page"/>
      </w:r>
    </w:p>
    <w:p w14:paraId="2B278E5A">
      <w:pPr>
        <w:pStyle w:val="4"/>
        <w:adjustRightInd w:val="0"/>
        <w:snapToGrid w:val="0"/>
        <w:spacing w:before="0" w:after="0" w:line="360" w:lineRule="auto"/>
        <w:jc w:val="center"/>
        <w:rPr>
          <w:rFonts w:ascii="黑体" w:hAnsi="宋体" w:eastAsia="黑体"/>
          <w:sz w:val="28"/>
          <w:szCs w:val="28"/>
        </w:rPr>
      </w:pPr>
      <w:bookmarkStart w:id="131" w:name="_Toc20651247"/>
      <w:r>
        <w:rPr>
          <w:rFonts w:hint="eastAsia" w:ascii="黑体" w:hAnsi="宋体" w:eastAsia="黑体"/>
          <w:sz w:val="28"/>
          <w:szCs w:val="28"/>
        </w:rPr>
        <w:t>三、授权委托书</w:t>
      </w:r>
      <w:bookmarkEnd w:id="131"/>
    </w:p>
    <w:p w14:paraId="29F4CA99">
      <w:pPr>
        <w:autoSpaceDE w:val="0"/>
        <w:autoSpaceDN w:val="0"/>
        <w:adjustRightInd w:val="0"/>
        <w:snapToGrid w:val="0"/>
        <w:spacing w:line="360" w:lineRule="auto"/>
        <w:ind w:firstLine="420" w:firstLineChars="200"/>
        <w:jc w:val="left"/>
        <w:rPr>
          <w:rFonts w:ascii="宋体" w:hAnsi="宋体" w:cs="宋体"/>
          <w:kern w:val="0"/>
          <w:szCs w:val="21"/>
        </w:rPr>
      </w:pPr>
    </w:p>
    <w:p w14:paraId="0B29F20F">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本人</w:t>
      </w:r>
      <w:r>
        <w:rPr>
          <w:rFonts w:hint="eastAsia" w:ascii="宋体" w:hAnsi="宋体" w:cs="宋体"/>
          <w:kern w:val="0"/>
          <w:szCs w:val="21"/>
          <w:u w:val="single"/>
        </w:rPr>
        <w:t xml:space="preserve">          </w:t>
      </w:r>
      <w:r>
        <w:rPr>
          <w:rFonts w:hint="eastAsia" w:ascii="宋体" w:hAnsi="宋体" w:cs="宋体"/>
          <w:kern w:val="0"/>
          <w:szCs w:val="21"/>
        </w:rPr>
        <w:t>（姓名、职务）系</w:t>
      </w:r>
      <w:r>
        <w:rPr>
          <w:rFonts w:hint="eastAsia" w:ascii="宋体" w:hAnsi="宋体" w:cs="宋体"/>
          <w:kern w:val="0"/>
          <w:szCs w:val="21"/>
          <w:u w:val="single"/>
        </w:rPr>
        <w:t xml:space="preserve">                        </w:t>
      </w:r>
      <w:r>
        <w:rPr>
          <w:rFonts w:hint="eastAsia" w:ascii="宋体" w:hAnsi="宋体" w:cs="宋体"/>
          <w:kern w:val="0"/>
          <w:szCs w:val="21"/>
        </w:rPr>
        <w:t xml:space="preserve"> （</w:t>
      </w:r>
      <w:r>
        <w:rPr>
          <w:rFonts w:hint="eastAsia" w:ascii="宋体" w:hAnsi="宋体"/>
          <w:szCs w:val="21"/>
        </w:rPr>
        <w:t>投标人</w:t>
      </w:r>
      <w:r>
        <w:rPr>
          <w:rFonts w:hint="eastAsia" w:ascii="宋体" w:hAnsi="宋体" w:cs="宋体"/>
          <w:kern w:val="0"/>
          <w:szCs w:val="21"/>
        </w:rPr>
        <w:t>名称）的法定代表人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cs="宋体"/>
          <w:kern w:val="0"/>
          <w:szCs w:val="21"/>
        </w:rPr>
        <w:t>，现授权</w:t>
      </w:r>
      <w:r>
        <w:rPr>
          <w:rFonts w:hint="eastAsia" w:ascii="宋体" w:hAnsi="宋体" w:cs="宋体"/>
          <w:kern w:val="0"/>
          <w:szCs w:val="21"/>
          <w:u w:val="single"/>
        </w:rPr>
        <w:t xml:space="preserve">           </w:t>
      </w:r>
      <w:r>
        <w:rPr>
          <w:rFonts w:hint="eastAsia" w:ascii="宋体" w:hAnsi="宋体" w:cs="宋体"/>
          <w:kern w:val="0"/>
          <w:szCs w:val="21"/>
        </w:rPr>
        <w:t>（姓名、职务）为我方代理人。代理人根据授权，以我方名义签署、澄清、说明、补正、递交、撤回、修改</w:t>
      </w:r>
      <w:r>
        <w:rPr>
          <w:rFonts w:hint="eastAsia" w:ascii="宋体" w:hAnsi="宋体" w:cs="宋体"/>
          <w:kern w:val="0"/>
          <w:szCs w:val="21"/>
          <w:u w:val="single"/>
        </w:rPr>
        <w:t xml:space="preserve">              </w:t>
      </w:r>
      <w:r>
        <w:rPr>
          <w:rFonts w:hint="eastAsia" w:ascii="宋体" w:hAnsi="宋体" w:cs="宋体"/>
          <w:kern w:val="0"/>
          <w:szCs w:val="21"/>
        </w:rPr>
        <w:t>（项目名称</w:t>
      </w:r>
      <w:r>
        <w:rPr>
          <w:rFonts w:ascii="宋体" w:hAnsi="宋体" w:cs="宋体"/>
          <w:kern w:val="0"/>
          <w:szCs w:val="21"/>
        </w:rPr>
        <w:t>）</w:t>
      </w:r>
      <w:r>
        <w:rPr>
          <w:rFonts w:hint="eastAsia" w:ascii="宋体" w:hAnsi="宋体" w:cs="宋体"/>
          <w:kern w:val="0"/>
          <w:szCs w:val="21"/>
        </w:rPr>
        <w:t>（</w:t>
      </w:r>
      <w:r>
        <w:rPr>
          <w:rFonts w:hint="eastAsia" w:ascii="宋体" w:hAnsi="宋体"/>
        </w:rPr>
        <w:t>政府</w:t>
      </w:r>
      <w:r>
        <w:rPr>
          <w:rFonts w:hint="eastAsia" w:ascii="宋体" w:hAnsi="宋体"/>
          <w:iCs/>
        </w:rPr>
        <w:t>采购编号：</w:t>
      </w:r>
      <w:r>
        <w:rPr>
          <w:rFonts w:hint="eastAsia" w:ascii="宋体" w:hAnsi="宋体"/>
          <w:iCs/>
          <w:u w:val="single"/>
        </w:rPr>
        <w:t xml:space="preserve">       </w:t>
      </w:r>
      <w:r>
        <w:rPr>
          <w:rFonts w:hint="eastAsia" w:ascii="宋体" w:hAnsi="宋体"/>
          <w:iCs/>
        </w:rPr>
        <w:t xml:space="preserve"> ，</w:t>
      </w:r>
      <w:r>
        <w:rPr>
          <w:rFonts w:hint="eastAsia" w:ascii="宋体" w:hAnsi="宋体" w:cs="宋体"/>
          <w:kern w:val="0"/>
          <w:szCs w:val="21"/>
        </w:rPr>
        <w:t>采购代理编号：</w:t>
      </w:r>
      <w:r>
        <w:rPr>
          <w:rFonts w:hint="eastAsia" w:ascii="宋体" w:hAnsi="宋体" w:cs="宋体"/>
          <w:kern w:val="0"/>
          <w:szCs w:val="21"/>
          <w:u w:val="single"/>
        </w:rPr>
        <w:t xml:space="preserve">       </w:t>
      </w:r>
      <w:r>
        <w:rPr>
          <w:rFonts w:hint="eastAsia" w:ascii="宋体" w:hAnsi="宋体" w:cs="宋体"/>
          <w:kern w:val="0"/>
          <w:szCs w:val="21"/>
        </w:rPr>
        <w:t>）投标文件、签订合同和处理有关事宜，其法律后果由我方承担。</w:t>
      </w:r>
    </w:p>
    <w:p w14:paraId="7B17CEBF">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委托期限：</w:t>
      </w:r>
      <w:r>
        <w:rPr>
          <w:rFonts w:hint="eastAsia" w:ascii="宋体" w:hAnsi="宋体" w:cs="宋体"/>
          <w:kern w:val="0"/>
          <w:szCs w:val="21"/>
          <w:u w:val="single"/>
        </w:rPr>
        <w:t xml:space="preserve">                                     </w:t>
      </w:r>
      <w:r>
        <w:rPr>
          <w:rFonts w:hint="eastAsia" w:ascii="宋体" w:hAnsi="宋体" w:cs="宋体"/>
          <w:kern w:val="0"/>
          <w:szCs w:val="21"/>
        </w:rPr>
        <w:t xml:space="preserve"> 。</w:t>
      </w:r>
    </w:p>
    <w:p w14:paraId="64DABD0E">
      <w:pPr>
        <w:adjustRightInd w:val="0"/>
        <w:snapToGrid w:val="0"/>
        <w:spacing w:line="360" w:lineRule="auto"/>
        <w:ind w:firstLine="435"/>
        <w:rPr>
          <w:rFonts w:ascii="宋体" w:hAnsi="宋体" w:cs="宋体"/>
          <w:kern w:val="0"/>
          <w:szCs w:val="21"/>
        </w:rPr>
      </w:pPr>
      <w:r>
        <w:rPr>
          <w:rFonts w:hint="eastAsia" w:ascii="宋体" w:hAnsi="宋体" w:cs="宋体"/>
          <w:kern w:val="0"/>
          <w:szCs w:val="21"/>
        </w:rPr>
        <w:t>代理人无转委托权。</w:t>
      </w:r>
    </w:p>
    <w:p w14:paraId="5443F2DE">
      <w:pPr>
        <w:adjustRightInd w:val="0"/>
        <w:snapToGrid w:val="0"/>
        <w:spacing w:line="360" w:lineRule="auto"/>
        <w:ind w:firstLine="435"/>
        <w:rPr>
          <w:rFonts w:ascii="宋体" w:hAnsi="宋体" w:cs="微软雅黑"/>
          <w:kern w:val="0"/>
          <w:szCs w:val="21"/>
        </w:rPr>
      </w:pPr>
      <w:r>
        <w:rPr>
          <w:rFonts w:hint="eastAsia" w:ascii="宋体" w:hAnsi="宋体"/>
          <w:szCs w:val="21"/>
        </w:rPr>
        <w:t>本授权书于</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日签字生效，特此声明。</w:t>
      </w:r>
    </w:p>
    <w:tbl>
      <w:tblPr>
        <w:tblStyle w:val="41"/>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638F4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noWrap/>
            <w:vAlign w:val="center"/>
          </w:tcPr>
          <w:p w14:paraId="3CB7251A">
            <w:pPr>
              <w:adjustRightInd w:val="0"/>
              <w:snapToGrid w:val="0"/>
              <w:spacing w:line="360" w:lineRule="auto"/>
              <w:jc w:val="center"/>
              <w:rPr>
                <w:rFonts w:ascii="宋体" w:hAnsi="宋体"/>
                <w:szCs w:val="21"/>
              </w:rPr>
            </w:pPr>
            <w:r>
              <w:rPr>
                <w:rFonts w:hint="eastAsia" w:ascii="宋体" w:hAnsi="宋体"/>
                <w:szCs w:val="21"/>
              </w:rPr>
              <w:t>身份证（正面）</w:t>
            </w:r>
            <w:r>
              <w:rPr>
                <w:rFonts w:hint="eastAsia" w:ascii="宋体" w:hAnsi="宋体" w:cs="微软雅黑"/>
                <w:spacing w:val="-2"/>
                <w:kern w:val="0"/>
                <w:szCs w:val="21"/>
              </w:rPr>
              <w:t>扫描件</w:t>
            </w:r>
          </w:p>
        </w:tc>
        <w:tc>
          <w:tcPr>
            <w:tcW w:w="3899" w:type="dxa"/>
            <w:noWrap/>
            <w:vAlign w:val="center"/>
          </w:tcPr>
          <w:p w14:paraId="0D754B93">
            <w:pPr>
              <w:adjustRightInd w:val="0"/>
              <w:snapToGrid w:val="0"/>
              <w:spacing w:line="360" w:lineRule="auto"/>
              <w:jc w:val="center"/>
              <w:rPr>
                <w:rFonts w:ascii="宋体" w:hAnsi="宋体"/>
                <w:szCs w:val="21"/>
              </w:rPr>
            </w:pPr>
            <w:r>
              <w:rPr>
                <w:rFonts w:hint="eastAsia" w:ascii="宋体" w:hAnsi="宋体"/>
                <w:szCs w:val="21"/>
              </w:rPr>
              <w:t>身份证（反面）</w:t>
            </w:r>
            <w:r>
              <w:rPr>
                <w:rFonts w:hint="eastAsia" w:ascii="宋体" w:hAnsi="宋体" w:cs="微软雅黑"/>
                <w:spacing w:val="-2"/>
                <w:kern w:val="0"/>
                <w:szCs w:val="21"/>
              </w:rPr>
              <w:t>扫描件</w:t>
            </w:r>
          </w:p>
        </w:tc>
      </w:tr>
    </w:tbl>
    <w:p w14:paraId="44B1930C">
      <w:pPr>
        <w:adjustRightInd w:val="0"/>
        <w:snapToGrid w:val="0"/>
        <w:spacing w:line="360" w:lineRule="auto"/>
        <w:ind w:firstLine="420" w:firstLineChars="200"/>
        <w:rPr>
          <w:rFonts w:ascii="宋体" w:hAnsi="宋体"/>
          <w:szCs w:val="21"/>
        </w:rPr>
      </w:pPr>
    </w:p>
    <w:p w14:paraId="5F235FDA">
      <w:pPr>
        <w:adjustRightInd w:val="0"/>
        <w:snapToGrid w:val="0"/>
        <w:spacing w:line="360" w:lineRule="auto"/>
        <w:ind w:firstLine="420" w:firstLineChars="200"/>
        <w:rPr>
          <w:rFonts w:ascii="宋体" w:hAnsi="宋体"/>
          <w:szCs w:val="21"/>
        </w:rPr>
      </w:pPr>
    </w:p>
    <w:p w14:paraId="5522C8A5">
      <w:pPr>
        <w:adjustRightInd w:val="0"/>
        <w:snapToGrid w:val="0"/>
        <w:spacing w:line="360" w:lineRule="auto"/>
        <w:rPr>
          <w:rFonts w:ascii="宋体" w:hAnsi="宋体"/>
          <w:szCs w:val="21"/>
        </w:rPr>
      </w:pPr>
      <w:r>
        <w:rPr>
          <w:rFonts w:hint="eastAsia" w:ascii="宋体" w:hAnsi="宋体"/>
          <w:szCs w:val="21"/>
        </w:rPr>
        <w:t>注：投标人代表不是投标人的法定代表人（单位负责人）的提供。自然人投标的无需提供。</w:t>
      </w:r>
    </w:p>
    <w:p w14:paraId="1AF0FAEB">
      <w:pPr>
        <w:adjustRightInd w:val="0"/>
        <w:snapToGrid w:val="0"/>
        <w:spacing w:line="360" w:lineRule="auto"/>
        <w:ind w:firstLine="420" w:firstLineChars="200"/>
        <w:rPr>
          <w:rFonts w:ascii="宋体" w:hAnsi="宋体"/>
          <w:szCs w:val="21"/>
        </w:rPr>
      </w:pPr>
    </w:p>
    <w:p w14:paraId="303BE989">
      <w:pPr>
        <w:adjustRightInd w:val="0"/>
        <w:snapToGrid w:val="0"/>
        <w:spacing w:line="360" w:lineRule="auto"/>
        <w:ind w:firstLine="420" w:firstLineChars="200"/>
        <w:rPr>
          <w:rFonts w:ascii="宋体" w:hAnsi="宋体"/>
          <w:szCs w:val="21"/>
        </w:rPr>
      </w:pPr>
    </w:p>
    <w:p w14:paraId="1E708FF6">
      <w:pPr>
        <w:adjustRightInd w:val="0"/>
        <w:snapToGrid w:val="0"/>
        <w:spacing w:line="360" w:lineRule="auto"/>
        <w:rPr>
          <w:rFonts w:ascii="宋体" w:hAnsi="宋体"/>
          <w:szCs w:val="21"/>
        </w:rPr>
      </w:pPr>
      <w:r>
        <w:rPr>
          <w:rFonts w:hint="eastAsia" w:ascii="宋体" w:hAnsi="宋体"/>
          <w:szCs w:val="21"/>
        </w:rPr>
        <w:t>投标人名称（盖单位章）：</w:t>
      </w:r>
    </w:p>
    <w:p w14:paraId="48EC4FFE">
      <w:pPr>
        <w:adjustRightInd w:val="0"/>
        <w:snapToGrid w:val="0"/>
        <w:spacing w:line="360" w:lineRule="auto"/>
        <w:ind w:right="420"/>
        <w:rPr>
          <w:rFonts w:ascii="宋体" w:hAnsi="宋体"/>
          <w:szCs w:val="21"/>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（签字或印章）：</w:t>
      </w:r>
      <w:r>
        <w:rPr>
          <w:rFonts w:hint="eastAsia" w:ascii="宋体" w:hAnsi="宋体"/>
          <w:szCs w:val="21"/>
          <w:u w:val="single"/>
        </w:rPr>
        <w:t xml:space="preserve">                     </w:t>
      </w:r>
    </w:p>
    <w:p w14:paraId="52D11C3E">
      <w:pPr>
        <w:adjustRightInd w:val="0"/>
        <w:snapToGrid w:val="0"/>
        <w:spacing w:line="360" w:lineRule="auto"/>
        <w:ind w:right="420"/>
        <w:rPr>
          <w:rFonts w:ascii="宋体" w:hAnsi="宋体"/>
          <w:szCs w:val="21"/>
        </w:rPr>
      </w:pPr>
      <w:r>
        <w:rPr>
          <w:rFonts w:hint="eastAsia" w:ascii="宋体" w:hAnsi="宋体"/>
          <w:szCs w:val="21"/>
        </w:rPr>
        <w:t>委托代理人（签字或印章）：</w:t>
      </w:r>
      <w:r>
        <w:rPr>
          <w:rFonts w:hint="eastAsia" w:ascii="宋体" w:hAnsi="宋体"/>
          <w:szCs w:val="21"/>
          <w:u w:val="single"/>
        </w:rPr>
        <w:t xml:space="preserve">                     </w:t>
      </w:r>
    </w:p>
    <w:p w14:paraId="3920F34F">
      <w:pPr>
        <w:adjustRightInd w:val="0"/>
        <w:snapToGrid w:val="0"/>
        <w:spacing w:line="360" w:lineRule="auto"/>
        <w:ind w:right="420"/>
        <w:rPr>
          <w:rFonts w:ascii="宋体" w:hAnsi="宋体"/>
          <w:szCs w:val="21"/>
        </w:rPr>
      </w:pPr>
      <w:r>
        <w:rPr>
          <w:rFonts w:hint="eastAsia" w:ascii="宋体" w:hAnsi="宋体" w:cs="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05B0E33C">
      <w:pPr>
        <w:adjustRightInd w:val="0"/>
        <w:snapToGrid w:val="0"/>
        <w:spacing w:line="360" w:lineRule="auto"/>
        <w:jc w:val="left"/>
        <w:rPr>
          <w:rFonts w:ascii="黑体" w:hAnsi="黑体" w:eastAsia="黑体"/>
          <w:bCs/>
          <w:sz w:val="28"/>
          <w:szCs w:val="28"/>
        </w:rPr>
      </w:pPr>
      <w:r>
        <w:rPr>
          <w:rFonts w:ascii="黑体" w:hAnsi="黑体" w:eastAsia="黑体"/>
          <w:bCs/>
          <w:sz w:val="28"/>
          <w:szCs w:val="28"/>
        </w:rPr>
        <w:br w:type="page"/>
      </w:r>
    </w:p>
    <w:p w14:paraId="0426C993">
      <w:pPr>
        <w:pStyle w:val="4"/>
        <w:adjustRightInd w:val="0"/>
        <w:snapToGrid w:val="0"/>
        <w:spacing w:before="0" w:after="0" w:line="360" w:lineRule="auto"/>
        <w:jc w:val="center"/>
        <w:rPr>
          <w:rFonts w:ascii="黑体" w:hAnsi="宋体" w:eastAsia="黑体"/>
          <w:sz w:val="28"/>
          <w:szCs w:val="28"/>
        </w:rPr>
      </w:pPr>
      <w:bookmarkStart w:id="132" w:name="_Toc20651248"/>
      <w:r>
        <w:rPr>
          <w:rFonts w:hint="eastAsia" w:ascii="黑体" w:hAnsi="宋体" w:eastAsia="黑体"/>
          <w:sz w:val="28"/>
          <w:szCs w:val="28"/>
        </w:rPr>
        <w:t>四、投标人提供的资格证明文件</w:t>
      </w:r>
      <w:bookmarkEnd w:id="132"/>
    </w:p>
    <w:p w14:paraId="0A7C1005">
      <w:pPr>
        <w:pStyle w:val="25"/>
        <w:adjustRightInd w:val="0"/>
        <w:snapToGrid w:val="0"/>
        <w:spacing w:line="360" w:lineRule="auto"/>
        <w:jc w:val="center"/>
        <w:rPr>
          <w:rFonts w:hAnsi="宋体"/>
          <w:b/>
          <w:bCs/>
          <w:sz w:val="24"/>
          <w:szCs w:val="24"/>
        </w:rPr>
      </w:pPr>
    </w:p>
    <w:p w14:paraId="61F23377">
      <w:pPr>
        <w:pStyle w:val="25"/>
        <w:adjustRightInd w:val="0"/>
        <w:snapToGrid w:val="0"/>
        <w:spacing w:line="360" w:lineRule="auto"/>
        <w:jc w:val="center"/>
        <w:rPr>
          <w:rFonts w:ascii="黑体" w:hAnsi="黑体" w:eastAsia="黑体"/>
          <w:b/>
          <w:bCs/>
          <w:sz w:val="28"/>
          <w:szCs w:val="28"/>
        </w:rPr>
      </w:pPr>
      <w:r>
        <w:rPr>
          <w:rFonts w:hint="eastAsia" w:ascii="黑体" w:hAnsi="黑体" w:eastAsia="黑体"/>
          <w:b/>
          <w:bCs/>
          <w:sz w:val="28"/>
          <w:szCs w:val="28"/>
        </w:rPr>
        <w:t>须  知</w:t>
      </w:r>
    </w:p>
    <w:p w14:paraId="60D97C83">
      <w:pPr>
        <w:tabs>
          <w:tab w:val="left" w:pos="4725"/>
        </w:tabs>
        <w:adjustRightInd w:val="0"/>
        <w:snapToGrid w:val="0"/>
        <w:spacing w:beforeLines="50" w:line="360" w:lineRule="auto"/>
        <w:ind w:firstLine="420" w:firstLineChars="200"/>
        <w:rPr>
          <w:rFonts w:ascii="宋体" w:hAnsi="宋体"/>
          <w:bCs/>
          <w:szCs w:val="21"/>
        </w:rPr>
      </w:pPr>
      <w:r>
        <w:rPr>
          <w:rFonts w:hint="eastAsia" w:ascii="宋体" w:hAnsi="宋体"/>
          <w:bCs/>
          <w:szCs w:val="21"/>
        </w:rPr>
        <w:t>1、投标人应按第三章资格审查要求提供资格证明材料</w:t>
      </w:r>
    </w:p>
    <w:p w14:paraId="6ABD2559">
      <w:pPr>
        <w:tabs>
          <w:tab w:val="left" w:pos="4725"/>
        </w:tabs>
        <w:adjustRightInd w:val="0"/>
        <w:snapToGrid w:val="0"/>
        <w:spacing w:beforeLines="50" w:line="360" w:lineRule="auto"/>
        <w:ind w:firstLine="735" w:firstLineChars="350"/>
        <w:rPr>
          <w:rFonts w:ascii="宋体" w:hAnsi="宋体"/>
          <w:szCs w:val="21"/>
        </w:rPr>
      </w:pPr>
      <w:r>
        <w:rPr>
          <w:rFonts w:hint="eastAsia" w:ascii="宋体" w:hAnsi="宋体"/>
          <w:szCs w:val="21"/>
        </w:rPr>
        <w:t>附页4-1 符合基本资格条件的证明材料或者情况说明（法人、或者其他组织的营业执照等主体资格证明文件，自然人的身份证明，信用查询记录、财务状况报告、依法缴纳税收和社会保险费的相关证明、履行本项目采购合同所必须的设备和专业技术能力证明材料等）</w:t>
      </w:r>
    </w:p>
    <w:p w14:paraId="7C980B02">
      <w:pPr>
        <w:tabs>
          <w:tab w:val="left" w:pos="4725"/>
        </w:tabs>
        <w:adjustRightInd w:val="0"/>
        <w:snapToGrid w:val="0"/>
        <w:spacing w:beforeLines="50" w:line="360" w:lineRule="auto"/>
        <w:ind w:firstLine="735" w:firstLineChars="350"/>
        <w:rPr>
          <w:rFonts w:ascii="宋体" w:hAnsi="宋体"/>
          <w:szCs w:val="21"/>
        </w:rPr>
      </w:pPr>
      <w:r>
        <w:rPr>
          <w:rFonts w:hint="eastAsia" w:ascii="宋体" w:hAnsi="宋体"/>
          <w:szCs w:val="21"/>
        </w:rPr>
        <w:t>附件4-2 投标人资格声明(格式)</w:t>
      </w:r>
    </w:p>
    <w:p w14:paraId="59DABBF8">
      <w:pPr>
        <w:tabs>
          <w:tab w:val="left" w:pos="4725"/>
        </w:tabs>
        <w:adjustRightInd w:val="0"/>
        <w:snapToGrid w:val="0"/>
        <w:spacing w:beforeLines="50" w:line="360" w:lineRule="auto"/>
        <w:ind w:firstLine="735" w:firstLineChars="350"/>
        <w:rPr>
          <w:rFonts w:ascii="宋体" w:hAnsi="宋体"/>
          <w:szCs w:val="21"/>
        </w:rPr>
      </w:pPr>
      <w:r>
        <w:rPr>
          <w:rFonts w:hint="eastAsia" w:ascii="宋体" w:hAnsi="宋体"/>
          <w:szCs w:val="21"/>
        </w:rPr>
        <w:t>附件4-3 符合特定资格条件证明材料扫描件或者情况说明</w:t>
      </w:r>
    </w:p>
    <w:p w14:paraId="6EDD6C1C">
      <w:pPr>
        <w:tabs>
          <w:tab w:val="left" w:pos="4725"/>
        </w:tabs>
        <w:adjustRightInd w:val="0"/>
        <w:snapToGrid w:val="0"/>
        <w:spacing w:beforeLines="50" w:line="360" w:lineRule="auto"/>
        <w:ind w:firstLine="735" w:firstLineChars="350"/>
        <w:rPr>
          <w:rFonts w:ascii="宋体" w:hAnsi="宋体"/>
          <w:szCs w:val="21"/>
        </w:rPr>
      </w:pPr>
      <w:r>
        <w:rPr>
          <w:rFonts w:hint="eastAsia" w:ascii="宋体" w:hAnsi="宋体"/>
          <w:szCs w:val="21"/>
        </w:rPr>
        <w:t>附件4-4 联合体协议书（格式）（联合体形式投标的提供）</w:t>
      </w:r>
    </w:p>
    <w:p w14:paraId="7A55EEC3">
      <w:pPr>
        <w:tabs>
          <w:tab w:val="left" w:pos="4725"/>
        </w:tabs>
        <w:adjustRightInd w:val="0"/>
        <w:snapToGrid w:val="0"/>
        <w:spacing w:beforeLines="50" w:line="360" w:lineRule="auto"/>
        <w:ind w:firstLine="420" w:firstLineChars="200"/>
        <w:rPr>
          <w:rFonts w:ascii="宋体" w:hAnsi="宋体" w:cs="宋体"/>
          <w:szCs w:val="21"/>
        </w:rPr>
      </w:pPr>
      <w:r>
        <w:rPr>
          <w:rFonts w:hint="eastAsia" w:ascii="宋体" w:hAnsi="宋体"/>
          <w:szCs w:val="21"/>
        </w:rPr>
        <w:t>2、</w:t>
      </w:r>
      <w:r>
        <w:rPr>
          <w:rFonts w:hint="eastAsia" w:ascii="宋体" w:hAnsi="宋体" w:cs="宋体"/>
          <w:szCs w:val="21"/>
        </w:rPr>
        <w:t>投标人以联合体形式投标的，除应提交联合协议书(本节附4-4)外，参加联合体的各方均应提交上款资格证明材料。</w:t>
      </w:r>
    </w:p>
    <w:p w14:paraId="0EE48B7C">
      <w:pPr>
        <w:tabs>
          <w:tab w:val="left" w:pos="4725"/>
        </w:tabs>
        <w:adjustRightInd w:val="0"/>
        <w:snapToGrid w:val="0"/>
        <w:spacing w:line="360" w:lineRule="auto"/>
        <w:rPr>
          <w:rFonts w:ascii="宋体" w:hAnsi="宋体" w:cs="宋体"/>
          <w:szCs w:val="21"/>
        </w:rPr>
      </w:pPr>
    </w:p>
    <w:p w14:paraId="3CDC11C5">
      <w:pPr>
        <w:widowControl/>
        <w:adjustRightInd w:val="0"/>
        <w:snapToGrid w:val="0"/>
        <w:spacing w:line="360" w:lineRule="auto"/>
        <w:jc w:val="left"/>
        <w:rPr>
          <w:rFonts w:ascii="黑体" w:hAnsi="仿宋" w:eastAsia="黑体" w:cs="宋体"/>
          <w:szCs w:val="21"/>
        </w:rPr>
      </w:pPr>
      <w:bookmarkStart w:id="133" w:name="_Toc20651249"/>
    </w:p>
    <w:p w14:paraId="6CAA542B">
      <w:pPr>
        <w:widowControl/>
        <w:adjustRightInd w:val="0"/>
        <w:snapToGrid w:val="0"/>
        <w:spacing w:line="360" w:lineRule="auto"/>
        <w:jc w:val="left"/>
        <w:rPr>
          <w:rFonts w:ascii="黑体" w:hAnsi="仿宋" w:cs="宋体"/>
          <w:b/>
          <w:bCs/>
          <w:szCs w:val="21"/>
        </w:rPr>
      </w:pPr>
    </w:p>
    <w:p w14:paraId="126F8C6E">
      <w:pPr>
        <w:widowControl/>
        <w:adjustRightInd w:val="0"/>
        <w:snapToGrid w:val="0"/>
        <w:spacing w:line="360" w:lineRule="auto"/>
        <w:jc w:val="left"/>
        <w:rPr>
          <w:rFonts w:ascii="黑体" w:hAnsi="仿宋" w:cs="宋体"/>
          <w:b/>
          <w:bCs/>
          <w:szCs w:val="21"/>
        </w:rPr>
      </w:pPr>
    </w:p>
    <w:p w14:paraId="7805EBDB">
      <w:pPr>
        <w:widowControl/>
        <w:adjustRightInd w:val="0"/>
        <w:snapToGrid w:val="0"/>
        <w:spacing w:line="360" w:lineRule="auto"/>
        <w:jc w:val="left"/>
        <w:rPr>
          <w:rFonts w:ascii="黑体" w:hAnsi="仿宋" w:cs="宋体"/>
          <w:b/>
          <w:bCs/>
          <w:szCs w:val="21"/>
        </w:rPr>
      </w:pPr>
    </w:p>
    <w:p w14:paraId="5359C21F">
      <w:pPr>
        <w:widowControl/>
        <w:adjustRightInd w:val="0"/>
        <w:snapToGrid w:val="0"/>
        <w:spacing w:line="360" w:lineRule="auto"/>
        <w:jc w:val="left"/>
        <w:rPr>
          <w:rFonts w:ascii="黑体" w:hAnsi="仿宋" w:cs="宋体"/>
          <w:b/>
          <w:bCs/>
          <w:szCs w:val="21"/>
        </w:rPr>
      </w:pPr>
    </w:p>
    <w:p w14:paraId="02223F98">
      <w:pPr>
        <w:widowControl/>
        <w:adjustRightInd w:val="0"/>
        <w:snapToGrid w:val="0"/>
        <w:spacing w:line="360" w:lineRule="auto"/>
        <w:jc w:val="left"/>
        <w:rPr>
          <w:rFonts w:ascii="黑体" w:hAnsi="仿宋" w:cs="宋体"/>
          <w:b/>
          <w:bCs/>
          <w:szCs w:val="21"/>
        </w:rPr>
      </w:pPr>
    </w:p>
    <w:p w14:paraId="472922C9">
      <w:pPr>
        <w:widowControl/>
        <w:adjustRightInd w:val="0"/>
        <w:snapToGrid w:val="0"/>
        <w:spacing w:line="360" w:lineRule="auto"/>
        <w:jc w:val="left"/>
        <w:rPr>
          <w:rFonts w:ascii="黑体" w:hAnsi="仿宋" w:cs="宋体"/>
          <w:b/>
          <w:bCs/>
          <w:szCs w:val="21"/>
        </w:rPr>
      </w:pPr>
    </w:p>
    <w:p w14:paraId="09E5714F">
      <w:pPr>
        <w:widowControl/>
        <w:adjustRightInd w:val="0"/>
        <w:snapToGrid w:val="0"/>
        <w:spacing w:line="360" w:lineRule="auto"/>
        <w:jc w:val="left"/>
        <w:rPr>
          <w:rFonts w:ascii="黑体" w:hAnsi="仿宋" w:cs="宋体"/>
          <w:b/>
          <w:bCs/>
          <w:szCs w:val="21"/>
        </w:rPr>
      </w:pPr>
    </w:p>
    <w:p w14:paraId="284DC94F">
      <w:pPr>
        <w:widowControl/>
        <w:adjustRightInd w:val="0"/>
        <w:snapToGrid w:val="0"/>
        <w:spacing w:line="360" w:lineRule="auto"/>
        <w:jc w:val="left"/>
        <w:rPr>
          <w:rFonts w:ascii="黑体" w:hAnsi="仿宋" w:cs="宋体"/>
          <w:b/>
          <w:bCs/>
          <w:szCs w:val="21"/>
        </w:rPr>
      </w:pPr>
    </w:p>
    <w:p w14:paraId="7E3CACE3">
      <w:pPr>
        <w:widowControl/>
        <w:adjustRightInd w:val="0"/>
        <w:snapToGrid w:val="0"/>
        <w:spacing w:line="360" w:lineRule="auto"/>
        <w:jc w:val="left"/>
        <w:rPr>
          <w:rFonts w:ascii="黑体" w:hAnsi="仿宋" w:cs="宋体"/>
          <w:b/>
          <w:bCs/>
          <w:szCs w:val="21"/>
        </w:rPr>
      </w:pPr>
    </w:p>
    <w:p w14:paraId="47660A05">
      <w:pPr>
        <w:widowControl/>
        <w:adjustRightInd w:val="0"/>
        <w:snapToGrid w:val="0"/>
        <w:spacing w:line="360" w:lineRule="auto"/>
        <w:jc w:val="left"/>
        <w:rPr>
          <w:rFonts w:ascii="黑体" w:hAnsi="仿宋" w:cs="宋体"/>
          <w:b/>
          <w:bCs/>
          <w:szCs w:val="21"/>
        </w:rPr>
      </w:pPr>
    </w:p>
    <w:p w14:paraId="1903AA30">
      <w:pPr>
        <w:widowControl/>
        <w:adjustRightInd w:val="0"/>
        <w:snapToGrid w:val="0"/>
        <w:spacing w:line="360" w:lineRule="auto"/>
        <w:jc w:val="left"/>
        <w:rPr>
          <w:rFonts w:ascii="黑体" w:hAnsi="仿宋" w:cs="宋体"/>
          <w:b/>
          <w:bCs/>
          <w:szCs w:val="21"/>
        </w:rPr>
      </w:pPr>
    </w:p>
    <w:p w14:paraId="4A0E23A4">
      <w:pPr>
        <w:widowControl/>
        <w:adjustRightInd w:val="0"/>
        <w:snapToGrid w:val="0"/>
        <w:spacing w:line="360" w:lineRule="auto"/>
        <w:jc w:val="left"/>
        <w:rPr>
          <w:rFonts w:ascii="黑体" w:hAnsi="仿宋" w:cs="宋体"/>
          <w:b/>
          <w:bCs/>
          <w:szCs w:val="21"/>
        </w:rPr>
      </w:pPr>
    </w:p>
    <w:p w14:paraId="3C0E87BB">
      <w:pPr>
        <w:widowControl/>
        <w:adjustRightInd w:val="0"/>
        <w:snapToGrid w:val="0"/>
        <w:spacing w:line="360" w:lineRule="auto"/>
        <w:jc w:val="left"/>
        <w:rPr>
          <w:rFonts w:ascii="黑体" w:hAnsi="仿宋" w:cs="宋体"/>
          <w:b/>
          <w:bCs/>
          <w:szCs w:val="21"/>
        </w:rPr>
      </w:pPr>
    </w:p>
    <w:p w14:paraId="3A125313">
      <w:pPr>
        <w:widowControl/>
        <w:adjustRightInd w:val="0"/>
        <w:snapToGrid w:val="0"/>
        <w:spacing w:line="360" w:lineRule="auto"/>
        <w:jc w:val="left"/>
        <w:rPr>
          <w:rFonts w:ascii="黑体" w:hAnsi="仿宋" w:cs="宋体"/>
          <w:b/>
          <w:bCs/>
          <w:szCs w:val="21"/>
        </w:rPr>
      </w:pPr>
    </w:p>
    <w:p w14:paraId="14EF8E71">
      <w:pPr>
        <w:widowControl/>
        <w:adjustRightInd w:val="0"/>
        <w:snapToGrid w:val="0"/>
        <w:spacing w:line="360" w:lineRule="auto"/>
        <w:jc w:val="left"/>
        <w:rPr>
          <w:rFonts w:ascii="黑体" w:hAnsi="仿宋" w:cs="宋体"/>
          <w:b/>
          <w:bCs/>
          <w:szCs w:val="21"/>
        </w:rPr>
      </w:pPr>
    </w:p>
    <w:p w14:paraId="11DB608E">
      <w:pPr>
        <w:widowControl/>
        <w:adjustRightInd w:val="0"/>
        <w:snapToGrid w:val="0"/>
        <w:spacing w:line="360" w:lineRule="auto"/>
        <w:jc w:val="left"/>
        <w:rPr>
          <w:rFonts w:ascii="黑体" w:hAnsi="仿宋" w:cs="宋体"/>
          <w:b/>
          <w:bCs/>
          <w:szCs w:val="21"/>
        </w:rPr>
      </w:pPr>
    </w:p>
    <w:p w14:paraId="089323AA">
      <w:pPr>
        <w:widowControl/>
        <w:adjustRightInd w:val="0"/>
        <w:snapToGrid w:val="0"/>
        <w:spacing w:line="360" w:lineRule="auto"/>
        <w:jc w:val="left"/>
        <w:rPr>
          <w:rFonts w:ascii="黑体" w:hAnsi="仿宋" w:cs="宋体"/>
          <w:b/>
          <w:bCs/>
          <w:szCs w:val="21"/>
        </w:rPr>
      </w:pPr>
    </w:p>
    <w:p w14:paraId="645B840E">
      <w:pPr>
        <w:widowControl/>
        <w:adjustRightInd w:val="0"/>
        <w:snapToGrid w:val="0"/>
        <w:spacing w:line="360" w:lineRule="auto"/>
        <w:jc w:val="left"/>
        <w:rPr>
          <w:rFonts w:ascii="黑体" w:hAnsi="仿宋" w:cs="宋体"/>
          <w:b/>
          <w:bCs/>
          <w:szCs w:val="21"/>
        </w:rPr>
      </w:pPr>
    </w:p>
    <w:p w14:paraId="0A4B2573">
      <w:pPr>
        <w:spacing w:line="480" w:lineRule="exact"/>
        <w:rPr>
          <w:rFonts w:ascii="黑体" w:hAnsi="黑体" w:eastAsia="黑体"/>
          <w:sz w:val="30"/>
          <w:szCs w:val="30"/>
        </w:rPr>
      </w:pPr>
      <w:r>
        <w:rPr>
          <w:rFonts w:hint="eastAsia" w:ascii="黑体" w:hAnsi="黑体" w:eastAsia="黑体"/>
          <w:sz w:val="30"/>
          <w:szCs w:val="30"/>
        </w:rPr>
        <w:t>附件</w:t>
      </w:r>
      <w:r>
        <w:rPr>
          <w:rFonts w:ascii="黑体" w:hAnsi="黑体" w:eastAsia="黑体"/>
          <w:sz w:val="30"/>
          <w:szCs w:val="30"/>
        </w:rPr>
        <w:t xml:space="preserve">3              </w:t>
      </w:r>
      <w:r>
        <w:rPr>
          <w:rFonts w:hint="eastAsia" w:ascii="黑体" w:hAnsi="黑体" w:eastAsia="黑体"/>
          <w:sz w:val="30"/>
          <w:szCs w:val="30"/>
        </w:rPr>
        <w:t>供应商基本情况表</w:t>
      </w:r>
    </w:p>
    <w:p w14:paraId="7C5AADF6">
      <w:pPr>
        <w:spacing w:line="480" w:lineRule="exact"/>
        <w:rPr>
          <w:rFonts w:ascii="黑体" w:hAnsi="黑体" w:eastAsia="黑体"/>
          <w:sz w:val="30"/>
          <w:szCs w:val="30"/>
        </w:rPr>
      </w:pPr>
    </w:p>
    <w:p w14:paraId="3446AA31">
      <w:pPr>
        <w:adjustRightInd w:val="0"/>
        <w:snapToGrid w:val="0"/>
        <w:spacing w:line="360" w:lineRule="auto"/>
        <w:rPr>
          <w:rFonts w:ascii="宋体"/>
          <w:szCs w:val="21"/>
        </w:rPr>
      </w:pPr>
      <w:r>
        <w:rPr>
          <w:rFonts w:hint="eastAsia" w:ascii="宋体" w:hAnsi="宋体"/>
          <w:szCs w:val="21"/>
        </w:rPr>
        <w:t>盖供应商单位章</w:t>
      </w:r>
    </w:p>
    <w:tbl>
      <w:tblPr>
        <w:tblStyle w:val="40"/>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9"/>
        <w:gridCol w:w="539"/>
        <w:gridCol w:w="362"/>
        <w:gridCol w:w="1143"/>
        <w:gridCol w:w="850"/>
        <w:gridCol w:w="590"/>
        <w:gridCol w:w="294"/>
        <w:gridCol w:w="1083"/>
        <w:gridCol w:w="1329"/>
        <w:gridCol w:w="1911"/>
      </w:tblGrid>
      <w:tr w14:paraId="4E368F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620" w:type="dxa"/>
            <w:gridSpan w:val="3"/>
            <w:tcBorders>
              <w:top w:val="double" w:color="auto" w:sz="4" w:space="0"/>
              <w:left w:val="double" w:color="auto" w:sz="4" w:space="0"/>
              <w:bottom w:val="single" w:color="auto" w:sz="6" w:space="0"/>
              <w:right w:val="single" w:color="auto" w:sz="6" w:space="0"/>
            </w:tcBorders>
            <w:noWrap/>
            <w:vAlign w:val="center"/>
          </w:tcPr>
          <w:p w14:paraId="6932028C">
            <w:pPr>
              <w:topLinePunct/>
              <w:spacing w:line="440" w:lineRule="exact"/>
              <w:jc w:val="center"/>
              <w:rPr>
                <w:rFonts w:ascii="宋体"/>
                <w:szCs w:val="21"/>
              </w:rPr>
            </w:pPr>
            <w:r>
              <w:rPr>
                <w:rFonts w:hint="eastAsia" w:ascii="宋体" w:hAnsi="宋体"/>
                <w:szCs w:val="21"/>
              </w:rPr>
              <w:t>供应商名称</w:t>
            </w:r>
          </w:p>
        </w:tc>
        <w:tc>
          <w:tcPr>
            <w:tcW w:w="3960" w:type="dxa"/>
            <w:gridSpan w:val="5"/>
            <w:tcBorders>
              <w:top w:val="double" w:color="auto" w:sz="4" w:space="0"/>
              <w:left w:val="single" w:color="auto" w:sz="6" w:space="0"/>
              <w:bottom w:val="single" w:color="auto" w:sz="6" w:space="0"/>
              <w:right w:val="single" w:color="auto" w:sz="6" w:space="0"/>
            </w:tcBorders>
            <w:noWrap/>
            <w:vAlign w:val="center"/>
          </w:tcPr>
          <w:p w14:paraId="32665D85">
            <w:pPr>
              <w:topLinePunct/>
              <w:spacing w:line="440" w:lineRule="exact"/>
              <w:jc w:val="center"/>
              <w:rPr>
                <w:rFonts w:ascii="宋体"/>
                <w:szCs w:val="21"/>
              </w:rPr>
            </w:pPr>
          </w:p>
        </w:tc>
        <w:tc>
          <w:tcPr>
            <w:tcW w:w="1329" w:type="dxa"/>
            <w:tcBorders>
              <w:top w:val="double" w:color="auto" w:sz="4" w:space="0"/>
              <w:left w:val="single" w:color="auto" w:sz="6" w:space="0"/>
              <w:bottom w:val="single" w:color="auto" w:sz="6" w:space="0"/>
              <w:right w:val="single" w:color="auto" w:sz="6" w:space="0"/>
            </w:tcBorders>
            <w:noWrap/>
            <w:vAlign w:val="center"/>
          </w:tcPr>
          <w:p w14:paraId="5688D342">
            <w:pPr>
              <w:topLinePunct/>
              <w:spacing w:line="440" w:lineRule="exact"/>
              <w:jc w:val="center"/>
              <w:rPr>
                <w:rFonts w:ascii="宋体"/>
                <w:szCs w:val="21"/>
              </w:rPr>
            </w:pPr>
            <w:r>
              <w:rPr>
                <w:rFonts w:hint="eastAsia" w:ascii="宋体" w:hAnsi="宋体"/>
                <w:szCs w:val="21"/>
              </w:rPr>
              <w:t>单位负责人</w:t>
            </w:r>
          </w:p>
        </w:tc>
        <w:tc>
          <w:tcPr>
            <w:tcW w:w="1911" w:type="dxa"/>
            <w:tcBorders>
              <w:top w:val="double" w:color="auto" w:sz="4" w:space="0"/>
              <w:left w:val="single" w:color="auto" w:sz="6" w:space="0"/>
              <w:bottom w:val="single" w:color="auto" w:sz="6" w:space="0"/>
              <w:right w:val="double" w:color="auto" w:sz="4" w:space="0"/>
            </w:tcBorders>
            <w:noWrap/>
            <w:vAlign w:val="center"/>
          </w:tcPr>
          <w:p w14:paraId="078DED88">
            <w:pPr>
              <w:topLinePunct/>
              <w:spacing w:line="440" w:lineRule="exact"/>
              <w:jc w:val="center"/>
              <w:rPr>
                <w:rFonts w:ascii="宋体"/>
                <w:szCs w:val="21"/>
              </w:rPr>
            </w:pPr>
          </w:p>
        </w:tc>
      </w:tr>
      <w:tr w14:paraId="503C35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620" w:type="dxa"/>
            <w:gridSpan w:val="3"/>
            <w:tcBorders>
              <w:top w:val="single" w:color="auto" w:sz="6" w:space="0"/>
              <w:left w:val="double" w:color="auto" w:sz="4" w:space="0"/>
              <w:bottom w:val="single" w:color="auto" w:sz="6" w:space="0"/>
              <w:right w:val="single" w:color="auto" w:sz="6" w:space="0"/>
            </w:tcBorders>
            <w:noWrap/>
            <w:vAlign w:val="center"/>
          </w:tcPr>
          <w:p w14:paraId="1247C613">
            <w:pPr>
              <w:topLinePunct/>
              <w:spacing w:line="440" w:lineRule="exact"/>
              <w:jc w:val="center"/>
              <w:rPr>
                <w:rFonts w:ascii="宋体"/>
                <w:szCs w:val="21"/>
              </w:rPr>
            </w:pPr>
            <w:r>
              <w:rPr>
                <w:rFonts w:hint="eastAsia" w:ascii="宋体" w:hAnsi="宋体"/>
                <w:szCs w:val="21"/>
              </w:rPr>
              <w:t>委托代理人</w:t>
            </w:r>
          </w:p>
        </w:tc>
        <w:tc>
          <w:tcPr>
            <w:tcW w:w="3960" w:type="dxa"/>
            <w:gridSpan w:val="5"/>
            <w:tcBorders>
              <w:top w:val="single" w:color="auto" w:sz="6" w:space="0"/>
              <w:left w:val="single" w:color="auto" w:sz="6" w:space="0"/>
              <w:bottom w:val="single" w:color="auto" w:sz="6" w:space="0"/>
              <w:right w:val="single" w:color="auto" w:sz="6" w:space="0"/>
            </w:tcBorders>
            <w:noWrap/>
            <w:vAlign w:val="center"/>
          </w:tcPr>
          <w:p w14:paraId="296799C2">
            <w:pPr>
              <w:topLinePunct/>
              <w:spacing w:line="440" w:lineRule="exact"/>
              <w:jc w:val="center"/>
              <w:rPr>
                <w:rFonts w:ascii="宋体"/>
                <w:szCs w:val="21"/>
              </w:rPr>
            </w:pPr>
          </w:p>
        </w:tc>
        <w:tc>
          <w:tcPr>
            <w:tcW w:w="1329" w:type="dxa"/>
            <w:tcBorders>
              <w:top w:val="single" w:color="auto" w:sz="6" w:space="0"/>
              <w:left w:val="single" w:color="auto" w:sz="6" w:space="0"/>
              <w:bottom w:val="single" w:color="auto" w:sz="6" w:space="0"/>
              <w:right w:val="single" w:color="auto" w:sz="6" w:space="0"/>
            </w:tcBorders>
            <w:noWrap/>
            <w:vAlign w:val="center"/>
          </w:tcPr>
          <w:p w14:paraId="403A69D0">
            <w:pPr>
              <w:topLinePunct/>
              <w:spacing w:line="440" w:lineRule="exact"/>
              <w:jc w:val="center"/>
              <w:rPr>
                <w:rFonts w:ascii="宋体"/>
                <w:szCs w:val="21"/>
              </w:rPr>
            </w:pPr>
            <w:r>
              <w:rPr>
                <w:rFonts w:hint="eastAsia" w:ascii="宋体" w:hAnsi="宋体"/>
                <w:szCs w:val="21"/>
              </w:rPr>
              <w:t>邮政编码</w:t>
            </w:r>
          </w:p>
        </w:tc>
        <w:tc>
          <w:tcPr>
            <w:tcW w:w="1911" w:type="dxa"/>
            <w:tcBorders>
              <w:top w:val="single" w:color="auto" w:sz="6" w:space="0"/>
              <w:left w:val="single" w:color="auto" w:sz="6" w:space="0"/>
              <w:bottom w:val="single" w:color="auto" w:sz="6" w:space="0"/>
              <w:right w:val="double" w:color="auto" w:sz="4" w:space="0"/>
            </w:tcBorders>
            <w:noWrap/>
            <w:vAlign w:val="center"/>
          </w:tcPr>
          <w:p w14:paraId="00143E0F">
            <w:pPr>
              <w:topLinePunct/>
              <w:spacing w:line="440" w:lineRule="exact"/>
              <w:jc w:val="center"/>
              <w:rPr>
                <w:rFonts w:ascii="宋体"/>
                <w:szCs w:val="21"/>
              </w:rPr>
            </w:pPr>
          </w:p>
        </w:tc>
      </w:tr>
      <w:tr w14:paraId="4679B1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620" w:type="dxa"/>
            <w:gridSpan w:val="3"/>
            <w:tcBorders>
              <w:top w:val="single" w:color="auto" w:sz="6" w:space="0"/>
              <w:left w:val="double" w:color="auto" w:sz="4" w:space="0"/>
              <w:bottom w:val="single" w:color="auto" w:sz="6" w:space="0"/>
              <w:right w:val="single" w:color="auto" w:sz="6" w:space="0"/>
            </w:tcBorders>
            <w:noWrap/>
            <w:vAlign w:val="center"/>
          </w:tcPr>
          <w:p w14:paraId="2A3914F3">
            <w:pPr>
              <w:topLinePunct/>
              <w:spacing w:line="440" w:lineRule="exact"/>
              <w:jc w:val="center"/>
              <w:rPr>
                <w:rFonts w:ascii="宋体"/>
                <w:szCs w:val="21"/>
              </w:rPr>
            </w:pPr>
            <w:r>
              <w:rPr>
                <w:rFonts w:hint="eastAsia" w:ascii="宋体"/>
                <w:szCs w:val="21"/>
              </w:rPr>
              <w:t>联系电话</w:t>
            </w:r>
          </w:p>
        </w:tc>
        <w:tc>
          <w:tcPr>
            <w:tcW w:w="3960" w:type="dxa"/>
            <w:gridSpan w:val="5"/>
            <w:tcBorders>
              <w:top w:val="single" w:color="auto" w:sz="6" w:space="0"/>
              <w:left w:val="single" w:color="auto" w:sz="6" w:space="0"/>
              <w:bottom w:val="single" w:color="auto" w:sz="6" w:space="0"/>
              <w:right w:val="single" w:color="auto" w:sz="6" w:space="0"/>
            </w:tcBorders>
            <w:noWrap/>
            <w:vAlign w:val="center"/>
          </w:tcPr>
          <w:p w14:paraId="67859D76">
            <w:pPr>
              <w:topLinePunct/>
              <w:spacing w:line="440" w:lineRule="exact"/>
              <w:jc w:val="center"/>
              <w:rPr>
                <w:rFonts w:ascii="宋体"/>
                <w:szCs w:val="21"/>
              </w:rPr>
            </w:pPr>
          </w:p>
        </w:tc>
        <w:tc>
          <w:tcPr>
            <w:tcW w:w="1329" w:type="dxa"/>
            <w:tcBorders>
              <w:top w:val="single" w:color="auto" w:sz="6" w:space="0"/>
              <w:left w:val="single" w:color="auto" w:sz="6" w:space="0"/>
              <w:bottom w:val="single" w:color="auto" w:sz="6" w:space="0"/>
              <w:right w:val="single" w:color="auto" w:sz="6" w:space="0"/>
            </w:tcBorders>
            <w:noWrap/>
            <w:vAlign w:val="center"/>
          </w:tcPr>
          <w:p w14:paraId="2885076B">
            <w:pPr>
              <w:topLinePunct/>
              <w:spacing w:line="440" w:lineRule="exact"/>
              <w:jc w:val="center"/>
              <w:rPr>
                <w:rFonts w:ascii="宋体"/>
                <w:szCs w:val="21"/>
              </w:rPr>
            </w:pPr>
            <w:r>
              <w:rPr>
                <w:rFonts w:hint="eastAsia" w:ascii="宋体" w:hAnsi="宋体"/>
                <w:szCs w:val="21"/>
              </w:rPr>
              <w:t>电子邮箱</w:t>
            </w:r>
          </w:p>
        </w:tc>
        <w:tc>
          <w:tcPr>
            <w:tcW w:w="1911" w:type="dxa"/>
            <w:tcBorders>
              <w:top w:val="single" w:color="auto" w:sz="6" w:space="0"/>
              <w:left w:val="single" w:color="auto" w:sz="6" w:space="0"/>
              <w:bottom w:val="single" w:color="auto" w:sz="6" w:space="0"/>
              <w:right w:val="double" w:color="auto" w:sz="4" w:space="0"/>
            </w:tcBorders>
            <w:noWrap/>
            <w:vAlign w:val="center"/>
          </w:tcPr>
          <w:p w14:paraId="0126F2CC">
            <w:pPr>
              <w:topLinePunct/>
              <w:spacing w:line="440" w:lineRule="exact"/>
              <w:jc w:val="center"/>
              <w:rPr>
                <w:rFonts w:ascii="宋体"/>
                <w:szCs w:val="21"/>
              </w:rPr>
            </w:pPr>
          </w:p>
        </w:tc>
      </w:tr>
      <w:tr w14:paraId="5AA9AE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620" w:type="dxa"/>
            <w:gridSpan w:val="3"/>
            <w:tcBorders>
              <w:top w:val="single" w:color="auto" w:sz="6" w:space="0"/>
              <w:left w:val="double" w:color="auto" w:sz="4" w:space="0"/>
              <w:bottom w:val="single" w:color="auto" w:sz="6" w:space="0"/>
              <w:right w:val="single" w:color="auto" w:sz="6" w:space="0"/>
            </w:tcBorders>
            <w:noWrap/>
            <w:vAlign w:val="center"/>
          </w:tcPr>
          <w:p w14:paraId="735D6A7E">
            <w:pPr>
              <w:topLinePunct/>
              <w:spacing w:line="440" w:lineRule="exact"/>
              <w:jc w:val="center"/>
              <w:rPr>
                <w:rFonts w:ascii="宋体"/>
                <w:szCs w:val="21"/>
              </w:rPr>
            </w:pPr>
            <w:r>
              <w:rPr>
                <w:rFonts w:hint="eastAsia" w:ascii="宋体" w:hAnsi="宋体"/>
                <w:szCs w:val="21"/>
              </w:rPr>
              <w:t>上年营业收入</w:t>
            </w:r>
          </w:p>
        </w:tc>
        <w:tc>
          <w:tcPr>
            <w:tcW w:w="3960" w:type="dxa"/>
            <w:gridSpan w:val="5"/>
            <w:tcBorders>
              <w:top w:val="single" w:color="auto" w:sz="6" w:space="0"/>
              <w:left w:val="single" w:color="auto" w:sz="6" w:space="0"/>
              <w:bottom w:val="single" w:color="auto" w:sz="6" w:space="0"/>
              <w:right w:val="single" w:color="auto" w:sz="6" w:space="0"/>
            </w:tcBorders>
            <w:noWrap/>
            <w:vAlign w:val="center"/>
          </w:tcPr>
          <w:p w14:paraId="6D6DC964">
            <w:pPr>
              <w:topLinePunct/>
              <w:spacing w:line="440" w:lineRule="exact"/>
              <w:jc w:val="center"/>
              <w:rPr>
                <w:rFonts w:ascii="宋体"/>
                <w:szCs w:val="21"/>
              </w:rPr>
            </w:pPr>
          </w:p>
        </w:tc>
        <w:tc>
          <w:tcPr>
            <w:tcW w:w="1329" w:type="dxa"/>
            <w:tcBorders>
              <w:top w:val="single" w:color="auto" w:sz="6" w:space="0"/>
              <w:left w:val="single" w:color="auto" w:sz="6" w:space="0"/>
              <w:bottom w:val="single" w:color="auto" w:sz="6" w:space="0"/>
              <w:right w:val="single" w:color="auto" w:sz="6" w:space="0"/>
            </w:tcBorders>
            <w:noWrap/>
            <w:vAlign w:val="center"/>
          </w:tcPr>
          <w:p w14:paraId="41FA9C7E">
            <w:pPr>
              <w:topLinePunct/>
              <w:spacing w:line="440" w:lineRule="exact"/>
              <w:jc w:val="center"/>
              <w:rPr>
                <w:rFonts w:ascii="宋体"/>
                <w:szCs w:val="21"/>
              </w:rPr>
            </w:pPr>
            <w:r>
              <w:rPr>
                <w:rFonts w:hint="eastAsia" w:ascii="宋体" w:hAnsi="宋体"/>
                <w:szCs w:val="21"/>
              </w:rPr>
              <w:t>员工总人数</w:t>
            </w:r>
          </w:p>
        </w:tc>
        <w:tc>
          <w:tcPr>
            <w:tcW w:w="1911" w:type="dxa"/>
            <w:tcBorders>
              <w:top w:val="single" w:color="auto" w:sz="6" w:space="0"/>
              <w:left w:val="single" w:color="auto" w:sz="6" w:space="0"/>
              <w:bottom w:val="single" w:color="auto" w:sz="6" w:space="0"/>
              <w:right w:val="double" w:color="auto" w:sz="4" w:space="0"/>
            </w:tcBorders>
            <w:noWrap/>
            <w:vAlign w:val="center"/>
          </w:tcPr>
          <w:p w14:paraId="7649AC2B">
            <w:pPr>
              <w:topLinePunct/>
              <w:spacing w:line="440" w:lineRule="exact"/>
              <w:jc w:val="center"/>
              <w:rPr>
                <w:rFonts w:ascii="宋体"/>
                <w:szCs w:val="21"/>
              </w:rPr>
            </w:pPr>
          </w:p>
        </w:tc>
      </w:tr>
      <w:tr w14:paraId="4F94AF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restart"/>
            <w:tcBorders>
              <w:top w:val="single" w:color="auto" w:sz="6" w:space="0"/>
              <w:left w:val="double" w:color="auto" w:sz="4" w:space="0"/>
              <w:bottom w:val="single" w:color="auto" w:sz="6" w:space="0"/>
              <w:right w:val="single" w:color="auto" w:sz="6" w:space="0"/>
            </w:tcBorders>
            <w:noWrap/>
            <w:vAlign w:val="center"/>
          </w:tcPr>
          <w:p w14:paraId="27517E28">
            <w:pPr>
              <w:topLinePunct/>
              <w:spacing w:line="440" w:lineRule="exact"/>
              <w:jc w:val="center"/>
              <w:rPr>
                <w:rFonts w:ascii="宋体"/>
                <w:szCs w:val="21"/>
              </w:rPr>
            </w:pPr>
            <w:r>
              <w:rPr>
                <w:rFonts w:hint="eastAsia" w:ascii="宋体" w:hAnsi="宋体"/>
                <w:szCs w:val="21"/>
              </w:rPr>
              <w:t>营业执照</w:t>
            </w:r>
          </w:p>
        </w:tc>
        <w:tc>
          <w:tcPr>
            <w:tcW w:w="2044" w:type="dxa"/>
            <w:gridSpan w:val="3"/>
            <w:tcBorders>
              <w:top w:val="single" w:color="auto" w:sz="6" w:space="0"/>
              <w:left w:val="single" w:color="auto" w:sz="6" w:space="0"/>
              <w:bottom w:val="single" w:color="auto" w:sz="6" w:space="0"/>
              <w:right w:val="single" w:color="auto" w:sz="6" w:space="0"/>
            </w:tcBorders>
            <w:noWrap/>
            <w:vAlign w:val="center"/>
          </w:tcPr>
          <w:p w14:paraId="46728D11">
            <w:pPr>
              <w:topLinePunct/>
              <w:spacing w:line="440" w:lineRule="exact"/>
              <w:jc w:val="center"/>
              <w:rPr>
                <w:rFonts w:ascii="宋体"/>
                <w:szCs w:val="21"/>
              </w:rPr>
            </w:pPr>
            <w:r>
              <w:rPr>
                <w:rFonts w:hint="eastAsia" w:ascii="宋体" w:hAnsi="宋体"/>
                <w:szCs w:val="21"/>
              </w:rPr>
              <w:t>注册号码</w:t>
            </w:r>
          </w:p>
        </w:tc>
        <w:tc>
          <w:tcPr>
            <w:tcW w:w="1440" w:type="dxa"/>
            <w:gridSpan w:val="2"/>
            <w:tcBorders>
              <w:top w:val="single" w:color="auto" w:sz="6" w:space="0"/>
              <w:left w:val="single" w:color="auto" w:sz="6" w:space="0"/>
              <w:bottom w:val="single" w:color="auto" w:sz="6" w:space="0"/>
              <w:right w:val="single" w:color="auto" w:sz="6" w:space="0"/>
            </w:tcBorders>
            <w:noWrap/>
            <w:vAlign w:val="center"/>
          </w:tcPr>
          <w:p w14:paraId="66E339FB">
            <w:pPr>
              <w:topLinePunct/>
              <w:spacing w:line="440" w:lineRule="exact"/>
              <w:jc w:val="center"/>
              <w:rPr>
                <w:rFonts w:ascii="宋体"/>
                <w:szCs w:val="21"/>
              </w:rPr>
            </w:pPr>
          </w:p>
        </w:tc>
        <w:tc>
          <w:tcPr>
            <w:tcW w:w="1377" w:type="dxa"/>
            <w:gridSpan w:val="2"/>
            <w:tcBorders>
              <w:top w:val="single" w:color="auto" w:sz="6" w:space="0"/>
              <w:left w:val="single" w:color="auto" w:sz="6" w:space="0"/>
              <w:bottom w:val="single" w:color="auto" w:sz="6" w:space="0"/>
              <w:right w:val="single" w:color="auto" w:sz="6" w:space="0"/>
            </w:tcBorders>
            <w:noWrap/>
            <w:vAlign w:val="center"/>
          </w:tcPr>
          <w:p w14:paraId="2B7CCEC4">
            <w:pPr>
              <w:topLinePunct/>
              <w:spacing w:line="440" w:lineRule="exact"/>
              <w:jc w:val="center"/>
              <w:rPr>
                <w:rFonts w:ascii="宋体"/>
                <w:szCs w:val="21"/>
              </w:rPr>
            </w:pPr>
            <w:r>
              <w:rPr>
                <w:rFonts w:hint="eastAsia" w:ascii="宋体" w:hAnsi="宋体"/>
                <w:szCs w:val="21"/>
              </w:rPr>
              <w:t>注册地址</w:t>
            </w:r>
          </w:p>
        </w:tc>
        <w:tc>
          <w:tcPr>
            <w:tcW w:w="3240" w:type="dxa"/>
            <w:gridSpan w:val="2"/>
            <w:tcBorders>
              <w:top w:val="single" w:color="auto" w:sz="6" w:space="0"/>
              <w:left w:val="single" w:color="auto" w:sz="6" w:space="0"/>
              <w:bottom w:val="single" w:color="auto" w:sz="6" w:space="0"/>
              <w:right w:val="double" w:color="auto" w:sz="4" w:space="0"/>
            </w:tcBorders>
            <w:noWrap/>
            <w:vAlign w:val="center"/>
          </w:tcPr>
          <w:p w14:paraId="600E958E">
            <w:pPr>
              <w:topLinePunct/>
              <w:spacing w:line="440" w:lineRule="exact"/>
              <w:jc w:val="center"/>
              <w:rPr>
                <w:rFonts w:ascii="宋体"/>
                <w:szCs w:val="21"/>
              </w:rPr>
            </w:pPr>
          </w:p>
        </w:tc>
      </w:tr>
      <w:tr w14:paraId="1A28C0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noWrap/>
            <w:vAlign w:val="center"/>
          </w:tcPr>
          <w:p w14:paraId="7174AB3E">
            <w:pPr>
              <w:topLinePunct/>
              <w:spacing w:line="440" w:lineRule="exact"/>
              <w:jc w:val="center"/>
              <w:rPr>
                <w:rFonts w:ascii="宋体"/>
                <w:szCs w:val="21"/>
              </w:rPr>
            </w:pPr>
          </w:p>
        </w:tc>
        <w:tc>
          <w:tcPr>
            <w:tcW w:w="2044" w:type="dxa"/>
            <w:gridSpan w:val="3"/>
            <w:tcBorders>
              <w:top w:val="single" w:color="auto" w:sz="6" w:space="0"/>
              <w:left w:val="single" w:color="auto" w:sz="6" w:space="0"/>
              <w:bottom w:val="single" w:color="auto" w:sz="6" w:space="0"/>
              <w:right w:val="single" w:color="auto" w:sz="6" w:space="0"/>
            </w:tcBorders>
            <w:noWrap/>
            <w:vAlign w:val="center"/>
          </w:tcPr>
          <w:p w14:paraId="0FA0C0EC">
            <w:pPr>
              <w:topLinePunct/>
              <w:spacing w:line="440" w:lineRule="exact"/>
              <w:jc w:val="center"/>
              <w:rPr>
                <w:rFonts w:ascii="宋体"/>
                <w:szCs w:val="21"/>
              </w:rPr>
            </w:pPr>
            <w:r>
              <w:rPr>
                <w:rFonts w:hint="eastAsia" w:ascii="宋体" w:hAnsi="宋体"/>
                <w:szCs w:val="21"/>
              </w:rPr>
              <w:t>发证机关</w:t>
            </w:r>
          </w:p>
        </w:tc>
        <w:tc>
          <w:tcPr>
            <w:tcW w:w="1440" w:type="dxa"/>
            <w:gridSpan w:val="2"/>
            <w:tcBorders>
              <w:top w:val="single" w:color="auto" w:sz="6" w:space="0"/>
              <w:left w:val="single" w:color="auto" w:sz="6" w:space="0"/>
              <w:bottom w:val="single" w:color="auto" w:sz="6" w:space="0"/>
              <w:right w:val="single" w:color="auto" w:sz="6" w:space="0"/>
            </w:tcBorders>
            <w:noWrap/>
            <w:vAlign w:val="center"/>
          </w:tcPr>
          <w:p w14:paraId="0D78392C">
            <w:pPr>
              <w:topLinePunct/>
              <w:spacing w:line="440" w:lineRule="exact"/>
              <w:jc w:val="center"/>
              <w:rPr>
                <w:rFonts w:ascii="宋体"/>
                <w:szCs w:val="21"/>
              </w:rPr>
            </w:pPr>
          </w:p>
        </w:tc>
        <w:tc>
          <w:tcPr>
            <w:tcW w:w="1377" w:type="dxa"/>
            <w:gridSpan w:val="2"/>
            <w:tcBorders>
              <w:top w:val="single" w:color="auto" w:sz="6" w:space="0"/>
              <w:left w:val="single" w:color="auto" w:sz="6" w:space="0"/>
              <w:bottom w:val="single" w:color="auto" w:sz="6" w:space="0"/>
              <w:right w:val="single" w:color="auto" w:sz="6" w:space="0"/>
            </w:tcBorders>
            <w:noWrap/>
            <w:vAlign w:val="center"/>
          </w:tcPr>
          <w:p w14:paraId="18FDB464">
            <w:pPr>
              <w:topLinePunct/>
              <w:spacing w:line="440" w:lineRule="exact"/>
              <w:jc w:val="center"/>
              <w:rPr>
                <w:rFonts w:ascii="宋体"/>
                <w:szCs w:val="21"/>
              </w:rPr>
            </w:pPr>
            <w:r>
              <w:rPr>
                <w:rFonts w:hint="eastAsia" w:ascii="宋体" w:hAnsi="宋体"/>
                <w:szCs w:val="21"/>
              </w:rPr>
              <w:t>发证日期</w:t>
            </w:r>
          </w:p>
        </w:tc>
        <w:tc>
          <w:tcPr>
            <w:tcW w:w="3240" w:type="dxa"/>
            <w:gridSpan w:val="2"/>
            <w:tcBorders>
              <w:top w:val="single" w:color="auto" w:sz="6" w:space="0"/>
              <w:left w:val="single" w:color="auto" w:sz="6" w:space="0"/>
              <w:bottom w:val="single" w:color="auto" w:sz="6" w:space="0"/>
              <w:right w:val="double" w:color="auto" w:sz="4" w:space="0"/>
            </w:tcBorders>
            <w:noWrap/>
            <w:vAlign w:val="center"/>
          </w:tcPr>
          <w:p w14:paraId="2E46A41E">
            <w:pPr>
              <w:topLinePunct/>
              <w:spacing w:line="440" w:lineRule="exact"/>
              <w:jc w:val="center"/>
              <w:rPr>
                <w:rFonts w:ascii="宋体"/>
                <w:szCs w:val="21"/>
              </w:rPr>
            </w:pPr>
          </w:p>
        </w:tc>
      </w:tr>
      <w:tr w14:paraId="2A8D9F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noWrap/>
            <w:vAlign w:val="center"/>
          </w:tcPr>
          <w:p w14:paraId="6796604A">
            <w:pPr>
              <w:topLinePunct/>
              <w:spacing w:line="440" w:lineRule="exact"/>
              <w:jc w:val="center"/>
              <w:rPr>
                <w:rFonts w:ascii="宋体"/>
                <w:szCs w:val="21"/>
              </w:rPr>
            </w:pPr>
          </w:p>
        </w:tc>
        <w:tc>
          <w:tcPr>
            <w:tcW w:w="2044" w:type="dxa"/>
            <w:gridSpan w:val="3"/>
            <w:tcBorders>
              <w:top w:val="single" w:color="auto" w:sz="6" w:space="0"/>
              <w:left w:val="single" w:color="auto" w:sz="6" w:space="0"/>
              <w:bottom w:val="single" w:color="auto" w:sz="6" w:space="0"/>
              <w:right w:val="single" w:color="auto" w:sz="6" w:space="0"/>
            </w:tcBorders>
            <w:noWrap/>
            <w:vAlign w:val="center"/>
          </w:tcPr>
          <w:p w14:paraId="275571A2">
            <w:pPr>
              <w:topLinePunct/>
              <w:spacing w:line="440" w:lineRule="exact"/>
              <w:jc w:val="center"/>
              <w:rPr>
                <w:rFonts w:ascii="宋体"/>
                <w:szCs w:val="21"/>
              </w:rPr>
            </w:pPr>
            <w:r>
              <w:rPr>
                <w:rFonts w:hint="eastAsia" w:ascii="宋体" w:hAnsi="宋体"/>
                <w:szCs w:val="21"/>
              </w:rPr>
              <w:t>营业范围（主营）</w:t>
            </w:r>
          </w:p>
        </w:tc>
        <w:tc>
          <w:tcPr>
            <w:tcW w:w="6057" w:type="dxa"/>
            <w:gridSpan w:val="6"/>
            <w:tcBorders>
              <w:top w:val="single" w:color="auto" w:sz="6" w:space="0"/>
              <w:left w:val="single" w:color="auto" w:sz="6" w:space="0"/>
              <w:bottom w:val="single" w:color="auto" w:sz="6" w:space="0"/>
              <w:right w:val="double" w:color="auto" w:sz="4" w:space="0"/>
            </w:tcBorders>
            <w:noWrap/>
            <w:vAlign w:val="center"/>
          </w:tcPr>
          <w:p w14:paraId="0E110C4A">
            <w:pPr>
              <w:topLinePunct/>
              <w:spacing w:line="440" w:lineRule="exact"/>
              <w:jc w:val="center"/>
              <w:rPr>
                <w:rFonts w:ascii="宋体"/>
                <w:szCs w:val="21"/>
              </w:rPr>
            </w:pPr>
          </w:p>
        </w:tc>
      </w:tr>
      <w:tr w14:paraId="6EE3D8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noWrap/>
            <w:vAlign w:val="center"/>
          </w:tcPr>
          <w:p w14:paraId="2CFD74CA">
            <w:pPr>
              <w:topLinePunct/>
              <w:spacing w:line="440" w:lineRule="exact"/>
              <w:jc w:val="center"/>
              <w:rPr>
                <w:rFonts w:ascii="宋体"/>
                <w:szCs w:val="21"/>
              </w:rPr>
            </w:pPr>
          </w:p>
        </w:tc>
        <w:tc>
          <w:tcPr>
            <w:tcW w:w="2044" w:type="dxa"/>
            <w:gridSpan w:val="3"/>
            <w:tcBorders>
              <w:top w:val="single" w:color="auto" w:sz="6" w:space="0"/>
              <w:left w:val="single" w:color="auto" w:sz="6" w:space="0"/>
              <w:bottom w:val="single" w:color="auto" w:sz="6" w:space="0"/>
              <w:right w:val="single" w:color="auto" w:sz="6" w:space="0"/>
            </w:tcBorders>
            <w:noWrap/>
            <w:vAlign w:val="center"/>
          </w:tcPr>
          <w:p w14:paraId="5A4E88F8">
            <w:pPr>
              <w:topLinePunct/>
              <w:spacing w:line="440" w:lineRule="exact"/>
              <w:jc w:val="center"/>
              <w:rPr>
                <w:rFonts w:ascii="宋体"/>
                <w:szCs w:val="21"/>
              </w:rPr>
            </w:pPr>
            <w:r>
              <w:rPr>
                <w:rFonts w:hint="eastAsia" w:ascii="宋体" w:hAnsi="宋体"/>
                <w:szCs w:val="21"/>
              </w:rPr>
              <w:t>营业范围（兼营）</w:t>
            </w:r>
          </w:p>
        </w:tc>
        <w:tc>
          <w:tcPr>
            <w:tcW w:w="6057" w:type="dxa"/>
            <w:gridSpan w:val="6"/>
            <w:tcBorders>
              <w:top w:val="single" w:color="auto" w:sz="6" w:space="0"/>
              <w:left w:val="single" w:color="auto" w:sz="6" w:space="0"/>
              <w:bottom w:val="single" w:color="auto" w:sz="6" w:space="0"/>
              <w:right w:val="double" w:color="auto" w:sz="4" w:space="0"/>
            </w:tcBorders>
            <w:noWrap/>
            <w:vAlign w:val="center"/>
          </w:tcPr>
          <w:p w14:paraId="0FC52AD8">
            <w:pPr>
              <w:topLinePunct/>
              <w:spacing w:line="440" w:lineRule="exact"/>
              <w:jc w:val="center"/>
              <w:rPr>
                <w:rFonts w:ascii="宋体"/>
                <w:szCs w:val="21"/>
              </w:rPr>
            </w:pPr>
          </w:p>
        </w:tc>
      </w:tr>
      <w:tr w14:paraId="774E71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763" w:type="dxa"/>
            <w:gridSpan w:val="4"/>
            <w:tcBorders>
              <w:top w:val="single" w:color="auto" w:sz="6" w:space="0"/>
              <w:left w:val="double" w:color="auto" w:sz="4" w:space="0"/>
              <w:bottom w:val="single" w:color="auto" w:sz="6" w:space="0"/>
              <w:right w:val="single" w:color="auto" w:sz="6" w:space="0"/>
            </w:tcBorders>
            <w:noWrap/>
            <w:vAlign w:val="center"/>
          </w:tcPr>
          <w:p w14:paraId="59E21620">
            <w:pPr>
              <w:topLinePunct/>
              <w:spacing w:line="440" w:lineRule="exact"/>
              <w:jc w:val="center"/>
              <w:rPr>
                <w:rFonts w:ascii="宋体"/>
                <w:szCs w:val="21"/>
              </w:rPr>
            </w:pPr>
            <w:r>
              <w:rPr>
                <w:rFonts w:hint="eastAsia" w:ascii="宋体" w:hAnsi="宋体"/>
                <w:szCs w:val="21"/>
              </w:rPr>
              <w:t>基本账户开户行及账号</w:t>
            </w:r>
          </w:p>
        </w:tc>
        <w:tc>
          <w:tcPr>
            <w:tcW w:w="6057" w:type="dxa"/>
            <w:gridSpan w:val="6"/>
            <w:tcBorders>
              <w:top w:val="single" w:color="auto" w:sz="6" w:space="0"/>
              <w:left w:val="single" w:color="auto" w:sz="6" w:space="0"/>
              <w:bottom w:val="single" w:color="auto" w:sz="6" w:space="0"/>
              <w:right w:val="double" w:color="auto" w:sz="4" w:space="0"/>
            </w:tcBorders>
            <w:noWrap/>
            <w:vAlign w:val="center"/>
          </w:tcPr>
          <w:p w14:paraId="1945CC08">
            <w:pPr>
              <w:topLinePunct/>
              <w:spacing w:line="440" w:lineRule="exact"/>
              <w:jc w:val="center"/>
              <w:rPr>
                <w:rFonts w:ascii="宋体"/>
                <w:szCs w:val="21"/>
              </w:rPr>
            </w:pPr>
          </w:p>
        </w:tc>
      </w:tr>
      <w:tr w14:paraId="4BEDB6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658" w:hRule="atLeast"/>
        </w:trPr>
        <w:tc>
          <w:tcPr>
            <w:tcW w:w="2763" w:type="dxa"/>
            <w:gridSpan w:val="4"/>
            <w:tcBorders>
              <w:top w:val="single" w:color="auto" w:sz="6" w:space="0"/>
              <w:left w:val="double" w:color="auto" w:sz="4" w:space="0"/>
              <w:bottom w:val="single" w:color="auto" w:sz="6" w:space="0"/>
              <w:right w:val="single" w:color="auto" w:sz="6" w:space="0"/>
            </w:tcBorders>
            <w:noWrap/>
            <w:vAlign w:val="center"/>
          </w:tcPr>
          <w:p w14:paraId="7927FEF5">
            <w:pPr>
              <w:topLinePunct/>
              <w:spacing w:line="440" w:lineRule="exact"/>
              <w:jc w:val="center"/>
              <w:rPr>
                <w:rFonts w:ascii="宋体"/>
                <w:szCs w:val="21"/>
              </w:rPr>
            </w:pPr>
            <w:r>
              <w:rPr>
                <w:rFonts w:hint="eastAsia" w:ascii="宋体" w:hAnsi="宋体"/>
                <w:szCs w:val="21"/>
              </w:rPr>
              <w:t>税务登记机关</w:t>
            </w:r>
          </w:p>
        </w:tc>
        <w:tc>
          <w:tcPr>
            <w:tcW w:w="6057" w:type="dxa"/>
            <w:gridSpan w:val="6"/>
            <w:tcBorders>
              <w:top w:val="single" w:color="auto" w:sz="6" w:space="0"/>
              <w:left w:val="single" w:color="auto" w:sz="6" w:space="0"/>
              <w:bottom w:val="single" w:color="auto" w:sz="6" w:space="0"/>
              <w:right w:val="double" w:color="auto" w:sz="4" w:space="0"/>
            </w:tcBorders>
            <w:noWrap/>
            <w:vAlign w:val="center"/>
          </w:tcPr>
          <w:p w14:paraId="58315997">
            <w:pPr>
              <w:topLinePunct/>
              <w:spacing w:line="440" w:lineRule="exact"/>
              <w:jc w:val="center"/>
              <w:rPr>
                <w:rFonts w:ascii="宋体"/>
                <w:szCs w:val="21"/>
              </w:rPr>
            </w:pPr>
          </w:p>
        </w:tc>
      </w:tr>
      <w:tr w14:paraId="785B4F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3613" w:type="dxa"/>
            <w:gridSpan w:val="5"/>
            <w:tcBorders>
              <w:top w:val="single" w:color="auto" w:sz="6" w:space="0"/>
              <w:left w:val="double" w:color="auto" w:sz="4" w:space="0"/>
              <w:bottom w:val="single" w:color="auto" w:sz="6" w:space="0"/>
              <w:right w:val="single" w:color="auto" w:sz="6" w:space="0"/>
            </w:tcBorders>
            <w:noWrap/>
            <w:vAlign w:val="center"/>
          </w:tcPr>
          <w:p w14:paraId="5FF49765">
            <w:pPr>
              <w:topLinePunct/>
              <w:spacing w:line="440" w:lineRule="exact"/>
              <w:jc w:val="center"/>
              <w:rPr>
                <w:rFonts w:ascii="宋体"/>
                <w:szCs w:val="21"/>
              </w:rPr>
            </w:pPr>
            <w:r>
              <w:rPr>
                <w:rFonts w:hint="eastAsia" w:ascii="宋体" w:hAnsi="宋体"/>
                <w:szCs w:val="21"/>
              </w:rPr>
              <w:t>资质名称</w:t>
            </w:r>
          </w:p>
        </w:tc>
        <w:tc>
          <w:tcPr>
            <w:tcW w:w="884" w:type="dxa"/>
            <w:gridSpan w:val="2"/>
            <w:tcBorders>
              <w:top w:val="single" w:color="auto" w:sz="6" w:space="0"/>
              <w:left w:val="single" w:color="auto" w:sz="6" w:space="0"/>
              <w:bottom w:val="single" w:color="auto" w:sz="6" w:space="0"/>
              <w:right w:val="single" w:color="auto" w:sz="6" w:space="0"/>
            </w:tcBorders>
            <w:noWrap/>
            <w:vAlign w:val="center"/>
          </w:tcPr>
          <w:p w14:paraId="3FA69E15">
            <w:pPr>
              <w:topLinePunct/>
              <w:spacing w:line="440" w:lineRule="exact"/>
              <w:jc w:val="center"/>
              <w:rPr>
                <w:rFonts w:ascii="宋体"/>
                <w:szCs w:val="21"/>
              </w:rPr>
            </w:pPr>
            <w:r>
              <w:rPr>
                <w:rFonts w:hint="eastAsia" w:ascii="宋体" w:hAnsi="宋体"/>
                <w:szCs w:val="21"/>
              </w:rPr>
              <w:t>等级</w:t>
            </w:r>
          </w:p>
        </w:tc>
        <w:tc>
          <w:tcPr>
            <w:tcW w:w="1083" w:type="dxa"/>
            <w:tcBorders>
              <w:top w:val="single" w:color="auto" w:sz="6" w:space="0"/>
              <w:left w:val="single" w:color="auto" w:sz="6" w:space="0"/>
              <w:bottom w:val="single" w:color="auto" w:sz="6" w:space="0"/>
              <w:right w:val="single" w:color="auto" w:sz="6" w:space="0"/>
            </w:tcBorders>
            <w:noWrap/>
            <w:vAlign w:val="center"/>
          </w:tcPr>
          <w:p w14:paraId="1264A18F">
            <w:pPr>
              <w:topLinePunct/>
              <w:spacing w:line="440" w:lineRule="exact"/>
              <w:jc w:val="center"/>
              <w:rPr>
                <w:rFonts w:ascii="宋体"/>
                <w:szCs w:val="21"/>
              </w:rPr>
            </w:pPr>
            <w:r>
              <w:rPr>
                <w:rFonts w:hint="eastAsia" w:ascii="宋体" w:hAnsi="宋体"/>
                <w:szCs w:val="21"/>
              </w:rPr>
              <w:t>发证机关</w:t>
            </w:r>
          </w:p>
        </w:tc>
        <w:tc>
          <w:tcPr>
            <w:tcW w:w="3240" w:type="dxa"/>
            <w:gridSpan w:val="2"/>
            <w:tcBorders>
              <w:top w:val="single" w:color="auto" w:sz="6" w:space="0"/>
              <w:left w:val="single" w:color="auto" w:sz="6" w:space="0"/>
              <w:bottom w:val="single" w:color="auto" w:sz="6" w:space="0"/>
              <w:right w:val="double" w:color="auto" w:sz="4" w:space="0"/>
            </w:tcBorders>
            <w:noWrap/>
            <w:vAlign w:val="center"/>
          </w:tcPr>
          <w:p w14:paraId="1BB5136A">
            <w:pPr>
              <w:topLinePunct/>
              <w:spacing w:line="440" w:lineRule="exact"/>
              <w:jc w:val="center"/>
              <w:rPr>
                <w:rFonts w:ascii="宋体"/>
                <w:szCs w:val="21"/>
              </w:rPr>
            </w:pPr>
            <w:r>
              <w:rPr>
                <w:rFonts w:hint="eastAsia" w:ascii="宋体" w:hAnsi="宋体"/>
                <w:szCs w:val="21"/>
              </w:rPr>
              <w:t>有效期</w:t>
            </w:r>
          </w:p>
        </w:tc>
      </w:tr>
      <w:tr w14:paraId="3C2143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noWrap/>
            <w:vAlign w:val="center"/>
          </w:tcPr>
          <w:p w14:paraId="1C0BDCF2">
            <w:pPr>
              <w:topLinePunct/>
              <w:spacing w:line="440" w:lineRule="exact"/>
              <w:jc w:val="center"/>
              <w:rPr>
                <w:rFonts w:ascii="宋体"/>
                <w:szCs w:val="21"/>
              </w:rPr>
            </w:pPr>
          </w:p>
        </w:tc>
        <w:tc>
          <w:tcPr>
            <w:tcW w:w="884" w:type="dxa"/>
            <w:gridSpan w:val="2"/>
            <w:tcBorders>
              <w:top w:val="single" w:color="auto" w:sz="6" w:space="0"/>
              <w:left w:val="single" w:color="auto" w:sz="6" w:space="0"/>
              <w:bottom w:val="single" w:color="auto" w:sz="6" w:space="0"/>
              <w:right w:val="single" w:color="auto" w:sz="6" w:space="0"/>
            </w:tcBorders>
            <w:noWrap/>
            <w:vAlign w:val="center"/>
          </w:tcPr>
          <w:p w14:paraId="5BACA2C6">
            <w:pPr>
              <w:topLinePunct/>
              <w:spacing w:line="440" w:lineRule="exact"/>
              <w:jc w:val="center"/>
              <w:rPr>
                <w:rFonts w:ascii="宋体"/>
                <w:szCs w:val="21"/>
              </w:rPr>
            </w:pPr>
          </w:p>
        </w:tc>
        <w:tc>
          <w:tcPr>
            <w:tcW w:w="1083" w:type="dxa"/>
            <w:tcBorders>
              <w:top w:val="single" w:color="auto" w:sz="6" w:space="0"/>
              <w:left w:val="single" w:color="auto" w:sz="6" w:space="0"/>
              <w:bottom w:val="single" w:color="auto" w:sz="6" w:space="0"/>
              <w:right w:val="single" w:color="auto" w:sz="6" w:space="0"/>
            </w:tcBorders>
            <w:noWrap/>
            <w:vAlign w:val="center"/>
          </w:tcPr>
          <w:p w14:paraId="231CA97E">
            <w:pPr>
              <w:topLinePunct/>
              <w:spacing w:line="440" w:lineRule="exact"/>
              <w:jc w:val="center"/>
              <w:rPr>
                <w:rFonts w:ascii="宋体"/>
                <w:szCs w:val="21"/>
              </w:rPr>
            </w:pPr>
          </w:p>
        </w:tc>
        <w:tc>
          <w:tcPr>
            <w:tcW w:w="3240" w:type="dxa"/>
            <w:gridSpan w:val="2"/>
            <w:tcBorders>
              <w:top w:val="single" w:color="auto" w:sz="6" w:space="0"/>
              <w:left w:val="single" w:color="auto" w:sz="6" w:space="0"/>
              <w:bottom w:val="single" w:color="auto" w:sz="6" w:space="0"/>
              <w:right w:val="double" w:color="auto" w:sz="4" w:space="0"/>
            </w:tcBorders>
            <w:noWrap/>
            <w:vAlign w:val="center"/>
          </w:tcPr>
          <w:p w14:paraId="5DAB7025">
            <w:pPr>
              <w:topLinePunct/>
              <w:spacing w:line="440" w:lineRule="exact"/>
              <w:jc w:val="center"/>
              <w:rPr>
                <w:rFonts w:ascii="宋体"/>
                <w:szCs w:val="21"/>
              </w:rPr>
            </w:pPr>
          </w:p>
        </w:tc>
      </w:tr>
      <w:tr w14:paraId="2C2FE5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noWrap/>
            <w:vAlign w:val="center"/>
          </w:tcPr>
          <w:p w14:paraId="7B162F1C">
            <w:pPr>
              <w:topLinePunct/>
              <w:spacing w:line="440" w:lineRule="exact"/>
              <w:jc w:val="center"/>
              <w:rPr>
                <w:rFonts w:ascii="宋体"/>
                <w:szCs w:val="21"/>
              </w:rPr>
            </w:pPr>
          </w:p>
        </w:tc>
        <w:tc>
          <w:tcPr>
            <w:tcW w:w="884" w:type="dxa"/>
            <w:gridSpan w:val="2"/>
            <w:tcBorders>
              <w:top w:val="single" w:color="auto" w:sz="6" w:space="0"/>
              <w:left w:val="single" w:color="auto" w:sz="6" w:space="0"/>
              <w:bottom w:val="single" w:color="auto" w:sz="6" w:space="0"/>
              <w:right w:val="single" w:color="auto" w:sz="6" w:space="0"/>
            </w:tcBorders>
            <w:noWrap/>
            <w:vAlign w:val="center"/>
          </w:tcPr>
          <w:p w14:paraId="64F013CD">
            <w:pPr>
              <w:topLinePunct/>
              <w:spacing w:line="440" w:lineRule="exact"/>
              <w:jc w:val="center"/>
              <w:rPr>
                <w:rFonts w:ascii="宋体"/>
                <w:szCs w:val="21"/>
              </w:rPr>
            </w:pPr>
          </w:p>
        </w:tc>
        <w:tc>
          <w:tcPr>
            <w:tcW w:w="1083" w:type="dxa"/>
            <w:tcBorders>
              <w:top w:val="single" w:color="auto" w:sz="6" w:space="0"/>
              <w:left w:val="single" w:color="auto" w:sz="6" w:space="0"/>
              <w:bottom w:val="single" w:color="auto" w:sz="6" w:space="0"/>
              <w:right w:val="single" w:color="auto" w:sz="6" w:space="0"/>
            </w:tcBorders>
            <w:noWrap/>
            <w:vAlign w:val="center"/>
          </w:tcPr>
          <w:p w14:paraId="70553982">
            <w:pPr>
              <w:topLinePunct/>
              <w:spacing w:line="440" w:lineRule="exact"/>
              <w:jc w:val="center"/>
              <w:rPr>
                <w:rFonts w:ascii="宋体"/>
                <w:szCs w:val="21"/>
              </w:rPr>
            </w:pPr>
          </w:p>
        </w:tc>
        <w:tc>
          <w:tcPr>
            <w:tcW w:w="3240" w:type="dxa"/>
            <w:gridSpan w:val="2"/>
            <w:tcBorders>
              <w:top w:val="single" w:color="auto" w:sz="6" w:space="0"/>
              <w:left w:val="single" w:color="auto" w:sz="6" w:space="0"/>
              <w:bottom w:val="single" w:color="auto" w:sz="6" w:space="0"/>
              <w:right w:val="double" w:color="auto" w:sz="4" w:space="0"/>
            </w:tcBorders>
            <w:noWrap/>
            <w:vAlign w:val="center"/>
          </w:tcPr>
          <w:p w14:paraId="5B379388">
            <w:pPr>
              <w:topLinePunct/>
              <w:spacing w:line="440" w:lineRule="exact"/>
              <w:jc w:val="center"/>
              <w:rPr>
                <w:rFonts w:ascii="宋体"/>
                <w:szCs w:val="21"/>
              </w:rPr>
            </w:pPr>
          </w:p>
        </w:tc>
      </w:tr>
      <w:tr w14:paraId="5F9C97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noWrap/>
            <w:vAlign w:val="center"/>
          </w:tcPr>
          <w:p w14:paraId="1042BE43">
            <w:pPr>
              <w:topLinePunct/>
              <w:spacing w:line="440" w:lineRule="exact"/>
              <w:jc w:val="center"/>
              <w:rPr>
                <w:rFonts w:ascii="宋体"/>
                <w:szCs w:val="21"/>
              </w:rPr>
            </w:pPr>
          </w:p>
        </w:tc>
        <w:tc>
          <w:tcPr>
            <w:tcW w:w="884" w:type="dxa"/>
            <w:gridSpan w:val="2"/>
            <w:tcBorders>
              <w:top w:val="single" w:color="auto" w:sz="6" w:space="0"/>
              <w:left w:val="single" w:color="auto" w:sz="6" w:space="0"/>
              <w:bottom w:val="single" w:color="auto" w:sz="6" w:space="0"/>
              <w:right w:val="single" w:color="auto" w:sz="6" w:space="0"/>
            </w:tcBorders>
            <w:noWrap/>
            <w:vAlign w:val="center"/>
          </w:tcPr>
          <w:p w14:paraId="3BA9A634">
            <w:pPr>
              <w:topLinePunct/>
              <w:spacing w:line="440" w:lineRule="exact"/>
              <w:jc w:val="center"/>
              <w:rPr>
                <w:rFonts w:ascii="宋体"/>
                <w:szCs w:val="21"/>
              </w:rPr>
            </w:pPr>
          </w:p>
        </w:tc>
        <w:tc>
          <w:tcPr>
            <w:tcW w:w="1083" w:type="dxa"/>
            <w:tcBorders>
              <w:top w:val="single" w:color="auto" w:sz="6" w:space="0"/>
              <w:left w:val="single" w:color="auto" w:sz="6" w:space="0"/>
              <w:bottom w:val="single" w:color="auto" w:sz="6" w:space="0"/>
              <w:right w:val="single" w:color="auto" w:sz="6" w:space="0"/>
            </w:tcBorders>
            <w:noWrap/>
            <w:vAlign w:val="center"/>
          </w:tcPr>
          <w:p w14:paraId="407E9273">
            <w:pPr>
              <w:topLinePunct/>
              <w:spacing w:line="440" w:lineRule="exact"/>
              <w:jc w:val="center"/>
              <w:rPr>
                <w:rFonts w:ascii="宋体"/>
                <w:szCs w:val="21"/>
              </w:rPr>
            </w:pPr>
          </w:p>
        </w:tc>
        <w:tc>
          <w:tcPr>
            <w:tcW w:w="3240" w:type="dxa"/>
            <w:gridSpan w:val="2"/>
            <w:tcBorders>
              <w:top w:val="single" w:color="auto" w:sz="6" w:space="0"/>
              <w:left w:val="single" w:color="auto" w:sz="6" w:space="0"/>
              <w:bottom w:val="single" w:color="auto" w:sz="6" w:space="0"/>
              <w:right w:val="double" w:color="auto" w:sz="4" w:space="0"/>
            </w:tcBorders>
            <w:noWrap/>
            <w:vAlign w:val="center"/>
          </w:tcPr>
          <w:p w14:paraId="6ED312DD">
            <w:pPr>
              <w:topLinePunct/>
              <w:spacing w:line="440" w:lineRule="exact"/>
              <w:jc w:val="center"/>
              <w:rPr>
                <w:rFonts w:ascii="宋体"/>
                <w:szCs w:val="21"/>
              </w:rPr>
            </w:pPr>
          </w:p>
        </w:tc>
      </w:tr>
      <w:tr w14:paraId="140C3A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noWrap/>
            <w:vAlign w:val="center"/>
          </w:tcPr>
          <w:p w14:paraId="2D5D5491">
            <w:pPr>
              <w:topLinePunct/>
              <w:spacing w:line="440" w:lineRule="exact"/>
              <w:jc w:val="center"/>
              <w:rPr>
                <w:rFonts w:ascii="宋体"/>
                <w:szCs w:val="21"/>
              </w:rPr>
            </w:pPr>
          </w:p>
        </w:tc>
        <w:tc>
          <w:tcPr>
            <w:tcW w:w="884" w:type="dxa"/>
            <w:gridSpan w:val="2"/>
            <w:tcBorders>
              <w:top w:val="single" w:color="auto" w:sz="6" w:space="0"/>
              <w:left w:val="single" w:color="auto" w:sz="6" w:space="0"/>
              <w:bottom w:val="single" w:color="auto" w:sz="6" w:space="0"/>
              <w:right w:val="single" w:color="auto" w:sz="6" w:space="0"/>
            </w:tcBorders>
            <w:noWrap/>
            <w:vAlign w:val="center"/>
          </w:tcPr>
          <w:p w14:paraId="4D0E0DC3">
            <w:pPr>
              <w:topLinePunct/>
              <w:spacing w:line="440" w:lineRule="exact"/>
              <w:jc w:val="center"/>
              <w:rPr>
                <w:rFonts w:ascii="宋体"/>
                <w:szCs w:val="21"/>
              </w:rPr>
            </w:pPr>
          </w:p>
        </w:tc>
        <w:tc>
          <w:tcPr>
            <w:tcW w:w="1083" w:type="dxa"/>
            <w:tcBorders>
              <w:top w:val="single" w:color="auto" w:sz="6" w:space="0"/>
              <w:left w:val="single" w:color="auto" w:sz="6" w:space="0"/>
              <w:bottom w:val="single" w:color="auto" w:sz="6" w:space="0"/>
              <w:right w:val="single" w:color="auto" w:sz="6" w:space="0"/>
            </w:tcBorders>
            <w:noWrap/>
            <w:vAlign w:val="center"/>
          </w:tcPr>
          <w:p w14:paraId="02216D89">
            <w:pPr>
              <w:topLinePunct/>
              <w:spacing w:line="440" w:lineRule="exact"/>
              <w:jc w:val="center"/>
              <w:rPr>
                <w:rFonts w:ascii="宋体"/>
                <w:szCs w:val="21"/>
              </w:rPr>
            </w:pPr>
          </w:p>
        </w:tc>
        <w:tc>
          <w:tcPr>
            <w:tcW w:w="3240" w:type="dxa"/>
            <w:gridSpan w:val="2"/>
            <w:tcBorders>
              <w:top w:val="single" w:color="auto" w:sz="6" w:space="0"/>
              <w:left w:val="single" w:color="auto" w:sz="6" w:space="0"/>
              <w:bottom w:val="single" w:color="auto" w:sz="6" w:space="0"/>
              <w:right w:val="double" w:color="auto" w:sz="4" w:space="0"/>
            </w:tcBorders>
            <w:noWrap/>
            <w:vAlign w:val="center"/>
          </w:tcPr>
          <w:p w14:paraId="5B1FFCD2">
            <w:pPr>
              <w:topLinePunct/>
              <w:spacing w:line="440" w:lineRule="exact"/>
              <w:jc w:val="center"/>
              <w:rPr>
                <w:rFonts w:ascii="宋体"/>
                <w:szCs w:val="21"/>
              </w:rPr>
            </w:pPr>
          </w:p>
        </w:tc>
      </w:tr>
      <w:tr w14:paraId="28861C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60" w:hRule="atLeast"/>
        </w:trPr>
        <w:tc>
          <w:tcPr>
            <w:tcW w:w="1258" w:type="dxa"/>
            <w:gridSpan w:val="2"/>
            <w:tcBorders>
              <w:top w:val="single" w:color="auto" w:sz="6" w:space="0"/>
              <w:left w:val="double" w:color="auto" w:sz="4" w:space="0"/>
              <w:bottom w:val="double" w:color="auto" w:sz="4" w:space="0"/>
              <w:right w:val="single" w:color="auto" w:sz="6" w:space="0"/>
            </w:tcBorders>
            <w:noWrap/>
            <w:vAlign w:val="center"/>
          </w:tcPr>
          <w:p w14:paraId="2CFE5123">
            <w:pPr>
              <w:topLinePunct/>
              <w:spacing w:line="440" w:lineRule="exact"/>
              <w:jc w:val="center"/>
              <w:rPr>
                <w:rFonts w:ascii="宋体"/>
                <w:szCs w:val="21"/>
              </w:rPr>
            </w:pPr>
            <w:r>
              <w:rPr>
                <w:rFonts w:hint="eastAsia" w:ascii="宋体" w:hAnsi="宋体"/>
                <w:szCs w:val="21"/>
              </w:rPr>
              <w:t>备注</w:t>
            </w:r>
          </w:p>
        </w:tc>
        <w:tc>
          <w:tcPr>
            <w:tcW w:w="7562" w:type="dxa"/>
            <w:gridSpan w:val="8"/>
            <w:tcBorders>
              <w:top w:val="single" w:color="auto" w:sz="6" w:space="0"/>
              <w:left w:val="single" w:color="auto" w:sz="6" w:space="0"/>
              <w:bottom w:val="double" w:color="auto" w:sz="4" w:space="0"/>
              <w:right w:val="double" w:color="auto" w:sz="4" w:space="0"/>
            </w:tcBorders>
            <w:noWrap/>
            <w:vAlign w:val="center"/>
          </w:tcPr>
          <w:p w14:paraId="276477D4">
            <w:pPr>
              <w:topLinePunct/>
              <w:spacing w:line="440" w:lineRule="exact"/>
              <w:rPr>
                <w:rFonts w:ascii="黑体" w:hAnsi="宋体" w:eastAsia="黑体"/>
                <w:szCs w:val="21"/>
              </w:rPr>
            </w:pPr>
            <w:r>
              <w:rPr>
                <w:rFonts w:hint="eastAsia" w:ascii="黑体" w:hAnsi="宋体" w:eastAsia="黑体"/>
                <w:szCs w:val="21"/>
              </w:rPr>
              <w:t>附《营业执照》（副本）复印件</w:t>
            </w:r>
          </w:p>
        </w:tc>
      </w:tr>
    </w:tbl>
    <w:p w14:paraId="2A04A298">
      <w:pPr>
        <w:widowControl/>
        <w:adjustRightInd w:val="0"/>
        <w:snapToGrid w:val="0"/>
        <w:spacing w:line="360" w:lineRule="auto"/>
        <w:jc w:val="left"/>
        <w:rPr>
          <w:rFonts w:ascii="黑体" w:hAnsi="仿宋" w:cs="宋体"/>
          <w:b/>
          <w:bCs/>
          <w:szCs w:val="21"/>
        </w:rPr>
      </w:pPr>
    </w:p>
    <w:p w14:paraId="1D573F3D">
      <w:pPr>
        <w:widowControl/>
        <w:adjustRightInd w:val="0"/>
        <w:snapToGrid w:val="0"/>
        <w:spacing w:line="360" w:lineRule="auto"/>
        <w:jc w:val="left"/>
        <w:rPr>
          <w:rFonts w:ascii="黑体" w:hAnsi="仿宋" w:cs="宋体"/>
          <w:b/>
          <w:bCs/>
          <w:szCs w:val="21"/>
        </w:rPr>
      </w:pPr>
    </w:p>
    <w:p w14:paraId="066B709F">
      <w:pPr>
        <w:widowControl/>
        <w:adjustRightInd w:val="0"/>
        <w:snapToGrid w:val="0"/>
        <w:spacing w:line="360" w:lineRule="auto"/>
        <w:jc w:val="left"/>
        <w:rPr>
          <w:rFonts w:ascii="黑体" w:hAnsi="仿宋" w:cs="宋体"/>
          <w:b/>
          <w:bCs/>
          <w:szCs w:val="21"/>
        </w:rPr>
      </w:pPr>
    </w:p>
    <w:p w14:paraId="0B2C519E">
      <w:pPr>
        <w:widowControl/>
        <w:adjustRightInd w:val="0"/>
        <w:snapToGrid w:val="0"/>
        <w:spacing w:line="360" w:lineRule="auto"/>
        <w:jc w:val="left"/>
        <w:rPr>
          <w:rFonts w:ascii="黑体" w:hAnsi="仿宋" w:cs="宋体"/>
          <w:b/>
          <w:bCs/>
          <w:szCs w:val="21"/>
        </w:rPr>
      </w:pPr>
    </w:p>
    <w:p w14:paraId="39F98412">
      <w:pPr>
        <w:widowControl/>
        <w:adjustRightInd w:val="0"/>
        <w:snapToGrid w:val="0"/>
        <w:spacing w:line="360" w:lineRule="auto"/>
        <w:jc w:val="left"/>
        <w:rPr>
          <w:rFonts w:ascii="黑体" w:hAnsi="仿宋" w:cs="宋体"/>
          <w:b/>
          <w:bCs/>
          <w:szCs w:val="21"/>
        </w:rPr>
      </w:pPr>
    </w:p>
    <w:p w14:paraId="6C02EE03">
      <w:pPr>
        <w:widowControl/>
        <w:adjustRightInd w:val="0"/>
        <w:snapToGrid w:val="0"/>
        <w:spacing w:line="360" w:lineRule="auto"/>
        <w:jc w:val="left"/>
        <w:rPr>
          <w:rFonts w:ascii="黑体" w:hAnsi="仿宋" w:cs="宋体"/>
          <w:b/>
          <w:bCs/>
          <w:szCs w:val="21"/>
        </w:rPr>
      </w:pPr>
      <w:r>
        <w:rPr>
          <w:rFonts w:hint="eastAsia" w:ascii="黑体" w:hAnsi="仿宋" w:cs="宋体"/>
          <w:b/>
          <w:bCs/>
          <w:szCs w:val="21"/>
        </w:rPr>
        <w:t xml:space="preserve">附件4-1 </w:t>
      </w:r>
      <w:bookmarkEnd w:id="133"/>
    </w:p>
    <w:p w14:paraId="4D050612">
      <w:pPr>
        <w:widowControl/>
        <w:adjustRightInd w:val="0"/>
        <w:snapToGrid w:val="0"/>
        <w:spacing w:line="360" w:lineRule="auto"/>
        <w:jc w:val="center"/>
        <w:rPr>
          <w:rFonts w:ascii="黑体" w:hAnsi="仿宋" w:eastAsia="黑体" w:cs="宋体"/>
          <w:b/>
          <w:sz w:val="28"/>
          <w:szCs w:val="28"/>
        </w:rPr>
      </w:pPr>
      <w:r>
        <w:rPr>
          <w:rFonts w:hint="eastAsia" w:ascii="黑体" w:hAnsi="仿宋" w:eastAsia="黑体" w:cs="宋体"/>
          <w:b/>
          <w:sz w:val="28"/>
          <w:szCs w:val="28"/>
        </w:rPr>
        <w:t>符合基本资格条件证明材料扫描件或者情况说明</w:t>
      </w:r>
    </w:p>
    <w:p w14:paraId="1879F12D">
      <w:pPr>
        <w:adjustRightInd w:val="0"/>
        <w:snapToGrid w:val="0"/>
        <w:spacing w:beforeLines="50" w:line="360" w:lineRule="auto"/>
        <w:ind w:firstLine="420" w:firstLineChars="200"/>
        <w:rPr>
          <w:rFonts w:ascii="宋体" w:hAnsi="宋体" w:cs="宋体"/>
          <w:szCs w:val="21"/>
        </w:rPr>
      </w:pPr>
      <w:r>
        <w:rPr>
          <w:rFonts w:hint="eastAsia" w:ascii="宋体" w:hAnsi="宋体" w:cs="宋体"/>
          <w:szCs w:val="21"/>
        </w:rPr>
        <w:t>法人、或者其他组织的营业执照等主体资格证明文件，自然人的身份证明，信用查询记录、财务状况报告、依法缴纳税收和社会保险费的相关证明、履行本项目采购合同所必须的设备和专业技术能力证明材料等</w:t>
      </w:r>
    </w:p>
    <w:p w14:paraId="647BD1F1">
      <w:pPr>
        <w:adjustRightInd w:val="0"/>
        <w:snapToGrid w:val="0"/>
        <w:spacing w:beforeLines="50" w:line="360" w:lineRule="auto"/>
        <w:ind w:firstLine="420" w:firstLineChars="200"/>
        <w:rPr>
          <w:rFonts w:ascii="宋体" w:hAnsi="宋体" w:cs="宋体"/>
          <w:szCs w:val="21"/>
        </w:rPr>
      </w:pPr>
      <w:r>
        <w:rPr>
          <w:rFonts w:hint="eastAsia" w:ascii="宋体" w:hAnsi="宋体" w:cs="宋体"/>
          <w:szCs w:val="21"/>
        </w:rPr>
        <w:t>注：</w:t>
      </w:r>
    </w:p>
    <w:p w14:paraId="4AF1AB28">
      <w:pPr>
        <w:adjustRightInd w:val="0"/>
        <w:snapToGrid w:val="0"/>
        <w:spacing w:beforeLines="50" w:line="360" w:lineRule="auto"/>
        <w:ind w:firstLine="420" w:firstLineChars="200"/>
        <w:rPr>
          <w:rFonts w:ascii="宋体" w:hAnsi="宋体"/>
        </w:rPr>
      </w:pPr>
      <w:r>
        <w:rPr>
          <w:rFonts w:hint="eastAsia" w:ascii="宋体" w:hAnsi="宋体" w:cs="宋体"/>
          <w:szCs w:val="21"/>
        </w:rPr>
        <w:t>（1）</w:t>
      </w:r>
      <w:r>
        <w:rPr>
          <w:rFonts w:hint="eastAsia" w:ascii="宋体" w:hAnsi="宋体"/>
        </w:rPr>
        <w:t>投标人为法人的，应提交营业执照或法人登记证书的扫描件</w:t>
      </w:r>
    </w:p>
    <w:p w14:paraId="3F7221AB">
      <w:pPr>
        <w:adjustRightInd w:val="0"/>
        <w:snapToGrid w:val="0"/>
        <w:spacing w:beforeLines="50" w:line="360" w:lineRule="auto"/>
        <w:ind w:firstLine="420" w:firstLineChars="200"/>
        <w:rPr>
          <w:rFonts w:ascii="宋体" w:hAnsi="宋体"/>
        </w:rPr>
      </w:pPr>
      <w:r>
        <w:rPr>
          <w:rFonts w:hint="eastAsia" w:ascii="宋体" w:hAnsi="宋体" w:cs="宋体"/>
          <w:szCs w:val="21"/>
        </w:rPr>
        <w:t>（2）</w:t>
      </w:r>
      <w:r>
        <w:rPr>
          <w:rFonts w:hint="eastAsia" w:ascii="宋体" w:hAnsi="宋体"/>
        </w:rPr>
        <w:t>投标人为非法人组织的，应提交依法登记证书扫描件；</w:t>
      </w:r>
    </w:p>
    <w:p w14:paraId="4A2ABB98">
      <w:pPr>
        <w:adjustRightInd w:val="0"/>
        <w:snapToGrid w:val="0"/>
        <w:spacing w:beforeLines="50" w:line="360" w:lineRule="auto"/>
        <w:ind w:firstLine="420" w:firstLineChars="200"/>
        <w:rPr>
          <w:rFonts w:hint="eastAsia" w:ascii="宋体" w:hAnsi="宋体" w:eastAsia="宋体" w:cs="Times New Roman"/>
        </w:rPr>
      </w:pPr>
      <w:r>
        <w:rPr>
          <w:rFonts w:hint="eastAsia" w:ascii="宋体" w:hAnsi="宋体" w:cs="宋体"/>
          <w:szCs w:val="21"/>
        </w:rPr>
        <w:t>（3）</w:t>
      </w:r>
      <w:r>
        <w:rPr>
          <w:rFonts w:hint="eastAsia" w:ascii="宋体" w:hAnsi="宋体"/>
        </w:rPr>
        <w:t>投标人</w:t>
      </w:r>
      <w:r>
        <w:rPr>
          <w:rFonts w:hint="eastAsia" w:ascii="宋体" w:hAnsi="宋体" w:eastAsia="宋体" w:cs="Times New Roman"/>
        </w:rPr>
        <w:t>为个体工商户的，应提交个体工商户营业执照扫描件；</w:t>
      </w:r>
    </w:p>
    <w:p w14:paraId="28495174">
      <w:pPr>
        <w:adjustRightInd w:val="0"/>
        <w:snapToGrid w:val="0"/>
        <w:spacing w:beforeLines="50" w:line="360" w:lineRule="auto"/>
        <w:ind w:firstLine="420" w:firstLineChars="200"/>
        <w:rPr>
          <w:rFonts w:hint="eastAsia" w:ascii="宋体" w:hAnsi="宋体" w:eastAsia="宋体" w:cs="Times New Roman"/>
        </w:rPr>
      </w:pPr>
      <w:r>
        <w:rPr>
          <w:rFonts w:hint="eastAsia" w:ascii="宋体" w:hAnsi="宋体" w:eastAsia="宋体" w:cs="Times New Roman"/>
        </w:rPr>
        <w:t>（4）投标人为自然人的，应提交自然人的身份证明扫描件。</w:t>
      </w:r>
    </w:p>
    <w:p w14:paraId="2B3EBC5E">
      <w:pPr>
        <w:adjustRightInd w:val="0"/>
        <w:snapToGrid w:val="0"/>
        <w:spacing w:beforeLines="50" w:line="360" w:lineRule="auto"/>
        <w:ind w:firstLine="420" w:firstLineChars="200"/>
        <w:rPr>
          <w:rFonts w:hint="eastAsia" w:ascii="宋体" w:hAnsi="宋体" w:eastAsia="宋体" w:cs="Times New Roman"/>
        </w:rPr>
      </w:pPr>
      <w:bookmarkStart w:id="134" w:name="_Toc32023"/>
      <w:bookmarkStart w:id="135" w:name="_Toc20918"/>
      <w:bookmarkStart w:id="136" w:name="_Toc12795"/>
      <w:r>
        <w:rPr>
          <w:rFonts w:hint="eastAsia" w:ascii="宋体" w:hAnsi="宋体" w:eastAsia="宋体" w:cs="Times New Roman"/>
          <w:lang w:eastAsia="zh-CN"/>
        </w:rPr>
        <w:t>（</w:t>
      </w:r>
      <w:r>
        <w:rPr>
          <w:rFonts w:hint="eastAsia" w:ascii="宋体" w:hAnsi="宋体" w:eastAsia="宋体" w:cs="Times New Roman"/>
          <w:lang w:val="en-US" w:eastAsia="zh-CN"/>
        </w:rPr>
        <w:t>5</w:t>
      </w:r>
      <w:r>
        <w:rPr>
          <w:rFonts w:hint="eastAsia" w:ascii="宋体" w:hAnsi="宋体" w:eastAsia="宋体" w:cs="Times New Roman"/>
          <w:lang w:eastAsia="zh-CN"/>
        </w:rPr>
        <w:t>）</w:t>
      </w:r>
      <w:r>
        <w:rPr>
          <w:rFonts w:hint="eastAsia" w:ascii="宋体" w:hAnsi="宋体" w:eastAsia="宋体" w:cs="Times New Roman"/>
        </w:rPr>
        <w:t>具有履行本项目采购合同所必须的设备和专业技术能力证明材料</w:t>
      </w:r>
      <w:bookmarkEnd w:id="134"/>
      <w:bookmarkEnd w:id="135"/>
      <w:bookmarkEnd w:id="136"/>
    </w:p>
    <w:p w14:paraId="3B1B5913">
      <w:pPr>
        <w:adjustRightInd w:val="0"/>
        <w:snapToGrid w:val="0"/>
        <w:spacing w:beforeLines="50" w:line="360" w:lineRule="auto"/>
        <w:ind w:firstLine="420" w:firstLineChars="200"/>
        <w:rPr>
          <w:rFonts w:ascii="宋体" w:hAnsi="宋体"/>
        </w:rPr>
      </w:pPr>
    </w:p>
    <w:p w14:paraId="156E0CAA">
      <w:pPr>
        <w:adjustRightInd w:val="0"/>
        <w:snapToGrid w:val="0"/>
        <w:spacing w:beforeLines="50" w:line="360" w:lineRule="auto"/>
        <w:ind w:firstLine="420" w:firstLineChars="200"/>
        <w:rPr>
          <w:rFonts w:ascii="宋体" w:hAnsi="宋体"/>
        </w:rPr>
      </w:pPr>
    </w:p>
    <w:p w14:paraId="0572B499">
      <w:pPr>
        <w:adjustRightInd w:val="0"/>
        <w:snapToGrid w:val="0"/>
        <w:spacing w:beforeLines="50" w:line="360" w:lineRule="auto"/>
        <w:ind w:firstLine="420" w:firstLineChars="200"/>
        <w:rPr>
          <w:rFonts w:ascii="宋体" w:hAnsi="宋体"/>
        </w:rPr>
      </w:pPr>
    </w:p>
    <w:p w14:paraId="402A8BC0">
      <w:pPr>
        <w:adjustRightInd w:val="0"/>
        <w:snapToGrid w:val="0"/>
        <w:spacing w:beforeLines="50" w:line="360" w:lineRule="auto"/>
        <w:ind w:firstLine="420" w:firstLineChars="200"/>
        <w:rPr>
          <w:rFonts w:ascii="宋体" w:hAnsi="宋体"/>
        </w:rPr>
      </w:pPr>
    </w:p>
    <w:p w14:paraId="0D2D0BE8">
      <w:pPr>
        <w:adjustRightInd w:val="0"/>
        <w:snapToGrid w:val="0"/>
        <w:spacing w:beforeLines="50" w:line="360" w:lineRule="auto"/>
        <w:ind w:firstLine="420" w:firstLineChars="200"/>
        <w:rPr>
          <w:rFonts w:ascii="宋体" w:hAnsi="宋体"/>
        </w:rPr>
      </w:pPr>
    </w:p>
    <w:p w14:paraId="7AB29CAE">
      <w:pPr>
        <w:adjustRightInd w:val="0"/>
        <w:snapToGrid w:val="0"/>
        <w:spacing w:beforeLines="50" w:line="360" w:lineRule="auto"/>
        <w:ind w:firstLine="420" w:firstLineChars="200"/>
        <w:rPr>
          <w:rFonts w:ascii="宋体" w:hAnsi="宋体"/>
        </w:rPr>
      </w:pPr>
    </w:p>
    <w:p w14:paraId="6505199A">
      <w:pPr>
        <w:adjustRightInd w:val="0"/>
        <w:snapToGrid w:val="0"/>
        <w:spacing w:beforeLines="50" w:line="360" w:lineRule="auto"/>
        <w:ind w:firstLine="420" w:firstLineChars="200"/>
        <w:rPr>
          <w:rFonts w:ascii="宋体" w:hAnsi="宋体"/>
        </w:rPr>
      </w:pPr>
    </w:p>
    <w:p w14:paraId="46B27944">
      <w:pPr>
        <w:adjustRightInd w:val="0"/>
        <w:snapToGrid w:val="0"/>
        <w:spacing w:beforeLines="50" w:line="360" w:lineRule="auto"/>
        <w:ind w:firstLine="420" w:firstLineChars="200"/>
        <w:rPr>
          <w:rFonts w:ascii="宋体" w:hAnsi="宋体"/>
        </w:rPr>
      </w:pPr>
    </w:p>
    <w:p w14:paraId="7FB2BDB2">
      <w:pPr>
        <w:adjustRightInd w:val="0"/>
        <w:snapToGrid w:val="0"/>
        <w:spacing w:beforeLines="50" w:line="360" w:lineRule="auto"/>
        <w:ind w:firstLine="420" w:firstLineChars="200"/>
        <w:rPr>
          <w:rFonts w:ascii="宋体" w:hAnsi="宋体"/>
        </w:rPr>
      </w:pPr>
    </w:p>
    <w:p w14:paraId="28E70B20">
      <w:pPr>
        <w:adjustRightInd w:val="0"/>
        <w:snapToGrid w:val="0"/>
        <w:spacing w:beforeLines="50" w:line="360" w:lineRule="auto"/>
        <w:ind w:firstLine="420" w:firstLineChars="200"/>
        <w:rPr>
          <w:rFonts w:ascii="宋体" w:hAnsi="宋体"/>
        </w:rPr>
      </w:pPr>
    </w:p>
    <w:p w14:paraId="2F801AB0">
      <w:pPr>
        <w:adjustRightInd w:val="0"/>
        <w:snapToGrid w:val="0"/>
        <w:spacing w:beforeLines="50" w:line="360" w:lineRule="auto"/>
        <w:ind w:firstLine="420" w:firstLineChars="200"/>
        <w:rPr>
          <w:rFonts w:ascii="宋体" w:hAnsi="宋体"/>
        </w:rPr>
      </w:pPr>
    </w:p>
    <w:p w14:paraId="6F261A01">
      <w:pPr>
        <w:adjustRightInd w:val="0"/>
        <w:snapToGrid w:val="0"/>
        <w:spacing w:beforeLines="50" w:line="360" w:lineRule="auto"/>
        <w:ind w:firstLine="420" w:firstLineChars="200"/>
        <w:rPr>
          <w:rFonts w:ascii="宋体" w:hAnsi="宋体"/>
        </w:rPr>
      </w:pPr>
    </w:p>
    <w:p w14:paraId="2BB92B53">
      <w:pPr>
        <w:adjustRightInd w:val="0"/>
        <w:snapToGrid w:val="0"/>
        <w:spacing w:beforeLines="50" w:line="360" w:lineRule="auto"/>
        <w:ind w:firstLine="420" w:firstLineChars="200"/>
        <w:rPr>
          <w:rFonts w:ascii="宋体" w:hAnsi="宋体"/>
        </w:rPr>
      </w:pPr>
    </w:p>
    <w:p w14:paraId="7985361F">
      <w:pPr>
        <w:adjustRightInd w:val="0"/>
        <w:snapToGrid w:val="0"/>
        <w:spacing w:beforeLines="50" w:line="360" w:lineRule="auto"/>
        <w:ind w:firstLine="420" w:firstLineChars="200"/>
        <w:rPr>
          <w:rFonts w:ascii="宋体" w:hAnsi="宋体"/>
        </w:rPr>
      </w:pPr>
    </w:p>
    <w:p w14:paraId="6FBDAAEC">
      <w:pPr>
        <w:adjustRightInd w:val="0"/>
        <w:snapToGrid w:val="0"/>
        <w:spacing w:beforeLines="50" w:line="360" w:lineRule="auto"/>
        <w:ind w:firstLine="420" w:firstLineChars="200"/>
        <w:rPr>
          <w:rFonts w:ascii="宋体" w:hAnsi="宋体"/>
        </w:rPr>
      </w:pPr>
    </w:p>
    <w:p w14:paraId="3039856C">
      <w:pPr>
        <w:widowControl/>
        <w:jc w:val="left"/>
        <w:rPr>
          <w:rFonts w:ascii="黑体" w:hAnsi="仿宋" w:cs="宋体"/>
          <w:b/>
          <w:szCs w:val="21"/>
        </w:rPr>
      </w:pPr>
      <w:r>
        <w:rPr>
          <w:rFonts w:hint="eastAsia" w:ascii="黑体" w:hAnsi="仿宋" w:cs="宋体"/>
          <w:b/>
          <w:szCs w:val="21"/>
        </w:rPr>
        <w:t>根据《湖南省财政厅关于政府采购促进中小企业发展有关措施的通知》，不再要求供应商提供相关财务状况、缴纳税收和社会保障资金等资格证明材料，改为书面承诺（格式详见附件）。经采购人或监管部门查实，提供虚假承诺的供应商将以虚假资料谋取中标（成交）的违法行为，被列入不良记录名单，采购人有权取消其中标资格。</w:t>
      </w:r>
    </w:p>
    <w:p w14:paraId="0FCB2CA4">
      <w:pPr>
        <w:widowControl/>
        <w:jc w:val="left"/>
        <w:rPr>
          <w:rFonts w:ascii="黑体" w:hAnsi="仿宋" w:cs="宋体"/>
          <w:b/>
          <w:szCs w:val="21"/>
        </w:rPr>
      </w:pPr>
    </w:p>
    <w:p w14:paraId="210FB1E2">
      <w:pPr>
        <w:pStyle w:val="35"/>
        <w:spacing w:before="0" w:beforeAutospacing="0" w:after="0" w:afterAutospacing="0" w:line="560" w:lineRule="atLeast"/>
        <w:jc w:val="center"/>
        <w:rPr>
          <w:rFonts w:ascii="方正小标宋_GBK" w:hAnsi="方正小标宋_GBK" w:eastAsia="方正小标宋_GBK" w:cs="方正小标宋_GBK"/>
          <w:sz w:val="36"/>
          <w:szCs w:val="36"/>
        </w:rPr>
      </w:pPr>
    </w:p>
    <w:p w14:paraId="69316656">
      <w:pPr>
        <w:pStyle w:val="35"/>
        <w:spacing w:before="0" w:beforeAutospacing="0" w:after="0" w:afterAutospacing="0" w:line="560" w:lineRule="atLeast"/>
        <w:jc w:val="center"/>
        <w:rPr>
          <w:rFonts w:ascii="Calibri" w:hAnsi="Calibri" w:cs="Calibri"/>
          <w:sz w:val="21"/>
          <w:szCs w:val="21"/>
        </w:rPr>
      </w:pPr>
      <w:r>
        <w:rPr>
          <w:rFonts w:ascii="方正小标宋_GBK" w:hAnsi="方正小标宋_GBK" w:eastAsia="方正小标宋_GBK" w:cs="方正小标宋_GBK"/>
          <w:sz w:val="36"/>
          <w:szCs w:val="36"/>
        </w:rPr>
        <w:t>湖南省政府采购供应商资格承诺函</w:t>
      </w:r>
    </w:p>
    <w:p w14:paraId="7C2A33BC">
      <w:pPr>
        <w:adjustRightInd w:val="0"/>
        <w:snapToGrid w:val="0"/>
        <w:spacing w:beforeLines="50" w:line="360" w:lineRule="auto"/>
        <w:ind w:firstLine="420" w:firstLineChars="200"/>
        <w:rPr>
          <w:rFonts w:ascii="宋体" w:hAnsi="宋体" w:cs="宋体"/>
          <w:szCs w:val="21"/>
        </w:rPr>
      </w:pPr>
      <w:r>
        <w:rPr>
          <w:rFonts w:hint="eastAsia" w:ascii="宋体" w:hAnsi="宋体" w:cs="宋体"/>
          <w:szCs w:val="21"/>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55D9FF2B">
      <w:pPr>
        <w:adjustRightInd w:val="0"/>
        <w:snapToGrid w:val="0"/>
        <w:spacing w:beforeLines="50" w:line="360" w:lineRule="auto"/>
        <w:ind w:firstLine="420" w:firstLineChars="200"/>
        <w:rPr>
          <w:rFonts w:ascii="宋体" w:hAnsi="宋体" w:cs="宋体"/>
          <w:szCs w:val="21"/>
        </w:rPr>
      </w:pPr>
      <w:r>
        <w:rPr>
          <w:rFonts w:ascii="宋体" w:hAnsi="宋体" w:cs="宋体"/>
          <w:szCs w:val="21"/>
        </w:rPr>
        <w:t>按照《政府采购促进中小企业发展管理办法》（财库〔2020〕46号），本公司企业规模为：大型</w:t>
      </w:r>
      <w:r>
        <w:rPr>
          <w:rFonts w:hint="eastAsia" w:ascii="宋体" w:hAnsi="宋体" w:cs="宋体"/>
          <w:szCs w:val="21"/>
        </w:rPr>
        <w:t>□</w:t>
      </w:r>
      <w:r>
        <w:rPr>
          <w:rFonts w:ascii="宋体" w:hAnsi="宋体" w:cs="宋体"/>
          <w:szCs w:val="21"/>
        </w:rPr>
        <w:t>中型</w:t>
      </w:r>
      <w:r>
        <w:rPr>
          <w:rFonts w:hint="eastAsia" w:ascii="宋体" w:hAnsi="宋体" w:cs="宋体"/>
          <w:szCs w:val="21"/>
        </w:rPr>
        <w:t>□</w:t>
      </w:r>
      <w:r>
        <w:rPr>
          <w:rFonts w:ascii="宋体" w:hAnsi="宋体" w:cs="宋体"/>
          <w:szCs w:val="21"/>
        </w:rPr>
        <w:t>小型</w:t>
      </w:r>
      <w:r>
        <w:rPr>
          <w:rFonts w:hint="eastAsia" w:ascii="宋体" w:hAnsi="宋体" w:cs="宋体"/>
          <w:szCs w:val="21"/>
        </w:rPr>
        <w:t>□</w:t>
      </w:r>
      <w:r>
        <w:rPr>
          <w:rFonts w:ascii="宋体" w:hAnsi="宋体" w:cs="宋体"/>
          <w:szCs w:val="21"/>
        </w:rPr>
        <w:t>微型</w:t>
      </w:r>
      <w:r>
        <w:rPr>
          <w:rFonts w:hint="eastAsia" w:ascii="宋体" w:hAnsi="宋体" w:cs="宋体"/>
          <w:szCs w:val="21"/>
        </w:rPr>
        <w:t>□</w:t>
      </w:r>
    </w:p>
    <w:p w14:paraId="59461F3A">
      <w:pPr>
        <w:adjustRightInd w:val="0"/>
        <w:snapToGrid w:val="0"/>
        <w:spacing w:beforeLines="50" w:line="360" w:lineRule="auto"/>
        <w:ind w:firstLine="420" w:firstLineChars="200"/>
        <w:rPr>
          <w:rFonts w:ascii="宋体" w:hAnsi="宋体" w:cs="宋体"/>
          <w:szCs w:val="21"/>
        </w:rPr>
      </w:pPr>
      <w:r>
        <w:rPr>
          <w:rFonts w:hint="eastAsia" w:ascii="宋体" w:hAnsi="宋体" w:cs="宋体"/>
          <w:szCs w:val="21"/>
        </w:rPr>
        <w:t>□</w:t>
      </w:r>
      <w:r>
        <w:rPr>
          <w:rFonts w:ascii="宋体" w:hAnsi="宋体" w:cs="宋体"/>
          <w:szCs w:val="21"/>
        </w:rPr>
        <w:t>本公司自愿入驻湖南省政府采购电子卖场，遵守《湖南省政府采购电子卖场管理办法》（湘财购〔2019〕27号），如违反承诺，同意金融机构将增信保证划缴国库（非电子卖场采购活动项目不需勾选）。</w:t>
      </w:r>
    </w:p>
    <w:p w14:paraId="0CF76222">
      <w:pPr>
        <w:adjustRightInd w:val="0"/>
        <w:snapToGrid w:val="0"/>
        <w:spacing w:beforeLines="50" w:line="360" w:lineRule="auto"/>
        <w:ind w:firstLine="420" w:firstLineChars="200"/>
        <w:rPr>
          <w:rFonts w:ascii="宋体" w:hAnsi="宋体" w:cs="宋体"/>
          <w:szCs w:val="21"/>
        </w:rPr>
      </w:pPr>
      <w:r>
        <w:rPr>
          <w:rFonts w:ascii="宋体" w:hAnsi="宋体" w:cs="宋体"/>
          <w:szCs w:val="21"/>
        </w:rPr>
        <w:t>公司（单位）名称（盖章）</w:t>
      </w:r>
    </w:p>
    <w:p w14:paraId="618A5918">
      <w:pPr>
        <w:adjustRightInd w:val="0"/>
        <w:snapToGrid w:val="0"/>
        <w:spacing w:beforeLines="50" w:line="360" w:lineRule="auto"/>
        <w:ind w:firstLine="420" w:firstLineChars="200"/>
        <w:jc w:val="right"/>
        <w:rPr>
          <w:rFonts w:ascii="宋体" w:hAnsi="宋体" w:cs="宋体"/>
          <w:szCs w:val="21"/>
        </w:rPr>
      </w:pPr>
      <w:r>
        <w:rPr>
          <w:rFonts w:ascii="宋体" w:hAnsi="宋体" w:cs="宋体"/>
          <w:szCs w:val="21"/>
        </w:rPr>
        <w:t> </w:t>
      </w:r>
      <w:r>
        <w:rPr>
          <w:rFonts w:hint="eastAsia" w:ascii="宋体" w:hAnsi="宋体" w:cs="宋体"/>
          <w:szCs w:val="21"/>
        </w:rPr>
        <w:t xml:space="preserve">        </w:t>
      </w:r>
      <w:r>
        <w:rPr>
          <w:rFonts w:ascii="宋体" w:hAnsi="宋体" w:cs="宋体"/>
          <w:szCs w:val="21"/>
        </w:rPr>
        <w:t>年   月   日   </w:t>
      </w:r>
    </w:p>
    <w:p w14:paraId="3A0CBD17">
      <w:pPr>
        <w:adjustRightInd w:val="0"/>
        <w:snapToGrid w:val="0"/>
        <w:spacing w:beforeLines="50" w:line="360" w:lineRule="auto"/>
        <w:ind w:firstLine="420" w:firstLineChars="200"/>
        <w:jc w:val="right"/>
        <w:rPr>
          <w:rFonts w:ascii="宋体" w:hAnsi="宋体" w:cs="宋体"/>
          <w:szCs w:val="21"/>
        </w:rPr>
      </w:pPr>
    </w:p>
    <w:tbl>
      <w:tblPr>
        <w:tblStyle w:val="40"/>
        <w:tblW w:w="0" w:type="auto"/>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2554"/>
        <w:gridCol w:w="2138"/>
        <w:gridCol w:w="2006"/>
        <w:gridCol w:w="2340"/>
      </w:tblGrid>
      <w:tr w14:paraId="6BB273A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543" w:hRule="atLeast"/>
          <w:jc w:val="center"/>
        </w:trPr>
        <w:tc>
          <w:tcPr>
            <w:tcW w:w="2554"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44830F80">
            <w:pPr>
              <w:widowControl/>
              <w:spacing w:before="100" w:beforeAutospacing="1" w:after="100" w:afterAutospacing="1" w:line="420" w:lineRule="atLeast"/>
              <w:jc w:val="center"/>
              <w:rPr>
                <w:rFonts w:ascii="宋体" w:hAnsi="宋体" w:cs="宋体"/>
                <w:color w:val="000000"/>
                <w:szCs w:val="21"/>
              </w:rPr>
            </w:pPr>
            <w:r>
              <w:rPr>
                <w:rFonts w:hint="eastAsia" w:ascii="宋体" w:hAnsi="宋体" w:cs="宋体"/>
                <w:color w:val="000000"/>
                <w:kern w:val="0"/>
                <w:szCs w:val="21"/>
              </w:rPr>
              <w:t>统一社会机构代码</w:t>
            </w:r>
          </w:p>
        </w:tc>
        <w:tc>
          <w:tcPr>
            <w:tcW w:w="2138"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21ADF7C7">
            <w:pPr>
              <w:widowControl/>
              <w:spacing w:before="100" w:beforeAutospacing="1" w:after="100" w:afterAutospacing="1" w:line="420" w:lineRule="atLeast"/>
              <w:jc w:val="center"/>
              <w:rPr>
                <w:rFonts w:ascii="宋体" w:hAnsi="宋体" w:cs="宋体"/>
                <w:color w:val="000000"/>
                <w:szCs w:val="21"/>
              </w:rPr>
            </w:pPr>
            <w:r>
              <w:rPr>
                <w:rFonts w:hint="eastAsia" w:ascii="宋体" w:hAnsi="宋体" w:cs="宋体"/>
                <w:color w:val="000000"/>
                <w:kern w:val="0"/>
                <w:szCs w:val="21"/>
              </w:rPr>
              <w:t> </w:t>
            </w:r>
          </w:p>
        </w:tc>
        <w:tc>
          <w:tcPr>
            <w:tcW w:w="200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50E2A5D9">
            <w:pPr>
              <w:widowControl/>
              <w:spacing w:before="100" w:beforeAutospacing="1" w:after="100" w:afterAutospacing="1" w:line="420" w:lineRule="atLeast"/>
              <w:jc w:val="center"/>
              <w:rPr>
                <w:rFonts w:ascii="宋体" w:hAnsi="宋体" w:cs="宋体"/>
                <w:color w:val="000000"/>
                <w:szCs w:val="21"/>
              </w:rPr>
            </w:pPr>
            <w:r>
              <w:rPr>
                <w:rFonts w:hint="eastAsia" w:ascii="宋体" w:hAnsi="宋体" w:cs="宋体"/>
                <w:color w:val="000000"/>
                <w:kern w:val="0"/>
                <w:szCs w:val="21"/>
              </w:rPr>
              <w:t>注册资本</w:t>
            </w:r>
          </w:p>
        </w:tc>
        <w:tc>
          <w:tcPr>
            <w:tcW w:w="2340"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297086ED">
            <w:pPr>
              <w:widowControl/>
              <w:spacing w:before="100" w:beforeAutospacing="1" w:after="100" w:afterAutospacing="1" w:line="420" w:lineRule="atLeast"/>
              <w:jc w:val="center"/>
              <w:rPr>
                <w:rFonts w:ascii="宋体" w:hAnsi="宋体" w:cs="宋体"/>
                <w:color w:val="000000"/>
                <w:szCs w:val="21"/>
              </w:rPr>
            </w:pPr>
            <w:r>
              <w:rPr>
                <w:rFonts w:hint="eastAsia" w:ascii="宋体" w:hAnsi="宋体" w:cs="宋体"/>
                <w:color w:val="000000"/>
                <w:kern w:val="0"/>
                <w:szCs w:val="21"/>
              </w:rPr>
              <w:t> </w:t>
            </w:r>
          </w:p>
        </w:tc>
      </w:tr>
      <w:tr w14:paraId="06F86D9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543" w:hRule="atLeast"/>
          <w:jc w:val="center"/>
        </w:trPr>
        <w:tc>
          <w:tcPr>
            <w:tcW w:w="2554"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272E3194">
            <w:pPr>
              <w:widowControl/>
              <w:spacing w:before="100" w:beforeAutospacing="1" w:after="100" w:afterAutospacing="1" w:line="420" w:lineRule="atLeast"/>
              <w:jc w:val="center"/>
              <w:rPr>
                <w:rFonts w:ascii="宋体" w:hAnsi="宋体" w:cs="宋体"/>
                <w:color w:val="000000"/>
                <w:szCs w:val="21"/>
              </w:rPr>
            </w:pPr>
            <w:r>
              <w:rPr>
                <w:rFonts w:hint="eastAsia" w:ascii="宋体" w:hAnsi="宋体" w:cs="宋体"/>
                <w:color w:val="000000"/>
                <w:kern w:val="0"/>
                <w:szCs w:val="21"/>
              </w:rPr>
              <w:t>注册登记机构</w:t>
            </w:r>
          </w:p>
        </w:tc>
        <w:tc>
          <w:tcPr>
            <w:tcW w:w="2138"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28EDECF7">
            <w:pPr>
              <w:widowControl/>
              <w:spacing w:before="100" w:beforeAutospacing="1" w:after="100" w:afterAutospacing="1" w:line="420" w:lineRule="atLeast"/>
              <w:jc w:val="center"/>
              <w:rPr>
                <w:rFonts w:ascii="宋体" w:hAnsi="宋体" w:cs="宋体"/>
                <w:color w:val="000000"/>
                <w:szCs w:val="21"/>
              </w:rPr>
            </w:pPr>
            <w:r>
              <w:rPr>
                <w:rFonts w:hint="eastAsia" w:ascii="宋体" w:hAnsi="宋体" w:cs="宋体"/>
                <w:color w:val="000000"/>
                <w:kern w:val="0"/>
                <w:szCs w:val="21"/>
              </w:rPr>
              <w:t> </w:t>
            </w:r>
          </w:p>
        </w:tc>
        <w:tc>
          <w:tcPr>
            <w:tcW w:w="200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2BB03F42">
            <w:pPr>
              <w:widowControl/>
              <w:spacing w:before="100" w:beforeAutospacing="1" w:after="100" w:afterAutospacing="1" w:line="420" w:lineRule="atLeast"/>
              <w:jc w:val="center"/>
              <w:rPr>
                <w:rFonts w:ascii="宋体" w:hAnsi="宋体" w:cs="宋体"/>
                <w:color w:val="000000"/>
                <w:szCs w:val="21"/>
              </w:rPr>
            </w:pPr>
            <w:r>
              <w:rPr>
                <w:rFonts w:hint="eastAsia" w:ascii="宋体" w:hAnsi="宋体" w:cs="宋体"/>
                <w:color w:val="000000"/>
                <w:kern w:val="0"/>
                <w:szCs w:val="21"/>
              </w:rPr>
              <w:t>登记日期</w:t>
            </w:r>
          </w:p>
        </w:tc>
        <w:tc>
          <w:tcPr>
            <w:tcW w:w="2340"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0B8D95CD">
            <w:pPr>
              <w:widowControl/>
              <w:spacing w:before="100" w:beforeAutospacing="1" w:after="100" w:afterAutospacing="1" w:line="420" w:lineRule="atLeast"/>
              <w:jc w:val="center"/>
              <w:rPr>
                <w:rFonts w:ascii="宋体" w:hAnsi="宋体" w:cs="宋体"/>
                <w:color w:val="000000"/>
                <w:szCs w:val="21"/>
              </w:rPr>
            </w:pPr>
            <w:r>
              <w:rPr>
                <w:rFonts w:hint="eastAsia" w:ascii="宋体" w:hAnsi="宋体" w:cs="宋体"/>
                <w:color w:val="000000"/>
                <w:kern w:val="0"/>
                <w:szCs w:val="21"/>
              </w:rPr>
              <w:t> </w:t>
            </w:r>
          </w:p>
        </w:tc>
      </w:tr>
      <w:tr w14:paraId="5F3544C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543" w:hRule="atLeast"/>
          <w:jc w:val="center"/>
        </w:trPr>
        <w:tc>
          <w:tcPr>
            <w:tcW w:w="2554"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34818E60">
            <w:pPr>
              <w:widowControl/>
              <w:spacing w:before="100" w:beforeAutospacing="1" w:after="100" w:afterAutospacing="1" w:line="420" w:lineRule="atLeast"/>
              <w:jc w:val="center"/>
              <w:rPr>
                <w:rFonts w:ascii="宋体" w:hAnsi="宋体" w:cs="宋体"/>
                <w:color w:val="000000"/>
                <w:szCs w:val="21"/>
              </w:rPr>
            </w:pPr>
            <w:r>
              <w:rPr>
                <w:rFonts w:hint="eastAsia" w:ascii="宋体" w:hAnsi="宋体" w:cs="宋体"/>
                <w:color w:val="000000"/>
                <w:kern w:val="0"/>
                <w:szCs w:val="21"/>
              </w:rPr>
              <w:t>有效期</w:t>
            </w:r>
          </w:p>
        </w:tc>
        <w:tc>
          <w:tcPr>
            <w:tcW w:w="2138"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0337EE01">
            <w:pPr>
              <w:widowControl/>
              <w:spacing w:before="100" w:beforeAutospacing="1" w:after="100" w:afterAutospacing="1" w:line="420" w:lineRule="atLeast"/>
              <w:jc w:val="center"/>
              <w:rPr>
                <w:rFonts w:ascii="宋体" w:hAnsi="宋体" w:cs="宋体"/>
                <w:color w:val="000000"/>
                <w:szCs w:val="21"/>
              </w:rPr>
            </w:pPr>
            <w:r>
              <w:rPr>
                <w:rFonts w:hint="eastAsia" w:ascii="宋体" w:hAnsi="宋体" w:cs="宋体"/>
                <w:color w:val="000000"/>
                <w:kern w:val="0"/>
                <w:szCs w:val="21"/>
              </w:rPr>
              <w:t> </w:t>
            </w:r>
          </w:p>
        </w:tc>
        <w:tc>
          <w:tcPr>
            <w:tcW w:w="200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59C9D083">
            <w:pPr>
              <w:widowControl/>
              <w:spacing w:before="100" w:beforeAutospacing="1" w:after="100" w:afterAutospacing="1" w:line="420" w:lineRule="atLeast"/>
              <w:jc w:val="center"/>
              <w:rPr>
                <w:rFonts w:ascii="宋体" w:hAnsi="宋体" w:cs="宋体"/>
                <w:color w:val="000000"/>
                <w:szCs w:val="21"/>
              </w:rPr>
            </w:pPr>
            <w:r>
              <w:rPr>
                <w:rFonts w:hint="eastAsia" w:ascii="宋体" w:hAnsi="宋体" w:cs="宋体"/>
                <w:color w:val="000000"/>
                <w:kern w:val="0"/>
                <w:szCs w:val="21"/>
              </w:rPr>
              <w:t>经济行业</w:t>
            </w:r>
          </w:p>
        </w:tc>
        <w:tc>
          <w:tcPr>
            <w:tcW w:w="2340"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06C34B67">
            <w:pPr>
              <w:widowControl/>
              <w:spacing w:before="100" w:beforeAutospacing="1" w:after="100" w:afterAutospacing="1" w:line="420" w:lineRule="atLeast"/>
              <w:jc w:val="center"/>
              <w:rPr>
                <w:rFonts w:ascii="宋体" w:hAnsi="宋体" w:cs="宋体"/>
                <w:color w:val="000000"/>
                <w:szCs w:val="21"/>
              </w:rPr>
            </w:pPr>
            <w:r>
              <w:rPr>
                <w:rFonts w:hint="eastAsia" w:ascii="宋体" w:hAnsi="宋体" w:cs="宋体"/>
                <w:color w:val="000000"/>
                <w:kern w:val="0"/>
                <w:szCs w:val="21"/>
              </w:rPr>
              <w:t> </w:t>
            </w:r>
          </w:p>
        </w:tc>
      </w:tr>
      <w:tr w14:paraId="2D56625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543" w:hRule="atLeast"/>
          <w:jc w:val="center"/>
        </w:trPr>
        <w:tc>
          <w:tcPr>
            <w:tcW w:w="2554"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31CB44F0">
            <w:pPr>
              <w:widowControl/>
              <w:spacing w:before="100" w:beforeAutospacing="1" w:after="100" w:afterAutospacing="1" w:line="420" w:lineRule="atLeast"/>
              <w:jc w:val="center"/>
              <w:rPr>
                <w:rFonts w:ascii="宋体" w:hAnsi="宋体" w:cs="宋体"/>
                <w:color w:val="000000"/>
                <w:szCs w:val="21"/>
              </w:rPr>
            </w:pPr>
            <w:r>
              <w:rPr>
                <w:rFonts w:hint="eastAsia" w:ascii="宋体" w:hAnsi="宋体" w:cs="宋体"/>
                <w:color w:val="000000"/>
                <w:kern w:val="0"/>
                <w:szCs w:val="21"/>
              </w:rPr>
              <w:t>经济性质</w:t>
            </w:r>
          </w:p>
        </w:tc>
        <w:tc>
          <w:tcPr>
            <w:tcW w:w="6484" w:type="dxa"/>
            <w:gridSpan w:val="3"/>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7C80FEB6">
            <w:pPr>
              <w:widowControl/>
              <w:spacing w:before="100" w:beforeAutospacing="1" w:after="100" w:afterAutospacing="1" w:line="420" w:lineRule="atLeast"/>
              <w:jc w:val="center"/>
              <w:rPr>
                <w:rFonts w:ascii="宋体" w:hAnsi="宋体" w:cs="宋体"/>
                <w:color w:val="000000"/>
                <w:szCs w:val="21"/>
              </w:rPr>
            </w:pPr>
            <w:r>
              <w:rPr>
                <w:rFonts w:hint="eastAsia" w:ascii="宋体" w:hAnsi="宋体" w:cs="宋体"/>
                <w:color w:val="000000"/>
                <w:kern w:val="0"/>
                <w:szCs w:val="21"/>
              </w:rPr>
              <w:t> </w:t>
            </w:r>
          </w:p>
        </w:tc>
      </w:tr>
      <w:tr w14:paraId="5B1948C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543" w:hRule="atLeast"/>
          <w:jc w:val="center"/>
        </w:trPr>
        <w:tc>
          <w:tcPr>
            <w:tcW w:w="9038" w:type="dxa"/>
            <w:gridSpan w:val="4"/>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717CCA04">
            <w:pPr>
              <w:widowControl/>
              <w:spacing w:before="100" w:beforeAutospacing="1" w:after="100" w:afterAutospacing="1" w:line="420" w:lineRule="atLeast"/>
              <w:jc w:val="left"/>
              <w:rPr>
                <w:rFonts w:ascii="宋体" w:hAnsi="宋体" w:cs="宋体"/>
                <w:color w:val="000000"/>
                <w:szCs w:val="21"/>
              </w:rPr>
            </w:pPr>
            <w:r>
              <w:rPr>
                <w:rFonts w:hint="eastAsia" w:ascii="宋体" w:hAnsi="宋体" w:cs="宋体"/>
                <w:color w:val="000000"/>
                <w:kern w:val="0"/>
                <w:szCs w:val="21"/>
              </w:rPr>
              <w:t>法定代表人（负责人）签字：</w:t>
            </w:r>
          </w:p>
        </w:tc>
      </w:tr>
      <w:tr w14:paraId="5C3CDAF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543" w:hRule="atLeast"/>
          <w:jc w:val="center"/>
        </w:trPr>
        <w:tc>
          <w:tcPr>
            <w:tcW w:w="9038" w:type="dxa"/>
            <w:gridSpan w:val="4"/>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66411568">
            <w:pPr>
              <w:widowControl/>
              <w:spacing w:before="100" w:beforeAutospacing="1" w:after="100" w:afterAutospacing="1" w:line="420" w:lineRule="atLeast"/>
              <w:jc w:val="left"/>
              <w:rPr>
                <w:rFonts w:ascii="宋体" w:hAnsi="宋体" w:cs="宋体"/>
                <w:color w:val="000000"/>
                <w:szCs w:val="21"/>
              </w:rPr>
            </w:pPr>
            <w:r>
              <w:rPr>
                <w:rFonts w:hint="eastAsia" w:ascii="宋体" w:hAnsi="宋体" w:cs="宋体"/>
                <w:color w:val="000000"/>
                <w:kern w:val="0"/>
                <w:szCs w:val="21"/>
              </w:rPr>
              <w:t>法定代表人身份证号：</w:t>
            </w:r>
          </w:p>
        </w:tc>
      </w:tr>
      <w:tr w14:paraId="72175B2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543" w:hRule="atLeast"/>
          <w:jc w:val="center"/>
        </w:trPr>
        <w:tc>
          <w:tcPr>
            <w:tcW w:w="9038" w:type="dxa"/>
            <w:gridSpan w:val="4"/>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157EE257">
            <w:pPr>
              <w:widowControl/>
              <w:spacing w:before="100" w:beforeAutospacing="1" w:after="100" w:afterAutospacing="1" w:line="420" w:lineRule="atLeast"/>
              <w:jc w:val="left"/>
              <w:rPr>
                <w:rFonts w:ascii="宋体" w:hAnsi="宋体" w:cs="宋体"/>
                <w:color w:val="000000"/>
                <w:szCs w:val="21"/>
              </w:rPr>
            </w:pPr>
            <w:r>
              <w:rPr>
                <w:rFonts w:hint="eastAsia" w:ascii="宋体" w:hAnsi="宋体" w:cs="宋体"/>
                <w:color w:val="000000"/>
                <w:kern w:val="0"/>
                <w:szCs w:val="21"/>
              </w:rPr>
              <w:t>法定代表人手机号：</w:t>
            </w:r>
          </w:p>
        </w:tc>
      </w:tr>
      <w:tr w14:paraId="6382065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543" w:hRule="atLeast"/>
          <w:jc w:val="center"/>
        </w:trPr>
        <w:tc>
          <w:tcPr>
            <w:tcW w:w="9038" w:type="dxa"/>
            <w:gridSpan w:val="4"/>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7AE89D73">
            <w:pPr>
              <w:widowControl/>
              <w:spacing w:before="100" w:beforeAutospacing="1" w:after="100" w:afterAutospacing="1" w:line="420" w:lineRule="atLeast"/>
              <w:jc w:val="left"/>
              <w:rPr>
                <w:rFonts w:ascii="宋体" w:hAnsi="宋体" w:cs="宋体"/>
                <w:color w:val="000000"/>
                <w:szCs w:val="21"/>
              </w:rPr>
            </w:pPr>
            <w:r>
              <w:rPr>
                <w:rFonts w:hint="eastAsia" w:ascii="宋体" w:hAnsi="宋体" w:cs="宋体"/>
                <w:color w:val="000000"/>
                <w:kern w:val="0"/>
                <w:szCs w:val="21"/>
              </w:rPr>
              <w:t>授权代表人姓名（签字）：</w:t>
            </w:r>
          </w:p>
        </w:tc>
      </w:tr>
      <w:tr w14:paraId="667B8C1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543" w:hRule="atLeast"/>
          <w:jc w:val="center"/>
        </w:trPr>
        <w:tc>
          <w:tcPr>
            <w:tcW w:w="9038" w:type="dxa"/>
            <w:gridSpan w:val="4"/>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02FB400F">
            <w:pPr>
              <w:widowControl/>
              <w:spacing w:before="100" w:beforeAutospacing="1" w:after="100" w:afterAutospacing="1" w:line="420" w:lineRule="atLeast"/>
              <w:jc w:val="left"/>
              <w:rPr>
                <w:rFonts w:ascii="宋体" w:hAnsi="宋体" w:cs="宋体"/>
                <w:color w:val="000000"/>
                <w:szCs w:val="21"/>
              </w:rPr>
            </w:pPr>
            <w:r>
              <w:rPr>
                <w:rFonts w:hint="eastAsia" w:ascii="宋体" w:hAnsi="宋体" w:cs="宋体"/>
                <w:color w:val="000000"/>
                <w:kern w:val="0"/>
                <w:szCs w:val="21"/>
              </w:rPr>
              <w:t>授权代表人身份证号：</w:t>
            </w:r>
          </w:p>
        </w:tc>
      </w:tr>
      <w:tr w14:paraId="45977EC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560" w:hRule="atLeast"/>
          <w:jc w:val="center"/>
        </w:trPr>
        <w:tc>
          <w:tcPr>
            <w:tcW w:w="9038" w:type="dxa"/>
            <w:gridSpan w:val="4"/>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0D9A5A68">
            <w:pPr>
              <w:widowControl/>
              <w:spacing w:before="100" w:beforeAutospacing="1" w:after="100" w:afterAutospacing="1" w:line="420" w:lineRule="atLeast"/>
              <w:jc w:val="left"/>
              <w:rPr>
                <w:rFonts w:ascii="宋体" w:hAnsi="宋体" w:cs="宋体"/>
                <w:color w:val="000000"/>
                <w:szCs w:val="21"/>
              </w:rPr>
            </w:pPr>
            <w:r>
              <w:rPr>
                <w:rFonts w:hint="eastAsia" w:ascii="宋体" w:hAnsi="宋体" w:cs="宋体"/>
                <w:color w:val="000000"/>
                <w:kern w:val="0"/>
                <w:szCs w:val="21"/>
              </w:rPr>
              <w:t>授权代表人手机号：</w:t>
            </w:r>
          </w:p>
        </w:tc>
      </w:tr>
    </w:tbl>
    <w:p w14:paraId="0B1AA71F">
      <w:pPr>
        <w:adjustRightInd w:val="0"/>
        <w:snapToGrid w:val="0"/>
        <w:spacing w:beforeLines="50" w:line="360" w:lineRule="auto"/>
        <w:rPr>
          <w:rFonts w:ascii="宋体" w:hAnsi="宋体" w:cs="宋体"/>
          <w:szCs w:val="21"/>
        </w:rPr>
      </w:pPr>
    </w:p>
    <w:p w14:paraId="7891F31D">
      <w:pPr>
        <w:pStyle w:val="5"/>
        <w:adjustRightInd w:val="0"/>
        <w:snapToGrid w:val="0"/>
        <w:spacing w:beforeLines="50" w:after="0" w:line="360" w:lineRule="auto"/>
        <w:rPr>
          <w:rFonts w:ascii="黑体" w:hAnsi="仿宋" w:cs="宋体"/>
          <w:b w:val="0"/>
          <w:sz w:val="21"/>
          <w:szCs w:val="21"/>
        </w:rPr>
      </w:pPr>
      <w:bookmarkStart w:id="137" w:name="_Toc20651250"/>
      <w:r>
        <w:rPr>
          <w:rFonts w:hint="eastAsia" w:ascii="黑体" w:hAnsi="仿宋" w:cs="宋体"/>
          <w:bCs w:val="0"/>
          <w:sz w:val="21"/>
          <w:szCs w:val="21"/>
        </w:rPr>
        <w:t>附件4-2</w:t>
      </w:r>
      <w:r>
        <w:rPr>
          <w:rFonts w:hint="eastAsia" w:ascii="黑体" w:hAnsi="仿宋" w:cs="宋体"/>
          <w:b w:val="0"/>
          <w:sz w:val="21"/>
          <w:szCs w:val="21"/>
        </w:rPr>
        <w:t xml:space="preserve"> </w:t>
      </w:r>
      <w:bookmarkEnd w:id="137"/>
    </w:p>
    <w:p w14:paraId="7AC1D5EC">
      <w:pPr>
        <w:widowControl/>
        <w:adjustRightInd w:val="0"/>
        <w:snapToGrid w:val="0"/>
        <w:spacing w:beforeLines="50" w:line="360" w:lineRule="auto"/>
        <w:jc w:val="center"/>
        <w:rPr>
          <w:rFonts w:ascii="宋体" w:hAnsi="宋体" w:cs="宋体"/>
          <w:szCs w:val="21"/>
        </w:rPr>
      </w:pPr>
      <w:r>
        <w:rPr>
          <w:rFonts w:hint="eastAsia" w:ascii="黑体" w:hAnsi="仿宋" w:eastAsia="黑体" w:cs="宋体"/>
          <w:b/>
          <w:sz w:val="28"/>
          <w:szCs w:val="28"/>
        </w:rPr>
        <w:t>投标人资格声明(格式)</w:t>
      </w:r>
    </w:p>
    <w:p w14:paraId="54CCDEDA">
      <w:pPr>
        <w:widowControl/>
        <w:adjustRightInd w:val="0"/>
        <w:snapToGrid w:val="0"/>
        <w:spacing w:beforeLines="50" w:line="360" w:lineRule="auto"/>
        <w:jc w:val="left"/>
        <w:rPr>
          <w:rFonts w:ascii="宋体" w:hAnsi="宋体" w:cs="宋体"/>
          <w:kern w:val="0"/>
          <w:szCs w:val="21"/>
        </w:rPr>
      </w:pPr>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14:paraId="77E5385B">
      <w:pPr>
        <w:widowControl/>
        <w:adjustRightInd w:val="0"/>
        <w:snapToGrid w:val="0"/>
        <w:spacing w:beforeLines="50" w:line="360" w:lineRule="auto"/>
        <w:ind w:firstLine="420" w:firstLineChars="200"/>
        <w:jc w:val="left"/>
        <w:rPr>
          <w:rFonts w:ascii="宋体" w:hAnsi="宋体" w:cs="宋体"/>
          <w:kern w:val="0"/>
          <w:szCs w:val="21"/>
        </w:rPr>
      </w:pPr>
      <w:r>
        <w:rPr>
          <w:rFonts w:hint="eastAsia" w:ascii="宋体" w:hAnsi="宋体" w:cs="宋体"/>
          <w:szCs w:val="21"/>
        </w:rPr>
        <w:t>按照《中华人民共和国政府采购法》第二十二条和招标文件的规定，我单位郑重声明如下：</w:t>
      </w:r>
    </w:p>
    <w:p w14:paraId="22D74106">
      <w:pPr>
        <w:widowControl/>
        <w:adjustRightInd w:val="0"/>
        <w:snapToGrid w:val="0"/>
        <w:spacing w:beforeLines="50" w:line="360" w:lineRule="auto"/>
        <w:ind w:firstLine="420" w:firstLineChars="200"/>
        <w:jc w:val="left"/>
        <w:rPr>
          <w:rFonts w:ascii="宋体" w:hAnsi="宋体" w:cs="宋体"/>
          <w:kern w:val="0"/>
          <w:szCs w:val="21"/>
        </w:rPr>
      </w:pPr>
      <w:r>
        <w:rPr>
          <w:rFonts w:hint="eastAsia" w:ascii="宋体" w:hAnsi="宋体" w:cs="宋体"/>
          <w:szCs w:val="21"/>
        </w:rPr>
        <w:t>一、我单位是按照中华人民共和国法律规定登记注册的，注册地点为</w:t>
      </w:r>
      <w:r>
        <w:rPr>
          <w:rFonts w:hint="eastAsia" w:ascii="宋体" w:hAnsi="宋体" w:cs="宋体"/>
          <w:szCs w:val="21"/>
          <w:u w:val="single"/>
        </w:rPr>
        <w:t xml:space="preserve">         </w:t>
      </w:r>
      <w:r>
        <w:rPr>
          <w:rFonts w:hint="eastAsia" w:ascii="宋体" w:hAnsi="宋体" w:cs="宋体"/>
          <w:szCs w:val="21"/>
        </w:rPr>
        <w:t>，全称为</w:t>
      </w:r>
      <w:r>
        <w:rPr>
          <w:rFonts w:hint="eastAsia" w:ascii="宋体" w:hAnsi="宋体" w:cs="宋体"/>
          <w:szCs w:val="21"/>
          <w:u w:val="single"/>
        </w:rPr>
        <w:t xml:space="preserve">        </w:t>
      </w:r>
      <w:r>
        <w:rPr>
          <w:rFonts w:hint="eastAsia" w:ascii="宋体" w:hAnsi="宋体" w:cs="宋体"/>
          <w:szCs w:val="21"/>
        </w:rPr>
        <w:t>，统一社会信用代码为</w:t>
      </w:r>
      <w:r>
        <w:rPr>
          <w:rFonts w:hint="eastAsia" w:ascii="宋体" w:hAnsi="宋体" w:cs="宋体"/>
          <w:szCs w:val="21"/>
          <w:u w:val="single"/>
        </w:rPr>
        <w:t xml:space="preserve">           </w:t>
      </w:r>
      <w:r>
        <w:rPr>
          <w:rFonts w:hint="eastAsia" w:ascii="宋体" w:hAnsi="宋体" w:cs="宋体"/>
          <w:szCs w:val="21"/>
        </w:rPr>
        <w:t>，法定代表人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cs="宋体"/>
          <w:szCs w:val="21"/>
        </w:rPr>
        <w:t>为</w:t>
      </w:r>
      <w:r>
        <w:rPr>
          <w:rFonts w:hint="eastAsia" w:ascii="宋体" w:hAnsi="宋体" w:cs="宋体"/>
          <w:szCs w:val="21"/>
          <w:u w:val="single"/>
        </w:rPr>
        <w:t xml:space="preserve">         </w:t>
      </w:r>
      <w:r>
        <w:rPr>
          <w:rFonts w:hint="eastAsia" w:ascii="宋体" w:hAnsi="宋体" w:cs="宋体"/>
          <w:szCs w:val="21"/>
        </w:rPr>
        <w:t>，具有独立承担民事责任的能力。</w:t>
      </w:r>
    </w:p>
    <w:p w14:paraId="0A7E27D7">
      <w:pPr>
        <w:widowControl/>
        <w:adjustRightInd w:val="0"/>
        <w:snapToGrid w:val="0"/>
        <w:spacing w:beforeLines="50" w:line="360" w:lineRule="auto"/>
        <w:ind w:firstLine="420" w:firstLineChars="200"/>
        <w:jc w:val="left"/>
        <w:rPr>
          <w:rFonts w:ascii="宋体" w:hAnsi="宋体" w:cs="宋体"/>
          <w:szCs w:val="21"/>
        </w:rPr>
      </w:pPr>
      <w:r>
        <w:rPr>
          <w:rFonts w:hint="eastAsia" w:ascii="宋体" w:hAnsi="宋体" w:cs="宋体"/>
          <w:szCs w:val="21"/>
        </w:rPr>
        <w:t>二、我单位未被</w:t>
      </w:r>
      <w:r>
        <w:rPr>
          <w:rFonts w:hint="eastAsia" w:ascii="华文中宋" w:hAnsi="华文中宋" w:eastAsia="华文中宋" w:cs="宋体"/>
          <w:szCs w:val="21"/>
        </w:rPr>
        <w:t>“</w:t>
      </w:r>
      <w:r>
        <w:rPr>
          <w:rFonts w:hint="eastAsia" w:ascii="宋体" w:hAnsi="宋体" w:cs="宋体"/>
          <w:szCs w:val="21"/>
        </w:rPr>
        <w:t>国家企业信用信息系统</w:t>
      </w:r>
      <w:r>
        <w:rPr>
          <w:rFonts w:hint="eastAsia" w:ascii="华文中宋" w:hAnsi="华文中宋" w:eastAsia="华文中宋" w:cs="宋体"/>
          <w:szCs w:val="21"/>
        </w:rPr>
        <w:t>”</w:t>
      </w:r>
      <w:r>
        <w:rPr>
          <w:rFonts w:hint="eastAsia" w:ascii="宋体" w:hAnsi="宋体" w:cs="宋体"/>
          <w:szCs w:val="21"/>
        </w:rPr>
        <w:t>列入经营异常名录或者严重违法企业名单。</w:t>
      </w:r>
    </w:p>
    <w:p w14:paraId="299F5189">
      <w:pPr>
        <w:widowControl/>
        <w:adjustRightInd w:val="0"/>
        <w:snapToGrid w:val="0"/>
        <w:spacing w:beforeLines="50" w:line="360" w:lineRule="auto"/>
        <w:ind w:firstLine="420" w:firstLineChars="200"/>
        <w:jc w:val="left"/>
        <w:rPr>
          <w:rFonts w:ascii="宋体" w:hAnsi="宋体" w:cs="宋体"/>
          <w:szCs w:val="21"/>
        </w:rPr>
      </w:pPr>
      <w:r>
        <w:rPr>
          <w:rFonts w:hint="eastAsia" w:ascii="宋体" w:hAnsi="宋体" w:cs="宋体"/>
          <w:kern w:val="0"/>
          <w:szCs w:val="21"/>
        </w:rPr>
        <w:t>三、</w:t>
      </w:r>
      <w:r>
        <w:rPr>
          <w:rFonts w:hint="eastAsia" w:ascii="宋体" w:hAnsi="宋体" w:cs="宋体"/>
          <w:szCs w:val="21"/>
        </w:rPr>
        <w:t>我单位具有良好的商业信誉和健全的财务会计制度。</w:t>
      </w:r>
    </w:p>
    <w:p w14:paraId="13D38FD8">
      <w:pPr>
        <w:widowControl/>
        <w:adjustRightInd w:val="0"/>
        <w:snapToGrid w:val="0"/>
        <w:spacing w:beforeLines="50" w:line="360" w:lineRule="auto"/>
        <w:ind w:firstLine="420" w:firstLineChars="200"/>
        <w:jc w:val="left"/>
        <w:rPr>
          <w:rFonts w:ascii="宋体" w:hAnsi="宋体" w:cs="宋体"/>
          <w:kern w:val="0"/>
          <w:szCs w:val="21"/>
        </w:rPr>
      </w:pPr>
      <w:r>
        <w:rPr>
          <w:rFonts w:hint="eastAsia" w:ascii="宋体" w:hAnsi="宋体" w:cs="宋体"/>
          <w:kern w:val="0"/>
          <w:szCs w:val="21"/>
        </w:rPr>
        <w:t>四、我</w:t>
      </w:r>
      <w:r>
        <w:rPr>
          <w:rFonts w:hint="eastAsia" w:ascii="宋体" w:hAnsi="宋体" w:cs="宋体"/>
          <w:szCs w:val="21"/>
        </w:rPr>
        <w:t>单位</w:t>
      </w:r>
      <w:r>
        <w:rPr>
          <w:rFonts w:hint="eastAsia" w:ascii="宋体" w:hAnsi="宋体" w:cs="宋体"/>
          <w:kern w:val="0"/>
          <w:szCs w:val="21"/>
        </w:rPr>
        <w:t>依法进行纳税和社会保险申报并实际履行了义务。</w:t>
      </w:r>
    </w:p>
    <w:p w14:paraId="4251B92E">
      <w:pPr>
        <w:widowControl/>
        <w:adjustRightInd w:val="0"/>
        <w:snapToGrid w:val="0"/>
        <w:spacing w:beforeLines="50" w:line="360" w:lineRule="auto"/>
        <w:ind w:firstLine="420" w:firstLineChars="200"/>
        <w:jc w:val="left"/>
        <w:rPr>
          <w:rFonts w:ascii="宋体" w:hAnsi="宋体" w:cs="宋体"/>
          <w:kern w:val="0"/>
          <w:szCs w:val="21"/>
        </w:rPr>
      </w:pPr>
      <w:r>
        <w:rPr>
          <w:rFonts w:hint="eastAsia" w:ascii="宋体" w:hAnsi="宋体" w:cs="宋体"/>
          <w:szCs w:val="21"/>
        </w:rPr>
        <w:t>五、我单位具有履行本项目采购合同所必需的设备和专业技术能力，并具有履行合同的良好</w:t>
      </w:r>
      <w:r>
        <w:rPr>
          <w:rFonts w:ascii="宋体" w:hAnsi="宋体"/>
          <w:szCs w:val="21"/>
        </w:rPr>
        <w:t>记录</w:t>
      </w:r>
      <w:r>
        <w:rPr>
          <w:rFonts w:hint="eastAsia" w:ascii="宋体" w:hAnsi="宋体" w:cs="宋体"/>
          <w:szCs w:val="21"/>
        </w:rPr>
        <w:t>。</w:t>
      </w:r>
    </w:p>
    <w:p w14:paraId="59FA9ED8">
      <w:pPr>
        <w:widowControl/>
        <w:adjustRightInd w:val="0"/>
        <w:snapToGrid w:val="0"/>
        <w:spacing w:beforeLines="50" w:line="360" w:lineRule="auto"/>
        <w:ind w:firstLine="420" w:firstLineChars="200"/>
        <w:jc w:val="left"/>
        <w:rPr>
          <w:rFonts w:ascii="宋体" w:hAnsi="宋体" w:cs="宋体"/>
          <w:szCs w:val="21"/>
        </w:rPr>
      </w:pPr>
      <w:r>
        <w:rPr>
          <w:rFonts w:hint="eastAsia" w:ascii="宋体" w:hAnsi="宋体" w:cs="宋体"/>
          <w:szCs w:val="21"/>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p>
    <w:p w14:paraId="7B4851F1">
      <w:pPr>
        <w:widowControl/>
        <w:adjustRightInd w:val="0"/>
        <w:snapToGrid w:val="0"/>
        <w:spacing w:beforeLines="50" w:line="360" w:lineRule="auto"/>
        <w:ind w:firstLine="420" w:firstLineChars="200"/>
        <w:jc w:val="left"/>
        <w:rPr>
          <w:rFonts w:ascii="宋体" w:hAnsi="宋体" w:cs="宋体"/>
          <w:szCs w:val="21"/>
        </w:rPr>
      </w:pPr>
      <w:r>
        <w:rPr>
          <w:rFonts w:hint="eastAsia" w:ascii="宋体" w:hAnsi="宋体" w:cs="宋体"/>
          <w:szCs w:val="21"/>
        </w:rPr>
        <w:t>供应商在参加政府采购活动前3年内因违法经营被禁止在一定期限内参加政府采购活动，期限届满的，可以参加政府采购活动。</w:t>
      </w:r>
    </w:p>
    <w:p w14:paraId="671852FC">
      <w:pPr>
        <w:widowControl/>
        <w:adjustRightInd w:val="0"/>
        <w:snapToGrid w:val="0"/>
        <w:spacing w:beforeLines="50" w:line="360" w:lineRule="auto"/>
        <w:ind w:firstLine="420" w:firstLineChars="200"/>
        <w:jc w:val="left"/>
        <w:rPr>
          <w:rFonts w:ascii="宋体" w:hAnsi="宋体" w:cs="宋体"/>
          <w:szCs w:val="21"/>
        </w:rPr>
      </w:pPr>
      <w:r>
        <w:rPr>
          <w:rFonts w:hint="eastAsia" w:ascii="宋体" w:hAnsi="宋体" w:cs="宋体"/>
          <w:szCs w:val="21"/>
        </w:rPr>
        <w:t>七、我单位具备法律、行政法规规定的其他条件。</w:t>
      </w:r>
    </w:p>
    <w:p w14:paraId="48D2D34F">
      <w:pPr>
        <w:widowControl/>
        <w:adjustRightInd w:val="0"/>
        <w:snapToGrid w:val="0"/>
        <w:spacing w:beforeLines="50" w:line="360" w:lineRule="auto"/>
        <w:ind w:firstLine="420" w:firstLineChars="200"/>
        <w:jc w:val="left"/>
        <w:rPr>
          <w:szCs w:val="21"/>
        </w:rPr>
      </w:pPr>
      <w:r>
        <w:rPr>
          <w:rFonts w:hint="eastAsia" w:ascii="宋体" w:hAnsi="宋体" w:cs="宋体"/>
          <w:kern w:val="0"/>
          <w:szCs w:val="21"/>
        </w:rPr>
        <w:t>八、</w:t>
      </w:r>
      <w:r>
        <w:rPr>
          <w:rFonts w:hint="eastAsia"/>
          <w:szCs w:val="21"/>
        </w:rPr>
        <w:t>与我单位存在“单位负责人为同一人或者存在直接控股、管理关系”的其他单位信息如下（如无，填写“无”）：</w:t>
      </w:r>
    </w:p>
    <w:p w14:paraId="527CEDD2">
      <w:pPr>
        <w:adjustRightInd w:val="0"/>
        <w:snapToGrid w:val="0"/>
        <w:spacing w:beforeLines="50" w:line="360" w:lineRule="auto"/>
        <w:ind w:firstLine="420" w:firstLineChars="200"/>
        <w:rPr>
          <w:szCs w:val="21"/>
        </w:rPr>
      </w:pPr>
      <w:r>
        <w:rPr>
          <w:rFonts w:hint="eastAsia" w:ascii="宋体" w:hAnsi="宋体"/>
          <w:szCs w:val="21"/>
        </w:rPr>
        <w:t>1、</w:t>
      </w:r>
      <w:r>
        <w:rPr>
          <w:rFonts w:hint="eastAsia"/>
          <w:szCs w:val="21"/>
        </w:rPr>
        <w:t>与我单位的法定代表人（单位负责人）为同一人的其他单位如下：</w:t>
      </w:r>
      <w:r>
        <w:rPr>
          <w:rFonts w:hint="eastAsia" w:ascii="宋体" w:hAnsi="宋体"/>
          <w:szCs w:val="21"/>
          <w:u w:val="single"/>
        </w:rPr>
        <w:t xml:space="preserve">               </w:t>
      </w:r>
    </w:p>
    <w:p w14:paraId="0B0B8222">
      <w:pPr>
        <w:adjustRightInd w:val="0"/>
        <w:snapToGrid w:val="0"/>
        <w:spacing w:beforeLines="50" w:line="360" w:lineRule="auto"/>
        <w:ind w:firstLine="420" w:firstLineChars="200"/>
        <w:rPr>
          <w:rFonts w:ascii="宋体" w:hAnsi="宋体"/>
          <w:szCs w:val="21"/>
        </w:rPr>
      </w:pPr>
      <w:r>
        <w:rPr>
          <w:rFonts w:hint="eastAsia" w:ascii="宋体" w:hAnsi="宋体"/>
          <w:szCs w:val="21"/>
        </w:rPr>
        <w:t>2、我</w:t>
      </w:r>
      <w:r>
        <w:rPr>
          <w:rFonts w:hint="eastAsia"/>
          <w:szCs w:val="21"/>
        </w:rPr>
        <w:t>单位</w:t>
      </w:r>
      <w:r>
        <w:rPr>
          <w:rFonts w:hint="eastAsia" w:ascii="宋体" w:hAnsi="宋体"/>
          <w:szCs w:val="21"/>
        </w:rPr>
        <w:t>直接控股的其他单位如下：</w:t>
      </w:r>
      <w:r>
        <w:rPr>
          <w:rFonts w:hint="eastAsia" w:ascii="宋体" w:hAnsi="宋体"/>
          <w:szCs w:val="21"/>
          <w:u w:val="single"/>
        </w:rPr>
        <w:t xml:space="preserve">               </w:t>
      </w:r>
    </w:p>
    <w:p w14:paraId="23350495">
      <w:pPr>
        <w:adjustRightInd w:val="0"/>
        <w:snapToGrid w:val="0"/>
        <w:spacing w:beforeLines="50" w:line="360" w:lineRule="auto"/>
        <w:ind w:firstLine="420" w:firstLineChars="200"/>
        <w:rPr>
          <w:szCs w:val="21"/>
        </w:rPr>
      </w:pPr>
      <w:r>
        <w:rPr>
          <w:rFonts w:hint="eastAsia" w:ascii="宋体" w:hAnsi="宋体"/>
          <w:szCs w:val="21"/>
        </w:rPr>
        <w:t>3、与我</w:t>
      </w:r>
      <w:r>
        <w:rPr>
          <w:rFonts w:hint="eastAsia"/>
          <w:szCs w:val="21"/>
        </w:rPr>
        <w:t>单位存在</w:t>
      </w:r>
      <w:r>
        <w:rPr>
          <w:rFonts w:hint="eastAsia" w:ascii="宋体" w:hAnsi="宋体"/>
          <w:szCs w:val="21"/>
        </w:rPr>
        <w:t>管理关系的其他单位如下：</w:t>
      </w:r>
      <w:r>
        <w:rPr>
          <w:rFonts w:hint="eastAsia" w:ascii="宋体" w:hAnsi="宋体"/>
          <w:szCs w:val="21"/>
          <w:u w:val="single"/>
        </w:rPr>
        <w:t xml:space="preserve">               </w:t>
      </w:r>
    </w:p>
    <w:p w14:paraId="14691976">
      <w:pPr>
        <w:widowControl/>
        <w:adjustRightInd w:val="0"/>
        <w:snapToGrid w:val="0"/>
        <w:spacing w:beforeLines="50" w:line="360" w:lineRule="auto"/>
        <w:ind w:firstLine="420" w:firstLineChars="200"/>
        <w:jc w:val="left"/>
        <w:rPr>
          <w:szCs w:val="21"/>
        </w:rPr>
      </w:pPr>
      <w:r>
        <w:rPr>
          <w:rFonts w:hint="eastAsia" w:ascii="宋体" w:hAnsi="宋体"/>
          <w:szCs w:val="21"/>
        </w:rPr>
        <w:t>九、</w:t>
      </w:r>
      <w:r>
        <w:rPr>
          <w:rFonts w:ascii="宋体" w:hAnsi="宋体"/>
          <w:szCs w:val="21"/>
        </w:rPr>
        <w:t>我</w:t>
      </w:r>
      <w:r>
        <w:rPr>
          <w:rFonts w:hint="eastAsia" w:ascii="宋体" w:hAnsi="宋体"/>
          <w:szCs w:val="21"/>
        </w:rPr>
        <w:t>单位</w:t>
      </w:r>
      <w:r>
        <w:rPr>
          <w:rFonts w:ascii="宋体" w:hAnsi="宋体"/>
          <w:szCs w:val="21"/>
        </w:rPr>
        <w:t>不属于为本项目提供整体设计、规范编制或者项目管理、监理、检测等服务的投标人。</w:t>
      </w:r>
    </w:p>
    <w:p w14:paraId="11E1D5DD">
      <w:pPr>
        <w:widowControl/>
        <w:adjustRightInd w:val="0"/>
        <w:snapToGrid w:val="0"/>
        <w:spacing w:beforeLines="50" w:line="360" w:lineRule="auto"/>
        <w:ind w:firstLine="420" w:firstLineChars="200"/>
        <w:jc w:val="left"/>
        <w:rPr>
          <w:rFonts w:ascii="宋体" w:hAnsi="宋体"/>
          <w:szCs w:val="21"/>
        </w:rPr>
      </w:pPr>
      <w:r>
        <w:rPr>
          <w:rFonts w:hint="eastAsia" w:ascii="宋体" w:hAnsi="宋体"/>
          <w:szCs w:val="21"/>
        </w:rPr>
        <w:t>十、</w:t>
      </w:r>
      <w:r>
        <w:rPr>
          <w:rFonts w:ascii="宋体" w:hAnsi="宋体"/>
          <w:szCs w:val="21"/>
        </w:rPr>
        <w:t>我单位无以下不良信用记录情形：</w:t>
      </w:r>
    </w:p>
    <w:p w14:paraId="7ADFB4A8">
      <w:pPr>
        <w:widowControl/>
        <w:adjustRightInd w:val="0"/>
        <w:snapToGrid w:val="0"/>
        <w:spacing w:beforeLines="50" w:line="360" w:lineRule="auto"/>
        <w:ind w:firstLine="420" w:firstLineChars="200"/>
        <w:jc w:val="left"/>
        <w:rPr>
          <w:rFonts w:ascii="宋体" w:hAnsi="宋体"/>
          <w:szCs w:val="21"/>
        </w:rPr>
      </w:pPr>
      <w:r>
        <w:rPr>
          <w:rFonts w:ascii="宋体" w:hAnsi="宋体"/>
          <w:szCs w:val="21"/>
        </w:rPr>
        <w:t>1</w:t>
      </w:r>
      <w:r>
        <w:rPr>
          <w:rFonts w:hint="eastAsia" w:ascii="宋体" w:hAnsi="宋体"/>
          <w:szCs w:val="21"/>
        </w:rPr>
        <w:t>、在</w:t>
      </w:r>
      <w:r>
        <w:rPr>
          <w:rFonts w:hint="eastAsia" w:ascii="宋体" w:hAnsi="宋体" w:cs="宋体"/>
          <w:szCs w:val="21"/>
        </w:rPr>
        <w:t>“信用中国”网站被列入失信被执行人和重大税收违法案件当事人名单；</w:t>
      </w:r>
    </w:p>
    <w:p w14:paraId="6EE0907B">
      <w:pPr>
        <w:widowControl/>
        <w:adjustRightInd w:val="0"/>
        <w:snapToGrid w:val="0"/>
        <w:spacing w:beforeLines="50" w:line="360" w:lineRule="auto"/>
        <w:ind w:firstLine="420" w:firstLineChars="200"/>
        <w:jc w:val="left"/>
        <w:rPr>
          <w:rFonts w:ascii="宋体" w:hAnsi="宋体"/>
          <w:szCs w:val="21"/>
        </w:rPr>
      </w:pPr>
      <w:r>
        <w:rPr>
          <w:rFonts w:ascii="宋体" w:hAnsi="宋体"/>
          <w:szCs w:val="21"/>
        </w:rPr>
        <w:t>2</w:t>
      </w:r>
      <w:r>
        <w:rPr>
          <w:rFonts w:hint="eastAsia" w:ascii="宋体" w:hAnsi="宋体"/>
          <w:szCs w:val="21"/>
        </w:rPr>
        <w:t>、在</w:t>
      </w:r>
      <w:r>
        <w:rPr>
          <w:rFonts w:hint="eastAsia" w:ascii="宋体" w:hAnsi="宋体" w:cs="宋体"/>
          <w:szCs w:val="21"/>
        </w:rPr>
        <w:t>“中国政府采购网”网站被列入政府采购严重违法失信行为记录名单；</w:t>
      </w:r>
    </w:p>
    <w:p w14:paraId="71C62F90">
      <w:pPr>
        <w:widowControl/>
        <w:adjustRightInd w:val="0"/>
        <w:snapToGrid w:val="0"/>
        <w:spacing w:beforeLines="50" w:line="360" w:lineRule="auto"/>
        <w:ind w:firstLine="420" w:firstLineChars="200"/>
        <w:jc w:val="left"/>
        <w:rPr>
          <w:rFonts w:ascii="宋体" w:hAnsi="宋体"/>
          <w:szCs w:val="21"/>
        </w:rPr>
      </w:pPr>
      <w:r>
        <w:rPr>
          <w:rFonts w:ascii="宋体" w:hAnsi="宋体"/>
          <w:szCs w:val="21"/>
        </w:rPr>
        <w:t>3</w:t>
      </w:r>
      <w:r>
        <w:rPr>
          <w:rFonts w:hint="eastAsia" w:ascii="宋体" w:hAnsi="宋体"/>
          <w:szCs w:val="21"/>
        </w:rPr>
        <w:t>、</w:t>
      </w:r>
      <w:r>
        <w:rPr>
          <w:rFonts w:ascii="宋体" w:hAnsi="宋体"/>
          <w:szCs w:val="21"/>
        </w:rPr>
        <w:t>不符合《政府采购法》第二十二条规定的条件。</w:t>
      </w:r>
    </w:p>
    <w:p w14:paraId="43A1D8CD">
      <w:pPr>
        <w:widowControl/>
        <w:adjustRightInd w:val="0"/>
        <w:snapToGrid w:val="0"/>
        <w:spacing w:beforeLines="50" w:line="360" w:lineRule="auto"/>
        <w:ind w:firstLine="420" w:firstLineChars="200"/>
        <w:jc w:val="left"/>
        <w:rPr>
          <w:rFonts w:ascii="宋体" w:hAnsi="宋体" w:cs="宋体"/>
          <w:kern w:val="0"/>
          <w:szCs w:val="21"/>
        </w:rPr>
      </w:pPr>
      <w:r>
        <w:rPr>
          <w:rFonts w:hint="eastAsia" w:ascii="宋体" w:hAnsi="宋体" w:cs="宋体"/>
          <w:szCs w:val="21"/>
        </w:rPr>
        <w:t>我单位保证上述声明的事项都是真实的，如有虚假，我单位愿意承担相应的法律责任，并承担因此所造成的一切损失。</w:t>
      </w:r>
    </w:p>
    <w:p w14:paraId="7610A9CD">
      <w:pPr>
        <w:widowControl/>
        <w:adjustRightInd w:val="0"/>
        <w:snapToGrid w:val="0"/>
        <w:spacing w:beforeLines="50" w:line="360" w:lineRule="auto"/>
        <w:jc w:val="left"/>
        <w:rPr>
          <w:rFonts w:ascii="宋体" w:hAnsi="宋体" w:cs="宋体"/>
          <w:szCs w:val="21"/>
        </w:rPr>
      </w:pPr>
    </w:p>
    <w:p w14:paraId="34D05DE4">
      <w:pPr>
        <w:widowControl/>
        <w:adjustRightInd w:val="0"/>
        <w:snapToGrid w:val="0"/>
        <w:spacing w:beforeLines="50" w:line="360" w:lineRule="auto"/>
        <w:jc w:val="left"/>
        <w:rPr>
          <w:rFonts w:ascii="宋体" w:hAnsi="宋体" w:cs="宋体"/>
          <w:szCs w:val="21"/>
        </w:rPr>
      </w:pPr>
      <w:r>
        <w:rPr>
          <w:rFonts w:hint="eastAsia" w:ascii="宋体" w:hAnsi="宋体" w:cs="宋体"/>
          <w:szCs w:val="21"/>
        </w:rPr>
        <w:t>注：第三条“良好的商业信誉”是指投标人经营状况良好，无本资格声明第十条情形。</w:t>
      </w:r>
    </w:p>
    <w:p w14:paraId="751F9C6D">
      <w:pPr>
        <w:widowControl/>
        <w:adjustRightInd w:val="0"/>
        <w:snapToGrid w:val="0"/>
        <w:spacing w:beforeLines="50" w:line="360" w:lineRule="auto"/>
        <w:jc w:val="left"/>
        <w:rPr>
          <w:rFonts w:ascii="宋体" w:hAnsi="宋体" w:cs="宋体"/>
          <w:szCs w:val="21"/>
        </w:rPr>
      </w:pPr>
    </w:p>
    <w:p w14:paraId="3C8F44EC">
      <w:pPr>
        <w:widowControl/>
        <w:adjustRightInd w:val="0"/>
        <w:snapToGrid w:val="0"/>
        <w:spacing w:line="360" w:lineRule="auto"/>
        <w:jc w:val="left"/>
        <w:rPr>
          <w:rFonts w:ascii="宋体" w:hAnsi="宋体" w:cs="宋体"/>
          <w:kern w:val="0"/>
          <w:szCs w:val="21"/>
        </w:rPr>
      </w:pPr>
      <w:r>
        <w:rPr>
          <w:rFonts w:hint="eastAsia" w:ascii="宋体" w:hAnsi="宋体" w:cs="宋体"/>
          <w:szCs w:val="21"/>
        </w:rPr>
        <w:t>投标人名称（盖单位公章）：</w:t>
      </w:r>
    </w:p>
    <w:p w14:paraId="535EFC81">
      <w:pPr>
        <w:widowControl/>
        <w:adjustRightInd w:val="0"/>
        <w:snapToGrid w:val="0"/>
        <w:spacing w:line="360" w:lineRule="auto"/>
        <w:jc w:val="left"/>
        <w:rPr>
          <w:rFonts w:ascii="宋体" w:hAnsi="宋体" w:cs="宋体"/>
          <w:b/>
          <w:bCs/>
          <w:kern w:val="0"/>
          <w:sz w:val="44"/>
          <w:szCs w:val="44"/>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rPr>
        <w:t>或委托代理人：</w:t>
      </w:r>
      <w:r>
        <w:rPr>
          <w:rFonts w:hint="eastAsia" w:ascii="宋体" w:hAnsi="宋体"/>
          <w:u w:val="single"/>
        </w:rPr>
        <w:t xml:space="preserve">       </w:t>
      </w:r>
      <w:r>
        <w:rPr>
          <w:rFonts w:hint="eastAsia" w:ascii="宋体" w:hAnsi="宋体"/>
        </w:rPr>
        <w:t>（签字或印章）</w:t>
      </w:r>
    </w:p>
    <w:p w14:paraId="04F3805A">
      <w:pPr>
        <w:widowControl/>
        <w:adjustRightInd w:val="0"/>
        <w:snapToGrid w:val="0"/>
        <w:spacing w:line="360" w:lineRule="auto"/>
        <w:jc w:val="left"/>
        <w:rPr>
          <w:rFonts w:ascii="宋体" w:hAnsi="宋体" w:cs="宋体"/>
          <w:szCs w:val="21"/>
        </w:rPr>
      </w:pPr>
      <w:r>
        <w:rPr>
          <w:rFonts w:hint="eastAsia" w:ascii="宋体" w:hAnsi="宋体" w:cs="宋体"/>
          <w:szCs w:val="21"/>
        </w:rPr>
        <w:t>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24F9EE64">
      <w:pPr>
        <w:widowControl/>
        <w:jc w:val="left"/>
        <w:rPr>
          <w:rFonts w:ascii="黑体" w:hAnsi="仿宋" w:cs="宋体"/>
          <w:szCs w:val="21"/>
        </w:rPr>
      </w:pPr>
      <w:r>
        <w:rPr>
          <w:rFonts w:ascii="黑体" w:hAnsi="仿宋" w:cs="宋体"/>
          <w:b/>
          <w:szCs w:val="21"/>
        </w:rPr>
        <w:br w:type="page"/>
      </w:r>
      <w:bookmarkStart w:id="138" w:name="_Toc20651251"/>
      <w:r>
        <w:rPr>
          <w:rFonts w:hint="eastAsia" w:ascii="黑体" w:hAnsi="仿宋" w:cs="宋体"/>
          <w:b/>
          <w:bCs/>
          <w:szCs w:val="21"/>
        </w:rPr>
        <w:t>附件4-3</w:t>
      </w:r>
      <w:r>
        <w:rPr>
          <w:rFonts w:hint="eastAsia" w:ascii="黑体" w:hAnsi="仿宋" w:cs="宋体"/>
          <w:szCs w:val="21"/>
        </w:rPr>
        <w:t xml:space="preserve"> </w:t>
      </w:r>
      <w:bookmarkEnd w:id="138"/>
    </w:p>
    <w:p w14:paraId="0B54F43D">
      <w:pPr>
        <w:widowControl/>
        <w:adjustRightInd w:val="0"/>
        <w:snapToGrid w:val="0"/>
        <w:spacing w:line="360" w:lineRule="auto"/>
        <w:jc w:val="center"/>
        <w:rPr>
          <w:rFonts w:ascii="黑体" w:hAnsi="仿宋" w:eastAsia="黑体" w:cs="宋体"/>
          <w:b/>
          <w:sz w:val="28"/>
          <w:szCs w:val="28"/>
        </w:rPr>
      </w:pPr>
      <w:r>
        <w:rPr>
          <w:rFonts w:hint="eastAsia" w:ascii="黑体" w:hAnsi="仿宋" w:eastAsia="黑体" w:cs="宋体"/>
          <w:b/>
          <w:sz w:val="28"/>
          <w:szCs w:val="28"/>
        </w:rPr>
        <w:t>符合特定资格条件证明材料扫描件或者情况说明</w:t>
      </w:r>
    </w:p>
    <w:p w14:paraId="0FD0A95C">
      <w:pPr>
        <w:widowControl/>
        <w:adjustRightInd w:val="0"/>
        <w:snapToGrid w:val="0"/>
        <w:spacing w:line="360" w:lineRule="auto"/>
        <w:ind w:firstLine="560" w:firstLineChars="200"/>
        <w:jc w:val="left"/>
        <w:rPr>
          <w:rFonts w:ascii="黑体" w:hAnsi="仿宋" w:eastAsia="黑体" w:cs="宋体"/>
          <w:sz w:val="28"/>
          <w:szCs w:val="28"/>
        </w:rPr>
      </w:pPr>
    </w:p>
    <w:p w14:paraId="41AEED19">
      <w:pPr>
        <w:widowControl/>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注：按第三章资格审查要求提供。</w:t>
      </w:r>
    </w:p>
    <w:p w14:paraId="651DA453">
      <w:pPr>
        <w:widowControl/>
        <w:jc w:val="left"/>
        <w:rPr>
          <w:rFonts w:ascii="黑体" w:hAnsi="宋体" w:cs="宋体"/>
          <w:kern w:val="0"/>
          <w:szCs w:val="21"/>
        </w:rPr>
      </w:pPr>
      <w:r>
        <w:rPr>
          <w:rFonts w:ascii="黑体" w:hAnsi="仿宋" w:eastAsia="黑体" w:cs="宋体"/>
          <w:szCs w:val="21"/>
        </w:rPr>
        <w:br w:type="page"/>
      </w:r>
      <w:bookmarkStart w:id="139" w:name="_Toc20651252"/>
      <w:r>
        <w:rPr>
          <w:rFonts w:hint="eastAsia" w:ascii="黑体" w:hAnsi="仿宋" w:cs="宋体"/>
          <w:b/>
          <w:bCs/>
          <w:szCs w:val="21"/>
        </w:rPr>
        <w:t>附件4-4 联合体协议书（格式）</w:t>
      </w:r>
      <w:bookmarkEnd w:id="139"/>
    </w:p>
    <w:p w14:paraId="2B444543">
      <w:pPr>
        <w:adjustRightInd w:val="0"/>
        <w:snapToGrid w:val="0"/>
        <w:spacing w:line="360" w:lineRule="auto"/>
        <w:jc w:val="center"/>
        <w:rPr>
          <w:rFonts w:ascii="宋体" w:hAnsi="宋体"/>
          <w:b/>
          <w:szCs w:val="21"/>
        </w:rPr>
      </w:pPr>
      <w:r>
        <w:rPr>
          <w:rFonts w:hint="eastAsia" w:ascii="黑体" w:hAnsi="仿宋" w:eastAsia="黑体" w:cs="宋体"/>
          <w:b/>
          <w:sz w:val="28"/>
          <w:szCs w:val="28"/>
        </w:rPr>
        <w:t>联合体协议书（格式）</w:t>
      </w:r>
    </w:p>
    <w:p w14:paraId="340466C8">
      <w:pPr>
        <w:adjustRightInd w:val="0"/>
        <w:snapToGrid w:val="0"/>
        <w:spacing w:line="360" w:lineRule="auto"/>
        <w:rPr>
          <w:rFonts w:ascii="宋体" w:hAnsi="宋体"/>
          <w:szCs w:val="21"/>
        </w:rPr>
      </w:pPr>
    </w:p>
    <w:p w14:paraId="57DC8125">
      <w:pPr>
        <w:adjustRightInd w:val="0"/>
        <w:snapToGrid w:val="0"/>
        <w:spacing w:line="360" w:lineRule="auto"/>
        <w:rPr>
          <w:rFonts w:ascii="宋体" w:hAnsi="宋体"/>
          <w:szCs w:val="21"/>
        </w:rPr>
      </w:pPr>
      <w:r>
        <w:rPr>
          <w:rFonts w:hint="eastAsia" w:ascii="宋体" w:hAnsi="宋体"/>
          <w:szCs w:val="21"/>
        </w:rPr>
        <w:t>致</w:t>
      </w:r>
      <w:r>
        <w:rPr>
          <w:rFonts w:hint="eastAsia" w:ascii="宋体" w:hAnsi="宋体"/>
          <w:szCs w:val="21"/>
          <w:u w:val="single"/>
        </w:rPr>
        <w:t xml:space="preserve">                   </w:t>
      </w:r>
      <w:r>
        <w:rPr>
          <w:rFonts w:hint="eastAsia" w:ascii="宋体" w:hAnsi="宋体"/>
          <w:szCs w:val="21"/>
        </w:rPr>
        <w:t>（采购人、采购代理机构）：</w:t>
      </w:r>
    </w:p>
    <w:p w14:paraId="291DE1F0">
      <w:pPr>
        <w:adjustRightInd w:val="0"/>
        <w:snapToGrid w:val="0"/>
        <w:spacing w:line="360" w:lineRule="auto"/>
        <w:ind w:firstLine="420" w:firstLineChars="200"/>
        <w:rPr>
          <w:rFonts w:ascii="宋体" w:hAnsi="宋体"/>
          <w:szCs w:val="21"/>
        </w:rPr>
      </w:pPr>
      <w:r>
        <w:rPr>
          <w:rFonts w:hint="eastAsia" w:ascii="宋体" w:hAnsi="宋体"/>
          <w:szCs w:val="21"/>
        </w:rPr>
        <w:t>经研究，我们决定自愿组成联合体共同参加</w:t>
      </w:r>
      <w:r>
        <w:rPr>
          <w:rFonts w:hint="eastAsia" w:ascii="宋体" w:hAnsi="宋体"/>
          <w:szCs w:val="21"/>
          <w:u w:val="single"/>
        </w:rPr>
        <w:t xml:space="preserve">                    </w:t>
      </w:r>
      <w:r>
        <w:rPr>
          <w:rFonts w:hint="eastAsia" w:ascii="宋体" w:hAnsi="宋体"/>
          <w:szCs w:val="21"/>
        </w:rPr>
        <w:t>（项目名称</w:t>
      </w:r>
      <w:r>
        <w:rPr>
          <w:rFonts w:ascii="宋体" w:hAnsi="宋体"/>
          <w:szCs w:val="21"/>
        </w:rPr>
        <w:t>）</w:t>
      </w:r>
      <w:r>
        <w:rPr>
          <w:rFonts w:hint="eastAsia" w:ascii="宋体" w:hAnsi="宋体"/>
          <w:szCs w:val="21"/>
        </w:rPr>
        <w:t>（采购代理编号：</w:t>
      </w:r>
      <w:r>
        <w:rPr>
          <w:rFonts w:hint="eastAsia" w:ascii="宋体" w:hAnsi="宋体"/>
          <w:szCs w:val="21"/>
          <w:u w:val="single"/>
        </w:rPr>
        <w:t xml:space="preserve">               </w:t>
      </w:r>
      <w:r>
        <w:rPr>
          <w:rFonts w:hint="eastAsia" w:ascii="宋体" w:hAnsi="宋体"/>
          <w:szCs w:val="21"/>
        </w:rPr>
        <w:t xml:space="preserve"> ）项目的投标。现就联合体投标事宜订立如下协议：</w:t>
      </w:r>
    </w:p>
    <w:p w14:paraId="013EB5D6">
      <w:pPr>
        <w:adjustRightInd w:val="0"/>
        <w:snapToGrid w:val="0"/>
        <w:spacing w:line="360" w:lineRule="auto"/>
        <w:ind w:firstLine="420" w:firstLineChars="200"/>
        <w:rPr>
          <w:rFonts w:ascii="宋体" w:hAnsi="宋体"/>
          <w:szCs w:val="21"/>
          <w:u w:val="single"/>
        </w:rPr>
      </w:pPr>
      <w:r>
        <w:rPr>
          <w:rFonts w:hint="eastAsia" w:ascii="宋体" w:hAnsi="宋体"/>
          <w:szCs w:val="21"/>
        </w:rPr>
        <w:t>一、联合体基本信息：</w:t>
      </w:r>
      <w:r>
        <w:rPr>
          <w:rFonts w:hint="eastAsia" w:ascii="宋体" w:hAnsi="宋体"/>
          <w:szCs w:val="21"/>
          <w:u w:val="single"/>
        </w:rPr>
        <w:t xml:space="preserve">                </w:t>
      </w:r>
      <w:r>
        <w:rPr>
          <w:rFonts w:hint="eastAsia" w:ascii="宋体" w:hAnsi="宋体"/>
          <w:szCs w:val="21"/>
        </w:rPr>
        <w:t>（各方公司名称、地址、注册资金、营业执照、</w:t>
      </w: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姓名）</w:t>
      </w:r>
    </w:p>
    <w:p w14:paraId="3F4A6B30">
      <w:pPr>
        <w:adjustRightInd w:val="0"/>
        <w:snapToGrid w:val="0"/>
        <w:spacing w:line="360" w:lineRule="auto"/>
        <w:ind w:firstLine="420" w:firstLineChars="200"/>
        <w:rPr>
          <w:rFonts w:ascii="宋体" w:hAnsi="宋体"/>
          <w:szCs w:val="21"/>
        </w:rPr>
      </w:pPr>
      <w:r>
        <w:rPr>
          <w:rFonts w:hint="eastAsia" w:ascii="宋体" w:hAnsi="宋体"/>
          <w:szCs w:val="21"/>
        </w:rPr>
        <w:t>二、</w:t>
      </w:r>
      <w:r>
        <w:rPr>
          <w:rFonts w:hint="eastAsia" w:ascii="宋体" w:hAnsi="宋体"/>
          <w:szCs w:val="21"/>
          <w:u w:val="single"/>
        </w:rPr>
        <w:t xml:space="preserve">       </w:t>
      </w:r>
      <w:r>
        <w:rPr>
          <w:rFonts w:hint="eastAsia" w:ascii="宋体" w:hAnsi="宋体"/>
          <w:szCs w:val="21"/>
        </w:rPr>
        <w:t>（某成员单位名称）为</w:t>
      </w:r>
      <w:r>
        <w:rPr>
          <w:rFonts w:hint="eastAsia" w:ascii="宋体" w:hAnsi="宋体"/>
          <w:szCs w:val="21"/>
          <w:u w:val="single"/>
        </w:rPr>
        <w:t xml:space="preserve">        </w:t>
      </w:r>
      <w:r>
        <w:rPr>
          <w:rFonts w:hint="eastAsia" w:ascii="宋体" w:hAnsi="宋体"/>
          <w:szCs w:val="21"/>
        </w:rPr>
        <w:t>（联合体名称）牵头人。</w:t>
      </w:r>
    </w:p>
    <w:p w14:paraId="20F9EA79">
      <w:pPr>
        <w:adjustRightInd w:val="0"/>
        <w:snapToGrid w:val="0"/>
        <w:spacing w:line="360" w:lineRule="auto"/>
        <w:ind w:firstLine="420" w:firstLineChars="200"/>
        <w:rPr>
          <w:rFonts w:ascii="宋体" w:hAnsi="宋体"/>
          <w:szCs w:val="21"/>
        </w:rPr>
      </w:pPr>
      <w:r>
        <w:rPr>
          <w:rFonts w:hint="eastAsia" w:ascii="宋体" w:hAnsi="宋体"/>
          <w:szCs w:val="21"/>
        </w:rPr>
        <w:t>三、联合体牵头人合法代表联合体各成员负责本项目投标文件编制活动，代表联合体提交和接收相关的资料、信息及指示，并处理与投标有关的一切事务；联合体中标后，联合体牵头人负责合同订立和合同实施阶段的主办、组织和协调工作。</w:t>
      </w:r>
    </w:p>
    <w:p w14:paraId="38E91772">
      <w:pPr>
        <w:adjustRightInd w:val="0"/>
        <w:snapToGrid w:val="0"/>
        <w:spacing w:line="360" w:lineRule="auto"/>
        <w:ind w:firstLine="420" w:firstLineChars="200"/>
        <w:rPr>
          <w:rFonts w:ascii="宋体" w:hAnsi="宋体"/>
          <w:szCs w:val="21"/>
        </w:rPr>
      </w:pPr>
      <w:r>
        <w:rPr>
          <w:rFonts w:hint="eastAsia" w:ascii="宋体" w:hAnsi="宋体"/>
          <w:szCs w:val="21"/>
        </w:rPr>
        <w:t>四．联合体将严格按照招标文件的各项要求，递交投标文件，参加投标，履行中标义务和中标后的合同，并向采购人承担连带责任。</w:t>
      </w:r>
    </w:p>
    <w:p w14:paraId="490AB52C">
      <w:pPr>
        <w:adjustRightInd w:val="0"/>
        <w:snapToGrid w:val="0"/>
        <w:spacing w:line="360" w:lineRule="auto"/>
        <w:ind w:firstLine="420" w:firstLineChars="200"/>
        <w:rPr>
          <w:rFonts w:ascii="宋体" w:hAnsi="宋体"/>
          <w:szCs w:val="21"/>
          <w:u w:val="single"/>
        </w:rPr>
      </w:pPr>
      <w:r>
        <w:rPr>
          <w:rFonts w:hint="eastAsia" w:ascii="宋体" w:hAnsi="宋体"/>
          <w:szCs w:val="21"/>
        </w:rPr>
        <w:t>五、联合体各成员单位内部的职责分工如下：</w:t>
      </w:r>
      <w:r>
        <w:rPr>
          <w:rFonts w:hint="eastAsia" w:ascii="宋体" w:hAnsi="宋体"/>
          <w:szCs w:val="21"/>
          <w:u w:val="single"/>
        </w:rPr>
        <w:t xml:space="preserve">             </w:t>
      </w:r>
      <w:r>
        <w:rPr>
          <w:rFonts w:hint="eastAsia" w:ascii="宋体" w:hAnsi="宋体"/>
          <w:szCs w:val="21"/>
        </w:rPr>
        <w:t>。按照本条上述分工，联合体各成员的协议合同金额占联合体协议合同总金额比例如下：</w:t>
      </w:r>
      <w:r>
        <w:rPr>
          <w:rFonts w:hint="eastAsia" w:ascii="宋体" w:hAnsi="宋体"/>
          <w:szCs w:val="21"/>
          <w:u w:val="single"/>
        </w:rPr>
        <w:t xml:space="preserve">               </w:t>
      </w:r>
      <w:r>
        <w:rPr>
          <w:rFonts w:hint="eastAsia" w:ascii="宋体" w:hAnsi="宋体"/>
          <w:szCs w:val="21"/>
        </w:rPr>
        <w:t>。</w:t>
      </w:r>
    </w:p>
    <w:p w14:paraId="6FF80491">
      <w:pPr>
        <w:adjustRightInd w:val="0"/>
        <w:snapToGrid w:val="0"/>
        <w:spacing w:line="360" w:lineRule="auto"/>
        <w:ind w:firstLine="420" w:firstLineChars="200"/>
        <w:rPr>
          <w:rFonts w:ascii="宋体" w:hAnsi="宋体"/>
          <w:szCs w:val="21"/>
        </w:rPr>
      </w:pPr>
      <w:r>
        <w:rPr>
          <w:rFonts w:hint="eastAsia" w:ascii="宋体" w:hAnsi="宋体"/>
          <w:szCs w:val="21"/>
        </w:rPr>
        <w:t>六、本协议书自签署之日起生效，合同履行完毕后自动失效。</w:t>
      </w:r>
    </w:p>
    <w:p w14:paraId="0269E2C4">
      <w:pPr>
        <w:adjustRightInd w:val="0"/>
        <w:snapToGrid w:val="0"/>
        <w:spacing w:line="360" w:lineRule="auto"/>
        <w:ind w:firstLine="420" w:firstLineChars="200"/>
        <w:rPr>
          <w:rFonts w:ascii="宋体" w:hAnsi="宋体"/>
          <w:szCs w:val="21"/>
        </w:rPr>
      </w:pPr>
      <w:r>
        <w:rPr>
          <w:rFonts w:hint="eastAsia" w:ascii="宋体" w:hAnsi="宋体"/>
          <w:szCs w:val="21"/>
        </w:rPr>
        <w:t>七、本协议书一式</w:t>
      </w:r>
      <w:r>
        <w:rPr>
          <w:rFonts w:hint="eastAsia" w:ascii="宋体" w:hAnsi="宋体"/>
          <w:szCs w:val="21"/>
          <w:u w:val="single"/>
        </w:rPr>
        <w:t xml:space="preserve">    </w:t>
      </w:r>
      <w:r>
        <w:rPr>
          <w:rFonts w:hint="eastAsia" w:ascii="宋体" w:hAnsi="宋体"/>
          <w:szCs w:val="21"/>
        </w:rPr>
        <w:t>份，联合体成员和采购人各执一份。</w:t>
      </w:r>
    </w:p>
    <w:p w14:paraId="1BE3CD78">
      <w:pPr>
        <w:adjustRightInd w:val="0"/>
        <w:snapToGrid w:val="0"/>
        <w:spacing w:line="360" w:lineRule="auto"/>
        <w:rPr>
          <w:rFonts w:ascii="宋体" w:hAnsi="宋体"/>
          <w:szCs w:val="21"/>
        </w:rPr>
      </w:pPr>
    </w:p>
    <w:p w14:paraId="74C189E0">
      <w:pPr>
        <w:adjustRightInd w:val="0"/>
        <w:snapToGrid w:val="0"/>
        <w:spacing w:line="360" w:lineRule="auto"/>
        <w:rPr>
          <w:rFonts w:ascii="宋体" w:hAnsi="宋体"/>
          <w:szCs w:val="21"/>
        </w:rPr>
      </w:pPr>
      <w:r>
        <w:rPr>
          <w:rFonts w:hint="eastAsia" w:ascii="宋体" w:hAnsi="宋体"/>
          <w:szCs w:val="21"/>
        </w:rPr>
        <w:t>牵头人名称（盖单位章）：</w:t>
      </w:r>
    </w:p>
    <w:p w14:paraId="7EF3AF5E">
      <w:pPr>
        <w:adjustRightInd w:val="0"/>
        <w:snapToGrid w:val="0"/>
        <w:spacing w:line="360" w:lineRule="auto"/>
        <w:rPr>
          <w:rFonts w:ascii="宋体" w:hAnsi="宋体"/>
          <w:szCs w:val="21"/>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或其委托代理人（签字或印章）：</w:t>
      </w:r>
      <w:r>
        <w:rPr>
          <w:rFonts w:hint="eastAsia" w:ascii="宋体" w:hAnsi="宋体"/>
          <w:szCs w:val="21"/>
          <w:u w:val="single"/>
        </w:rPr>
        <w:t xml:space="preserve">                          </w:t>
      </w:r>
    </w:p>
    <w:p w14:paraId="394211C1">
      <w:pPr>
        <w:adjustRightInd w:val="0"/>
        <w:snapToGrid w:val="0"/>
        <w:spacing w:line="360" w:lineRule="auto"/>
        <w:rPr>
          <w:rFonts w:ascii="宋体" w:hAnsi="宋体"/>
          <w:szCs w:val="21"/>
        </w:rPr>
      </w:pPr>
    </w:p>
    <w:p w14:paraId="5A86A99F">
      <w:pPr>
        <w:adjustRightInd w:val="0"/>
        <w:snapToGrid w:val="0"/>
        <w:spacing w:line="360" w:lineRule="auto"/>
        <w:rPr>
          <w:rFonts w:ascii="宋体" w:hAnsi="宋体"/>
          <w:szCs w:val="21"/>
        </w:rPr>
      </w:pPr>
      <w:r>
        <w:rPr>
          <w:rFonts w:hint="eastAsia" w:ascii="宋体" w:hAnsi="宋体"/>
          <w:szCs w:val="21"/>
        </w:rPr>
        <w:t>成员1名称（盖单位章）：</w:t>
      </w:r>
    </w:p>
    <w:p w14:paraId="66FFC630">
      <w:pPr>
        <w:adjustRightInd w:val="0"/>
        <w:snapToGrid w:val="0"/>
        <w:spacing w:line="360" w:lineRule="auto"/>
        <w:rPr>
          <w:rFonts w:ascii="宋体" w:hAnsi="宋体"/>
          <w:szCs w:val="21"/>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或其委托代理人（签字或印章）：</w:t>
      </w:r>
      <w:r>
        <w:rPr>
          <w:rFonts w:hint="eastAsia" w:ascii="宋体" w:hAnsi="宋体"/>
          <w:szCs w:val="21"/>
          <w:u w:val="single"/>
        </w:rPr>
        <w:t xml:space="preserve">                          </w:t>
      </w:r>
    </w:p>
    <w:p w14:paraId="28181A72">
      <w:pPr>
        <w:adjustRightInd w:val="0"/>
        <w:snapToGrid w:val="0"/>
        <w:spacing w:line="360" w:lineRule="auto"/>
        <w:rPr>
          <w:rFonts w:ascii="宋体" w:hAnsi="宋体"/>
          <w:szCs w:val="21"/>
        </w:rPr>
      </w:pPr>
      <w:r>
        <w:rPr>
          <w:rFonts w:hint="eastAsia" w:ascii="宋体" w:hAnsi="宋体"/>
          <w:szCs w:val="21"/>
        </w:rPr>
        <w:t>成员2名称（盖单位章）：</w:t>
      </w:r>
    </w:p>
    <w:p w14:paraId="1C2CCD47">
      <w:pPr>
        <w:adjustRightInd w:val="0"/>
        <w:snapToGrid w:val="0"/>
        <w:spacing w:line="360" w:lineRule="auto"/>
        <w:rPr>
          <w:rFonts w:ascii="宋体" w:hAnsi="宋体"/>
          <w:szCs w:val="21"/>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或其委托代理人（签字或印章）：</w:t>
      </w:r>
      <w:r>
        <w:rPr>
          <w:rFonts w:hint="eastAsia" w:ascii="宋体" w:hAnsi="宋体"/>
          <w:szCs w:val="21"/>
          <w:u w:val="single"/>
        </w:rPr>
        <w:t xml:space="preserve">                          </w:t>
      </w:r>
    </w:p>
    <w:p w14:paraId="24A4086D">
      <w:pPr>
        <w:adjustRightInd w:val="0"/>
        <w:snapToGrid w:val="0"/>
        <w:spacing w:line="360" w:lineRule="auto"/>
        <w:rPr>
          <w:rFonts w:ascii="宋体" w:hAnsi="宋体"/>
          <w:szCs w:val="21"/>
        </w:rPr>
      </w:pPr>
      <w:r>
        <w:rPr>
          <w:rFonts w:ascii="宋体" w:hAnsi="宋体"/>
          <w:szCs w:val="21"/>
        </w:rPr>
        <w:t>…</w:t>
      </w:r>
    </w:p>
    <w:p w14:paraId="592D827B">
      <w:pPr>
        <w:adjustRightInd w:val="0"/>
        <w:snapToGrid w:val="0"/>
        <w:spacing w:line="360" w:lineRule="auto"/>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日  </w:t>
      </w:r>
    </w:p>
    <w:p w14:paraId="516B0428">
      <w:pPr>
        <w:widowControl/>
        <w:adjustRightInd w:val="0"/>
        <w:snapToGrid w:val="0"/>
        <w:spacing w:line="360" w:lineRule="auto"/>
        <w:ind w:firstLine="422" w:firstLineChars="200"/>
        <w:jc w:val="left"/>
        <w:rPr>
          <w:rFonts w:ascii="宋体" w:hAnsi="宋体"/>
          <w:szCs w:val="21"/>
        </w:rPr>
      </w:pPr>
      <w:r>
        <w:rPr>
          <w:rFonts w:hint="eastAsia" w:ascii="宋体" w:hAnsi="宋体"/>
          <w:b/>
          <w:szCs w:val="21"/>
        </w:rPr>
        <w:t>注</w:t>
      </w:r>
      <w:r>
        <w:rPr>
          <w:rFonts w:hint="eastAsia" w:ascii="宋体" w:hAnsi="宋体"/>
          <w:szCs w:val="21"/>
        </w:rPr>
        <w:t>：1、本协议书由委托代理人签字的，应附法定代表人（单位负责人）授权委托书。</w:t>
      </w:r>
    </w:p>
    <w:p w14:paraId="5ECCB800">
      <w:pPr>
        <w:pStyle w:val="38"/>
        <w:ind w:firstLine="840" w:firstLineChars="400"/>
        <w:rPr>
          <w:rFonts w:ascii="宋体" w:hAnsi="宋体"/>
          <w:kern w:val="2"/>
          <w:sz w:val="21"/>
          <w:szCs w:val="21"/>
        </w:rPr>
      </w:pPr>
      <w:r>
        <w:rPr>
          <w:rFonts w:hint="eastAsia" w:ascii="宋体" w:hAnsi="宋体"/>
          <w:kern w:val="2"/>
          <w:sz w:val="21"/>
          <w:szCs w:val="21"/>
        </w:rPr>
        <w:t>2、投标人在提交投标文件的截止时间前修改“开标一览表”中的投标报价，影响本协议书第五条的，应同时修改本协议书第五条。否则，评审时价格评审优惠不予以考虑。</w:t>
      </w:r>
    </w:p>
    <w:p w14:paraId="5A8CCE88">
      <w:pPr>
        <w:jc w:val="center"/>
        <w:rPr>
          <w:rFonts w:ascii="黑体" w:eastAsia="黑体"/>
          <w:sz w:val="32"/>
          <w:szCs w:val="32"/>
        </w:rPr>
      </w:pPr>
    </w:p>
    <w:p w14:paraId="3D6E4C58">
      <w:pPr>
        <w:jc w:val="center"/>
        <w:rPr>
          <w:rFonts w:ascii="黑体" w:eastAsia="黑体"/>
          <w:sz w:val="32"/>
          <w:szCs w:val="32"/>
        </w:rPr>
      </w:pPr>
    </w:p>
    <w:p w14:paraId="696A7178">
      <w:pPr>
        <w:pStyle w:val="38"/>
        <w:ind w:firstLine="200"/>
      </w:pPr>
    </w:p>
    <w:p w14:paraId="10F46715">
      <w:pPr>
        <w:pStyle w:val="38"/>
        <w:ind w:firstLine="200"/>
      </w:pPr>
    </w:p>
    <w:p w14:paraId="47416D66">
      <w:pPr>
        <w:pStyle w:val="38"/>
        <w:ind w:firstLine="200"/>
      </w:pPr>
    </w:p>
    <w:p w14:paraId="1BD6B550">
      <w:pPr>
        <w:jc w:val="center"/>
        <w:rPr>
          <w:rFonts w:ascii="华文中宋" w:hAnsi="华文中宋" w:eastAsia="华文中宋"/>
          <w:bCs/>
          <w:sz w:val="84"/>
          <w:szCs w:val="84"/>
        </w:rPr>
      </w:pPr>
      <w:r>
        <w:rPr>
          <w:rFonts w:hint="eastAsia" w:ascii="华文中宋" w:hAnsi="华文中宋" w:eastAsia="华文中宋"/>
          <w:bCs/>
          <w:sz w:val="84"/>
          <w:szCs w:val="84"/>
        </w:rPr>
        <w:t>岳阳政府采购</w:t>
      </w:r>
    </w:p>
    <w:p w14:paraId="3AEDC9FB">
      <w:pPr>
        <w:jc w:val="center"/>
        <w:rPr>
          <w:rFonts w:ascii="华文中宋" w:hAnsi="华文中宋" w:eastAsia="华文中宋"/>
          <w:bCs/>
          <w:sz w:val="84"/>
          <w:szCs w:val="84"/>
        </w:rPr>
      </w:pPr>
      <w:r>
        <w:rPr>
          <w:rFonts w:hint="eastAsia" w:ascii="华文中宋" w:hAnsi="华文中宋" w:eastAsia="华文中宋"/>
          <w:bCs/>
          <w:sz w:val="84"/>
          <w:szCs w:val="84"/>
        </w:rPr>
        <w:t>公开招标电子投标文件</w:t>
      </w:r>
    </w:p>
    <w:p w14:paraId="2CC5CD86">
      <w:pPr>
        <w:pStyle w:val="5"/>
      </w:pPr>
    </w:p>
    <w:p w14:paraId="7708D34B">
      <w:pPr>
        <w:pStyle w:val="3"/>
        <w:adjustRightInd w:val="0"/>
        <w:snapToGrid w:val="0"/>
        <w:jc w:val="center"/>
        <w:rPr>
          <w:rFonts w:ascii="黑体" w:hAnsi="黑体" w:eastAsia="黑体"/>
          <w:sz w:val="44"/>
          <w:szCs w:val="44"/>
        </w:rPr>
      </w:pPr>
      <w:r>
        <w:rPr>
          <w:rFonts w:hint="eastAsia" w:ascii="黑体" w:hAnsi="黑体" w:eastAsia="黑体"/>
          <w:sz w:val="44"/>
          <w:szCs w:val="44"/>
        </w:rPr>
        <w:t>第二部分 商务技术文件</w:t>
      </w:r>
    </w:p>
    <w:p w14:paraId="387B568E">
      <w:pPr>
        <w:adjustRightInd w:val="0"/>
        <w:snapToGrid w:val="0"/>
        <w:spacing w:line="360" w:lineRule="auto"/>
        <w:rPr>
          <w:rFonts w:ascii="宋体" w:hAnsi="宋体"/>
          <w:b/>
          <w:sz w:val="30"/>
          <w:szCs w:val="30"/>
        </w:rPr>
      </w:pPr>
      <w:r>
        <w:rPr>
          <w:rFonts w:hint="eastAsia" w:ascii="宋体" w:hAnsi="宋体"/>
          <w:b/>
          <w:sz w:val="32"/>
          <w:szCs w:val="32"/>
        </w:rPr>
        <w:t xml:space="preserve">                     </w:t>
      </w:r>
    </w:p>
    <w:p w14:paraId="522F2776">
      <w:pPr>
        <w:pStyle w:val="25"/>
        <w:adjustRightInd w:val="0"/>
        <w:snapToGrid w:val="0"/>
        <w:spacing w:line="360" w:lineRule="auto"/>
        <w:ind w:firstLine="1988" w:firstLineChars="660"/>
        <w:rPr>
          <w:rFonts w:hAnsi="宋体"/>
          <w:b/>
          <w:bCs/>
          <w:sz w:val="30"/>
          <w:szCs w:val="30"/>
          <w:u w:val="single"/>
        </w:rPr>
      </w:pPr>
      <w:r>
        <w:rPr>
          <w:rFonts w:hint="eastAsia" w:hAnsi="宋体"/>
          <w:b/>
          <w:bCs/>
          <w:sz w:val="30"/>
          <w:szCs w:val="30"/>
        </w:rPr>
        <w:t>采购项目名称:</w:t>
      </w:r>
      <w:r>
        <w:rPr>
          <w:rFonts w:hint="eastAsia" w:hAnsi="宋体"/>
          <w:b/>
          <w:bCs/>
          <w:sz w:val="30"/>
          <w:szCs w:val="30"/>
          <w:u w:val="single"/>
        </w:rPr>
        <w:t xml:space="preserve">                       </w:t>
      </w:r>
    </w:p>
    <w:p w14:paraId="0D405B87">
      <w:pPr>
        <w:pStyle w:val="25"/>
        <w:adjustRightInd w:val="0"/>
        <w:snapToGrid w:val="0"/>
        <w:spacing w:line="360" w:lineRule="auto"/>
        <w:ind w:firstLine="1988" w:firstLineChars="660"/>
        <w:rPr>
          <w:rFonts w:hAnsi="宋体"/>
          <w:b/>
          <w:bCs/>
          <w:sz w:val="30"/>
          <w:szCs w:val="30"/>
        </w:rPr>
      </w:pPr>
      <w:r>
        <w:rPr>
          <w:rFonts w:hint="eastAsia" w:hAnsi="宋体"/>
          <w:b/>
          <w:bCs/>
          <w:sz w:val="30"/>
          <w:szCs w:val="30"/>
        </w:rPr>
        <w:t>采   购   人：</w:t>
      </w:r>
      <w:r>
        <w:rPr>
          <w:rFonts w:hint="eastAsia" w:hAnsi="宋体"/>
          <w:b/>
          <w:bCs/>
          <w:sz w:val="30"/>
          <w:szCs w:val="30"/>
          <w:u w:val="single"/>
        </w:rPr>
        <w:t xml:space="preserve">                       </w:t>
      </w:r>
    </w:p>
    <w:p w14:paraId="5FF1A002">
      <w:pPr>
        <w:pStyle w:val="25"/>
        <w:adjustRightInd w:val="0"/>
        <w:snapToGrid w:val="0"/>
        <w:spacing w:line="360" w:lineRule="auto"/>
        <w:ind w:firstLine="1988" w:firstLineChars="660"/>
        <w:rPr>
          <w:rFonts w:hAnsi="宋体"/>
          <w:b/>
          <w:bCs/>
          <w:sz w:val="30"/>
          <w:szCs w:val="30"/>
          <w:u w:val="single"/>
        </w:rPr>
      </w:pPr>
      <w:r>
        <w:rPr>
          <w:rFonts w:hint="eastAsia" w:hAnsi="宋体"/>
          <w:b/>
          <w:bCs/>
          <w:sz w:val="30"/>
          <w:szCs w:val="30"/>
        </w:rPr>
        <w:t>政府采购编号:</w:t>
      </w:r>
      <w:r>
        <w:rPr>
          <w:rFonts w:hint="eastAsia" w:hAnsi="宋体"/>
          <w:b/>
          <w:bCs/>
          <w:sz w:val="30"/>
          <w:szCs w:val="30"/>
          <w:u w:val="single"/>
        </w:rPr>
        <w:t xml:space="preserve">                       </w:t>
      </w:r>
    </w:p>
    <w:p w14:paraId="739B441E">
      <w:pPr>
        <w:pStyle w:val="25"/>
        <w:adjustRightInd w:val="0"/>
        <w:snapToGrid w:val="0"/>
        <w:spacing w:line="360" w:lineRule="auto"/>
        <w:ind w:firstLine="1988" w:firstLineChars="660"/>
        <w:rPr>
          <w:rFonts w:hAnsi="宋体"/>
          <w:b/>
          <w:bCs/>
          <w:sz w:val="30"/>
          <w:szCs w:val="30"/>
          <w:u w:val="single"/>
        </w:rPr>
      </w:pPr>
      <w:r>
        <w:rPr>
          <w:rFonts w:hint="eastAsia" w:hAnsi="宋体"/>
          <w:b/>
          <w:bCs/>
          <w:sz w:val="30"/>
          <w:szCs w:val="30"/>
        </w:rPr>
        <w:t>采购代理编号:</w:t>
      </w:r>
      <w:r>
        <w:rPr>
          <w:rFonts w:hint="eastAsia" w:hAnsi="宋体"/>
          <w:b/>
          <w:bCs/>
          <w:sz w:val="30"/>
          <w:szCs w:val="30"/>
          <w:u w:val="single"/>
        </w:rPr>
        <w:t xml:space="preserve">                       </w:t>
      </w:r>
    </w:p>
    <w:p w14:paraId="1F5B603D">
      <w:pPr>
        <w:pStyle w:val="25"/>
        <w:adjustRightInd w:val="0"/>
        <w:snapToGrid w:val="0"/>
        <w:spacing w:line="360" w:lineRule="auto"/>
        <w:ind w:firstLine="1988" w:firstLineChars="660"/>
        <w:rPr>
          <w:rFonts w:hAnsi="宋体"/>
          <w:b/>
          <w:bCs/>
          <w:sz w:val="30"/>
          <w:szCs w:val="30"/>
          <w:u w:val="single"/>
        </w:rPr>
      </w:pPr>
      <w:r>
        <w:rPr>
          <w:rFonts w:hint="eastAsia" w:hAnsi="宋体"/>
          <w:b/>
          <w:bCs/>
          <w:sz w:val="30"/>
          <w:szCs w:val="30"/>
        </w:rPr>
        <w:t>采购代理机构：</w:t>
      </w:r>
      <w:r>
        <w:rPr>
          <w:rFonts w:hint="eastAsia" w:hAnsi="宋体"/>
          <w:b/>
          <w:bCs/>
          <w:sz w:val="30"/>
          <w:szCs w:val="30"/>
          <w:u w:val="single"/>
        </w:rPr>
        <w:t xml:space="preserve">                      </w:t>
      </w:r>
    </w:p>
    <w:p w14:paraId="4E2BD65E">
      <w:pPr>
        <w:adjustRightInd w:val="0"/>
        <w:snapToGrid w:val="0"/>
        <w:spacing w:line="360" w:lineRule="auto"/>
        <w:rPr>
          <w:rFonts w:ascii="黑体" w:hAnsi="黑体" w:eastAsia="黑体"/>
          <w:sz w:val="30"/>
          <w:szCs w:val="30"/>
        </w:rPr>
      </w:pPr>
    </w:p>
    <w:p w14:paraId="76578F90">
      <w:pPr>
        <w:adjustRightInd w:val="0"/>
        <w:snapToGrid w:val="0"/>
        <w:spacing w:line="360" w:lineRule="auto"/>
        <w:rPr>
          <w:rFonts w:ascii="黑体" w:hAnsi="宋体" w:eastAsia="黑体"/>
          <w:sz w:val="30"/>
          <w:szCs w:val="30"/>
        </w:rPr>
      </w:pPr>
    </w:p>
    <w:p w14:paraId="2564B07F">
      <w:pPr>
        <w:adjustRightInd w:val="0"/>
        <w:snapToGrid w:val="0"/>
        <w:spacing w:line="360" w:lineRule="auto"/>
        <w:rPr>
          <w:rFonts w:ascii="黑体" w:hAnsi="宋体" w:eastAsia="黑体"/>
          <w:sz w:val="30"/>
          <w:szCs w:val="30"/>
        </w:rPr>
      </w:pPr>
    </w:p>
    <w:p w14:paraId="5C24C0F4">
      <w:pPr>
        <w:adjustRightInd w:val="0"/>
        <w:snapToGrid w:val="0"/>
        <w:spacing w:line="360" w:lineRule="auto"/>
        <w:ind w:firstLine="1984" w:firstLineChars="620"/>
        <w:rPr>
          <w:rFonts w:ascii="黑体" w:hAnsi="宋体" w:eastAsia="黑体"/>
          <w:sz w:val="32"/>
          <w:szCs w:val="32"/>
          <w:u w:val="single"/>
        </w:rPr>
      </w:pPr>
      <w:r>
        <w:rPr>
          <w:rFonts w:hint="eastAsia" w:ascii="黑体" w:hAnsi="宋体" w:eastAsia="黑体"/>
          <w:sz w:val="32"/>
          <w:szCs w:val="32"/>
        </w:rPr>
        <w:t>投标人</w:t>
      </w:r>
      <w:r>
        <w:rPr>
          <w:rFonts w:hint="eastAsia" w:ascii="黑体" w:hAnsi="宋体" w:eastAsia="黑体"/>
          <w:sz w:val="32"/>
          <w:szCs w:val="32"/>
          <w:u w:val="single"/>
        </w:rPr>
        <w:t xml:space="preserve">                         </w:t>
      </w:r>
    </w:p>
    <w:p w14:paraId="4F21EEAA">
      <w:pPr>
        <w:pStyle w:val="4"/>
        <w:spacing w:before="0" w:after="0"/>
        <w:jc w:val="center"/>
        <w:rPr>
          <w:rFonts w:ascii="黑体" w:hAnsi="宋体" w:eastAsia="黑体"/>
        </w:rPr>
      </w:pPr>
    </w:p>
    <w:p w14:paraId="2CE0D359">
      <w:pPr>
        <w:pStyle w:val="4"/>
        <w:spacing w:before="0" w:after="0"/>
        <w:jc w:val="center"/>
        <w:rPr>
          <w:rFonts w:ascii="黑体" w:hAnsi="宋体" w:eastAsia="黑体"/>
        </w:rPr>
      </w:pPr>
      <w:r>
        <w:rPr>
          <w:rFonts w:hint="eastAsia" w:ascii="黑体" w:hAnsi="宋体" w:eastAsia="黑体"/>
        </w:rPr>
        <w:t>年  月  日</w:t>
      </w:r>
    </w:p>
    <w:p w14:paraId="1899823A">
      <w:pPr>
        <w:pStyle w:val="4"/>
        <w:spacing w:before="0" w:after="0"/>
        <w:jc w:val="center"/>
        <w:rPr>
          <w:rFonts w:ascii="黑体" w:hAnsi="宋体" w:eastAsia="黑体"/>
        </w:rPr>
        <w:sectPr>
          <w:pgSz w:w="11906" w:h="16838"/>
          <w:pgMar w:top="1213" w:right="1080" w:bottom="1213" w:left="1080" w:header="737" w:footer="907" w:gutter="0"/>
          <w:pgBorders>
            <w:top w:val="none" w:sz="0" w:space="0"/>
            <w:left w:val="none" w:sz="0" w:space="0"/>
            <w:bottom w:val="none" w:sz="0" w:space="0"/>
            <w:right w:val="none" w:sz="0" w:space="0"/>
          </w:pgBorders>
          <w:cols w:space="720" w:num="1"/>
          <w:docGrid w:type="lines" w:linePitch="312" w:charSpace="0"/>
        </w:sectPr>
      </w:pPr>
    </w:p>
    <w:p w14:paraId="0E0A4E71">
      <w:pPr>
        <w:pStyle w:val="4"/>
        <w:spacing w:before="0" w:after="0"/>
        <w:rPr>
          <w:rFonts w:ascii="黑体" w:hAnsi="黑体"/>
          <w:bCs w:val="0"/>
          <w:color w:val="000000"/>
          <w:sz w:val="21"/>
          <w:szCs w:val="21"/>
        </w:rPr>
      </w:pPr>
      <w:bookmarkStart w:id="140" w:name="_Toc20651254"/>
      <w:r>
        <w:rPr>
          <w:rFonts w:hint="eastAsia" w:ascii="黑体" w:hAnsi="黑体"/>
          <w:bCs w:val="0"/>
          <w:color w:val="000000"/>
          <w:sz w:val="21"/>
          <w:szCs w:val="21"/>
        </w:rPr>
        <w:t xml:space="preserve">索引表2 </w:t>
      </w:r>
      <w:bookmarkEnd w:id="140"/>
    </w:p>
    <w:p w14:paraId="09589328">
      <w:pPr>
        <w:adjustRightInd w:val="0"/>
        <w:spacing w:beforeLines="50" w:line="360" w:lineRule="auto"/>
        <w:jc w:val="center"/>
        <w:rPr>
          <w:rFonts w:ascii="黑体" w:hAnsi="黑体" w:eastAsia="黑体"/>
          <w:b/>
          <w:sz w:val="28"/>
          <w:szCs w:val="28"/>
        </w:rPr>
      </w:pPr>
      <w:r>
        <w:rPr>
          <w:rFonts w:hint="eastAsia" w:ascii="黑体" w:hAnsi="黑体" w:eastAsia="黑体"/>
          <w:b/>
          <w:sz w:val="28"/>
          <w:szCs w:val="28"/>
        </w:rPr>
        <w:t>符合性审查索引表</w:t>
      </w:r>
    </w:p>
    <w:tbl>
      <w:tblPr>
        <w:tblStyle w:val="41"/>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89"/>
        <w:gridCol w:w="1871"/>
        <w:gridCol w:w="2410"/>
        <w:gridCol w:w="2268"/>
        <w:gridCol w:w="1722"/>
      </w:tblGrid>
      <w:tr w14:paraId="256287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vAlign w:val="center"/>
          </w:tcPr>
          <w:p w14:paraId="7D670399">
            <w:pPr>
              <w:adjustRightInd w:val="0"/>
              <w:snapToGrid w:val="0"/>
              <w:spacing w:beforeLines="50" w:line="360" w:lineRule="auto"/>
              <w:jc w:val="center"/>
              <w:rPr>
                <w:rFonts w:ascii="宋体" w:hAnsi="宋体"/>
                <w:b/>
                <w:kern w:val="0"/>
                <w:szCs w:val="21"/>
              </w:rPr>
            </w:pPr>
            <w:r>
              <w:rPr>
                <w:rFonts w:hint="eastAsia" w:ascii="宋体" w:hAnsi="宋体"/>
                <w:b/>
                <w:kern w:val="0"/>
                <w:szCs w:val="21"/>
              </w:rPr>
              <w:t>序号</w:t>
            </w:r>
          </w:p>
        </w:tc>
        <w:tc>
          <w:tcPr>
            <w:tcW w:w="1871" w:type="dxa"/>
            <w:tcBorders>
              <w:right w:val="single" w:color="auto" w:sz="4" w:space="0"/>
            </w:tcBorders>
            <w:noWrap/>
            <w:vAlign w:val="center"/>
          </w:tcPr>
          <w:p w14:paraId="5D6E1CF7">
            <w:pPr>
              <w:adjustRightInd w:val="0"/>
              <w:snapToGrid w:val="0"/>
              <w:spacing w:beforeLines="50" w:line="360" w:lineRule="auto"/>
              <w:jc w:val="center"/>
              <w:rPr>
                <w:rFonts w:ascii="宋体" w:hAnsi="宋体"/>
                <w:b/>
                <w:kern w:val="0"/>
                <w:sz w:val="20"/>
                <w:szCs w:val="21"/>
              </w:rPr>
            </w:pPr>
            <w:r>
              <w:rPr>
                <w:rFonts w:hint="eastAsia" w:ascii="宋体" w:hAnsi="宋体"/>
                <w:b/>
                <w:kern w:val="0"/>
                <w:sz w:val="20"/>
                <w:szCs w:val="21"/>
              </w:rPr>
              <w:t>招标文件条款号</w:t>
            </w:r>
          </w:p>
        </w:tc>
        <w:tc>
          <w:tcPr>
            <w:tcW w:w="2410" w:type="dxa"/>
            <w:tcBorders>
              <w:left w:val="single" w:color="auto" w:sz="4" w:space="0"/>
            </w:tcBorders>
            <w:noWrap/>
            <w:vAlign w:val="center"/>
          </w:tcPr>
          <w:p w14:paraId="27B2908D">
            <w:pPr>
              <w:adjustRightInd w:val="0"/>
              <w:snapToGrid w:val="0"/>
              <w:spacing w:beforeLines="50" w:line="360" w:lineRule="auto"/>
              <w:jc w:val="center"/>
              <w:rPr>
                <w:rFonts w:ascii="宋体" w:hAnsi="宋体"/>
                <w:b/>
                <w:kern w:val="0"/>
                <w:sz w:val="20"/>
                <w:szCs w:val="21"/>
              </w:rPr>
            </w:pPr>
            <w:r>
              <w:rPr>
                <w:rFonts w:hint="eastAsia" w:ascii="宋体" w:hAnsi="宋体"/>
                <w:b/>
                <w:kern w:val="0"/>
                <w:szCs w:val="21"/>
              </w:rPr>
              <w:t>审查内容及标准</w:t>
            </w:r>
          </w:p>
        </w:tc>
        <w:tc>
          <w:tcPr>
            <w:tcW w:w="2268" w:type="dxa"/>
            <w:noWrap/>
            <w:vAlign w:val="center"/>
          </w:tcPr>
          <w:p w14:paraId="703049E2">
            <w:pPr>
              <w:adjustRightInd w:val="0"/>
              <w:snapToGrid w:val="0"/>
              <w:spacing w:beforeLines="50" w:line="360" w:lineRule="auto"/>
              <w:jc w:val="center"/>
              <w:rPr>
                <w:rFonts w:ascii="宋体" w:hAnsi="宋体"/>
                <w:b/>
                <w:kern w:val="0"/>
                <w:szCs w:val="21"/>
              </w:rPr>
            </w:pPr>
            <w:r>
              <w:rPr>
                <w:rFonts w:hint="eastAsia" w:ascii="宋体" w:hAnsi="宋体"/>
                <w:b/>
                <w:kern w:val="0"/>
                <w:szCs w:val="21"/>
              </w:rPr>
              <w:t>投标响应及证明材料</w:t>
            </w:r>
          </w:p>
        </w:tc>
        <w:tc>
          <w:tcPr>
            <w:tcW w:w="1722" w:type="dxa"/>
            <w:noWrap/>
            <w:vAlign w:val="center"/>
          </w:tcPr>
          <w:p w14:paraId="180B917C">
            <w:pPr>
              <w:adjustRightInd w:val="0"/>
              <w:snapToGrid w:val="0"/>
              <w:spacing w:beforeLines="50" w:line="360" w:lineRule="auto"/>
              <w:jc w:val="center"/>
              <w:rPr>
                <w:rFonts w:ascii="宋体" w:hAnsi="宋体"/>
                <w:b/>
                <w:kern w:val="0"/>
                <w:sz w:val="20"/>
                <w:szCs w:val="21"/>
              </w:rPr>
            </w:pPr>
            <w:r>
              <w:rPr>
                <w:rFonts w:hint="eastAsia" w:ascii="宋体" w:hAnsi="宋体"/>
                <w:b/>
                <w:kern w:val="0"/>
                <w:szCs w:val="21"/>
              </w:rPr>
              <w:t>投标文件对应内容的册及页码</w:t>
            </w:r>
          </w:p>
        </w:tc>
      </w:tr>
      <w:tr w14:paraId="388028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tcPr>
          <w:p w14:paraId="0DABAB92">
            <w:pPr>
              <w:adjustRightInd w:val="0"/>
              <w:snapToGrid w:val="0"/>
              <w:spacing w:beforeLines="50" w:line="360" w:lineRule="auto"/>
              <w:jc w:val="center"/>
              <w:rPr>
                <w:rFonts w:ascii="宋体" w:hAnsi="宋体"/>
                <w:kern w:val="0"/>
                <w:szCs w:val="21"/>
              </w:rPr>
            </w:pPr>
          </w:p>
        </w:tc>
        <w:tc>
          <w:tcPr>
            <w:tcW w:w="1871" w:type="dxa"/>
            <w:tcBorders>
              <w:right w:val="single" w:color="auto" w:sz="4" w:space="0"/>
            </w:tcBorders>
            <w:noWrap/>
          </w:tcPr>
          <w:p w14:paraId="388CE1BC">
            <w:pPr>
              <w:adjustRightInd w:val="0"/>
              <w:snapToGrid w:val="0"/>
              <w:spacing w:beforeLines="50" w:line="360" w:lineRule="auto"/>
              <w:jc w:val="center"/>
              <w:rPr>
                <w:rFonts w:ascii="宋体" w:hAnsi="宋体"/>
                <w:kern w:val="0"/>
                <w:sz w:val="20"/>
                <w:szCs w:val="21"/>
              </w:rPr>
            </w:pPr>
          </w:p>
        </w:tc>
        <w:tc>
          <w:tcPr>
            <w:tcW w:w="2410" w:type="dxa"/>
            <w:tcBorders>
              <w:left w:val="single" w:color="auto" w:sz="4" w:space="0"/>
            </w:tcBorders>
            <w:noWrap/>
          </w:tcPr>
          <w:p w14:paraId="774FB680">
            <w:pPr>
              <w:adjustRightInd w:val="0"/>
              <w:snapToGrid w:val="0"/>
              <w:spacing w:beforeLines="50" w:line="360" w:lineRule="auto"/>
              <w:jc w:val="center"/>
              <w:rPr>
                <w:rFonts w:ascii="宋体" w:hAnsi="宋体"/>
                <w:kern w:val="0"/>
                <w:sz w:val="20"/>
                <w:szCs w:val="21"/>
              </w:rPr>
            </w:pPr>
          </w:p>
        </w:tc>
        <w:tc>
          <w:tcPr>
            <w:tcW w:w="2268" w:type="dxa"/>
            <w:noWrap/>
          </w:tcPr>
          <w:p w14:paraId="78A79FBC">
            <w:pPr>
              <w:adjustRightInd w:val="0"/>
              <w:snapToGrid w:val="0"/>
              <w:spacing w:beforeLines="50" w:line="360" w:lineRule="auto"/>
              <w:jc w:val="center"/>
              <w:rPr>
                <w:rFonts w:ascii="宋体" w:hAnsi="宋体"/>
                <w:kern w:val="0"/>
                <w:szCs w:val="21"/>
              </w:rPr>
            </w:pPr>
          </w:p>
        </w:tc>
        <w:tc>
          <w:tcPr>
            <w:tcW w:w="1722" w:type="dxa"/>
            <w:noWrap/>
          </w:tcPr>
          <w:p w14:paraId="40F0EA64">
            <w:pPr>
              <w:adjustRightInd w:val="0"/>
              <w:snapToGrid w:val="0"/>
              <w:spacing w:beforeLines="50" w:line="360" w:lineRule="auto"/>
              <w:jc w:val="center"/>
              <w:rPr>
                <w:rFonts w:ascii="宋体" w:hAnsi="宋体"/>
                <w:kern w:val="0"/>
                <w:sz w:val="20"/>
                <w:szCs w:val="21"/>
              </w:rPr>
            </w:pPr>
          </w:p>
        </w:tc>
      </w:tr>
      <w:tr w14:paraId="58F587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tcPr>
          <w:p w14:paraId="754BD2EF">
            <w:pPr>
              <w:adjustRightInd w:val="0"/>
              <w:snapToGrid w:val="0"/>
              <w:spacing w:beforeLines="50" w:line="360" w:lineRule="auto"/>
              <w:jc w:val="center"/>
              <w:rPr>
                <w:rFonts w:ascii="宋体" w:hAnsi="宋体"/>
                <w:kern w:val="0"/>
                <w:sz w:val="20"/>
                <w:szCs w:val="21"/>
              </w:rPr>
            </w:pPr>
          </w:p>
        </w:tc>
        <w:tc>
          <w:tcPr>
            <w:tcW w:w="1871" w:type="dxa"/>
            <w:tcBorders>
              <w:right w:val="single" w:color="auto" w:sz="4" w:space="0"/>
            </w:tcBorders>
            <w:noWrap/>
          </w:tcPr>
          <w:p w14:paraId="61D6C72E">
            <w:pPr>
              <w:adjustRightInd w:val="0"/>
              <w:snapToGrid w:val="0"/>
              <w:spacing w:beforeLines="50" w:line="360" w:lineRule="auto"/>
              <w:jc w:val="center"/>
              <w:rPr>
                <w:rFonts w:ascii="宋体" w:hAnsi="宋体"/>
                <w:kern w:val="0"/>
                <w:sz w:val="20"/>
                <w:szCs w:val="21"/>
              </w:rPr>
            </w:pPr>
          </w:p>
        </w:tc>
        <w:tc>
          <w:tcPr>
            <w:tcW w:w="2410" w:type="dxa"/>
            <w:tcBorders>
              <w:left w:val="single" w:color="auto" w:sz="4" w:space="0"/>
            </w:tcBorders>
            <w:noWrap/>
          </w:tcPr>
          <w:p w14:paraId="20B426D5">
            <w:pPr>
              <w:adjustRightInd w:val="0"/>
              <w:snapToGrid w:val="0"/>
              <w:spacing w:beforeLines="50" w:line="360" w:lineRule="auto"/>
              <w:jc w:val="center"/>
              <w:rPr>
                <w:rFonts w:ascii="宋体" w:hAnsi="宋体"/>
                <w:kern w:val="0"/>
                <w:sz w:val="20"/>
                <w:szCs w:val="21"/>
              </w:rPr>
            </w:pPr>
          </w:p>
        </w:tc>
        <w:tc>
          <w:tcPr>
            <w:tcW w:w="2268" w:type="dxa"/>
            <w:noWrap/>
          </w:tcPr>
          <w:p w14:paraId="0681CCCD">
            <w:pPr>
              <w:adjustRightInd w:val="0"/>
              <w:snapToGrid w:val="0"/>
              <w:spacing w:beforeLines="50" w:line="360" w:lineRule="auto"/>
              <w:jc w:val="center"/>
              <w:rPr>
                <w:rFonts w:ascii="宋体" w:hAnsi="宋体"/>
                <w:kern w:val="0"/>
                <w:sz w:val="20"/>
                <w:szCs w:val="21"/>
              </w:rPr>
            </w:pPr>
          </w:p>
        </w:tc>
        <w:tc>
          <w:tcPr>
            <w:tcW w:w="1722" w:type="dxa"/>
            <w:noWrap/>
          </w:tcPr>
          <w:p w14:paraId="6CF4C81C">
            <w:pPr>
              <w:adjustRightInd w:val="0"/>
              <w:snapToGrid w:val="0"/>
              <w:spacing w:beforeLines="50" w:line="360" w:lineRule="auto"/>
              <w:jc w:val="center"/>
              <w:rPr>
                <w:rFonts w:ascii="宋体" w:hAnsi="宋体"/>
                <w:kern w:val="0"/>
                <w:sz w:val="20"/>
                <w:szCs w:val="21"/>
              </w:rPr>
            </w:pPr>
          </w:p>
        </w:tc>
      </w:tr>
      <w:tr w14:paraId="62FDBA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tcPr>
          <w:p w14:paraId="43F33208">
            <w:pPr>
              <w:adjustRightInd w:val="0"/>
              <w:snapToGrid w:val="0"/>
              <w:spacing w:beforeLines="50" w:line="360" w:lineRule="auto"/>
              <w:jc w:val="center"/>
              <w:rPr>
                <w:rFonts w:ascii="宋体" w:hAnsi="宋体"/>
                <w:kern w:val="0"/>
                <w:sz w:val="20"/>
                <w:szCs w:val="21"/>
              </w:rPr>
            </w:pPr>
          </w:p>
        </w:tc>
        <w:tc>
          <w:tcPr>
            <w:tcW w:w="1871" w:type="dxa"/>
            <w:tcBorders>
              <w:right w:val="single" w:color="auto" w:sz="4" w:space="0"/>
            </w:tcBorders>
            <w:noWrap/>
          </w:tcPr>
          <w:p w14:paraId="0E8B57F3">
            <w:pPr>
              <w:adjustRightInd w:val="0"/>
              <w:snapToGrid w:val="0"/>
              <w:spacing w:beforeLines="50" w:line="360" w:lineRule="auto"/>
              <w:jc w:val="center"/>
              <w:rPr>
                <w:rFonts w:ascii="宋体" w:hAnsi="宋体"/>
                <w:kern w:val="0"/>
                <w:sz w:val="20"/>
                <w:szCs w:val="21"/>
              </w:rPr>
            </w:pPr>
          </w:p>
        </w:tc>
        <w:tc>
          <w:tcPr>
            <w:tcW w:w="2410" w:type="dxa"/>
            <w:tcBorders>
              <w:left w:val="single" w:color="auto" w:sz="4" w:space="0"/>
            </w:tcBorders>
            <w:noWrap/>
          </w:tcPr>
          <w:p w14:paraId="3A3D19EF">
            <w:pPr>
              <w:adjustRightInd w:val="0"/>
              <w:snapToGrid w:val="0"/>
              <w:spacing w:beforeLines="50" w:line="360" w:lineRule="auto"/>
              <w:jc w:val="center"/>
              <w:rPr>
                <w:rFonts w:ascii="宋体" w:hAnsi="宋体"/>
                <w:kern w:val="0"/>
                <w:sz w:val="20"/>
                <w:szCs w:val="21"/>
              </w:rPr>
            </w:pPr>
          </w:p>
        </w:tc>
        <w:tc>
          <w:tcPr>
            <w:tcW w:w="2268" w:type="dxa"/>
            <w:noWrap/>
          </w:tcPr>
          <w:p w14:paraId="43C91645">
            <w:pPr>
              <w:adjustRightInd w:val="0"/>
              <w:snapToGrid w:val="0"/>
              <w:spacing w:beforeLines="50" w:line="360" w:lineRule="auto"/>
              <w:jc w:val="center"/>
              <w:rPr>
                <w:rFonts w:ascii="宋体" w:hAnsi="宋体"/>
                <w:kern w:val="0"/>
                <w:sz w:val="20"/>
                <w:szCs w:val="21"/>
              </w:rPr>
            </w:pPr>
          </w:p>
        </w:tc>
        <w:tc>
          <w:tcPr>
            <w:tcW w:w="1722" w:type="dxa"/>
            <w:noWrap/>
          </w:tcPr>
          <w:p w14:paraId="3B559402">
            <w:pPr>
              <w:adjustRightInd w:val="0"/>
              <w:snapToGrid w:val="0"/>
              <w:spacing w:beforeLines="50" w:line="360" w:lineRule="auto"/>
              <w:jc w:val="center"/>
              <w:rPr>
                <w:rFonts w:ascii="宋体" w:hAnsi="宋体"/>
                <w:kern w:val="0"/>
                <w:sz w:val="20"/>
                <w:szCs w:val="21"/>
              </w:rPr>
            </w:pPr>
          </w:p>
        </w:tc>
      </w:tr>
      <w:tr w14:paraId="04CB15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tcPr>
          <w:p w14:paraId="78B8C04E">
            <w:pPr>
              <w:adjustRightInd w:val="0"/>
              <w:snapToGrid w:val="0"/>
              <w:spacing w:beforeLines="50" w:line="360" w:lineRule="auto"/>
              <w:jc w:val="center"/>
              <w:rPr>
                <w:rFonts w:ascii="宋体" w:hAnsi="宋体"/>
                <w:kern w:val="0"/>
                <w:sz w:val="20"/>
                <w:szCs w:val="21"/>
              </w:rPr>
            </w:pPr>
          </w:p>
        </w:tc>
        <w:tc>
          <w:tcPr>
            <w:tcW w:w="1871" w:type="dxa"/>
            <w:tcBorders>
              <w:right w:val="single" w:color="auto" w:sz="4" w:space="0"/>
            </w:tcBorders>
            <w:noWrap/>
          </w:tcPr>
          <w:p w14:paraId="56E60B13">
            <w:pPr>
              <w:adjustRightInd w:val="0"/>
              <w:snapToGrid w:val="0"/>
              <w:spacing w:beforeLines="50" w:line="360" w:lineRule="auto"/>
              <w:jc w:val="center"/>
              <w:rPr>
                <w:rFonts w:ascii="宋体" w:hAnsi="宋体"/>
                <w:kern w:val="0"/>
                <w:sz w:val="20"/>
                <w:szCs w:val="21"/>
              </w:rPr>
            </w:pPr>
          </w:p>
        </w:tc>
        <w:tc>
          <w:tcPr>
            <w:tcW w:w="2410" w:type="dxa"/>
            <w:tcBorders>
              <w:left w:val="single" w:color="auto" w:sz="4" w:space="0"/>
            </w:tcBorders>
            <w:noWrap/>
          </w:tcPr>
          <w:p w14:paraId="5969DDB5">
            <w:pPr>
              <w:adjustRightInd w:val="0"/>
              <w:snapToGrid w:val="0"/>
              <w:spacing w:beforeLines="50" w:line="360" w:lineRule="auto"/>
              <w:jc w:val="center"/>
              <w:rPr>
                <w:rFonts w:ascii="宋体" w:hAnsi="宋体"/>
                <w:kern w:val="0"/>
                <w:sz w:val="20"/>
                <w:szCs w:val="21"/>
              </w:rPr>
            </w:pPr>
          </w:p>
        </w:tc>
        <w:tc>
          <w:tcPr>
            <w:tcW w:w="2268" w:type="dxa"/>
            <w:noWrap/>
          </w:tcPr>
          <w:p w14:paraId="712A2793">
            <w:pPr>
              <w:adjustRightInd w:val="0"/>
              <w:snapToGrid w:val="0"/>
              <w:spacing w:beforeLines="50" w:line="360" w:lineRule="auto"/>
              <w:jc w:val="center"/>
              <w:rPr>
                <w:rFonts w:ascii="宋体" w:hAnsi="宋体"/>
                <w:kern w:val="0"/>
                <w:sz w:val="20"/>
                <w:szCs w:val="21"/>
              </w:rPr>
            </w:pPr>
          </w:p>
        </w:tc>
        <w:tc>
          <w:tcPr>
            <w:tcW w:w="1722" w:type="dxa"/>
            <w:noWrap/>
          </w:tcPr>
          <w:p w14:paraId="3C83F7A0">
            <w:pPr>
              <w:adjustRightInd w:val="0"/>
              <w:snapToGrid w:val="0"/>
              <w:spacing w:beforeLines="50" w:line="360" w:lineRule="auto"/>
              <w:jc w:val="center"/>
              <w:rPr>
                <w:rFonts w:ascii="宋体" w:hAnsi="宋体"/>
                <w:kern w:val="0"/>
                <w:sz w:val="20"/>
                <w:szCs w:val="21"/>
              </w:rPr>
            </w:pPr>
          </w:p>
        </w:tc>
      </w:tr>
      <w:tr w14:paraId="78A158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tcPr>
          <w:p w14:paraId="34B70A00">
            <w:pPr>
              <w:adjustRightInd w:val="0"/>
              <w:snapToGrid w:val="0"/>
              <w:spacing w:beforeLines="50" w:line="360" w:lineRule="auto"/>
              <w:jc w:val="center"/>
              <w:rPr>
                <w:rFonts w:ascii="宋体" w:hAnsi="宋体"/>
                <w:kern w:val="0"/>
                <w:sz w:val="20"/>
                <w:szCs w:val="21"/>
              </w:rPr>
            </w:pPr>
          </w:p>
        </w:tc>
        <w:tc>
          <w:tcPr>
            <w:tcW w:w="1871" w:type="dxa"/>
            <w:tcBorders>
              <w:right w:val="single" w:color="auto" w:sz="4" w:space="0"/>
            </w:tcBorders>
            <w:noWrap/>
          </w:tcPr>
          <w:p w14:paraId="5B210AA9">
            <w:pPr>
              <w:adjustRightInd w:val="0"/>
              <w:snapToGrid w:val="0"/>
              <w:spacing w:beforeLines="50" w:line="360" w:lineRule="auto"/>
              <w:jc w:val="center"/>
              <w:rPr>
                <w:rFonts w:ascii="宋体" w:hAnsi="宋体"/>
                <w:kern w:val="0"/>
                <w:sz w:val="20"/>
                <w:szCs w:val="21"/>
              </w:rPr>
            </w:pPr>
          </w:p>
        </w:tc>
        <w:tc>
          <w:tcPr>
            <w:tcW w:w="2410" w:type="dxa"/>
            <w:tcBorders>
              <w:left w:val="single" w:color="auto" w:sz="4" w:space="0"/>
            </w:tcBorders>
            <w:noWrap/>
          </w:tcPr>
          <w:p w14:paraId="73E542E6">
            <w:pPr>
              <w:adjustRightInd w:val="0"/>
              <w:snapToGrid w:val="0"/>
              <w:spacing w:beforeLines="50" w:line="360" w:lineRule="auto"/>
              <w:jc w:val="center"/>
              <w:rPr>
                <w:rFonts w:ascii="宋体" w:hAnsi="宋体"/>
                <w:kern w:val="0"/>
                <w:sz w:val="20"/>
                <w:szCs w:val="21"/>
              </w:rPr>
            </w:pPr>
          </w:p>
        </w:tc>
        <w:tc>
          <w:tcPr>
            <w:tcW w:w="2268" w:type="dxa"/>
            <w:noWrap/>
          </w:tcPr>
          <w:p w14:paraId="70A3298C">
            <w:pPr>
              <w:adjustRightInd w:val="0"/>
              <w:snapToGrid w:val="0"/>
              <w:spacing w:beforeLines="50" w:line="360" w:lineRule="auto"/>
              <w:jc w:val="center"/>
              <w:rPr>
                <w:rFonts w:ascii="宋体" w:hAnsi="宋体"/>
                <w:kern w:val="0"/>
                <w:sz w:val="20"/>
                <w:szCs w:val="21"/>
              </w:rPr>
            </w:pPr>
          </w:p>
        </w:tc>
        <w:tc>
          <w:tcPr>
            <w:tcW w:w="1722" w:type="dxa"/>
            <w:noWrap/>
          </w:tcPr>
          <w:p w14:paraId="4ED3E979">
            <w:pPr>
              <w:adjustRightInd w:val="0"/>
              <w:snapToGrid w:val="0"/>
              <w:spacing w:beforeLines="50" w:line="360" w:lineRule="auto"/>
              <w:jc w:val="center"/>
              <w:rPr>
                <w:rFonts w:ascii="宋体" w:hAnsi="宋体"/>
                <w:kern w:val="0"/>
                <w:sz w:val="20"/>
                <w:szCs w:val="21"/>
              </w:rPr>
            </w:pPr>
          </w:p>
        </w:tc>
      </w:tr>
      <w:tr w14:paraId="37BDAC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tcPr>
          <w:p w14:paraId="2727E4D7">
            <w:pPr>
              <w:adjustRightInd w:val="0"/>
              <w:snapToGrid w:val="0"/>
              <w:spacing w:beforeLines="50" w:line="360" w:lineRule="auto"/>
              <w:jc w:val="center"/>
              <w:rPr>
                <w:rFonts w:ascii="宋体" w:hAnsi="宋体"/>
                <w:kern w:val="0"/>
                <w:sz w:val="20"/>
                <w:szCs w:val="21"/>
              </w:rPr>
            </w:pPr>
          </w:p>
        </w:tc>
        <w:tc>
          <w:tcPr>
            <w:tcW w:w="1871" w:type="dxa"/>
            <w:tcBorders>
              <w:right w:val="single" w:color="auto" w:sz="4" w:space="0"/>
            </w:tcBorders>
            <w:noWrap/>
          </w:tcPr>
          <w:p w14:paraId="79AC2EB1">
            <w:pPr>
              <w:adjustRightInd w:val="0"/>
              <w:snapToGrid w:val="0"/>
              <w:spacing w:beforeLines="50" w:line="360" w:lineRule="auto"/>
              <w:jc w:val="center"/>
              <w:rPr>
                <w:rFonts w:ascii="宋体" w:hAnsi="宋体"/>
                <w:kern w:val="0"/>
                <w:sz w:val="20"/>
                <w:szCs w:val="21"/>
              </w:rPr>
            </w:pPr>
          </w:p>
        </w:tc>
        <w:tc>
          <w:tcPr>
            <w:tcW w:w="2410" w:type="dxa"/>
            <w:tcBorders>
              <w:left w:val="single" w:color="auto" w:sz="4" w:space="0"/>
            </w:tcBorders>
            <w:noWrap/>
          </w:tcPr>
          <w:p w14:paraId="1F7B7FB5">
            <w:pPr>
              <w:adjustRightInd w:val="0"/>
              <w:snapToGrid w:val="0"/>
              <w:spacing w:beforeLines="50" w:line="360" w:lineRule="auto"/>
              <w:jc w:val="center"/>
              <w:rPr>
                <w:rFonts w:ascii="宋体" w:hAnsi="宋体"/>
                <w:kern w:val="0"/>
                <w:sz w:val="20"/>
                <w:szCs w:val="21"/>
              </w:rPr>
            </w:pPr>
          </w:p>
        </w:tc>
        <w:tc>
          <w:tcPr>
            <w:tcW w:w="2268" w:type="dxa"/>
            <w:noWrap/>
          </w:tcPr>
          <w:p w14:paraId="195CCE4A">
            <w:pPr>
              <w:adjustRightInd w:val="0"/>
              <w:snapToGrid w:val="0"/>
              <w:spacing w:beforeLines="50" w:line="360" w:lineRule="auto"/>
              <w:jc w:val="center"/>
              <w:rPr>
                <w:rFonts w:ascii="宋体" w:hAnsi="宋体"/>
                <w:kern w:val="0"/>
                <w:sz w:val="20"/>
                <w:szCs w:val="21"/>
              </w:rPr>
            </w:pPr>
          </w:p>
        </w:tc>
        <w:tc>
          <w:tcPr>
            <w:tcW w:w="1722" w:type="dxa"/>
            <w:noWrap/>
          </w:tcPr>
          <w:p w14:paraId="31BE7619">
            <w:pPr>
              <w:adjustRightInd w:val="0"/>
              <w:snapToGrid w:val="0"/>
              <w:spacing w:beforeLines="50" w:line="360" w:lineRule="auto"/>
              <w:jc w:val="center"/>
              <w:rPr>
                <w:rFonts w:ascii="宋体" w:hAnsi="宋体"/>
                <w:kern w:val="0"/>
                <w:sz w:val="20"/>
                <w:szCs w:val="21"/>
              </w:rPr>
            </w:pPr>
          </w:p>
        </w:tc>
      </w:tr>
      <w:tr w14:paraId="6193D8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tcPr>
          <w:p w14:paraId="22B2E482">
            <w:pPr>
              <w:adjustRightInd w:val="0"/>
              <w:snapToGrid w:val="0"/>
              <w:spacing w:beforeLines="50" w:line="360" w:lineRule="auto"/>
              <w:jc w:val="center"/>
              <w:rPr>
                <w:rFonts w:ascii="宋体" w:hAnsi="宋体"/>
                <w:kern w:val="0"/>
                <w:sz w:val="20"/>
                <w:szCs w:val="21"/>
              </w:rPr>
            </w:pPr>
          </w:p>
        </w:tc>
        <w:tc>
          <w:tcPr>
            <w:tcW w:w="1871" w:type="dxa"/>
            <w:tcBorders>
              <w:right w:val="single" w:color="auto" w:sz="4" w:space="0"/>
            </w:tcBorders>
            <w:noWrap/>
          </w:tcPr>
          <w:p w14:paraId="735E3E34">
            <w:pPr>
              <w:adjustRightInd w:val="0"/>
              <w:snapToGrid w:val="0"/>
              <w:spacing w:beforeLines="50" w:line="360" w:lineRule="auto"/>
              <w:jc w:val="center"/>
              <w:rPr>
                <w:rFonts w:ascii="宋体" w:hAnsi="宋体"/>
                <w:kern w:val="0"/>
                <w:sz w:val="20"/>
                <w:szCs w:val="21"/>
              </w:rPr>
            </w:pPr>
          </w:p>
        </w:tc>
        <w:tc>
          <w:tcPr>
            <w:tcW w:w="2410" w:type="dxa"/>
            <w:tcBorders>
              <w:left w:val="single" w:color="auto" w:sz="4" w:space="0"/>
            </w:tcBorders>
            <w:noWrap/>
          </w:tcPr>
          <w:p w14:paraId="417A4846">
            <w:pPr>
              <w:adjustRightInd w:val="0"/>
              <w:snapToGrid w:val="0"/>
              <w:spacing w:beforeLines="50" w:line="360" w:lineRule="auto"/>
              <w:jc w:val="center"/>
              <w:rPr>
                <w:rFonts w:ascii="宋体" w:hAnsi="宋体"/>
                <w:kern w:val="0"/>
                <w:sz w:val="20"/>
                <w:szCs w:val="21"/>
              </w:rPr>
            </w:pPr>
          </w:p>
        </w:tc>
        <w:tc>
          <w:tcPr>
            <w:tcW w:w="2268" w:type="dxa"/>
            <w:noWrap/>
          </w:tcPr>
          <w:p w14:paraId="66F2888C">
            <w:pPr>
              <w:adjustRightInd w:val="0"/>
              <w:snapToGrid w:val="0"/>
              <w:spacing w:beforeLines="50" w:line="360" w:lineRule="auto"/>
              <w:jc w:val="center"/>
              <w:rPr>
                <w:rFonts w:ascii="宋体" w:hAnsi="宋体"/>
                <w:kern w:val="0"/>
                <w:sz w:val="20"/>
                <w:szCs w:val="21"/>
              </w:rPr>
            </w:pPr>
          </w:p>
        </w:tc>
        <w:tc>
          <w:tcPr>
            <w:tcW w:w="1722" w:type="dxa"/>
            <w:noWrap/>
          </w:tcPr>
          <w:p w14:paraId="7F54ECAE">
            <w:pPr>
              <w:adjustRightInd w:val="0"/>
              <w:snapToGrid w:val="0"/>
              <w:spacing w:beforeLines="50" w:line="360" w:lineRule="auto"/>
              <w:jc w:val="center"/>
              <w:rPr>
                <w:rFonts w:ascii="宋体" w:hAnsi="宋体"/>
                <w:kern w:val="0"/>
                <w:sz w:val="20"/>
                <w:szCs w:val="21"/>
              </w:rPr>
            </w:pPr>
          </w:p>
        </w:tc>
      </w:tr>
      <w:tr w14:paraId="7DEC5C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tcPr>
          <w:p w14:paraId="2E27A043">
            <w:pPr>
              <w:adjustRightInd w:val="0"/>
              <w:snapToGrid w:val="0"/>
              <w:spacing w:beforeLines="50" w:line="360" w:lineRule="auto"/>
              <w:jc w:val="center"/>
              <w:rPr>
                <w:rFonts w:ascii="宋体" w:hAnsi="宋体"/>
                <w:kern w:val="0"/>
                <w:sz w:val="20"/>
                <w:szCs w:val="21"/>
              </w:rPr>
            </w:pPr>
          </w:p>
        </w:tc>
        <w:tc>
          <w:tcPr>
            <w:tcW w:w="1871" w:type="dxa"/>
            <w:tcBorders>
              <w:right w:val="single" w:color="auto" w:sz="4" w:space="0"/>
            </w:tcBorders>
            <w:noWrap/>
          </w:tcPr>
          <w:p w14:paraId="2C0031AD">
            <w:pPr>
              <w:adjustRightInd w:val="0"/>
              <w:snapToGrid w:val="0"/>
              <w:spacing w:beforeLines="50" w:line="360" w:lineRule="auto"/>
              <w:jc w:val="center"/>
              <w:rPr>
                <w:rFonts w:ascii="宋体" w:hAnsi="宋体"/>
                <w:kern w:val="0"/>
                <w:sz w:val="20"/>
                <w:szCs w:val="21"/>
              </w:rPr>
            </w:pPr>
          </w:p>
        </w:tc>
        <w:tc>
          <w:tcPr>
            <w:tcW w:w="2410" w:type="dxa"/>
            <w:tcBorders>
              <w:left w:val="single" w:color="auto" w:sz="4" w:space="0"/>
            </w:tcBorders>
            <w:noWrap/>
          </w:tcPr>
          <w:p w14:paraId="18862A54">
            <w:pPr>
              <w:adjustRightInd w:val="0"/>
              <w:snapToGrid w:val="0"/>
              <w:spacing w:beforeLines="50" w:line="360" w:lineRule="auto"/>
              <w:jc w:val="center"/>
              <w:rPr>
                <w:rFonts w:ascii="宋体" w:hAnsi="宋体"/>
                <w:kern w:val="0"/>
                <w:sz w:val="20"/>
                <w:szCs w:val="21"/>
              </w:rPr>
            </w:pPr>
          </w:p>
        </w:tc>
        <w:tc>
          <w:tcPr>
            <w:tcW w:w="2268" w:type="dxa"/>
            <w:noWrap/>
          </w:tcPr>
          <w:p w14:paraId="623404D8">
            <w:pPr>
              <w:adjustRightInd w:val="0"/>
              <w:snapToGrid w:val="0"/>
              <w:spacing w:beforeLines="50" w:line="360" w:lineRule="auto"/>
              <w:jc w:val="center"/>
              <w:rPr>
                <w:rFonts w:ascii="宋体" w:hAnsi="宋体"/>
                <w:kern w:val="0"/>
                <w:sz w:val="20"/>
                <w:szCs w:val="21"/>
              </w:rPr>
            </w:pPr>
          </w:p>
        </w:tc>
        <w:tc>
          <w:tcPr>
            <w:tcW w:w="1722" w:type="dxa"/>
            <w:noWrap/>
          </w:tcPr>
          <w:p w14:paraId="43286EE8">
            <w:pPr>
              <w:adjustRightInd w:val="0"/>
              <w:snapToGrid w:val="0"/>
              <w:spacing w:beforeLines="50" w:line="360" w:lineRule="auto"/>
              <w:jc w:val="center"/>
              <w:rPr>
                <w:rFonts w:ascii="宋体" w:hAnsi="宋体"/>
                <w:kern w:val="0"/>
                <w:sz w:val="20"/>
                <w:szCs w:val="21"/>
              </w:rPr>
            </w:pPr>
          </w:p>
        </w:tc>
      </w:tr>
      <w:tr w14:paraId="118DD7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tcPr>
          <w:p w14:paraId="683645EC">
            <w:pPr>
              <w:adjustRightInd w:val="0"/>
              <w:snapToGrid w:val="0"/>
              <w:spacing w:beforeLines="50" w:line="360" w:lineRule="auto"/>
              <w:jc w:val="center"/>
              <w:rPr>
                <w:rFonts w:ascii="宋体" w:hAnsi="宋体"/>
                <w:kern w:val="0"/>
                <w:sz w:val="20"/>
                <w:szCs w:val="21"/>
              </w:rPr>
            </w:pPr>
          </w:p>
        </w:tc>
        <w:tc>
          <w:tcPr>
            <w:tcW w:w="1871" w:type="dxa"/>
            <w:tcBorders>
              <w:right w:val="single" w:color="auto" w:sz="4" w:space="0"/>
            </w:tcBorders>
            <w:noWrap/>
          </w:tcPr>
          <w:p w14:paraId="1DA1D5A3">
            <w:pPr>
              <w:adjustRightInd w:val="0"/>
              <w:snapToGrid w:val="0"/>
              <w:spacing w:beforeLines="50" w:line="360" w:lineRule="auto"/>
              <w:jc w:val="center"/>
              <w:rPr>
                <w:rFonts w:ascii="宋体" w:hAnsi="宋体"/>
                <w:kern w:val="0"/>
                <w:sz w:val="20"/>
                <w:szCs w:val="21"/>
              </w:rPr>
            </w:pPr>
          </w:p>
        </w:tc>
        <w:tc>
          <w:tcPr>
            <w:tcW w:w="2410" w:type="dxa"/>
            <w:tcBorders>
              <w:left w:val="single" w:color="auto" w:sz="4" w:space="0"/>
            </w:tcBorders>
            <w:noWrap/>
          </w:tcPr>
          <w:p w14:paraId="38E7CDF5">
            <w:pPr>
              <w:adjustRightInd w:val="0"/>
              <w:snapToGrid w:val="0"/>
              <w:spacing w:beforeLines="50" w:line="360" w:lineRule="auto"/>
              <w:jc w:val="center"/>
              <w:rPr>
                <w:rFonts w:ascii="宋体" w:hAnsi="宋体"/>
                <w:kern w:val="0"/>
                <w:sz w:val="20"/>
                <w:szCs w:val="21"/>
              </w:rPr>
            </w:pPr>
          </w:p>
        </w:tc>
        <w:tc>
          <w:tcPr>
            <w:tcW w:w="2268" w:type="dxa"/>
            <w:noWrap/>
          </w:tcPr>
          <w:p w14:paraId="413C3DB5">
            <w:pPr>
              <w:adjustRightInd w:val="0"/>
              <w:snapToGrid w:val="0"/>
              <w:spacing w:beforeLines="50" w:line="360" w:lineRule="auto"/>
              <w:jc w:val="center"/>
              <w:rPr>
                <w:rFonts w:ascii="宋体" w:hAnsi="宋体"/>
                <w:kern w:val="0"/>
                <w:sz w:val="20"/>
                <w:szCs w:val="21"/>
              </w:rPr>
            </w:pPr>
          </w:p>
        </w:tc>
        <w:tc>
          <w:tcPr>
            <w:tcW w:w="1722" w:type="dxa"/>
            <w:noWrap/>
          </w:tcPr>
          <w:p w14:paraId="45F9E389">
            <w:pPr>
              <w:adjustRightInd w:val="0"/>
              <w:snapToGrid w:val="0"/>
              <w:spacing w:beforeLines="50" w:line="360" w:lineRule="auto"/>
              <w:jc w:val="center"/>
              <w:rPr>
                <w:rFonts w:ascii="宋体" w:hAnsi="宋体"/>
                <w:kern w:val="0"/>
                <w:sz w:val="20"/>
                <w:szCs w:val="21"/>
              </w:rPr>
            </w:pPr>
          </w:p>
        </w:tc>
      </w:tr>
      <w:tr w14:paraId="61CFA7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tcPr>
          <w:p w14:paraId="73D3031D">
            <w:pPr>
              <w:adjustRightInd w:val="0"/>
              <w:snapToGrid w:val="0"/>
              <w:spacing w:beforeLines="50" w:line="360" w:lineRule="auto"/>
              <w:jc w:val="center"/>
              <w:rPr>
                <w:rFonts w:ascii="宋体" w:hAnsi="宋体"/>
                <w:kern w:val="0"/>
                <w:sz w:val="20"/>
                <w:szCs w:val="21"/>
              </w:rPr>
            </w:pPr>
          </w:p>
        </w:tc>
        <w:tc>
          <w:tcPr>
            <w:tcW w:w="1871" w:type="dxa"/>
            <w:tcBorders>
              <w:right w:val="single" w:color="auto" w:sz="4" w:space="0"/>
            </w:tcBorders>
            <w:noWrap/>
          </w:tcPr>
          <w:p w14:paraId="0434A6E9">
            <w:pPr>
              <w:adjustRightInd w:val="0"/>
              <w:snapToGrid w:val="0"/>
              <w:spacing w:beforeLines="50" w:line="360" w:lineRule="auto"/>
              <w:jc w:val="center"/>
              <w:rPr>
                <w:rFonts w:ascii="宋体" w:hAnsi="宋体"/>
                <w:kern w:val="0"/>
                <w:sz w:val="20"/>
                <w:szCs w:val="21"/>
              </w:rPr>
            </w:pPr>
          </w:p>
        </w:tc>
        <w:tc>
          <w:tcPr>
            <w:tcW w:w="2410" w:type="dxa"/>
            <w:tcBorders>
              <w:left w:val="single" w:color="auto" w:sz="4" w:space="0"/>
            </w:tcBorders>
            <w:noWrap/>
          </w:tcPr>
          <w:p w14:paraId="4EE871AE">
            <w:pPr>
              <w:adjustRightInd w:val="0"/>
              <w:snapToGrid w:val="0"/>
              <w:spacing w:beforeLines="50" w:line="360" w:lineRule="auto"/>
              <w:jc w:val="center"/>
              <w:rPr>
                <w:rFonts w:ascii="宋体" w:hAnsi="宋体"/>
                <w:kern w:val="0"/>
                <w:sz w:val="20"/>
                <w:szCs w:val="21"/>
              </w:rPr>
            </w:pPr>
          </w:p>
        </w:tc>
        <w:tc>
          <w:tcPr>
            <w:tcW w:w="2268" w:type="dxa"/>
            <w:noWrap/>
          </w:tcPr>
          <w:p w14:paraId="2191A988">
            <w:pPr>
              <w:adjustRightInd w:val="0"/>
              <w:snapToGrid w:val="0"/>
              <w:spacing w:beforeLines="50" w:line="360" w:lineRule="auto"/>
              <w:jc w:val="center"/>
              <w:rPr>
                <w:rFonts w:ascii="宋体" w:hAnsi="宋体"/>
                <w:kern w:val="0"/>
                <w:sz w:val="20"/>
                <w:szCs w:val="21"/>
              </w:rPr>
            </w:pPr>
          </w:p>
        </w:tc>
        <w:tc>
          <w:tcPr>
            <w:tcW w:w="1722" w:type="dxa"/>
            <w:noWrap/>
          </w:tcPr>
          <w:p w14:paraId="72CFD6D5">
            <w:pPr>
              <w:adjustRightInd w:val="0"/>
              <w:snapToGrid w:val="0"/>
              <w:spacing w:beforeLines="50" w:line="360" w:lineRule="auto"/>
              <w:jc w:val="center"/>
              <w:rPr>
                <w:rFonts w:ascii="宋体" w:hAnsi="宋体"/>
                <w:kern w:val="0"/>
                <w:sz w:val="20"/>
                <w:szCs w:val="21"/>
              </w:rPr>
            </w:pPr>
          </w:p>
        </w:tc>
      </w:tr>
      <w:tr w14:paraId="37940B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789" w:type="dxa"/>
            <w:noWrap/>
          </w:tcPr>
          <w:p w14:paraId="5C4CF5AB">
            <w:pPr>
              <w:adjustRightInd w:val="0"/>
              <w:snapToGrid w:val="0"/>
              <w:spacing w:beforeLines="50" w:line="360" w:lineRule="auto"/>
              <w:jc w:val="center"/>
              <w:rPr>
                <w:rFonts w:ascii="宋体" w:hAnsi="宋体"/>
                <w:kern w:val="0"/>
                <w:sz w:val="20"/>
                <w:szCs w:val="21"/>
              </w:rPr>
            </w:pPr>
          </w:p>
        </w:tc>
        <w:tc>
          <w:tcPr>
            <w:tcW w:w="1871" w:type="dxa"/>
            <w:tcBorders>
              <w:right w:val="single" w:color="auto" w:sz="4" w:space="0"/>
            </w:tcBorders>
            <w:noWrap/>
          </w:tcPr>
          <w:p w14:paraId="1386CCD6">
            <w:pPr>
              <w:adjustRightInd w:val="0"/>
              <w:snapToGrid w:val="0"/>
              <w:spacing w:beforeLines="50" w:line="360" w:lineRule="auto"/>
              <w:jc w:val="center"/>
              <w:rPr>
                <w:rFonts w:ascii="宋体" w:hAnsi="宋体"/>
                <w:kern w:val="0"/>
                <w:sz w:val="20"/>
                <w:szCs w:val="21"/>
              </w:rPr>
            </w:pPr>
          </w:p>
        </w:tc>
        <w:tc>
          <w:tcPr>
            <w:tcW w:w="2410" w:type="dxa"/>
            <w:tcBorders>
              <w:left w:val="single" w:color="auto" w:sz="4" w:space="0"/>
            </w:tcBorders>
            <w:noWrap/>
          </w:tcPr>
          <w:p w14:paraId="5CC4CA7F">
            <w:pPr>
              <w:adjustRightInd w:val="0"/>
              <w:snapToGrid w:val="0"/>
              <w:spacing w:beforeLines="50" w:line="360" w:lineRule="auto"/>
              <w:jc w:val="center"/>
              <w:rPr>
                <w:rFonts w:ascii="宋体" w:hAnsi="宋体"/>
                <w:kern w:val="0"/>
                <w:sz w:val="20"/>
                <w:szCs w:val="21"/>
              </w:rPr>
            </w:pPr>
          </w:p>
        </w:tc>
        <w:tc>
          <w:tcPr>
            <w:tcW w:w="2268" w:type="dxa"/>
            <w:noWrap/>
          </w:tcPr>
          <w:p w14:paraId="39604E54">
            <w:pPr>
              <w:adjustRightInd w:val="0"/>
              <w:snapToGrid w:val="0"/>
              <w:spacing w:beforeLines="50" w:line="360" w:lineRule="auto"/>
              <w:jc w:val="center"/>
              <w:rPr>
                <w:rFonts w:ascii="宋体" w:hAnsi="宋体"/>
                <w:kern w:val="0"/>
                <w:sz w:val="20"/>
                <w:szCs w:val="21"/>
              </w:rPr>
            </w:pPr>
          </w:p>
        </w:tc>
        <w:tc>
          <w:tcPr>
            <w:tcW w:w="1722" w:type="dxa"/>
            <w:noWrap/>
          </w:tcPr>
          <w:p w14:paraId="68E56F69">
            <w:pPr>
              <w:adjustRightInd w:val="0"/>
              <w:snapToGrid w:val="0"/>
              <w:spacing w:beforeLines="50" w:line="360" w:lineRule="auto"/>
              <w:jc w:val="center"/>
              <w:rPr>
                <w:rFonts w:ascii="宋体" w:hAnsi="宋体"/>
                <w:kern w:val="0"/>
                <w:sz w:val="20"/>
                <w:szCs w:val="21"/>
              </w:rPr>
            </w:pPr>
          </w:p>
        </w:tc>
      </w:tr>
    </w:tbl>
    <w:p w14:paraId="554932BC"/>
    <w:p w14:paraId="362792CD">
      <w:pPr>
        <w:pStyle w:val="4"/>
        <w:spacing w:before="0" w:after="0"/>
        <w:jc w:val="center"/>
        <w:rPr>
          <w:rFonts w:ascii="黑体" w:hAnsi="宋体" w:eastAsia="黑体"/>
          <w:u w:val="single"/>
        </w:rPr>
      </w:pPr>
    </w:p>
    <w:p w14:paraId="67B28309">
      <w:pPr>
        <w:pStyle w:val="5"/>
        <w:adjustRightInd w:val="0"/>
        <w:snapToGrid w:val="0"/>
        <w:spacing w:beforeLines="50" w:after="0" w:line="360" w:lineRule="auto"/>
        <w:jc w:val="left"/>
        <w:rPr>
          <w:rFonts w:ascii="黑体" w:hAnsi="黑体"/>
          <w:b w:val="0"/>
          <w:sz w:val="21"/>
          <w:szCs w:val="21"/>
        </w:rPr>
      </w:pPr>
      <w:r>
        <w:rPr>
          <w:rFonts w:hint="eastAsia" w:ascii="黑体" w:hAnsi="宋体"/>
        </w:rPr>
        <w:br w:type="page"/>
      </w:r>
      <w:bookmarkStart w:id="141" w:name="_Toc20651255"/>
      <w:r>
        <w:rPr>
          <w:rFonts w:hint="eastAsia" w:ascii="黑体" w:hAnsi="黑体"/>
          <w:b w:val="0"/>
          <w:color w:val="000000"/>
          <w:sz w:val="21"/>
          <w:szCs w:val="21"/>
        </w:rPr>
        <w:t xml:space="preserve">索引表3 </w:t>
      </w:r>
      <w:bookmarkEnd w:id="141"/>
    </w:p>
    <w:p w14:paraId="12D7AFB7">
      <w:pPr>
        <w:adjustRightInd w:val="0"/>
        <w:snapToGrid w:val="0"/>
        <w:spacing w:beforeLines="50" w:line="360" w:lineRule="auto"/>
        <w:jc w:val="center"/>
        <w:rPr>
          <w:rFonts w:ascii="黑体" w:hAnsi="黑体" w:eastAsia="黑体"/>
          <w:b/>
          <w:sz w:val="28"/>
          <w:szCs w:val="28"/>
        </w:rPr>
      </w:pPr>
      <w:r>
        <w:rPr>
          <w:rFonts w:hint="eastAsia" w:ascii="黑体" w:hAnsi="黑体" w:eastAsia="黑体"/>
          <w:b/>
          <w:sz w:val="28"/>
          <w:szCs w:val="28"/>
        </w:rPr>
        <w:t>评标索引表</w:t>
      </w:r>
    </w:p>
    <w:tbl>
      <w:tblPr>
        <w:tblStyle w:val="41"/>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5"/>
        <w:gridCol w:w="1701"/>
        <w:gridCol w:w="1134"/>
        <w:gridCol w:w="1418"/>
        <w:gridCol w:w="2410"/>
        <w:gridCol w:w="1722"/>
      </w:tblGrid>
      <w:tr w14:paraId="09975A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noWrap/>
            <w:vAlign w:val="center"/>
          </w:tcPr>
          <w:p w14:paraId="22816A55">
            <w:pPr>
              <w:adjustRightInd w:val="0"/>
              <w:snapToGrid w:val="0"/>
              <w:spacing w:beforeLines="50" w:line="360" w:lineRule="auto"/>
              <w:jc w:val="center"/>
              <w:rPr>
                <w:rFonts w:ascii="宋体" w:hAnsi="宋体"/>
                <w:b/>
                <w:kern w:val="0"/>
                <w:szCs w:val="21"/>
              </w:rPr>
            </w:pPr>
            <w:r>
              <w:rPr>
                <w:rFonts w:hint="eastAsia" w:ascii="宋体" w:hAnsi="宋体"/>
                <w:b/>
                <w:kern w:val="0"/>
                <w:szCs w:val="21"/>
              </w:rPr>
              <w:t>序号</w:t>
            </w:r>
          </w:p>
        </w:tc>
        <w:tc>
          <w:tcPr>
            <w:tcW w:w="1701" w:type="dxa"/>
            <w:tcBorders>
              <w:right w:val="single" w:color="auto" w:sz="4" w:space="0"/>
            </w:tcBorders>
            <w:noWrap/>
            <w:vAlign w:val="center"/>
          </w:tcPr>
          <w:p w14:paraId="022162BF">
            <w:pPr>
              <w:adjustRightInd w:val="0"/>
              <w:snapToGrid w:val="0"/>
              <w:spacing w:beforeLines="50" w:line="360" w:lineRule="auto"/>
              <w:jc w:val="center"/>
              <w:rPr>
                <w:rFonts w:ascii="宋体" w:hAnsi="宋体"/>
                <w:b/>
                <w:kern w:val="0"/>
                <w:szCs w:val="21"/>
              </w:rPr>
            </w:pPr>
            <w:r>
              <w:rPr>
                <w:rFonts w:hint="eastAsia" w:ascii="宋体" w:hAnsi="宋体"/>
                <w:b/>
                <w:kern w:val="0"/>
                <w:sz w:val="20"/>
                <w:szCs w:val="21"/>
              </w:rPr>
              <w:t>招标文件</w:t>
            </w:r>
            <w:r>
              <w:rPr>
                <w:rFonts w:hint="eastAsia" w:ascii="宋体" w:hAnsi="宋体"/>
                <w:b/>
                <w:kern w:val="0"/>
                <w:szCs w:val="21"/>
              </w:rPr>
              <w:t>条款号</w:t>
            </w:r>
          </w:p>
        </w:tc>
        <w:tc>
          <w:tcPr>
            <w:tcW w:w="1134" w:type="dxa"/>
            <w:tcBorders>
              <w:left w:val="single" w:color="auto" w:sz="4" w:space="0"/>
              <w:right w:val="single" w:color="auto" w:sz="4" w:space="0"/>
            </w:tcBorders>
            <w:noWrap/>
            <w:vAlign w:val="center"/>
          </w:tcPr>
          <w:p w14:paraId="291B323A">
            <w:pPr>
              <w:adjustRightInd w:val="0"/>
              <w:snapToGrid w:val="0"/>
              <w:spacing w:beforeLines="50" w:line="360" w:lineRule="auto"/>
              <w:jc w:val="center"/>
              <w:rPr>
                <w:rFonts w:ascii="宋体" w:hAnsi="宋体"/>
                <w:b/>
                <w:kern w:val="0"/>
                <w:szCs w:val="21"/>
              </w:rPr>
            </w:pPr>
            <w:r>
              <w:rPr>
                <w:rFonts w:hint="eastAsia" w:ascii="宋体" w:hAnsi="宋体"/>
                <w:b/>
                <w:kern w:val="0"/>
                <w:szCs w:val="21"/>
              </w:rPr>
              <w:t>评审因素</w:t>
            </w:r>
          </w:p>
        </w:tc>
        <w:tc>
          <w:tcPr>
            <w:tcW w:w="1418" w:type="dxa"/>
            <w:tcBorders>
              <w:left w:val="single" w:color="auto" w:sz="4" w:space="0"/>
            </w:tcBorders>
            <w:noWrap/>
            <w:vAlign w:val="center"/>
          </w:tcPr>
          <w:p w14:paraId="06006EB3">
            <w:pPr>
              <w:adjustRightInd w:val="0"/>
              <w:snapToGrid w:val="0"/>
              <w:spacing w:beforeLines="50" w:line="360" w:lineRule="auto"/>
              <w:jc w:val="center"/>
              <w:rPr>
                <w:rFonts w:ascii="宋体" w:hAnsi="宋体"/>
                <w:b/>
                <w:kern w:val="0"/>
                <w:szCs w:val="21"/>
              </w:rPr>
            </w:pPr>
            <w:r>
              <w:rPr>
                <w:rFonts w:hint="eastAsia" w:ascii="宋体" w:hAnsi="宋体"/>
                <w:b/>
                <w:kern w:val="0"/>
                <w:szCs w:val="21"/>
              </w:rPr>
              <w:t>评标标准</w:t>
            </w:r>
          </w:p>
        </w:tc>
        <w:tc>
          <w:tcPr>
            <w:tcW w:w="2410" w:type="dxa"/>
            <w:noWrap/>
            <w:vAlign w:val="center"/>
          </w:tcPr>
          <w:p w14:paraId="70D6456F">
            <w:pPr>
              <w:adjustRightInd w:val="0"/>
              <w:snapToGrid w:val="0"/>
              <w:spacing w:beforeLines="50" w:line="360" w:lineRule="auto"/>
              <w:jc w:val="center"/>
              <w:rPr>
                <w:rFonts w:ascii="宋体" w:hAnsi="宋体"/>
                <w:b/>
                <w:kern w:val="0"/>
                <w:szCs w:val="21"/>
              </w:rPr>
            </w:pPr>
            <w:r>
              <w:rPr>
                <w:rFonts w:hint="eastAsia" w:ascii="宋体" w:hAnsi="宋体"/>
                <w:b/>
                <w:kern w:val="0"/>
                <w:szCs w:val="21"/>
              </w:rPr>
              <w:t>投标响应及证明材料</w:t>
            </w:r>
          </w:p>
        </w:tc>
        <w:tc>
          <w:tcPr>
            <w:tcW w:w="1722" w:type="dxa"/>
            <w:noWrap/>
            <w:vAlign w:val="center"/>
          </w:tcPr>
          <w:p w14:paraId="31A5919A">
            <w:pPr>
              <w:adjustRightInd w:val="0"/>
              <w:snapToGrid w:val="0"/>
              <w:spacing w:beforeLines="50" w:line="360" w:lineRule="auto"/>
              <w:jc w:val="center"/>
              <w:rPr>
                <w:rFonts w:ascii="宋体" w:hAnsi="宋体"/>
                <w:b/>
                <w:kern w:val="0"/>
                <w:szCs w:val="21"/>
              </w:rPr>
            </w:pPr>
            <w:r>
              <w:rPr>
                <w:rFonts w:hint="eastAsia" w:ascii="宋体" w:hAnsi="宋体"/>
                <w:b/>
                <w:kern w:val="0"/>
                <w:szCs w:val="21"/>
              </w:rPr>
              <w:t>投标文件对应内容的册及页码</w:t>
            </w:r>
          </w:p>
        </w:tc>
      </w:tr>
      <w:tr w14:paraId="13F10C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noWrap/>
          </w:tcPr>
          <w:p w14:paraId="58FC823D">
            <w:pPr>
              <w:adjustRightInd w:val="0"/>
              <w:snapToGrid w:val="0"/>
              <w:spacing w:beforeLines="50" w:line="360" w:lineRule="auto"/>
              <w:jc w:val="center"/>
              <w:rPr>
                <w:rFonts w:ascii="宋体" w:hAnsi="宋体"/>
                <w:kern w:val="0"/>
                <w:szCs w:val="21"/>
              </w:rPr>
            </w:pPr>
          </w:p>
        </w:tc>
        <w:tc>
          <w:tcPr>
            <w:tcW w:w="1701" w:type="dxa"/>
            <w:tcBorders>
              <w:right w:val="single" w:color="auto" w:sz="4" w:space="0"/>
            </w:tcBorders>
            <w:noWrap/>
          </w:tcPr>
          <w:p w14:paraId="0C166464">
            <w:pPr>
              <w:adjustRightInd w:val="0"/>
              <w:snapToGrid w:val="0"/>
              <w:spacing w:beforeLines="50" w:line="360" w:lineRule="auto"/>
              <w:jc w:val="center"/>
              <w:rPr>
                <w:rFonts w:ascii="宋体" w:hAnsi="宋体"/>
                <w:kern w:val="0"/>
                <w:szCs w:val="21"/>
              </w:rPr>
            </w:pPr>
          </w:p>
        </w:tc>
        <w:tc>
          <w:tcPr>
            <w:tcW w:w="1134" w:type="dxa"/>
            <w:tcBorders>
              <w:left w:val="single" w:color="auto" w:sz="4" w:space="0"/>
              <w:right w:val="single" w:color="auto" w:sz="4" w:space="0"/>
            </w:tcBorders>
            <w:noWrap/>
          </w:tcPr>
          <w:p w14:paraId="6A7E5604">
            <w:pPr>
              <w:adjustRightInd w:val="0"/>
              <w:snapToGrid w:val="0"/>
              <w:spacing w:beforeLines="50" w:line="360" w:lineRule="auto"/>
              <w:jc w:val="center"/>
              <w:rPr>
                <w:rFonts w:ascii="宋体" w:hAnsi="宋体"/>
                <w:kern w:val="0"/>
                <w:szCs w:val="21"/>
              </w:rPr>
            </w:pPr>
          </w:p>
        </w:tc>
        <w:tc>
          <w:tcPr>
            <w:tcW w:w="1418" w:type="dxa"/>
            <w:tcBorders>
              <w:left w:val="single" w:color="auto" w:sz="4" w:space="0"/>
            </w:tcBorders>
            <w:noWrap/>
          </w:tcPr>
          <w:p w14:paraId="71F32056">
            <w:pPr>
              <w:adjustRightInd w:val="0"/>
              <w:snapToGrid w:val="0"/>
              <w:spacing w:beforeLines="50" w:line="360" w:lineRule="auto"/>
              <w:jc w:val="center"/>
              <w:rPr>
                <w:rFonts w:ascii="宋体" w:hAnsi="宋体"/>
                <w:kern w:val="0"/>
                <w:szCs w:val="21"/>
              </w:rPr>
            </w:pPr>
          </w:p>
        </w:tc>
        <w:tc>
          <w:tcPr>
            <w:tcW w:w="2410" w:type="dxa"/>
            <w:noWrap/>
          </w:tcPr>
          <w:p w14:paraId="5CAE4016">
            <w:pPr>
              <w:adjustRightInd w:val="0"/>
              <w:snapToGrid w:val="0"/>
              <w:spacing w:beforeLines="50" w:line="360" w:lineRule="auto"/>
              <w:jc w:val="center"/>
              <w:rPr>
                <w:rFonts w:ascii="宋体" w:hAnsi="宋体"/>
                <w:kern w:val="0"/>
                <w:szCs w:val="21"/>
              </w:rPr>
            </w:pPr>
          </w:p>
        </w:tc>
        <w:tc>
          <w:tcPr>
            <w:tcW w:w="1722" w:type="dxa"/>
            <w:noWrap/>
          </w:tcPr>
          <w:p w14:paraId="24A89D7C">
            <w:pPr>
              <w:adjustRightInd w:val="0"/>
              <w:snapToGrid w:val="0"/>
              <w:spacing w:beforeLines="50" w:line="360" w:lineRule="auto"/>
              <w:jc w:val="center"/>
              <w:rPr>
                <w:rFonts w:ascii="宋体" w:hAnsi="宋体"/>
                <w:kern w:val="0"/>
                <w:szCs w:val="21"/>
              </w:rPr>
            </w:pPr>
          </w:p>
        </w:tc>
      </w:tr>
      <w:tr w14:paraId="4C394B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noWrap/>
          </w:tcPr>
          <w:p w14:paraId="4AD2D300">
            <w:pPr>
              <w:adjustRightInd w:val="0"/>
              <w:snapToGrid w:val="0"/>
              <w:spacing w:beforeLines="50" w:line="360" w:lineRule="auto"/>
              <w:jc w:val="center"/>
              <w:rPr>
                <w:rFonts w:ascii="宋体" w:hAnsi="宋体"/>
                <w:kern w:val="0"/>
                <w:szCs w:val="21"/>
              </w:rPr>
            </w:pPr>
          </w:p>
        </w:tc>
        <w:tc>
          <w:tcPr>
            <w:tcW w:w="1701" w:type="dxa"/>
            <w:tcBorders>
              <w:right w:val="single" w:color="auto" w:sz="4" w:space="0"/>
            </w:tcBorders>
            <w:noWrap/>
          </w:tcPr>
          <w:p w14:paraId="62A7307F">
            <w:pPr>
              <w:adjustRightInd w:val="0"/>
              <w:snapToGrid w:val="0"/>
              <w:spacing w:beforeLines="50" w:line="360" w:lineRule="auto"/>
              <w:jc w:val="center"/>
              <w:rPr>
                <w:rFonts w:ascii="宋体" w:hAnsi="宋体"/>
                <w:kern w:val="0"/>
                <w:szCs w:val="21"/>
              </w:rPr>
            </w:pPr>
          </w:p>
        </w:tc>
        <w:tc>
          <w:tcPr>
            <w:tcW w:w="1134" w:type="dxa"/>
            <w:tcBorders>
              <w:left w:val="single" w:color="auto" w:sz="4" w:space="0"/>
              <w:right w:val="single" w:color="auto" w:sz="4" w:space="0"/>
            </w:tcBorders>
            <w:noWrap/>
          </w:tcPr>
          <w:p w14:paraId="629FA1B9">
            <w:pPr>
              <w:adjustRightInd w:val="0"/>
              <w:snapToGrid w:val="0"/>
              <w:spacing w:beforeLines="50" w:line="360" w:lineRule="auto"/>
              <w:jc w:val="center"/>
              <w:rPr>
                <w:rFonts w:ascii="宋体" w:hAnsi="宋体"/>
                <w:kern w:val="0"/>
                <w:szCs w:val="21"/>
              </w:rPr>
            </w:pPr>
          </w:p>
        </w:tc>
        <w:tc>
          <w:tcPr>
            <w:tcW w:w="1418" w:type="dxa"/>
            <w:tcBorders>
              <w:left w:val="single" w:color="auto" w:sz="4" w:space="0"/>
            </w:tcBorders>
            <w:noWrap/>
          </w:tcPr>
          <w:p w14:paraId="200D760F">
            <w:pPr>
              <w:adjustRightInd w:val="0"/>
              <w:snapToGrid w:val="0"/>
              <w:spacing w:beforeLines="50" w:line="360" w:lineRule="auto"/>
              <w:jc w:val="center"/>
              <w:rPr>
                <w:rFonts w:ascii="宋体" w:hAnsi="宋体"/>
                <w:kern w:val="0"/>
                <w:szCs w:val="21"/>
              </w:rPr>
            </w:pPr>
          </w:p>
        </w:tc>
        <w:tc>
          <w:tcPr>
            <w:tcW w:w="2410" w:type="dxa"/>
            <w:noWrap/>
          </w:tcPr>
          <w:p w14:paraId="7540DDF7">
            <w:pPr>
              <w:adjustRightInd w:val="0"/>
              <w:snapToGrid w:val="0"/>
              <w:spacing w:beforeLines="50" w:line="360" w:lineRule="auto"/>
              <w:jc w:val="center"/>
              <w:rPr>
                <w:rFonts w:ascii="宋体" w:hAnsi="宋体"/>
                <w:kern w:val="0"/>
                <w:szCs w:val="21"/>
              </w:rPr>
            </w:pPr>
          </w:p>
        </w:tc>
        <w:tc>
          <w:tcPr>
            <w:tcW w:w="1722" w:type="dxa"/>
            <w:noWrap/>
          </w:tcPr>
          <w:p w14:paraId="41002DE0">
            <w:pPr>
              <w:adjustRightInd w:val="0"/>
              <w:snapToGrid w:val="0"/>
              <w:spacing w:beforeLines="50" w:line="360" w:lineRule="auto"/>
              <w:jc w:val="center"/>
              <w:rPr>
                <w:rFonts w:ascii="宋体" w:hAnsi="宋体"/>
                <w:kern w:val="0"/>
                <w:szCs w:val="21"/>
              </w:rPr>
            </w:pPr>
          </w:p>
        </w:tc>
      </w:tr>
      <w:tr w14:paraId="034AF0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noWrap/>
          </w:tcPr>
          <w:p w14:paraId="66A9E716">
            <w:pPr>
              <w:adjustRightInd w:val="0"/>
              <w:snapToGrid w:val="0"/>
              <w:spacing w:beforeLines="50" w:line="360" w:lineRule="auto"/>
              <w:jc w:val="center"/>
              <w:rPr>
                <w:rFonts w:ascii="宋体" w:hAnsi="宋体"/>
                <w:kern w:val="0"/>
                <w:szCs w:val="21"/>
              </w:rPr>
            </w:pPr>
          </w:p>
        </w:tc>
        <w:tc>
          <w:tcPr>
            <w:tcW w:w="1701" w:type="dxa"/>
            <w:tcBorders>
              <w:right w:val="single" w:color="auto" w:sz="4" w:space="0"/>
            </w:tcBorders>
            <w:noWrap/>
          </w:tcPr>
          <w:p w14:paraId="20CF6969">
            <w:pPr>
              <w:adjustRightInd w:val="0"/>
              <w:snapToGrid w:val="0"/>
              <w:spacing w:beforeLines="50" w:line="360" w:lineRule="auto"/>
              <w:jc w:val="center"/>
              <w:rPr>
                <w:rFonts w:ascii="宋体" w:hAnsi="宋体"/>
                <w:kern w:val="0"/>
                <w:szCs w:val="21"/>
              </w:rPr>
            </w:pPr>
          </w:p>
        </w:tc>
        <w:tc>
          <w:tcPr>
            <w:tcW w:w="1134" w:type="dxa"/>
            <w:tcBorders>
              <w:left w:val="single" w:color="auto" w:sz="4" w:space="0"/>
              <w:right w:val="single" w:color="auto" w:sz="4" w:space="0"/>
            </w:tcBorders>
            <w:noWrap/>
          </w:tcPr>
          <w:p w14:paraId="6F0F3607">
            <w:pPr>
              <w:adjustRightInd w:val="0"/>
              <w:snapToGrid w:val="0"/>
              <w:spacing w:beforeLines="50" w:line="360" w:lineRule="auto"/>
              <w:jc w:val="center"/>
              <w:rPr>
                <w:rFonts w:ascii="宋体" w:hAnsi="宋体"/>
                <w:kern w:val="0"/>
                <w:szCs w:val="21"/>
              </w:rPr>
            </w:pPr>
          </w:p>
        </w:tc>
        <w:tc>
          <w:tcPr>
            <w:tcW w:w="1418" w:type="dxa"/>
            <w:tcBorders>
              <w:left w:val="single" w:color="auto" w:sz="4" w:space="0"/>
            </w:tcBorders>
            <w:noWrap/>
          </w:tcPr>
          <w:p w14:paraId="14E98956">
            <w:pPr>
              <w:adjustRightInd w:val="0"/>
              <w:snapToGrid w:val="0"/>
              <w:spacing w:beforeLines="50" w:line="360" w:lineRule="auto"/>
              <w:jc w:val="center"/>
              <w:rPr>
                <w:rFonts w:ascii="宋体" w:hAnsi="宋体"/>
                <w:kern w:val="0"/>
                <w:szCs w:val="21"/>
              </w:rPr>
            </w:pPr>
          </w:p>
        </w:tc>
        <w:tc>
          <w:tcPr>
            <w:tcW w:w="2410" w:type="dxa"/>
            <w:noWrap/>
          </w:tcPr>
          <w:p w14:paraId="2D11966A">
            <w:pPr>
              <w:adjustRightInd w:val="0"/>
              <w:snapToGrid w:val="0"/>
              <w:spacing w:beforeLines="50" w:line="360" w:lineRule="auto"/>
              <w:jc w:val="center"/>
              <w:rPr>
                <w:rFonts w:ascii="宋体" w:hAnsi="宋体"/>
                <w:kern w:val="0"/>
                <w:szCs w:val="21"/>
              </w:rPr>
            </w:pPr>
          </w:p>
        </w:tc>
        <w:tc>
          <w:tcPr>
            <w:tcW w:w="1722" w:type="dxa"/>
            <w:noWrap/>
          </w:tcPr>
          <w:p w14:paraId="1DB72973">
            <w:pPr>
              <w:adjustRightInd w:val="0"/>
              <w:snapToGrid w:val="0"/>
              <w:spacing w:beforeLines="50" w:line="360" w:lineRule="auto"/>
              <w:jc w:val="center"/>
              <w:rPr>
                <w:rFonts w:ascii="宋体" w:hAnsi="宋体"/>
                <w:kern w:val="0"/>
                <w:szCs w:val="21"/>
              </w:rPr>
            </w:pPr>
          </w:p>
        </w:tc>
      </w:tr>
      <w:tr w14:paraId="3F5886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noWrap/>
          </w:tcPr>
          <w:p w14:paraId="5F612A77">
            <w:pPr>
              <w:adjustRightInd w:val="0"/>
              <w:snapToGrid w:val="0"/>
              <w:spacing w:beforeLines="50" w:line="360" w:lineRule="auto"/>
              <w:jc w:val="center"/>
              <w:rPr>
                <w:rFonts w:ascii="宋体" w:hAnsi="宋体"/>
                <w:kern w:val="0"/>
                <w:szCs w:val="21"/>
              </w:rPr>
            </w:pPr>
          </w:p>
        </w:tc>
        <w:tc>
          <w:tcPr>
            <w:tcW w:w="1701" w:type="dxa"/>
            <w:tcBorders>
              <w:right w:val="single" w:color="auto" w:sz="4" w:space="0"/>
            </w:tcBorders>
            <w:noWrap/>
          </w:tcPr>
          <w:p w14:paraId="6F1B194D">
            <w:pPr>
              <w:adjustRightInd w:val="0"/>
              <w:snapToGrid w:val="0"/>
              <w:spacing w:beforeLines="50" w:line="360" w:lineRule="auto"/>
              <w:jc w:val="center"/>
              <w:rPr>
                <w:rFonts w:ascii="宋体" w:hAnsi="宋体"/>
                <w:kern w:val="0"/>
                <w:szCs w:val="21"/>
              </w:rPr>
            </w:pPr>
          </w:p>
        </w:tc>
        <w:tc>
          <w:tcPr>
            <w:tcW w:w="1134" w:type="dxa"/>
            <w:tcBorders>
              <w:left w:val="single" w:color="auto" w:sz="4" w:space="0"/>
              <w:right w:val="single" w:color="auto" w:sz="4" w:space="0"/>
            </w:tcBorders>
            <w:noWrap/>
          </w:tcPr>
          <w:p w14:paraId="30DCBEE5">
            <w:pPr>
              <w:adjustRightInd w:val="0"/>
              <w:snapToGrid w:val="0"/>
              <w:spacing w:beforeLines="50" w:line="360" w:lineRule="auto"/>
              <w:jc w:val="center"/>
              <w:rPr>
                <w:rFonts w:ascii="宋体" w:hAnsi="宋体"/>
                <w:kern w:val="0"/>
                <w:szCs w:val="21"/>
              </w:rPr>
            </w:pPr>
          </w:p>
        </w:tc>
        <w:tc>
          <w:tcPr>
            <w:tcW w:w="1418" w:type="dxa"/>
            <w:tcBorders>
              <w:left w:val="single" w:color="auto" w:sz="4" w:space="0"/>
            </w:tcBorders>
            <w:noWrap/>
          </w:tcPr>
          <w:p w14:paraId="54067C12">
            <w:pPr>
              <w:adjustRightInd w:val="0"/>
              <w:snapToGrid w:val="0"/>
              <w:spacing w:beforeLines="50" w:line="360" w:lineRule="auto"/>
              <w:jc w:val="center"/>
              <w:rPr>
                <w:rFonts w:ascii="宋体" w:hAnsi="宋体"/>
                <w:kern w:val="0"/>
                <w:szCs w:val="21"/>
              </w:rPr>
            </w:pPr>
          </w:p>
        </w:tc>
        <w:tc>
          <w:tcPr>
            <w:tcW w:w="2410" w:type="dxa"/>
            <w:noWrap/>
          </w:tcPr>
          <w:p w14:paraId="72809BDB">
            <w:pPr>
              <w:adjustRightInd w:val="0"/>
              <w:snapToGrid w:val="0"/>
              <w:spacing w:beforeLines="50" w:line="360" w:lineRule="auto"/>
              <w:jc w:val="center"/>
              <w:rPr>
                <w:rFonts w:ascii="宋体" w:hAnsi="宋体"/>
                <w:kern w:val="0"/>
                <w:szCs w:val="21"/>
              </w:rPr>
            </w:pPr>
          </w:p>
        </w:tc>
        <w:tc>
          <w:tcPr>
            <w:tcW w:w="1722" w:type="dxa"/>
            <w:noWrap/>
          </w:tcPr>
          <w:p w14:paraId="012640A5">
            <w:pPr>
              <w:adjustRightInd w:val="0"/>
              <w:snapToGrid w:val="0"/>
              <w:spacing w:beforeLines="50" w:line="360" w:lineRule="auto"/>
              <w:jc w:val="center"/>
              <w:rPr>
                <w:rFonts w:ascii="宋体" w:hAnsi="宋体"/>
                <w:kern w:val="0"/>
                <w:szCs w:val="21"/>
              </w:rPr>
            </w:pPr>
          </w:p>
        </w:tc>
      </w:tr>
      <w:tr w14:paraId="648957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noWrap/>
          </w:tcPr>
          <w:p w14:paraId="4CD4D113">
            <w:pPr>
              <w:adjustRightInd w:val="0"/>
              <w:snapToGrid w:val="0"/>
              <w:spacing w:beforeLines="50" w:line="360" w:lineRule="auto"/>
              <w:jc w:val="center"/>
              <w:rPr>
                <w:rFonts w:ascii="宋体" w:hAnsi="宋体"/>
                <w:kern w:val="0"/>
                <w:szCs w:val="21"/>
              </w:rPr>
            </w:pPr>
          </w:p>
        </w:tc>
        <w:tc>
          <w:tcPr>
            <w:tcW w:w="1701" w:type="dxa"/>
            <w:tcBorders>
              <w:right w:val="single" w:color="auto" w:sz="4" w:space="0"/>
            </w:tcBorders>
            <w:noWrap/>
          </w:tcPr>
          <w:p w14:paraId="25952B95">
            <w:pPr>
              <w:adjustRightInd w:val="0"/>
              <w:snapToGrid w:val="0"/>
              <w:spacing w:beforeLines="50" w:line="360" w:lineRule="auto"/>
              <w:jc w:val="center"/>
              <w:rPr>
                <w:rFonts w:ascii="宋体" w:hAnsi="宋体"/>
                <w:kern w:val="0"/>
                <w:szCs w:val="21"/>
              </w:rPr>
            </w:pPr>
          </w:p>
        </w:tc>
        <w:tc>
          <w:tcPr>
            <w:tcW w:w="1134" w:type="dxa"/>
            <w:tcBorders>
              <w:left w:val="single" w:color="auto" w:sz="4" w:space="0"/>
              <w:right w:val="single" w:color="auto" w:sz="4" w:space="0"/>
            </w:tcBorders>
            <w:noWrap/>
          </w:tcPr>
          <w:p w14:paraId="5B503D1F">
            <w:pPr>
              <w:adjustRightInd w:val="0"/>
              <w:snapToGrid w:val="0"/>
              <w:spacing w:beforeLines="50" w:line="360" w:lineRule="auto"/>
              <w:jc w:val="center"/>
              <w:rPr>
                <w:rFonts w:ascii="宋体" w:hAnsi="宋体"/>
                <w:kern w:val="0"/>
                <w:szCs w:val="21"/>
              </w:rPr>
            </w:pPr>
          </w:p>
        </w:tc>
        <w:tc>
          <w:tcPr>
            <w:tcW w:w="1418" w:type="dxa"/>
            <w:tcBorders>
              <w:left w:val="single" w:color="auto" w:sz="4" w:space="0"/>
            </w:tcBorders>
            <w:noWrap/>
          </w:tcPr>
          <w:p w14:paraId="2204C6A5">
            <w:pPr>
              <w:adjustRightInd w:val="0"/>
              <w:snapToGrid w:val="0"/>
              <w:spacing w:beforeLines="50" w:line="360" w:lineRule="auto"/>
              <w:jc w:val="center"/>
              <w:rPr>
                <w:rFonts w:ascii="宋体" w:hAnsi="宋体"/>
                <w:kern w:val="0"/>
                <w:szCs w:val="21"/>
              </w:rPr>
            </w:pPr>
          </w:p>
        </w:tc>
        <w:tc>
          <w:tcPr>
            <w:tcW w:w="2410" w:type="dxa"/>
            <w:noWrap/>
          </w:tcPr>
          <w:p w14:paraId="56C2E9D4">
            <w:pPr>
              <w:adjustRightInd w:val="0"/>
              <w:snapToGrid w:val="0"/>
              <w:spacing w:beforeLines="50" w:line="360" w:lineRule="auto"/>
              <w:jc w:val="center"/>
              <w:rPr>
                <w:rFonts w:ascii="宋体" w:hAnsi="宋体"/>
                <w:kern w:val="0"/>
                <w:szCs w:val="21"/>
              </w:rPr>
            </w:pPr>
          </w:p>
        </w:tc>
        <w:tc>
          <w:tcPr>
            <w:tcW w:w="1722" w:type="dxa"/>
            <w:noWrap/>
          </w:tcPr>
          <w:p w14:paraId="62BC857B">
            <w:pPr>
              <w:adjustRightInd w:val="0"/>
              <w:snapToGrid w:val="0"/>
              <w:spacing w:beforeLines="50" w:line="360" w:lineRule="auto"/>
              <w:jc w:val="center"/>
              <w:rPr>
                <w:rFonts w:ascii="宋体" w:hAnsi="宋体"/>
                <w:kern w:val="0"/>
                <w:szCs w:val="21"/>
              </w:rPr>
            </w:pPr>
          </w:p>
        </w:tc>
      </w:tr>
      <w:tr w14:paraId="21D042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noWrap/>
          </w:tcPr>
          <w:p w14:paraId="7F2B8299">
            <w:pPr>
              <w:adjustRightInd w:val="0"/>
              <w:snapToGrid w:val="0"/>
              <w:spacing w:beforeLines="50" w:line="360" w:lineRule="auto"/>
              <w:jc w:val="center"/>
              <w:rPr>
                <w:rFonts w:ascii="宋体" w:hAnsi="宋体"/>
                <w:kern w:val="0"/>
                <w:szCs w:val="21"/>
              </w:rPr>
            </w:pPr>
          </w:p>
        </w:tc>
        <w:tc>
          <w:tcPr>
            <w:tcW w:w="1701" w:type="dxa"/>
            <w:tcBorders>
              <w:right w:val="single" w:color="auto" w:sz="4" w:space="0"/>
            </w:tcBorders>
            <w:noWrap/>
          </w:tcPr>
          <w:p w14:paraId="0CD2C5DC">
            <w:pPr>
              <w:adjustRightInd w:val="0"/>
              <w:snapToGrid w:val="0"/>
              <w:spacing w:beforeLines="50" w:line="360" w:lineRule="auto"/>
              <w:jc w:val="center"/>
              <w:rPr>
                <w:rFonts w:ascii="宋体" w:hAnsi="宋体"/>
                <w:kern w:val="0"/>
                <w:szCs w:val="21"/>
              </w:rPr>
            </w:pPr>
          </w:p>
        </w:tc>
        <w:tc>
          <w:tcPr>
            <w:tcW w:w="1134" w:type="dxa"/>
            <w:tcBorders>
              <w:left w:val="single" w:color="auto" w:sz="4" w:space="0"/>
              <w:right w:val="single" w:color="auto" w:sz="4" w:space="0"/>
            </w:tcBorders>
            <w:noWrap/>
          </w:tcPr>
          <w:p w14:paraId="5226DD4D">
            <w:pPr>
              <w:adjustRightInd w:val="0"/>
              <w:snapToGrid w:val="0"/>
              <w:spacing w:beforeLines="50" w:line="360" w:lineRule="auto"/>
              <w:jc w:val="center"/>
              <w:rPr>
                <w:rFonts w:ascii="宋体" w:hAnsi="宋体"/>
                <w:kern w:val="0"/>
                <w:szCs w:val="21"/>
              </w:rPr>
            </w:pPr>
          </w:p>
        </w:tc>
        <w:tc>
          <w:tcPr>
            <w:tcW w:w="1418" w:type="dxa"/>
            <w:tcBorders>
              <w:left w:val="single" w:color="auto" w:sz="4" w:space="0"/>
            </w:tcBorders>
            <w:noWrap/>
          </w:tcPr>
          <w:p w14:paraId="25B19D7A">
            <w:pPr>
              <w:adjustRightInd w:val="0"/>
              <w:snapToGrid w:val="0"/>
              <w:spacing w:beforeLines="50" w:line="360" w:lineRule="auto"/>
              <w:jc w:val="center"/>
              <w:rPr>
                <w:rFonts w:ascii="宋体" w:hAnsi="宋体"/>
                <w:kern w:val="0"/>
                <w:szCs w:val="21"/>
              </w:rPr>
            </w:pPr>
          </w:p>
        </w:tc>
        <w:tc>
          <w:tcPr>
            <w:tcW w:w="2410" w:type="dxa"/>
            <w:noWrap/>
          </w:tcPr>
          <w:p w14:paraId="4E4ACFC6">
            <w:pPr>
              <w:adjustRightInd w:val="0"/>
              <w:snapToGrid w:val="0"/>
              <w:spacing w:beforeLines="50" w:line="360" w:lineRule="auto"/>
              <w:jc w:val="center"/>
              <w:rPr>
                <w:rFonts w:ascii="宋体" w:hAnsi="宋体"/>
                <w:kern w:val="0"/>
                <w:szCs w:val="21"/>
              </w:rPr>
            </w:pPr>
          </w:p>
        </w:tc>
        <w:tc>
          <w:tcPr>
            <w:tcW w:w="1722" w:type="dxa"/>
            <w:noWrap/>
          </w:tcPr>
          <w:p w14:paraId="7D449981">
            <w:pPr>
              <w:adjustRightInd w:val="0"/>
              <w:snapToGrid w:val="0"/>
              <w:spacing w:beforeLines="50" w:line="360" w:lineRule="auto"/>
              <w:jc w:val="center"/>
              <w:rPr>
                <w:rFonts w:ascii="宋体" w:hAnsi="宋体"/>
                <w:kern w:val="0"/>
                <w:szCs w:val="21"/>
              </w:rPr>
            </w:pPr>
          </w:p>
        </w:tc>
      </w:tr>
      <w:tr w14:paraId="02E3C8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noWrap/>
          </w:tcPr>
          <w:p w14:paraId="3826C683">
            <w:pPr>
              <w:adjustRightInd w:val="0"/>
              <w:snapToGrid w:val="0"/>
              <w:spacing w:beforeLines="50" w:line="360" w:lineRule="auto"/>
              <w:jc w:val="center"/>
              <w:rPr>
                <w:rFonts w:ascii="宋体" w:hAnsi="宋体"/>
                <w:kern w:val="0"/>
                <w:szCs w:val="21"/>
              </w:rPr>
            </w:pPr>
          </w:p>
        </w:tc>
        <w:tc>
          <w:tcPr>
            <w:tcW w:w="1701" w:type="dxa"/>
            <w:tcBorders>
              <w:right w:val="single" w:color="auto" w:sz="4" w:space="0"/>
            </w:tcBorders>
            <w:noWrap/>
          </w:tcPr>
          <w:p w14:paraId="2758EEA9">
            <w:pPr>
              <w:adjustRightInd w:val="0"/>
              <w:snapToGrid w:val="0"/>
              <w:spacing w:beforeLines="50" w:line="360" w:lineRule="auto"/>
              <w:jc w:val="center"/>
              <w:rPr>
                <w:rFonts w:ascii="宋体" w:hAnsi="宋体"/>
                <w:kern w:val="0"/>
                <w:szCs w:val="21"/>
              </w:rPr>
            </w:pPr>
          </w:p>
        </w:tc>
        <w:tc>
          <w:tcPr>
            <w:tcW w:w="1134" w:type="dxa"/>
            <w:tcBorders>
              <w:left w:val="single" w:color="auto" w:sz="4" w:space="0"/>
              <w:right w:val="single" w:color="auto" w:sz="4" w:space="0"/>
            </w:tcBorders>
            <w:noWrap/>
          </w:tcPr>
          <w:p w14:paraId="25F52F25">
            <w:pPr>
              <w:adjustRightInd w:val="0"/>
              <w:snapToGrid w:val="0"/>
              <w:spacing w:beforeLines="50" w:line="360" w:lineRule="auto"/>
              <w:jc w:val="center"/>
              <w:rPr>
                <w:rFonts w:ascii="宋体" w:hAnsi="宋体"/>
                <w:kern w:val="0"/>
                <w:szCs w:val="21"/>
              </w:rPr>
            </w:pPr>
          </w:p>
        </w:tc>
        <w:tc>
          <w:tcPr>
            <w:tcW w:w="1418" w:type="dxa"/>
            <w:tcBorders>
              <w:left w:val="single" w:color="auto" w:sz="4" w:space="0"/>
            </w:tcBorders>
            <w:noWrap/>
          </w:tcPr>
          <w:p w14:paraId="79609931">
            <w:pPr>
              <w:adjustRightInd w:val="0"/>
              <w:snapToGrid w:val="0"/>
              <w:spacing w:beforeLines="50" w:line="360" w:lineRule="auto"/>
              <w:jc w:val="center"/>
              <w:rPr>
                <w:rFonts w:ascii="宋体" w:hAnsi="宋体"/>
                <w:kern w:val="0"/>
                <w:szCs w:val="21"/>
              </w:rPr>
            </w:pPr>
          </w:p>
        </w:tc>
        <w:tc>
          <w:tcPr>
            <w:tcW w:w="2410" w:type="dxa"/>
            <w:noWrap/>
          </w:tcPr>
          <w:p w14:paraId="2F387125">
            <w:pPr>
              <w:adjustRightInd w:val="0"/>
              <w:snapToGrid w:val="0"/>
              <w:spacing w:beforeLines="50" w:line="360" w:lineRule="auto"/>
              <w:jc w:val="center"/>
              <w:rPr>
                <w:rFonts w:ascii="宋体" w:hAnsi="宋体"/>
                <w:kern w:val="0"/>
                <w:szCs w:val="21"/>
              </w:rPr>
            </w:pPr>
          </w:p>
        </w:tc>
        <w:tc>
          <w:tcPr>
            <w:tcW w:w="1722" w:type="dxa"/>
            <w:noWrap/>
          </w:tcPr>
          <w:p w14:paraId="2C48EEA9">
            <w:pPr>
              <w:adjustRightInd w:val="0"/>
              <w:snapToGrid w:val="0"/>
              <w:spacing w:beforeLines="50" w:line="360" w:lineRule="auto"/>
              <w:jc w:val="center"/>
              <w:rPr>
                <w:rFonts w:ascii="宋体" w:hAnsi="宋体"/>
                <w:kern w:val="0"/>
                <w:szCs w:val="21"/>
              </w:rPr>
            </w:pPr>
          </w:p>
        </w:tc>
      </w:tr>
      <w:tr w14:paraId="0C1645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noWrap/>
          </w:tcPr>
          <w:p w14:paraId="21C41D10">
            <w:pPr>
              <w:adjustRightInd w:val="0"/>
              <w:snapToGrid w:val="0"/>
              <w:spacing w:beforeLines="50" w:line="360" w:lineRule="auto"/>
              <w:jc w:val="center"/>
              <w:rPr>
                <w:rFonts w:ascii="宋体" w:hAnsi="宋体"/>
                <w:kern w:val="0"/>
                <w:szCs w:val="21"/>
              </w:rPr>
            </w:pPr>
          </w:p>
        </w:tc>
        <w:tc>
          <w:tcPr>
            <w:tcW w:w="1701" w:type="dxa"/>
            <w:tcBorders>
              <w:right w:val="single" w:color="auto" w:sz="4" w:space="0"/>
            </w:tcBorders>
            <w:noWrap/>
          </w:tcPr>
          <w:p w14:paraId="677D8BB1">
            <w:pPr>
              <w:adjustRightInd w:val="0"/>
              <w:snapToGrid w:val="0"/>
              <w:spacing w:beforeLines="50" w:line="360" w:lineRule="auto"/>
              <w:jc w:val="center"/>
              <w:rPr>
                <w:rFonts w:ascii="宋体" w:hAnsi="宋体"/>
                <w:kern w:val="0"/>
                <w:szCs w:val="21"/>
              </w:rPr>
            </w:pPr>
          </w:p>
        </w:tc>
        <w:tc>
          <w:tcPr>
            <w:tcW w:w="1134" w:type="dxa"/>
            <w:tcBorders>
              <w:left w:val="single" w:color="auto" w:sz="4" w:space="0"/>
              <w:right w:val="single" w:color="auto" w:sz="4" w:space="0"/>
            </w:tcBorders>
            <w:noWrap/>
          </w:tcPr>
          <w:p w14:paraId="69BAC3B4">
            <w:pPr>
              <w:adjustRightInd w:val="0"/>
              <w:snapToGrid w:val="0"/>
              <w:spacing w:beforeLines="50" w:line="360" w:lineRule="auto"/>
              <w:jc w:val="center"/>
              <w:rPr>
                <w:rFonts w:ascii="宋体" w:hAnsi="宋体"/>
                <w:kern w:val="0"/>
                <w:szCs w:val="21"/>
              </w:rPr>
            </w:pPr>
          </w:p>
        </w:tc>
        <w:tc>
          <w:tcPr>
            <w:tcW w:w="1418" w:type="dxa"/>
            <w:tcBorders>
              <w:left w:val="single" w:color="auto" w:sz="4" w:space="0"/>
            </w:tcBorders>
            <w:noWrap/>
          </w:tcPr>
          <w:p w14:paraId="124E1181">
            <w:pPr>
              <w:adjustRightInd w:val="0"/>
              <w:snapToGrid w:val="0"/>
              <w:spacing w:beforeLines="50" w:line="360" w:lineRule="auto"/>
              <w:jc w:val="center"/>
              <w:rPr>
                <w:rFonts w:ascii="宋体" w:hAnsi="宋体"/>
                <w:kern w:val="0"/>
                <w:szCs w:val="21"/>
              </w:rPr>
            </w:pPr>
          </w:p>
        </w:tc>
        <w:tc>
          <w:tcPr>
            <w:tcW w:w="2410" w:type="dxa"/>
            <w:noWrap/>
          </w:tcPr>
          <w:p w14:paraId="70CA3C4F">
            <w:pPr>
              <w:adjustRightInd w:val="0"/>
              <w:snapToGrid w:val="0"/>
              <w:spacing w:beforeLines="50" w:line="360" w:lineRule="auto"/>
              <w:jc w:val="center"/>
              <w:rPr>
                <w:rFonts w:ascii="宋体" w:hAnsi="宋体"/>
                <w:kern w:val="0"/>
                <w:szCs w:val="21"/>
              </w:rPr>
            </w:pPr>
          </w:p>
        </w:tc>
        <w:tc>
          <w:tcPr>
            <w:tcW w:w="1722" w:type="dxa"/>
            <w:noWrap/>
          </w:tcPr>
          <w:p w14:paraId="261A61F6">
            <w:pPr>
              <w:adjustRightInd w:val="0"/>
              <w:snapToGrid w:val="0"/>
              <w:spacing w:beforeLines="50" w:line="360" w:lineRule="auto"/>
              <w:jc w:val="center"/>
              <w:rPr>
                <w:rFonts w:ascii="宋体" w:hAnsi="宋体"/>
                <w:kern w:val="0"/>
                <w:szCs w:val="21"/>
              </w:rPr>
            </w:pPr>
          </w:p>
        </w:tc>
      </w:tr>
      <w:tr w14:paraId="6E1E60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noWrap/>
          </w:tcPr>
          <w:p w14:paraId="21195754">
            <w:pPr>
              <w:adjustRightInd w:val="0"/>
              <w:snapToGrid w:val="0"/>
              <w:spacing w:beforeLines="50" w:line="360" w:lineRule="auto"/>
              <w:jc w:val="center"/>
              <w:rPr>
                <w:rFonts w:ascii="宋体" w:hAnsi="宋体"/>
                <w:kern w:val="0"/>
                <w:szCs w:val="21"/>
              </w:rPr>
            </w:pPr>
          </w:p>
        </w:tc>
        <w:tc>
          <w:tcPr>
            <w:tcW w:w="1701" w:type="dxa"/>
            <w:tcBorders>
              <w:right w:val="single" w:color="auto" w:sz="4" w:space="0"/>
            </w:tcBorders>
            <w:noWrap/>
          </w:tcPr>
          <w:p w14:paraId="2798D1B8">
            <w:pPr>
              <w:adjustRightInd w:val="0"/>
              <w:snapToGrid w:val="0"/>
              <w:spacing w:beforeLines="50" w:line="360" w:lineRule="auto"/>
              <w:jc w:val="center"/>
              <w:rPr>
                <w:rFonts w:ascii="宋体" w:hAnsi="宋体"/>
                <w:kern w:val="0"/>
                <w:szCs w:val="21"/>
              </w:rPr>
            </w:pPr>
          </w:p>
        </w:tc>
        <w:tc>
          <w:tcPr>
            <w:tcW w:w="1134" w:type="dxa"/>
            <w:tcBorders>
              <w:left w:val="single" w:color="auto" w:sz="4" w:space="0"/>
              <w:right w:val="single" w:color="auto" w:sz="4" w:space="0"/>
            </w:tcBorders>
            <w:noWrap/>
          </w:tcPr>
          <w:p w14:paraId="4E4E42BA">
            <w:pPr>
              <w:adjustRightInd w:val="0"/>
              <w:snapToGrid w:val="0"/>
              <w:spacing w:beforeLines="50" w:line="360" w:lineRule="auto"/>
              <w:jc w:val="center"/>
              <w:rPr>
                <w:rFonts w:ascii="宋体" w:hAnsi="宋体"/>
                <w:kern w:val="0"/>
                <w:szCs w:val="21"/>
              </w:rPr>
            </w:pPr>
          </w:p>
        </w:tc>
        <w:tc>
          <w:tcPr>
            <w:tcW w:w="1418" w:type="dxa"/>
            <w:tcBorders>
              <w:left w:val="single" w:color="auto" w:sz="4" w:space="0"/>
            </w:tcBorders>
            <w:noWrap/>
          </w:tcPr>
          <w:p w14:paraId="14743864">
            <w:pPr>
              <w:adjustRightInd w:val="0"/>
              <w:snapToGrid w:val="0"/>
              <w:spacing w:beforeLines="50" w:line="360" w:lineRule="auto"/>
              <w:jc w:val="center"/>
              <w:rPr>
                <w:rFonts w:ascii="宋体" w:hAnsi="宋体"/>
                <w:kern w:val="0"/>
                <w:szCs w:val="21"/>
              </w:rPr>
            </w:pPr>
          </w:p>
        </w:tc>
        <w:tc>
          <w:tcPr>
            <w:tcW w:w="2410" w:type="dxa"/>
            <w:noWrap/>
          </w:tcPr>
          <w:p w14:paraId="4AC05297">
            <w:pPr>
              <w:adjustRightInd w:val="0"/>
              <w:snapToGrid w:val="0"/>
              <w:spacing w:beforeLines="50" w:line="360" w:lineRule="auto"/>
              <w:jc w:val="center"/>
              <w:rPr>
                <w:rFonts w:ascii="宋体" w:hAnsi="宋体"/>
                <w:kern w:val="0"/>
                <w:szCs w:val="21"/>
              </w:rPr>
            </w:pPr>
          </w:p>
        </w:tc>
        <w:tc>
          <w:tcPr>
            <w:tcW w:w="1722" w:type="dxa"/>
            <w:noWrap/>
          </w:tcPr>
          <w:p w14:paraId="7B807EA3">
            <w:pPr>
              <w:adjustRightInd w:val="0"/>
              <w:snapToGrid w:val="0"/>
              <w:spacing w:beforeLines="50" w:line="360" w:lineRule="auto"/>
              <w:jc w:val="center"/>
              <w:rPr>
                <w:rFonts w:ascii="宋体" w:hAnsi="宋体"/>
                <w:kern w:val="0"/>
                <w:szCs w:val="21"/>
              </w:rPr>
            </w:pPr>
          </w:p>
        </w:tc>
      </w:tr>
      <w:tr w14:paraId="26EAFD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noWrap/>
          </w:tcPr>
          <w:p w14:paraId="07C07858">
            <w:pPr>
              <w:adjustRightInd w:val="0"/>
              <w:snapToGrid w:val="0"/>
              <w:spacing w:beforeLines="50" w:line="360" w:lineRule="auto"/>
              <w:jc w:val="center"/>
              <w:rPr>
                <w:rFonts w:ascii="宋体" w:hAnsi="宋体"/>
                <w:kern w:val="0"/>
                <w:szCs w:val="21"/>
              </w:rPr>
            </w:pPr>
          </w:p>
        </w:tc>
        <w:tc>
          <w:tcPr>
            <w:tcW w:w="1701" w:type="dxa"/>
            <w:tcBorders>
              <w:right w:val="single" w:color="auto" w:sz="4" w:space="0"/>
            </w:tcBorders>
            <w:noWrap/>
          </w:tcPr>
          <w:p w14:paraId="27C3F81A">
            <w:pPr>
              <w:adjustRightInd w:val="0"/>
              <w:snapToGrid w:val="0"/>
              <w:spacing w:beforeLines="50" w:line="360" w:lineRule="auto"/>
              <w:jc w:val="center"/>
              <w:rPr>
                <w:rFonts w:ascii="宋体" w:hAnsi="宋体"/>
                <w:kern w:val="0"/>
                <w:szCs w:val="21"/>
              </w:rPr>
            </w:pPr>
          </w:p>
        </w:tc>
        <w:tc>
          <w:tcPr>
            <w:tcW w:w="1134" w:type="dxa"/>
            <w:tcBorders>
              <w:left w:val="single" w:color="auto" w:sz="4" w:space="0"/>
              <w:right w:val="single" w:color="auto" w:sz="4" w:space="0"/>
            </w:tcBorders>
            <w:noWrap/>
          </w:tcPr>
          <w:p w14:paraId="6B981A09">
            <w:pPr>
              <w:adjustRightInd w:val="0"/>
              <w:snapToGrid w:val="0"/>
              <w:spacing w:beforeLines="50" w:line="360" w:lineRule="auto"/>
              <w:jc w:val="center"/>
              <w:rPr>
                <w:rFonts w:ascii="宋体" w:hAnsi="宋体"/>
                <w:kern w:val="0"/>
                <w:szCs w:val="21"/>
              </w:rPr>
            </w:pPr>
          </w:p>
        </w:tc>
        <w:tc>
          <w:tcPr>
            <w:tcW w:w="1418" w:type="dxa"/>
            <w:tcBorders>
              <w:left w:val="single" w:color="auto" w:sz="4" w:space="0"/>
            </w:tcBorders>
            <w:noWrap/>
          </w:tcPr>
          <w:p w14:paraId="3A304D42">
            <w:pPr>
              <w:adjustRightInd w:val="0"/>
              <w:snapToGrid w:val="0"/>
              <w:spacing w:beforeLines="50" w:line="360" w:lineRule="auto"/>
              <w:jc w:val="center"/>
              <w:rPr>
                <w:rFonts w:ascii="宋体" w:hAnsi="宋体"/>
                <w:kern w:val="0"/>
                <w:szCs w:val="21"/>
              </w:rPr>
            </w:pPr>
          </w:p>
        </w:tc>
        <w:tc>
          <w:tcPr>
            <w:tcW w:w="2410" w:type="dxa"/>
            <w:noWrap/>
          </w:tcPr>
          <w:p w14:paraId="0730FF1A">
            <w:pPr>
              <w:adjustRightInd w:val="0"/>
              <w:snapToGrid w:val="0"/>
              <w:spacing w:beforeLines="50" w:line="360" w:lineRule="auto"/>
              <w:jc w:val="center"/>
              <w:rPr>
                <w:rFonts w:ascii="宋体" w:hAnsi="宋体"/>
                <w:kern w:val="0"/>
                <w:szCs w:val="21"/>
              </w:rPr>
            </w:pPr>
          </w:p>
        </w:tc>
        <w:tc>
          <w:tcPr>
            <w:tcW w:w="1722" w:type="dxa"/>
            <w:noWrap/>
          </w:tcPr>
          <w:p w14:paraId="6B51ACCF">
            <w:pPr>
              <w:adjustRightInd w:val="0"/>
              <w:snapToGrid w:val="0"/>
              <w:spacing w:beforeLines="50" w:line="360" w:lineRule="auto"/>
              <w:jc w:val="center"/>
              <w:rPr>
                <w:rFonts w:ascii="宋体" w:hAnsi="宋体"/>
                <w:kern w:val="0"/>
                <w:szCs w:val="21"/>
              </w:rPr>
            </w:pPr>
          </w:p>
        </w:tc>
      </w:tr>
      <w:tr w14:paraId="2DF105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675" w:type="dxa"/>
            <w:noWrap/>
          </w:tcPr>
          <w:p w14:paraId="1115BE06">
            <w:pPr>
              <w:adjustRightInd w:val="0"/>
              <w:snapToGrid w:val="0"/>
              <w:spacing w:beforeLines="50" w:line="360" w:lineRule="auto"/>
              <w:jc w:val="center"/>
              <w:rPr>
                <w:rFonts w:ascii="宋体" w:hAnsi="宋体"/>
                <w:kern w:val="0"/>
                <w:szCs w:val="21"/>
              </w:rPr>
            </w:pPr>
          </w:p>
        </w:tc>
        <w:tc>
          <w:tcPr>
            <w:tcW w:w="1701" w:type="dxa"/>
            <w:tcBorders>
              <w:right w:val="single" w:color="auto" w:sz="4" w:space="0"/>
            </w:tcBorders>
            <w:noWrap/>
          </w:tcPr>
          <w:p w14:paraId="4123284B">
            <w:pPr>
              <w:adjustRightInd w:val="0"/>
              <w:snapToGrid w:val="0"/>
              <w:spacing w:beforeLines="50" w:line="360" w:lineRule="auto"/>
              <w:jc w:val="center"/>
              <w:rPr>
                <w:rFonts w:ascii="宋体" w:hAnsi="宋体"/>
                <w:kern w:val="0"/>
                <w:szCs w:val="21"/>
              </w:rPr>
            </w:pPr>
          </w:p>
        </w:tc>
        <w:tc>
          <w:tcPr>
            <w:tcW w:w="1134" w:type="dxa"/>
            <w:tcBorders>
              <w:left w:val="single" w:color="auto" w:sz="4" w:space="0"/>
              <w:right w:val="single" w:color="auto" w:sz="4" w:space="0"/>
            </w:tcBorders>
            <w:noWrap/>
          </w:tcPr>
          <w:p w14:paraId="059F73CD">
            <w:pPr>
              <w:adjustRightInd w:val="0"/>
              <w:snapToGrid w:val="0"/>
              <w:spacing w:beforeLines="50" w:line="360" w:lineRule="auto"/>
              <w:jc w:val="center"/>
              <w:rPr>
                <w:rFonts w:ascii="宋体" w:hAnsi="宋体"/>
                <w:kern w:val="0"/>
                <w:szCs w:val="21"/>
              </w:rPr>
            </w:pPr>
          </w:p>
        </w:tc>
        <w:tc>
          <w:tcPr>
            <w:tcW w:w="1418" w:type="dxa"/>
            <w:tcBorders>
              <w:left w:val="single" w:color="auto" w:sz="4" w:space="0"/>
            </w:tcBorders>
            <w:noWrap/>
          </w:tcPr>
          <w:p w14:paraId="72A3E24A">
            <w:pPr>
              <w:adjustRightInd w:val="0"/>
              <w:snapToGrid w:val="0"/>
              <w:spacing w:beforeLines="50" w:line="360" w:lineRule="auto"/>
              <w:jc w:val="center"/>
              <w:rPr>
                <w:rFonts w:ascii="宋体" w:hAnsi="宋体"/>
                <w:kern w:val="0"/>
                <w:szCs w:val="21"/>
              </w:rPr>
            </w:pPr>
          </w:p>
        </w:tc>
        <w:tc>
          <w:tcPr>
            <w:tcW w:w="2410" w:type="dxa"/>
            <w:noWrap/>
          </w:tcPr>
          <w:p w14:paraId="0CE55565">
            <w:pPr>
              <w:adjustRightInd w:val="0"/>
              <w:snapToGrid w:val="0"/>
              <w:spacing w:beforeLines="50" w:line="360" w:lineRule="auto"/>
              <w:jc w:val="center"/>
              <w:rPr>
                <w:rFonts w:ascii="宋体" w:hAnsi="宋体"/>
                <w:kern w:val="0"/>
                <w:szCs w:val="21"/>
              </w:rPr>
            </w:pPr>
          </w:p>
        </w:tc>
        <w:tc>
          <w:tcPr>
            <w:tcW w:w="1722" w:type="dxa"/>
            <w:noWrap/>
          </w:tcPr>
          <w:p w14:paraId="5BFED76C">
            <w:pPr>
              <w:adjustRightInd w:val="0"/>
              <w:snapToGrid w:val="0"/>
              <w:spacing w:beforeLines="50" w:line="360" w:lineRule="auto"/>
              <w:jc w:val="center"/>
              <w:rPr>
                <w:rFonts w:ascii="宋体" w:hAnsi="宋体"/>
                <w:kern w:val="0"/>
                <w:szCs w:val="21"/>
              </w:rPr>
            </w:pPr>
          </w:p>
        </w:tc>
      </w:tr>
    </w:tbl>
    <w:p w14:paraId="6D901815"/>
    <w:p w14:paraId="0B3DCD1A">
      <w:pPr>
        <w:pStyle w:val="4"/>
        <w:spacing w:before="0" w:after="0"/>
        <w:jc w:val="center"/>
        <w:rPr>
          <w:rFonts w:ascii="黑体" w:hAnsi="宋体" w:eastAsia="黑体"/>
          <w:sz w:val="28"/>
          <w:szCs w:val="28"/>
        </w:rPr>
      </w:pPr>
      <w:r>
        <w:rPr>
          <w:rFonts w:hint="eastAsia" w:ascii="黑体" w:hAnsi="宋体" w:eastAsia="黑体"/>
        </w:rPr>
        <w:br w:type="page"/>
      </w:r>
      <w:r>
        <w:rPr>
          <w:rFonts w:hint="eastAsia" w:ascii="黑体" w:hAnsi="宋体" w:eastAsia="黑体"/>
          <w:sz w:val="28"/>
          <w:szCs w:val="28"/>
        </w:rPr>
        <w:t>五、投标函</w:t>
      </w:r>
    </w:p>
    <w:p w14:paraId="44760A45">
      <w:pPr>
        <w:adjustRightInd w:val="0"/>
        <w:snapToGrid w:val="0"/>
        <w:spacing w:beforeLines="50" w:line="360" w:lineRule="auto"/>
        <w:rPr>
          <w:rFonts w:ascii="宋体" w:hAnsi="宋体"/>
          <w:szCs w:val="21"/>
        </w:rPr>
      </w:pPr>
      <w:r>
        <w:rPr>
          <w:rFonts w:hint="eastAsia" w:ascii="宋体" w:hAnsi="宋体"/>
          <w:szCs w:val="21"/>
        </w:rPr>
        <w:t>致：</w:t>
      </w:r>
      <w:r>
        <w:rPr>
          <w:rFonts w:hint="eastAsia" w:ascii="宋体" w:hAnsi="宋体"/>
          <w:szCs w:val="21"/>
          <w:u w:val="single"/>
        </w:rPr>
        <w:t xml:space="preserve">           </w:t>
      </w:r>
      <w:r>
        <w:rPr>
          <w:rFonts w:hint="eastAsia" w:ascii="宋体" w:hAnsi="宋体"/>
          <w:szCs w:val="21"/>
        </w:rPr>
        <w:t>（采购人、采购代理机构）：</w:t>
      </w:r>
    </w:p>
    <w:p w14:paraId="059977CA">
      <w:pPr>
        <w:adjustRightInd w:val="0"/>
        <w:snapToGrid w:val="0"/>
        <w:spacing w:beforeLines="50" w:line="360" w:lineRule="auto"/>
        <w:ind w:firstLine="420" w:firstLineChars="200"/>
        <w:rPr>
          <w:rFonts w:ascii="宋体" w:hAnsi="宋体"/>
          <w:szCs w:val="21"/>
        </w:rPr>
      </w:pPr>
      <w:r>
        <w:rPr>
          <w:rFonts w:hint="eastAsia" w:ascii="宋体" w:hAnsi="宋体"/>
          <w:szCs w:val="21"/>
        </w:rPr>
        <w:t>根据贵方为</w:t>
      </w:r>
      <w:r>
        <w:rPr>
          <w:rFonts w:hint="eastAsia" w:ascii="宋体" w:hAnsi="宋体"/>
          <w:szCs w:val="21"/>
          <w:u w:val="single"/>
        </w:rPr>
        <w:t xml:space="preserve">           </w:t>
      </w:r>
      <w:r>
        <w:rPr>
          <w:rFonts w:hint="eastAsia" w:ascii="宋体" w:hAnsi="宋体"/>
          <w:szCs w:val="21"/>
        </w:rPr>
        <w:t>（项目名称）的投标邀请（</w:t>
      </w:r>
      <w:r>
        <w:rPr>
          <w:rFonts w:hint="eastAsia" w:ascii="宋体" w:hAnsi="宋体"/>
        </w:rPr>
        <w:t>政府</w:t>
      </w:r>
      <w:r>
        <w:rPr>
          <w:rFonts w:hint="eastAsia" w:ascii="宋体" w:hAnsi="宋体"/>
          <w:iCs/>
        </w:rPr>
        <w:t>采购编号：</w:t>
      </w:r>
      <w:r>
        <w:rPr>
          <w:rFonts w:hint="eastAsia" w:ascii="宋体" w:hAnsi="宋体"/>
          <w:iCs/>
          <w:u w:val="single"/>
        </w:rPr>
        <w:t xml:space="preserve">      </w:t>
      </w:r>
      <w:r>
        <w:rPr>
          <w:rFonts w:hint="eastAsia" w:ascii="宋体" w:hAnsi="宋体"/>
          <w:iCs/>
        </w:rPr>
        <w:t xml:space="preserve"> ，</w:t>
      </w:r>
      <w:r>
        <w:rPr>
          <w:rFonts w:hint="eastAsia" w:ascii="宋体" w:hAnsi="宋体"/>
          <w:szCs w:val="21"/>
        </w:rPr>
        <w:t>采购代理编号：</w:t>
      </w:r>
      <w:r>
        <w:rPr>
          <w:rFonts w:hint="eastAsia" w:ascii="宋体" w:hAnsi="宋体"/>
          <w:szCs w:val="21"/>
          <w:u w:val="single"/>
        </w:rPr>
        <w:t xml:space="preserve">         </w:t>
      </w:r>
      <w:r>
        <w:rPr>
          <w:rFonts w:hint="eastAsia" w:ascii="宋体" w:hAnsi="宋体"/>
          <w:szCs w:val="21"/>
        </w:rPr>
        <w:t xml:space="preserve">），签字代表 </w:t>
      </w:r>
      <w:r>
        <w:rPr>
          <w:rFonts w:hint="eastAsia" w:ascii="宋体" w:hAnsi="宋体"/>
          <w:szCs w:val="21"/>
          <w:u w:val="single"/>
        </w:rPr>
        <w:t xml:space="preserve">      </w:t>
      </w:r>
      <w:r>
        <w:rPr>
          <w:rFonts w:hint="eastAsia" w:ascii="宋体" w:hAnsi="宋体"/>
          <w:szCs w:val="21"/>
        </w:rPr>
        <w:t>（姓名、职务）经正式授权并代表投标人</w:t>
      </w:r>
      <w:r>
        <w:rPr>
          <w:rFonts w:hint="eastAsia" w:ascii="宋体" w:hAnsi="宋体"/>
          <w:szCs w:val="21"/>
          <w:u w:val="single"/>
        </w:rPr>
        <w:t xml:space="preserve">       </w:t>
      </w:r>
      <w:r>
        <w:rPr>
          <w:rFonts w:hint="eastAsia" w:ascii="宋体" w:hAnsi="宋体"/>
          <w:szCs w:val="21"/>
        </w:rPr>
        <w:t xml:space="preserve"> （投标人名称）提交包含下述内容的电子投标文件一份至交易平台，参加采购项目投标，并在此声明，所递交的投标文件内容完整、真实。</w:t>
      </w:r>
    </w:p>
    <w:p w14:paraId="6CA2FDBB">
      <w:pPr>
        <w:adjustRightInd w:val="0"/>
        <w:snapToGrid w:val="0"/>
        <w:spacing w:beforeLines="50" w:line="360" w:lineRule="auto"/>
        <w:ind w:firstLine="422" w:firstLineChars="200"/>
        <w:rPr>
          <w:rFonts w:ascii="宋体" w:hAnsi="宋体"/>
          <w:b/>
          <w:szCs w:val="21"/>
        </w:rPr>
      </w:pPr>
      <w:r>
        <w:rPr>
          <w:rFonts w:hint="eastAsia" w:ascii="宋体" w:hAnsi="宋体"/>
          <w:b/>
          <w:szCs w:val="21"/>
        </w:rPr>
        <w:t>第一部分 资格证明文件</w:t>
      </w:r>
    </w:p>
    <w:p w14:paraId="50EA2CF7">
      <w:pPr>
        <w:adjustRightInd w:val="0"/>
        <w:snapToGrid w:val="0"/>
        <w:spacing w:beforeLines="50" w:line="360" w:lineRule="auto"/>
        <w:ind w:firstLine="630" w:firstLineChars="300"/>
        <w:rPr>
          <w:rFonts w:ascii="宋体" w:hAnsi="宋体"/>
          <w:szCs w:val="21"/>
        </w:rPr>
      </w:pPr>
      <w:r>
        <w:rPr>
          <w:rFonts w:hint="eastAsia" w:ascii="宋体" w:hAnsi="宋体"/>
          <w:szCs w:val="21"/>
        </w:rPr>
        <w:t>一、开标一览表</w:t>
      </w:r>
    </w:p>
    <w:p w14:paraId="4C71E592">
      <w:pPr>
        <w:adjustRightInd w:val="0"/>
        <w:snapToGrid w:val="0"/>
        <w:spacing w:beforeLines="50" w:line="360" w:lineRule="auto"/>
        <w:ind w:firstLine="630" w:firstLineChars="300"/>
        <w:rPr>
          <w:rFonts w:ascii="宋体" w:hAnsi="宋体"/>
          <w:szCs w:val="21"/>
        </w:rPr>
      </w:pPr>
      <w:r>
        <w:rPr>
          <w:rFonts w:hint="eastAsia" w:ascii="宋体" w:hAnsi="宋体"/>
          <w:szCs w:val="21"/>
        </w:rPr>
        <w:t>二、法定代表人（单位负责人）身份证明</w:t>
      </w:r>
    </w:p>
    <w:p w14:paraId="20B2601B">
      <w:pPr>
        <w:adjustRightInd w:val="0"/>
        <w:snapToGrid w:val="0"/>
        <w:spacing w:beforeLines="50" w:line="360" w:lineRule="auto"/>
        <w:ind w:firstLine="630" w:firstLineChars="300"/>
        <w:rPr>
          <w:rFonts w:ascii="宋体" w:hAnsi="宋体"/>
          <w:szCs w:val="21"/>
        </w:rPr>
      </w:pPr>
      <w:r>
        <w:rPr>
          <w:rFonts w:hint="eastAsia" w:ascii="宋体" w:hAnsi="宋体"/>
          <w:szCs w:val="21"/>
        </w:rPr>
        <w:t>三、授权委托书</w:t>
      </w:r>
    </w:p>
    <w:p w14:paraId="688844FE">
      <w:pPr>
        <w:adjustRightInd w:val="0"/>
        <w:snapToGrid w:val="0"/>
        <w:spacing w:beforeLines="50" w:line="360" w:lineRule="auto"/>
        <w:ind w:firstLine="630" w:firstLineChars="300"/>
        <w:rPr>
          <w:rFonts w:ascii="宋体" w:hAnsi="宋体"/>
          <w:szCs w:val="21"/>
        </w:rPr>
      </w:pPr>
      <w:r>
        <w:rPr>
          <w:rFonts w:hint="eastAsia" w:ascii="宋体" w:hAnsi="宋体"/>
          <w:szCs w:val="21"/>
        </w:rPr>
        <w:t>四、投标人提供的资格证明文件</w:t>
      </w:r>
    </w:p>
    <w:p w14:paraId="365F2D33">
      <w:pPr>
        <w:adjustRightInd w:val="0"/>
        <w:snapToGrid w:val="0"/>
        <w:spacing w:beforeLines="50" w:line="360" w:lineRule="auto"/>
        <w:ind w:firstLine="422" w:firstLineChars="200"/>
        <w:rPr>
          <w:rFonts w:ascii="宋体" w:hAnsi="宋体"/>
          <w:b/>
          <w:szCs w:val="21"/>
        </w:rPr>
      </w:pPr>
      <w:r>
        <w:rPr>
          <w:rFonts w:hint="eastAsia" w:ascii="宋体" w:hAnsi="宋体"/>
          <w:b/>
          <w:szCs w:val="21"/>
        </w:rPr>
        <w:t>第二部分 商务技术文件</w:t>
      </w:r>
    </w:p>
    <w:p w14:paraId="4B8BF449">
      <w:pPr>
        <w:adjustRightInd w:val="0"/>
        <w:snapToGrid w:val="0"/>
        <w:spacing w:beforeLines="50" w:line="360" w:lineRule="auto"/>
        <w:ind w:firstLine="630" w:firstLineChars="300"/>
        <w:rPr>
          <w:rFonts w:ascii="宋体" w:hAnsi="宋体"/>
          <w:szCs w:val="21"/>
        </w:rPr>
      </w:pPr>
      <w:r>
        <w:rPr>
          <w:rFonts w:hint="eastAsia" w:ascii="宋体" w:hAnsi="宋体"/>
          <w:szCs w:val="21"/>
        </w:rPr>
        <w:t>五、投标函</w:t>
      </w:r>
    </w:p>
    <w:p w14:paraId="4EEC9F0F">
      <w:pPr>
        <w:adjustRightInd w:val="0"/>
        <w:snapToGrid w:val="0"/>
        <w:spacing w:beforeLines="50" w:line="360" w:lineRule="auto"/>
        <w:ind w:firstLine="630" w:firstLineChars="300"/>
        <w:rPr>
          <w:rFonts w:ascii="宋体" w:hAnsi="宋体"/>
          <w:szCs w:val="21"/>
        </w:rPr>
      </w:pPr>
      <w:r>
        <w:rPr>
          <w:rFonts w:hint="eastAsia" w:ascii="宋体" w:hAnsi="宋体"/>
          <w:szCs w:val="21"/>
        </w:rPr>
        <w:t>六、分项报价</w:t>
      </w:r>
    </w:p>
    <w:p w14:paraId="74DCCC66">
      <w:pPr>
        <w:adjustRightInd w:val="0"/>
        <w:snapToGrid w:val="0"/>
        <w:spacing w:beforeLines="50" w:line="360" w:lineRule="auto"/>
        <w:ind w:firstLine="630" w:firstLineChars="300"/>
        <w:rPr>
          <w:rFonts w:ascii="宋体" w:hAnsi="宋体"/>
          <w:szCs w:val="21"/>
        </w:rPr>
      </w:pPr>
      <w:r>
        <w:rPr>
          <w:rFonts w:hint="eastAsia" w:ascii="宋体" w:hAnsi="宋体"/>
          <w:szCs w:val="21"/>
        </w:rPr>
        <w:t>七、采购需求响应</w:t>
      </w:r>
    </w:p>
    <w:p w14:paraId="1B75FCDE">
      <w:pPr>
        <w:adjustRightInd w:val="0"/>
        <w:snapToGrid w:val="0"/>
        <w:spacing w:beforeLines="50" w:line="360" w:lineRule="auto"/>
        <w:ind w:firstLine="630" w:firstLineChars="300"/>
        <w:rPr>
          <w:rFonts w:ascii="宋体" w:hAnsi="宋体"/>
          <w:szCs w:val="21"/>
        </w:rPr>
      </w:pPr>
      <w:r>
        <w:rPr>
          <w:rFonts w:hint="eastAsia" w:ascii="宋体" w:hAnsi="宋体"/>
          <w:szCs w:val="21"/>
        </w:rPr>
        <w:t>八、合同条款偏离表</w:t>
      </w:r>
    </w:p>
    <w:p w14:paraId="1D0107AB">
      <w:pPr>
        <w:adjustRightInd w:val="0"/>
        <w:snapToGrid w:val="0"/>
        <w:spacing w:beforeLines="50" w:line="360" w:lineRule="auto"/>
        <w:ind w:firstLine="630" w:firstLineChars="300"/>
        <w:rPr>
          <w:rFonts w:ascii="宋体" w:hAnsi="宋体"/>
          <w:szCs w:val="21"/>
        </w:rPr>
      </w:pPr>
      <w:r>
        <w:rPr>
          <w:rFonts w:hint="eastAsia" w:ascii="宋体" w:hAnsi="宋体"/>
          <w:szCs w:val="21"/>
        </w:rPr>
        <w:t>九、采购需求偏离表</w:t>
      </w:r>
    </w:p>
    <w:p w14:paraId="24F93601">
      <w:pPr>
        <w:adjustRightInd w:val="0"/>
        <w:snapToGrid w:val="0"/>
        <w:spacing w:beforeLines="50" w:line="360" w:lineRule="auto"/>
        <w:ind w:firstLine="630" w:firstLineChars="300"/>
        <w:rPr>
          <w:rFonts w:ascii="宋体" w:hAnsi="宋体"/>
          <w:szCs w:val="21"/>
        </w:rPr>
      </w:pPr>
      <w:r>
        <w:rPr>
          <w:rFonts w:hint="eastAsia" w:ascii="宋体" w:hAnsi="宋体"/>
          <w:szCs w:val="21"/>
        </w:rPr>
        <w:t>十、享受政府采购政策优惠的证明资料</w:t>
      </w:r>
    </w:p>
    <w:p w14:paraId="332070D5">
      <w:pPr>
        <w:adjustRightInd w:val="0"/>
        <w:snapToGrid w:val="0"/>
        <w:spacing w:beforeLines="50" w:line="360" w:lineRule="auto"/>
        <w:ind w:firstLine="630" w:firstLineChars="300"/>
        <w:rPr>
          <w:rFonts w:ascii="宋体" w:hAnsi="宋体"/>
          <w:szCs w:val="21"/>
        </w:rPr>
      </w:pPr>
      <w:r>
        <w:rPr>
          <w:rFonts w:hint="eastAsia" w:ascii="宋体" w:hAnsi="宋体"/>
          <w:szCs w:val="21"/>
        </w:rPr>
        <w:t>十一、投标人认为需提供的其他资料</w:t>
      </w:r>
    </w:p>
    <w:p w14:paraId="26FDFF47">
      <w:pPr>
        <w:adjustRightInd w:val="0"/>
        <w:snapToGrid w:val="0"/>
        <w:spacing w:beforeLines="50" w:line="360" w:lineRule="auto"/>
        <w:ind w:firstLine="420" w:firstLineChars="200"/>
        <w:rPr>
          <w:rFonts w:ascii="宋体" w:hAnsi="宋体"/>
          <w:szCs w:val="21"/>
        </w:rPr>
      </w:pPr>
      <w:r>
        <w:rPr>
          <w:rFonts w:hint="eastAsia" w:ascii="宋体" w:hAnsi="宋体"/>
          <w:szCs w:val="21"/>
        </w:rPr>
        <w:t>在此，签字代表宣布同意如下：</w:t>
      </w:r>
    </w:p>
    <w:p w14:paraId="181F7FFA">
      <w:pPr>
        <w:adjustRightInd w:val="0"/>
        <w:snapToGrid w:val="0"/>
        <w:spacing w:beforeLines="50" w:line="360" w:lineRule="auto"/>
        <w:ind w:firstLine="420" w:firstLineChars="200"/>
        <w:rPr>
          <w:rFonts w:ascii="宋体" w:hAnsi="宋体"/>
          <w:szCs w:val="21"/>
        </w:rPr>
      </w:pPr>
      <w:r>
        <w:rPr>
          <w:rFonts w:hint="eastAsia" w:ascii="宋体" w:hAnsi="宋体"/>
          <w:szCs w:val="21"/>
        </w:rPr>
        <w:t>1、投标人严格按照招标文件的规定报价，见《开标一览表》。</w:t>
      </w:r>
    </w:p>
    <w:p w14:paraId="4FEFD429">
      <w:pPr>
        <w:adjustRightInd w:val="0"/>
        <w:snapToGrid w:val="0"/>
        <w:spacing w:beforeLines="50" w:line="360" w:lineRule="auto"/>
        <w:ind w:firstLine="420" w:firstLineChars="200"/>
        <w:rPr>
          <w:rFonts w:ascii="宋体" w:hAnsi="宋体"/>
          <w:szCs w:val="21"/>
        </w:rPr>
      </w:pPr>
      <w:r>
        <w:rPr>
          <w:rFonts w:hint="eastAsia" w:ascii="宋体" w:hAnsi="宋体"/>
          <w:szCs w:val="21"/>
        </w:rPr>
        <w:t>2、投标人将按招标文件的规定履行合同责任和义务。</w:t>
      </w:r>
    </w:p>
    <w:p w14:paraId="6438009C">
      <w:pPr>
        <w:adjustRightInd w:val="0"/>
        <w:snapToGrid w:val="0"/>
        <w:spacing w:beforeLines="50" w:line="360" w:lineRule="auto"/>
        <w:ind w:firstLine="420" w:firstLineChars="200"/>
        <w:rPr>
          <w:rFonts w:ascii="宋体" w:hAnsi="宋体"/>
          <w:szCs w:val="21"/>
        </w:rPr>
      </w:pPr>
      <w:r>
        <w:rPr>
          <w:rFonts w:hint="eastAsia" w:ascii="宋体" w:hAnsi="宋体"/>
          <w:szCs w:val="21"/>
        </w:rPr>
        <w:t>3、投标人已详细审查招标文件。我们完全理解并同意放弃对这方面有不明及误解的权力。</w:t>
      </w:r>
    </w:p>
    <w:p w14:paraId="617DAA73">
      <w:pPr>
        <w:adjustRightInd w:val="0"/>
        <w:snapToGrid w:val="0"/>
        <w:spacing w:beforeLines="50" w:line="360" w:lineRule="auto"/>
        <w:ind w:firstLine="420" w:firstLineChars="200"/>
        <w:rPr>
          <w:rFonts w:ascii="宋体" w:hAnsi="宋体"/>
        </w:rPr>
      </w:pPr>
      <w:r>
        <w:rPr>
          <w:rFonts w:hint="eastAsia" w:ascii="宋体" w:hAnsi="宋体"/>
          <w:szCs w:val="21"/>
        </w:rPr>
        <w:t>4、本投标有效期为自招标文件规定的提交投标文件截止之日起</w:t>
      </w:r>
      <w:r>
        <w:rPr>
          <w:rFonts w:hint="eastAsia" w:ascii="宋体" w:hAnsi="宋体"/>
          <w:szCs w:val="21"/>
          <w:u w:val="single"/>
        </w:rPr>
        <w:t xml:space="preserve">  </w:t>
      </w:r>
      <w:r>
        <w:rPr>
          <w:rFonts w:hint="eastAsia" w:ascii="宋体" w:hAnsi="宋体"/>
          <w:szCs w:val="21"/>
        </w:rPr>
        <w:t>个日历日。在投标有效期内，</w:t>
      </w:r>
      <w:r>
        <w:rPr>
          <w:rFonts w:hint="eastAsia" w:ascii="宋体" w:hAnsi="宋体"/>
        </w:rPr>
        <w:t>投标人同意遵守本</w:t>
      </w:r>
      <w:r>
        <w:rPr>
          <w:rFonts w:hint="eastAsia" w:ascii="宋体" w:hAnsi="宋体"/>
          <w:szCs w:val="21"/>
        </w:rPr>
        <w:t>投标</w:t>
      </w:r>
      <w:r>
        <w:rPr>
          <w:rFonts w:hint="eastAsia" w:ascii="宋体" w:hAnsi="宋体"/>
        </w:rPr>
        <w:t>文件中的承诺且在此期限期满之前</w:t>
      </w:r>
      <w:r>
        <w:rPr>
          <w:rFonts w:hint="eastAsia" w:ascii="宋体" w:hAnsi="宋体"/>
          <w:szCs w:val="21"/>
        </w:rPr>
        <w:t>投标</w:t>
      </w:r>
      <w:r>
        <w:rPr>
          <w:rFonts w:hint="eastAsia" w:ascii="宋体" w:hAnsi="宋体"/>
        </w:rPr>
        <w:t>文件</w:t>
      </w:r>
      <w:r>
        <w:rPr>
          <w:rFonts w:hint="eastAsia" w:ascii="宋体" w:hAnsi="宋体"/>
          <w:szCs w:val="21"/>
        </w:rPr>
        <w:t>对我方具有法律约束力</w:t>
      </w:r>
      <w:r>
        <w:rPr>
          <w:rFonts w:hint="eastAsia" w:ascii="宋体" w:hAnsi="宋体"/>
        </w:rPr>
        <w:t>。</w:t>
      </w:r>
    </w:p>
    <w:p w14:paraId="3DDC3295">
      <w:pPr>
        <w:adjustRightInd w:val="0"/>
        <w:snapToGrid w:val="0"/>
        <w:spacing w:beforeLines="50" w:line="360" w:lineRule="auto"/>
        <w:ind w:firstLine="420" w:firstLineChars="200"/>
        <w:rPr>
          <w:rFonts w:ascii="宋体" w:hAnsi="宋体"/>
        </w:rPr>
      </w:pPr>
      <w:r>
        <w:rPr>
          <w:rFonts w:hint="eastAsia" w:ascii="宋体" w:hAnsi="宋体"/>
        </w:rPr>
        <w:t>5、</w:t>
      </w:r>
      <w:r>
        <w:rPr>
          <w:rFonts w:hint="eastAsia" w:ascii="宋体" w:hAnsi="宋体"/>
          <w:szCs w:val="21"/>
        </w:rPr>
        <w:t>同意提供贵方可能要求的与其投标有关的一切数据或资料。</w:t>
      </w:r>
    </w:p>
    <w:p w14:paraId="1FF0FC40">
      <w:pPr>
        <w:adjustRightInd w:val="0"/>
        <w:snapToGrid w:val="0"/>
        <w:spacing w:beforeLines="50" w:line="360" w:lineRule="auto"/>
        <w:ind w:firstLine="420" w:firstLineChars="200"/>
        <w:rPr>
          <w:rFonts w:ascii="宋体" w:hAnsi="宋体"/>
          <w:szCs w:val="21"/>
        </w:rPr>
      </w:pPr>
      <w:r>
        <w:rPr>
          <w:rFonts w:hint="eastAsia" w:ascii="宋体" w:hAnsi="宋体"/>
          <w:szCs w:val="21"/>
        </w:rPr>
        <w:t>6、与本投标有关的一切正式往来信函请寄：</w:t>
      </w:r>
    </w:p>
    <w:p w14:paraId="4C3A347F">
      <w:pPr>
        <w:adjustRightInd w:val="0"/>
        <w:snapToGrid w:val="0"/>
        <w:spacing w:beforeLines="50" w:line="360" w:lineRule="auto"/>
        <w:ind w:firstLine="420" w:firstLineChars="200"/>
        <w:rPr>
          <w:rFonts w:ascii="宋体" w:hAnsi="宋体"/>
          <w:szCs w:val="21"/>
        </w:rPr>
      </w:pPr>
      <w:r>
        <w:rPr>
          <w:rFonts w:hint="eastAsia" w:ascii="宋体" w:hAnsi="宋体"/>
          <w:szCs w:val="21"/>
        </w:rPr>
        <w:t>地址：</w:t>
      </w:r>
      <w:r>
        <w:rPr>
          <w:rFonts w:hint="eastAsia" w:ascii="宋体" w:hAnsi="宋体"/>
          <w:szCs w:val="21"/>
          <w:u w:val="single"/>
        </w:rPr>
        <w:t xml:space="preserve">    </w:t>
      </w:r>
      <w:r>
        <w:rPr>
          <w:rFonts w:hint="eastAsia" w:ascii="宋体" w:hAnsi="宋体"/>
          <w:szCs w:val="21"/>
        </w:rPr>
        <w:t>；邮编：</w:t>
      </w:r>
      <w:r>
        <w:rPr>
          <w:rFonts w:hint="eastAsia" w:ascii="宋体" w:hAnsi="宋体"/>
          <w:szCs w:val="21"/>
          <w:u w:val="single"/>
        </w:rPr>
        <w:t xml:space="preserve">     </w:t>
      </w:r>
      <w:r>
        <w:rPr>
          <w:rFonts w:hint="eastAsia" w:ascii="宋体" w:hAnsi="宋体"/>
          <w:szCs w:val="21"/>
        </w:rPr>
        <w:t xml:space="preserve"> ；电话：</w:t>
      </w:r>
      <w:r>
        <w:rPr>
          <w:rFonts w:hint="eastAsia" w:ascii="宋体" w:hAnsi="宋体"/>
          <w:szCs w:val="21"/>
          <w:u w:val="single"/>
        </w:rPr>
        <w:t xml:space="preserve">      </w:t>
      </w:r>
      <w:r>
        <w:rPr>
          <w:rFonts w:hint="eastAsia" w:ascii="宋体" w:hAnsi="宋体"/>
          <w:szCs w:val="21"/>
        </w:rPr>
        <w:t>；电子邮箱：</w:t>
      </w:r>
      <w:r>
        <w:rPr>
          <w:rFonts w:hint="eastAsia" w:ascii="宋体" w:hAnsi="宋体"/>
          <w:szCs w:val="21"/>
          <w:u w:val="single"/>
        </w:rPr>
        <w:t xml:space="preserve">        </w:t>
      </w:r>
      <w:r>
        <w:rPr>
          <w:rFonts w:hint="eastAsia" w:ascii="宋体" w:hAnsi="宋体"/>
          <w:szCs w:val="21"/>
        </w:rPr>
        <w:t xml:space="preserve"> 。</w:t>
      </w:r>
    </w:p>
    <w:p w14:paraId="748AAF4A">
      <w:pPr>
        <w:adjustRightInd w:val="0"/>
        <w:snapToGrid w:val="0"/>
        <w:spacing w:beforeLines="50" w:line="360" w:lineRule="auto"/>
        <w:ind w:firstLine="420" w:firstLineChars="200"/>
        <w:rPr>
          <w:rFonts w:ascii="宋体" w:hAnsi="宋体"/>
          <w:szCs w:val="21"/>
        </w:rPr>
      </w:pPr>
    </w:p>
    <w:p w14:paraId="1546C960">
      <w:pPr>
        <w:pStyle w:val="25"/>
        <w:adjustRightInd w:val="0"/>
        <w:snapToGrid w:val="0"/>
        <w:spacing w:beforeLines="50" w:line="360" w:lineRule="auto"/>
        <w:rPr>
          <w:rFonts w:hAnsi="宋体"/>
        </w:rPr>
      </w:pPr>
    </w:p>
    <w:p w14:paraId="0145FD11">
      <w:pPr>
        <w:pStyle w:val="25"/>
        <w:spacing w:line="360" w:lineRule="auto"/>
        <w:rPr>
          <w:rFonts w:hAnsi="宋体"/>
        </w:rPr>
      </w:pPr>
      <w:r>
        <w:rPr>
          <w:rFonts w:hint="eastAsia" w:hAnsi="宋体"/>
        </w:rPr>
        <w:t xml:space="preserve">投标人名称（盖单位章）：                       </w:t>
      </w:r>
    </w:p>
    <w:p w14:paraId="78504085">
      <w:pPr>
        <w:spacing w:line="360" w:lineRule="auto"/>
        <w:rPr>
          <w:rFonts w:ascii="宋体" w:hAnsi="宋体"/>
          <w:szCs w:val="21"/>
          <w:u w:val="single"/>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或其授权的代理人（签字或印章）：</w:t>
      </w:r>
      <w:r>
        <w:rPr>
          <w:rFonts w:hint="eastAsia" w:ascii="宋体" w:hAnsi="宋体"/>
          <w:szCs w:val="21"/>
          <w:u w:val="single"/>
        </w:rPr>
        <w:t xml:space="preserve">               </w:t>
      </w:r>
    </w:p>
    <w:p w14:paraId="42E6F3A2">
      <w:pPr>
        <w:spacing w:line="360" w:lineRule="auto"/>
        <w:jc w:val="lef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6D739E2D">
      <w:pPr>
        <w:adjustRightInd w:val="0"/>
        <w:snapToGrid w:val="0"/>
        <w:spacing w:line="360" w:lineRule="auto"/>
        <w:rPr>
          <w:rFonts w:ascii="宋体" w:hAnsi="宋体"/>
          <w:szCs w:val="21"/>
        </w:rPr>
      </w:pPr>
    </w:p>
    <w:p w14:paraId="0028B587">
      <w:pPr>
        <w:pStyle w:val="4"/>
        <w:adjustRightInd w:val="0"/>
        <w:snapToGrid w:val="0"/>
        <w:spacing w:before="0" w:after="0" w:line="360" w:lineRule="auto"/>
        <w:jc w:val="center"/>
        <w:rPr>
          <w:rFonts w:ascii="黑体" w:hAnsi="宋体" w:eastAsia="黑体"/>
          <w:sz w:val="28"/>
          <w:szCs w:val="28"/>
        </w:rPr>
      </w:pPr>
      <w:bookmarkStart w:id="142" w:name="_Toc20651257"/>
    </w:p>
    <w:p w14:paraId="71F1C48B">
      <w:pPr>
        <w:pStyle w:val="4"/>
        <w:adjustRightInd w:val="0"/>
        <w:snapToGrid w:val="0"/>
        <w:spacing w:before="0" w:after="0" w:line="360" w:lineRule="auto"/>
        <w:jc w:val="center"/>
        <w:rPr>
          <w:rFonts w:ascii="黑体" w:hAnsi="宋体" w:eastAsia="黑体"/>
          <w:sz w:val="28"/>
          <w:szCs w:val="28"/>
        </w:rPr>
      </w:pPr>
    </w:p>
    <w:p w14:paraId="2D40FE52">
      <w:pPr>
        <w:pStyle w:val="4"/>
        <w:adjustRightInd w:val="0"/>
        <w:snapToGrid w:val="0"/>
        <w:spacing w:before="0" w:after="0" w:line="360" w:lineRule="auto"/>
        <w:jc w:val="center"/>
        <w:rPr>
          <w:rFonts w:ascii="黑体" w:hAnsi="宋体" w:eastAsia="黑体"/>
          <w:sz w:val="28"/>
          <w:szCs w:val="28"/>
        </w:rPr>
      </w:pPr>
    </w:p>
    <w:p w14:paraId="61B69DDF">
      <w:pPr>
        <w:pStyle w:val="4"/>
        <w:adjustRightInd w:val="0"/>
        <w:snapToGrid w:val="0"/>
        <w:spacing w:before="0" w:after="0" w:line="360" w:lineRule="auto"/>
        <w:jc w:val="center"/>
        <w:rPr>
          <w:rFonts w:ascii="黑体" w:hAnsi="宋体" w:eastAsia="黑体"/>
          <w:sz w:val="28"/>
          <w:szCs w:val="28"/>
        </w:rPr>
      </w:pPr>
    </w:p>
    <w:p w14:paraId="26D80155">
      <w:pPr>
        <w:pStyle w:val="4"/>
        <w:adjustRightInd w:val="0"/>
        <w:snapToGrid w:val="0"/>
        <w:spacing w:before="0" w:after="0" w:line="360" w:lineRule="auto"/>
        <w:jc w:val="center"/>
        <w:rPr>
          <w:rFonts w:ascii="黑体" w:hAnsi="宋体" w:eastAsia="黑体"/>
          <w:sz w:val="28"/>
          <w:szCs w:val="28"/>
        </w:rPr>
      </w:pPr>
    </w:p>
    <w:p w14:paraId="5C031A00">
      <w:pPr>
        <w:pStyle w:val="4"/>
        <w:adjustRightInd w:val="0"/>
        <w:snapToGrid w:val="0"/>
        <w:spacing w:before="0" w:after="0" w:line="360" w:lineRule="auto"/>
        <w:jc w:val="center"/>
        <w:rPr>
          <w:rFonts w:ascii="黑体" w:hAnsi="宋体" w:eastAsia="黑体"/>
          <w:sz w:val="28"/>
          <w:szCs w:val="28"/>
        </w:rPr>
      </w:pPr>
    </w:p>
    <w:p w14:paraId="6E617154">
      <w:pPr>
        <w:pStyle w:val="4"/>
        <w:adjustRightInd w:val="0"/>
        <w:snapToGrid w:val="0"/>
        <w:spacing w:before="0" w:after="0" w:line="360" w:lineRule="auto"/>
        <w:jc w:val="center"/>
        <w:rPr>
          <w:rFonts w:ascii="黑体" w:hAnsi="宋体" w:eastAsia="黑体"/>
          <w:sz w:val="28"/>
          <w:szCs w:val="28"/>
        </w:rPr>
      </w:pPr>
    </w:p>
    <w:p w14:paraId="32DC0E1C">
      <w:pPr>
        <w:pStyle w:val="4"/>
        <w:adjustRightInd w:val="0"/>
        <w:snapToGrid w:val="0"/>
        <w:spacing w:before="0" w:after="0" w:line="360" w:lineRule="auto"/>
        <w:jc w:val="center"/>
        <w:rPr>
          <w:rFonts w:ascii="黑体" w:hAnsi="宋体" w:eastAsia="黑体"/>
          <w:sz w:val="28"/>
          <w:szCs w:val="28"/>
        </w:rPr>
      </w:pPr>
    </w:p>
    <w:p w14:paraId="6699857E">
      <w:pPr>
        <w:pStyle w:val="4"/>
        <w:adjustRightInd w:val="0"/>
        <w:snapToGrid w:val="0"/>
        <w:spacing w:before="0" w:after="0" w:line="360" w:lineRule="auto"/>
        <w:jc w:val="center"/>
        <w:rPr>
          <w:rFonts w:ascii="黑体" w:hAnsi="宋体" w:eastAsia="黑体"/>
          <w:sz w:val="28"/>
          <w:szCs w:val="28"/>
        </w:rPr>
      </w:pPr>
    </w:p>
    <w:p w14:paraId="7E1DDFEB">
      <w:pPr>
        <w:pStyle w:val="4"/>
        <w:adjustRightInd w:val="0"/>
        <w:snapToGrid w:val="0"/>
        <w:spacing w:before="0" w:after="0" w:line="360" w:lineRule="auto"/>
        <w:jc w:val="center"/>
        <w:rPr>
          <w:rFonts w:ascii="黑体" w:hAnsi="宋体" w:eastAsia="黑体"/>
          <w:sz w:val="28"/>
          <w:szCs w:val="28"/>
        </w:rPr>
      </w:pPr>
      <w:r>
        <w:rPr>
          <w:rFonts w:hint="eastAsia" w:ascii="黑体" w:hAnsi="宋体" w:eastAsia="黑体"/>
          <w:sz w:val="28"/>
          <w:szCs w:val="28"/>
        </w:rPr>
        <w:t xml:space="preserve"> </w:t>
      </w:r>
    </w:p>
    <w:p w14:paraId="2F31A17D">
      <w:pPr>
        <w:pStyle w:val="4"/>
        <w:adjustRightInd w:val="0"/>
        <w:snapToGrid w:val="0"/>
        <w:spacing w:before="0" w:after="0" w:line="360" w:lineRule="auto"/>
        <w:jc w:val="center"/>
        <w:rPr>
          <w:rFonts w:ascii="黑体" w:hAnsi="宋体" w:eastAsia="黑体"/>
          <w:sz w:val="28"/>
          <w:szCs w:val="28"/>
        </w:rPr>
      </w:pPr>
    </w:p>
    <w:p w14:paraId="74338F29">
      <w:pPr>
        <w:pStyle w:val="4"/>
        <w:adjustRightInd w:val="0"/>
        <w:snapToGrid w:val="0"/>
        <w:spacing w:before="0" w:after="0" w:line="360" w:lineRule="auto"/>
        <w:jc w:val="center"/>
        <w:rPr>
          <w:rFonts w:ascii="黑体" w:hAnsi="宋体" w:eastAsia="黑体"/>
          <w:sz w:val="28"/>
          <w:szCs w:val="28"/>
        </w:rPr>
      </w:pPr>
    </w:p>
    <w:p w14:paraId="6323F9A6">
      <w:pPr>
        <w:pStyle w:val="4"/>
        <w:adjustRightInd w:val="0"/>
        <w:snapToGrid w:val="0"/>
        <w:spacing w:before="0" w:after="0" w:line="360" w:lineRule="auto"/>
        <w:jc w:val="center"/>
        <w:rPr>
          <w:rFonts w:ascii="黑体" w:hAnsi="宋体" w:eastAsia="黑体"/>
          <w:sz w:val="28"/>
          <w:szCs w:val="28"/>
        </w:rPr>
      </w:pPr>
    </w:p>
    <w:p w14:paraId="688DF858">
      <w:pPr>
        <w:pStyle w:val="4"/>
        <w:adjustRightInd w:val="0"/>
        <w:snapToGrid w:val="0"/>
        <w:spacing w:before="0" w:after="0" w:line="360" w:lineRule="auto"/>
        <w:jc w:val="center"/>
        <w:rPr>
          <w:rFonts w:ascii="黑体" w:hAnsi="宋体" w:eastAsia="黑体"/>
          <w:sz w:val="28"/>
          <w:szCs w:val="28"/>
        </w:rPr>
      </w:pPr>
    </w:p>
    <w:bookmarkEnd w:id="142"/>
    <w:p w14:paraId="7BBCA689">
      <w:pPr>
        <w:autoSpaceDE w:val="0"/>
        <w:autoSpaceDN w:val="0"/>
        <w:adjustRightInd w:val="0"/>
        <w:snapToGrid w:val="0"/>
        <w:spacing w:line="360" w:lineRule="auto"/>
        <w:jc w:val="center"/>
        <w:rPr>
          <w:rFonts w:ascii="黑体" w:hAnsi="宋体" w:eastAsia="黑体" w:cs="微软雅黑"/>
          <w:b/>
          <w:spacing w:val="-2"/>
          <w:kern w:val="0"/>
          <w:sz w:val="28"/>
          <w:szCs w:val="28"/>
        </w:rPr>
      </w:pPr>
    </w:p>
    <w:p w14:paraId="2D298A94">
      <w:pPr>
        <w:autoSpaceDE w:val="0"/>
        <w:autoSpaceDN w:val="0"/>
        <w:adjustRightInd w:val="0"/>
        <w:snapToGrid w:val="0"/>
        <w:spacing w:line="360" w:lineRule="auto"/>
        <w:jc w:val="center"/>
        <w:rPr>
          <w:rFonts w:ascii="黑体" w:hAnsi="宋体" w:eastAsia="黑体" w:cs="微软雅黑"/>
          <w:b/>
          <w:spacing w:val="-2"/>
          <w:kern w:val="0"/>
          <w:sz w:val="28"/>
          <w:szCs w:val="28"/>
        </w:rPr>
      </w:pPr>
    </w:p>
    <w:p w14:paraId="048FEBB4">
      <w:pPr>
        <w:autoSpaceDE w:val="0"/>
        <w:autoSpaceDN w:val="0"/>
        <w:adjustRightInd w:val="0"/>
        <w:snapToGrid w:val="0"/>
        <w:spacing w:line="360" w:lineRule="auto"/>
        <w:jc w:val="center"/>
        <w:rPr>
          <w:rFonts w:ascii="黑体" w:hAnsi="宋体" w:eastAsia="黑体" w:cs="微软雅黑"/>
          <w:b/>
          <w:spacing w:val="-2"/>
          <w:kern w:val="0"/>
          <w:sz w:val="28"/>
          <w:szCs w:val="28"/>
        </w:rPr>
      </w:pPr>
    </w:p>
    <w:p w14:paraId="6BABCF64">
      <w:pPr>
        <w:pStyle w:val="4"/>
        <w:adjustRightInd w:val="0"/>
        <w:snapToGrid w:val="0"/>
        <w:spacing w:before="0" w:after="0" w:line="360" w:lineRule="auto"/>
        <w:jc w:val="center"/>
        <w:rPr>
          <w:rFonts w:ascii="黑体" w:hAnsi="宋体" w:eastAsia="黑体"/>
          <w:sz w:val="28"/>
          <w:szCs w:val="28"/>
        </w:rPr>
      </w:pPr>
      <w:r>
        <w:rPr>
          <w:rFonts w:hint="eastAsia" w:ascii="黑体" w:hAnsi="宋体" w:eastAsia="黑体"/>
          <w:sz w:val="28"/>
          <w:szCs w:val="28"/>
        </w:rPr>
        <w:t>六、分项报价</w:t>
      </w:r>
    </w:p>
    <w:p w14:paraId="4DDF8F34">
      <w:pPr>
        <w:pStyle w:val="5"/>
        <w:jc w:val="left"/>
        <w:rPr>
          <w:rFonts w:ascii="黑体" w:hAnsi="宋体" w:cs="微软雅黑"/>
          <w:b w:val="0"/>
          <w:sz w:val="21"/>
          <w:szCs w:val="21"/>
        </w:rPr>
      </w:pPr>
      <w:bookmarkStart w:id="143" w:name="_Toc20651258"/>
      <w:r>
        <w:rPr>
          <w:rFonts w:hint="eastAsia" w:ascii="黑体" w:hAnsi="华文中宋" w:cs="宋体"/>
          <w:b w:val="0"/>
          <w:bCs w:val="0"/>
          <w:spacing w:val="6"/>
          <w:sz w:val="21"/>
          <w:szCs w:val="21"/>
        </w:rPr>
        <w:t xml:space="preserve">附件6-1 </w:t>
      </w:r>
      <w:r>
        <w:rPr>
          <w:rFonts w:hint="eastAsia" w:ascii="黑体" w:hAnsi="宋体" w:cs="微软雅黑"/>
          <w:b w:val="0"/>
          <w:spacing w:val="-2"/>
          <w:sz w:val="21"/>
          <w:szCs w:val="21"/>
        </w:rPr>
        <w:t>分</w:t>
      </w:r>
      <w:r>
        <w:rPr>
          <w:rFonts w:hint="eastAsia" w:ascii="黑体" w:hAnsi="宋体" w:cs="微软雅黑"/>
          <w:b w:val="0"/>
          <w:sz w:val="21"/>
          <w:szCs w:val="21"/>
        </w:rPr>
        <w:t>项</w:t>
      </w:r>
      <w:r>
        <w:rPr>
          <w:rFonts w:hint="eastAsia" w:ascii="黑体" w:hAnsi="宋体" w:cs="微软雅黑"/>
          <w:b w:val="0"/>
          <w:spacing w:val="-2"/>
          <w:sz w:val="21"/>
          <w:szCs w:val="21"/>
        </w:rPr>
        <w:t>报</w:t>
      </w:r>
      <w:r>
        <w:rPr>
          <w:rFonts w:hint="eastAsia" w:ascii="黑体" w:hAnsi="宋体" w:cs="微软雅黑"/>
          <w:b w:val="0"/>
          <w:sz w:val="21"/>
          <w:szCs w:val="21"/>
        </w:rPr>
        <w:t>价说明</w:t>
      </w:r>
      <w:bookmarkEnd w:id="143"/>
      <w:r>
        <w:rPr>
          <w:rFonts w:hint="eastAsia" w:ascii="黑体" w:hAnsi="宋体" w:cs="微软雅黑"/>
          <w:b w:val="0"/>
          <w:sz w:val="21"/>
          <w:szCs w:val="21"/>
        </w:rPr>
        <w:t xml:space="preserve">  </w:t>
      </w:r>
    </w:p>
    <w:p w14:paraId="738125A3">
      <w:pPr>
        <w:autoSpaceDE w:val="0"/>
        <w:autoSpaceDN w:val="0"/>
        <w:adjustRightInd w:val="0"/>
        <w:snapToGrid w:val="0"/>
        <w:spacing w:line="360" w:lineRule="auto"/>
        <w:ind w:right="-20"/>
        <w:jc w:val="center"/>
        <w:rPr>
          <w:rFonts w:ascii="宋体" w:hAnsi="宋体" w:cs="宋体"/>
          <w:b/>
          <w:kern w:val="0"/>
          <w:sz w:val="28"/>
          <w:szCs w:val="28"/>
        </w:rPr>
      </w:pPr>
      <w:r>
        <w:rPr>
          <w:rFonts w:hint="eastAsia" w:ascii="宋体" w:hAnsi="宋体" w:cs="宋体"/>
          <w:b/>
          <w:kern w:val="0"/>
          <w:sz w:val="28"/>
          <w:szCs w:val="28"/>
        </w:rPr>
        <w:t>1、</w:t>
      </w:r>
      <w:r>
        <w:rPr>
          <w:rFonts w:hint="eastAsia" w:ascii="宋体" w:hAnsi="宋体" w:cs="宋体"/>
          <w:b/>
          <w:spacing w:val="-2"/>
          <w:kern w:val="0"/>
          <w:sz w:val="28"/>
          <w:szCs w:val="28"/>
        </w:rPr>
        <w:t>分</w:t>
      </w:r>
      <w:r>
        <w:rPr>
          <w:rFonts w:hint="eastAsia" w:ascii="宋体" w:hAnsi="宋体" w:cs="宋体"/>
          <w:b/>
          <w:kern w:val="0"/>
          <w:sz w:val="28"/>
          <w:szCs w:val="28"/>
        </w:rPr>
        <w:t>项</w:t>
      </w:r>
      <w:r>
        <w:rPr>
          <w:rFonts w:hint="eastAsia" w:ascii="宋体" w:hAnsi="宋体" w:cs="宋体"/>
          <w:b/>
          <w:spacing w:val="-2"/>
          <w:kern w:val="0"/>
          <w:sz w:val="28"/>
          <w:szCs w:val="28"/>
        </w:rPr>
        <w:t>报</w:t>
      </w:r>
      <w:r>
        <w:rPr>
          <w:rFonts w:hint="eastAsia" w:ascii="宋体" w:hAnsi="宋体" w:cs="宋体"/>
          <w:b/>
          <w:kern w:val="0"/>
          <w:sz w:val="28"/>
          <w:szCs w:val="28"/>
        </w:rPr>
        <w:t>价</w:t>
      </w:r>
      <w:r>
        <w:rPr>
          <w:rFonts w:hint="eastAsia" w:ascii="宋体" w:hAnsi="宋体" w:cs="宋体"/>
          <w:b/>
          <w:spacing w:val="-2"/>
          <w:kern w:val="0"/>
          <w:sz w:val="28"/>
          <w:szCs w:val="28"/>
        </w:rPr>
        <w:t>表</w:t>
      </w:r>
      <w:r>
        <w:rPr>
          <w:rFonts w:hint="eastAsia" w:ascii="宋体" w:hAnsi="宋体" w:cs="宋体"/>
          <w:b/>
          <w:kern w:val="0"/>
          <w:sz w:val="28"/>
          <w:szCs w:val="28"/>
        </w:rPr>
        <w:t>说明</w:t>
      </w:r>
    </w:p>
    <w:p w14:paraId="3DB7D802">
      <w:pPr>
        <w:adjustRightInd w:val="0"/>
        <w:snapToGrid w:val="0"/>
        <w:spacing w:line="360" w:lineRule="auto"/>
        <w:rPr>
          <w:rFonts w:ascii="宋体" w:hAnsi="宋体" w:cs="宋体"/>
          <w:szCs w:val="21"/>
        </w:rPr>
      </w:pPr>
      <w:r>
        <w:rPr>
          <w:rFonts w:hint="eastAsia" w:ascii="宋体" w:hAnsi="宋体" w:cs="宋体"/>
          <w:szCs w:val="21"/>
        </w:rPr>
        <w:t>备注：（1）本表应对应“开标一览表”。投标人如果不提供分项报价明细表，其投标无效。</w:t>
      </w:r>
    </w:p>
    <w:p w14:paraId="65DE711C">
      <w:pPr>
        <w:adjustRightInd w:val="0"/>
        <w:snapToGrid w:val="0"/>
        <w:spacing w:line="360" w:lineRule="auto"/>
        <w:ind w:firstLine="420" w:firstLineChars="200"/>
        <w:rPr>
          <w:rFonts w:ascii="宋体" w:hAnsi="宋体" w:cs="宋体"/>
          <w:szCs w:val="21"/>
        </w:rPr>
      </w:pPr>
      <w:r>
        <w:rPr>
          <w:rFonts w:hint="eastAsia" w:ascii="宋体" w:hAnsi="宋体" w:cs="宋体"/>
          <w:szCs w:val="21"/>
        </w:rPr>
        <w:t>（2）不得填写“免费”或“赠与”，也不得进行“零”报价，否则投标无效。</w:t>
      </w:r>
    </w:p>
    <w:p w14:paraId="44E03A93">
      <w:pPr>
        <w:adjustRightInd w:val="0"/>
        <w:snapToGrid w:val="0"/>
        <w:spacing w:line="360" w:lineRule="auto"/>
        <w:ind w:firstLine="420" w:firstLineChars="200"/>
        <w:rPr>
          <w:rFonts w:ascii="宋体" w:hAnsi="宋体" w:cs="宋体"/>
          <w:szCs w:val="21"/>
        </w:rPr>
      </w:pPr>
      <w:r>
        <w:rPr>
          <w:rFonts w:hint="eastAsia" w:ascii="宋体" w:hAnsi="宋体" w:cs="宋体"/>
          <w:szCs w:val="21"/>
        </w:rPr>
        <w:t>（3）投标人在提交投标文件的截止时间前修改“开标一览表”中的投标报价的，本表相应内容应同时修改。否则，分项报价按投标报价修改的相同比例进行调整，其风险由投标人自已承担。</w:t>
      </w:r>
    </w:p>
    <w:p w14:paraId="6ACEFFC9">
      <w:pPr>
        <w:autoSpaceDE w:val="0"/>
        <w:autoSpaceDN w:val="0"/>
        <w:adjustRightInd w:val="0"/>
        <w:snapToGrid w:val="0"/>
        <w:spacing w:line="360" w:lineRule="auto"/>
        <w:ind w:right="-20"/>
        <w:jc w:val="center"/>
        <w:rPr>
          <w:rFonts w:ascii="宋体" w:hAnsi="宋体" w:cs="宋体"/>
          <w:b/>
          <w:kern w:val="0"/>
          <w:position w:val="-3"/>
          <w:sz w:val="28"/>
          <w:szCs w:val="28"/>
        </w:rPr>
      </w:pPr>
    </w:p>
    <w:p w14:paraId="1C31DCE8">
      <w:pPr>
        <w:autoSpaceDE w:val="0"/>
        <w:autoSpaceDN w:val="0"/>
        <w:adjustRightInd w:val="0"/>
        <w:snapToGrid w:val="0"/>
        <w:spacing w:line="360" w:lineRule="auto"/>
        <w:ind w:right="-20"/>
        <w:jc w:val="center"/>
        <w:rPr>
          <w:rFonts w:ascii="宋体" w:hAnsi="宋体" w:cs="宋体"/>
          <w:b/>
          <w:kern w:val="0"/>
          <w:position w:val="-3"/>
          <w:sz w:val="28"/>
          <w:szCs w:val="28"/>
        </w:rPr>
      </w:pPr>
    </w:p>
    <w:p w14:paraId="76603AD9">
      <w:pPr>
        <w:autoSpaceDE w:val="0"/>
        <w:autoSpaceDN w:val="0"/>
        <w:adjustRightInd w:val="0"/>
        <w:snapToGrid w:val="0"/>
        <w:spacing w:line="360" w:lineRule="auto"/>
        <w:ind w:right="-20"/>
        <w:jc w:val="center"/>
        <w:rPr>
          <w:rFonts w:ascii="宋体" w:hAnsi="宋体" w:cs="宋体"/>
          <w:b/>
          <w:kern w:val="0"/>
          <w:sz w:val="28"/>
          <w:szCs w:val="28"/>
        </w:rPr>
      </w:pPr>
      <w:r>
        <w:rPr>
          <w:rFonts w:hint="eastAsia" w:ascii="宋体" w:hAnsi="宋体" w:cs="宋体"/>
          <w:b/>
          <w:kern w:val="0"/>
          <w:position w:val="-3"/>
          <w:sz w:val="28"/>
          <w:szCs w:val="28"/>
        </w:rPr>
        <w:t>2、</w:t>
      </w:r>
      <w:r>
        <w:rPr>
          <w:rFonts w:hint="eastAsia" w:ascii="宋体" w:hAnsi="宋体" w:cs="宋体"/>
          <w:b/>
          <w:spacing w:val="-2"/>
          <w:kern w:val="0"/>
          <w:position w:val="-3"/>
          <w:sz w:val="28"/>
          <w:szCs w:val="28"/>
        </w:rPr>
        <w:t>分</w:t>
      </w:r>
      <w:r>
        <w:rPr>
          <w:rFonts w:hint="eastAsia" w:ascii="宋体" w:hAnsi="宋体" w:cs="宋体"/>
          <w:b/>
          <w:kern w:val="0"/>
          <w:position w:val="-3"/>
          <w:sz w:val="28"/>
          <w:szCs w:val="28"/>
        </w:rPr>
        <w:t>项</w:t>
      </w:r>
      <w:r>
        <w:rPr>
          <w:rFonts w:hint="eastAsia" w:ascii="宋体" w:hAnsi="宋体" w:cs="宋体"/>
          <w:b/>
          <w:spacing w:val="-2"/>
          <w:kern w:val="0"/>
          <w:position w:val="-3"/>
          <w:sz w:val="28"/>
          <w:szCs w:val="28"/>
        </w:rPr>
        <w:t>报</w:t>
      </w:r>
      <w:r>
        <w:rPr>
          <w:rFonts w:hint="eastAsia" w:ascii="宋体" w:hAnsi="宋体" w:cs="宋体"/>
          <w:b/>
          <w:kern w:val="0"/>
          <w:position w:val="-3"/>
          <w:sz w:val="28"/>
          <w:szCs w:val="28"/>
        </w:rPr>
        <w:t>价表</w:t>
      </w:r>
    </w:p>
    <w:p w14:paraId="7B16828E">
      <w:pPr>
        <w:adjustRightInd w:val="0"/>
        <w:snapToGrid w:val="0"/>
        <w:ind w:left="-88" w:leftChars="-42"/>
        <w:rPr>
          <w:rFonts w:ascii="宋体" w:hAnsi="宋体" w:cs="宋体"/>
          <w:szCs w:val="21"/>
        </w:rPr>
      </w:pPr>
      <w:r>
        <w:rPr>
          <w:rFonts w:hint="eastAsia" w:ascii="宋体" w:hAnsi="宋体" w:cs="宋体"/>
          <w:szCs w:val="21"/>
        </w:rPr>
        <w:t>项目编号：</w:t>
      </w:r>
      <w:r>
        <w:rPr>
          <w:rFonts w:hint="eastAsia" w:ascii="宋体" w:hAnsi="宋体" w:cs="宋体"/>
          <w:szCs w:val="21"/>
          <w:u w:val="single"/>
        </w:rPr>
        <w:t xml:space="preserve">                  </w:t>
      </w:r>
      <w:r>
        <w:rPr>
          <w:rFonts w:hint="eastAsia" w:ascii="宋体" w:hAnsi="宋体" w:cs="宋体"/>
          <w:szCs w:val="21"/>
        </w:rPr>
        <w:t xml:space="preserve">                                  金额单位：人民币元</w:t>
      </w:r>
    </w:p>
    <w:p w14:paraId="04D07E66">
      <w:pPr>
        <w:pStyle w:val="4"/>
        <w:adjustRightInd w:val="0"/>
        <w:snapToGrid w:val="0"/>
        <w:spacing w:before="0" w:after="0" w:line="360" w:lineRule="auto"/>
        <w:jc w:val="center"/>
        <w:rPr>
          <w:rFonts w:ascii="黑体" w:hAnsi="宋体" w:eastAsia="黑体"/>
          <w:sz w:val="28"/>
          <w:szCs w:val="28"/>
        </w:rPr>
      </w:pPr>
    </w:p>
    <w:p w14:paraId="0EEC1C6F">
      <w:pPr>
        <w:pStyle w:val="4"/>
        <w:adjustRightInd w:val="0"/>
        <w:snapToGrid w:val="0"/>
        <w:spacing w:before="0" w:after="0" w:line="360" w:lineRule="auto"/>
        <w:jc w:val="center"/>
        <w:rPr>
          <w:rFonts w:ascii="黑体" w:hAnsi="宋体" w:eastAsia="黑体"/>
          <w:sz w:val="28"/>
          <w:szCs w:val="28"/>
        </w:rPr>
      </w:pPr>
    </w:p>
    <w:p w14:paraId="1EA90651">
      <w:pPr>
        <w:pStyle w:val="4"/>
        <w:adjustRightInd w:val="0"/>
        <w:snapToGrid w:val="0"/>
        <w:spacing w:before="0" w:after="0" w:line="360" w:lineRule="auto"/>
        <w:jc w:val="center"/>
        <w:rPr>
          <w:rFonts w:ascii="黑体" w:hAnsi="宋体" w:eastAsia="黑体"/>
          <w:sz w:val="28"/>
          <w:szCs w:val="28"/>
        </w:rPr>
      </w:pPr>
      <w:r>
        <w:rPr>
          <w:rFonts w:hint="eastAsia" w:ascii="黑体" w:hAnsi="宋体" w:eastAsia="黑体"/>
          <w:sz w:val="28"/>
          <w:szCs w:val="28"/>
        </w:rPr>
        <w:t>报价表见采购需求。</w:t>
      </w:r>
      <w:r>
        <w:rPr>
          <w:rFonts w:hint="eastAsia" w:ascii="黑体" w:hAnsi="宋体" w:eastAsia="黑体"/>
          <w:sz w:val="28"/>
          <w:szCs w:val="28"/>
        </w:rPr>
        <w:br w:type="page"/>
      </w:r>
    </w:p>
    <w:p w14:paraId="08B31AAB">
      <w:pPr>
        <w:pStyle w:val="4"/>
        <w:adjustRightInd w:val="0"/>
        <w:snapToGrid w:val="0"/>
        <w:spacing w:before="0" w:after="0" w:line="360" w:lineRule="auto"/>
        <w:jc w:val="center"/>
        <w:rPr>
          <w:rFonts w:ascii="黑体" w:hAnsi="宋体" w:eastAsia="黑体"/>
          <w:sz w:val="28"/>
          <w:szCs w:val="28"/>
        </w:rPr>
      </w:pPr>
      <w:bookmarkStart w:id="144" w:name="_Toc20651260"/>
      <w:r>
        <w:rPr>
          <w:rFonts w:hint="eastAsia" w:ascii="黑体" w:hAnsi="宋体" w:eastAsia="黑体"/>
          <w:sz w:val="28"/>
          <w:szCs w:val="28"/>
        </w:rPr>
        <w:t>七、采购需求响应</w:t>
      </w:r>
      <w:bookmarkEnd w:id="144"/>
    </w:p>
    <w:p w14:paraId="50EA7F88">
      <w:pPr>
        <w:adjustRightInd w:val="0"/>
        <w:snapToGrid w:val="0"/>
        <w:spacing w:line="360" w:lineRule="auto"/>
        <w:rPr>
          <w:rFonts w:ascii="宋体" w:hAnsi="宋体"/>
          <w:b/>
          <w:szCs w:val="21"/>
        </w:rPr>
      </w:pPr>
    </w:p>
    <w:p w14:paraId="55558A03">
      <w:pPr>
        <w:adjustRightInd w:val="0"/>
        <w:snapToGrid w:val="0"/>
        <w:spacing w:line="360" w:lineRule="auto"/>
        <w:rPr>
          <w:b/>
        </w:rPr>
      </w:pPr>
      <w:r>
        <w:rPr>
          <w:rFonts w:hint="eastAsia" w:ascii="宋体" w:hAnsi="宋体"/>
          <w:b/>
          <w:szCs w:val="21"/>
        </w:rPr>
        <w:t>编制说明</w:t>
      </w:r>
      <w:r>
        <w:rPr>
          <w:rFonts w:hint="eastAsia" w:ascii="宋体" w:hAnsi="宋体"/>
          <w:bCs/>
          <w:szCs w:val="21"/>
        </w:rPr>
        <w:t>：</w:t>
      </w:r>
      <w:r>
        <w:rPr>
          <w:rFonts w:hint="eastAsia"/>
          <w:b/>
        </w:rPr>
        <w:t>投标人应按招标文件第五章采购需求自行编写采购需求响应文件（其内容可包括，且不限于详细的</w:t>
      </w:r>
      <w:r>
        <w:rPr>
          <w:rFonts w:hint="eastAsia"/>
          <w:b/>
          <w:lang w:val="en-US" w:eastAsia="zh-CN"/>
        </w:rPr>
        <w:t>实施</w:t>
      </w:r>
      <w:r>
        <w:rPr>
          <w:rFonts w:hint="eastAsia"/>
          <w:b/>
        </w:rPr>
        <w:t>方案、团队组织安排计划、质量保证措施等，格式自拟）。</w:t>
      </w:r>
    </w:p>
    <w:p w14:paraId="2BC8B798">
      <w:pPr>
        <w:pStyle w:val="26"/>
        <w:adjustRightInd w:val="0"/>
        <w:snapToGrid w:val="0"/>
        <w:spacing w:line="360" w:lineRule="auto"/>
        <w:ind w:left="-88" w:leftChars="-42"/>
        <w:rPr>
          <w:rFonts w:ascii="宋体" w:hAnsi="宋体"/>
          <w:bCs/>
          <w:sz w:val="21"/>
          <w:szCs w:val="21"/>
        </w:rPr>
      </w:pPr>
    </w:p>
    <w:p w14:paraId="4250DF9C"/>
    <w:p w14:paraId="3DECAED0">
      <w:pPr>
        <w:pStyle w:val="26"/>
        <w:tabs>
          <w:tab w:val="left" w:pos="6208"/>
        </w:tabs>
        <w:adjustRightInd w:val="0"/>
        <w:snapToGrid w:val="0"/>
        <w:spacing w:line="360" w:lineRule="auto"/>
        <w:rPr>
          <w:rFonts w:ascii="宋体" w:hAnsi="宋体"/>
          <w:bCs/>
          <w:sz w:val="21"/>
          <w:szCs w:val="21"/>
        </w:rPr>
      </w:pPr>
    </w:p>
    <w:p w14:paraId="46FF7517">
      <w:pPr>
        <w:adjustRightInd w:val="0"/>
        <w:snapToGrid w:val="0"/>
        <w:spacing w:line="360" w:lineRule="auto"/>
        <w:rPr>
          <w:rFonts w:ascii="宋体" w:hAnsi="宋体"/>
          <w:szCs w:val="21"/>
        </w:rPr>
      </w:pPr>
    </w:p>
    <w:p w14:paraId="2EE82B5B">
      <w:pPr>
        <w:adjustRightInd w:val="0"/>
        <w:snapToGrid w:val="0"/>
        <w:spacing w:line="360" w:lineRule="auto"/>
        <w:rPr>
          <w:rFonts w:ascii="宋体" w:hAnsi="宋体"/>
          <w:szCs w:val="21"/>
        </w:rPr>
      </w:pPr>
      <w:r>
        <w:rPr>
          <w:rFonts w:hint="eastAsia" w:ascii="宋体" w:hAnsi="宋体"/>
          <w:szCs w:val="21"/>
        </w:rPr>
        <w:t>投标人名称（盖单位章）：</w:t>
      </w:r>
    </w:p>
    <w:p w14:paraId="49905C21">
      <w:pPr>
        <w:adjustRightInd w:val="0"/>
        <w:snapToGrid w:val="0"/>
        <w:spacing w:line="360" w:lineRule="auto"/>
        <w:rPr>
          <w:rFonts w:ascii="宋体" w:hAnsi="宋体"/>
          <w:szCs w:val="21"/>
          <w:u w:val="single"/>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或其授权的代理人（签字或印章）：</w:t>
      </w:r>
      <w:r>
        <w:rPr>
          <w:rFonts w:hint="eastAsia" w:ascii="宋体" w:hAnsi="宋体"/>
          <w:szCs w:val="21"/>
          <w:u w:val="single"/>
        </w:rPr>
        <w:t xml:space="preserve">             </w:t>
      </w:r>
    </w:p>
    <w:p w14:paraId="67ED9A78">
      <w:pPr>
        <w:adjustRightInd w:val="0"/>
        <w:snapToGrid w:val="0"/>
        <w:spacing w:line="360" w:lineRule="auto"/>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7864667A"/>
    <w:p w14:paraId="22FA4BD8"/>
    <w:p w14:paraId="72A8FF3A">
      <w:pPr>
        <w:pStyle w:val="3"/>
      </w:pPr>
    </w:p>
    <w:p w14:paraId="23F2A6B0">
      <w:pPr>
        <w:pStyle w:val="5"/>
        <w:adjustRightInd w:val="0"/>
        <w:snapToGrid w:val="0"/>
        <w:spacing w:before="156" w:beforeLines="50" w:after="0" w:line="360" w:lineRule="auto"/>
        <w:rPr>
          <w:rFonts w:ascii="黑体" w:hAnsi="黑体"/>
          <w:b w:val="0"/>
          <w:color w:val="auto"/>
          <w:sz w:val="21"/>
          <w:szCs w:val="21"/>
          <w:highlight w:val="none"/>
        </w:rPr>
      </w:pPr>
      <w:bookmarkStart w:id="145" w:name="_Toc24573"/>
      <w:bookmarkStart w:id="146" w:name="_Toc24652"/>
      <w:bookmarkStart w:id="147" w:name="_Toc32309"/>
      <w:bookmarkStart w:id="148" w:name="_Toc6749"/>
      <w:r>
        <w:rPr>
          <w:rFonts w:hint="eastAsia" w:ascii="黑体" w:hAnsi="黑体" w:cs="宋体"/>
          <w:b w:val="0"/>
          <w:color w:val="auto"/>
          <w:spacing w:val="6"/>
          <w:sz w:val="21"/>
          <w:szCs w:val="21"/>
          <w:highlight w:val="none"/>
        </w:rPr>
        <w:t>附件7-1 货物说明响应</w:t>
      </w:r>
      <w:r>
        <w:rPr>
          <w:rFonts w:hint="eastAsia" w:ascii="黑体" w:hAnsi="黑体"/>
          <w:b w:val="0"/>
          <w:color w:val="auto"/>
          <w:sz w:val="21"/>
          <w:szCs w:val="21"/>
          <w:highlight w:val="none"/>
          <w:lang w:val="en-US" w:eastAsia="zh-CN"/>
        </w:rPr>
        <w:t>一</w:t>
      </w:r>
      <w:r>
        <w:rPr>
          <w:rFonts w:hint="eastAsia" w:ascii="黑体" w:hAnsi="黑体"/>
          <w:b w:val="0"/>
          <w:color w:val="auto"/>
          <w:sz w:val="21"/>
          <w:szCs w:val="21"/>
          <w:highlight w:val="none"/>
        </w:rPr>
        <w:t>览表</w:t>
      </w:r>
      <w:bookmarkEnd w:id="145"/>
      <w:bookmarkEnd w:id="146"/>
      <w:bookmarkEnd w:id="147"/>
      <w:bookmarkEnd w:id="148"/>
    </w:p>
    <w:p w14:paraId="37252DE5">
      <w:pPr>
        <w:adjustRightInd w:val="0"/>
        <w:snapToGrid w:val="0"/>
        <w:spacing w:before="156" w:beforeLines="50" w:line="360" w:lineRule="auto"/>
        <w:jc w:val="center"/>
        <w:rPr>
          <w:rFonts w:ascii="黑体" w:hAnsi="黑体" w:eastAsia="黑体"/>
          <w:b/>
          <w:bCs/>
          <w:color w:val="auto"/>
          <w:sz w:val="28"/>
          <w:szCs w:val="28"/>
          <w:highlight w:val="none"/>
        </w:rPr>
      </w:pPr>
      <w:r>
        <w:rPr>
          <w:rFonts w:hint="eastAsia" w:ascii="黑体" w:hAnsi="黑体" w:eastAsia="黑体"/>
          <w:b/>
          <w:bCs/>
          <w:color w:val="auto"/>
          <w:sz w:val="28"/>
          <w:szCs w:val="28"/>
          <w:highlight w:val="none"/>
          <w:lang w:val="en-US" w:eastAsia="zh-CN"/>
        </w:rPr>
        <w:t>货物说明响应一</w:t>
      </w:r>
      <w:r>
        <w:rPr>
          <w:rFonts w:hint="eastAsia" w:ascii="黑体" w:hAnsi="黑体" w:eastAsia="黑体"/>
          <w:b/>
          <w:bCs/>
          <w:color w:val="auto"/>
          <w:sz w:val="28"/>
          <w:szCs w:val="28"/>
          <w:highlight w:val="none"/>
        </w:rPr>
        <w:t>览表</w:t>
      </w:r>
    </w:p>
    <w:p w14:paraId="2AD3E901">
      <w:pPr>
        <w:jc w:val="center"/>
        <w:rPr>
          <w:rFonts w:ascii="宋体" w:hAnsi="宋体"/>
          <w:color w:val="auto"/>
          <w:szCs w:val="21"/>
          <w:highlight w:val="none"/>
        </w:rPr>
      </w:pPr>
    </w:p>
    <w:tbl>
      <w:tblPr>
        <w:tblStyle w:val="40"/>
        <w:tblW w:w="9652"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25"/>
        <w:gridCol w:w="875"/>
        <w:gridCol w:w="1106"/>
        <w:gridCol w:w="1850"/>
        <w:gridCol w:w="1850"/>
        <w:gridCol w:w="1183"/>
        <w:gridCol w:w="1038"/>
        <w:gridCol w:w="1225"/>
      </w:tblGrid>
      <w:tr w14:paraId="21461A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07" w:hRule="atLeast"/>
          <w:jc w:val="center"/>
        </w:trPr>
        <w:tc>
          <w:tcPr>
            <w:tcW w:w="525" w:type="dxa"/>
            <w:noWrap w:val="0"/>
            <w:vAlign w:val="center"/>
          </w:tcPr>
          <w:p w14:paraId="7C6150C2">
            <w:pPr>
              <w:jc w:val="center"/>
              <w:rPr>
                <w:color w:val="auto"/>
                <w:szCs w:val="21"/>
                <w:highlight w:val="none"/>
              </w:rPr>
            </w:pPr>
            <w:r>
              <w:rPr>
                <w:rFonts w:hint="eastAsia"/>
                <w:color w:val="auto"/>
                <w:szCs w:val="21"/>
                <w:highlight w:val="none"/>
              </w:rPr>
              <w:t xml:space="preserve">包号 </w:t>
            </w:r>
          </w:p>
        </w:tc>
        <w:tc>
          <w:tcPr>
            <w:tcW w:w="875" w:type="dxa"/>
            <w:tcBorders>
              <w:right w:val="single" w:color="auto" w:sz="4" w:space="0"/>
            </w:tcBorders>
            <w:noWrap w:val="0"/>
            <w:vAlign w:val="center"/>
          </w:tcPr>
          <w:p w14:paraId="7C351799">
            <w:pPr>
              <w:jc w:val="center"/>
              <w:rPr>
                <w:color w:val="auto"/>
                <w:szCs w:val="21"/>
                <w:highlight w:val="none"/>
              </w:rPr>
            </w:pPr>
            <w:r>
              <w:rPr>
                <w:rFonts w:hint="eastAsia"/>
                <w:color w:val="auto"/>
                <w:szCs w:val="21"/>
                <w:highlight w:val="none"/>
              </w:rPr>
              <w:t>包名称</w:t>
            </w:r>
          </w:p>
        </w:tc>
        <w:tc>
          <w:tcPr>
            <w:tcW w:w="1106" w:type="dxa"/>
            <w:tcBorders>
              <w:left w:val="single" w:color="auto" w:sz="4" w:space="0"/>
            </w:tcBorders>
            <w:noWrap w:val="0"/>
            <w:vAlign w:val="center"/>
          </w:tcPr>
          <w:p w14:paraId="589F8680">
            <w:pPr>
              <w:jc w:val="center"/>
              <w:rPr>
                <w:color w:val="auto"/>
                <w:szCs w:val="21"/>
                <w:highlight w:val="none"/>
              </w:rPr>
            </w:pPr>
            <w:r>
              <w:rPr>
                <w:rFonts w:hint="eastAsia"/>
                <w:color w:val="auto"/>
                <w:szCs w:val="21"/>
                <w:highlight w:val="none"/>
              </w:rPr>
              <w:t>标的</w:t>
            </w:r>
            <w:r>
              <w:rPr>
                <w:rFonts w:hint="eastAsia"/>
                <w:color w:val="auto"/>
                <w:szCs w:val="21"/>
                <w:highlight w:val="none"/>
                <w:lang w:val="en-US" w:eastAsia="zh-CN"/>
              </w:rPr>
              <w:t>货物</w:t>
            </w:r>
            <w:r>
              <w:rPr>
                <w:rFonts w:hint="eastAsia"/>
                <w:color w:val="auto"/>
                <w:szCs w:val="21"/>
                <w:highlight w:val="none"/>
              </w:rPr>
              <w:t>名称</w:t>
            </w:r>
          </w:p>
        </w:tc>
        <w:tc>
          <w:tcPr>
            <w:tcW w:w="1850" w:type="dxa"/>
            <w:noWrap w:val="0"/>
            <w:vAlign w:val="center"/>
          </w:tcPr>
          <w:p w14:paraId="17E04D44">
            <w:pPr>
              <w:jc w:val="center"/>
              <w:rPr>
                <w:rFonts w:hint="default" w:eastAsia="宋体"/>
                <w:color w:val="auto"/>
                <w:szCs w:val="21"/>
                <w:highlight w:val="none"/>
                <w:lang w:val="en-US" w:eastAsia="zh-CN"/>
              </w:rPr>
            </w:pPr>
            <w:r>
              <w:rPr>
                <w:rFonts w:hint="eastAsia"/>
                <w:color w:val="auto"/>
                <w:szCs w:val="21"/>
                <w:highlight w:val="none"/>
                <w:lang w:val="en-US" w:eastAsia="zh-CN"/>
              </w:rPr>
              <w:t>品牌/型号</w:t>
            </w:r>
          </w:p>
        </w:tc>
        <w:tc>
          <w:tcPr>
            <w:tcW w:w="1850" w:type="dxa"/>
            <w:noWrap w:val="0"/>
            <w:vAlign w:val="center"/>
          </w:tcPr>
          <w:p w14:paraId="50E0AFD6">
            <w:pPr>
              <w:jc w:val="center"/>
              <w:rPr>
                <w:color w:val="auto"/>
                <w:szCs w:val="21"/>
                <w:highlight w:val="none"/>
              </w:rPr>
            </w:pPr>
            <w:r>
              <w:rPr>
                <w:rFonts w:hint="eastAsia"/>
                <w:color w:val="auto"/>
                <w:szCs w:val="21"/>
                <w:highlight w:val="none"/>
              </w:rPr>
              <w:t>主要技术参数或规格</w:t>
            </w:r>
          </w:p>
        </w:tc>
        <w:tc>
          <w:tcPr>
            <w:tcW w:w="1183" w:type="dxa"/>
            <w:noWrap w:val="0"/>
            <w:vAlign w:val="center"/>
          </w:tcPr>
          <w:p w14:paraId="7E1281BA">
            <w:pPr>
              <w:jc w:val="center"/>
              <w:rPr>
                <w:rFonts w:hint="default" w:eastAsia="宋体"/>
                <w:color w:val="auto"/>
                <w:szCs w:val="21"/>
                <w:highlight w:val="none"/>
                <w:lang w:val="en-US" w:eastAsia="zh-CN"/>
              </w:rPr>
            </w:pPr>
            <w:r>
              <w:rPr>
                <w:rFonts w:hint="eastAsia"/>
                <w:color w:val="auto"/>
                <w:szCs w:val="21"/>
                <w:highlight w:val="none"/>
                <w:lang w:val="en-US" w:eastAsia="zh-CN"/>
              </w:rPr>
              <w:t>制造商/原产地</w:t>
            </w:r>
          </w:p>
        </w:tc>
        <w:tc>
          <w:tcPr>
            <w:tcW w:w="1038" w:type="dxa"/>
            <w:noWrap w:val="0"/>
            <w:vAlign w:val="center"/>
          </w:tcPr>
          <w:p w14:paraId="2F262B54">
            <w:pPr>
              <w:jc w:val="center"/>
              <w:rPr>
                <w:color w:val="auto"/>
                <w:szCs w:val="21"/>
                <w:highlight w:val="none"/>
              </w:rPr>
            </w:pPr>
            <w:r>
              <w:rPr>
                <w:rFonts w:hint="eastAsia"/>
                <w:color w:val="auto"/>
                <w:szCs w:val="21"/>
                <w:highlight w:val="none"/>
              </w:rPr>
              <w:t>单位/数量</w:t>
            </w:r>
          </w:p>
        </w:tc>
        <w:tc>
          <w:tcPr>
            <w:tcW w:w="1225" w:type="dxa"/>
            <w:noWrap w:val="0"/>
            <w:vAlign w:val="center"/>
          </w:tcPr>
          <w:p w14:paraId="0DD815C9">
            <w:pPr>
              <w:adjustRightInd w:val="0"/>
              <w:snapToGrid w:val="0"/>
              <w:jc w:val="center"/>
              <w:rPr>
                <w:color w:val="auto"/>
                <w:szCs w:val="21"/>
                <w:highlight w:val="none"/>
              </w:rPr>
            </w:pPr>
            <w:r>
              <w:rPr>
                <w:rFonts w:hint="eastAsia" w:ascii="宋体" w:hAnsi="宋体"/>
                <w:bCs/>
                <w:color w:val="auto"/>
                <w:szCs w:val="21"/>
                <w:highlight w:val="none"/>
              </w:rPr>
              <w:t>政策功能类型及编号</w:t>
            </w:r>
          </w:p>
        </w:tc>
      </w:tr>
      <w:tr w14:paraId="289B65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jc w:val="center"/>
        </w:trPr>
        <w:tc>
          <w:tcPr>
            <w:tcW w:w="525" w:type="dxa"/>
            <w:vMerge w:val="restart"/>
            <w:noWrap w:val="0"/>
            <w:vAlign w:val="top"/>
          </w:tcPr>
          <w:p w14:paraId="39B0FAE1">
            <w:pPr>
              <w:rPr>
                <w:color w:val="auto"/>
                <w:szCs w:val="21"/>
                <w:highlight w:val="none"/>
              </w:rPr>
            </w:pPr>
          </w:p>
        </w:tc>
        <w:tc>
          <w:tcPr>
            <w:tcW w:w="875" w:type="dxa"/>
            <w:vMerge w:val="restart"/>
            <w:tcBorders>
              <w:right w:val="single" w:color="auto" w:sz="4" w:space="0"/>
            </w:tcBorders>
            <w:noWrap w:val="0"/>
            <w:vAlign w:val="top"/>
          </w:tcPr>
          <w:p w14:paraId="47AE7405">
            <w:pPr>
              <w:rPr>
                <w:color w:val="auto"/>
                <w:szCs w:val="21"/>
                <w:highlight w:val="none"/>
              </w:rPr>
            </w:pPr>
          </w:p>
        </w:tc>
        <w:tc>
          <w:tcPr>
            <w:tcW w:w="1106" w:type="dxa"/>
            <w:tcBorders>
              <w:left w:val="single" w:color="auto" w:sz="4" w:space="0"/>
            </w:tcBorders>
            <w:noWrap w:val="0"/>
            <w:vAlign w:val="top"/>
          </w:tcPr>
          <w:p w14:paraId="7929A5CB">
            <w:pPr>
              <w:rPr>
                <w:color w:val="auto"/>
                <w:szCs w:val="21"/>
                <w:highlight w:val="none"/>
              </w:rPr>
            </w:pPr>
          </w:p>
        </w:tc>
        <w:tc>
          <w:tcPr>
            <w:tcW w:w="1850" w:type="dxa"/>
            <w:noWrap w:val="0"/>
            <w:vAlign w:val="top"/>
          </w:tcPr>
          <w:p w14:paraId="7BC44417">
            <w:pPr>
              <w:rPr>
                <w:color w:val="auto"/>
                <w:szCs w:val="21"/>
                <w:highlight w:val="none"/>
              </w:rPr>
            </w:pPr>
          </w:p>
        </w:tc>
        <w:tc>
          <w:tcPr>
            <w:tcW w:w="1850" w:type="dxa"/>
            <w:noWrap w:val="0"/>
            <w:vAlign w:val="top"/>
          </w:tcPr>
          <w:p w14:paraId="2373B89C">
            <w:pPr>
              <w:rPr>
                <w:color w:val="auto"/>
                <w:szCs w:val="21"/>
                <w:highlight w:val="none"/>
              </w:rPr>
            </w:pPr>
          </w:p>
        </w:tc>
        <w:tc>
          <w:tcPr>
            <w:tcW w:w="1183" w:type="dxa"/>
            <w:noWrap w:val="0"/>
            <w:vAlign w:val="top"/>
          </w:tcPr>
          <w:p w14:paraId="609A32D2">
            <w:pPr>
              <w:rPr>
                <w:color w:val="auto"/>
                <w:szCs w:val="21"/>
                <w:highlight w:val="none"/>
              </w:rPr>
            </w:pPr>
          </w:p>
        </w:tc>
        <w:tc>
          <w:tcPr>
            <w:tcW w:w="1038" w:type="dxa"/>
            <w:noWrap w:val="0"/>
            <w:vAlign w:val="top"/>
          </w:tcPr>
          <w:p w14:paraId="441769EB">
            <w:pPr>
              <w:rPr>
                <w:color w:val="auto"/>
                <w:szCs w:val="21"/>
                <w:highlight w:val="none"/>
              </w:rPr>
            </w:pPr>
          </w:p>
        </w:tc>
        <w:tc>
          <w:tcPr>
            <w:tcW w:w="1225" w:type="dxa"/>
            <w:tcBorders>
              <w:bottom w:val="single" w:color="auto" w:sz="4" w:space="0"/>
            </w:tcBorders>
            <w:noWrap w:val="0"/>
            <w:vAlign w:val="top"/>
          </w:tcPr>
          <w:p w14:paraId="3074BF9B">
            <w:pPr>
              <w:rPr>
                <w:color w:val="auto"/>
                <w:szCs w:val="21"/>
                <w:highlight w:val="none"/>
              </w:rPr>
            </w:pPr>
          </w:p>
        </w:tc>
      </w:tr>
      <w:tr w14:paraId="708A5A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jc w:val="center"/>
        </w:trPr>
        <w:tc>
          <w:tcPr>
            <w:tcW w:w="525" w:type="dxa"/>
            <w:vMerge w:val="continue"/>
            <w:noWrap w:val="0"/>
            <w:vAlign w:val="top"/>
          </w:tcPr>
          <w:p w14:paraId="44AD0F53">
            <w:pPr>
              <w:rPr>
                <w:color w:val="auto"/>
                <w:szCs w:val="21"/>
                <w:highlight w:val="none"/>
              </w:rPr>
            </w:pPr>
          </w:p>
        </w:tc>
        <w:tc>
          <w:tcPr>
            <w:tcW w:w="875" w:type="dxa"/>
            <w:vMerge w:val="continue"/>
            <w:tcBorders>
              <w:right w:val="single" w:color="auto" w:sz="4" w:space="0"/>
            </w:tcBorders>
            <w:noWrap w:val="0"/>
            <w:vAlign w:val="top"/>
          </w:tcPr>
          <w:p w14:paraId="651EBD45">
            <w:pPr>
              <w:rPr>
                <w:color w:val="auto"/>
                <w:szCs w:val="21"/>
                <w:highlight w:val="none"/>
              </w:rPr>
            </w:pPr>
          </w:p>
        </w:tc>
        <w:tc>
          <w:tcPr>
            <w:tcW w:w="1106" w:type="dxa"/>
            <w:tcBorders>
              <w:left w:val="single" w:color="auto" w:sz="4" w:space="0"/>
            </w:tcBorders>
            <w:noWrap w:val="0"/>
            <w:vAlign w:val="top"/>
          </w:tcPr>
          <w:p w14:paraId="2D6DB32D">
            <w:pPr>
              <w:rPr>
                <w:color w:val="auto"/>
                <w:szCs w:val="21"/>
                <w:highlight w:val="none"/>
              </w:rPr>
            </w:pPr>
          </w:p>
        </w:tc>
        <w:tc>
          <w:tcPr>
            <w:tcW w:w="1850" w:type="dxa"/>
            <w:noWrap w:val="0"/>
            <w:vAlign w:val="top"/>
          </w:tcPr>
          <w:p w14:paraId="1D80AC94">
            <w:pPr>
              <w:rPr>
                <w:color w:val="auto"/>
                <w:szCs w:val="21"/>
                <w:highlight w:val="none"/>
              </w:rPr>
            </w:pPr>
          </w:p>
        </w:tc>
        <w:tc>
          <w:tcPr>
            <w:tcW w:w="1850" w:type="dxa"/>
            <w:noWrap w:val="0"/>
            <w:vAlign w:val="top"/>
          </w:tcPr>
          <w:p w14:paraId="2A0D140B">
            <w:pPr>
              <w:rPr>
                <w:color w:val="auto"/>
                <w:szCs w:val="21"/>
                <w:highlight w:val="none"/>
              </w:rPr>
            </w:pPr>
          </w:p>
        </w:tc>
        <w:tc>
          <w:tcPr>
            <w:tcW w:w="1183" w:type="dxa"/>
            <w:noWrap w:val="0"/>
            <w:vAlign w:val="top"/>
          </w:tcPr>
          <w:p w14:paraId="759394A5">
            <w:pPr>
              <w:rPr>
                <w:color w:val="auto"/>
                <w:szCs w:val="21"/>
                <w:highlight w:val="none"/>
              </w:rPr>
            </w:pPr>
          </w:p>
        </w:tc>
        <w:tc>
          <w:tcPr>
            <w:tcW w:w="1038" w:type="dxa"/>
            <w:noWrap w:val="0"/>
            <w:vAlign w:val="top"/>
          </w:tcPr>
          <w:p w14:paraId="78ED3EEA">
            <w:pPr>
              <w:rPr>
                <w:color w:val="auto"/>
                <w:szCs w:val="21"/>
                <w:highlight w:val="none"/>
              </w:rPr>
            </w:pPr>
          </w:p>
        </w:tc>
        <w:tc>
          <w:tcPr>
            <w:tcW w:w="1225" w:type="dxa"/>
            <w:tcBorders>
              <w:top w:val="single" w:color="auto" w:sz="4" w:space="0"/>
              <w:bottom w:val="single" w:color="auto" w:sz="4" w:space="0"/>
            </w:tcBorders>
            <w:noWrap w:val="0"/>
            <w:vAlign w:val="top"/>
          </w:tcPr>
          <w:p w14:paraId="475F578C">
            <w:pPr>
              <w:rPr>
                <w:color w:val="auto"/>
                <w:szCs w:val="21"/>
                <w:highlight w:val="none"/>
              </w:rPr>
            </w:pPr>
          </w:p>
        </w:tc>
      </w:tr>
      <w:tr w14:paraId="07E0B9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jc w:val="center"/>
        </w:trPr>
        <w:tc>
          <w:tcPr>
            <w:tcW w:w="525" w:type="dxa"/>
            <w:vMerge w:val="continue"/>
            <w:noWrap w:val="0"/>
            <w:vAlign w:val="top"/>
          </w:tcPr>
          <w:p w14:paraId="7D8B4EF7">
            <w:pPr>
              <w:rPr>
                <w:color w:val="auto"/>
                <w:szCs w:val="21"/>
                <w:highlight w:val="none"/>
              </w:rPr>
            </w:pPr>
          </w:p>
        </w:tc>
        <w:tc>
          <w:tcPr>
            <w:tcW w:w="875" w:type="dxa"/>
            <w:vMerge w:val="continue"/>
            <w:tcBorders>
              <w:right w:val="single" w:color="auto" w:sz="4" w:space="0"/>
            </w:tcBorders>
            <w:noWrap w:val="0"/>
            <w:vAlign w:val="top"/>
          </w:tcPr>
          <w:p w14:paraId="0AC1A1B6">
            <w:pPr>
              <w:rPr>
                <w:color w:val="auto"/>
                <w:szCs w:val="21"/>
                <w:highlight w:val="none"/>
              </w:rPr>
            </w:pPr>
          </w:p>
        </w:tc>
        <w:tc>
          <w:tcPr>
            <w:tcW w:w="1106" w:type="dxa"/>
            <w:tcBorders>
              <w:left w:val="single" w:color="auto" w:sz="4" w:space="0"/>
            </w:tcBorders>
            <w:noWrap w:val="0"/>
            <w:vAlign w:val="top"/>
          </w:tcPr>
          <w:p w14:paraId="22A87458">
            <w:pPr>
              <w:rPr>
                <w:color w:val="auto"/>
                <w:szCs w:val="21"/>
                <w:highlight w:val="none"/>
              </w:rPr>
            </w:pPr>
          </w:p>
        </w:tc>
        <w:tc>
          <w:tcPr>
            <w:tcW w:w="1850" w:type="dxa"/>
            <w:noWrap w:val="0"/>
            <w:vAlign w:val="top"/>
          </w:tcPr>
          <w:p w14:paraId="52F76EC4">
            <w:pPr>
              <w:rPr>
                <w:color w:val="auto"/>
                <w:szCs w:val="21"/>
                <w:highlight w:val="none"/>
              </w:rPr>
            </w:pPr>
          </w:p>
        </w:tc>
        <w:tc>
          <w:tcPr>
            <w:tcW w:w="1850" w:type="dxa"/>
            <w:noWrap w:val="0"/>
            <w:vAlign w:val="top"/>
          </w:tcPr>
          <w:p w14:paraId="34A4D03E">
            <w:pPr>
              <w:rPr>
                <w:color w:val="auto"/>
                <w:szCs w:val="21"/>
                <w:highlight w:val="none"/>
              </w:rPr>
            </w:pPr>
          </w:p>
        </w:tc>
        <w:tc>
          <w:tcPr>
            <w:tcW w:w="1183" w:type="dxa"/>
            <w:noWrap w:val="0"/>
            <w:vAlign w:val="top"/>
          </w:tcPr>
          <w:p w14:paraId="65EDC2E4">
            <w:pPr>
              <w:rPr>
                <w:color w:val="auto"/>
                <w:szCs w:val="21"/>
                <w:highlight w:val="none"/>
              </w:rPr>
            </w:pPr>
          </w:p>
        </w:tc>
        <w:tc>
          <w:tcPr>
            <w:tcW w:w="1038" w:type="dxa"/>
            <w:noWrap w:val="0"/>
            <w:vAlign w:val="top"/>
          </w:tcPr>
          <w:p w14:paraId="0A5BEB96">
            <w:pPr>
              <w:rPr>
                <w:color w:val="auto"/>
                <w:szCs w:val="21"/>
                <w:highlight w:val="none"/>
              </w:rPr>
            </w:pPr>
          </w:p>
        </w:tc>
        <w:tc>
          <w:tcPr>
            <w:tcW w:w="1225" w:type="dxa"/>
            <w:tcBorders>
              <w:top w:val="single" w:color="auto" w:sz="4" w:space="0"/>
              <w:bottom w:val="single" w:color="auto" w:sz="4" w:space="0"/>
            </w:tcBorders>
            <w:noWrap w:val="0"/>
            <w:vAlign w:val="top"/>
          </w:tcPr>
          <w:p w14:paraId="6A8AD53C">
            <w:pPr>
              <w:rPr>
                <w:color w:val="auto"/>
                <w:szCs w:val="21"/>
                <w:highlight w:val="none"/>
              </w:rPr>
            </w:pPr>
          </w:p>
        </w:tc>
      </w:tr>
      <w:tr w14:paraId="0E91CA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jc w:val="center"/>
        </w:trPr>
        <w:tc>
          <w:tcPr>
            <w:tcW w:w="525" w:type="dxa"/>
            <w:vMerge w:val="continue"/>
            <w:noWrap w:val="0"/>
            <w:vAlign w:val="top"/>
          </w:tcPr>
          <w:p w14:paraId="2515657D">
            <w:pPr>
              <w:rPr>
                <w:color w:val="auto"/>
                <w:szCs w:val="21"/>
                <w:highlight w:val="none"/>
              </w:rPr>
            </w:pPr>
          </w:p>
        </w:tc>
        <w:tc>
          <w:tcPr>
            <w:tcW w:w="875" w:type="dxa"/>
            <w:vMerge w:val="continue"/>
            <w:tcBorders>
              <w:right w:val="single" w:color="auto" w:sz="4" w:space="0"/>
            </w:tcBorders>
            <w:noWrap w:val="0"/>
            <w:vAlign w:val="top"/>
          </w:tcPr>
          <w:p w14:paraId="19137590">
            <w:pPr>
              <w:rPr>
                <w:color w:val="auto"/>
                <w:szCs w:val="21"/>
                <w:highlight w:val="none"/>
              </w:rPr>
            </w:pPr>
          </w:p>
        </w:tc>
        <w:tc>
          <w:tcPr>
            <w:tcW w:w="1106" w:type="dxa"/>
            <w:tcBorders>
              <w:left w:val="single" w:color="auto" w:sz="4" w:space="0"/>
            </w:tcBorders>
            <w:noWrap w:val="0"/>
            <w:vAlign w:val="top"/>
          </w:tcPr>
          <w:p w14:paraId="4E54C3D5">
            <w:pPr>
              <w:rPr>
                <w:color w:val="auto"/>
                <w:szCs w:val="21"/>
                <w:highlight w:val="none"/>
              </w:rPr>
            </w:pPr>
          </w:p>
        </w:tc>
        <w:tc>
          <w:tcPr>
            <w:tcW w:w="1850" w:type="dxa"/>
            <w:noWrap w:val="0"/>
            <w:vAlign w:val="top"/>
          </w:tcPr>
          <w:p w14:paraId="2805487B">
            <w:pPr>
              <w:rPr>
                <w:color w:val="auto"/>
                <w:szCs w:val="21"/>
                <w:highlight w:val="none"/>
              </w:rPr>
            </w:pPr>
          </w:p>
        </w:tc>
        <w:tc>
          <w:tcPr>
            <w:tcW w:w="1850" w:type="dxa"/>
            <w:noWrap w:val="0"/>
            <w:vAlign w:val="top"/>
          </w:tcPr>
          <w:p w14:paraId="2145A4CD">
            <w:pPr>
              <w:rPr>
                <w:color w:val="auto"/>
                <w:szCs w:val="21"/>
                <w:highlight w:val="none"/>
              </w:rPr>
            </w:pPr>
          </w:p>
        </w:tc>
        <w:tc>
          <w:tcPr>
            <w:tcW w:w="1183" w:type="dxa"/>
            <w:noWrap w:val="0"/>
            <w:vAlign w:val="top"/>
          </w:tcPr>
          <w:p w14:paraId="1E1210B9">
            <w:pPr>
              <w:rPr>
                <w:color w:val="auto"/>
                <w:szCs w:val="21"/>
                <w:highlight w:val="none"/>
              </w:rPr>
            </w:pPr>
          </w:p>
        </w:tc>
        <w:tc>
          <w:tcPr>
            <w:tcW w:w="1038" w:type="dxa"/>
            <w:noWrap w:val="0"/>
            <w:vAlign w:val="top"/>
          </w:tcPr>
          <w:p w14:paraId="6A11103F">
            <w:pPr>
              <w:rPr>
                <w:color w:val="auto"/>
                <w:szCs w:val="21"/>
                <w:highlight w:val="none"/>
              </w:rPr>
            </w:pPr>
          </w:p>
        </w:tc>
        <w:tc>
          <w:tcPr>
            <w:tcW w:w="1225" w:type="dxa"/>
            <w:tcBorders>
              <w:top w:val="single" w:color="auto" w:sz="4" w:space="0"/>
              <w:bottom w:val="single" w:color="auto" w:sz="4" w:space="0"/>
            </w:tcBorders>
            <w:noWrap w:val="0"/>
            <w:vAlign w:val="top"/>
          </w:tcPr>
          <w:p w14:paraId="3C1700D2">
            <w:pPr>
              <w:rPr>
                <w:color w:val="auto"/>
                <w:szCs w:val="21"/>
                <w:highlight w:val="none"/>
              </w:rPr>
            </w:pPr>
          </w:p>
        </w:tc>
      </w:tr>
      <w:tr w14:paraId="20375B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jc w:val="center"/>
        </w:trPr>
        <w:tc>
          <w:tcPr>
            <w:tcW w:w="525" w:type="dxa"/>
            <w:vMerge w:val="continue"/>
            <w:noWrap w:val="0"/>
            <w:vAlign w:val="top"/>
          </w:tcPr>
          <w:p w14:paraId="7D8FFA88">
            <w:pPr>
              <w:rPr>
                <w:color w:val="auto"/>
                <w:szCs w:val="21"/>
                <w:highlight w:val="none"/>
              </w:rPr>
            </w:pPr>
          </w:p>
        </w:tc>
        <w:tc>
          <w:tcPr>
            <w:tcW w:w="875" w:type="dxa"/>
            <w:vMerge w:val="continue"/>
            <w:tcBorders>
              <w:right w:val="single" w:color="auto" w:sz="4" w:space="0"/>
            </w:tcBorders>
            <w:noWrap w:val="0"/>
            <w:vAlign w:val="top"/>
          </w:tcPr>
          <w:p w14:paraId="62979726">
            <w:pPr>
              <w:rPr>
                <w:color w:val="auto"/>
                <w:szCs w:val="21"/>
                <w:highlight w:val="none"/>
              </w:rPr>
            </w:pPr>
          </w:p>
        </w:tc>
        <w:tc>
          <w:tcPr>
            <w:tcW w:w="1106" w:type="dxa"/>
            <w:tcBorders>
              <w:left w:val="single" w:color="auto" w:sz="4" w:space="0"/>
            </w:tcBorders>
            <w:noWrap w:val="0"/>
            <w:vAlign w:val="top"/>
          </w:tcPr>
          <w:p w14:paraId="45C720D2">
            <w:pPr>
              <w:rPr>
                <w:color w:val="auto"/>
                <w:szCs w:val="21"/>
                <w:highlight w:val="none"/>
              </w:rPr>
            </w:pPr>
          </w:p>
        </w:tc>
        <w:tc>
          <w:tcPr>
            <w:tcW w:w="1850" w:type="dxa"/>
            <w:noWrap w:val="0"/>
            <w:vAlign w:val="top"/>
          </w:tcPr>
          <w:p w14:paraId="1D06A0E7">
            <w:pPr>
              <w:rPr>
                <w:color w:val="auto"/>
                <w:szCs w:val="21"/>
                <w:highlight w:val="none"/>
              </w:rPr>
            </w:pPr>
          </w:p>
        </w:tc>
        <w:tc>
          <w:tcPr>
            <w:tcW w:w="1850" w:type="dxa"/>
            <w:noWrap w:val="0"/>
            <w:vAlign w:val="top"/>
          </w:tcPr>
          <w:p w14:paraId="016916C8">
            <w:pPr>
              <w:rPr>
                <w:color w:val="auto"/>
                <w:szCs w:val="21"/>
                <w:highlight w:val="none"/>
              </w:rPr>
            </w:pPr>
          </w:p>
        </w:tc>
        <w:tc>
          <w:tcPr>
            <w:tcW w:w="1183" w:type="dxa"/>
            <w:noWrap w:val="0"/>
            <w:vAlign w:val="top"/>
          </w:tcPr>
          <w:p w14:paraId="472E9CD9">
            <w:pPr>
              <w:rPr>
                <w:color w:val="auto"/>
                <w:szCs w:val="21"/>
                <w:highlight w:val="none"/>
              </w:rPr>
            </w:pPr>
          </w:p>
        </w:tc>
        <w:tc>
          <w:tcPr>
            <w:tcW w:w="1038" w:type="dxa"/>
            <w:noWrap w:val="0"/>
            <w:vAlign w:val="top"/>
          </w:tcPr>
          <w:p w14:paraId="2C351358">
            <w:pPr>
              <w:rPr>
                <w:color w:val="auto"/>
                <w:szCs w:val="21"/>
                <w:highlight w:val="none"/>
              </w:rPr>
            </w:pPr>
          </w:p>
        </w:tc>
        <w:tc>
          <w:tcPr>
            <w:tcW w:w="1225" w:type="dxa"/>
            <w:tcBorders>
              <w:top w:val="single" w:color="auto" w:sz="4" w:space="0"/>
            </w:tcBorders>
            <w:noWrap w:val="0"/>
            <w:vAlign w:val="top"/>
          </w:tcPr>
          <w:p w14:paraId="04EA92E0">
            <w:pPr>
              <w:rPr>
                <w:color w:val="auto"/>
                <w:szCs w:val="21"/>
                <w:highlight w:val="none"/>
              </w:rPr>
            </w:pPr>
          </w:p>
        </w:tc>
      </w:tr>
    </w:tbl>
    <w:p w14:paraId="25ED3E1F">
      <w:pPr>
        <w:adjustRightInd w:val="0"/>
        <w:snapToGrid w:val="0"/>
        <w:spacing w:line="360" w:lineRule="auto"/>
        <w:rPr>
          <w:rFonts w:ascii="宋体" w:hAnsi="宋体"/>
          <w:spacing w:val="28"/>
          <w:szCs w:val="21"/>
        </w:rPr>
      </w:pPr>
      <w:r>
        <w:rPr>
          <w:rFonts w:hint="eastAsia" w:ascii="宋体" w:hAnsi="宋体"/>
          <w:b/>
          <w:bCs/>
          <w:sz w:val="24"/>
        </w:rPr>
        <w:br w:type="page"/>
      </w:r>
    </w:p>
    <w:p w14:paraId="1A113445">
      <w:pPr>
        <w:pStyle w:val="4"/>
        <w:adjustRightInd w:val="0"/>
        <w:snapToGrid w:val="0"/>
        <w:spacing w:beforeLines="50" w:after="0" w:line="360" w:lineRule="auto"/>
        <w:jc w:val="center"/>
        <w:rPr>
          <w:rFonts w:ascii="宋体" w:hAnsi="宋体"/>
          <w:spacing w:val="28"/>
          <w:szCs w:val="21"/>
        </w:rPr>
      </w:pPr>
      <w:r>
        <w:rPr>
          <w:rFonts w:hint="eastAsia" w:ascii="黑体" w:hAnsi="黑体" w:eastAsia="黑体"/>
          <w:sz w:val="28"/>
          <w:szCs w:val="28"/>
        </w:rPr>
        <w:t>八、合同商务条款偏离表</w:t>
      </w:r>
    </w:p>
    <w:p w14:paraId="05CE4224">
      <w:pPr>
        <w:adjustRightInd w:val="0"/>
        <w:snapToGrid w:val="0"/>
        <w:spacing w:beforeLines="50" w:line="360" w:lineRule="auto"/>
        <w:rPr>
          <w:rFonts w:ascii="宋体" w:hAnsi="宋体"/>
          <w:szCs w:val="21"/>
          <w:u w:val="single"/>
        </w:rPr>
      </w:pPr>
      <w:r>
        <w:rPr>
          <w:rFonts w:hint="eastAsia" w:ascii="宋体" w:hAnsi="宋体"/>
          <w:spacing w:val="28"/>
          <w:szCs w:val="21"/>
        </w:rPr>
        <w:t>采购代理编号</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项目名称：</w:t>
      </w:r>
      <w:r>
        <w:rPr>
          <w:rFonts w:hint="eastAsia" w:ascii="宋体" w:hAnsi="宋体"/>
          <w:szCs w:val="21"/>
          <w:u w:val="single"/>
        </w:rPr>
        <w:t xml:space="preserve">                      </w:t>
      </w:r>
    </w:p>
    <w:p w14:paraId="04261C7E">
      <w:pPr>
        <w:adjustRightInd w:val="0"/>
        <w:snapToGrid w:val="0"/>
        <w:spacing w:before="50" w:line="360" w:lineRule="auto"/>
        <w:rPr>
          <w:rFonts w:ascii="宋体" w:hAnsi="宋体"/>
          <w:szCs w:val="21"/>
          <w:u w:val="single"/>
        </w:rPr>
      </w:pPr>
      <w:r>
        <w:rPr>
          <w:rFonts w:hint="eastAsia" w:ascii="宋体" w:hAnsi="宋体"/>
          <w:szCs w:val="21"/>
        </w:rPr>
        <w:t>包           号：</w:t>
      </w:r>
      <w:r>
        <w:rPr>
          <w:rFonts w:hint="eastAsia" w:ascii="宋体" w:hAnsi="宋体"/>
          <w:szCs w:val="21"/>
          <w:u w:val="single"/>
        </w:rPr>
        <w:t xml:space="preserve">                        </w:t>
      </w:r>
      <w:r>
        <w:rPr>
          <w:rFonts w:hint="eastAsia" w:ascii="宋体" w:hAnsi="宋体"/>
          <w:szCs w:val="21"/>
        </w:rPr>
        <w:t xml:space="preserve">           包名称：</w:t>
      </w:r>
      <w:r>
        <w:rPr>
          <w:rFonts w:hint="eastAsia" w:ascii="宋体" w:hAnsi="宋体"/>
          <w:szCs w:val="21"/>
          <w:u w:val="single"/>
        </w:rPr>
        <w:t xml:space="preserve">                        </w:t>
      </w:r>
    </w:p>
    <w:tbl>
      <w:tblPr>
        <w:tblStyle w:val="40"/>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3288DF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noWrap/>
            <w:vAlign w:val="center"/>
          </w:tcPr>
          <w:p w14:paraId="5C3AC27C">
            <w:pPr>
              <w:adjustRightInd w:val="0"/>
              <w:snapToGrid w:val="0"/>
              <w:spacing w:before="50" w:line="360" w:lineRule="auto"/>
              <w:ind w:left="-88" w:leftChars="-42"/>
              <w:jc w:val="center"/>
              <w:rPr>
                <w:rFonts w:ascii="宋体" w:hAnsi="宋体"/>
                <w:szCs w:val="21"/>
              </w:rPr>
            </w:pPr>
            <w:r>
              <w:rPr>
                <w:rFonts w:hint="eastAsia" w:ascii="宋体" w:hAnsi="宋体"/>
                <w:bCs/>
                <w:szCs w:val="21"/>
              </w:rPr>
              <w:t>序</w:t>
            </w:r>
            <w:r>
              <w:rPr>
                <w:rFonts w:hint="eastAsia" w:ascii="宋体" w:hAnsi="宋体"/>
                <w:szCs w:val="21"/>
              </w:rPr>
              <w:t>号</w:t>
            </w:r>
          </w:p>
        </w:tc>
        <w:tc>
          <w:tcPr>
            <w:tcW w:w="2410" w:type="dxa"/>
            <w:noWrap/>
            <w:vAlign w:val="center"/>
          </w:tcPr>
          <w:p w14:paraId="661F2979">
            <w:pPr>
              <w:adjustRightInd w:val="0"/>
              <w:snapToGrid w:val="0"/>
              <w:spacing w:before="50" w:line="360" w:lineRule="auto"/>
              <w:ind w:left="-88" w:leftChars="-42"/>
              <w:jc w:val="center"/>
              <w:rPr>
                <w:rFonts w:ascii="宋体" w:hAnsi="宋体"/>
                <w:szCs w:val="21"/>
              </w:rPr>
            </w:pPr>
            <w:r>
              <w:rPr>
                <w:rFonts w:hint="eastAsia" w:ascii="宋体" w:hAnsi="宋体"/>
                <w:szCs w:val="21"/>
              </w:rPr>
              <w:t>招标文件章节</w:t>
            </w:r>
            <w:r>
              <w:rPr>
                <w:rFonts w:hint="eastAsia" w:ascii="宋体" w:hAnsi="宋体"/>
                <w:bCs/>
                <w:szCs w:val="21"/>
              </w:rPr>
              <w:t>条</w:t>
            </w:r>
            <w:r>
              <w:rPr>
                <w:rFonts w:hint="eastAsia" w:ascii="宋体" w:hAnsi="宋体"/>
                <w:szCs w:val="21"/>
              </w:rPr>
              <w:t>款号</w:t>
            </w:r>
          </w:p>
        </w:tc>
        <w:tc>
          <w:tcPr>
            <w:tcW w:w="1985" w:type="dxa"/>
            <w:noWrap/>
            <w:vAlign w:val="center"/>
          </w:tcPr>
          <w:p w14:paraId="7A539896">
            <w:pPr>
              <w:adjustRightInd w:val="0"/>
              <w:snapToGrid w:val="0"/>
              <w:spacing w:before="50" w:line="360" w:lineRule="auto"/>
              <w:ind w:left="-88" w:leftChars="-42"/>
              <w:jc w:val="center"/>
              <w:rPr>
                <w:rFonts w:ascii="宋体" w:hAnsi="宋体"/>
                <w:szCs w:val="21"/>
              </w:rPr>
            </w:pPr>
            <w:r>
              <w:rPr>
                <w:rFonts w:hint="eastAsia"/>
              </w:rPr>
              <w:t>招标文件要求</w:t>
            </w:r>
          </w:p>
        </w:tc>
        <w:tc>
          <w:tcPr>
            <w:tcW w:w="2082" w:type="dxa"/>
            <w:tcBorders>
              <w:right w:val="single" w:color="auto" w:sz="4" w:space="0"/>
            </w:tcBorders>
            <w:noWrap/>
            <w:vAlign w:val="center"/>
          </w:tcPr>
          <w:p w14:paraId="2E8992AB">
            <w:pPr>
              <w:adjustRightInd w:val="0"/>
              <w:snapToGrid w:val="0"/>
              <w:spacing w:before="50" w:line="360" w:lineRule="auto"/>
              <w:jc w:val="center"/>
              <w:rPr>
                <w:rFonts w:ascii="宋体" w:hAnsi="宋体"/>
                <w:szCs w:val="21"/>
              </w:rPr>
            </w:pPr>
            <w:r>
              <w:rPr>
                <w:rFonts w:hint="eastAsia"/>
              </w:rPr>
              <w:t>投标文件的应答</w:t>
            </w:r>
          </w:p>
        </w:tc>
        <w:tc>
          <w:tcPr>
            <w:tcW w:w="1942" w:type="dxa"/>
            <w:tcBorders>
              <w:left w:val="single" w:color="auto" w:sz="4" w:space="0"/>
            </w:tcBorders>
            <w:noWrap/>
            <w:vAlign w:val="center"/>
          </w:tcPr>
          <w:p w14:paraId="72D50126">
            <w:pPr>
              <w:adjustRightInd w:val="0"/>
              <w:snapToGrid w:val="0"/>
              <w:spacing w:before="50" w:line="360" w:lineRule="auto"/>
              <w:ind w:left="-88" w:leftChars="-42"/>
              <w:jc w:val="center"/>
              <w:rPr>
                <w:rFonts w:ascii="宋体" w:hAnsi="宋体"/>
                <w:szCs w:val="21"/>
              </w:rPr>
            </w:pPr>
            <w:r>
              <w:rPr>
                <w:rFonts w:hint="eastAsia" w:ascii="宋体" w:hAnsi="宋体"/>
                <w:szCs w:val="21"/>
              </w:rPr>
              <w:t>偏离说明</w:t>
            </w:r>
          </w:p>
        </w:tc>
      </w:tr>
      <w:tr w14:paraId="71CF7E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ign w:val="center"/>
          </w:tcPr>
          <w:p w14:paraId="05CA1A65">
            <w:pPr>
              <w:adjustRightInd w:val="0"/>
              <w:snapToGrid w:val="0"/>
              <w:spacing w:before="50" w:line="360" w:lineRule="auto"/>
              <w:ind w:left="-88" w:leftChars="-42"/>
              <w:jc w:val="center"/>
              <w:rPr>
                <w:rFonts w:ascii="宋体" w:hAnsi="宋体"/>
                <w:szCs w:val="21"/>
              </w:rPr>
            </w:pPr>
          </w:p>
        </w:tc>
        <w:tc>
          <w:tcPr>
            <w:tcW w:w="2410" w:type="dxa"/>
            <w:noWrap/>
            <w:vAlign w:val="center"/>
          </w:tcPr>
          <w:p w14:paraId="328240F1">
            <w:pPr>
              <w:adjustRightInd w:val="0"/>
              <w:snapToGrid w:val="0"/>
              <w:spacing w:before="50" w:line="360" w:lineRule="auto"/>
              <w:ind w:left="-88" w:leftChars="-42"/>
              <w:jc w:val="center"/>
              <w:rPr>
                <w:rFonts w:ascii="宋体" w:hAnsi="宋体"/>
                <w:szCs w:val="21"/>
              </w:rPr>
            </w:pPr>
          </w:p>
        </w:tc>
        <w:tc>
          <w:tcPr>
            <w:tcW w:w="1985" w:type="dxa"/>
            <w:noWrap/>
          </w:tcPr>
          <w:p w14:paraId="66E88D73">
            <w:pPr>
              <w:adjustRightInd w:val="0"/>
              <w:snapToGrid w:val="0"/>
              <w:spacing w:before="50" w:line="360" w:lineRule="auto"/>
            </w:pPr>
          </w:p>
        </w:tc>
        <w:tc>
          <w:tcPr>
            <w:tcW w:w="2082" w:type="dxa"/>
            <w:tcBorders>
              <w:right w:val="single" w:color="auto" w:sz="4" w:space="0"/>
            </w:tcBorders>
            <w:noWrap/>
          </w:tcPr>
          <w:p w14:paraId="6EB573F2">
            <w:pPr>
              <w:adjustRightInd w:val="0"/>
              <w:snapToGrid w:val="0"/>
              <w:spacing w:before="50" w:line="360" w:lineRule="auto"/>
            </w:pPr>
          </w:p>
        </w:tc>
        <w:tc>
          <w:tcPr>
            <w:tcW w:w="1942" w:type="dxa"/>
            <w:tcBorders>
              <w:left w:val="single" w:color="auto" w:sz="4" w:space="0"/>
            </w:tcBorders>
            <w:noWrap/>
          </w:tcPr>
          <w:p w14:paraId="62E95029">
            <w:pPr>
              <w:adjustRightInd w:val="0"/>
              <w:snapToGrid w:val="0"/>
              <w:spacing w:before="50" w:line="360" w:lineRule="auto"/>
              <w:ind w:left="-88" w:leftChars="-42"/>
              <w:jc w:val="center"/>
              <w:rPr>
                <w:rFonts w:ascii="宋体" w:hAnsi="宋体"/>
                <w:szCs w:val="21"/>
              </w:rPr>
            </w:pPr>
          </w:p>
        </w:tc>
      </w:tr>
      <w:tr w14:paraId="0094FC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ign w:val="center"/>
          </w:tcPr>
          <w:p w14:paraId="53301C68">
            <w:pPr>
              <w:adjustRightInd w:val="0"/>
              <w:snapToGrid w:val="0"/>
              <w:spacing w:before="50" w:line="360" w:lineRule="auto"/>
              <w:ind w:left="-88" w:leftChars="-42"/>
              <w:jc w:val="center"/>
              <w:rPr>
                <w:rFonts w:ascii="宋体" w:hAnsi="宋体"/>
                <w:szCs w:val="21"/>
              </w:rPr>
            </w:pPr>
          </w:p>
        </w:tc>
        <w:tc>
          <w:tcPr>
            <w:tcW w:w="2410" w:type="dxa"/>
            <w:noWrap/>
            <w:vAlign w:val="center"/>
          </w:tcPr>
          <w:p w14:paraId="6DE370E5">
            <w:pPr>
              <w:adjustRightInd w:val="0"/>
              <w:snapToGrid w:val="0"/>
              <w:spacing w:before="50" w:line="360" w:lineRule="auto"/>
              <w:ind w:left="-88" w:leftChars="-42"/>
              <w:jc w:val="center"/>
              <w:rPr>
                <w:rFonts w:ascii="宋体" w:hAnsi="宋体"/>
                <w:szCs w:val="21"/>
              </w:rPr>
            </w:pPr>
          </w:p>
        </w:tc>
        <w:tc>
          <w:tcPr>
            <w:tcW w:w="1985" w:type="dxa"/>
            <w:noWrap/>
            <w:vAlign w:val="center"/>
          </w:tcPr>
          <w:p w14:paraId="4E6C72E1">
            <w:pPr>
              <w:adjustRightInd w:val="0"/>
              <w:snapToGrid w:val="0"/>
              <w:spacing w:before="50" w:line="360" w:lineRule="auto"/>
              <w:ind w:left="-88" w:leftChars="-42"/>
              <w:jc w:val="center"/>
              <w:rPr>
                <w:rFonts w:ascii="宋体" w:hAnsi="宋体"/>
                <w:szCs w:val="21"/>
              </w:rPr>
            </w:pPr>
          </w:p>
        </w:tc>
        <w:tc>
          <w:tcPr>
            <w:tcW w:w="2082" w:type="dxa"/>
            <w:tcBorders>
              <w:right w:val="single" w:color="auto" w:sz="4" w:space="0"/>
            </w:tcBorders>
            <w:noWrap/>
            <w:vAlign w:val="center"/>
          </w:tcPr>
          <w:p w14:paraId="5A4B0015">
            <w:pPr>
              <w:adjustRightInd w:val="0"/>
              <w:snapToGrid w:val="0"/>
              <w:spacing w:before="50" w:line="360" w:lineRule="auto"/>
              <w:ind w:left="-88" w:leftChars="-42"/>
              <w:jc w:val="center"/>
              <w:rPr>
                <w:rFonts w:ascii="宋体" w:hAnsi="宋体"/>
                <w:szCs w:val="21"/>
              </w:rPr>
            </w:pPr>
          </w:p>
        </w:tc>
        <w:tc>
          <w:tcPr>
            <w:tcW w:w="1942" w:type="dxa"/>
            <w:tcBorders>
              <w:left w:val="single" w:color="auto" w:sz="4" w:space="0"/>
            </w:tcBorders>
            <w:noWrap/>
            <w:vAlign w:val="center"/>
          </w:tcPr>
          <w:p w14:paraId="2BEBBB2A">
            <w:pPr>
              <w:adjustRightInd w:val="0"/>
              <w:snapToGrid w:val="0"/>
              <w:spacing w:before="50" w:line="360" w:lineRule="auto"/>
              <w:ind w:left="-88" w:leftChars="-42"/>
              <w:jc w:val="center"/>
              <w:rPr>
                <w:rFonts w:ascii="宋体" w:hAnsi="宋体"/>
                <w:szCs w:val="21"/>
              </w:rPr>
            </w:pPr>
          </w:p>
        </w:tc>
      </w:tr>
      <w:tr w14:paraId="605EDD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ign w:val="center"/>
          </w:tcPr>
          <w:p w14:paraId="023A3670">
            <w:pPr>
              <w:adjustRightInd w:val="0"/>
              <w:snapToGrid w:val="0"/>
              <w:spacing w:before="50" w:line="360" w:lineRule="auto"/>
              <w:ind w:left="-88" w:leftChars="-42"/>
              <w:jc w:val="center"/>
              <w:rPr>
                <w:rFonts w:ascii="宋体" w:hAnsi="宋体"/>
                <w:szCs w:val="21"/>
              </w:rPr>
            </w:pPr>
          </w:p>
        </w:tc>
        <w:tc>
          <w:tcPr>
            <w:tcW w:w="2410" w:type="dxa"/>
            <w:noWrap/>
            <w:vAlign w:val="center"/>
          </w:tcPr>
          <w:p w14:paraId="45FBB748">
            <w:pPr>
              <w:adjustRightInd w:val="0"/>
              <w:snapToGrid w:val="0"/>
              <w:spacing w:before="50" w:line="360" w:lineRule="auto"/>
              <w:ind w:left="-88" w:leftChars="-42"/>
              <w:jc w:val="center"/>
              <w:rPr>
                <w:rFonts w:ascii="宋体" w:hAnsi="宋体"/>
                <w:szCs w:val="21"/>
              </w:rPr>
            </w:pPr>
          </w:p>
        </w:tc>
        <w:tc>
          <w:tcPr>
            <w:tcW w:w="1985" w:type="dxa"/>
            <w:noWrap/>
            <w:vAlign w:val="center"/>
          </w:tcPr>
          <w:p w14:paraId="6CB1E3DD">
            <w:pPr>
              <w:adjustRightInd w:val="0"/>
              <w:snapToGrid w:val="0"/>
              <w:spacing w:before="50" w:line="360" w:lineRule="auto"/>
              <w:ind w:left="-88" w:leftChars="-42"/>
              <w:jc w:val="center"/>
              <w:rPr>
                <w:rFonts w:ascii="宋体" w:hAnsi="宋体"/>
                <w:szCs w:val="21"/>
              </w:rPr>
            </w:pPr>
          </w:p>
        </w:tc>
        <w:tc>
          <w:tcPr>
            <w:tcW w:w="2082" w:type="dxa"/>
            <w:tcBorders>
              <w:right w:val="single" w:color="auto" w:sz="4" w:space="0"/>
            </w:tcBorders>
            <w:noWrap/>
            <w:vAlign w:val="center"/>
          </w:tcPr>
          <w:p w14:paraId="1B43E040">
            <w:pPr>
              <w:adjustRightInd w:val="0"/>
              <w:snapToGrid w:val="0"/>
              <w:spacing w:before="50" w:line="360" w:lineRule="auto"/>
              <w:ind w:left="-88" w:leftChars="-42"/>
              <w:jc w:val="center"/>
              <w:rPr>
                <w:rFonts w:ascii="宋体" w:hAnsi="宋体"/>
                <w:szCs w:val="21"/>
              </w:rPr>
            </w:pPr>
          </w:p>
        </w:tc>
        <w:tc>
          <w:tcPr>
            <w:tcW w:w="1942" w:type="dxa"/>
            <w:tcBorders>
              <w:left w:val="single" w:color="auto" w:sz="4" w:space="0"/>
            </w:tcBorders>
            <w:noWrap/>
            <w:vAlign w:val="center"/>
          </w:tcPr>
          <w:p w14:paraId="79F2EBE6">
            <w:pPr>
              <w:adjustRightInd w:val="0"/>
              <w:snapToGrid w:val="0"/>
              <w:spacing w:before="50" w:line="360" w:lineRule="auto"/>
              <w:ind w:left="-88" w:leftChars="-42"/>
              <w:jc w:val="center"/>
              <w:rPr>
                <w:rFonts w:ascii="宋体" w:hAnsi="宋体"/>
                <w:szCs w:val="21"/>
              </w:rPr>
            </w:pPr>
          </w:p>
        </w:tc>
      </w:tr>
      <w:tr w14:paraId="77A441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ign w:val="center"/>
          </w:tcPr>
          <w:p w14:paraId="4D327B84">
            <w:pPr>
              <w:adjustRightInd w:val="0"/>
              <w:snapToGrid w:val="0"/>
              <w:spacing w:before="50" w:line="360" w:lineRule="auto"/>
              <w:ind w:left="-88" w:leftChars="-42"/>
              <w:jc w:val="center"/>
              <w:rPr>
                <w:rFonts w:ascii="宋体" w:hAnsi="宋体"/>
                <w:szCs w:val="21"/>
              </w:rPr>
            </w:pPr>
          </w:p>
        </w:tc>
        <w:tc>
          <w:tcPr>
            <w:tcW w:w="2410" w:type="dxa"/>
            <w:noWrap/>
            <w:vAlign w:val="center"/>
          </w:tcPr>
          <w:p w14:paraId="01224420">
            <w:pPr>
              <w:adjustRightInd w:val="0"/>
              <w:snapToGrid w:val="0"/>
              <w:spacing w:before="50" w:line="360" w:lineRule="auto"/>
              <w:ind w:left="-88" w:leftChars="-42"/>
              <w:jc w:val="center"/>
              <w:rPr>
                <w:rFonts w:ascii="宋体" w:hAnsi="宋体"/>
                <w:szCs w:val="21"/>
              </w:rPr>
            </w:pPr>
          </w:p>
        </w:tc>
        <w:tc>
          <w:tcPr>
            <w:tcW w:w="1985" w:type="dxa"/>
            <w:noWrap/>
            <w:vAlign w:val="center"/>
          </w:tcPr>
          <w:p w14:paraId="563C4BAE">
            <w:pPr>
              <w:adjustRightInd w:val="0"/>
              <w:snapToGrid w:val="0"/>
              <w:spacing w:before="50" w:line="360" w:lineRule="auto"/>
              <w:ind w:left="-88" w:leftChars="-42"/>
              <w:jc w:val="center"/>
              <w:rPr>
                <w:rFonts w:ascii="宋体" w:hAnsi="宋体"/>
                <w:szCs w:val="21"/>
              </w:rPr>
            </w:pPr>
          </w:p>
        </w:tc>
        <w:tc>
          <w:tcPr>
            <w:tcW w:w="2082" w:type="dxa"/>
            <w:tcBorders>
              <w:right w:val="single" w:color="auto" w:sz="4" w:space="0"/>
            </w:tcBorders>
            <w:noWrap/>
            <w:vAlign w:val="center"/>
          </w:tcPr>
          <w:p w14:paraId="7E59B9B3">
            <w:pPr>
              <w:adjustRightInd w:val="0"/>
              <w:snapToGrid w:val="0"/>
              <w:spacing w:before="50" w:line="360" w:lineRule="auto"/>
              <w:ind w:left="-88" w:leftChars="-42"/>
              <w:jc w:val="center"/>
              <w:rPr>
                <w:rFonts w:ascii="宋体" w:hAnsi="宋体"/>
                <w:szCs w:val="21"/>
              </w:rPr>
            </w:pPr>
          </w:p>
        </w:tc>
        <w:tc>
          <w:tcPr>
            <w:tcW w:w="1942" w:type="dxa"/>
            <w:tcBorders>
              <w:left w:val="single" w:color="auto" w:sz="4" w:space="0"/>
            </w:tcBorders>
            <w:noWrap/>
            <w:vAlign w:val="center"/>
          </w:tcPr>
          <w:p w14:paraId="58C7EE89">
            <w:pPr>
              <w:adjustRightInd w:val="0"/>
              <w:snapToGrid w:val="0"/>
              <w:spacing w:before="50" w:line="360" w:lineRule="auto"/>
              <w:ind w:left="-88" w:leftChars="-42"/>
              <w:jc w:val="center"/>
              <w:rPr>
                <w:rFonts w:ascii="宋体" w:hAnsi="宋体"/>
                <w:szCs w:val="21"/>
              </w:rPr>
            </w:pPr>
          </w:p>
        </w:tc>
      </w:tr>
      <w:tr w14:paraId="1AD5CC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ign w:val="center"/>
          </w:tcPr>
          <w:p w14:paraId="1F501CD2">
            <w:pPr>
              <w:adjustRightInd w:val="0"/>
              <w:snapToGrid w:val="0"/>
              <w:spacing w:before="50" w:line="360" w:lineRule="auto"/>
              <w:ind w:left="-88" w:leftChars="-42"/>
              <w:jc w:val="center"/>
              <w:rPr>
                <w:rFonts w:ascii="宋体" w:hAnsi="宋体"/>
                <w:szCs w:val="21"/>
              </w:rPr>
            </w:pPr>
          </w:p>
        </w:tc>
        <w:tc>
          <w:tcPr>
            <w:tcW w:w="2410" w:type="dxa"/>
            <w:noWrap/>
            <w:vAlign w:val="center"/>
          </w:tcPr>
          <w:p w14:paraId="7E8BC03A">
            <w:pPr>
              <w:adjustRightInd w:val="0"/>
              <w:snapToGrid w:val="0"/>
              <w:spacing w:before="50" w:line="360" w:lineRule="auto"/>
              <w:ind w:left="-88" w:leftChars="-42"/>
              <w:jc w:val="center"/>
              <w:rPr>
                <w:rFonts w:ascii="宋体" w:hAnsi="宋体"/>
                <w:szCs w:val="21"/>
              </w:rPr>
            </w:pPr>
          </w:p>
        </w:tc>
        <w:tc>
          <w:tcPr>
            <w:tcW w:w="1985" w:type="dxa"/>
            <w:noWrap/>
            <w:vAlign w:val="center"/>
          </w:tcPr>
          <w:p w14:paraId="264B03D2">
            <w:pPr>
              <w:adjustRightInd w:val="0"/>
              <w:snapToGrid w:val="0"/>
              <w:spacing w:before="50" w:line="360" w:lineRule="auto"/>
              <w:ind w:left="-88" w:leftChars="-42"/>
              <w:jc w:val="center"/>
              <w:rPr>
                <w:rFonts w:ascii="宋体" w:hAnsi="宋体"/>
                <w:szCs w:val="21"/>
              </w:rPr>
            </w:pPr>
          </w:p>
        </w:tc>
        <w:tc>
          <w:tcPr>
            <w:tcW w:w="2082" w:type="dxa"/>
            <w:tcBorders>
              <w:right w:val="single" w:color="auto" w:sz="4" w:space="0"/>
            </w:tcBorders>
            <w:noWrap/>
            <w:vAlign w:val="center"/>
          </w:tcPr>
          <w:p w14:paraId="50A45FD2">
            <w:pPr>
              <w:adjustRightInd w:val="0"/>
              <w:snapToGrid w:val="0"/>
              <w:spacing w:before="50" w:line="360" w:lineRule="auto"/>
              <w:ind w:left="-88" w:leftChars="-42"/>
              <w:jc w:val="center"/>
              <w:rPr>
                <w:rFonts w:ascii="宋体" w:hAnsi="宋体"/>
                <w:szCs w:val="21"/>
              </w:rPr>
            </w:pPr>
          </w:p>
        </w:tc>
        <w:tc>
          <w:tcPr>
            <w:tcW w:w="1942" w:type="dxa"/>
            <w:tcBorders>
              <w:left w:val="single" w:color="auto" w:sz="4" w:space="0"/>
            </w:tcBorders>
            <w:noWrap/>
            <w:vAlign w:val="center"/>
          </w:tcPr>
          <w:p w14:paraId="18A18646">
            <w:pPr>
              <w:adjustRightInd w:val="0"/>
              <w:snapToGrid w:val="0"/>
              <w:spacing w:before="50" w:line="360" w:lineRule="auto"/>
              <w:ind w:left="-88" w:leftChars="-42"/>
              <w:jc w:val="center"/>
              <w:rPr>
                <w:rFonts w:ascii="宋体" w:hAnsi="宋体"/>
                <w:szCs w:val="21"/>
              </w:rPr>
            </w:pPr>
          </w:p>
        </w:tc>
      </w:tr>
      <w:tr w14:paraId="6BBBE2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ign w:val="center"/>
          </w:tcPr>
          <w:p w14:paraId="16205602">
            <w:pPr>
              <w:adjustRightInd w:val="0"/>
              <w:snapToGrid w:val="0"/>
              <w:spacing w:before="50" w:line="360" w:lineRule="auto"/>
              <w:ind w:left="-88" w:leftChars="-42"/>
              <w:jc w:val="center"/>
              <w:rPr>
                <w:rFonts w:ascii="宋体" w:hAnsi="宋体"/>
                <w:szCs w:val="21"/>
              </w:rPr>
            </w:pPr>
          </w:p>
        </w:tc>
        <w:tc>
          <w:tcPr>
            <w:tcW w:w="2410" w:type="dxa"/>
            <w:noWrap/>
            <w:vAlign w:val="center"/>
          </w:tcPr>
          <w:p w14:paraId="14099B1C">
            <w:pPr>
              <w:adjustRightInd w:val="0"/>
              <w:snapToGrid w:val="0"/>
              <w:spacing w:before="50" w:line="360" w:lineRule="auto"/>
              <w:ind w:left="-88" w:leftChars="-42"/>
              <w:jc w:val="center"/>
              <w:rPr>
                <w:rFonts w:ascii="宋体" w:hAnsi="宋体"/>
                <w:szCs w:val="21"/>
              </w:rPr>
            </w:pPr>
          </w:p>
        </w:tc>
        <w:tc>
          <w:tcPr>
            <w:tcW w:w="1985" w:type="dxa"/>
            <w:noWrap/>
            <w:vAlign w:val="center"/>
          </w:tcPr>
          <w:p w14:paraId="4BA83873">
            <w:pPr>
              <w:adjustRightInd w:val="0"/>
              <w:snapToGrid w:val="0"/>
              <w:spacing w:before="50" w:line="360" w:lineRule="auto"/>
              <w:ind w:left="-88" w:leftChars="-42"/>
              <w:jc w:val="center"/>
              <w:rPr>
                <w:rFonts w:ascii="宋体" w:hAnsi="宋体"/>
                <w:szCs w:val="21"/>
              </w:rPr>
            </w:pPr>
          </w:p>
        </w:tc>
        <w:tc>
          <w:tcPr>
            <w:tcW w:w="2082" w:type="dxa"/>
            <w:tcBorders>
              <w:right w:val="single" w:color="auto" w:sz="4" w:space="0"/>
            </w:tcBorders>
            <w:noWrap/>
            <w:vAlign w:val="center"/>
          </w:tcPr>
          <w:p w14:paraId="3B342423">
            <w:pPr>
              <w:adjustRightInd w:val="0"/>
              <w:snapToGrid w:val="0"/>
              <w:spacing w:before="50" w:line="360" w:lineRule="auto"/>
              <w:ind w:left="-88" w:leftChars="-42"/>
              <w:jc w:val="center"/>
              <w:rPr>
                <w:rFonts w:ascii="宋体" w:hAnsi="宋体"/>
                <w:szCs w:val="21"/>
              </w:rPr>
            </w:pPr>
          </w:p>
        </w:tc>
        <w:tc>
          <w:tcPr>
            <w:tcW w:w="1942" w:type="dxa"/>
            <w:tcBorders>
              <w:left w:val="single" w:color="auto" w:sz="4" w:space="0"/>
            </w:tcBorders>
            <w:noWrap/>
            <w:vAlign w:val="center"/>
          </w:tcPr>
          <w:p w14:paraId="3692B546">
            <w:pPr>
              <w:adjustRightInd w:val="0"/>
              <w:snapToGrid w:val="0"/>
              <w:spacing w:before="50" w:line="360" w:lineRule="auto"/>
              <w:ind w:left="-88" w:leftChars="-42"/>
              <w:jc w:val="center"/>
              <w:rPr>
                <w:rFonts w:ascii="宋体" w:hAnsi="宋体"/>
                <w:szCs w:val="21"/>
              </w:rPr>
            </w:pPr>
          </w:p>
        </w:tc>
      </w:tr>
      <w:tr w14:paraId="6349BE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ign w:val="center"/>
          </w:tcPr>
          <w:p w14:paraId="235E1460">
            <w:pPr>
              <w:adjustRightInd w:val="0"/>
              <w:snapToGrid w:val="0"/>
              <w:spacing w:before="50" w:line="360" w:lineRule="auto"/>
              <w:ind w:left="-88" w:leftChars="-42"/>
              <w:jc w:val="center"/>
              <w:rPr>
                <w:rFonts w:ascii="宋体" w:hAnsi="宋体"/>
                <w:szCs w:val="21"/>
              </w:rPr>
            </w:pPr>
          </w:p>
        </w:tc>
        <w:tc>
          <w:tcPr>
            <w:tcW w:w="2410" w:type="dxa"/>
            <w:noWrap/>
            <w:vAlign w:val="center"/>
          </w:tcPr>
          <w:p w14:paraId="5DF221C9">
            <w:pPr>
              <w:adjustRightInd w:val="0"/>
              <w:snapToGrid w:val="0"/>
              <w:spacing w:before="50" w:line="360" w:lineRule="auto"/>
              <w:ind w:left="-88" w:leftChars="-42"/>
              <w:jc w:val="center"/>
              <w:rPr>
                <w:rFonts w:ascii="宋体" w:hAnsi="宋体"/>
                <w:szCs w:val="21"/>
              </w:rPr>
            </w:pPr>
          </w:p>
        </w:tc>
        <w:tc>
          <w:tcPr>
            <w:tcW w:w="1985" w:type="dxa"/>
            <w:noWrap/>
            <w:vAlign w:val="center"/>
          </w:tcPr>
          <w:p w14:paraId="5E63DFAD">
            <w:pPr>
              <w:adjustRightInd w:val="0"/>
              <w:snapToGrid w:val="0"/>
              <w:spacing w:before="50" w:line="360" w:lineRule="auto"/>
              <w:ind w:left="-88" w:leftChars="-42"/>
              <w:jc w:val="center"/>
              <w:rPr>
                <w:rFonts w:ascii="宋体" w:hAnsi="宋体"/>
                <w:szCs w:val="21"/>
              </w:rPr>
            </w:pPr>
          </w:p>
        </w:tc>
        <w:tc>
          <w:tcPr>
            <w:tcW w:w="4024" w:type="dxa"/>
            <w:gridSpan w:val="2"/>
            <w:noWrap/>
            <w:vAlign w:val="center"/>
          </w:tcPr>
          <w:p w14:paraId="61C003B6">
            <w:pPr>
              <w:adjustRightInd w:val="0"/>
              <w:snapToGrid w:val="0"/>
              <w:spacing w:before="50" w:line="360" w:lineRule="auto"/>
              <w:ind w:firstLine="422" w:firstLineChars="200"/>
              <w:jc w:val="left"/>
              <w:rPr>
                <w:rFonts w:ascii="宋体" w:hAnsi="宋体"/>
                <w:b/>
                <w:szCs w:val="21"/>
              </w:rPr>
            </w:pPr>
            <w:r>
              <w:rPr>
                <w:rFonts w:hint="eastAsia" w:ascii="宋体" w:hAnsi="宋体"/>
                <w:b/>
                <w:szCs w:val="21"/>
              </w:rPr>
              <w:t>投标人保证：除本合同条款偏离表列出的偏离外，我单位对招标文件的其他商务、合同条款完全响应，无偏离。</w:t>
            </w:r>
          </w:p>
        </w:tc>
      </w:tr>
    </w:tbl>
    <w:p w14:paraId="152436A2">
      <w:pPr>
        <w:adjustRightInd w:val="0"/>
        <w:snapToGrid w:val="0"/>
        <w:spacing w:before="50" w:line="360" w:lineRule="auto"/>
        <w:ind w:left="-88" w:leftChars="-42"/>
        <w:rPr>
          <w:rFonts w:ascii="宋体" w:hAnsi="宋体"/>
          <w:szCs w:val="21"/>
        </w:rPr>
      </w:pPr>
      <w:r>
        <w:rPr>
          <w:rFonts w:hint="eastAsia" w:ascii="宋体" w:hAnsi="宋体"/>
          <w:b/>
          <w:szCs w:val="21"/>
        </w:rPr>
        <w:t>备注</w:t>
      </w:r>
      <w:r>
        <w:rPr>
          <w:rFonts w:hint="eastAsia" w:ascii="宋体" w:hAnsi="宋体"/>
          <w:szCs w:val="21"/>
        </w:rPr>
        <w:t>：（1）投标人应根据招标文件第六章</w:t>
      </w:r>
      <w:r>
        <w:rPr>
          <w:rFonts w:hint="eastAsia" w:ascii="华文宋体" w:hAnsi="华文宋体" w:eastAsia="华文宋体"/>
          <w:szCs w:val="21"/>
        </w:rPr>
        <w:t>“</w:t>
      </w:r>
      <w:r>
        <w:rPr>
          <w:rFonts w:hint="eastAsia" w:ascii="宋体" w:hAnsi="宋体"/>
          <w:szCs w:val="21"/>
        </w:rPr>
        <w:t>政府采购合同</w:t>
      </w:r>
      <w:r>
        <w:rPr>
          <w:rFonts w:hint="eastAsia" w:ascii="华文宋体" w:hAnsi="华文宋体" w:eastAsia="华文宋体"/>
          <w:szCs w:val="21"/>
        </w:rPr>
        <w:t>”</w:t>
      </w:r>
      <w:r>
        <w:rPr>
          <w:rFonts w:hint="eastAsia" w:ascii="宋体" w:hAnsi="宋体"/>
          <w:szCs w:val="21"/>
        </w:rPr>
        <w:t>填写本表；</w:t>
      </w:r>
    </w:p>
    <w:p w14:paraId="739CA4F5">
      <w:pPr>
        <w:adjustRightInd w:val="0"/>
        <w:snapToGrid w:val="0"/>
        <w:spacing w:before="50" w:line="360" w:lineRule="auto"/>
        <w:ind w:left="-88" w:leftChars="-42" w:firstLine="420" w:firstLineChars="200"/>
        <w:rPr>
          <w:rFonts w:ascii="宋体" w:hAnsi="宋体"/>
          <w:b/>
          <w:szCs w:val="21"/>
        </w:rPr>
      </w:pPr>
      <w:r>
        <w:rPr>
          <w:rFonts w:hint="eastAsia" w:ascii="宋体" w:hAnsi="宋体"/>
          <w:szCs w:val="21"/>
        </w:rPr>
        <w:t>（2）</w:t>
      </w:r>
      <w:r>
        <w:rPr>
          <w:rFonts w:hint="eastAsia" w:ascii="宋体" w:hAnsi="宋体"/>
          <w:b/>
          <w:szCs w:val="21"/>
        </w:rPr>
        <w:t>投标人如果对招标文件第六章“政府采购合同”的响应有偏离，应将偏离条款逐条如实应答，并作出说明；</w:t>
      </w:r>
    </w:p>
    <w:p w14:paraId="054AC776">
      <w:pPr>
        <w:adjustRightInd w:val="0"/>
        <w:snapToGrid w:val="0"/>
        <w:spacing w:before="50" w:line="360" w:lineRule="auto"/>
        <w:ind w:left="-88" w:leftChars="-42" w:firstLine="420" w:firstLineChars="200"/>
        <w:rPr>
          <w:rFonts w:ascii="宋体" w:hAnsi="宋体"/>
          <w:szCs w:val="21"/>
        </w:rPr>
      </w:pPr>
      <w:r>
        <w:rPr>
          <w:rFonts w:hint="eastAsia" w:ascii="宋体" w:hAnsi="宋体"/>
          <w:szCs w:val="21"/>
        </w:rPr>
        <w:t>（3）如不提供此表，则视为投标人不满足招标文件第六章的所有条款要求，其</w:t>
      </w:r>
      <w:r>
        <w:rPr>
          <w:rFonts w:hint="eastAsia" w:ascii="宋体" w:hAnsi="宋体"/>
          <w:b/>
          <w:szCs w:val="21"/>
        </w:rPr>
        <w:t>投标无效</w:t>
      </w:r>
      <w:r>
        <w:rPr>
          <w:rFonts w:hint="eastAsia" w:ascii="宋体" w:hAnsi="宋体"/>
          <w:szCs w:val="21"/>
        </w:rPr>
        <w:t>。</w:t>
      </w:r>
    </w:p>
    <w:p w14:paraId="133D3E53">
      <w:pPr>
        <w:adjustRightInd w:val="0"/>
        <w:snapToGrid w:val="0"/>
        <w:spacing w:before="50" w:line="360" w:lineRule="auto"/>
        <w:ind w:left="-88" w:leftChars="-42" w:firstLine="420" w:firstLineChars="200"/>
        <w:rPr>
          <w:rFonts w:ascii="宋体" w:hAnsi="宋体"/>
          <w:szCs w:val="21"/>
        </w:rPr>
      </w:pPr>
      <w:r>
        <w:rPr>
          <w:rFonts w:hint="eastAsia" w:ascii="宋体" w:hAnsi="宋体"/>
          <w:szCs w:val="21"/>
        </w:rPr>
        <w:t>（4）在采购人与中标人签订合同时，如中标人未在投标文件“合同条款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2506C71B">
      <w:pPr>
        <w:adjustRightInd w:val="0"/>
        <w:snapToGrid w:val="0"/>
        <w:spacing w:before="50" w:line="360" w:lineRule="auto"/>
        <w:rPr>
          <w:rFonts w:ascii="宋体" w:hAnsi="宋体"/>
          <w:szCs w:val="21"/>
        </w:rPr>
      </w:pPr>
    </w:p>
    <w:p w14:paraId="47BDE6D1">
      <w:pPr>
        <w:adjustRightInd w:val="0"/>
        <w:snapToGrid w:val="0"/>
        <w:spacing w:before="50" w:line="360" w:lineRule="auto"/>
        <w:rPr>
          <w:rFonts w:ascii="宋体" w:hAnsi="宋体"/>
          <w:szCs w:val="21"/>
        </w:rPr>
      </w:pPr>
    </w:p>
    <w:p w14:paraId="4D6AE525">
      <w:pPr>
        <w:adjustRightInd w:val="0"/>
        <w:snapToGrid w:val="0"/>
        <w:spacing w:before="50" w:line="360" w:lineRule="auto"/>
        <w:rPr>
          <w:rFonts w:ascii="宋体" w:hAnsi="宋体"/>
          <w:szCs w:val="21"/>
        </w:rPr>
      </w:pPr>
      <w:r>
        <w:rPr>
          <w:rFonts w:hint="eastAsia" w:ascii="宋体" w:hAnsi="宋体"/>
          <w:szCs w:val="21"/>
        </w:rPr>
        <w:t>投标人名称（盖单位章）：</w:t>
      </w:r>
    </w:p>
    <w:p w14:paraId="071F8BB4">
      <w:pPr>
        <w:adjustRightInd w:val="0"/>
        <w:snapToGrid w:val="0"/>
        <w:spacing w:before="50" w:line="360" w:lineRule="auto"/>
        <w:rPr>
          <w:rFonts w:ascii="宋体" w:hAnsi="宋体"/>
          <w:szCs w:val="21"/>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或其授权的代理人（签字或印章）：</w:t>
      </w:r>
      <w:r>
        <w:rPr>
          <w:rFonts w:hint="eastAsia" w:ascii="宋体" w:hAnsi="宋体"/>
          <w:szCs w:val="21"/>
          <w:u w:val="single"/>
        </w:rPr>
        <w:t xml:space="preserve">                     </w:t>
      </w:r>
    </w:p>
    <w:p w14:paraId="6E930D3A">
      <w:pPr>
        <w:pStyle w:val="38"/>
        <w:ind w:firstLine="200"/>
        <w:rPr>
          <w:rFonts w:ascii="宋体" w:hAnsi="宋体"/>
          <w:szCs w:val="21"/>
        </w:rPr>
      </w:pPr>
      <w:r>
        <w:rPr>
          <w:rFonts w:hint="eastAsia" w:ascii="宋体" w:hAnsi="宋体"/>
          <w:szCs w:val="21"/>
        </w:rPr>
        <w:t>日       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_日</w:t>
      </w:r>
    </w:p>
    <w:p w14:paraId="2D369FFB">
      <w:pPr>
        <w:pStyle w:val="38"/>
        <w:ind w:firstLine="200"/>
        <w:rPr>
          <w:rFonts w:ascii="宋体" w:hAnsi="宋体"/>
          <w:szCs w:val="21"/>
        </w:rPr>
      </w:pPr>
    </w:p>
    <w:p w14:paraId="5EA8F31D">
      <w:pPr>
        <w:pStyle w:val="38"/>
        <w:ind w:firstLine="200"/>
        <w:rPr>
          <w:rFonts w:ascii="宋体" w:hAnsi="宋体"/>
          <w:szCs w:val="21"/>
        </w:rPr>
      </w:pPr>
    </w:p>
    <w:p w14:paraId="3B3DF787">
      <w:pPr>
        <w:pStyle w:val="38"/>
        <w:ind w:firstLine="200"/>
        <w:rPr>
          <w:rFonts w:ascii="宋体" w:hAnsi="宋体"/>
          <w:szCs w:val="21"/>
        </w:rPr>
      </w:pPr>
    </w:p>
    <w:p w14:paraId="6970C89C">
      <w:pPr>
        <w:pStyle w:val="38"/>
        <w:ind w:firstLine="200"/>
        <w:rPr>
          <w:rFonts w:ascii="宋体" w:hAnsi="宋体"/>
          <w:szCs w:val="21"/>
        </w:rPr>
      </w:pPr>
    </w:p>
    <w:p w14:paraId="1E6015BD">
      <w:pPr>
        <w:pStyle w:val="4"/>
        <w:adjustRightInd w:val="0"/>
        <w:snapToGrid w:val="0"/>
        <w:spacing w:beforeLines="50" w:after="0" w:line="360" w:lineRule="auto"/>
        <w:jc w:val="center"/>
        <w:rPr>
          <w:rFonts w:ascii="黑体" w:hAnsi="宋体" w:eastAsia="黑体"/>
          <w:sz w:val="28"/>
          <w:szCs w:val="28"/>
        </w:rPr>
      </w:pPr>
      <w:bookmarkStart w:id="149" w:name="_Toc20651263"/>
      <w:r>
        <w:rPr>
          <w:rFonts w:hint="eastAsia" w:ascii="黑体" w:hAnsi="宋体" w:eastAsia="黑体"/>
          <w:sz w:val="28"/>
          <w:szCs w:val="28"/>
        </w:rPr>
        <w:t>九、采购需求技术偏离表</w:t>
      </w:r>
      <w:bookmarkEnd w:id="149"/>
    </w:p>
    <w:p w14:paraId="15ADF764">
      <w:pPr>
        <w:adjustRightInd w:val="0"/>
        <w:snapToGrid w:val="0"/>
        <w:spacing w:beforeLines="50" w:line="360" w:lineRule="auto"/>
        <w:rPr>
          <w:rFonts w:ascii="宋体" w:hAnsi="宋体"/>
          <w:szCs w:val="21"/>
          <w:u w:val="single"/>
        </w:rPr>
      </w:pPr>
      <w:r>
        <w:rPr>
          <w:rFonts w:hint="eastAsia" w:ascii="宋体" w:hAnsi="宋体"/>
          <w:spacing w:val="28"/>
          <w:szCs w:val="21"/>
        </w:rPr>
        <w:t>采购代理编号</w:t>
      </w:r>
      <w:r>
        <w:rPr>
          <w:rFonts w:hint="eastAsia" w:ascii="宋体" w:hAnsi="宋体"/>
          <w:szCs w:val="21"/>
        </w:rPr>
        <w:t>:</w:t>
      </w:r>
      <w:r>
        <w:rPr>
          <w:rFonts w:hint="eastAsia" w:ascii="宋体" w:hAnsi="宋体"/>
          <w:szCs w:val="21"/>
          <w:u w:val="single"/>
        </w:rPr>
        <w:t xml:space="preserve">                         </w:t>
      </w:r>
      <w:r>
        <w:rPr>
          <w:rFonts w:hint="eastAsia" w:ascii="宋体" w:hAnsi="宋体"/>
          <w:szCs w:val="21"/>
        </w:rPr>
        <w:t xml:space="preserve">           项目名称：</w:t>
      </w:r>
      <w:r>
        <w:rPr>
          <w:rFonts w:hint="eastAsia" w:ascii="宋体" w:hAnsi="宋体"/>
          <w:szCs w:val="21"/>
          <w:u w:val="single"/>
        </w:rPr>
        <w:t xml:space="preserve">                       </w:t>
      </w:r>
    </w:p>
    <w:p w14:paraId="572DB0A9">
      <w:pPr>
        <w:adjustRightInd w:val="0"/>
        <w:snapToGrid w:val="0"/>
        <w:spacing w:beforeLines="50" w:line="360" w:lineRule="auto"/>
        <w:rPr>
          <w:rFonts w:ascii="宋体" w:hAnsi="宋体"/>
          <w:szCs w:val="21"/>
          <w:u w:val="single"/>
        </w:rPr>
      </w:pPr>
      <w:r>
        <w:rPr>
          <w:rFonts w:hint="eastAsia" w:ascii="宋体" w:hAnsi="宋体"/>
          <w:szCs w:val="21"/>
        </w:rPr>
        <w:t>包           号：</w:t>
      </w:r>
      <w:r>
        <w:rPr>
          <w:rFonts w:hint="eastAsia" w:ascii="宋体" w:hAnsi="宋体"/>
          <w:szCs w:val="21"/>
          <w:u w:val="single"/>
        </w:rPr>
        <w:t xml:space="preserve">                        </w:t>
      </w:r>
      <w:r>
        <w:rPr>
          <w:rFonts w:hint="eastAsia" w:ascii="宋体" w:hAnsi="宋体"/>
          <w:szCs w:val="21"/>
        </w:rPr>
        <w:t xml:space="preserve">           包名称：</w:t>
      </w:r>
      <w:r>
        <w:rPr>
          <w:rFonts w:hint="eastAsia" w:ascii="宋体" w:hAnsi="宋体"/>
          <w:szCs w:val="21"/>
          <w:u w:val="single"/>
        </w:rPr>
        <w:t xml:space="preserve">                         </w:t>
      </w:r>
    </w:p>
    <w:tbl>
      <w:tblPr>
        <w:tblStyle w:val="40"/>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174051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noWrap/>
            <w:vAlign w:val="center"/>
          </w:tcPr>
          <w:p w14:paraId="3FDEF58C">
            <w:pPr>
              <w:adjustRightInd w:val="0"/>
              <w:snapToGrid w:val="0"/>
              <w:spacing w:before="50" w:line="360" w:lineRule="auto"/>
              <w:ind w:left="-88" w:leftChars="-42"/>
              <w:jc w:val="center"/>
              <w:rPr>
                <w:rFonts w:ascii="宋体" w:hAnsi="宋体"/>
                <w:szCs w:val="21"/>
              </w:rPr>
            </w:pPr>
            <w:r>
              <w:rPr>
                <w:rFonts w:hint="eastAsia" w:ascii="宋体" w:hAnsi="宋体"/>
                <w:bCs/>
                <w:szCs w:val="21"/>
              </w:rPr>
              <w:t>序</w:t>
            </w:r>
            <w:r>
              <w:rPr>
                <w:rFonts w:hint="eastAsia" w:ascii="宋体" w:hAnsi="宋体"/>
                <w:szCs w:val="21"/>
              </w:rPr>
              <w:t>号</w:t>
            </w:r>
          </w:p>
        </w:tc>
        <w:tc>
          <w:tcPr>
            <w:tcW w:w="2410" w:type="dxa"/>
            <w:noWrap/>
            <w:vAlign w:val="center"/>
          </w:tcPr>
          <w:p w14:paraId="10E5083E">
            <w:pPr>
              <w:adjustRightInd w:val="0"/>
              <w:snapToGrid w:val="0"/>
              <w:spacing w:before="50" w:line="360" w:lineRule="auto"/>
              <w:ind w:left="-88" w:leftChars="-42"/>
              <w:jc w:val="center"/>
              <w:rPr>
                <w:rFonts w:ascii="宋体" w:hAnsi="宋体"/>
                <w:szCs w:val="21"/>
              </w:rPr>
            </w:pPr>
            <w:r>
              <w:rPr>
                <w:rFonts w:hint="eastAsia" w:ascii="宋体" w:hAnsi="宋体"/>
                <w:szCs w:val="21"/>
              </w:rPr>
              <w:t>招标文件章节</w:t>
            </w:r>
            <w:r>
              <w:rPr>
                <w:rFonts w:hint="eastAsia" w:ascii="宋体" w:hAnsi="宋体"/>
                <w:bCs/>
                <w:szCs w:val="21"/>
              </w:rPr>
              <w:t>条</w:t>
            </w:r>
            <w:r>
              <w:rPr>
                <w:rFonts w:hint="eastAsia" w:ascii="宋体" w:hAnsi="宋体"/>
                <w:szCs w:val="21"/>
              </w:rPr>
              <w:t>款号</w:t>
            </w:r>
          </w:p>
        </w:tc>
        <w:tc>
          <w:tcPr>
            <w:tcW w:w="1985" w:type="dxa"/>
            <w:tcBorders>
              <w:right w:val="single" w:color="auto" w:sz="4" w:space="0"/>
            </w:tcBorders>
            <w:noWrap/>
          </w:tcPr>
          <w:p w14:paraId="66EBA257">
            <w:pPr>
              <w:adjustRightInd w:val="0"/>
              <w:snapToGrid w:val="0"/>
              <w:spacing w:before="50" w:line="360" w:lineRule="auto"/>
              <w:jc w:val="center"/>
            </w:pPr>
            <w:r>
              <w:rPr>
                <w:rFonts w:hint="eastAsia"/>
              </w:rPr>
              <w:t>招标文件要求</w:t>
            </w:r>
          </w:p>
        </w:tc>
        <w:tc>
          <w:tcPr>
            <w:tcW w:w="2126" w:type="dxa"/>
            <w:tcBorders>
              <w:left w:val="single" w:color="auto" w:sz="4" w:space="0"/>
            </w:tcBorders>
            <w:noWrap/>
          </w:tcPr>
          <w:p w14:paraId="14D607A1">
            <w:pPr>
              <w:adjustRightInd w:val="0"/>
              <w:snapToGrid w:val="0"/>
              <w:spacing w:before="50" w:line="360" w:lineRule="auto"/>
              <w:jc w:val="center"/>
            </w:pPr>
            <w:r>
              <w:rPr>
                <w:rFonts w:hint="eastAsia"/>
              </w:rPr>
              <w:t>投标文件应答</w:t>
            </w:r>
          </w:p>
        </w:tc>
        <w:tc>
          <w:tcPr>
            <w:tcW w:w="1756" w:type="dxa"/>
            <w:noWrap/>
            <w:vAlign w:val="center"/>
          </w:tcPr>
          <w:p w14:paraId="7B2B4864">
            <w:pPr>
              <w:adjustRightInd w:val="0"/>
              <w:snapToGrid w:val="0"/>
              <w:spacing w:before="50" w:line="360" w:lineRule="auto"/>
              <w:ind w:left="-88" w:leftChars="-42"/>
              <w:jc w:val="center"/>
              <w:rPr>
                <w:rFonts w:ascii="宋体" w:hAnsi="宋体"/>
                <w:szCs w:val="21"/>
              </w:rPr>
            </w:pPr>
            <w:r>
              <w:rPr>
                <w:rFonts w:hint="eastAsia" w:ascii="宋体" w:hAnsi="宋体"/>
                <w:szCs w:val="21"/>
              </w:rPr>
              <w:t>偏离说明</w:t>
            </w:r>
          </w:p>
        </w:tc>
      </w:tr>
      <w:tr w14:paraId="794A72F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ign w:val="center"/>
          </w:tcPr>
          <w:p w14:paraId="77FB010E">
            <w:pPr>
              <w:adjustRightInd w:val="0"/>
              <w:snapToGrid w:val="0"/>
              <w:spacing w:before="50" w:line="360" w:lineRule="auto"/>
              <w:ind w:left="-88" w:leftChars="-42"/>
              <w:jc w:val="center"/>
              <w:rPr>
                <w:rFonts w:ascii="宋体" w:hAnsi="宋体"/>
                <w:szCs w:val="21"/>
              </w:rPr>
            </w:pPr>
          </w:p>
        </w:tc>
        <w:tc>
          <w:tcPr>
            <w:tcW w:w="2410" w:type="dxa"/>
            <w:noWrap/>
            <w:vAlign w:val="center"/>
          </w:tcPr>
          <w:p w14:paraId="074B4A7F">
            <w:pPr>
              <w:adjustRightInd w:val="0"/>
              <w:snapToGrid w:val="0"/>
              <w:spacing w:before="50" w:line="360" w:lineRule="auto"/>
              <w:ind w:left="-88" w:leftChars="-42"/>
              <w:jc w:val="center"/>
              <w:rPr>
                <w:rFonts w:ascii="宋体" w:hAnsi="宋体"/>
                <w:szCs w:val="21"/>
              </w:rPr>
            </w:pPr>
          </w:p>
        </w:tc>
        <w:tc>
          <w:tcPr>
            <w:tcW w:w="1985" w:type="dxa"/>
            <w:tcBorders>
              <w:right w:val="single" w:color="auto" w:sz="4" w:space="0"/>
            </w:tcBorders>
            <w:noWrap/>
            <w:vAlign w:val="center"/>
          </w:tcPr>
          <w:p w14:paraId="5BDFB9F4">
            <w:pPr>
              <w:adjustRightInd w:val="0"/>
              <w:snapToGrid w:val="0"/>
              <w:spacing w:before="50" w:line="360" w:lineRule="auto"/>
              <w:ind w:left="-88" w:leftChars="-42"/>
              <w:jc w:val="center"/>
              <w:rPr>
                <w:rFonts w:ascii="宋体" w:hAnsi="宋体"/>
                <w:szCs w:val="21"/>
              </w:rPr>
            </w:pPr>
          </w:p>
        </w:tc>
        <w:tc>
          <w:tcPr>
            <w:tcW w:w="2126" w:type="dxa"/>
            <w:tcBorders>
              <w:left w:val="single" w:color="auto" w:sz="4" w:space="0"/>
            </w:tcBorders>
            <w:noWrap/>
            <w:vAlign w:val="center"/>
          </w:tcPr>
          <w:p w14:paraId="4B7BCBA2">
            <w:pPr>
              <w:adjustRightInd w:val="0"/>
              <w:snapToGrid w:val="0"/>
              <w:spacing w:before="50" w:line="360" w:lineRule="auto"/>
              <w:ind w:left="-88" w:leftChars="-42"/>
              <w:jc w:val="center"/>
              <w:rPr>
                <w:rFonts w:ascii="宋体" w:hAnsi="宋体"/>
                <w:szCs w:val="21"/>
              </w:rPr>
            </w:pPr>
          </w:p>
        </w:tc>
        <w:tc>
          <w:tcPr>
            <w:tcW w:w="1756" w:type="dxa"/>
            <w:noWrap/>
            <w:vAlign w:val="center"/>
          </w:tcPr>
          <w:p w14:paraId="41F648B5">
            <w:pPr>
              <w:adjustRightInd w:val="0"/>
              <w:snapToGrid w:val="0"/>
              <w:spacing w:before="50" w:line="360" w:lineRule="auto"/>
              <w:ind w:left="-88" w:leftChars="-42"/>
              <w:jc w:val="center"/>
              <w:rPr>
                <w:rFonts w:ascii="宋体" w:hAnsi="宋体"/>
                <w:szCs w:val="21"/>
              </w:rPr>
            </w:pPr>
          </w:p>
        </w:tc>
      </w:tr>
      <w:tr w14:paraId="0068D0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ign w:val="center"/>
          </w:tcPr>
          <w:p w14:paraId="0B390211">
            <w:pPr>
              <w:adjustRightInd w:val="0"/>
              <w:snapToGrid w:val="0"/>
              <w:spacing w:before="50" w:line="360" w:lineRule="auto"/>
              <w:ind w:left="-88" w:leftChars="-42"/>
              <w:jc w:val="center"/>
              <w:rPr>
                <w:rFonts w:ascii="宋体" w:hAnsi="宋体"/>
                <w:szCs w:val="21"/>
              </w:rPr>
            </w:pPr>
          </w:p>
        </w:tc>
        <w:tc>
          <w:tcPr>
            <w:tcW w:w="2410" w:type="dxa"/>
            <w:noWrap/>
            <w:vAlign w:val="center"/>
          </w:tcPr>
          <w:p w14:paraId="72DB88FC">
            <w:pPr>
              <w:adjustRightInd w:val="0"/>
              <w:snapToGrid w:val="0"/>
              <w:spacing w:before="50" w:line="360" w:lineRule="auto"/>
              <w:ind w:left="-88" w:leftChars="-42"/>
              <w:jc w:val="center"/>
              <w:rPr>
                <w:rFonts w:ascii="宋体" w:hAnsi="宋体"/>
                <w:szCs w:val="21"/>
              </w:rPr>
            </w:pPr>
          </w:p>
        </w:tc>
        <w:tc>
          <w:tcPr>
            <w:tcW w:w="1985" w:type="dxa"/>
            <w:tcBorders>
              <w:right w:val="single" w:color="auto" w:sz="4" w:space="0"/>
            </w:tcBorders>
            <w:noWrap/>
            <w:vAlign w:val="center"/>
          </w:tcPr>
          <w:p w14:paraId="4D46D19D">
            <w:pPr>
              <w:adjustRightInd w:val="0"/>
              <w:snapToGrid w:val="0"/>
              <w:spacing w:before="50" w:line="360" w:lineRule="auto"/>
              <w:ind w:left="-88" w:leftChars="-42"/>
              <w:jc w:val="center"/>
              <w:rPr>
                <w:rFonts w:ascii="宋体" w:hAnsi="宋体"/>
                <w:szCs w:val="21"/>
              </w:rPr>
            </w:pPr>
          </w:p>
        </w:tc>
        <w:tc>
          <w:tcPr>
            <w:tcW w:w="2126" w:type="dxa"/>
            <w:tcBorders>
              <w:left w:val="single" w:color="auto" w:sz="4" w:space="0"/>
            </w:tcBorders>
            <w:noWrap/>
            <w:vAlign w:val="center"/>
          </w:tcPr>
          <w:p w14:paraId="5E7EE7DF">
            <w:pPr>
              <w:adjustRightInd w:val="0"/>
              <w:snapToGrid w:val="0"/>
              <w:spacing w:before="50" w:line="360" w:lineRule="auto"/>
              <w:ind w:left="-88" w:leftChars="-42"/>
              <w:jc w:val="center"/>
              <w:rPr>
                <w:rFonts w:ascii="宋体" w:hAnsi="宋体"/>
                <w:szCs w:val="21"/>
              </w:rPr>
            </w:pPr>
          </w:p>
        </w:tc>
        <w:tc>
          <w:tcPr>
            <w:tcW w:w="1756" w:type="dxa"/>
            <w:noWrap/>
            <w:vAlign w:val="center"/>
          </w:tcPr>
          <w:p w14:paraId="7CC449EB">
            <w:pPr>
              <w:adjustRightInd w:val="0"/>
              <w:snapToGrid w:val="0"/>
              <w:spacing w:before="50" w:line="360" w:lineRule="auto"/>
              <w:ind w:left="-88" w:leftChars="-42"/>
              <w:jc w:val="center"/>
              <w:rPr>
                <w:rFonts w:ascii="宋体" w:hAnsi="宋体"/>
                <w:szCs w:val="21"/>
              </w:rPr>
            </w:pPr>
          </w:p>
        </w:tc>
      </w:tr>
      <w:tr w14:paraId="35794B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ign w:val="center"/>
          </w:tcPr>
          <w:p w14:paraId="121378B4">
            <w:pPr>
              <w:adjustRightInd w:val="0"/>
              <w:snapToGrid w:val="0"/>
              <w:spacing w:before="50" w:line="360" w:lineRule="auto"/>
              <w:ind w:left="-88" w:leftChars="-42"/>
              <w:jc w:val="center"/>
              <w:rPr>
                <w:rFonts w:ascii="宋体" w:hAnsi="宋体"/>
                <w:szCs w:val="21"/>
              </w:rPr>
            </w:pPr>
          </w:p>
        </w:tc>
        <w:tc>
          <w:tcPr>
            <w:tcW w:w="2410" w:type="dxa"/>
            <w:noWrap/>
            <w:vAlign w:val="center"/>
          </w:tcPr>
          <w:p w14:paraId="274FFE76">
            <w:pPr>
              <w:adjustRightInd w:val="0"/>
              <w:snapToGrid w:val="0"/>
              <w:spacing w:before="50" w:line="360" w:lineRule="auto"/>
              <w:ind w:left="-88" w:leftChars="-42"/>
              <w:jc w:val="center"/>
              <w:rPr>
                <w:rFonts w:ascii="宋体" w:hAnsi="宋体"/>
                <w:szCs w:val="21"/>
              </w:rPr>
            </w:pPr>
          </w:p>
        </w:tc>
        <w:tc>
          <w:tcPr>
            <w:tcW w:w="1985" w:type="dxa"/>
            <w:tcBorders>
              <w:right w:val="single" w:color="auto" w:sz="4" w:space="0"/>
            </w:tcBorders>
            <w:noWrap/>
            <w:vAlign w:val="center"/>
          </w:tcPr>
          <w:p w14:paraId="714BF604">
            <w:pPr>
              <w:adjustRightInd w:val="0"/>
              <w:snapToGrid w:val="0"/>
              <w:spacing w:before="50" w:line="360" w:lineRule="auto"/>
              <w:ind w:left="-88" w:leftChars="-42"/>
              <w:jc w:val="center"/>
              <w:rPr>
                <w:rFonts w:ascii="宋体" w:hAnsi="宋体"/>
                <w:szCs w:val="21"/>
              </w:rPr>
            </w:pPr>
          </w:p>
        </w:tc>
        <w:tc>
          <w:tcPr>
            <w:tcW w:w="2126" w:type="dxa"/>
            <w:tcBorders>
              <w:left w:val="single" w:color="auto" w:sz="4" w:space="0"/>
            </w:tcBorders>
            <w:noWrap/>
            <w:vAlign w:val="center"/>
          </w:tcPr>
          <w:p w14:paraId="2CA3ED6C">
            <w:pPr>
              <w:adjustRightInd w:val="0"/>
              <w:snapToGrid w:val="0"/>
              <w:spacing w:before="50" w:line="360" w:lineRule="auto"/>
              <w:ind w:left="-88" w:leftChars="-42"/>
              <w:jc w:val="center"/>
              <w:rPr>
                <w:rFonts w:ascii="宋体" w:hAnsi="宋体"/>
                <w:szCs w:val="21"/>
              </w:rPr>
            </w:pPr>
          </w:p>
        </w:tc>
        <w:tc>
          <w:tcPr>
            <w:tcW w:w="1756" w:type="dxa"/>
            <w:noWrap/>
            <w:vAlign w:val="center"/>
          </w:tcPr>
          <w:p w14:paraId="1BF64F00">
            <w:pPr>
              <w:adjustRightInd w:val="0"/>
              <w:snapToGrid w:val="0"/>
              <w:spacing w:before="50" w:line="360" w:lineRule="auto"/>
              <w:ind w:left="-88" w:leftChars="-42"/>
              <w:jc w:val="center"/>
              <w:rPr>
                <w:rFonts w:ascii="宋体" w:hAnsi="宋体"/>
                <w:szCs w:val="21"/>
              </w:rPr>
            </w:pPr>
          </w:p>
        </w:tc>
      </w:tr>
      <w:tr w14:paraId="2495FC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ign w:val="center"/>
          </w:tcPr>
          <w:p w14:paraId="7F4E8CA3">
            <w:pPr>
              <w:adjustRightInd w:val="0"/>
              <w:snapToGrid w:val="0"/>
              <w:spacing w:before="50" w:line="360" w:lineRule="auto"/>
              <w:ind w:left="-88" w:leftChars="-42"/>
              <w:jc w:val="center"/>
              <w:rPr>
                <w:rFonts w:ascii="宋体" w:hAnsi="宋体"/>
                <w:szCs w:val="21"/>
              </w:rPr>
            </w:pPr>
          </w:p>
        </w:tc>
        <w:tc>
          <w:tcPr>
            <w:tcW w:w="2410" w:type="dxa"/>
            <w:noWrap/>
            <w:vAlign w:val="center"/>
          </w:tcPr>
          <w:p w14:paraId="11608D4E">
            <w:pPr>
              <w:adjustRightInd w:val="0"/>
              <w:snapToGrid w:val="0"/>
              <w:spacing w:before="50" w:line="360" w:lineRule="auto"/>
              <w:ind w:left="-88" w:leftChars="-42"/>
              <w:jc w:val="center"/>
              <w:rPr>
                <w:rFonts w:ascii="宋体" w:hAnsi="宋体"/>
                <w:szCs w:val="21"/>
              </w:rPr>
            </w:pPr>
          </w:p>
        </w:tc>
        <w:tc>
          <w:tcPr>
            <w:tcW w:w="1985" w:type="dxa"/>
            <w:tcBorders>
              <w:right w:val="single" w:color="auto" w:sz="4" w:space="0"/>
            </w:tcBorders>
            <w:noWrap/>
            <w:vAlign w:val="center"/>
          </w:tcPr>
          <w:p w14:paraId="6570DF63">
            <w:pPr>
              <w:adjustRightInd w:val="0"/>
              <w:snapToGrid w:val="0"/>
              <w:spacing w:before="50" w:line="360" w:lineRule="auto"/>
              <w:ind w:left="-88" w:leftChars="-42"/>
              <w:jc w:val="center"/>
              <w:rPr>
                <w:rFonts w:ascii="宋体" w:hAnsi="宋体"/>
                <w:szCs w:val="21"/>
              </w:rPr>
            </w:pPr>
          </w:p>
        </w:tc>
        <w:tc>
          <w:tcPr>
            <w:tcW w:w="2126" w:type="dxa"/>
            <w:tcBorders>
              <w:left w:val="single" w:color="auto" w:sz="4" w:space="0"/>
            </w:tcBorders>
            <w:noWrap/>
            <w:vAlign w:val="center"/>
          </w:tcPr>
          <w:p w14:paraId="291B6941">
            <w:pPr>
              <w:adjustRightInd w:val="0"/>
              <w:snapToGrid w:val="0"/>
              <w:spacing w:before="50" w:line="360" w:lineRule="auto"/>
              <w:ind w:left="-88" w:leftChars="-42"/>
              <w:jc w:val="center"/>
              <w:rPr>
                <w:rFonts w:ascii="宋体" w:hAnsi="宋体"/>
                <w:szCs w:val="21"/>
              </w:rPr>
            </w:pPr>
          </w:p>
        </w:tc>
        <w:tc>
          <w:tcPr>
            <w:tcW w:w="1756" w:type="dxa"/>
            <w:noWrap/>
            <w:vAlign w:val="center"/>
          </w:tcPr>
          <w:p w14:paraId="4B566F04">
            <w:pPr>
              <w:adjustRightInd w:val="0"/>
              <w:snapToGrid w:val="0"/>
              <w:spacing w:before="50" w:line="360" w:lineRule="auto"/>
              <w:ind w:left="-88" w:leftChars="-42"/>
              <w:jc w:val="center"/>
              <w:rPr>
                <w:rFonts w:ascii="宋体" w:hAnsi="宋体"/>
                <w:szCs w:val="21"/>
              </w:rPr>
            </w:pPr>
          </w:p>
        </w:tc>
      </w:tr>
      <w:tr w14:paraId="47A7CE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ign w:val="center"/>
          </w:tcPr>
          <w:p w14:paraId="75334442">
            <w:pPr>
              <w:adjustRightInd w:val="0"/>
              <w:snapToGrid w:val="0"/>
              <w:spacing w:before="50" w:line="360" w:lineRule="auto"/>
              <w:ind w:left="-88" w:leftChars="-42"/>
              <w:jc w:val="center"/>
              <w:rPr>
                <w:rFonts w:ascii="宋体" w:hAnsi="宋体"/>
                <w:szCs w:val="21"/>
              </w:rPr>
            </w:pPr>
          </w:p>
        </w:tc>
        <w:tc>
          <w:tcPr>
            <w:tcW w:w="2410" w:type="dxa"/>
            <w:noWrap/>
            <w:vAlign w:val="center"/>
          </w:tcPr>
          <w:p w14:paraId="7B5648E4">
            <w:pPr>
              <w:adjustRightInd w:val="0"/>
              <w:snapToGrid w:val="0"/>
              <w:spacing w:before="50" w:line="360" w:lineRule="auto"/>
              <w:ind w:left="-88" w:leftChars="-42"/>
              <w:jc w:val="center"/>
              <w:rPr>
                <w:rFonts w:ascii="宋体" w:hAnsi="宋体"/>
                <w:szCs w:val="21"/>
              </w:rPr>
            </w:pPr>
          </w:p>
        </w:tc>
        <w:tc>
          <w:tcPr>
            <w:tcW w:w="1985" w:type="dxa"/>
            <w:tcBorders>
              <w:right w:val="single" w:color="auto" w:sz="4" w:space="0"/>
            </w:tcBorders>
            <w:noWrap/>
            <w:vAlign w:val="center"/>
          </w:tcPr>
          <w:p w14:paraId="73F58B18">
            <w:pPr>
              <w:adjustRightInd w:val="0"/>
              <w:snapToGrid w:val="0"/>
              <w:spacing w:before="50" w:line="360" w:lineRule="auto"/>
              <w:ind w:left="-88" w:leftChars="-42"/>
              <w:jc w:val="center"/>
              <w:rPr>
                <w:rFonts w:ascii="宋体" w:hAnsi="宋体"/>
                <w:szCs w:val="21"/>
              </w:rPr>
            </w:pPr>
          </w:p>
        </w:tc>
        <w:tc>
          <w:tcPr>
            <w:tcW w:w="2126" w:type="dxa"/>
            <w:tcBorders>
              <w:left w:val="single" w:color="auto" w:sz="4" w:space="0"/>
            </w:tcBorders>
            <w:noWrap/>
            <w:vAlign w:val="center"/>
          </w:tcPr>
          <w:p w14:paraId="5F1F5BE8">
            <w:pPr>
              <w:adjustRightInd w:val="0"/>
              <w:snapToGrid w:val="0"/>
              <w:spacing w:before="50" w:line="360" w:lineRule="auto"/>
              <w:ind w:left="-88" w:leftChars="-42"/>
              <w:jc w:val="center"/>
              <w:rPr>
                <w:rFonts w:ascii="宋体" w:hAnsi="宋体"/>
                <w:szCs w:val="21"/>
              </w:rPr>
            </w:pPr>
          </w:p>
        </w:tc>
        <w:tc>
          <w:tcPr>
            <w:tcW w:w="1756" w:type="dxa"/>
            <w:noWrap/>
            <w:vAlign w:val="center"/>
          </w:tcPr>
          <w:p w14:paraId="5BC9A3B5">
            <w:pPr>
              <w:adjustRightInd w:val="0"/>
              <w:snapToGrid w:val="0"/>
              <w:spacing w:before="50" w:line="360" w:lineRule="auto"/>
              <w:ind w:left="-88" w:leftChars="-42"/>
              <w:jc w:val="center"/>
              <w:rPr>
                <w:rFonts w:ascii="宋体" w:hAnsi="宋体"/>
                <w:szCs w:val="21"/>
              </w:rPr>
            </w:pPr>
          </w:p>
        </w:tc>
      </w:tr>
      <w:tr w14:paraId="666AD4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ign w:val="center"/>
          </w:tcPr>
          <w:p w14:paraId="05E13D28">
            <w:pPr>
              <w:adjustRightInd w:val="0"/>
              <w:snapToGrid w:val="0"/>
              <w:spacing w:before="50" w:line="360" w:lineRule="auto"/>
              <w:ind w:left="-88" w:leftChars="-42"/>
              <w:jc w:val="center"/>
              <w:rPr>
                <w:rFonts w:ascii="宋体" w:hAnsi="宋体"/>
                <w:szCs w:val="21"/>
              </w:rPr>
            </w:pPr>
          </w:p>
        </w:tc>
        <w:tc>
          <w:tcPr>
            <w:tcW w:w="2410" w:type="dxa"/>
            <w:noWrap/>
            <w:vAlign w:val="center"/>
          </w:tcPr>
          <w:p w14:paraId="32DC5AE2">
            <w:pPr>
              <w:adjustRightInd w:val="0"/>
              <w:snapToGrid w:val="0"/>
              <w:spacing w:before="50" w:line="360" w:lineRule="auto"/>
              <w:ind w:left="-88" w:leftChars="-42"/>
              <w:jc w:val="center"/>
              <w:rPr>
                <w:rFonts w:ascii="宋体" w:hAnsi="宋体"/>
                <w:szCs w:val="21"/>
              </w:rPr>
            </w:pPr>
          </w:p>
        </w:tc>
        <w:tc>
          <w:tcPr>
            <w:tcW w:w="1985" w:type="dxa"/>
            <w:tcBorders>
              <w:right w:val="single" w:color="auto" w:sz="4" w:space="0"/>
            </w:tcBorders>
            <w:noWrap/>
            <w:vAlign w:val="center"/>
          </w:tcPr>
          <w:p w14:paraId="01A60A7C">
            <w:pPr>
              <w:adjustRightInd w:val="0"/>
              <w:snapToGrid w:val="0"/>
              <w:spacing w:before="50" w:line="360" w:lineRule="auto"/>
              <w:ind w:left="-88" w:leftChars="-42"/>
              <w:jc w:val="center"/>
              <w:rPr>
                <w:rFonts w:ascii="宋体" w:hAnsi="宋体"/>
                <w:szCs w:val="21"/>
              </w:rPr>
            </w:pPr>
          </w:p>
        </w:tc>
        <w:tc>
          <w:tcPr>
            <w:tcW w:w="3882" w:type="dxa"/>
            <w:gridSpan w:val="2"/>
            <w:tcBorders>
              <w:left w:val="single" w:color="auto" w:sz="4" w:space="0"/>
            </w:tcBorders>
            <w:noWrap/>
            <w:vAlign w:val="center"/>
          </w:tcPr>
          <w:p w14:paraId="2671C43C">
            <w:pPr>
              <w:adjustRightInd w:val="0"/>
              <w:snapToGrid w:val="0"/>
              <w:spacing w:before="50" w:line="360" w:lineRule="auto"/>
              <w:ind w:firstLine="422" w:firstLineChars="200"/>
              <w:rPr>
                <w:rFonts w:ascii="宋体" w:hAnsi="宋体"/>
                <w:szCs w:val="21"/>
              </w:rPr>
            </w:pPr>
            <w:r>
              <w:rPr>
                <w:rFonts w:hint="eastAsia" w:ascii="宋体" w:hAnsi="宋体"/>
                <w:b/>
                <w:szCs w:val="21"/>
              </w:rPr>
              <w:t>投标人保证：除本采购需求偏离表列出的偏离外，我单位对招标文件的其他采购需求条款完全响应，无偏离。</w:t>
            </w:r>
          </w:p>
        </w:tc>
      </w:tr>
    </w:tbl>
    <w:p w14:paraId="045AAB9E">
      <w:pPr>
        <w:adjustRightInd w:val="0"/>
        <w:snapToGrid w:val="0"/>
        <w:spacing w:before="50" w:line="360" w:lineRule="auto"/>
        <w:ind w:left="-88" w:leftChars="-42"/>
        <w:rPr>
          <w:rFonts w:ascii="宋体" w:hAnsi="宋体"/>
          <w:szCs w:val="21"/>
        </w:rPr>
      </w:pPr>
      <w:r>
        <w:rPr>
          <w:rFonts w:hint="eastAsia" w:ascii="宋体" w:hAnsi="宋体"/>
          <w:b/>
          <w:szCs w:val="21"/>
        </w:rPr>
        <w:t>备注</w:t>
      </w:r>
      <w:r>
        <w:rPr>
          <w:rFonts w:hint="eastAsia" w:ascii="宋体" w:hAnsi="宋体"/>
          <w:szCs w:val="21"/>
        </w:rPr>
        <w:t>：（1）投标人应根据招标文件第五章“采购需求”填写本表；</w:t>
      </w:r>
    </w:p>
    <w:p w14:paraId="3EF17F82">
      <w:pPr>
        <w:adjustRightInd w:val="0"/>
        <w:snapToGrid w:val="0"/>
        <w:spacing w:before="50" w:line="360" w:lineRule="auto"/>
        <w:ind w:left="-88" w:leftChars="-42" w:firstLine="420" w:firstLineChars="200"/>
        <w:rPr>
          <w:rFonts w:ascii="宋体" w:hAnsi="宋体"/>
          <w:b/>
          <w:szCs w:val="21"/>
        </w:rPr>
      </w:pPr>
      <w:r>
        <w:rPr>
          <w:rFonts w:hint="eastAsia" w:ascii="宋体" w:hAnsi="宋体"/>
          <w:szCs w:val="21"/>
        </w:rPr>
        <w:t>（2）</w:t>
      </w:r>
      <w:r>
        <w:rPr>
          <w:rFonts w:hint="eastAsia" w:ascii="宋体" w:hAnsi="宋体"/>
          <w:b/>
          <w:szCs w:val="21"/>
        </w:rPr>
        <w:t>投标人如果对招标文件第五章“采购需求”的响应有偏离，应将偏离条款逐条如实应答，并作出说明；</w:t>
      </w:r>
    </w:p>
    <w:p w14:paraId="504BDBFF">
      <w:pPr>
        <w:adjustRightInd w:val="0"/>
        <w:snapToGrid w:val="0"/>
        <w:spacing w:before="50" w:line="360" w:lineRule="auto"/>
        <w:ind w:left="-88" w:leftChars="-42" w:firstLine="420" w:firstLineChars="200"/>
        <w:rPr>
          <w:rFonts w:ascii="宋体" w:hAnsi="宋体"/>
          <w:szCs w:val="21"/>
        </w:rPr>
      </w:pPr>
      <w:r>
        <w:rPr>
          <w:rFonts w:hint="eastAsia" w:ascii="宋体" w:hAnsi="宋体"/>
          <w:szCs w:val="21"/>
        </w:rPr>
        <w:t>（3）如不提供此表，则视为投标人不满足招标文件第五章的所有条款要求，其</w:t>
      </w:r>
      <w:r>
        <w:rPr>
          <w:rFonts w:hint="eastAsia" w:ascii="宋体" w:hAnsi="宋体"/>
          <w:b/>
          <w:szCs w:val="21"/>
        </w:rPr>
        <w:t>投标无效</w:t>
      </w:r>
      <w:r>
        <w:rPr>
          <w:rFonts w:hint="eastAsia" w:ascii="宋体" w:hAnsi="宋体"/>
          <w:szCs w:val="21"/>
        </w:rPr>
        <w:t>。</w:t>
      </w:r>
    </w:p>
    <w:p w14:paraId="05380AAB">
      <w:pPr>
        <w:adjustRightInd w:val="0"/>
        <w:snapToGrid w:val="0"/>
        <w:spacing w:before="50" w:line="360" w:lineRule="auto"/>
        <w:ind w:left="-88" w:leftChars="-42" w:firstLine="420" w:firstLineChars="200"/>
        <w:rPr>
          <w:rFonts w:ascii="宋体" w:hAnsi="宋体"/>
          <w:szCs w:val="21"/>
        </w:rPr>
      </w:pPr>
      <w:r>
        <w:rPr>
          <w:rFonts w:hint="eastAsia" w:ascii="宋体" w:hAnsi="宋体"/>
          <w:szCs w:val="21"/>
        </w:rPr>
        <w:t>（4）在采购人与中标人签订合同时，如中标人未在投标文件“采购需求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4ED275EC">
      <w:pPr>
        <w:adjustRightInd w:val="0"/>
        <w:snapToGrid w:val="0"/>
        <w:spacing w:before="50" w:line="360" w:lineRule="auto"/>
        <w:ind w:left="-88" w:leftChars="-42" w:firstLine="420" w:firstLineChars="200"/>
        <w:rPr>
          <w:rFonts w:ascii="宋体" w:hAnsi="宋体"/>
          <w:szCs w:val="21"/>
        </w:rPr>
      </w:pPr>
      <w:r>
        <w:rPr>
          <w:rFonts w:hint="eastAsia" w:ascii="宋体" w:hAnsi="宋体"/>
          <w:szCs w:val="21"/>
        </w:rPr>
        <w:t>（5）本表偏离表与本章第七节“采购需求响应”不一致时，以“采购需求响应”为准。</w:t>
      </w:r>
    </w:p>
    <w:p w14:paraId="54995213">
      <w:pPr>
        <w:adjustRightInd w:val="0"/>
        <w:snapToGrid w:val="0"/>
        <w:spacing w:before="50" w:line="360" w:lineRule="auto"/>
        <w:rPr>
          <w:rFonts w:ascii="宋体" w:hAnsi="宋体"/>
          <w:szCs w:val="21"/>
        </w:rPr>
      </w:pPr>
    </w:p>
    <w:p w14:paraId="598D5CFC">
      <w:pPr>
        <w:adjustRightInd w:val="0"/>
        <w:snapToGrid w:val="0"/>
        <w:spacing w:before="50" w:line="360" w:lineRule="auto"/>
        <w:rPr>
          <w:rFonts w:ascii="宋体" w:hAnsi="宋体"/>
          <w:szCs w:val="21"/>
        </w:rPr>
      </w:pPr>
    </w:p>
    <w:p w14:paraId="402A86DC">
      <w:pPr>
        <w:adjustRightInd w:val="0"/>
        <w:snapToGrid w:val="0"/>
        <w:spacing w:before="50" w:line="360" w:lineRule="auto"/>
        <w:rPr>
          <w:rFonts w:ascii="宋体" w:hAnsi="宋体"/>
          <w:szCs w:val="21"/>
        </w:rPr>
      </w:pPr>
      <w:r>
        <w:rPr>
          <w:rFonts w:hint="eastAsia" w:ascii="宋体" w:hAnsi="宋体"/>
          <w:szCs w:val="21"/>
        </w:rPr>
        <w:t>投标人名称（盖单位章）：</w:t>
      </w:r>
    </w:p>
    <w:p w14:paraId="27721F32">
      <w:pPr>
        <w:adjustRightInd w:val="0"/>
        <w:snapToGrid w:val="0"/>
        <w:spacing w:before="50" w:line="360" w:lineRule="auto"/>
        <w:rPr>
          <w:rFonts w:ascii="宋体" w:hAnsi="宋体"/>
          <w:szCs w:val="21"/>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或其授权的代理人（签字或印章）：</w:t>
      </w:r>
      <w:r>
        <w:rPr>
          <w:rFonts w:hint="eastAsia" w:ascii="宋体" w:hAnsi="宋体"/>
          <w:szCs w:val="21"/>
          <w:u w:val="single"/>
        </w:rPr>
        <w:t xml:space="preserve">                     </w:t>
      </w:r>
    </w:p>
    <w:p w14:paraId="2EFDEEDC">
      <w:pPr>
        <w:pStyle w:val="38"/>
        <w:ind w:firstLine="200"/>
        <w:rPr>
          <w:rFonts w:ascii="宋体" w:hAnsi="宋体"/>
          <w:szCs w:val="21"/>
        </w:rPr>
      </w:pPr>
      <w:r>
        <w:rPr>
          <w:rFonts w:hint="eastAsia" w:ascii="宋体" w:hAnsi="宋体"/>
          <w:szCs w:val="21"/>
        </w:rPr>
        <w:t>日      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_日</w:t>
      </w:r>
    </w:p>
    <w:p w14:paraId="5590BC1E">
      <w:pPr>
        <w:pStyle w:val="38"/>
        <w:ind w:firstLine="200"/>
        <w:rPr>
          <w:rFonts w:ascii="宋体" w:hAnsi="宋体"/>
          <w:szCs w:val="21"/>
        </w:rPr>
      </w:pPr>
      <w:r>
        <w:rPr>
          <w:rFonts w:hint="eastAsia" w:ascii="宋体" w:hAnsi="宋体"/>
          <w:szCs w:val="21"/>
        </w:rPr>
        <w:br w:type="page"/>
      </w:r>
    </w:p>
    <w:p w14:paraId="7690FEA4">
      <w:pPr>
        <w:pStyle w:val="4"/>
        <w:adjustRightInd w:val="0"/>
        <w:snapToGrid w:val="0"/>
        <w:spacing w:before="0" w:after="0" w:line="360" w:lineRule="auto"/>
        <w:jc w:val="center"/>
        <w:rPr>
          <w:rFonts w:ascii="黑体" w:hAnsi="宋体" w:eastAsia="黑体"/>
          <w:sz w:val="28"/>
          <w:szCs w:val="28"/>
        </w:rPr>
      </w:pPr>
      <w:bookmarkStart w:id="150" w:name="_Toc20651264"/>
      <w:r>
        <w:rPr>
          <w:rFonts w:hint="eastAsia" w:ascii="宋体" w:hAnsi="宋体"/>
          <w:szCs w:val="21"/>
        </w:rPr>
        <w:t>十</w:t>
      </w:r>
      <w:r>
        <w:rPr>
          <w:rFonts w:hint="eastAsia" w:ascii="黑体" w:hAnsi="宋体" w:eastAsia="黑体"/>
          <w:sz w:val="28"/>
          <w:szCs w:val="28"/>
        </w:rPr>
        <w:t>、享受政府采购政策优惠的证明资料</w:t>
      </w:r>
      <w:bookmarkEnd w:id="150"/>
    </w:p>
    <w:p w14:paraId="1EE56BB2">
      <w:pPr>
        <w:adjustRightInd w:val="0"/>
        <w:snapToGrid w:val="0"/>
        <w:spacing w:line="360" w:lineRule="auto"/>
        <w:rPr>
          <w:rFonts w:ascii="黑体" w:hAnsi="华文中宋" w:eastAsia="黑体" w:cs="宋体"/>
          <w:bCs/>
          <w:spacing w:val="6"/>
          <w:kern w:val="0"/>
          <w:szCs w:val="21"/>
        </w:rPr>
      </w:pPr>
    </w:p>
    <w:p w14:paraId="459754ED">
      <w:pPr>
        <w:adjustRightInd w:val="0"/>
        <w:snapToGrid w:val="0"/>
        <w:spacing w:line="360" w:lineRule="auto"/>
        <w:ind w:firstLine="444" w:firstLineChars="200"/>
        <w:rPr>
          <w:rFonts w:ascii="宋体" w:hAnsi="宋体" w:cs="宋体"/>
          <w:bCs/>
          <w:spacing w:val="6"/>
          <w:kern w:val="0"/>
          <w:szCs w:val="21"/>
        </w:rPr>
      </w:pPr>
      <w:r>
        <w:rPr>
          <w:rFonts w:hint="eastAsia" w:ascii="宋体" w:hAnsi="宋体" w:cs="宋体"/>
          <w:bCs/>
          <w:spacing w:val="6"/>
          <w:kern w:val="0"/>
          <w:szCs w:val="21"/>
        </w:rPr>
        <w:t>投标人符合第二章第33.1款要求的，应提供下列证明资料，并填写相关数据。否则，评审时不予以考虑。</w:t>
      </w:r>
    </w:p>
    <w:p w14:paraId="493A0A92">
      <w:pPr>
        <w:adjustRightInd w:val="0"/>
        <w:snapToGrid w:val="0"/>
        <w:spacing w:line="360" w:lineRule="auto"/>
        <w:rPr>
          <w:rFonts w:ascii="黑体" w:hAnsi="华文中宋" w:eastAsia="黑体" w:cs="宋体"/>
          <w:bCs/>
          <w:spacing w:val="6"/>
          <w:kern w:val="0"/>
          <w:szCs w:val="21"/>
        </w:rPr>
      </w:pPr>
    </w:p>
    <w:p w14:paraId="6E3C733A">
      <w:pPr>
        <w:pStyle w:val="5"/>
        <w:rPr>
          <w:rFonts w:ascii="黑体" w:hAnsi="华文中宋" w:cs="宋体"/>
          <w:b w:val="0"/>
          <w:bCs w:val="0"/>
          <w:spacing w:val="6"/>
          <w:sz w:val="21"/>
          <w:szCs w:val="21"/>
        </w:rPr>
      </w:pPr>
      <w:bookmarkStart w:id="151" w:name="_Toc20651265"/>
      <w:r>
        <w:rPr>
          <w:rFonts w:hint="eastAsia" w:ascii="黑体" w:hAnsi="华文中宋" w:cs="宋体"/>
          <w:b w:val="0"/>
          <w:bCs w:val="0"/>
          <w:spacing w:val="6"/>
          <w:sz w:val="21"/>
          <w:szCs w:val="21"/>
        </w:rPr>
        <w:t>附件10-1中小企业声明函</w:t>
      </w:r>
      <w:bookmarkEnd w:id="151"/>
    </w:p>
    <w:p w14:paraId="7B03FA77">
      <w:pPr>
        <w:widowControl/>
        <w:adjustRightInd w:val="0"/>
        <w:snapToGrid w:val="0"/>
        <w:spacing w:line="360" w:lineRule="auto"/>
        <w:jc w:val="center"/>
        <w:rPr>
          <w:rFonts w:ascii="黑体" w:hAnsi="黑体" w:eastAsia="黑体" w:cs="宋体"/>
          <w:b/>
          <w:bCs/>
          <w:color w:val="auto"/>
          <w:spacing w:val="6"/>
          <w:kern w:val="0"/>
          <w:sz w:val="28"/>
          <w:szCs w:val="28"/>
          <w:highlight w:val="none"/>
        </w:rPr>
      </w:pPr>
      <w:r>
        <w:rPr>
          <w:rFonts w:hint="eastAsia" w:ascii="黑体" w:hAnsi="黑体" w:eastAsia="黑体" w:cs="黑体"/>
          <w:b/>
          <w:bCs/>
          <w:color w:val="auto"/>
          <w:spacing w:val="6"/>
          <w:kern w:val="0"/>
          <w:sz w:val="28"/>
          <w:szCs w:val="28"/>
          <w:highlight w:val="none"/>
        </w:rPr>
        <w:t>中小企业声明函（货物类）</w:t>
      </w:r>
    </w:p>
    <w:p w14:paraId="147C39B3">
      <w:pPr>
        <w:widowControl/>
        <w:adjustRightInd w:val="0"/>
        <w:snapToGrid w:val="0"/>
        <w:spacing w:line="360" w:lineRule="auto"/>
        <w:jc w:val="center"/>
        <w:rPr>
          <w:rFonts w:ascii="宋体" w:hAnsi="宋体" w:cs="宋体"/>
          <w:color w:val="auto"/>
          <w:kern w:val="0"/>
          <w:szCs w:val="21"/>
          <w:highlight w:val="none"/>
          <w:lang w:bidi="ar"/>
        </w:rPr>
      </w:pPr>
      <w:r>
        <w:rPr>
          <w:rFonts w:hint="eastAsia" w:ascii="宋体" w:hAnsi="宋体" w:cs="宋体"/>
          <w:b/>
          <w:color w:val="auto"/>
          <w:spacing w:val="6"/>
          <w:kern w:val="0"/>
          <w:szCs w:val="21"/>
          <w:highlight w:val="none"/>
        </w:rPr>
        <w:t>(不满足以下条件的无需填写)</w:t>
      </w:r>
    </w:p>
    <w:p w14:paraId="77BAD8FC">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lang w:bidi="ar"/>
        </w:rPr>
        <w:t>本公司（联合体）郑重声明，根据《政府采购促进中小企业发展管理办法》（财库﹝2020﹞46 号）的规定，本公司（联合体）参加</w:t>
      </w:r>
      <w:r>
        <w:rPr>
          <w:rFonts w:hint="eastAsia" w:ascii="宋体" w:hAnsi="宋体" w:cs="宋体"/>
          <w:color w:val="auto"/>
          <w:kern w:val="0"/>
          <w:szCs w:val="21"/>
          <w:highlight w:val="none"/>
          <w:u w:val="single"/>
          <w:lang w:bidi="ar"/>
        </w:rPr>
        <w:t>（单位名称）</w:t>
      </w:r>
      <w:r>
        <w:rPr>
          <w:rFonts w:hint="eastAsia" w:ascii="宋体" w:hAnsi="宋体" w:cs="宋体"/>
          <w:color w:val="auto"/>
          <w:kern w:val="0"/>
          <w:szCs w:val="21"/>
          <w:highlight w:val="none"/>
          <w:lang w:bidi="ar"/>
        </w:rPr>
        <w:t>的</w:t>
      </w:r>
      <w:r>
        <w:rPr>
          <w:rFonts w:hint="eastAsia" w:ascii="宋体" w:hAnsi="宋体" w:cs="宋体"/>
          <w:color w:val="auto"/>
          <w:kern w:val="0"/>
          <w:szCs w:val="21"/>
          <w:highlight w:val="none"/>
          <w:u w:val="single"/>
          <w:lang w:bidi="ar"/>
        </w:rPr>
        <w:t>（项目名称）</w:t>
      </w:r>
      <w:r>
        <w:rPr>
          <w:rFonts w:hint="eastAsia" w:ascii="宋体" w:hAnsi="宋体" w:cs="宋体"/>
          <w:color w:val="auto"/>
          <w:kern w:val="0"/>
          <w:szCs w:val="21"/>
          <w:highlight w:val="none"/>
          <w:lang w:bidi="ar"/>
        </w:rPr>
        <w:t xml:space="preserve">采购活动，提供的货物全部由符合政策要求的中小企业制造。相关企业（含联合体中的中小企业、签订分包意向协议的中小企业）的具体情况如下： </w:t>
      </w:r>
    </w:p>
    <w:p w14:paraId="10E61A4F">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lang w:bidi="ar"/>
        </w:rPr>
        <w:t xml:space="preserve">1. </w:t>
      </w:r>
      <w:r>
        <w:rPr>
          <w:rFonts w:hint="eastAsia" w:ascii="宋体" w:hAnsi="宋体" w:cs="宋体"/>
          <w:color w:val="auto"/>
          <w:kern w:val="0"/>
          <w:szCs w:val="21"/>
          <w:highlight w:val="none"/>
          <w:u w:val="single"/>
          <w:lang w:bidi="ar"/>
        </w:rPr>
        <w:t xml:space="preserve">（标的名称） </w:t>
      </w:r>
      <w:r>
        <w:rPr>
          <w:rFonts w:hint="eastAsia" w:ascii="宋体" w:hAnsi="宋体" w:cs="宋体"/>
          <w:color w:val="auto"/>
          <w:kern w:val="0"/>
          <w:szCs w:val="21"/>
          <w:highlight w:val="none"/>
          <w:lang w:bidi="ar"/>
        </w:rPr>
        <w:t>，属于</w:t>
      </w:r>
      <w:r>
        <w:rPr>
          <w:rFonts w:hint="eastAsia" w:ascii="宋体" w:hAnsi="宋体" w:cs="宋体"/>
          <w:color w:val="auto"/>
          <w:kern w:val="0"/>
          <w:szCs w:val="21"/>
          <w:highlight w:val="none"/>
          <w:u w:val="single"/>
          <w:lang w:bidi="ar"/>
        </w:rPr>
        <w:t>（采购文件中明确的所属行业）</w:t>
      </w:r>
      <w:r>
        <w:rPr>
          <w:rFonts w:hint="eastAsia" w:ascii="宋体" w:hAnsi="宋体" w:cs="宋体"/>
          <w:color w:val="auto"/>
          <w:kern w:val="0"/>
          <w:szCs w:val="21"/>
          <w:highlight w:val="none"/>
          <w:lang w:bidi="ar"/>
        </w:rPr>
        <w:t>行业；制造商为</w:t>
      </w:r>
      <w:r>
        <w:rPr>
          <w:rFonts w:hint="eastAsia" w:ascii="宋体" w:hAnsi="宋体" w:cs="宋体"/>
          <w:color w:val="auto"/>
          <w:kern w:val="0"/>
          <w:szCs w:val="21"/>
          <w:highlight w:val="none"/>
          <w:u w:val="single"/>
          <w:lang w:bidi="ar"/>
        </w:rPr>
        <w:t>（企业名称）</w:t>
      </w:r>
      <w:r>
        <w:rPr>
          <w:rFonts w:hint="eastAsia" w:ascii="宋体" w:hAnsi="宋体" w:cs="宋体"/>
          <w:color w:val="auto"/>
          <w:kern w:val="0"/>
          <w:szCs w:val="21"/>
          <w:highlight w:val="none"/>
          <w:lang w:bidi="ar"/>
        </w:rPr>
        <w:t>，从业人员</w:t>
      </w:r>
      <w:r>
        <w:rPr>
          <w:rFonts w:hint="eastAsia" w:ascii="宋体" w:hAnsi="宋体" w:cs="宋体"/>
          <w:color w:val="auto"/>
          <w:kern w:val="0"/>
          <w:szCs w:val="21"/>
          <w:highlight w:val="none"/>
          <w:u w:val="single"/>
          <w:lang w:bidi="ar"/>
        </w:rPr>
        <w:t xml:space="preserve">      </w:t>
      </w:r>
      <w:r>
        <w:rPr>
          <w:rFonts w:hint="eastAsia" w:ascii="宋体" w:hAnsi="宋体" w:cs="宋体"/>
          <w:color w:val="auto"/>
          <w:kern w:val="0"/>
          <w:szCs w:val="21"/>
          <w:highlight w:val="none"/>
          <w:lang w:bidi="ar"/>
        </w:rPr>
        <w:t>人，营业收入为</w:t>
      </w:r>
      <w:r>
        <w:rPr>
          <w:rFonts w:hint="eastAsia" w:ascii="宋体" w:hAnsi="宋体" w:cs="宋体"/>
          <w:color w:val="auto"/>
          <w:kern w:val="0"/>
          <w:szCs w:val="21"/>
          <w:highlight w:val="none"/>
          <w:u w:val="single"/>
          <w:lang w:bidi="ar"/>
        </w:rPr>
        <w:t xml:space="preserve">       </w:t>
      </w:r>
      <w:r>
        <w:rPr>
          <w:rFonts w:hint="eastAsia" w:ascii="宋体" w:hAnsi="宋体" w:cs="宋体"/>
          <w:color w:val="auto"/>
          <w:kern w:val="0"/>
          <w:szCs w:val="21"/>
          <w:highlight w:val="none"/>
          <w:lang w:bidi="ar"/>
        </w:rPr>
        <w:t>万元，资产总额为</w:t>
      </w:r>
      <w:r>
        <w:rPr>
          <w:rFonts w:hint="eastAsia" w:ascii="宋体" w:hAnsi="宋体" w:cs="宋体"/>
          <w:color w:val="auto"/>
          <w:kern w:val="0"/>
          <w:szCs w:val="21"/>
          <w:highlight w:val="none"/>
          <w:u w:val="single"/>
          <w:lang w:bidi="ar"/>
        </w:rPr>
        <w:t xml:space="preserve">       </w:t>
      </w:r>
      <w:r>
        <w:rPr>
          <w:rFonts w:hint="eastAsia" w:ascii="宋体" w:hAnsi="宋体" w:cs="宋体"/>
          <w:color w:val="auto"/>
          <w:kern w:val="0"/>
          <w:szCs w:val="21"/>
          <w:highlight w:val="none"/>
          <w:lang w:bidi="ar"/>
        </w:rPr>
        <w:t>万元，属于</w:t>
      </w:r>
      <w:r>
        <w:rPr>
          <w:rFonts w:hint="eastAsia" w:ascii="宋体" w:hAnsi="宋体" w:cs="宋体"/>
          <w:color w:val="auto"/>
          <w:kern w:val="0"/>
          <w:szCs w:val="21"/>
          <w:highlight w:val="none"/>
          <w:u w:val="single"/>
          <w:lang w:bidi="ar"/>
        </w:rPr>
        <w:t>（中型企业、小型企业、微型企业）</w:t>
      </w:r>
      <w:r>
        <w:rPr>
          <w:rFonts w:hint="eastAsia" w:ascii="宋体" w:hAnsi="宋体" w:cs="宋体"/>
          <w:color w:val="auto"/>
          <w:kern w:val="0"/>
          <w:szCs w:val="21"/>
          <w:highlight w:val="none"/>
          <w:lang w:bidi="ar"/>
        </w:rPr>
        <w:t xml:space="preserve">； </w:t>
      </w:r>
    </w:p>
    <w:p w14:paraId="12B5DB95">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lang w:bidi="ar"/>
        </w:rPr>
        <w:t xml:space="preserve">2. </w:t>
      </w:r>
      <w:r>
        <w:rPr>
          <w:rFonts w:hint="eastAsia" w:ascii="宋体" w:hAnsi="宋体" w:cs="宋体"/>
          <w:color w:val="auto"/>
          <w:kern w:val="0"/>
          <w:szCs w:val="21"/>
          <w:highlight w:val="none"/>
          <w:u w:val="single"/>
          <w:lang w:bidi="ar"/>
        </w:rPr>
        <w:t xml:space="preserve">（标的名称） </w:t>
      </w:r>
      <w:r>
        <w:rPr>
          <w:rFonts w:hint="eastAsia" w:ascii="宋体" w:hAnsi="宋体" w:cs="宋体"/>
          <w:color w:val="auto"/>
          <w:kern w:val="0"/>
          <w:szCs w:val="21"/>
          <w:highlight w:val="none"/>
          <w:lang w:bidi="ar"/>
        </w:rPr>
        <w:t>，属于</w:t>
      </w:r>
      <w:r>
        <w:rPr>
          <w:rFonts w:hint="eastAsia" w:ascii="宋体" w:hAnsi="宋体" w:cs="宋体"/>
          <w:color w:val="auto"/>
          <w:kern w:val="0"/>
          <w:szCs w:val="21"/>
          <w:highlight w:val="none"/>
          <w:u w:val="single"/>
          <w:lang w:bidi="ar"/>
        </w:rPr>
        <w:t>（采购文件中明确的所属行业）</w:t>
      </w:r>
      <w:r>
        <w:rPr>
          <w:rFonts w:hint="eastAsia" w:ascii="宋体" w:hAnsi="宋体" w:cs="宋体"/>
          <w:color w:val="auto"/>
          <w:kern w:val="0"/>
          <w:szCs w:val="21"/>
          <w:highlight w:val="none"/>
          <w:lang w:bidi="ar"/>
        </w:rPr>
        <w:t>行业；制造商为</w:t>
      </w:r>
      <w:r>
        <w:rPr>
          <w:rFonts w:hint="eastAsia" w:ascii="宋体" w:hAnsi="宋体" w:cs="宋体"/>
          <w:color w:val="auto"/>
          <w:kern w:val="0"/>
          <w:szCs w:val="21"/>
          <w:highlight w:val="none"/>
          <w:u w:val="single"/>
          <w:lang w:bidi="ar"/>
        </w:rPr>
        <w:t>（企业名称）</w:t>
      </w:r>
      <w:r>
        <w:rPr>
          <w:rFonts w:hint="eastAsia" w:ascii="宋体" w:hAnsi="宋体" w:cs="宋体"/>
          <w:color w:val="auto"/>
          <w:kern w:val="0"/>
          <w:szCs w:val="21"/>
          <w:highlight w:val="none"/>
          <w:lang w:bidi="ar"/>
        </w:rPr>
        <w:t>，从业人员</w:t>
      </w:r>
      <w:r>
        <w:rPr>
          <w:rFonts w:hint="eastAsia" w:ascii="宋体" w:hAnsi="宋体" w:cs="宋体"/>
          <w:color w:val="auto"/>
          <w:kern w:val="0"/>
          <w:szCs w:val="21"/>
          <w:highlight w:val="none"/>
          <w:u w:val="single"/>
          <w:lang w:bidi="ar"/>
        </w:rPr>
        <w:t xml:space="preserve">      </w:t>
      </w:r>
      <w:r>
        <w:rPr>
          <w:rFonts w:hint="eastAsia" w:ascii="宋体" w:hAnsi="宋体" w:cs="宋体"/>
          <w:color w:val="auto"/>
          <w:kern w:val="0"/>
          <w:szCs w:val="21"/>
          <w:highlight w:val="none"/>
          <w:lang w:bidi="ar"/>
        </w:rPr>
        <w:t>人，营业收入为</w:t>
      </w:r>
      <w:r>
        <w:rPr>
          <w:rFonts w:hint="eastAsia" w:ascii="宋体" w:hAnsi="宋体" w:cs="宋体"/>
          <w:color w:val="auto"/>
          <w:kern w:val="0"/>
          <w:szCs w:val="21"/>
          <w:highlight w:val="none"/>
          <w:u w:val="single"/>
          <w:lang w:bidi="ar"/>
        </w:rPr>
        <w:t xml:space="preserve">       </w:t>
      </w:r>
      <w:r>
        <w:rPr>
          <w:rFonts w:hint="eastAsia" w:ascii="宋体" w:hAnsi="宋体" w:cs="宋体"/>
          <w:color w:val="auto"/>
          <w:kern w:val="0"/>
          <w:szCs w:val="21"/>
          <w:highlight w:val="none"/>
          <w:lang w:bidi="ar"/>
        </w:rPr>
        <w:t>万元，资产总额为</w:t>
      </w:r>
      <w:r>
        <w:rPr>
          <w:rFonts w:hint="eastAsia" w:ascii="宋体" w:hAnsi="宋体" w:cs="宋体"/>
          <w:color w:val="auto"/>
          <w:kern w:val="0"/>
          <w:szCs w:val="21"/>
          <w:highlight w:val="none"/>
          <w:u w:val="single"/>
          <w:lang w:bidi="ar"/>
        </w:rPr>
        <w:t xml:space="preserve">       </w:t>
      </w:r>
      <w:r>
        <w:rPr>
          <w:rFonts w:hint="eastAsia" w:ascii="宋体" w:hAnsi="宋体" w:cs="宋体"/>
          <w:color w:val="auto"/>
          <w:kern w:val="0"/>
          <w:szCs w:val="21"/>
          <w:highlight w:val="none"/>
          <w:lang w:bidi="ar"/>
        </w:rPr>
        <w:t>万元，属于</w:t>
      </w:r>
      <w:r>
        <w:rPr>
          <w:rFonts w:hint="eastAsia" w:ascii="宋体" w:hAnsi="宋体" w:cs="宋体"/>
          <w:color w:val="auto"/>
          <w:kern w:val="0"/>
          <w:szCs w:val="21"/>
          <w:highlight w:val="none"/>
          <w:u w:val="single"/>
          <w:lang w:bidi="ar"/>
        </w:rPr>
        <w:t>（中型企业、小型企业、微型企业）</w:t>
      </w:r>
      <w:r>
        <w:rPr>
          <w:rFonts w:hint="eastAsia" w:ascii="宋体" w:hAnsi="宋体" w:cs="宋体"/>
          <w:color w:val="auto"/>
          <w:kern w:val="0"/>
          <w:szCs w:val="21"/>
          <w:highlight w:val="none"/>
          <w:lang w:bidi="ar"/>
        </w:rPr>
        <w:t xml:space="preserve">；  </w:t>
      </w:r>
    </w:p>
    <w:p w14:paraId="64DA7DC4">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lang w:bidi="ar"/>
        </w:rPr>
        <w:t>……</w:t>
      </w:r>
    </w:p>
    <w:p w14:paraId="1DE1AF1A">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lang w:bidi="ar"/>
        </w:rPr>
        <w:t xml:space="preserve">以上企业，不属于大企业的分支机构，不存在控股股东为大企业的情形，也不存在与大企业的负责人为同一人的情形。本企业对上述声明内容的真实性负责。如有虚假，将依法承担相应责任。 </w:t>
      </w:r>
    </w:p>
    <w:p w14:paraId="6876DA86">
      <w:pPr>
        <w:widowControl/>
        <w:adjustRightInd w:val="0"/>
        <w:snapToGrid w:val="0"/>
        <w:spacing w:line="360" w:lineRule="auto"/>
        <w:ind w:firstLine="420" w:firstLineChars="200"/>
        <w:jc w:val="left"/>
        <w:rPr>
          <w:rFonts w:ascii="宋体" w:hAnsi="宋体" w:cs="宋体"/>
          <w:color w:val="auto"/>
          <w:kern w:val="0"/>
          <w:szCs w:val="21"/>
          <w:highlight w:val="none"/>
        </w:rPr>
      </w:pPr>
    </w:p>
    <w:p w14:paraId="3D8E1D23">
      <w:pPr>
        <w:widowControl/>
        <w:adjustRightInd w:val="0"/>
        <w:snapToGrid w:val="0"/>
        <w:spacing w:line="360" w:lineRule="auto"/>
        <w:ind w:firstLine="420" w:firstLineChars="200"/>
        <w:jc w:val="center"/>
        <w:rPr>
          <w:rFonts w:ascii="宋体" w:hAnsi="宋体" w:cs="宋体"/>
          <w:color w:val="auto"/>
          <w:kern w:val="0"/>
          <w:szCs w:val="21"/>
          <w:highlight w:val="none"/>
        </w:rPr>
      </w:pPr>
    </w:p>
    <w:p w14:paraId="6588D169">
      <w:pPr>
        <w:widowControl/>
        <w:adjustRightInd w:val="0"/>
        <w:snapToGrid w:val="0"/>
        <w:spacing w:line="360" w:lineRule="auto"/>
        <w:ind w:firstLine="444" w:firstLineChars="200"/>
        <w:jc w:val="center"/>
        <w:rPr>
          <w:rFonts w:ascii="宋体" w:hAnsi="宋体" w:cs="宋体"/>
          <w:color w:val="auto"/>
          <w:spacing w:val="6"/>
          <w:kern w:val="0"/>
          <w:szCs w:val="21"/>
          <w:highlight w:val="none"/>
          <w:u w:val="single"/>
        </w:rPr>
      </w:pPr>
      <w:r>
        <w:rPr>
          <w:rFonts w:hint="eastAsia" w:ascii="宋体" w:hAnsi="宋体" w:cs="宋体"/>
          <w:color w:val="auto"/>
          <w:spacing w:val="6"/>
          <w:kern w:val="0"/>
          <w:szCs w:val="21"/>
          <w:highlight w:val="none"/>
        </w:rPr>
        <w:t xml:space="preserve">             投标人名称（盖单位章）：</w:t>
      </w:r>
    </w:p>
    <w:p w14:paraId="05ACA163">
      <w:pPr>
        <w:widowControl/>
        <w:adjustRightInd w:val="0"/>
        <w:snapToGrid w:val="0"/>
        <w:spacing w:line="360" w:lineRule="auto"/>
        <w:ind w:firstLine="444" w:firstLineChars="200"/>
        <w:jc w:val="center"/>
        <w:rPr>
          <w:rFonts w:ascii="宋体" w:hAnsi="宋体" w:cs="宋体"/>
          <w:color w:val="auto"/>
          <w:spacing w:val="6"/>
          <w:kern w:val="0"/>
          <w:szCs w:val="21"/>
          <w:highlight w:val="none"/>
          <w:u w:val="single"/>
        </w:rPr>
      </w:pPr>
      <w:r>
        <w:rPr>
          <w:rFonts w:hint="eastAsia" w:ascii="宋体" w:hAnsi="宋体" w:cs="宋体"/>
          <w:color w:val="auto"/>
          <w:spacing w:val="6"/>
          <w:kern w:val="0"/>
          <w:szCs w:val="21"/>
          <w:highlight w:val="none"/>
        </w:rPr>
        <w:t xml:space="preserve">                   日 期：</w:t>
      </w:r>
    </w:p>
    <w:p w14:paraId="56C61425">
      <w:pPr>
        <w:widowControl/>
        <w:adjustRightInd w:val="0"/>
        <w:snapToGrid w:val="0"/>
        <w:spacing w:line="360" w:lineRule="auto"/>
        <w:ind w:firstLine="446" w:firstLineChars="200"/>
        <w:jc w:val="center"/>
        <w:rPr>
          <w:rFonts w:ascii="宋体" w:hAnsi="宋体" w:cs="宋体"/>
          <w:b/>
          <w:color w:val="auto"/>
          <w:spacing w:val="6"/>
          <w:kern w:val="0"/>
          <w:szCs w:val="21"/>
          <w:highlight w:val="none"/>
          <w:u w:val="single"/>
        </w:rPr>
      </w:pPr>
    </w:p>
    <w:p w14:paraId="04D98E13">
      <w:pPr>
        <w:widowControl/>
        <w:ind w:firstLine="420" w:firstLineChars="200"/>
        <w:jc w:val="left"/>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注：1.投标人应按本声明函内容和格式如实声明采购标的制造商的企业规模</w:t>
      </w:r>
      <w:r>
        <w:rPr>
          <w:rFonts w:hint="eastAsia" w:ascii="宋体" w:hAnsi="宋体" w:cs="宋体"/>
          <w:b/>
          <w:bCs/>
          <w:color w:val="auto"/>
          <w:kern w:val="0"/>
          <w:szCs w:val="21"/>
          <w:highlight w:val="none"/>
          <w:lang w:bidi="ar"/>
        </w:rPr>
        <w:t>。</w:t>
      </w:r>
    </w:p>
    <w:p w14:paraId="4B620B7E">
      <w:pPr>
        <w:widowControl/>
        <w:adjustRightInd w:val="0"/>
        <w:snapToGrid w:val="0"/>
        <w:spacing w:line="360" w:lineRule="auto"/>
        <w:ind w:firstLine="420" w:firstLineChars="200"/>
        <w:jc w:val="center"/>
        <w:rPr>
          <w:rFonts w:hint="eastAsia" w:ascii="宋体" w:hAnsi="宋体"/>
          <w:color w:val="auto"/>
        </w:rPr>
      </w:pPr>
      <w:r>
        <w:rPr>
          <w:rFonts w:hint="eastAsia" w:ascii="宋体" w:hAnsi="宋体" w:cs="宋体"/>
          <w:color w:val="auto"/>
          <w:kern w:val="0"/>
          <w:szCs w:val="21"/>
          <w:highlight w:val="none"/>
          <w:lang w:bidi="ar"/>
        </w:rPr>
        <w:t>2.从业人员、营业收入、资产总额填报上一年度数据，无上一年度数据的新成立企业可不填报。</w:t>
      </w:r>
    </w:p>
    <w:p w14:paraId="43996086">
      <w:pPr>
        <w:ind w:left="-48" w:leftChars="-23" w:right="-65" w:rightChars="-31"/>
        <w:jc w:val="center"/>
        <w:rPr>
          <w:rFonts w:hint="eastAsia" w:ascii="宋体" w:hAnsi="宋体"/>
          <w:b/>
          <w:sz w:val="30"/>
          <w:szCs w:val="30"/>
        </w:rPr>
      </w:pPr>
    </w:p>
    <w:p w14:paraId="74ECC13C">
      <w:pPr>
        <w:ind w:left="-48" w:leftChars="-23" w:right="-65" w:rightChars="-31"/>
        <w:jc w:val="center"/>
        <w:rPr>
          <w:rFonts w:hint="eastAsia" w:ascii="宋体" w:hAnsi="宋体"/>
          <w:b/>
          <w:sz w:val="30"/>
          <w:szCs w:val="30"/>
        </w:rPr>
      </w:pPr>
    </w:p>
    <w:p w14:paraId="7A598F5B">
      <w:pPr>
        <w:ind w:left="-48" w:leftChars="-23" w:right="-65" w:rightChars="-31"/>
        <w:jc w:val="center"/>
        <w:rPr>
          <w:rFonts w:hint="eastAsia" w:ascii="宋体" w:hAnsi="宋体"/>
          <w:b/>
          <w:sz w:val="30"/>
          <w:szCs w:val="30"/>
        </w:rPr>
      </w:pPr>
    </w:p>
    <w:p w14:paraId="516C6CD3">
      <w:pPr>
        <w:ind w:left="-48" w:leftChars="-23" w:right="-65" w:rightChars="-31"/>
        <w:jc w:val="center"/>
        <w:rPr>
          <w:rFonts w:hint="eastAsia" w:ascii="宋体" w:hAnsi="宋体"/>
          <w:b/>
          <w:sz w:val="30"/>
          <w:szCs w:val="30"/>
        </w:rPr>
      </w:pPr>
    </w:p>
    <w:p w14:paraId="5667C8A8">
      <w:pPr>
        <w:ind w:left="-48" w:leftChars="-23" w:right="-65" w:rightChars="-31"/>
        <w:jc w:val="center"/>
        <w:rPr>
          <w:rFonts w:ascii="宋体" w:hAnsi="宋体"/>
          <w:b/>
          <w:sz w:val="30"/>
          <w:szCs w:val="30"/>
        </w:rPr>
      </w:pPr>
      <w:r>
        <w:rPr>
          <w:rFonts w:hint="eastAsia" w:ascii="宋体" w:hAnsi="宋体"/>
          <w:b/>
          <w:sz w:val="30"/>
          <w:szCs w:val="30"/>
        </w:rPr>
        <w:t>中小企业划型标准</w:t>
      </w:r>
      <w:r>
        <w:rPr>
          <w:rFonts w:hint="eastAsia" w:ascii="宋体" w:hAnsi="宋体"/>
          <w:bCs/>
          <w:sz w:val="20"/>
          <w:szCs w:val="20"/>
        </w:rPr>
        <w:t>（工信部联企业（2011）300号）</w:t>
      </w:r>
    </w:p>
    <w:tbl>
      <w:tblPr>
        <w:tblStyle w:val="40"/>
        <w:tblW w:w="10741" w:type="dxa"/>
        <w:jc w:val="center"/>
        <w:shd w:val="clear" w:color="auto" w:fill="FFFFFF" w:themeFill="background1"/>
        <w:tblLayout w:type="fixed"/>
        <w:tblCellMar>
          <w:top w:w="0" w:type="dxa"/>
          <w:left w:w="108" w:type="dxa"/>
          <w:bottom w:w="0" w:type="dxa"/>
          <w:right w:w="108" w:type="dxa"/>
        </w:tblCellMar>
      </w:tblPr>
      <w:tblGrid>
        <w:gridCol w:w="479"/>
        <w:gridCol w:w="764"/>
        <w:gridCol w:w="851"/>
        <w:gridCol w:w="850"/>
        <w:gridCol w:w="851"/>
        <w:gridCol w:w="850"/>
        <w:gridCol w:w="709"/>
        <w:gridCol w:w="851"/>
        <w:gridCol w:w="850"/>
        <w:gridCol w:w="851"/>
        <w:gridCol w:w="708"/>
        <w:gridCol w:w="709"/>
        <w:gridCol w:w="709"/>
        <w:gridCol w:w="709"/>
      </w:tblGrid>
      <w:tr w14:paraId="2F004E41">
        <w:tblPrEx>
          <w:tblCellMar>
            <w:top w:w="0" w:type="dxa"/>
            <w:left w:w="108" w:type="dxa"/>
            <w:bottom w:w="0" w:type="dxa"/>
            <w:right w:w="108" w:type="dxa"/>
          </w:tblCellMar>
        </w:tblPrEx>
        <w:trPr>
          <w:trHeight w:val="223" w:hRule="atLeast"/>
          <w:tblHeader/>
          <w:jc w:val="center"/>
        </w:trPr>
        <w:tc>
          <w:tcPr>
            <w:tcW w:w="479" w:type="dxa"/>
            <w:vMerge w:val="restart"/>
            <w:tcBorders>
              <w:top w:val="single" w:color="auto" w:sz="4" w:space="0"/>
              <w:left w:val="single" w:color="auto" w:sz="4" w:space="0"/>
              <w:right w:val="single" w:color="auto" w:sz="4" w:space="0"/>
            </w:tcBorders>
            <w:shd w:val="clear" w:color="auto" w:fill="FFFFFF" w:themeFill="background1"/>
            <w:noWrap/>
            <w:vAlign w:val="center"/>
          </w:tcPr>
          <w:p w14:paraId="625335EB">
            <w:pPr>
              <w:pStyle w:val="170"/>
              <w:ind w:left="-48" w:leftChars="-23" w:right="-65" w:rightChars="-31"/>
              <w:jc w:val="center"/>
              <w:rPr>
                <w:rFonts w:ascii="宋体" w:hAnsi="宋体" w:cs="宋体"/>
                <w:b w:val="0"/>
                <w:bCs/>
                <w:kern w:val="0"/>
                <w:sz w:val="18"/>
                <w:szCs w:val="18"/>
              </w:rPr>
            </w:pPr>
            <w:r>
              <w:rPr>
                <w:rFonts w:hint="eastAsia" w:ascii="宋体" w:hAnsi="宋体" w:cs="宋体"/>
                <w:b w:val="0"/>
                <w:bCs/>
                <w:kern w:val="0"/>
                <w:sz w:val="18"/>
                <w:szCs w:val="18"/>
              </w:rPr>
              <w:t>序号</w:t>
            </w:r>
          </w:p>
        </w:tc>
        <w:tc>
          <w:tcPr>
            <w:tcW w:w="764" w:type="dxa"/>
            <w:vMerge w:val="restart"/>
            <w:tcBorders>
              <w:top w:val="single" w:color="auto" w:sz="4" w:space="0"/>
              <w:left w:val="nil"/>
              <w:right w:val="single" w:color="auto" w:sz="4" w:space="0"/>
            </w:tcBorders>
            <w:shd w:val="clear" w:color="auto" w:fill="FFFFFF" w:themeFill="background1"/>
            <w:noWrap/>
            <w:vAlign w:val="center"/>
          </w:tcPr>
          <w:p w14:paraId="7700577A">
            <w:pPr>
              <w:pStyle w:val="170"/>
              <w:ind w:left="-48" w:leftChars="-23" w:right="-65" w:rightChars="-31"/>
              <w:jc w:val="center"/>
              <w:rPr>
                <w:rFonts w:ascii="宋体" w:hAnsi="宋体" w:cs="宋体"/>
                <w:b w:val="0"/>
                <w:bCs/>
                <w:kern w:val="0"/>
                <w:sz w:val="16"/>
                <w:szCs w:val="16"/>
              </w:rPr>
            </w:pPr>
            <w:r>
              <w:rPr>
                <w:rFonts w:hint="eastAsia" w:ascii="宋体" w:hAnsi="宋体" w:cs="宋体"/>
                <w:b w:val="0"/>
                <w:bCs/>
                <w:kern w:val="0"/>
                <w:sz w:val="16"/>
                <w:szCs w:val="16"/>
              </w:rPr>
              <w:t>行业</w:t>
            </w:r>
          </w:p>
        </w:tc>
        <w:tc>
          <w:tcPr>
            <w:tcW w:w="2552" w:type="dxa"/>
            <w:gridSpan w:val="3"/>
            <w:tcBorders>
              <w:top w:val="single" w:color="auto" w:sz="4" w:space="0"/>
              <w:left w:val="nil"/>
              <w:bottom w:val="single" w:color="auto" w:sz="4" w:space="0"/>
              <w:right w:val="single" w:color="auto" w:sz="4" w:space="0"/>
            </w:tcBorders>
            <w:shd w:val="clear" w:color="auto" w:fill="FFFFFF" w:themeFill="background1"/>
            <w:noWrap/>
            <w:vAlign w:val="center"/>
          </w:tcPr>
          <w:p w14:paraId="41ECF129">
            <w:pPr>
              <w:pStyle w:val="170"/>
              <w:ind w:left="-48" w:leftChars="-23" w:right="-65" w:rightChars="-31"/>
              <w:jc w:val="center"/>
              <w:rPr>
                <w:rFonts w:ascii="宋体" w:hAnsi="宋体" w:cs="宋体"/>
                <w:b w:val="0"/>
                <w:bCs/>
                <w:kern w:val="0"/>
                <w:sz w:val="18"/>
                <w:szCs w:val="18"/>
              </w:rPr>
            </w:pPr>
            <w:r>
              <w:rPr>
                <w:rFonts w:hint="eastAsia" w:ascii="宋体" w:hAnsi="宋体" w:cs="宋体"/>
                <w:b w:val="0"/>
                <w:bCs/>
                <w:kern w:val="0"/>
                <w:sz w:val="18"/>
                <w:szCs w:val="18"/>
              </w:rPr>
              <w:t>大型企业</w:t>
            </w:r>
          </w:p>
        </w:tc>
        <w:tc>
          <w:tcPr>
            <w:tcW w:w="2410" w:type="dxa"/>
            <w:gridSpan w:val="3"/>
            <w:tcBorders>
              <w:top w:val="single" w:color="auto" w:sz="4" w:space="0"/>
              <w:left w:val="nil"/>
              <w:bottom w:val="single" w:color="auto" w:sz="4" w:space="0"/>
              <w:right w:val="single" w:color="auto" w:sz="4" w:space="0"/>
            </w:tcBorders>
            <w:shd w:val="clear" w:color="auto" w:fill="FFFFFF" w:themeFill="background1"/>
            <w:noWrap/>
            <w:vAlign w:val="center"/>
          </w:tcPr>
          <w:p w14:paraId="07A9A205">
            <w:pPr>
              <w:pStyle w:val="170"/>
              <w:ind w:left="-48" w:leftChars="-23" w:right="-65" w:rightChars="-31"/>
              <w:jc w:val="center"/>
              <w:rPr>
                <w:rFonts w:ascii="宋体" w:hAnsi="宋体" w:cs="宋体"/>
                <w:b w:val="0"/>
                <w:bCs/>
                <w:kern w:val="0"/>
                <w:sz w:val="18"/>
                <w:szCs w:val="18"/>
              </w:rPr>
            </w:pPr>
            <w:r>
              <w:rPr>
                <w:rFonts w:hint="eastAsia" w:ascii="宋体" w:hAnsi="宋体" w:cs="宋体"/>
                <w:b w:val="0"/>
                <w:bCs/>
                <w:kern w:val="0"/>
                <w:sz w:val="18"/>
                <w:szCs w:val="18"/>
              </w:rPr>
              <w:t>中型企业</w:t>
            </w:r>
          </w:p>
        </w:tc>
        <w:tc>
          <w:tcPr>
            <w:tcW w:w="2409" w:type="dxa"/>
            <w:gridSpan w:val="3"/>
            <w:tcBorders>
              <w:top w:val="single" w:color="auto" w:sz="4" w:space="0"/>
              <w:left w:val="nil"/>
              <w:bottom w:val="single" w:color="auto" w:sz="4" w:space="0"/>
              <w:right w:val="single" w:color="auto" w:sz="4" w:space="0"/>
            </w:tcBorders>
            <w:shd w:val="clear" w:color="auto" w:fill="FFFFFF" w:themeFill="background1"/>
            <w:noWrap/>
            <w:vAlign w:val="center"/>
          </w:tcPr>
          <w:p w14:paraId="359FC2CE">
            <w:pPr>
              <w:pStyle w:val="170"/>
              <w:ind w:left="-48" w:leftChars="-23" w:right="-65" w:rightChars="-31"/>
              <w:jc w:val="center"/>
              <w:rPr>
                <w:rFonts w:ascii="宋体" w:hAnsi="宋体" w:cs="宋体"/>
                <w:b w:val="0"/>
                <w:bCs/>
                <w:kern w:val="0"/>
                <w:sz w:val="18"/>
                <w:szCs w:val="18"/>
              </w:rPr>
            </w:pPr>
            <w:r>
              <w:rPr>
                <w:rFonts w:hint="eastAsia" w:ascii="宋体" w:hAnsi="宋体" w:cs="宋体"/>
                <w:b w:val="0"/>
                <w:bCs/>
                <w:kern w:val="0"/>
                <w:sz w:val="18"/>
                <w:szCs w:val="18"/>
              </w:rPr>
              <w:t>小型企业</w:t>
            </w:r>
          </w:p>
        </w:tc>
        <w:tc>
          <w:tcPr>
            <w:tcW w:w="2127" w:type="dxa"/>
            <w:gridSpan w:val="3"/>
            <w:tcBorders>
              <w:top w:val="single" w:color="auto" w:sz="4" w:space="0"/>
              <w:left w:val="nil"/>
              <w:bottom w:val="single" w:color="auto" w:sz="4" w:space="0"/>
              <w:right w:val="single" w:color="auto" w:sz="4" w:space="0"/>
            </w:tcBorders>
            <w:shd w:val="clear" w:color="auto" w:fill="FFFFFF" w:themeFill="background1"/>
            <w:noWrap/>
            <w:vAlign w:val="center"/>
          </w:tcPr>
          <w:p w14:paraId="0FBB3316">
            <w:pPr>
              <w:pStyle w:val="170"/>
              <w:ind w:left="-48" w:leftChars="-23" w:right="-65" w:rightChars="-31"/>
              <w:jc w:val="center"/>
              <w:rPr>
                <w:rFonts w:ascii="宋体" w:hAnsi="宋体" w:cs="宋体"/>
                <w:b w:val="0"/>
                <w:bCs/>
                <w:kern w:val="0"/>
                <w:sz w:val="18"/>
                <w:szCs w:val="18"/>
              </w:rPr>
            </w:pPr>
            <w:r>
              <w:rPr>
                <w:rFonts w:hint="eastAsia" w:ascii="宋体" w:hAnsi="宋体" w:cs="宋体"/>
                <w:b w:val="0"/>
                <w:bCs/>
                <w:kern w:val="0"/>
                <w:sz w:val="18"/>
                <w:szCs w:val="18"/>
              </w:rPr>
              <w:t>微型企业</w:t>
            </w:r>
          </w:p>
        </w:tc>
      </w:tr>
      <w:tr w14:paraId="37537204">
        <w:tblPrEx>
          <w:tblCellMar>
            <w:top w:w="0" w:type="dxa"/>
            <w:left w:w="108" w:type="dxa"/>
            <w:bottom w:w="0" w:type="dxa"/>
            <w:right w:w="108" w:type="dxa"/>
          </w:tblCellMar>
        </w:tblPrEx>
        <w:trPr>
          <w:trHeight w:val="686" w:hRule="atLeast"/>
          <w:tblHeader/>
          <w:jc w:val="center"/>
        </w:trPr>
        <w:tc>
          <w:tcPr>
            <w:tcW w:w="479" w:type="dxa"/>
            <w:vMerge w:val="continue"/>
            <w:tcBorders>
              <w:left w:val="single" w:color="auto" w:sz="4" w:space="0"/>
              <w:bottom w:val="single" w:color="auto" w:sz="4" w:space="0"/>
              <w:right w:val="single" w:color="auto" w:sz="4" w:space="0"/>
            </w:tcBorders>
            <w:shd w:val="clear" w:color="auto" w:fill="FFFFFF" w:themeFill="background1"/>
            <w:noWrap/>
            <w:vAlign w:val="center"/>
          </w:tcPr>
          <w:p w14:paraId="3FA7E18E">
            <w:pPr>
              <w:pStyle w:val="170"/>
              <w:ind w:left="-48" w:leftChars="-23" w:right="-65" w:rightChars="-31"/>
              <w:jc w:val="center"/>
              <w:rPr>
                <w:rFonts w:ascii="宋体" w:hAnsi="宋体" w:cs="宋体"/>
                <w:b w:val="0"/>
                <w:bCs/>
                <w:kern w:val="0"/>
                <w:sz w:val="18"/>
                <w:szCs w:val="18"/>
              </w:rPr>
            </w:pPr>
          </w:p>
        </w:tc>
        <w:tc>
          <w:tcPr>
            <w:tcW w:w="764" w:type="dxa"/>
            <w:vMerge w:val="continue"/>
            <w:tcBorders>
              <w:left w:val="nil"/>
              <w:bottom w:val="single" w:color="auto" w:sz="4" w:space="0"/>
              <w:right w:val="single" w:color="auto" w:sz="4" w:space="0"/>
            </w:tcBorders>
            <w:shd w:val="clear" w:color="auto" w:fill="FFFFFF" w:themeFill="background1"/>
            <w:noWrap/>
            <w:vAlign w:val="center"/>
          </w:tcPr>
          <w:p w14:paraId="2072E008">
            <w:pPr>
              <w:pStyle w:val="170"/>
              <w:ind w:left="-48" w:leftChars="-23" w:right="-65" w:rightChars="-31"/>
              <w:jc w:val="left"/>
              <w:rPr>
                <w:rFonts w:ascii="宋体" w:hAnsi="宋体" w:cs="宋体"/>
                <w:b w:val="0"/>
                <w:bCs/>
                <w:kern w:val="0"/>
                <w:sz w:val="16"/>
                <w:szCs w:val="16"/>
              </w:rPr>
            </w:pPr>
          </w:p>
        </w:tc>
        <w:tc>
          <w:tcPr>
            <w:tcW w:w="851" w:type="dxa"/>
            <w:tcBorders>
              <w:top w:val="nil"/>
              <w:left w:val="nil"/>
              <w:bottom w:val="single" w:color="auto" w:sz="4" w:space="0"/>
              <w:right w:val="single" w:color="auto" w:sz="4" w:space="0"/>
            </w:tcBorders>
            <w:shd w:val="clear" w:color="auto" w:fill="FFFFFF" w:themeFill="background1"/>
            <w:noWrap/>
            <w:vAlign w:val="center"/>
          </w:tcPr>
          <w:p w14:paraId="103898AB">
            <w:pPr>
              <w:pStyle w:val="170"/>
              <w:ind w:left="-48" w:leftChars="-23" w:right="-65" w:rightChars="-31"/>
              <w:jc w:val="center"/>
              <w:rPr>
                <w:rFonts w:ascii="宋体" w:hAnsi="宋体" w:cs="宋体"/>
                <w:b w:val="0"/>
                <w:bCs/>
                <w:kern w:val="0"/>
                <w:sz w:val="18"/>
                <w:szCs w:val="18"/>
              </w:rPr>
            </w:pPr>
            <w:r>
              <w:rPr>
                <w:rFonts w:hint="eastAsia" w:ascii="宋体" w:hAnsi="宋体" w:cs="宋体"/>
                <w:b w:val="0"/>
                <w:bCs/>
                <w:kern w:val="0"/>
                <w:sz w:val="18"/>
                <w:szCs w:val="18"/>
              </w:rPr>
              <w:t>营业收入(万元)</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654B37C2">
            <w:pPr>
              <w:pStyle w:val="170"/>
              <w:ind w:left="-48" w:leftChars="-23" w:right="-65" w:rightChars="-31"/>
              <w:jc w:val="center"/>
              <w:rPr>
                <w:rFonts w:ascii="宋体" w:hAnsi="宋体" w:cs="宋体"/>
                <w:b w:val="0"/>
                <w:bCs/>
                <w:kern w:val="0"/>
                <w:sz w:val="18"/>
                <w:szCs w:val="18"/>
              </w:rPr>
            </w:pPr>
            <w:r>
              <w:rPr>
                <w:rFonts w:hint="eastAsia" w:ascii="宋体" w:hAnsi="宋体" w:cs="宋体"/>
                <w:b w:val="0"/>
                <w:bCs/>
                <w:kern w:val="0"/>
                <w:sz w:val="18"/>
                <w:szCs w:val="18"/>
              </w:rPr>
              <w:t>从业人员(人)</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78F43186">
            <w:pPr>
              <w:pStyle w:val="170"/>
              <w:ind w:left="-48" w:leftChars="-23" w:right="-65" w:rightChars="-31"/>
              <w:jc w:val="center"/>
              <w:rPr>
                <w:rFonts w:ascii="宋体" w:hAnsi="宋体" w:cs="宋体"/>
                <w:b w:val="0"/>
                <w:bCs/>
                <w:kern w:val="0"/>
                <w:sz w:val="18"/>
                <w:szCs w:val="18"/>
              </w:rPr>
            </w:pPr>
            <w:r>
              <w:rPr>
                <w:rFonts w:hint="eastAsia" w:ascii="宋体" w:hAnsi="宋体" w:cs="宋体"/>
                <w:b w:val="0"/>
                <w:bCs/>
                <w:kern w:val="0"/>
                <w:sz w:val="18"/>
                <w:szCs w:val="18"/>
              </w:rPr>
              <w:t>总资产(万元)</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626F71D8">
            <w:pPr>
              <w:pStyle w:val="170"/>
              <w:ind w:left="-48" w:leftChars="-23" w:right="-65" w:rightChars="-31"/>
              <w:jc w:val="center"/>
              <w:rPr>
                <w:rFonts w:ascii="宋体" w:hAnsi="宋体" w:cs="宋体"/>
                <w:b w:val="0"/>
                <w:bCs/>
                <w:kern w:val="0"/>
                <w:sz w:val="18"/>
                <w:szCs w:val="18"/>
              </w:rPr>
            </w:pPr>
            <w:r>
              <w:rPr>
                <w:rFonts w:hint="eastAsia" w:ascii="宋体" w:hAnsi="宋体" w:cs="宋体"/>
                <w:b w:val="0"/>
                <w:bCs/>
                <w:kern w:val="0"/>
                <w:sz w:val="18"/>
                <w:szCs w:val="18"/>
              </w:rPr>
              <w:t>营业收入(万元)</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20C06218">
            <w:pPr>
              <w:pStyle w:val="170"/>
              <w:ind w:left="-48" w:leftChars="-23" w:right="-65" w:rightChars="-31"/>
              <w:jc w:val="center"/>
              <w:rPr>
                <w:rFonts w:ascii="宋体" w:hAnsi="宋体" w:cs="宋体"/>
                <w:b w:val="0"/>
                <w:bCs/>
                <w:kern w:val="0"/>
                <w:sz w:val="18"/>
                <w:szCs w:val="18"/>
              </w:rPr>
            </w:pPr>
            <w:r>
              <w:rPr>
                <w:rFonts w:hint="eastAsia" w:ascii="宋体" w:hAnsi="宋体" w:cs="宋体"/>
                <w:b w:val="0"/>
                <w:bCs/>
                <w:kern w:val="0"/>
                <w:sz w:val="18"/>
                <w:szCs w:val="18"/>
              </w:rPr>
              <w:t>从业人员(人)</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59CD6ECE">
            <w:pPr>
              <w:pStyle w:val="170"/>
              <w:ind w:left="-48" w:leftChars="-23" w:right="-65" w:rightChars="-31"/>
              <w:jc w:val="center"/>
              <w:rPr>
                <w:rFonts w:ascii="宋体" w:hAnsi="宋体" w:cs="宋体"/>
                <w:b w:val="0"/>
                <w:bCs/>
                <w:kern w:val="0"/>
                <w:sz w:val="18"/>
                <w:szCs w:val="18"/>
              </w:rPr>
            </w:pPr>
            <w:r>
              <w:rPr>
                <w:rFonts w:hint="eastAsia" w:ascii="宋体" w:hAnsi="宋体" w:cs="宋体"/>
                <w:b w:val="0"/>
                <w:bCs/>
                <w:kern w:val="0"/>
                <w:sz w:val="18"/>
                <w:szCs w:val="18"/>
              </w:rPr>
              <w:t>总资产(万元)</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1F69126B">
            <w:pPr>
              <w:pStyle w:val="170"/>
              <w:ind w:left="-48" w:leftChars="-23" w:right="-65" w:rightChars="-31"/>
              <w:jc w:val="center"/>
              <w:rPr>
                <w:rFonts w:ascii="宋体" w:hAnsi="宋体" w:cs="宋体"/>
                <w:b w:val="0"/>
                <w:bCs/>
                <w:kern w:val="0"/>
                <w:sz w:val="18"/>
                <w:szCs w:val="18"/>
              </w:rPr>
            </w:pPr>
            <w:r>
              <w:rPr>
                <w:rFonts w:hint="eastAsia" w:ascii="宋体" w:hAnsi="宋体" w:cs="宋体"/>
                <w:b w:val="0"/>
                <w:bCs/>
                <w:kern w:val="0"/>
                <w:sz w:val="18"/>
                <w:szCs w:val="18"/>
              </w:rPr>
              <w:t>营业收入(万元)</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16B0CCB3">
            <w:pPr>
              <w:pStyle w:val="170"/>
              <w:ind w:left="94" w:leftChars="-23" w:right="-65" w:rightChars="-31" w:hanging="142" w:hangingChars="79"/>
              <w:jc w:val="center"/>
              <w:rPr>
                <w:rFonts w:ascii="宋体" w:hAnsi="宋体" w:cs="宋体"/>
                <w:b w:val="0"/>
                <w:bCs/>
                <w:kern w:val="0"/>
                <w:sz w:val="18"/>
                <w:szCs w:val="18"/>
              </w:rPr>
            </w:pPr>
            <w:r>
              <w:rPr>
                <w:rFonts w:hint="eastAsia" w:ascii="宋体" w:hAnsi="宋体" w:cs="宋体"/>
                <w:b w:val="0"/>
                <w:bCs/>
                <w:kern w:val="0"/>
                <w:sz w:val="18"/>
                <w:szCs w:val="18"/>
              </w:rPr>
              <w:t>从业人员(人)</w:t>
            </w:r>
          </w:p>
        </w:tc>
        <w:tc>
          <w:tcPr>
            <w:tcW w:w="708" w:type="dxa"/>
            <w:tcBorders>
              <w:top w:val="nil"/>
              <w:left w:val="nil"/>
              <w:bottom w:val="single" w:color="auto" w:sz="4" w:space="0"/>
              <w:right w:val="single" w:color="auto" w:sz="4" w:space="0"/>
            </w:tcBorders>
            <w:shd w:val="clear" w:color="auto" w:fill="FFFFFF" w:themeFill="background1"/>
            <w:noWrap/>
            <w:vAlign w:val="center"/>
          </w:tcPr>
          <w:p w14:paraId="759066E9">
            <w:pPr>
              <w:pStyle w:val="170"/>
              <w:ind w:left="-48" w:leftChars="-23" w:right="-65" w:rightChars="-31"/>
              <w:jc w:val="center"/>
              <w:rPr>
                <w:rFonts w:ascii="宋体" w:hAnsi="宋体" w:cs="宋体"/>
                <w:b w:val="0"/>
                <w:bCs/>
                <w:kern w:val="0"/>
                <w:sz w:val="18"/>
                <w:szCs w:val="18"/>
              </w:rPr>
            </w:pPr>
            <w:r>
              <w:rPr>
                <w:rFonts w:hint="eastAsia" w:ascii="宋体" w:hAnsi="宋体" w:cs="宋体"/>
                <w:b w:val="0"/>
                <w:bCs/>
                <w:kern w:val="0"/>
                <w:sz w:val="18"/>
                <w:szCs w:val="18"/>
              </w:rPr>
              <w:t>总资产(万元)</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44D413F0">
            <w:pPr>
              <w:pStyle w:val="170"/>
              <w:ind w:left="-48" w:leftChars="-23" w:right="-65" w:rightChars="-31"/>
              <w:jc w:val="center"/>
              <w:rPr>
                <w:rFonts w:ascii="宋体" w:hAnsi="宋体" w:cs="宋体"/>
                <w:b w:val="0"/>
                <w:bCs/>
                <w:kern w:val="0"/>
                <w:sz w:val="18"/>
                <w:szCs w:val="18"/>
              </w:rPr>
            </w:pPr>
            <w:r>
              <w:rPr>
                <w:rFonts w:hint="eastAsia" w:ascii="宋体" w:hAnsi="宋体" w:cs="宋体"/>
                <w:b w:val="0"/>
                <w:bCs/>
                <w:kern w:val="0"/>
                <w:sz w:val="18"/>
                <w:szCs w:val="18"/>
              </w:rPr>
              <w:t>营业收入(万元)</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6368340A">
            <w:pPr>
              <w:pStyle w:val="170"/>
              <w:ind w:left="-48" w:leftChars="-23" w:right="-65" w:rightChars="-31"/>
              <w:jc w:val="center"/>
              <w:rPr>
                <w:rFonts w:ascii="宋体" w:hAnsi="宋体" w:cs="宋体"/>
                <w:b w:val="0"/>
                <w:bCs/>
                <w:kern w:val="0"/>
                <w:sz w:val="18"/>
                <w:szCs w:val="18"/>
              </w:rPr>
            </w:pPr>
            <w:r>
              <w:rPr>
                <w:rFonts w:hint="eastAsia" w:ascii="宋体" w:hAnsi="宋体" w:cs="宋体"/>
                <w:b w:val="0"/>
                <w:bCs/>
                <w:kern w:val="0"/>
                <w:sz w:val="18"/>
                <w:szCs w:val="18"/>
              </w:rPr>
              <w:t>从业人员(人)</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27CE9B52">
            <w:pPr>
              <w:pStyle w:val="170"/>
              <w:ind w:left="-48" w:leftChars="-23" w:right="-65" w:rightChars="-31"/>
              <w:jc w:val="center"/>
              <w:rPr>
                <w:rFonts w:ascii="宋体" w:hAnsi="宋体" w:cs="宋体"/>
                <w:b w:val="0"/>
                <w:bCs/>
                <w:kern w:val="0"/>
                <w:sz w:val="18"/>
                <w:szCs w:val="18"/>
              </w:rPr>
            </w:pPr>
            <w:r>
              <w:rPr>
                <w:rFonts w:hint="eastAsia" w:ascii="宋体" w:hAnsi="宋体" w:cs="宋体"/>
                <w:b w:val="0"/>
                <w:bCs/>
                <w:kern w:val="0"/>
                <w:sz w:val="18"/>
                <w:szCs w:val="18"/>
              </w:rPr>
              <w:t>总资产(万元)</w:t>
            </w:r>
          </w:p>
        </w:tc>
      </w:tr>
      <w:tr w14:paraId="43CD398A">
        <w:tblPrEx>
          <w:shd w:val="clear" w:color="auto" w:fill="FFFFFF" w:themeFill="background1"/>
          <w:tblCellMar>
            <w:top w:w="0" w:type="dxa"/>
            <w:left w:w="108" w:type="dxa"/>
            <w:bottom w:w="0" w:type="dxa"/>
            <w:right w:w="108" w:type="dxa"/>
          </w:tblCellMar>
        </w:tblPrEx>
        <w:trPr>
          <w:trHeight w:val="366" w:hRule="atLeast"/>
          <w:jc w:val="center"/>
        </w:trPr>
        <w:tc>
          <w:tcPr>
            <w:tcW w:w="479"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0F3DD347">
            <w:pPr>
              <w:pStyle w:val="170"/>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1</w:t>
            </w:r>
          </w:p>
        </w:tc>
        <w:tc>
          <w:tcPr>
            <w:tcW w:w="764" w:type="dxa"/>
            <w:tcBorders>
              <w:top w:val="single" w:color="auto" w:sz="4" w:space="0"/>
              <w:left w:val="nil"/>
              <w:bottom w:val="single" w:color="auto" w:sz="4" w:space="0"/>
              <w:right w:val="single" w:color="auto" w:sz="4" w:space="0"/>
            </w:tcBorders>
            <w:shd w:val="clear" w:color="auto" w:fill="FFFFFF" w:themeFill="background1"/>
            <w:noWrap/>
            <w:vAlign w:val="center"/>
          </w:tcPr>
          <w:p w14:paraId="2CF52EAF">
            <w:pPr>
              <w:pStyle w:val="170"/>
              <w:ind w:left="-27" w:leftChars="-13" w:right="-65" w:rightChars="-31"/>
              <w:jc w:val="left"/>
              <w:rPr>
                <w:rFonts w:ascii="宋体" w:hAnsi="宋体" w:cs="宋体"/>
                <w:b w:val="0"/>
                <w:bCs/>
                <w:kern w:val="0"/>
                <w:sz w:val="16"/>
                <w:szCs w:val="16"/>
              </w:rPr>
            </w:pPr>
            <w:r>
              <w:rPr>
                <w:rFonts w:hint="eastAsia" w:ascii="宋体" w:hAnsi="宋体" w:cs="宋体"/>
                <w:b w:val="0"/>
                <w:bCs/>
                <w:kern w:val="0"/>
                <w:sz w:val="16"/>
                <w:szCs w:val="16"/>
              </w:rPr>
              <w:t>农、林、牧、渔业</w:t>
            </w:r>
          </w:p>
        </w:tc>
        <w:tc>
          <w:tcPr>
            <w:tcW w:w="851" w:type="dxa"/>
            <w:tcBorders>
              <w:top w:val="single" w:color="auto" w:sz="4" w:space="0"/>
              <w:left w:val="nil"/>
              <w:bottom w:val="single" w:color="auto" w:sz="4" w:space="0"/>
              <w:right w:val="single" w:color="auto" w:sz="4" w:space="0"/>
            </w:tcBorders>
            <w:shd w:val="clear" w:color="auto" w:fill="FFFFFF" w:themeFill="background1"/>
            <w:noWrap/>
            <w:vAlign w:val="center"/>
          </w:tcPr>
          <w:p w14:paraId="6FA50B20">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≥20000</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56E564AE">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50D25FA0">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5D17669B">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≥500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26B295F5">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5F740133">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7D5B5834">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≥50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2E057A7F">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708" w:type="dxa"/>
            <w:tcBorders>
              <w:top w:val="nil"/>
              <w:left w:val="nil"/>
              <w:bottom w:val="single" w:color="auto" w:sz="4" w:space="0"/>
              <w:right w:val="single" w:color="auto" w:sz="4" w:space="0"/>
            </w:tcBorders>
            <w:shd w:val="clear" w:color="auto" w:fill="FFFFFF" w:themeFill="background1"/>
            <w:noWrap/>
            <w:vAlign w:val="center"/>
          </w:tcPr>
          <w:p w14:paraId="7B577EC8">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35A2F5C6">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＜50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2945BBBE">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02EE905E">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r>
      <w:tr w14:paraId="2EBF3D48">
        <w:tblPrEx>
          <w:shd w:val="clear" w:color="auto" w:fill="FFFFFF" w:themeFill="background1"/>
          <w:tblCellMar>
            <w:top w:w="0" w:type="dxa"/>
            <w:left w:w="108" w:type="dxa"/>
            <w:bottom w:w="0" w:type="dxa"/>
            <w:right w:w="108" w:type="dxa"/>
          </w:tblCellMar>
        </w:tblPrEx>
        <w:trPr>
          <w:trHeight w:val="193" w:hRule="atLeast"/>
          <w:jc w:val="center"/>
        </w:trPr>
        <w:tc>
          <w:tcPr>
            <w:tcW w:w="479" w:type="dxa"/>
            <w:tcBorders>
              <w:top w:val="nil"/>
              <w:left w:val="single" w:color="auto" w:sz="4" w:space="0"/>
              <w:bottom w:val="single" w:color="auto" w:sz="4" w:space="0"/>
              <w:right w:val="single" w:color="auto" w:sz="4" w:space="0"/>
            </w:tcBorders>
            <w:shd w:val="clear" w:color="auto" w:fill="FFFFFF" w:themeFill="background1"/>
            <w:noWrap/>
            <w:vAlign w:val="center"/>
          </w:tcPr>
          <w:p w14:paraId="322AEBD0">
            <w:pPr>
              <w:pStyle w:val="170"/>
              <w:widowControl/>
              <w:ind w:left="-107" w:leftChars="-51" w:right="-107" w:rightChars="-51"/>
              <w:jc w:val="center"/>
              <w:rPr>
                <w:rFonts w:ascii="宋体" w:hAnsi="宋体" w:cs="宋体"/>
                <w:b/>
                <w:bCs w:val="0"/>
                <w:kern w:val="0"/>
                <w:sz w:val="18"/>
                <w:szCs w:val="18"/>
              </w:rPr>
            </w:pPr>
            <w:r>
              <w:rPr>
                <w:rFonts w:hint="eastAsia" w:ascii="宋体" w:hAnsi="宋体" w:cs="宋体"/>
                <w:b/>
                <w:bCs w:val="0"/>
                <w:kern w:val="0"/>
                <w:sz w:val="18"/>
                <w:szCs w:val="18"/>
              </w:rPr>
              <w:t>2</w:t>
            </w:r>
          </w:p>
        </w:tc>
        <w:tc>
          <w:tcPr>
            <w:tcW w:w="764" w:type="dxa"/>
            <w:tcBorders>
              <w:top w:val="nil"/>
              <w:left w:val="nil"/>
              <w:bottom w:val="single" w:color="auto" w:sz="4" w:space="0"/>
              <w:right w:val="single" w:color="auto" w:sz="4" w:space="0"/>
            </w:tcBorders>
            <w:shd w:val="clear" w:color="auto" w:fill="FFFFFF" w:themeFill="background1"/>
            <w:noWrap/>
            <w:vAlign w:val="center"/>
          </w:tcPr>
          <w:p w14:paraId="67DA3929">
            <w:pPr>
              <w:pStyle w:val="170"/>
              <w:ind w:left="-27" w:leftChars="-13" w:right="-65" w:rightChars="-31"/>
              <w:jc w:val="left"/>
              <w:rPr>
                <w:rFonts w:ascii="宋体" w:hAnsi="宋体" w:cs="宋体"/>
                <w:b/>
                <w:bCs w:val="0"/>
                <w:kern w:val="0"/>
                <w:sz w:val="16"/>
                <w:szCs w:val="16"/>
              </w:rPr>
            </w:pPr>
            <w:r>
              <w:rPr>
                <w:rFonts w:hint="eastAsia" w:ascii="宋体" w:hAnsi="宋体" w:cs="宋体"/>
                <w:b/>
                <w:bCs w:val="0"/>
                <w:kern w:val="0"/>
                <w:sz w:val="16"/>
                <w:szCs w:val="16"/>
              </w:rPr>
              <w:t>工业</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24A90BA1">
            <w:pPr>
              <w:pStyle w:val="170"/>
              <w:widowControl/>
              <w:ind w:left="-107" w:leftChars="-51" w:right="-107" w:rightChars="-51"/>
              <w:jc w:val="center"/>
              <w:rPr>
                <w:rFonts w:ascii="宋体" w:hAnsi="宋体" w:cs="宋体"/>
                <w:b/>
                <w:bCs w:val="0"/>
                <w:kern w:val="0"/>
                <w:sz w:val="18"/>
                <w:szCs w:val="18"/>
              </w:rPr>
            </w:pPr>
            <w:r>
              <w:rPr>
                <w:rFonts w:hint="eastAsia" w:ascii="宋体" w:hAnsi="宋体" w:cs="宋体"/>
                <w:b/>
                <w:bCs w:val="0"/>
                <w:kern w:val="0"/>
                <w:sz w:val="18"/>
                <w:szCs w:val="18"/>
              </w:rPr>
              <w:t>≥40000</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6BE93979">
            <w:pPr>
              <w:pStyle w:val="170"/>
              <w:widowControl/>
              <w:ind w:left="-107" w:leftChars="-51" w:right="-107" w:rightChars="-51"/>
              <w:jc w:val="center"/>
              <w:rPr>
                <w:rFonts w:ascii="宋体" w:hAnsi="宋体" w:cs="宋体"/>
                <w:b/>
                <w:bCs w:val="0"/>
                <w:kern w:val="0"/>
                <w:sz w:val="18"/>
                <w:szCs w:val="18"/>
              </w:rPr>
            </w:pPr>
            <w:r>
              <w:rPr>
                <w:rFonts w:hint="eastAsia" w:ascii="宋体" w:hAnsi="宋体" w:cs="宋体"/>
                <w:b/>
                <w:bCs w:val="0"/>
                <w:kern w:val="0"/>
                <w:sz w:val="18"/>
                <w:szCs w:val="18"/>
              </w:rPr>
              <w:t>且≥1000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30C40EC0">
            <w:pPr>
              <w:pStyle w:val="170"/>
              <w:widowControl/>
              <w:ind w:left="-107" w:leftChars="-51" w:right="-107" w:rightChars="-51"/>
              <w:jc w:val="center"/>
              <w:rPr>
                <w:rFonts w:ascii="宋体" w:hAnsi="宋体" w:cs="宋体"/>
                <w:b/>
                <w:bCs w:val="0"/>
                <w:kern w:val="0"/>
                <w:sz w:val="18"/>
                <w:szCs w:val="18"/>
              </w:rPr>
            </w:pPr>
            <w:r>
              <w:rPr>
                <w:rFonts w:hint="eastAsia" w:ascii="宋体" w:hAnsi="宋体" w:cs="宋体"/>
                <w:b/>
                <w:bCs w:val="0"/>
                <w:kern w:val="0"/>
                <w:sz w:val="18"/>
                <w:szCs w:val="18"/>
              </w:rPr>
              <w:t>　</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1A6CDD59">
            <w:pPr>
              <w:pStyle w:val="170"/>
              <w:widowControl/>
              <w:ind w:left="-107" w:leftChars="-51" w:right="-107" w:rightChars="-51"/>
              <w:jc w:val="center"/>
              <w:rPr>
                <w:rFonts w:ascii="宋体" w:hAnsi="宋体" w:cs="宋体"/>
                <w:b/>
                <w:bCs w:val="0"/>
                <w:kern w:val="0"/>
                <w:sz w:val="18"/>
                <w:szCs w:val="18"/>
              </w:rPr>
            </w:pPr>
            <w:r>
              <w:rPr>
                <w:rFonts w:hint="eastAsia" w:ascii="宋体" w:hAnsi="宋体" w:cs="宋体"/>
                <w:b/>
                <w:bCs w:val="0"/>
                <w:kern w:val="0"/>
                <w:sz w:val="18"/>
                <w:szCs w:val="18"/>
              </w:rPr>
              <w:t>≥2000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7DE0DEA2">
            <w:pPr>
              <w:pStyle w:val="170"/>
              <w:widowControl/>
              <w:ind w:left="-107" w:leftChars="-51" w:right="-107" w:rightChars="-51"/>
              <w:jc w:val="center"/>
              <w:rPr>
                <w:rFonts w:ascii="宋体" w:hAnsi="宋体" w:cs="宋体"/>
                <w:b/>
                <w:bCs w:val="0"/>
                <w:kern w:val="0"/>
                <w:sz w:val="18"/>
                <w:szCs w:val="18"/>
              </w:rPr>
            </w:pPr>
            <w:r>
              <w:rPr>
                <w:rFonts w:hint="eastAsia" w:ascii="宋体" w:hAnsi="宋体" w:cs="宋体"/>
                <w:b/>
                <w:bCs w:val="0"/>
                <w:kern w:val="0"/>
                <w:sz w:val="18"/>
                <w:szCs w:val="18"/>
              </w:rPr>
              <w:t>且≥300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270812DD">
            <w:pPr>
              <w:pStyle w:val="170"/>
              <w:widowControl/>
              <w:jc w:val="center"/>
              <w:rPr>
                <w:rFonts w:ascii="宋体" w:hAnsi="宋体" w:cs="宋体"/>
                <w:b/>
                <w:bCs w:val="0"/>
                <w:kern w:val="0"/>
                <w:sz w:val="18"/>
                <w:szCs w:val="18"/>
              </w:rPr>
            </w:pPr>
            <w:r>
              <w:rPr>
                <w:rFonts w:hint="eastAsia" w:ascii="宋体" w:hAnsi="宋体" w:cs="宋体"/>
                <w:b/>
                <w:bCs w:val="0"/>
                <w:kern w:val="0"/>
                <w:sz w:val="18"/>
                <w:szCs w:val="18"/>
              </w:rPr>
              <w:t>　</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665E3715">
            <w:pPr>
              <w:pStyle w:val="170"/>
              <w:widowControl/>
              <w:jc w:val="center"/>
              <w:rPr>
                <w:rFonts w:ascii="宋体" w:hAnsi="宋体" w:cs="宋体"/>
                <w:b/>
                <w:bCs w:val="0"/>
                <w:kern w:val="0"/>
                <w:sz w:val="18"/>
                <w:szCs w:val="18"/>
              </w:rPr>
            </w:pPr>
            <w:r>
              <w:rPr>
                <w:rFonts w:hint="eastAsia" w:ascii="宋体" w:hAnsi="宋体" w:cs="宋体"/>
                <w:b/>
                <w:bCs w:val="0"/>
                <w:kern w:val="0"/>
                <w:sz w:val="18"/>
                <w:szCs w:val="18"/>
              </w:rPr>
              <w:t>≥300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35CA2858">
            <w:pPr>
              <w:pStyle w:val="170"/>
              <w:widowControl/>
              <w:jc w:val="center"/>
              <w:rPr>
                <w:rFonts w:ascii="宋体" w:hAnsi="宋体" w:cs="宋体"/>
                <w:b/>
                <w:bCs w:val="0"/>
                <w:kern w:val="0"/>
                <w:sz w:val="18"/>
                <w:szCs w:val="18"/>
              </w:rPr>
            </w:pPr>
            <w:r>
              <w:rPr>
                <w:rFonts w:hint="eastAsia" w:ascii="宋体" w:hAnsi="宋体" w:cs="宋体"/>
                <w:b/>
                <w:bCs w:val="0"/>
                <w:kern w:val="0"/>
                <w:sz w:val="18"/>
                <w:szCs w:val="18"/>
              </w:rPr>
              <w:t>且≥20</w:t>
            </w:r>
          </w:p>
        </w:tc>
        <w:tc>
          <w:tcPr>
            <w:tcW w:w="708" w:type="dxa"/>
            <w:tcBorders>
              <w:top w:val="nil"/>
              <w:left w:val="nil"/>
              <w:bottom w:val="single" w:color="auto" w:sz="4" w:space="0"/>
              <w:right w:val="single" w:color="auto" w:sz="4" w:space="0"/>
            </w:tcBorders>
            <w:shd w:val="clear" w:color="auto" w:fill="FFFFFF" w:themeFill="background1"/>
            <w:noWrap/>
            <w:vAlign w:val="center"/>
          </w:tcPr>
          <w:p w14:paraId="114828F4">
            <w:pPr>
              <w:pStyle w:val="170"/>
              <w:widowControl/>
              <w:jc w:val="center"/>
              <w:rPr>
                <w:rFonts w:ascii="宋体" w:hAnsi="宋体" w:cs="宋体"/>
                <w:b/>
                <w:bCs w:val="0"/>
                <w:kern w:val="0"/>
                <w:sz w:val="18"/>
                <w:szCs w:val="18"/>
              </w:rPr>
            </w:pPr>
            <w:r>
              <w:rPr>
                <w:rFonts w:hint="eastAsia" w:ascii="宋体" w:hAnsi="宋体" w:cs="宋体"/>
                <w:b/>
                <w:bCs w:val="0"/>
                <w:kern w:val="0"/>
                <w:sz w:val="18"/>
                <w:szCs w:val="18"/>
              </w:rPr>
              <w:t>　</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42B0C525">
            <w:pPr>
              <w:pStyle w:val="170"/>
              <w:widowControl/>
              <w:jc w:val="center"/>
              <w:rPr>
                <w:rFonts w:ascii="宋体" w:hAnsi="宋体" w:cs="宋体"/>
                <w:b/>
                <w:bCs w:val="0"/>
                <w:kern w:val="0"/>
                <w:sz w:val="18"/>
                <w:szCs w:val="18"/>
              </w:rPr>
            </w:pPr>
            <w:r>
              <w:rPr>
                <w:rFonts w:hint="eastAsia" w:ascii="宋体" w:hAnsi="宋体" w:cs="宋体"/>
                <w:b/>
                <w:bCs w:val="0"/>
                <w:kern w:val="0"/>
                <w:sz w:val="18"/>
                <w:szCs w:val="18"/>
              </w:rPr>
              <w:t>＜300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395BDF64">
            <w:pPr>
              <w:pStyle w:val="170"/>
              <w:widowControl/>
              <w:jc w:val="center"/>
              <w:rPr>
                <w:rFonts w:ascii="宋体" w:hAnsi="宋体" w:cs="宋体"/>
                <w:b/>
                <w:bCs w:val="0"/>
                <w:kern w:val="0"/>
                <w:sz w:val="18"/>
                <w:szCs w:val="18"/>
              </w:rPr>
            </w:pPr>
            <w:r>
              <w:rPr>
                <w:rFonts w:hint="eastAsia" w:ascii="宋体" w:hAnsi="宋体" w:cs="宋体"/>
                <w:b/>
                <w:bCs w:val="0"/>
                <w:kern w:val="0"/>
                <w:sz w:val="18"/>
                <w:szCs w:val="18"/>
              </w:rPr>
              <w:t>或＜20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5FB35B75">
            <w:pPr>
              <w:pStyle w:val="170"/>
              <w:widowControl/>
              <w:jc w:val="center"/>
              <w:rPr>
                <w:rFonts w:ascii="宋体" w:hAnsi="宋体" w:cs="宋体"/>
                <w:b/>
                <w:bCs w:val="0"/>
                <w:kern w:val="0"/>
                <w:sz w:val="18"/>
                <w:szCs w:val="18"/>
              </w:rPr>
            </w:pPr>
            <w:r>
              <w:rPr>
                <w:rFonts w:hint="eastAsia" w:ascii="宋体" w:hAnsi="宋体" w:cs="宋体"/>
                <w:b/>
                <w:bCs w:val="0"/>
                <w:kern w:val="0"/>
                <w:sz w:val="18"/>
                <w:szCs w:val="18"/>
              </w:rPr>
              <w:t>　</w:t>
            </w:r>
          </w:p>
        </w:tc>
      </w:tr>
      <w:tr w14:paraId="0E85C962">
        <w:tblPrEx>
          <w:shd w:val="clear" w:color="auto" w:fill="FFFFFF" w:themeFill="background1"/>
          <w:tblCellMar>
            <w:top w:w="0" w:type="dxa"/>
            <w:left w:w="108" w:type="dxa"/>
            <w:bottom w:w="0" w:type="dxa"/>
            <w:right w:w="108" w:type="dxa"/>
          </w:tblCellMar>
        </w:tblPrEx>
        <w:trPr>
          <w:trHeight w:val="111" w:hRule="atLeast"/>
          <w:jc w:val="center"/>
        </w:trPr>
        <w:tc>
          <w:tcPr>
            <w:tcW w:w="479" w:type="dxa"/>
            <w:tcBorders>
              <w:top w:val="nil"/>
              <w:left w:val="single" w:color="auto" w:sz="4" w:space="0"/>
              <w:bottom w:val="single" w:color="auto" w:sz="4" w:space="0"/>
              <w:right w:val="single" w:color="auto" w:sz="4" w:space="0"/>
            </w:tcBorders>
            <w:shd w:val="clear" w:color="auto" w:fill="FFFFFF" w:themeFill="background1"/>
            <w:noWrap/>
            <w:vAlign w:val="center"/>
          </w:tcPr>
          <w:p w14:paraId="7872D44F">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3</w:t>
            </w:r>
          </w:p>
        </w:tc>
        <w:tc>
          <w:tcPr>
            <w:tcW w:w="764" w:type="dxa"/>
            <w:tcBorders>
              <w:top w:val="nil"/>
              <w:left w:val="nil"/>
              <w:bottom w:val="single" w:color="auto" w:sz="4" w:space="0"/>
              <w:right w:val="single" w:color="auto" w:sz="4" w:space="0"/>
            </w:tcBorders>
            <w:shd w:val="clear" w:color="auto" w:fill="FFFFFF" w:themeFill="background1"/>
            <w:noWrap/>
            <w:vAlign w:val="center"/>
          </w:tcPr>
          <w:p w14:paraId="367822BD">
            <w:pPr>
              <w:pStyle w:val="170"/>
              <w:ind w:left="-27" w:leftChars="-13" w:right="-65" w:rightChars="-31"/>
              <w:jc w:val="left"/>
              <w:rPr>
                <w:rFonts w:ascii="宋体" w:hAnsi="宋体" w:cs="宋体"/>
                <w:b w:val="0"/>
                <w:bCs/>
                <w:kern w:val="0"/>
                <w:sz w:val="16"/>
                <w:szCs w:val="16"/>
              </w:rPr>
            </w:pPr>
            <w:r>
              <w:rPr>
                <w:rFonts w:hint="eastAsia" w:ascii="宋体" w:hAnsi="宋体" w:cs="宋体"/>
                <w:b w:val="0"/>
                <w:bCs/>
                <w:kern w:val="0"/>
                <w:sz w:val="16"/>
                <w:szCs w:val="16"/>
              </w:rPr>
              <w:t>建筑业</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50FE3567">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≥80000</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19BBE42F">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71D3F69F">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且≥80000</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0C72823A">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≥6000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4DE32ED0">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45B9D441">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且≥5000</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24FFD664">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≥300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27E80CE2">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708" w:type="dxa"/>
            <w:tcBorders>
              <w:top w:val="nil"/>
              <w:left w:val="nil"/>
              <w:bottom w:val="single" w:color="auto" w:sz="4" w:space="0"/>
              <w:right w:val="single" w:color="auto" w:sz="4" w:space="0"/>
            </w:tcBorders>
            <w:shd w:val="clear" w:color="auto" w:fill="FFFFFF" w:themeFill="background1"/>
            <w:noWrap/>
            <w:vAlign w:val="center"/>
          </w:tcPr>
          <w:p w14:paraId="34FE920A">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且≥300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69790950">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＜300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489F8766">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18A0F22C">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或＜300</w:t>
            </w:r>
          </w:p>
        </w:tc>
      </w:tr>
      <w:tr w14:paraId="29AF358C">
        <w:tblPrEx>
          <w:shd w:val="clear" w:color="auto" w:fill="FFFFFF" w:themeFill="background1"/>
          <w:tblCellMar>
            <w:top w:w="0" w:type="dxa"/>
            <w:left w:w="108" w:type="dxa"/>
            <w:bottom w:w="0" w:type="dxa"/>
            <w:right w:w="108" w:type="dxa"/>
          </w:tblCellMar>
        </w:tblPrEx>
        <w:trPr>
          <w:trHeight w:val="191" w:hRule="atLeast"/>
          <w:jc w:val="center"/>
        </w:trPr>
        <w:tc>
          <w:tcPr>
            <w:tcW w:w="479" w:type="dxa"/>
            <w:tcBorders>
              <w:top w:val="nil"/>
              <w:left w:val="single" w:color="auto" w:sz="4" w:space="0"/>
              <w:bottom w:val="single" w:color="auto" w:sz="4" w:space="0"/>
              <w:right w:val="single" w:color="auto" w:sz="4" w:space="0"/>
            </w:tcBorders>
            <w:shd w:val="clear" w:color="auto" w:fill="FFFFFF" w:themeFill="background1"/>
            <w:noWrap/>
            <w:vAlign w:val="center"/>
          </w:tcPr>
          <w:p w14:paraId="49C6A37B">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4</w:t>
            </w:r>
          </w:p>
        </w:tc>
        <w:tc>
          <w:tcPr>
            <w:tcW w:w="764" w:type="dxa"/>
            <w:tcBorders>
              <w:top w:val="nil"/>
              <w:left w:val="nil"/>
              <w:bottom w:val="single" w:color="auto" w:sz="4" w:space="0"/>
              <w:right w:val="single" w:color="auto" w:sz="4" w:space="0"/>
            </w:tcBorders>
            <w:shd w:val="clear" w:color="auto" w:fill="FFFFFF" w:themeFill="background1"/>
            <w:noWrap/>
            <w:vAlign w:val="center"/>
          </w:tcPr>
          <w:p w14:paraId="7B29C637">
            <w:pPr>
              <w:pStyle w:val="170"/>
              <w:ind w:left="-27" w:leftChars="-13" w:right="-65" w:rightChars="-31"/>
              <w:jc w:val="left"/>
              <w:rPr>
                <w:rFonts w:ascii="宋体" w:hAnsi="宋体" w:cs="宋体"/>
                <w:b w:val="0"/>
                <w:bCs/>
                <w:kern w:val="0"/>
                <w:sz w:val="16"/>
                <w:szCs w:val="16"/>
              </w:rPr>
            </w:pPr>
            <w:r>
              <w:rPr>
                <w:rFonts w:hint="eastAsia" w:ascii="宋体" w:hAnsi="宋体" w:cs="宋体"/>
                <w:b w:val="0"/>
                <w:bCs/>
                <w:kern w:val="0"/>
                <w:sz w:val="16"/>
                <w:szCs w:val="16"/>
              </w:rPr>
              <w:t>批发业</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5FD0520E">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≥40000</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713F388A">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且≥200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2D2CBC79">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4D55B3DC">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≥5000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1A4B13D6">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且≥20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6F471C29">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1CDDC7C6">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≥1000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0A55554D">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且≥5</w:t>
            </w:r>
          </w:p>
        </w:tc>
        <w:tc>
          <w:tcPr>
            <w:tcW w:w="708" w:type="dxa"/>
            <w:tcBorders>
              <w:top w:val="nil"/>
              <w:left w:val="nil"/>
              <w:bottom w:val="single" w:color="auto" w:sz="4" w:space="0"/>
              <w:right w:val="single" w:color="auto" w:sz="4" w:space="0"/>
            </w:tcBorders>
            <w:shd w:val="clear" w:color="auto" w:fill="FFFFFF" w:themeFill="background1"/>
            <w:noWrap/>
            <w:vAlign w:val="center"/>
          </w:tcPr>
          <w:p w14:paraId="4902C04F">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0DFA6AFB">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＜1000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19709E4B">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或＜5</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4BDB6403">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r>
      <w:tr w14:paraId="4E399AD4">
        <w:tblPrEx>
          <w:shd w:val="clear" w:color="auto" w:fill="FFFFFF" w:themeFill="background1"/>
          <w:tblCellMar>
            <w:top w:w="0" w:type="dxa"/>
            <w:left w:w="108" w:type="dxa"/>
            <w:bottom w:w="0" w:type="dxa"/>
            <w:right w:w="108" w:type="dxa"/>
          </w:tblCellMar>
        </w:tblPrEx>
        <w:trPr>
          <w:trHeight w:val="90" w:hRule="atLeast"/>
          <w:jc w:val="center"/>
        </w:trPr>
        <w:tc>
          <w:tcPr>
            <w:tcW w:w="479" w:type="dxa"/>
            <w:tcBorders>
              <w:top w:val="nil"/>
              <w:left w:val="single" w:color="auto" w:sz="4" w:space="0"/>
              <w:bottom w:val="single" w:color="auto" w:sz="4" w:space="0"/>
              <w:right w:val="single" w:color="auto" w:sz="4" w:space="0"/>
            </w:tcBorders>
            <w:shd w:val="clear" w:color="auto" w:fill="FFFFFF" w:themeFill="background1"/>
            <w:noWrap/>
            <w:vAlign w:val="center"/>
          </w:tcPr>
          <w:p w14:paraId="1C530363">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5</w:t>
            </w:r>
          </w:p>
        </w:tc>
        <w:tc>
          <w:tcPr>
            <w:tcW w:w="764" w:type="dxa"/>
            <w:tcBorders>
              <w:top w:val="nil"/>
              <w:left w:val="nil"/>
              <w:bottom w:val="single" w:color="auto" w:sz="4" w:space="0"/>
              <w:right w:val="single" w:color="auto" w:sz="4" w:space="0"/>
            </w:tcBorders>
            <w:shd w:val="clear" w:color="auto" w:fill="FFFFFF" w:themeFill="background1"/>
            <w:noWrap/>
            <w:vAlign w:val="center"/>
          </w:tcPr>
          <w:p w14:paraId="0A9003E0">
            <w:pPr>
              <w:pStyle w:val="170"/>
              <w:ind w:left="-27" w:leftChars="-13" w:right="-65" w:rightChars="-31"/>
              <w:jc w:val="left"/>
              <w:rPr>
                <w:rFonts w:ascii="宋体" w:hAnsi="宋体" w:cs="宋体"/>
                <w:b w:val="0"/>
                <w:bCs/>
                <w:kern w:val="0"/>
                <w:sz w:val="16"/>
                <w:szCs w:val="16"/>
              </w:rPr>
            </w:pPr>
            <w:r>
              <w:rPr>
                <w:rFonts w:hint="eastAsia" w:ascii="宋体" w:hAnsi="宋体" w:cs="宋体"/>
                <w:b w:val="0"/>
                <w:bCs/>
                <w:kern w:val="0"/>
                <w:sz w:val="16"/>
                <w:szCs w:val="16"/>
              </w:rPr>
              <w:t>零售业</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19BD542D">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≥20000</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7E6D9BA7">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且≥300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3191BA22">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18F443A2">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≥500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070C2AF9">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且≥50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46A5072E">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35C95DFF">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≥100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560A4034">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且≥10</w:t>
            </w:r>
          </w:p>
        </w:tc>
        <w:tc>
          <w:tcPr>
            <w:tcW w:w="708" w:type="dxa"/>
            <w:tcBorders>
              <w:top w:val="nil"/>
              <w:left w:val="nil"/>
              <w:bottom w:val="single" w:color="auto" w:sz="4" w:space="0"/>
              <w:right w:val="single" w:color="auto" w:sz="4" w:space="0"/>
            </w:tcBorders>
            <w:shd w:val="clear" w:color="auto" w:fill="FFFFFF" w:themeFill="background1"/>
            <w:noWrap/>
            <w:vAlign w:val="center"/>
          </w:tcPr>
          <w:p w14:paraId="48FFF8BD">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721B8329">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＜100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2419759F">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或＜10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0F3A3199">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r>
      <w:tr w14:paraId="29ADED21">
        <w:tblPrEx>
          <w:shd w:val="clear" w:color="auto" w:fill="FFFFFF" w:themeFill="background1"/>
          <w:tblCellMar>
            <w:top w:w="0" w:type="dxa"/>
            <w:left w:w="108" w:type="dxa"/>
            <w:bottom w:w="0" w:type="dxa"/>
            <w:right w:w="108" w:type="dxa"/>
          </w:tblCellMar>
        </w:tblPrEx>
        <w:trPr>
          <w:trHeight w:val="228" w:hRule="atLeast"/>
          <w:jc w:val="center"/>
        </w:trPr>
        <w:tc>
          <w:tcPr>
            <w:tcW w:w="479" w:type="dxa"/>
            <w:tcBorders>
              <w:top w:val="nil"/>
              <w:left w:val="single" w:color="auto" w:sz="4" w:space="0"/>
              <w:bottom w:val="single" w:color="auto" w:sz="4" w:space="0"/>
              <w:right w:val="single" w:color="auto" w:sz="4" w:space="0"/>
            </w:tcBorders>
            <w:shd w:val="clear" w:color="auto" w:fill="FFFFFF" w:themeFill="background1"/>
            <w:noWrap/>
            <w:vAlign w:val="center"/>
          </w:tcPr>
          <w:p w14:paraId="3318C56E">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6</w:t>
            </w:r>
          </w:p>
        </w:tc>
        <w:tc>
          <w:tcPr>
            <w:tcW w:w="764" w:type="dxa"/>
            <w:tcBorders>
              <w:top w:val="nil"/>
              <w:left w:val="nil"/>
              <w:bottom w:val="single" w:color="auto" w:sz="4" w:space="0"/>
              <w:right w:val="single" w:color="auto" w:sz="4" w:space="0"/>
            </w:tcBorders>
            <w:shd w:val="clear" w:color="auto" w:fill="FFFFFF" w:themeFill="background1"/>
            <w:noWrap/>
            <w:vAlign w:val="center"/>
          </w:tcPr>
          <w:p w14:paraId="2924ABB9">
            <w:pPr>
              <w:pStyle w:val="170"/>
              <w:ind w:left="-27" w:leftChars="-13" w:right="-65" w:rightChars="-31"/>
              <w:jc w:val="left"/>
              <w:rPr>
                <w:rFonts w:ascii="宋体" w:hAnsi="宋体" w:cs="宋体"/>
                <w:b w:val="0"/>
                <w:bCs/>
                <w:kern w:val="0"/>
                <w:sz w:val="16"/>
                <w:szCs w:val="16"/>
              </w:rPr>
            </w:pPr>
            <w:r>
              <w:rPr>
                <w:rFonts w:hint="eastAsia" w:ascii="宋体" w:hAnsi="宋体" w:cs="宋体"/>
                <w:b w:val="0"/>
                <w:bCs/>
                <w:kern w:val="0"/>
                <w:sz w:val="16"/>
                <w:szCs w:val="16"/>
              </w:rPr>
              <w:t>交通运输业</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6EA8D1AA">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≥30000</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5EAE6E03">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且≥1000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50BF1A09">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406617DC">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≥3000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0120F7F6">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且≥300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067F7B18">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5AFCE05B">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≥200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556AB81C">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且≥20</w:t>
            </w:r>
          </w:p>
        </w:tc>
        <w:tc>
          <w:tcPr>
            <w:tcW w:w="708" w:type="dxa"/>
            <w:tcBorders>
              <w:top w:val="nil"/>
              <w:left w:val="nil"/>
              <w:bottom w:val="single" w:color="auto" w:sz="4" w:space="0"/>
              <w:right w:val="single" w:color="auto" w:sz="4" w:space="0"/>
            </w:tcBorders>
            <w:shd w:val="clear" w:color="auto" w:fill="FFFFFF" w:themeFill="background1"/>
            <w:noWrap/>
            <w:vAlign w:val="center"/>
          </w:tcPr>
          <w:p w14:paraId="785CA6E4">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12F7C3C3">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＜200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01A338AA">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或＜20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520C5557">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r>
      <w:tr w14:paraId="04B969BE">
        <w:tblPrEx>
          <w:shd w:val="clear" w:color="auto" w:fill="FFFFFF" w:themeFill="background1"/>
          <w:tblCellMar>
            <w:top w:w="0" w:type="dxa"/>
            <w:left w:w="108" w:type="dxa"/>
            <w:bottom w:w="0" w:type="dxa"/>
            <w:right w:w="108" w:type="dxa"/>
          </w:tblCellMar>
        </w:tblPrEx>
        <w:trPr>
          <w:trHeight w:val="196" w:hRule="atLeast"/>
          <w:jc w:val="center"/>
        </w:trPr>
        <w:tc>
          <w:tcPr>
            <w:tcW w:w="479" w:type="dxa"/>
            <w:tcBorders>
              <w:top w:val="nil"/>
              <w:left w:val="single" w:color="auto" w:sz="4" w:space="0"/>
              <w:bottom w:val="single" w:color="auto" w:sz="4" w:space="0"/>
              <w:right w:val="single" w:color="auto" w:sz="4" w:space="0"/>
            </w:tcBorders>
            <w:shd w:val="clear" w:color="auto" w:fill="FFFFFF" w:themeFill="background1"/>
            <w:noWrap/>
            <w:vAlign w:val="center"/>
          </w:tcPr>
          <w:p w14:paraId="7F0BD058">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7</w:t>
            </w:r>
          </w:p>
        </w:tc>
        <w:tc>
          <w:tcPr>
            <w:tcW w:w="764" w:type="dxa"/>
            <w:tcBorders>
              <w:top w:val="nil"/>
              <w:left w:val="nil"/>
              <w:bottom w:val="single" w:color="auto" w:sz="4" w:space="0"/>
              <w:right w:val="single" w:color="auto" w:sz="4" w:space="0"/>
            </w:tcBorders>
            <w:shd w:val="clear" w:color="auto" w:fill="FFFFFF" w:themeFill="background1"/>
            <w:noWrap/>
            <w:vAlign w:val="center"/>
          </w:tcPr>
          <w:p w14:paraId="1B0D62C7">
            <w:pPr>
              <w:pStyle w:val="170"/>
              <w:ind w:left="-27" w:leftChars="-13" w:right="-65" w:rightChars="-31"/>
              <w:jc w:val="left"/>
              <w:rPr>
                <w:rFonts w:ascii="宋体" w:hAnsi="宋体" w:cs="宋体"/>
                <w:b w:val="0"/>
                <w:bCs/>
                <w:kern w:val="0"/>
                <w:sz w:val="16"/>
                <w:szCs w:val="16"/>
              </w:rPr>
            </w:pPr>
            <w:r>
              <w:rPr>
                <w:rFonts w:hint="eastAsia" w:ascii="宋体" w:hAnsi="宋体" w:cs="宋体"/>
                <w:b w:val="0"/>
                <w:bCs/>
                <w:kern w:val="0"/>
                <w:sz w:val="16"/>
                <w:szCs w:val="16"/>
              </w:rPr>
              <w:t>仓储业</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67D53EF9">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≥30000</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516F8AE4">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且≥200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507294E5">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483BE3FF">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≥1000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0703329F">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且≥100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4B1E3320">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43CACC38">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≥100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0CE4B0D9">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且≥20</w:t>
            </w:r>
          </w:p>
        </w:tc>
        <w:tc>
          <w:tcPr>
            <w:tcW w:w="708" w:type="dxa"/>
            <w:tcBorders>
              <w:top w:val="nil"/>
              <w:left w:val="nil"/>
              <w:bottom w:val="single" w:color="auto" w:sz="4" w:space="0"/>
              <w:right w:val="single" w:color="auto" w:sz="4" w:space="0"/>
            </w:tcBorders>
            <w:shd w:val="clear" w:color="auto" w:fill="FFFFFF" w:themeFill="background1"/>
            <w:noWrap/>
            <w:vAlign w:val="center"/>
          </w:tcPr>
          <w:p w14:paraId="3034A071">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506F0B59">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＜100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1CF4788D">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或＜20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3F6873A4">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r>
      <w:tr w14:paraId="0A800B4D">
        <w:tblPrEx>
          <w:tblCellMar>
            <w:top w:w="0" w:type="dxa"/>
            <w:left w:w="108" w:type="dxa"/>
            <w:bottom w:w="0" w:type="dxa"/>
            <w:right w:w="108" w:type="dxa"/>
          </w:tblCellMar>
        </w:tblPrEx>
        <w:trPr>
          <w:trHeight w:val="309" w:hRule="atLeast"/>
          <w:jc w:val="center"/>
        </w:trPr>
        <w:tc>
          <w:tcPr>
            <w:tcW w:w="479" w:type="dxa"/>
            <w:tcBorders>
              <w:top w:val="nil"/>
              <w:left w:val="single" w:color="auto" w:sz="4" w:space="0"/>
              <w:bottom w:val="single" w:color="auto" w:sz="4" w:space="0"/>
              <w:right w:val="single" w:color="auto" w:sz="4" w:space="0"/>
            </w:tcBorders>
            <w:shd w:val="clear" w:color="auto" w:fill="FFFFFF" w:themeFill="background1"/>
            <w:noWrap/>
            <w:vAlign w:val="center"/>
          </w:tcPr>
          <w:p w14:paraId="1CEA0491">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8</w:t>
            </w:r>
          </w:p>
        </w:tc>
        <w:tc>
          <w:tcPr>
            <w:tcW w:w="764" w:type="dxa"/>
            <w:tcBorders>
              <w:top w:val="nil"/>
              <w:left w:val="nil"/>
              <w:bottom w:val="single" w:color="auto" w:sz="4" w:space="0"/>
              <w:right w:val="single" w:color="auto" w:sz="4" w:space="0"/>
            </w:tcBorders>
            <w:shd w:val="clear" w:color="auto" w:fill="FFFFFF" w:themeFill="background1"/>
            <w:noWrap/>
            <w:vAlign w:val="center"/>
          </w:tcPr>
          <w:p w14:paraId="2FCB1260">
            <w:pPr>
              <w:pStyle w:val="170"/>
              <w:ind w:left="-27" w:leftChars="-13" w:right="-65" w:rightChars="-31"/>
              <w:jc w:val="left"/>
              <w:rPr>
                <w:rFonts w:ascii="宋体" w:hAnsi="宋体" w:cs="宋体"/>
                <w:b w:val="0"/>
                <w:bCs/>
                <w:kern w:val="0"/>
                <w:sz w:val="16"/>
                <w:szCs w:val="16"/>
              </w:rPr>
            </w:pPr>
            <w:r>
              <w:rPr>
                <w:rFonts w:hint="eastAsia" w:ascii="宋体" w:hAnsi="宋体" w:cs="宋体"/>
                <w:b w:val="0"/>
                <w:bCs/>
                <w:kern w:val="0"/>
                <w:sz w:val="16"/>
                <w:szCs w:val="16"/>
              </w:rPr>
              <w:t>邮政业</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6502CB40">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≥30000</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57335F20">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且≥1000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29989990">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0BE6FC10">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≥2000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2E7823AC">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且≥300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48A06A30">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12EF9E79">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≥100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232147A9">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且≥20</w:t>
            </w:r>
          </w:p>
        </w:tc>
        <w:tc>
          <w:tcPr>
            <w:tcW w:w="708" w:type="dxa"/>
            <w:tcBorders>
              <w:top w:val="nil"/>
              <w:left w:val="nil"/>
              <w:bottom w:val="single" w:color="auto" w:sz="4" w:space="0"/>
              <w:right w:val="single" w:color="auto" w:sz="4" w:space="0"/>
            </w:tcBorders>
            <w:shd w:val="clear" w:color="auto" w:fill="FFFFFF" w:themeFill="background1"/>
            <w:noWrap/>
            <w:vAlign w:val="center"/>
          </w:tcPr>
          <w:p w14:paraId="0AD462DF">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7084B9F0">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＜100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74CFB05F">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或＜20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570D2A86">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r>
      <w:tr w14:paraId="5FD2D876">
        <w:tblPrEx>
          <w:shd w:val="clear" w:color="auto" w:fill="FFFFFF" w:themeFill="background1"/>
          <w:tblCellMar>
            <w:top w:w="0" w:type="dxa"/>
            <w:left w:w="108" w:type="dxa"/>
            <w:bottom w:w="0" w:type="dxa"/>
            <w:right w:w="108" w:type="dxa"/>
          </w:tblCellMar>
        </w:tblPrEx>
        <w:trPr>
          <w:trHeight w:val="369" w:hRule="atLeast"/>
          <w:jc w:val="center"/>
        </w:trPr>
        <w:tc>
          <w:tcPr>
            <w:tcW w:w="479" w:type="dxa"/>
            <w:tcBorders>
              <w:top w:val="nil"/>
              <w:left w:val="single" w:color="auto" w:sz="4" w:space="0"/>
              <w:bottom w:val="single" w:color="auto" w:sz="4" w:space="0"/>
              <w:right w:val="single" w:color="auto" w:sz="4" w:space="0"/>
            </w:tcBorders>
            <w:shd w:val="clear" w:color="auto" w:fill="FFFFFF" w:themeFill="background1"/>
            <w:noWrap/>
            <w:vAlign w:val="center"/>
          </w:tcPr>
          <w:p w14:paraId="6FD50AA3">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9</w:t>
            </w:r>
          </w:p>
        </w:tc>
        <w:tc>
          <w:tcPr>
            <w:tcW w:w="764" w:type="dxa"/>
            <w:tcBorders>
              <w:top w:val="nil"/>
              <w:left w:val="nil"/>
              <w:bottom w:val="single" w:color="auto" w:sz="4" w:space="0"/>
              <w:right w:val="single" w:color="auto" w:sz="4" w:space="0"/>
            </w:tcBorders>
            <w:shd w:val="clear" w:color="auto" w:fill="FFFFFF" w:themeFill="background1"/>
            <w:noWrap/>
            <w:vAlign w:val="center"/>
          </w:tcPr>
          <w:p w14:paraId="10C3C21E">
            <w:pPr>
              <w:pStyle w:val="170"/>
              <w:ind w:left="-27" w:leftChars="-13" w:right="-65" w:rightChars="-31"/>
              <w:jc w:val="left"/>
              <w:rPr>
                <w:rFonts w:ascii="宋体" w:hAnsi="宋体" w:cs="宋体"/>
                <w:b w:val="0"/>
                <w:bCs/>
                <w:kern w:val="0"/>
                <w:sz w:val="16"/>
                <w:szCs w:val="16"/>
              </w:rPr>
            </w:pPr>
            <w:r>
              <w:rPr>
                <w:rFonts w:hint="eastAsia" w:ascii="宋体" w:hAnsi="宋体" w:cs="宋体"/>
                <w:b w:val="0"/>
                <w:bCs/>
                <w:kern w:val="0"/>
                <w:sz w:val="16"/>
                <w:szCs w:val="16"/>
              </w:rPr>
              <w:t>住宿业</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1AC1F361">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≥10000</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7C8FE336">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且≥300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6A066E4A">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29C532E3">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≥2000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35ECBAD9">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且≥100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4CA4C262">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0988D501">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≥100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16491BF8">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且≥10</w:t>
            </w:r>
          </w:p>
        </w:tc>
        <w:tc>
          <w:tcPr>
            <w:tcW w:w="708" w:type="dxa"/>
            <w:tcBorders>
              <w:top w:val="nil"/>
              <w:left w:val="nil"/>
              <w:bottom w:val="single" w:color="auto" w:sz="4" w:space="0"/>
              <w:right w:val="single" w:color="auto" w:sz="4" w:space="0"/>
            </w:tcBorders>
            <w:shd w:val="clear" w:color="auto" w:fill="FFFFFF" w:themeFill="background1"/>
            <w:noWrap/>
            <w:vAlign w:val="center"/>
          </w:tcPr>
          <w:p w14:paraId="7016FE55">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57B74C24">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＜100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558CE521">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或＜10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6DFCC83B">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r>
      <w:tr w14:paraId="5DFEAC70">
        <w:tblPrEx>
          <w:tblCellMar>
            <w:top w:w="0" w:type="dxa"/>
            <w:left w:w="108" w:type="dxa"/>
            <w:bottom w:w="0" w:type="dxa"/>
            <w:right w:w="108" w:type="dxa"/>
          </w:tblCellMar>
        </w:tblPrEx>
        <w:trPr>
          <w:trHeight w:val="369" w:hRule="atLeast"/>
          <w:jc w:val="center"/>
        </w:trPr>
        <w:tc>
          <w:tcPr>
            <w:tcW w:w="479" w:type="dxa"/>
            <w:tcBorders>
              <w:top w:val="nil"/>
              <w:left w:val="single" w:color="auto" w:sz="4" w:space="0"/>
              <w:bottom w:val="single" w:color="auto" w:sz="4" w:space="0"/>
              <w:right w:val="single" w:color="auto" w:sz="4" w:space="0"/>
            </w:tcBorders>
            <w:shd w:val="clear" w:color="auto" w:fill="FFFFFF" w:themeFill="background1"/>
            <w:noWrap/>
            <w:vAlign w:val="center"/>
          </w:tcPr>
          <w:p w14:paraId="5AFC6452">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10</w:t>
            </w:r>
          </w:p>
        </w:tc>
        <w:tc>
          <w:tcPr>
            <w:tcW w:w="764" w:type="dxa"/>
            <w:tcBorders>
              <w:top w:val="nil"/>
              <w:left w:val="nil"/>
              <w:bottom w:val="single" w:color="auto" w:sz="4" w:space="0"/>
              <w:right w:val="single" w:color="auto" w:sz="4" w:space="0"/>
            </w:tcBorders>
            <w:shd w:val="clear" w:color="auto" w:fill="FFFFFF" w:themeFill="background1"/>
            <w:noWrap/>
            <w:vAlign w:val="center"/>
          </w:tcPr>
          <w:p w14:paraId="7BAE3F41">
            <w:pPr>
              <w:pStyle w:val="170"/>
              <w:ind w:left="-27" w:leftChars="-13" w:right="-65" w:rightChars="-31"/>
              <w:jc w:val="left"/>
              <w:rPr>
                <w:rFonts w:ascii="宋体" w:hAnsi="宋体" w:cs="宋体"/>
                <w:b w:val="0"/>
                <w:bCs/>
                <w:kern w:val="0"/>
                <w:sz w:val="16"/>
                <w:szCs w:val="16"/>
              </w:rPr>
            </w:pPr>
            <w:r>
              <w:rPr>
                <w:rFonts w:hint="eastAsia" w:ascii="宋体" w:hAnsi="宋体" w:cs="宋体"/>
                <w:b w:val="0"/>
                <w:bCs/>
                <w:kern w:val="0"/>
                <w:sz w:val="16"/>
                <w:szCs w:val="16"/>
              </w:rPr>
              <w:t>餐饮业</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4A2754EC">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≥10000</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65A0BB2A">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且≥300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419C5BF2">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08682B19">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≥2000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0C800072">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且≥100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3EF53FC9">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554E8879">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≥100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6CA2D540">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且≥10</w:t>
            </w:r>
          </w:p>
        </w:tc>
        <w:tc>
          <w:tcPr>
            <w:tcW w:w="708" w:type="dxa"/>
            <w:tcBorders>
              <w:top w:val="nil"/>
              <w:left w:val="nil"/>
              <w:bottom w:val="single" w:color="auto" w:sz="4" w:space="0"/>
              <w:right w:val="single" w:color="auto" w:sz="4" w:space="0"/>
            </w:tcBorders>
            <w:shd w:val="clear" w:color="auto" w:fill="FFFFFF" w:themeFill="background1"/>
            <w:noWrap/>
            <w:vAlign w:val="center"/>
          </w:tcPr>
          <w:p w14:paraId="02DFB650">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057C0A6A">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＜100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0B9CA142">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或＜10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7D985B24">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r>
      <w:tr w14:paraId="0F0A3887">
        <w:tblPrEx>
          <w:shd w:val="clear" w:color="auto" w:fill="FFFFFF" w:themeFill="background1"/>
          <w:tblCellMar>
            <w:top w:w="0" w:type="dxa"/>
            <w:left w:w="108" w:type="dxa"/>
            <w:bottom w:w="0" w:type="dxa"/>
            <w:right w:w="108" w:type="dxa"/>
          </w:tblCellMar>
        </w:tblPrEx>
        <w:trPr>
          <w:trHeight w:val="142" w:hRule="atLeast"/>
          <w:jc w:val="center"/>
        </w:trPr>
        <w:tc>
          <w:tcPr>
            <w:tcW w:w="479" w:type="dxa"/>
            <w:tcBorders>
              <w:top w:val="nil"/>
              <w:left w:val="single" w:color="auto" w:sz="4" w:space="0"/>
              <w:bottom w:val="single" w:color="auto" w:sz="4" w:space="0"/>
              <w:right w:val="single" w:color="auto" w:sz="4" w:space="0"/>
            </w:tcBorders>
            <w:shd w:val="clear" w:color="auto" w:fill="FFFFFF" w:themeFill="background1"/>
            <w:noWrap/>
            <w:vAlign w:val="center"/>
          </w:tcPr>
          <w:p w14:paraId="12AFB18E">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11</w:t>
            </w:r>
          </w:p>
        </w:tc>
        <w:tc>
          <w:tcPr>
            <w:tcW w:w="764" w:type="dxa"/>
            <w:tcBorders>
              <w:top w:val="nil"/>
              <w:left w:val="nil"/>
              <w:bottom w:val="single" w:color="auto" w:sz="4" w:space="0"/>
              <w:right w:val="single" w:color="auto" w:sz="4" w:space="0"/>
            </w:tcBorders>
            <w:shd w:val="clear" w:color="auto" w:fill="FFFFFF" w:themeFill="background1"/>
            <w:noWrap/>
            <w:vAlign w:val="center"/>
          </w:tcPr>
          <w:p w14:paraId="1FA7CD9D">
            <w:pPr>
              <w:pStyle w:val="170"/>
              <w:ind w:left="-27" w:leftChars="-13" w:right="-65" w:rightChars="-31"/>
              <w:jc w:val="left"/>
              <w:rPr>
                <w:rFonts w:ascii="宋体" w:hAnsi="宋体" w:cs="宋体"/>
                <w:b w:val="0"/>
                <w:bCs/>
                <w:kern w:val="0"/>
                <w:sz w:val="16"/>
                <w:szCs w:val="16"/>
              </w:rPr>
            </w:pPr>
            <w:r>
              <w:rPr>
                <w:rFonts w:hint="eastAsia" w:ascii="宋体" w:hAnsi="宋体" w:cs="宋体"/>
                <w:b w:val="0"/>
                <w:bCs/>
                <w:kern w:val="0"/>
                <w:sz w:val="16"/>
                <w:szCs w:val="16"/>
              </w:rPr>
              <w:t>信息传输业</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26A18805">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≥100000</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7BAE3F92">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且≥2000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5F1F6FE4">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41E8D141">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≥1000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34B79387">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且≥100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5F7B2A5A">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32F4F901">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≥100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7FE18A75">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且≥10</w:t>
            </w:r>
          </w:p>
        </w:tc>
        <w:tc>
          <w:tcPr>
            <w:tcW w:w="708" w:type="dxa"/>
            <w:tcBorders>
              <w:top w:val="nil"/>
              <w:left w:val="nil"/>
              <w:bottom w:val="single" w:color="auto" w:sz="4" w:space="0"/>
              <w:right w:val="single" w:color="auto" w:sz="4" w:space="0"/>
            </w:tcBorders>
            <w:shd w:val="clear" w:color="auto" w:fill="FFFFFF" w:themeFill="background1"/>
            <w:noWrap/>
            <w:vAlign w:val="center"/>
          </w:tcPr>
          <w:p w14:paraId="47A96E78">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1F83BE38">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＜100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62C99AF0">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或＜10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5DA691D0">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r>
      <w:tr w14:paraId="284133DC">
        <w:tblPrEx>
          <w:shd w:val="clear" w:color="auto" w:fill="FFFFFF" w:themeFill="background1"/>
          <w:tblCellMar>
            <w:top w:w="0" w:type="dxa"/>
            <w:left w:w="108" w:type="dxa"/>
            <w:bottom w:w="0" w:type="dxa"/>
            <w:right w:w="108" w:type="dxa"/>
          </w:tblCellMar>
        </w:tblPrEx>
        <w:trPr>
          <w:trHeight w:val="328" w:hRule="atLeast"/>
          <w:jc w:val="center"/>
        </w:trPr>
        <w:tc>
          <w:tcPr>
            <w:tcW w:w="479" w:type="dxa"/>
            <w:tcBorders>
              <w:top w:val="nil"/>
              <w:left w:val="single" w:color="auto" w:sz="4" w:space="0"/>
              <w:bottom w:val="single" w:color="auto" w:sz="4" w:space="0"/>
              <w:right w:val="single" w:color="auto" w:sz="4" w:space="0"/>
            </w:tcBorders>
            <w:shd w:val="clear" w:color="auto" w:fill="FFFFFF" w:themeFill="background1"/>
            <w:noWrap/>
            <w:vAlign w:val="center"/>
          </w:tcPr>
          <w:p w14:paraId="369147BD">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12</w:t>
            </w:r>
          </w:p>
        </w:tc>
        <w:tc>
          <w:tcPr>
            <w:tcW w:w="764" w:type="dxa"/>
            <w:tcBorders>
              <w:top w:val="nil"/>
              <w:left w:val="nil"/>
              <w:bottom w:val="single" w:color="auto" w:sz="4" w:space="0"/>
              <w:right w:val="single" w:color="auto" w:sz="4" w:space="0"/>
            </w:tcBorders>
            <w:shd w:val="clear" w:color="auto" w:fill="FFFFFF" w:themeFill="background1"/>
            <w:noWrap/>
            <w:vAlign w:val="center"/>
          </w:tcPr>
          <w:p w14:paraId="4C6F5F13">
            <w:pPr>
              <w:pStyle w:val="170"/>
              <w:ind w:left="-27" w:leftChars="-13" w:right="-65" w:rightChars="-31"/>
              <w:jc w:val="left"/>
              <w:rPr>
                <w:rFonts w:ascii="宋体" w:hAnsi="宋体" w:cs="宋体"/>
                <w:b w:val="0"/>
                <w:bCs/>
                <w:kern w:val="0"/>
                <w:sz w:val="16"/>
                <w:szCs w:val="16"/>
              </w:rPr>
            </w:pPr>
            <w:r>
              <w:rPr>
                <w:rFonts w:hint="eastAsia" w:ascii="宋体" w:hAnsi="宋体" w:cs="宋体"/>
                <w:b w:val="0"/>
                <w:bCs/>
                <w:kern w:val="0"/>
                <w:sz w:val="16"/>
                <w:szCs w:val="16"/>
              </w:rPr>
              <w:t>软件和信息技术服务业</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72ECC3B6">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≥10000</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39AFE9A8">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且≥300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1ABDEC66">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0B1E8A1C">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≥1000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5B747E64">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且≥100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76569F6C">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28ED479A">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≥50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369D91B6">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且≥10</w:t>
            </w:r>
          </w:p>
        </w:tc>
        <w:tc>
          <w:tcPr>
            <w:tcW w:w="708" w:type="dxa"/>
            <w:tcBorders>
              <w:top w:val="nil"/>
              <w:left w:val="nil"/>
              <w:bottom w:val="single" w:color="auto" w:sz="4" w:space="0"/>
              <w:right w:val="single" w:color="auto" w:sz="4" w:space="0"/>
            </w:tcBorders>
            <w:shd w:val="clear" w:color="auto" w:fill="FFFFFF" w:themeFill="background1"/>
            <w:noWrap/>
            <w:vAlign w:val="center"/>
          </w:tcPr>
          <w:p w14:paraId="4375106B">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6FE57FE6">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＜50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0B6502DC">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或＜10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61B858AD">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r>
      <w:tr w14:paraId="08A9BE79">
        <w:tblPrEx>
          <w:shd w:val="clear" w:color="auto" w:fill="FFFFFF" w:themeFill="background1"/>
          <w:tblCellMar>
            <w:top w:w="0" w:type="dxa"/>
            <w:left w:w="108" w:type="dxa"/>
            <w:bottom w:w="0" w:type="dxa"/>
            <w:right w:w="108" w:type="dxa"/>
          </w:tblCellMar>
        </w:tblPrEx>
        <w:trPr>
          <w:trHeight w:val="381" w:hRule="atLeast"/>
          <w:jc w:val="center"/>
        </w:trPr>
        <w:tc>
          <w:tcPr>
            <w:tcW w:w="479" w:type="dxa"/>
            <w:tcBorders>
              <w:top w:val="nil"/>
              <w:left w:val="single" w:color="auto" w:sz="4" w:space="0"/>
              <w:bottom w:val="single" w:color="auto" w:sz="4" w:space="0"/>
              <w:right w:val="single" w:color="auto" w:sz="4" w:space="0"/>
            </w:tcBorders>
            <w:shd w:val="clear" w:color="auto" w:fill="FFFFFF" w:themeFill="background1"/>
            <w:noWrap/>
            <w:vAlign w:val="center"/>
          </w:tcPr>
          <w:p w14:paraId="58D438C4">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13</w:t>
            </w:r>
          </w:p>
        </w:tc>
        <w:tc>
          <w:tcPr>
            <w:tcW w:w="764" w:type="dxa"/>
            <w:tcBorders>
              <w:top w:val="nil"/>
              <w:left w:val="nil"/>
              <w:bottom w:val="single" w:color="auto" w:sz="4" w:space="0"/>
              <w:right w:val="single" w:color="auto" w:sz="4" w:space="0"/>
            </w:tcBorders>
            <w:shd w:val="clear" w:color="auto" w:fill="FFFFFF" w:themeFill="background1"/>
            <w:noWrap/>
            <w:vAlign w:val="center"/>
          </w:tcPr>
          <w:p w14:paraId="46E13CA0">
            <w:pPr>
              <w:pStyle w:val="170"/>
              <w:ind w:left="-27" w:leftChars="-13" w:right="-65" w:rightChars="-31"/>
              <w:jc w:val="left"/>
              <w:rPr>
                <w:rFonts w:ascii="宋体" w:hAnsi="宋体" w:cs="宋体"/>
                <w:b w:val="0"/>
                <w:bCs/>
                <w:kern w:val="0"/>
                <w:sz w:val="16"/>
                <w:szCs w:val="16"/>
              </w:rPr>
            </w:pPr>
            <w:r>
              <w:rPr>
                <w:rFonts w:hint="eastAsia" w:ascii="宋体" w:hAnsi="宋体" w:cs="宋体"/>
                <w:b w:val="0"/>
                <w:bCs/>
                <w:kern w:val="0"/>
                <w:sz w:val="16"/>
                <w:szCs w:val="16"/>
              </w:rPr>
              <w:t>房地产开发经营</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6C6A4F5C">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≥200000</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4D536808">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60B4584A">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且≥10000</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6DC6873B">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≥1000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7C9D75BB">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1D57427A">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且≥5000</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3172DFD1">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≥100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25D45FF8">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708" w:type="dxa"/>
            <w:tcBorders>
              <w:top w:val="nil"/>
              <w:left w:val="nil"/>
              <w:bottom w:val="single" w:color="auto" w:sz="4" w:space="0"/>
              <w:right w:val="single" w:color="auto" w:sz="4" w:space="0"/>
            </w:tcBorders>
            <w:shd w:val="clear" w:color="auto" w:fill="FFFFFF" w:themeFill="background1"/>
            <w:noWrap/>
            <w:vAlign w:val="center"/>
          </w:tcPr>
          <w:p w14:paraId="17B55594">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且≥2000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13DA91A4">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＜100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2EA6E8CA">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66E9CF1A">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或＜2000</w:t>
            </w:r>
          </w:p>
        </w:tc>
      </w:tr>
      <w:tr w14:paraId="5A8573A3">
        <w:tblPrEx>
          <w:shd w:val="clear" w:color="auto" w:fill="FFFFFF" w:themeFill="background1"/>
          <w:tblCellMar>
            <w:top w:w="0" w:type="dxa"/>
            <w:left w:w="108" w:type="dxa"/>
            <w:bottom w:w="0" w:type="dxa"/>
            <w:right w:w="108" w:type="dxa"/>
          </w:tblCellMar>
        </w:tblPrEx>
        <w:trPr>
          <w:trHeight w:val="220" w:hRule="atLeast"/>
          <w:jc w:val="center"/>
        </w:trPr>
        <w:tc>
          <w:tcPr>
            <w:tcW w:w="479" w:type="dxa"/>
            <w:tcBorders>
              <w:top w:val="nil"/>
              <w:left w:val="single" w:color="auto" w:sz="4" w:space="0"/>
              <w:bottom w:val="single" w:color="auto" w:sz="4" w:space="0"/>
              <w:right w:val="single" w:color="auto" w:sz="4" w:space="0"/>
            </w:tcBorders>
            <w:shd w:val="clear" w:color="auto" w:fill="FFFFFF" w:themeFill="background1"/>
            <w:noWrap/>
            <w:vAlign w:val="center"/>
          </w:tcPr>
          <w:p w14:paraId="3CBA3159">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14</w:t>
            </w:r>
          </w:p>
        </w:tc>
        <w:tc>
          <w:tcPr>
            <w:tcW w:w="764" w:type="dxa"/>
            <w:tcBorders>
              <w:top w:val="nil"/>
              <w:left w:val="nil"/>
              <w:bottom w:val="single" w:color="auto" w:sz="4" w:space="0"/>
              <w:right w:val="single" w:color="auto" w:sz="4" w:space="0"/>
            </w:tcBorders>
            <w:shd w:val="clear" w:color="auto" w:fill="FFFFFF" w:themeFill="background1"/>
            <w:noWrap/>
            <w:vAlign w:val="center"/>
          </w:tcPr>
          <w:p w14:paraId="67950B31">
            <w:pPr>
              <w:pStyle w:val="170"/>
              <w:ind w:left="-27" w:leftChars="-13" w:right="-65" w:rightChars="-31"/>
              <w:jc w:val="left"/>
              <w:rPr>
                <w:rFonts w:ascii="宋体" w:hAnsi="宋体" w:cs="宋体"/>
                <w:b w:val="0"/>
                <w:bCs/>
                <w:kern w:val="0"/>
                <w:sz w:val="16"/>
                <w:szCs w:val="16"/>
              </w:rPr>
            </w:pPr>
            <w:r>
              <w:rPr>
                <w:rFonts w:hint="eastAsia" w:ascii="宋体" w:hAnsi="宋体" w:cs="宋体"/>
                <w:b w:val="0"/>
                <w:bCs/>
                <w:kern w:val="0"/>
                <w:sz w:val="16"/>
                <w:szCs w:val="16"/>
              </w:rPr>
              <w:t>物业管理</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6830DD5A">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≥5000</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3124CE8E">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且≥1000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7FD356A4">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41CDE433">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≥1000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0AAD43B1">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且≥300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7E40A6A1">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51656D0E">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≥500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0F9A8A19">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且≥100</w:t>
            </w:r>
          </w:p>
        </w:tc>
        <w:tc>
          <w:tcPr>
            <w:tcW w:w="708" w:type="dxa"/>
            <w:tcBorders>
              <w:top w:val="nil"/>
              <w:left w:val="nil"/>
              <w:bottom w:val="single" w:color="auto" w:sz="4" w:space="0"/>
              <w:right w:val="single" w:color="auto" w:sz="4" w:space="0"/>
            </w:tcBorders>
            <w:shd w:val="clear" w:color="auto" w:fill="FFFFFF" w:themeFill="background1"/>
            <w:noWrap/>
            <w:vAlign w:val="center"/>
          </w:tcPr>
          <w:p w14:paraId="37F04EE7">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2F5169E5">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＜500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686300F2">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或＜100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77CA0D74">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r>
      <w:tr w14:paraId="16795007">
        <w:tblPrEx>
          <w:shd w:val="clear" w:color="auto" w:fill="FFFFFF" w:themeFill="background1"/>
          <w:tblCellMar>
            <w:top w:w="0" w:type="dxa"/>
            <w:left w:w="108" w:type="dxa"/>
            <w:bottom w:w="0" w:type="dxa"/>
            <w:right w:w="108" w:type="dxa"/>
          </w:tblCellMar>
        </w:tblPrEx>
        <w:trPr>
          <w:trHeight w:val="356" w:hRule="atLeast"/>
          <w:jc w:val="center"/>
        </w:trPr>
        <w:tc>
          <w:tcPr>
            <w:tcW w:w="479" w:type="dxa"/>
            <w:tcBorders>
              <w:top w:val="nil"/>
              <w:left w:val="single" w:color="auto" w:sz="4" w:space="0"/>
              <w:bottom w:val="single" w:color="auto" w:sz="4" w:space="0"/>
              <w:right w:val="single" w:color="auto" w:sz="4" w:space="0"/>
            </w:tcBorders>
            <w:shd w:val="clear" w:color="auto" w:fill="FFFFFF" w:themeFill="background1"/>
            <w:noWrap/>
            <w:vAlign w:val="center"/>
          </w:tcPr>
          <w:p w14:paraId="51CF45E7">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15</w:t>
            </w:r>
          </w:p>
        </w:tc>
        <w:tc>
          <w:tcPr>
            <w:tcW w:w="764" w:type="dxa"/>
            <w:tcBorders>
              <w:top w:val="nil"/>
              <w:left w:val="nil"/>
              <w:bottom w:val="single" w:color="auto" w:sz="4" w:space="0"/>
              <w:right w:val="single" w:color="auto" w:sz="4" w:space="0"/>
            </w:tcBorders>
            <w:shd w:val="clear" w:color="auto" w:fill="FFFFFF" w:themeFill="background1"/>
            <w:noWrap/>
            <w:vAlign w:val="center"/>
          </w:tcPr>
          <w:p w14:paraId="07B4402C">
            <w:pPr>
              <w:pStyle w:val="170"/>
              <w:ind w:left="-27" w:leftChars="-13" w:right="-65" w:rightChars="-31"/>
              <w:jc w:val="left"/>
              <w:rPr>
                <w:rFonts w:ascii="宋体" w:hAnsi="宋体" w:cs="宋体"/>
                <w:b w:val="0"/>
                <w:bCs/>
                <w:kern w:val="0"/>
                <w:sz w:val="16"/>
                <w:szCs w:val="16"/>
              </w:rPr>
            </w:pPr>
            <w:r>
              <w:rPr>
                <w:rFonts w:hint="eastAsia" w:ascii="宋体" w:hAnsi="宋体" w:cs="宋体"/>
                <w:b w:val="0"/>
                <w:bCs/>
                <w:kern w:val="0"/>
                <w:sz w:val="16"/>
                <w:szCs w:val="16"/>
              </w:rPr>
              <w:t>租赁和商务服务业</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030345D5">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37BD6E94">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≥300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6BBB3152">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且≥120000</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42F8DCFD">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　</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095C478E">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≥100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2D9FCD4A">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且≥8000</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1FAB7A91">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58645D43">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≥10</w:t>
            </w:r>
          </w:p>
        </w:tc>
        <w:tc>
          <w:tcPr>
            <w:tcW w:w="708" w:type="dxa"/>
            <w:tcBorders>
              <w:top w:val="nil"/>
              <w:left w:val="nil"/>
              <w:bottom w:val="single" w:color="auto" w:sz="4" w:space="0"/>
              <w:right w:val="single" w:color="auto" w:sz="4" w:space="0"/>
            </w:tcBorders>
            <w:shd w:val="clear" w:color="auto" w:fill="FFFFFF" w:themeFill="background1"/>
            <w:noWrap/>
            <w:vAlign w:val="center"/>
          </w:tcPr>
          <w:p w14:paraId="2BD37099">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且≥100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769A1338">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7E71581C">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＜10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578C2D41">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或＜100</w:t>
            </w:r>
          </w:p>
        </w:tc>
      </w:tr>
      <w:tr w14:paraId="2772174C">
        <w:tblPrEx>
          <w:tblCellMar>
            <w:top w:w="0" w:type="dxa"/>
            <w:left w:w="108" w:type="dxa"/>
            <w:bottom w:w="0" w:type="dxa"/>
            <w:right w:w="108" w:type="dxa"/>
          </w:tblCellMar>
        </w:tblPrEx>
        <w:trPr>
          <w:trHeight w:val="177" w:hRule="atLeast"/>
          <w:jc w:val="center"/>
        </w:trPr>
        <w:tc>
          <w:tcPr>
            <w:tcW w:w="479" w:type="dxa"/>
            <w:tcBorders>
              <w:top w:val="nil"/>
              <w:left w:val="single" w:color="auto" w:sz="4" w:space="0"/>
              <w:bottom w:val="single" w:color="auto" w:sz="4" w:space="0"/>
              <w:right w:val="single" w:color="auto" w:sz="4" w:space="0"/>
            </w:tcBorders>
            <w:shd w:val="clear" w:color="auto" w:fill="FFFFFF" w:themeFill="background1"/>
            <w:noWrap/>
            <w:vAlign w:val="center"/>
          </w:tcPr>
          <w:p w14:paraId="79803958">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16</w:t>
            </w:r>
          </w:p>
        </w:tc>
        <w:tc>
          <w:tcPr>
            <w:tcW w:w="764" w:type="dxa"/>
            <w:tcBorders>
              <w:top w:val="nil"/>
              <w:left w:val="nil"/>
              <w:bottom w:val="single" w:color="auto" w:sz="4" w:space="0"/>
              <w:right w:val="single" w:color="auto" w:sz="4" w:space="0"/>
            </w:tcBorders>
            <w:shd w:val="clear" w:color="auto" w:fill="FFFFFF" w:themeFill="background1"/>
            <w:noWrap/>
            <w:vAlign w:val="center"/>
          </w:tcPr>
          <w:p w14:paraId="5E072BAE">
            <w:pPr>
              <w:pStyle w:val="170"/>
              <w:ind w:left="-27" w:leftChars="-13" w:right="-65" w:rightChars="-31"/>
              <w:jc w:val="left"/>
              <w:rPr>
                <w:rFonts w:ascii="宋体" w:hAnsi="宋体" w:cs="宋体"/>
                <w:b w:val="0"/>
                <w:bCs/>
                <w:kern w:val="0"/>
                <w:sz w:val="16"/>
                <w:szCs w:val="16"/>
              </w:rPr>
            </w:pPr>
            <w:r>
              <w:rPr>
                <w:rFonts w:hint="eastAsia" w:ascii="宋体" w:hAnsi="宋体" w:cs="宋体"/>
                <w:b w:val="0"/>
                <w:bCs/>
                <w:kern w:val="0"/>
                <w:sz w:val="16"/>
                <w:szCs w:val="16"/>
              </w:rPr>
              <w:t>其他未列明行业</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76B99A93">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24A98D5B">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≥300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0B76D9DA">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17091480">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　</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68194683">
            <w:pPr>
              <w:pStyle w:val="170"/>
              <w:widowControl/>
              <w:ind w:left="-107" w:leftChars="-51" w:right="-107" w:rightChars="-51"/>
              <w:jc w:val="center"/>
              <w:rPr>
                <w:rFonts w:ascii="宋体" w:hAnsi="宋体" w:cs="宋体"/>
                <w:b w:val="0"/>
                <w:bCs/>
                <w:kern w:val="0"/>
                <w:sz w:val="18"/>
                <w:szCs w:val="18"/>
              </w:rPr>
            </w:pPr>
            <w:r>
              <w:rPr>
                <w:rFonts w:hint="eastAsia" w:ascii="宋体" w:hAnsi="宋体" w:cs="宋体"/>
                <w:b w:val="0"/>
                <w:bCs/>
                <w:kern w:val="0"/>
                <w:sz w:val="18"/>
                <w:szCs w:val="18"/>
              </w:rPr>
              <w:t>≥100</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6D7E4A52">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0" w:type="dxa"/>
            <w:tcBorders>
              <w:top w:val="nil"/>
              <w:left w:val="nil"/>
              <w:bottom w:val="single" w:color="auto" w:sz="4" w:space="0"/>
              <w:right w:val="single" w:color="auto" w:sz="4" w:space="0"/>
            </w:tcBorders>
            <w:shd w:val="clear" w:color="auto" w:fill="FFFFFF" w:themeFill="background1"/>
            <w:noWrap/>
            <w:vAlign w:val="center"/>
          </w:tcPr>
          <w:p w14:paraId="7D608616">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851" w:type="dxa"/>
            <w:tcBorders>
              <w:top w:val="nil"/>
              <w:left w:val="nil"/>
              <w:bottom w:val="single" w:color="auto" w:sz="4" w:space="0"/>
              <w:right w:val="single" w:color="auto" w:sz="4" w:space="0"/>
            </w:tcBorders>
            <w:shd w:val="clear" w:color="auto" w:fill="FFFFFF" w:themeFill="background1"/>
            <w:noWrap/>
            <w:vAlign w:val="center"/>
          </w:tcPr>
          <w:p w14:paraId="08DA919E">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≥10</w:t>
            </w:r>
          </w:p>
        </w:tc>
        <w:tc>
          <w:tcPr>
            <w:tcW w:w="708" w:type="dxa"/>
            <w:tcBorders>
              <w:top w:val="nil"/>
              <w:left w:val="nil"/>
              <w:bottom w:val="single" w:color="auto" w:sz="4" w:space="0"/>
              <w:right w:val="single" w:color="auto" w:sz="4" w:space="0"/>
            </w:tcBorders>
            <w:shd w:val="clear" w:color="auto" w:fill="FFFFFF" w:themeFill="background1"/>
            <w:noWrap/>
            <w:vAlign w:val="center"/>
          </w:tcPr>
          <w:p w14:paraId="02D8E241">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2E7DF788">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4708FD8F">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＜10</w:t>
            </w:r>
          </w:p>
        </w:tc>
        <w:tc>
          <w:tcPr>
            <w:tcW w:w="709" w:type="dxa"/>
            <w:tcBorders>
              <w:top w:val="nil"/>
              <w:left w:val="nil"/>
              <w:bottom w:val="single" w:color="auto" w:sz="4" w:space="0"/>
              <w:right w:val="single" w:color="auto" w:sz="4" w:space="0"/>
            </w:tcBorders>
            <w:shd w:val="clear" w:color="auto" w:fill="FFFFFF" w:themeFill="background1"/>
            <w:noWrap/>
            <w:vAlign w:val="center"/>
          </w:tcPr>
          <w:p w14:paraId="577CDD5D">
            <w:pPr>
              <w:pStyle w:val="170"/>
              <w:widowControl/>
              <w:jc w:val="center"/>
              <w:rPr>
                <w:rFonts w:ascii="宋体" w:hAnsi="宋体" w:cs="宋体"/>
                <w:b w:val="0"/>
                <w:bCs/>
                <w:kern w:val="0"/>
                <w:sz w:val="18"/>
                <w:szCs w:val="18"/>
              </w:rPr>
            </w:pPr>
            <w:r>
              <w:rPr>
                <w:rFonts w:hint="eastAsia" w:ascii="宋体" w:hAnsi="宋体" w:cs="宋体"/>
                <w:b w:val="0"/>
                <w:bCs/>
                <w:kern w:val="0"/>
                <w:sz w:val="18"/>
                <w:szCs w:val="18"/>
              </w:rPr>
              <w:t>　</w:t>
            </w:r>
          </w:p>
        </w:tc>
      </w:tr>
    </w:tbl>
    <w:p w14:paraId="6B2BAAA4">
      <w:pPr>
        <w:adjustRightInd w:val="0"/>
        <w:snapToGrid w:val="0"/>
        <w:spacing w:line="360" w:lineRule="auto"/>
        <w:rPr>
          <w:rFonts w:ascii="黑体" w:hAnsi="华文中宋" w:eastAsia="黑体" w:cs="宋体"/>
          <w:bCs/>
          <w:spacing w:val="6"/>
          <w:kern w:val="0"/>
          <w:szCs w:val="21"/>
        </w:rPr>
      </w:pPr>
    </w:p>
    <w:p w14:paraId="0E4A5BC8">
      <w:pPr>
        <w:adjustRightInd w:val="0"/>
        <w:snapToGrid w:val="0"/>
        <w:spacing w:line="360" w:lineRule="auto"/>
        <w:rPr>
          <w:rFonts w:ascii="宋体" w:hAnsi="宋体" w:cs="宋体"/>
          <w:b/>
          <w:kern w:val="0"/>
          <w:sz w:val="16"/>
          <w:szCs w:val="16"/>
        </w:rPr>
      </w:pPr>
      <w:r>
        <w:rPr>
          <w:rFonts w:hint="eastAsia" w:ascii="宋体" w:hAnsi="宋体" w:cs="宋体"/>
          <w:b/>
          <w:kern w:val="0"/>
          <w:sz w:val="16"/>
          <w:szCs w:val="16"/>
        </w:rPr>
        <w:t>注：本项目所属行业为“中小企业划型标准”中的“</w:t>
      </w:r>
      <w:r>
        <w:rPr>
          <w:rFonts w:hint="eastAsia" w:ascii="宋体" w:hAnsi="宋体" w:cs="宋体"/>
          <w:b/>
          <w:kern w:val="0"/>
          <w:sz w:val="16"/>
          <w:szCs w:val="16"/>
          <w:lang w:val="en-US" w:eastAsia="zh-CN"/>
        </w:rPr>
        <w:t>工</w:t>
      </w:r>
      <w:r>
        <w:rPr>
          <w:rFonts w:hint="eastAsia" w:ascii="宋体" w:hAnsi="宋体" w:cs="宋体"/>
          <w:b/>
          <w:kern w:val="0"/>
          <w:sz w:val="16"/>
          <w:szCs w:val="16"/>
        </w:rPr>
        <w:t>业”</w:t>
      </w:r>
    </w:p>
    <w:p w14:paraId="3A6ADC4F">
      <w:pPr>
        <w:pStyle w:val="5"/>
        <w:rPr>
          <w:rFonts w:ascii="黑体" w:hAnsi="华文中宋" w:cs="宋体"/>
          <w:spacing w:val="6"/>
          <w:sz w:val="21"/>
          <w:szCs w:val="21"/>
        </w:rPr>
        <w:sectPr>
          <w:footerReference r:id="rId9" w:type="default"/>
          <w:pgSz w:w="11906" w:h="16838"/>
          <w:pgMar w:top="1157" w:right="1080" w:bottom="1213" w:left="1080" w:header="737" w:footer="907" w:gutter="0"/>
          <w:pgBorders>
            <w:top w:val="none" w:sz="0" w:space="0"/>
            <w:left w:val="none" w:sz="0" w:space="0"/>
            <w:bottom w:val="none" w:sz="0" w:space="0"/>
            <w:right w:val="none" w:sz="0" w:space="0"/>
          </w:pgBorders>
          <w:cols w:space="720" w:num="1"/>
          <w:docGrid w:type="lines" w:linePitch="312" w:charSpace="0"/>
        </w:sectPr>
      </w:pPr>
    </w:p>
    <w:p w14:paraId="420AAE7E">
      <w:pPr>
        <w:pStyle w:val="5"/>
        <w:rPr>
          <w:rFonts w:ascii="黑体" w:hAnsi="宋体"/>
          <w:b w:val="0"/>
          <w:spacing w:val="6"/>
          <w:sz w:val="21"/>
          <w:szCs w:val="21"/>
        </w:rPr>
      </w:pPr>
      <w:r>
        <w:rPr>
          <w:rFonts w:hint="eastAsia" w:ascii="黑体" w:hAnsi="华文中宋" w:cs="宋体"/>
          <w:spacing w:val="6"/>
          <w:sz w:val="21"/>
          <w:szCs w:val="21"/>
        </w:rPr>
        <w:t>附件10-2</w:t>
      </w:r>
      <w:r>
        <w:rPr>
          <w:rFonts w:hint="eastAsia" w:ascii="黑体" w:hAnsi="华文中宋" w:cs="宋体"/>
          <w:b w:val="0"/>
          <w:bCs w:val="0"/>
          <w:spacing w:val="6"/>
          <w:sz w:val="21"/>
          <w:szCs w:val="21"/>
        </w:rPr>
        <w:t xml:space="preserve"> </w:t>
      </w:r>
    </w:p>
    <w:p w14:paraId="023B5B4E">
      <w:pPr>
        <w:adjustRightInd w:val="0"/>
        <w:snapToGrid w:val="0"/>
        <w:spacing w:line="360" w:lineRule="auto"/>
        <w:jc w:val="center"/>
        <w:rPr>
          <w:rFonts w:ascii="黑体" w:hAnsi="黑体" w:eastAsia="黑体"/>
          <w:b/>
          <w:spacing w:val="6"/>
          <w:sz w:val="28"/>
          <w:szCs w:val="28"/>
        </w:rPr>
      </w:pPr>
      <w:r>
        <w:rPr>
          <w:rFonts w:hint="eastAsia" w:ascii="黑体" w:hAnsi="黑体" w:eastAsia="黑体"/>
          <w:b/>
          <w:spacing w:val="6"/>
          <w:sz w:val="28"/>
          <w:szCs w:val="28"/>
        </w:rPr>
        <w:t>残疾人福利性单位声明函</w:t>
      </w:r>
    </w:p>
    <w:p w14:paraId="59D7FCC2">
      <w:pPr>
        <w:adjustRightInd w:val="0"/>
        <w:snapToGrid w:val="0"/>
        <w:spacing w:line="360" w:lineRule="auto"/>
        <w:jc w:val="center"/>
        <w:rPr>
          <w:rFonts w:ascii="宋体" w:hAnsi="宋体"/>
          <w:b/>
          <w:spacing w:val="6"/>
          <w:szCs w:val="21"/>
        </w:rPr>
      </w:pPr>
      <w:r>
        <w:rPr>
          <w:rFonts w:hint="eastAsia" w:ascii="宋体" w:hAnsi="宋体"/>
          <w:b/>
          <w:spacing w:val="6"/>
          <w:szCs w:val="21"/>
        </w:rPr>
        <w:t>(不属于残疾人福利性单位的无需填写)</w:t>
      </w:r>
    </w:p>
    <w:p w14:paraId="6CCACCB7">
      <w:pPr>
        <w:adjustRightInd w:val="0"/>
        <w:snapToGrid w:val="0"/>
        <w:spacing w:line="360" w:lineRule="auto"/>
        <w:ind w:firstLine="444" w:firstLineChars="200"/>
        <w:rPr>
          <w:rFonts w:ascii="宋体" w:hAnsi="宋体"/>
          <w:spacing w:val="6"/>
          <w:szCs w:val="21"/>
        </w:rPr>
      </w:pPr>
    </w:p>
    <w:p w14:paraId="401F3162">
      <w:pPr>
        <w:adjustRightInd w:val="0"/>
        <w:snapToGrid w:val="0"/>
        <w:spacing w:line="360" w:lineRule="auto"/>
        <w:ind w:firstLine="444" w:firstLineChars="200"/>
        <w:rPr>
          <w:rFonts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963E449">
      <w:pPr>
        <w:adjustRightInd w:val="0"/>
        <w:snapToGrid w:val="0"/>
        <w:spacing w:line="360" w:lineRule="auto"/>
        <w:ind w:firstLine="444" w:firstLineChars="200"/>
        <w:rPr>
          <w:rFonts w:ascii="宋体" w:hAnsi="宋体"/>
          <w:spacing w:val="6"/>
          <w:szCs w:val="21"/>
        </w:rPr>
      </w:pPr>
      <w:r>
        <w:rPr>
          <w:rFonts w:hint="eastAsia" w:ascii="宋体" w:hAnsi="宋体"/>
          <w:spacing w:val="6"/>
          <w:szCs w:val="21"/>
        </w:rPr>
        <w:t>本单位对上述声明的真实性负责。如有虚假，将依法承担相应责任。</w:t>
      </w:r>
    </w:p>
    <w:p w14:paraId="3D65A25E">
      <w:pPr>
        <w:adjustRightInd w:val="0"/>
        <w:snapToGrid w:val="0"/>
        <w:spacing w:line="360" w:lineRule="auto"/>
        <w:ind w:firstLine="444" w:firstLineChars="200"/>
        <w:rPr>
          <w:rFonts w:ascii="宋体" w:hAnsi="宋体"/>
          <w:spacing w:val="6"/>
          <w:szCs w:val="21"/>
        </w:rPr>
      </w:pPr>
    </w:p>
    <w:p w14:paraId="3DABD1C3">
      <w:pPr>
        <w:adjustRightInd w:val="0"/>
        <w:snapToGrid w:val="0"/>
        <w:spacing w:line="360" w:lineRule="auto"/>
        <w:ind w:firstLine="444" w:firstLineChars="200"/>
        <w:rPr>
          <w:rFonts w:ascii="宋体" w:hAnsi="宋体"/>
          <w:spacing w:val="6"/>
          <w:szCs w:val="21"/>
        </w:rPr>
      </w:pPr>
    </w:p>
    <w:p w14:paraId="3FA0B840">
      <w:pPr>
        <w:tabs>
          <w:tab w:val="left" w:pos="4860"/>
        </w:tabs>
        <w:adjustRightInd w:val="0"/>
        <w:snapToGrid w:val="0"/>
        <w:spacing w:line="360" w:lineRule="auto"/>
        <w:ind w:right="1560" w:firstLine="444" w:firstLineChars="200"/>
        <w:jc w:val="center"/>
        <w:rPr>
          <w:rFonts w:ascii="宋体" w:hAnsi="宋体"/>
          <w:spacing w:val="6"/>
          <w:szCs w:val="21"/>
        </w:rPr>
      </w:pPr>
      <w:r>
        <w:rPr>
          <w:rFonts w:hint="eastAsia" w:ascii="宋体" w:hAnsi="宋体"/>
          <w:spacing w:val="6"/>
          <w:szCs w:val="21"/>
        </w:rPr>
        <w:t xml:space="preserve">               单位名称（盖章）：</w:t>
      </w:r>
    </w:p>
    <w:p w14:paraId="03B33E74">
      <w:pPr>
        <w:tabs>
          <w:tab w:val="left" w:pos="4860"/>
        </w:tabs>
        <w:adjustRightInd w:val="0"/>
        <w:snapToGrid w:val="0"/>
        <w:spacing w:line="360" w:lineRule="auto"/>
        <w:ind w:right="1560" w:firstLine="444" w:firstLineChars="200"/>
        <w:jc w:val="center"/>
        <w:rPr>
          <w:rFonts w:ascii="宋体" w:hAnsi="宋体"/>
          <w:spacing w:val="6"/>
          <w:szCs w:val="21"/>
        </w:rPr>
      </w:pPr>
      <w:r>
        <w:rPr>
          <w:rFonts w:hint="eastAsia" w:ascii="宋体" w:hAnsi="宋体"/>
          <w:spacing w:val="6"/>
          <w:szCs w:val="21"/>
        </w:rPr>
        <w:t xml:space="preserve">       日  期：</w:t>
      </w:r>
    </w:p>
    <w:p w14:paraId="1A044D31">
      <w:pPr>
        <w:widowControl/>
        <w:adjustRightInd w:val="0"/>
        <w:snapToGrid w:val="0"/>
        <w:spacing w:line="360" w:lineRule="auto"/>
        <w:jc w:val="left"/>
        <w:rPr>
          <w:rFonts w:ascii="宋体" w:hAnsi="宋体" w:cs="宋体"/>
          <w:kern w:val="0"/>
          <w:szCs w:val="21"/>
        </w:rPr>
      </w:pPr>
    </w:p>
    <w:p w14:paraId="0BB8B4FA">
      <w:pPr>
        <w:widowControl/>
        <w:jc w:val="left"/>
        <w:rPr>
          <w:rFonts w:ascii="黑体" w:hAnsi="华文中宋" w:cs="宋体"/>
          <w:b/>
          <w:bCs/>
          <w:spacing w:val="6"/>
          <w:kern w:val="0"/>
          <w:szCs w:val="21"/>
        </w:rPr>
      </w:pPr>
      <w:r>
        <w:rPr>
          <w:rFonts w:ascii="黑体" w:hAnsi="华文中宋" w:cs="宋体"/>
          <w:b/>
          <w:bCs/>
          <w:spacing w:val="6"/>
          <w:kern w:val="0"/>
          <w:szCs w:val="21"/>
        </w:rPr>
        <w:br w:type="page"/>
      </w:r>
      <w:bookmarkStart w:id="152" w:name="_Toc20651268"/>
    </w:p>
    <w:p w14:paraId="452F1C83">
      <w:pPr>
        <w:widowControl/>
        <w:jc w:val="left"/>
        <w:rPr>
          <w:rFonts w:ascii="黑体" w:hAnsi="宋体"/>
          <w:b/>
          <w:bCs/>
          <w:szCs w:val="21"/>
        </w:rPr>
      </w:pPr>
      <w:r>
        <w:rPr>
          <w:rFonts w:hint="eastAsia" w:ascii="黑体" w:hAnsi="宋体" w:cs="宋体"/>
          <w:b/>
          <w:bCs/>
          <w:kern w:val="0"/>
          <w:szCs w:val="21"/>
        </w:rPr>
        <w:t xml:space="preserve">附件10-3 </w:t>
      </w:r>
      <w:bookmarkEnd w:id="152"/>
    </w:p>
    <w:p w14:paraId="5B66D6C7">
      <w:pPr>
        <w:adjustRightInd w:val="0"/>
        <w:snapToGrid w:val="0"/>
        <w:spacing w:line="360" w:lineRule="auto"/>
        <w:jc w:val="center"/>
        <w:rPr>
          <w:rFonts w:ascii="黑体" w:hAnsi="宋体"/>
          <w:b/>
          <w:sz w:val="28"/>
          <w:szCs w:val="28"/>
        </w:rPr>
      </w:pPr>
      <w:r>
        <w:rPr>
          <w:rFonts w:hint="eastAsia" w:ascii="黑体" w:hAnsi="宋体"/>
          <w:b/>
          <w:sz w:val="28"/>
          <w:szCs w:val="28"/>
        </w:rPr>
        <w:t>监狱企业证明资料</w:t>
      </w:r>
    </w:p>
    <w:p w14:paraId="05383027">
      <w:pPr>
        <w:adjustRightInd w:val="0"/>
        <w:snapToGrid w:val="0"/>
        <w:spacing w:line="360" w:lineRule="auto"/>
        <w:jc w:val="center"/>
        <w:rPr>
          <w:rFonts w:ascii="宋体" w:hAnsi="宋体"/>
          <w:b/>
          <w:spacing w:val="6"/>
          <w:szCs w:val="21"/>
        </w:rPr>
      </w:pPr>
      <w:r>
        <w:rPr>
          <w:rFonts w:hint="eastAsia" w:ascii="宋体" w:hAnsi="宋体"/>
          <w:b/>
          <w:spacing w:val="6"/>
          <w:szCs w:val="21"/>
        </w:rPr>
        <w:t>(不属于监狱企业的无需提供)</w:t>
      </w:r>
    </w:p>
    <w:p w14:paraId="3B33364C">
      <w:pPr>
        <w:adjustRightInd w:val="0"/>
        <w:snapToGrid w:val="0"/>
        <w:spacing w:line="360" w:lineRule="auto"/>
        <w:rPr>
          <w:rFonts w:ascii="宋体" w:hAnsi="宋体"/>
          <w:szCs w:val="21"/>
        </w:rPr>
      </w:pPr>
    </w:p>
    <w:p w14:paraId="24D10738">
      <w:pPr>
        <w:adjustRightInd w:val="0"/>
        <w:snapToGrid w:val="0"/>
        <w:spacing w:line="360" w:lineRule="auto"/>
        <w:ind w:firstLine="444" w:firstLineChars="200"/>
        <w:rPr>
          <w:rFonts w:ascii="宋体" w:hAnsi="宋体"/>
          <w:szCs w:val="21"/>
        </w:rPr>
      </w:pPr>
      <w:r>
        <w:rPr>
          <w:rFonts w:hint="eastAsia" w:ascii="宋体" w:hAnsi="宋体" w:cs="宋体"/>
          <w:bCs/>
          <w:spacing w:val="6"/>
          <w:kern w:val="0"/>
          <w:szCs w:val="21"/>
        </w:rPr>
        <w:t>备注：</w:t>
      </w:r>
      <w:r>
        <w:rPr>
          <w:rFonts w:hint="eastAsia" w:ascii="宋体" w:hAnsi="宋体"/>
          <w:szCs w:val="21"/>
        </w:rPr>
        <w:t>按</w:t>
      </w:r>
      <w:r>
        <w:rPr>
          <w:rFonts w:hint="eastAsia" w:ascii="宋体" w:hAnsi="宋体"/>
          <w:spacing w:val="6"/>
          <w:szCs w:val="21"/>
        </w:rPr>
        <w:t>《</w:t>
      </w:r>
      <w:r>
        <w:rPr>
          <w:rFonts w:hint="eastAsia" w:ascii="宋体" w:hAnsi="宋体"/>
          <w:szCs w:val="21"/>
        </w:rPr>
        <w:t>财政部 司法部关于政府采购支持监狱企业发展有关问题的通知</w:t>
      </w:r>
      <w:r>
        <w:rPr>
          <w:rFonts w:hint="eastAsia" w:ascii="宋体" w:hAnsi="宋体"/>
          <w:spacing w:val="6"/>
          <w:szCs w:val="21"/>
        </w:rPr>
        <w:t>》</w:t>
      </w:r>
      <w:r>
        <w:rPr>
          <w:rFonts w:hint="eastAsia" w:ascii="宋体" w:hAnsi="宋体"/>
          <w:szCs w:val="21"/>
        </w:rPr>
        <w:t>(财库〔2014〕68号)文件规定提供证明文件（扫描件）。</w:t>
      </w:r>
    </w:p>
    <w:p w14:paraId="6C9B1547">
      <w:pPr>
        <w:adjustRightInd w:val="0"/>
        <w:snapToGrid w:val="0"/>
        <w:spacing w:line="360" w:lineRule="auto"/>
        <w:rPr>
          <w:rFonts w:ascii="宋体" w:hAnsi="宋体"/>
          <w:szCs w:val="21"/>
        </w:rPr>
      </w:pPr>
    </w:p>
    <w:p w14:paraId="442DB2CE">
      <w:pPr>
        <w:adjustRightInd w:val="0"/>
        <w:snapToGrid w:val="0"/>
        <w:rPr>
          <w:rFonts w:ascii="黑体" w:hAnsi="宋体" w:eastAsia="黑体"/>
          <w:sz w:val="28"/>
          <w:szCs w:val="28"/>
        </w:rPr>
      </w:pPr>
    </w:p>
    <w:p w14:paraId="59871DE0">
      <w:pPr>
        <w:adjustRightInd w:val="0"/>
        <w:snapToGrid w:val="0"/>
        <w:spacing w:line="360" w:lineRule="auto"/>
        <w:jc w:val="center"/>
        <w:rPr>
          <w:rFonts w:ascii="黑体" w:hAnsi="宋体" w:eastAsia="黑体"/>
          <w:sz w:val="28"/>
          <w:szCs w:val="28"/>
        </w:rPr>
      </w:pPr>
    </w:p>
    <w:p w14:paraId="48FEAA23">
      <w:pPr>
        <w:widowControl/>
        <w:adjustRightInd w:val="0"/>
        <w:snapToGrid w:val="0"/>
        <w:spacing w:line="360" w:lineRule="auto"/>
        <w:rPr>
          <w:rFonts w:ascii="黑体" w:hAnsi="宋体" w:cs="宋体"/>
          <w:kern w:val="0"/>
          <w:szCs w:val="21"/>
        </w:rPr>
      </w:pPr>
      <w:r>
        <w:rPr>
          <w:rFonts w:hint="eastAsia" w:ascii="黑体" w:hAnsi="宋体" w:eastAsia="黑体"/>
          <w:sz w:val="28"/>
          <w:szCs w:val="28"/>
        </w:rPr>
        <w:br w:type="page"/>
      </w:r>
      <w:r>
        <w:rPr>
          <w:rFonts w:hint="eastAsia" w:ascii="黑体" w:hAnsi="宋体" w:cs="宋体"/>
          <w:b/>
          <w:bCs/>
          <w:kern w:val="0"/>
          <w:szCs w:val="21"/>
        </w:rPr>
        <w:t>附件10-4</w:t>
      </w:r>
    </w:p>
    <w:p w14:paraId="7793F38C">
      <w:pPr>
        <w:adjustRightInd w:val="0"/>
        <w:snapToGrid w:val="0"/>
        <w:spacing w:line="360" w:lineRule="auto"/>
        <w:jc w:val="center"/>
        <w:rPr>
          <w:rFonts w:ascii="黑体" w:hAnsi="宋体" w:eastAsia="黑体"/>
          <w:sz w:val="28"/>
          <w:szCs w:val="28"/>
        </w:rPr>
      </w:pPr>
      <w:r>
        <w:rPr>
          <w:rFonts w:hint="eastAsia" w:ascii="黑体" w:hAnsi="宋体" w:eastAsia="黑体"/>
          <w:sz w:val="28"/>
          <w:szCs w:val="28"/>
        </w:rPr>
        <w:t>提供价格评审优惠货物清单</w:t>
      </w:r>
    </w:p>
    <w:tbl>
      <w:tblPr>
        <w:tblStyle w:val="40"/>
        <w:tblW w:w="0" w:type="auto"/>
        <w:tblInd w:w="21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51"/>
        <w:gridCol w:w="1378"/>
        <w:gridCol w:w="861"/>
        <w:gridCol w:w="1034"/>
        <w:gridCol w:w="861"/>
        <w:gridCol w:w="173"/>
        <w:gridCol w:w="1357"/>
        <w:gridCol w:w="2100"/>
        <w:gridCol w:w="1170"/>
      </w:tblGrid>
      <w:tr w14:paraId="7F5E6C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60" w:hRule="atLeast"/>
        </w:trPr>
        <w:tc>
          <w:tcPr>
            <w:tcW w:w="9585" w:type="dxa"/>
            <w:gridSpan w:val="9"/>
            <w:noWrap/>
            <w:vAlign w:val="center"/>
          </w:tcPr>
          <w:p w14:paraId="08BBD363">
            <w:pPr>
              <w:widowControl/>
              <w:adjustRightInd w:val="0"/>
              <w:snapToGrid w:val="0"/>
              <w:spacing w:line="360" w:lineRule="auto"/>
              <w:jc w:val="center"/>
              <w:rPr>
                <w:rFonts w:ascii="黑体" w:hAnsi="宋体" w:eastAsia="黑体"/>
                <w:kern w:val="0"/>
                <w:szCs w:val="21"/>
              </w:rPr>
            </w:pPr>
            <w:r>
              <w:rPr>
                <w:rFonts w:hint="eastAsia" w:ascii="黑体" w:hAnsi="宋体" w:eastAsia="黑体"/>
                <w:kern w:val="0"/>
                <w:szCs w:val="21"/>
              </w:rPr>
              <w:t>本公司对本表的真实性负责。如有虚假，将依法承担相应责任。</w:t>
            </w:r>
          </w:p>
        </w:tc>
      </w:tr>
      <w:tr w14:paraId="615F5B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1" w:hRule="atLeast"/>
        </w:trPr>
        <w:tc>
          <w:tcPr>
            <w:tcW w:w="651" w:type="dxa"/>
            <w:noWrap/>
            <w:vAlign w:val="center"/>
          </w:tcPr>
          <w:p w14:paraId="3E2F248F">
            <w:pPr>
              <w:widowControl/>
              <w:adjustRightInd w:val="0"/>
              <w:snapToGrid w:val="0"/>
              <w:spacing w:line="360" w:lineRule="auto"/>
              <w:jc w:val="center"/>
              <w:rPr>
                <w:rFonts w:ascii="宋体" w:hAnsi="宋体"/>
                <w:kern w:val="0"/>
                <w:szCs w:val="21"/>
              </w:rPr>
            </w:pPr>
            <w:r>
              <w:rPr>
                <w:rFonts w:hint="eastAsia" w:ascii="宋体" w:hAnsi="宋体"/>
                <w:kern w:val="0"/>
                <w:szCs w:val="21"/>
              </w:rPr>
              <w:t>1</w:t>
            </w:r>
          </w:p>
        </w:tc>
        <w:tc>
          <w:tcPr>
            <w:tcW w:w="1378" w:type="dxa"/>
            <w:noWrap/>
            <w:vAlign w:val="center"/>
          </w:tcPr>
          <w:p w14:paraId="0F16C92C">
            <w:pPr>
              <w:widowControl/>
              <w:adjustRightInd w:val="0"/>
              <w:snapToGrid w:val="0"/>
              <w:spacing w:line="360" w:lineRule="auto"/>
              <w:jc w:val="center"/>
              <w:rPr>
                <w:rFonts w:ascii="宋体" w:hAnsi="宋体"/>
                <w:kern w:val="0"/>
                <w:szCs w:val="21"/>
              </w:rPr>
            </w:pPr>
            <w:r>
              <w:rPr>
                <w:rFonts w:hint="eastAsia" w:ascii="宋体" w:hAnsi="宋体"/>
                <w:kern w:val="0"/>
                <w:szCs w:val="21"/>
              </w:rPr>
              <w:t>2</w:t>
            </w:r>
          </w:p>
        </w:tc>
        <w:tc>
          <w:tcPr>
            <w:tcW w:w="861" w:type="dxa"/>
            <w:noWrap/>
            <w:vAlign w:val="center"/>
          </w:tcPr>
          <w:p w14:paraId="5BF29C1E">
            <w:pPr>
              <w:widowControl/>
              <w:adjustRightInd w:val="0"/>
              <w:snapToGrid w:val="0"/>
              <w:spacing w:line="360" w:lineRule="auto"/>
              <w:jc w:val="center"/>
              <w:rPr>
                <w:rFonts w:ascii="宋体" w:hAnsi="宋体"/>
                <w:kern w:val="0"/>
                <w:szCs w:val="21"/>
              </w:rPr>
            </w:pPr>
            <w:r>
              <w:rPr>
                <w:rFonts w:hint="eastAsia" w:ascii="宋体" w:hAnsi="宋体"/>
                <w:kern w:val="0"/>
                <w:szCs w:val="21"/>
              </w:rPr>
              <w:t>3</w:t>
            </w:r>
          </w:p>
        </w:tc>
        <w:tc>
          <w:tcPr>
            <w:tcW w:w="1034" w:type="dxa"/>
            <w:noWrap/>
            <w:vAlign w:val="center"/>
          </w:tcPr>
          <w:p w14:paraId="3B16EAA8">
            <w:pPr>
              <w:widowControl/>
              <w:adjustRightInd w:val="0"/>
              <w:snapToGrid w:val="0"/>
              <w:spacing w:line="360" w:lineRule="auto"/>
              <w:jc w:val="center"/>
              <w:rPr>
                <w:rFonts w:ascii="宋体" w:hAnsi="宋体"/>
                <w:kern w:val="0"/>
                <w:szCs w:val="21"/>
              </w:rPr>
            </w:pPr>
            <w:r>
              <w:rPr>
                <w:rFonts w:hint="eastAsia" w:ascii="宋体" w:hAnsi="宋体"/>
                <w:kern w:val="0"/>
                <w:szCs w:val="21"/>
              </w:rPr>
              <w:t>4</w:t>
            </w:r>
          </w:p>
        </w:tc>
        <w:tc>
          <w:tcPr>
            <w:tcW w:w="1034" w:type="dxa"/>
            <w:gridSpan w:val="2"/>
            <w:noWrap/>
            <w:vAlign w:val="center"/>
          </w:tcPr>
          <w:p w14:paraId="229067B4">
            <w:pPr>
              <w:widowControl/>
              <w:adjustRightInd w:val="0"/>
              <w:snapToGrid w:val="0"/>
              <w:spacing w:line="360" w:lineRule="auto"/>
              <w:jc w:val="center"/>
              <w:rPr>
                <w:rFonts w:ascii="宋体" w:hAnsi="宋体"/>
                <w:kern w:val="0"/>
                <w:szCs w:val="21"/>
              </w:rPr>
            </w:pPr>
            <w:r>
              <w:rPr>
                <w:rFonts w:hint="eastAsia" w:ascii="宋体" w:hAnsi="宋体"/>
                <w:kern w:val="0"/>
                <w:szCs w:val="21"/>
              </w:rPr>
              <w:t>5</w:t>
            </w:r>
          </w:p>
        </w:tc>
        <w:tc>
          <w:tcPr>
            <w:tcW w:w="1357" w:type="dxa"/>
            <w:noWrap/>
            <w:vAlign w:val="center"/>
          </w:tcPr>
          <w:p w14:paraId="2973949A">
            <w:pPr>
              <w:widowControl/>
              <w:adjustRightInd w:val="0"/>
              <w:snapToGrid w:val="0"/>
              <w:spacing w:line="360" w:lineRule="auto"/>
              <w:jc w:val="center"/>
              <w:rPr>
                <w:rFonts w:ascii="宋体" w:hAnsi="宋体"/>
                <w:kern w:val="0"/>
                <w:szCs w:val="21"/>
              </w:rPr>
            </w:pPr>
            <w:r>
              <w:rPr>
                <w:rFonts w:hint="eastAsia" w:ascii="宋体" w:hAnsi="宋体"/>
                <w:kern w:val="0"/>
                <w:szCs w:val="21"/>
              </w:rPr>
              <w:t>6</w:t>
            </w:r>
          </w:p>
        </w:tc>
        <w:tc>
          <w:tcPr>
            <w:tcW w:w="2100" w:type="dxa"/>
            <w:noWrap/>
            <w:vAlign w:val="center"/>
          </w:tcPr>
          <w:p w14:paraId="55BFA63A">
            <w:pPr>
              <w:widowControl/>
              <w:adjustRightInd w:val="0"/>
              <w:snapToGrid w:val="0"/>
              <w:spacing w:line="360" w:lineRule="auto"/>
              <w:jc w:val="center"/>
              <w:rPr>
                <w:rFonts w:ascii="宋体" w:hAnsi="宋体"/>
                <w:kern w:val="0"/>
                <w:szCs w:val="21"/>
              </w:rPr>
            </w:pPr>
            <w:r>
              <w:rPr>
                <w:rFonts w:hint="eastAsia" w:ascii="宋体" w:hAnsi="宋体"/>
                <w:kern w:val="0"/>
                <w:szCs w:val="21"/>
              </w:rPr>
              <w:t>7</w:t>
            </w:r>
          </w:p>
        </w:tc>
        <w:tc>
          <w:tcPr>
            <w:tcW w:w="1170" w:type="dxa"/>
            <w:noWrap/>
            <w:vAlign w:val="center"/>
          </w:tcPr>
          <w:p w14:paraId="48F3F321">
            <w:pPr>
              <w:widowControl/>
              <w:adjustRightInd w:val="0"/>
              <w:snapToGrid w:val="0"/>
              <w:spacing w:line="360" w:lineRule="auto"/>
              <w:jc w:val="center"/>
              <w:rPr>
                <w:rFonts w:ascii="宋体" w:hAnsi="宋体"/>
                <w:kern w:val="0"/>
                <w:szCs w:val="21"/>
              </w:rPr>
            </w:pPr>
            <w:r>
              <w:rPr>
                <w:rFonts w:hint="eastAsia" w:ascii="宋体" w:hAnsi="宋体"/>
                <w:kern w:val="0"/>
                <w:szCs w:val="21"/>
              </w:rPr>
              <w:t>8</w:t>
            </w:r>
          </w:p>
        </w:tc>
      </w:tr>
      <w:tr w14:paraId="4B0988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3" w:hRule="atLeast"/>
        </w:trPr>
        <w:tc>
          <w:tcPr>
            <w:tcW w:w="651" w:type="dxa"/>
            <w:noWrap/>
            <w:vAlign w:val="center"/>
          </w:tcPr>
          <w:p w14:paraId="0FE45F38">
            <w:pPr>
              <w:widowControl/>
              <w:adjustRightInd w:val="0"/>
              <w:snapToGrid w:val="0"/>
              <w:spacing w:line="360" w:lineRule="auto"/>
              <w:jc w:val="center"/>
              <w:rPr>
                <w:rFonts w:ascii="宋体" w:hAnsi="宋体"/>
                <w:kern w:val="0"/>
                <w:szCs w:val="21"/>
              </w:rPr>
            </w:pPr>
            <w:r>
              <w:rPr>
                <w:rFonts w:hint="eastAsia" w:ascii="宋体" w:hAnsi="宋体"/>
                <w:kern w:val="0"/>
                <w:szCs w:val="21"/>
              </w:rPr>
              <w:t>序号</w:t>
            </w:r>
          </w:p>
        </w:tc>
        <w:tc>
          <w:tcPr>
            <w:tcW w:w="1378" w:type="dxa"/>
            <w:noWrap/>
            <w:vAlign w:val="center"/>
          </w:tcPr>
          <w:p w14:paraId="79B4D97C">
            <w:pPr>
              <w:widowControl/>
              <w:adjustRightInd w:val="0"/>
              <w:snapToGrid w:val="0"/>
              <w:spacing w:line="360" w:lineRule="auto"/>
              <w:jc w:val="center"/>
              <w:rPr>
                <w:rFonts w:ascii="宋体" w:hAnsi="宋体"/>
                <w:kern w:val="0"/>
                <w:szCs w:val="21"/>
              </w:rPr>
            </w:pPr>
            <w:r>
              <w:rPr>
                <w:rFonts w:hint="eastAsia" w:ascii="宋体" w:hAnsi="宋体"/>
                <w:kern w:val="0"/>
                <w:szCs w:val="21"/>
              </w:rPr>
              <w:t>货物名称</w:t>
            </w:r>
          </w:p>
        </w:tc>
        <w:tc>
          <w:tcPr>
            <w:tcW w:w="861" w:type="dxa"/>
            <w:noWrap/>
            <w:vAlign w:val="center"/>
          </w:tcPr>
          <w:p w14:paraId="78067A1E">
            <w:pPr>
              <w:widowControl/>
              <w:adjustRightInd w:val="0"/>
              <w:snapToGrid w:val="0"/>
              <w:spacing w:line="360" w:lineRule="auto"/>
              <w:jc w:val="center"/>
              <w:rPr>
                <w:rFonts w:ascii="宋体" w:hAnsi="宋体"/>
                <w:kern w:val="0"/>
                <w:szCs w:val="21"/>
              </w:rPr>
            </w:pPr>
            <w:r>
              <w:rPr>
                <w:rFonts w:hint="eastAsia" w:ascii="宋体" w:hAnsi="宋体"/>
                <w:kern w:val="0"/>
                <w:szCs w:val="21"/>
              </w:rPr>
              <w:t>数量</w:t>
            </w:r>
          </w:p>
        </w:tc>
        <w:tc>
          <w:tcPr>
            <w:tcW w:w="1034" w:type="dxa"/>
            <w:noWrap/>
            <w:vAlign w:val="center"/>
          </w:tcPr>
          <w:p w14:paraId="67C8EE9D">
            <w:pPr>
              <w:widowControl/>
              <w:adjustRightInd w:val="0"/>
              <w:snapToGrid w:val="0"/>
              <w:spacing w:line="360" w:lineRule="auto"/>
              <w:jc w:val="center"/>
              <w:rPr>
                <w:rFonts w:ascii="宋体" w:hAnsi="宋体"/>
                <w:kern w:val="0"/>
                <w:szCs w:val="21"/>
              </w:rPr>
            </w:pPr>
            <w:r>
              <w:rPr>
                <w:rFonts w:hint="eastAsia" w:ascii="宋体" w:hAnsi="宋体"/>
                <w:kern w:val="0"/>
                <w:szCs w:val="21"/>
              </w:rPr>
              <w:t>单价（元）</w:t>
            </w:r>
          </w:p>
        </w:tc>
        <w:tc>
          <w:tcPr>
            <w:tcW w:w="1034" w:type="dxa"/>
            <w:gridSpan w:val="2"/>
            <w:noWrap/>
            <w:vAlign w:val="center"/>
          </w:tcPr>
          <w:p w14:paraId="20F09017">
            <w:pPr>
              <w:widowControl/>
              <w:adjustRightInd w:val="0"/>
              <w:snapToGrid w:val="0"/>
              <w:spacing w:line="360" w:lineRule="auto"/>
              <w:jc w:val="center"/>
              <w:rPr>
                <w:rFonts w:ascii="宋体" w:hAnsi="宋体"/>
                <w:kern w:val="0"/>
                <w:szCs w:val="21"/>
              </w:rPr>
            </w:pPr>
            <w:r>
              <w:rPr>
                <w:rFonts w:hint="eastAsia" w:ascii="宋体" w:hAnsi="宋体"/>
                <w:kern w:val="0"/>
                <w:szCs w:val="21"/>
              </w:rPr>
              <w:t>总额（元）</w:t>
            </w:r>
          </w:p>
        </w:tc>
        <w:tc>
          <w:tcPr>
            <w:tcW w:w="1357" w:type="dxa"/>
            <w:noWrap/>
            <w:vAlign w:val="center"/>
          </w:tcPr>
          <w:p w14:paraId="0FE023DB">
            <w:pPr>
              <w:widowControl/>
              <w:adjustRightInd w:val="0"/>
              <w:snapToGrid w:val="0"/>
              <w:spacing w:line="360" w:lineRule="auto"/>
              <w:jc w:val="center"/>
              <w:rPr>
                <w:rFonts w:ascii="宋体" w:hAnsi="宋体"/>
                <w:kern w:val="0"/>
                <w:szCs w:val="21"/>
              </w:rPr>
            </w:pPr>
            <w:r>
              <w:rPr>
                <w:rFonts w:hint="eastAsia" w:ascii="宋体" w:hAnsi="宋体"/>
                <w:kern w:val="0"/>
                <w:szCs w:val="21"/>
              </w:rPr>
              <w:t>货物制造商名称</w:t>
            </w:r>
          </w:p>
        </w:tc>
        <w:tc>
          <w:tcPr>
            <w:tcW w:w="2100" w:type="dxa"/>
            <w:noWrap/>
            <w:vAlign w:val="center"/>
          </w:tcPr>
          <w:p w14:paraId="3768449D">
            <w:pPr>
              <w:widowControl/>
              <w:adjustRightInd w:val="0"/>
              <w:snapToGrid w:val="0"/>
              <w:spacing w:line="360" w:lineRule="auto"/>
              <w:jc w:val="center"/>
              <w:rPr>
                <w:rFonts w:ascii="宋体" w:hAnsi="宋体"/>
                <w:kern w:val="0"/>
                <w:szCs w:val="21"/>
              </w:rPr>
            </w:pPr>
            <w:r>
              <w:rPr>
                <w:rFonts w:hint="eastAsia" w:ascii="宋体" w:hAnsi="宋体"/>
                <w:kern w:val="0"/>
                <w:szCs w:val="21"/>
              </w:rPr>
              <w:t>货物制造商类型</w:t>
            </w:r>
          </w:p>
          <w:p w14:paraId="38F79B78">
            <w:pPr>
              <w:widowControl/>
              <w:adjustRightInd w:val="0"/>
              <w:snapToGrid w:val="0"/>
              <w:spacing w:line="360" w:lineRule="auto"/>
              <w:jc w:val="center"/>
              <w:rPr>
                <w:rFonts w:ascii="宋体" w:hAnsi="宋体"/>
                <w:kern w:val="0"/>
                <w:szCs w:val="21"/>
              </w:rPr>
            </w:pPr>
            <w:r>
              <w:rPr>
                <w:rFonts w:hint="eastAsia" w:ascii="宋体" w:hAnsi="宋体"/>
                <w:kern w:val="0"/>
                <w:szCs w:val="21"/>
              </w:rPr>
              <w:t>填写小型、微型、福利、监狱）</w:t>
            </w:r>
          </w:p>
        </w:tc>
        <w:tc>
          <w:tcPr>
            <w:tcW w:w="1170" w:type="dxa"/>
            <w:noWrap/>
            <w:vAlign w:val="center"/>
          </w:tcPr>
          <w:p w14:paraId="798D7E00">
            <w:pPr>
              <w:widowControl/>
              <w:adjustRightInd w:val="0"/>
              <w:snapToGrid w:val="0"/>
              <w:spacing w:line="360" w:lineRule="auto"/>
              <w:jc w:val="center"/>
              <w:rPr>
                <w:rFonts w:ascii="宋体" w:hAnsi="宋体"/>
                <w:kern w:val="0"/>
                <w:szCs w:val="21"/>
              </w:rPr>
            </w:pPr>
            <w:r>
              <w:rPr>
                <w:rFonts w:hint="eastAsia" w:ascii="宋体" w:hAnsi="宋体"/>
                <w:kern w:val="0"/>
                <w:szCs w:val="21"/>
              </w:rPr>
              <w:t>商标名称</w:t>
            </w:r>
          </w:p>
        </w:tc>
      </w:tr>
      <w:tr w14:paraId="1F9CF8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9585" w:type="dxa"/>
            <w:gridSpan w:val="9"/>
            <w:noWrap/>
            <w:vAlign w:val="center"/>
          </w:tcPr>
          <w:p w14:paraId="3444C327">
            <w:pPr>
              <w:adjustRightInd w:val="0"/>
              <w:snapToGrid w:val="0"/>
              <w:spacing w:line="360" w:lineRule="auto"/>
              <w:jc w:val="left"/>
              <w:rPr>
                <w:rFonts w:ascii="宋体" w:hAnsi="宋体"/>
                <w:b/>
                <w:szCs w:val="21"/>
              </w:rPr>
            </w:pPr>
            <w:r>
              <w:rPr>
                <w:rFonts w:hint="eastAsia" w:ascii="宋体" w:hAnsi="宋体"/>
                <w:b/>
                <w:szCs w:val="21"/>
              </w:rPr>
              <w:t>小型、微型</w:t>
            </w:r>
          </w:p>
        </w:tc>
      </w:tr>
      <w:tr w14:paraId="5DC3BB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651" w:type="dxa"/>
            <w:noWrap/>
            <w:vAlign w:val="center"/>
          </w:tcPr>
          <w:p w14:paraId="26EC6C7A">
            <w:pPr>
              <w:adjustRightInd w:val="0"/>
              <w:snapToGrid w:val="0"/>
              <w:spacing w:line="360" w:lineRule="auto"/>
              <w:jc w:val="center"/>
              <w:rPr>
                <w:rFonts w:ascii="宋体" w:hAnsi="宋体"/>
                <w:szCs w:val="21"/>
              </w:rPr>
            </w:pPr>
          </w:p>
        </w:tc>
        <w:tc>
          <w:tcPr>
            <w:tcW w:w="1378" w:type="dxa"/>
            <w:noWrap/>
            <w:vAlign w:val="center"/>
          </w:tcPr>
          <w:p w14:paraId="25358446">
            <w:pPr>
              <w:adjustRightInd w:val="0"/>
              <w:snapToGrid w:val="0"/>
              <w:spacing w:line="360" w:lineRule="auto"/>
              <w:jc w:val="center"/>
              <w:rPr>
                <w:rFonts w:ascii="宋体" w:hAnsi="宋体"/>
                <w:szCs w:val="21"/>
              </w:rPr>
            </w:pPr>
          </w:p>
        </w:tc>
        <w:tc>
          <w:tcPr>
            <w:tcW w:w="861" w:type="dxa"/>
            <w:noWrap/>
            <w:vAlign w:val="center"/>
          </w:tcPr>
          <w:p w14:paraId="7582C034">
            <w:pPr>
              <w:adjustRightInd w:val="0"/>
              <w:snapToGrid w:val="0"/>
              <w:spacing w:line="360" w:lineRule="auto"/>
              <w:jc w:val="center"/>
              <w:rPr>
                <w:rFonts w:ascii="宋体" w:hAnsi="宋体"/>
                <w:szCs w:val="21"/>
              </w:rPr>
            </w:pPr>
          </w:p>
        </w:tc>
        <w:tc>
          <w:tcPr>
            <w:tcW w:w="1034" w:type="dxa"/>
            <w:noWrap/>
            <w:vAlign w:val="center"/>
          </w:tcPr>
          <w:p w14:paraId="2B3064A9">
            <w:pPr>
              <w:adjustRightInd w:val="0"/>
              <w:snapToGrid w:val="0"/>
              <w:spacing w:line="360" w:lineRule="auto"/>
              <w:jc w:val="center"/>
              <w:rPr>
                <w:rFonts w:ascii="宋体" w:hAnsi="宋体"/>
                <w:szCs w:val="21"/>
              </w:rPr>
            </w:pPr>
          </w:p>
        </w:tc>
        <w:tc>
          <w:tcPr>
            <w:tcW w:w="861" w:type="dxa"/>
            <w:noWrap/>
            <w:vAlign w:val="center"/>
          </w:tcPr>
          <w:p w14:paraId="1649B3DA">
            <w:pPr>
              <w:adjustRightInd w:val="0"/>
              <w:snapToGrid w:val="0"/>
              <w:spacing w:line="360" w:lineRule="auto"/>
              <w:jc w:val="center"/>
              <w:rPr>
                <w:rFonts w:ascii="宋体" w:hAnsi="宋体"/>
                <w:szCs w:val="21"/>
              </w:rPr>
            </w:pPr>
          </w:p>
        </w:tc>
        <w:tc>
          <w:tcPr>
            <w:tcW w:w="1530" w:type="dxa"/>
            <w:gridSpan w:val="2"/>
            <w:noWrap/>
            <w:vAlign w:val="center"/>
          </w:tcPr>
          <w:p w14:paraId="17325E43">
            <w:pPr>
              <w:adjustRightInd w:val="0"/>
              <w:snapToGrid w:val="0"/>
              <w:spacing w:line="360" w:lineRule="auto"/>
              <w:jc w:val="center"/>
              <w:rPr>
                <w:rFonts w:ascii="宋体" w:hAnsi="宋体"/>
                <w:szCs w:val="21"/>
              </w:rPr>
            </w:pPr>
          </w:p>
        </w:tc>
        <w:tc>
          <w:tcPr>
            <w:tcW w:w="2100" w:type="dxa"/>
            <w:noWrap/>
          </w:tcPr>
          <w:p w14:paraId="25D374A0">
            <w:pPr>
              <w:adjustRightInd w:val="0"/>
              <w:snapToGrid w:val="0"/>
              <w:spacing w:line="360" w:lineRule="auto"/>
              <w:jc w:val="center"/>
              <w:rPr>
                <w:rFonts w:ascii="宋体" w:hAnsi="宋体"/>
                <w:szCs w:val="21"/>
              </w:rPr>
            </w:pPr>
          </w:p>
        </w:tc>
        <w:tc>
          <w:tcPr>
            <w:tcW w:w="1170" w:type="dxa"/>
            <w:noWrap/>
            <w:vAlign w:val="center"/>
          </w:tcPr>
          <w:p w14:paraId="01250332">
            <w:pPr>
              <w:adjustRightInd w:val="0"/>
              <w:snapToGrid w:val="0"/>
              <w:spacing w:line="360" w:lineRule="auto"/>
              <w:jc w:val="center"/>
              <w:rPr>
                <w:rFonts w:ascii="宋体" w:hAnsi="宋体"/>
                <w:szCs w:val="21"/>
              </w:rPr>
            </w:pPr>
          </w:p>
        </w:tc>
      </w:tr>
      <w:tr w14:paraId="1D528B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651" w:type="dxa"/>
            <w:noWrap/>
            <w:vAlign w:val="center"/>
          </w:tcPr>
          <w:p w14:paraId="48DF05BF">
            <w:pPr>
              <w:adjustRightInd w:val="0"/>
              <w:snapToGrid w:val="0"/>
              <w:spacing w:line="360" w:lineRule="auto"/>
              <w:jc w:val="center"/>
              <w:rPr>
                <w:rFonts w:ascii="宋体" w:hAnsi="宋体"/>
                <w:szCs w:val="21"/>
              </w:rPr>
            </w:pPr>
          </w:p>
        </w:tc>
        <w:tc>
          <w:tcPr>
            <w:tcW w:w="1378" w:type="dxa"/>
            <w:noWrap/>
            <w:vAlign w:val="center"/>
          </w:tcPr>
          <w:p w14:paraId="189EA092">
            <w:pPr>
              <w:adjustRightInd w:val="0"/>
              <w:snapToGrid w:val="0"/>
              <w:spacing w:line="360" w:lineRule="auto"/>
              <w:jc w:val="center"/>
              <w:rPr>
                <w:rFonts w:ascii="宋体" w:hAnsi="宋体"/>
                <w:szCs w:val="21"/>
              </w:rPr>
            </w:pPr>
          </w:p>
        </w:tc>
        <w:tc>
          <w:tcPr>
            <w:tcW w:w="861" w:type="dxa"/>
            <w:noWrap/>
            <w:vAlign w:val="center"/>
          </w:tcPr>
          <w:p w14:paraId="3951436C">
            <w:pPr>
              <w:adjustRightInd w:val="0"/>
              <w:snapToGrid w:val="0"/>
              <w:spacing w:line="360" w:lineRule="auto"/>
              <w:jc w:val="center"/>
              <w:rPr>
                <w:rFonts w:ascii="宋体" w:hAnsi="宋体"/>
                <w:szCs w:val="21"/>
              </w:rPr>
            </w:pPr>
          </w:p>
        </w:tc>
        <w:tc>
          <w:tcPr>
            <w:tcW w:w="1034" w:type="dxa"/>
            <w:noWrap/>
            <w:vAlign w:val="center"/>
          </w:tcPr>
          <w:p w14:paraId="10FFD52A">
            <w:pPr>
              <w:adjustRightInd w:val="0"/>
              <w:snapToGrid w:val="0"/>
              <w:spacing w:line="360" w:lineRule="auto"/>
              <w:jc w:val="center"/>
              <w:rPr>
                <w:rFonts w:ascii="宋体" w:hAnsi="宋体"/>
                <w:szCs w:val="21"/>
              </w:rPr>
            </w:pPr>
          </w:p>
        </w:tc>
        <w:tc>
          <w:tcPr>
            <w:tcW w:w="861" w:type="dxa"/>
            <w:noWrap/>
            <w:vAlign w:val="center"/>
          </w:tcPr>
          <w:p w14:paraId="4365DAAC">
            <w:pPr>
              <w:adjustRightInd w:val="0"/>
              <w:snapToGrid w:val="0"/>
              <w:spacing w:line="360" w:lineRule="auto"/>
              <w:jc w:val="center"/>
              <w:rPr>
                <w:rFonts w:ascii="宋体" w:hAnsi="宋体"/>
                <w:szCs w:val="21"/>
              </w:rPr>
            </w:pPr>
          </w:p>
        </w:tc>
        <w:tc>
          <w:tcPr>
            <w:tcW w:w="1530" w:type="dxa"/>
            <w:gridSpan w:val="2"/>
            <w:noWrap/>
            <w:vAlign w:val="center"/>
          </w:tcPr>
          <w:p w14:paraId="7B8738E7">
            <w:pPr>
              <w:adjustRightInd w:val="0"/>
              <w:snapToGrid w:val="0"/>
              <w:spacing w:line="360" w:lineRule="auto"/>
              <w:jc w:val="center"/>
              <w:rPr>
                <w:rFonts w:ascii="宋体" w:hAnsi="宋体"/>
                <w:szCs w:val="21"/>
              </w:rPr>
            </w:pPr>
          </w:p>
        </w:tc>
        <w:tc>
          <w:tcPr>
            <w:tcW w:w="2100" w:type="dxa"/>
            <w:noWrap/>
          </w:tcPr>
          <w:p w14:paraId="2AC844E6">
            <w:pPr>
              <w:adjustRightInd w:val="0"/>
              <w:snapToGrid w:val="0"/>
              <w:spacing w:line="360" w:lineRule="auto"/>
              <w:jc w:val="center"/>
              <w:rPr>
                <w:rFonts w:ascii="宋体" w:hAnsi="宋体"/>
                <w:szCs w:val="21"/>
              </w:rPr>
            </w:pPr>
          </w:p>
        </w:tc>
        <w:tc>
          <w:tcPr>
            <w:tcW w:w="1170" w:type="dxa"/>
            <w:noWrap/>
            <w:vAlign w:val="center"/>
          </w:tcPr>
          <w:p w14:paraId="3FC655D5">
            <w:pPr>
              <w:adjustRightInd w:val="0"/>
              <w:snapToGrid w:val="0"/>
              <w:spacing w:line="360" w:lineRule="auto"/>
              <w:jc w:val="center"/>
              <w:rPr>
                <w:rFonts w:ascii="宋体" w:hAnsi="宋体"/>
                <w:szCs w:val="21"/>
              </w:rPr>
            </w:pPr>
          </w:p>
        </w:tc>
      </w:tr>
      <w:tr w14:paraId="2D9B40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651" w:type="dxa"/>
            <w:noWrap/>
            <w:vAlign w:val="center"/>
          </w:tcPr>
          <w:p w14:paraId="5A5EA74E">
            <w:pPr>
              <w:adjustRightInd w:val="0"/>
              <w:snapToGrid w:val="0"/>
              <w:spacing w:line="360" w:lineRule="auto"/>
              <w:jc w:val="center"/>
              <w:rPr>
                <w:rFonts w:ascii="宋体" w:hAnsi="宋体"/>
                <w:szCs w:val="21"/>
              </w:rPr>
            </w:pPr>
            <w:r>
              <w:rPr>
                <w:rFonts w:hint="eastAsia" w:ascii="宋体" w:hAnsi="宋体"/>
                <w:szCs w:val="21"/>
              </w:rPr>
              <w:t>小计</w:t>
            </w:r>
          </w:p>
        </w:tc>
        <w:tc>
          <w:tcPr>
            <w:tcW w:w="1378" w:type="dxa"/>
            <w:noWrap/>
            <w:vAlign w:val="center"/>
          </w:tcPr>
          <w:p w14:paraId="1A6D7430">
            <w:pPr>
              <w:adjustRightInd w:val="0"/>
              <w:snapToGrid w:val="0"/>
              <w:spacing w:line="360" w:lineRule="auto"/>
              <w:jc w:val="center"/>
              <w:rPr>
                <w:rFonts w:ascii="宋体" w:hAnsi="宋体"/>
                <w:szCs w:val="21"/>
              </w:rPr>
            </w:pPr>
          </w:p>
        </w:tc>
        <w:tc>
          <w:tcPr>
            <w:tcW w:w="861" w:type="dxa"/>
            <w:noWrap/>
            <w:vAlign w:val="center"/>
          </w:tcPr>
          <w:p w14:paraId="58AF19C7">
            <w:pPr>
              <w:adjustRightInd w:val="0"/>
              <w:snapToGrid w:val="0"/>
              <w:spacing w:line="360" w:lineRule="auto"/>
              <w:jc w:val="center"/>
              <w:rPr>
                <w:rFonts w:ascii="宋体" w:hAnsi="宋体"/>
                <w:szCs w:val="21"/>
              </w:rPr>
            </w:pPr>
          </w:p>
        </w:tc>
        <w:tc>
          <w:tcPr>
            <w:tcW w:w="1034" w:type="dxa"/>
            <w:noWrap/>
            <w:vAlign w:val="center"/>
          </w:tcPr>
          <w:p w14:paraId="2BBDED17">
            <w:pPr>
              <w:adjustRightInd w:val="0"/>
              <w:snapToGrid w:val="0"/>
              <w:spacing w:line="360" w:lineRule="auto"/>
              <w:jc w:val="center"/>
              <w:rPr>
                <w:rFonts w:ascii="宋体" w:hAnsi="宋体"/>
                <w:szCs w:val="21"/>
              </w:rPr>
            </w:pPr>
          </w:p>
        </w:tc>
        <w:tc>
          <w:tcPr>
            <w:tcW w:w="861" w:type="dxa"/>
            <w:noWrap/>
            <w:vAlign w:val="center"/>
          </w:tcPr>
          <w:p w14:paraId="2D65AE76">
            <w:pPr>
              <w:adjustRightInd w:val="0"/>
              <w:snapToGrid w:val="0"/>
              <w:spacing w:line="360" w:lineRule="auto"/>
              <w:jc w:val="center"/>
              <w:rPr>
                <w:rFonts w:ascii="宋体" w:hAnsi="宋体"/>
                <w:szCs w:val="21"/>
              </w:rPr>
            </w:pPr>
          </w:p>
        </w:tc>
        <w:tc>
          <w:tcPr>
            <w:tcW w:w="1530" w:type="dxa"/>
            <w:gridSpan w:val="2"/>
            <w:noWrap/>
            <w:vAlign w:val="center"/>
          </w:tcPr>
          <w:p w14:paraId="41401794">
            <w:pPr>
              <w:adjustRightInd w:val="0"/>
              <w:snapToGrid w:val="0"/>
              <w:spacing w:line="360" w:lineRule="auto"/>
              <w:jc w:val="center"/>
              <w:rPr>
                <w:rFonts w:ascii="宋体" w:hAnsi="宋体"/>
                <w:szCs w:val="21"/>
              </w:rPr>
            </w:pPr>
          </w:p>
        </w:tc>
        <w:tc>
          <w:tcPr>
            <w:tcW w:w="2100" w:type="dxa"/>
            <w:noWrap/>
          </w:tcPr>
          <w:p w14:paraId="0B58F87F">
            <w:pPr>
              <w:adjustRightInd w:val="0"/>
              <w:snapToGrid w:val="0"/>
              <w:spacing w:line="360" w:lineRule="auto"/>
              <w:jc w:val="center"/>
              <w:rPr>
                <w:rFonts w:ascii="宋体" w:hAnsi="宋体"/>
                <w:szCs w:val="21"/>
              </w:rPr>
            </w:pPr>
          </w:p>
        </w:tc>
        <w:tc>
          <w:tcPr>
            <w:tcW w:w="1170" w:type="dxa"/>
            <w:noWrap/>
            <w:vAlign w:val="center"/>
          </w:tcPr>
          <w:p w14:paraId="7D2DE0A6">
            <w:pPr>
              <w:adjustRightInd w:val="0"/>
              <w:snapToGrid w:val="0"/>
              <w:spacing w:line="360" w:lineRule="auto"/>
              <w:jc w:val="center"/>
              <w:rPr>
                <w:rFonts w:ascii="宋体" w:hAnsi="宋体"/>
                <w:szCs w:val="21"/>
              </w:rPr>
            </w:pPr>
          </w:p>
        </w:tc>
      </w:tr>
      <w:tr w14:paraId="33352C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9585" w:type="dxa"/>
            <w:gridSpan w:val="9"/>
            <w:noWrap/>
            <w:vAlign w:val="center"/>
          </w:tcPr>
          <w:p w14:paraId="6E462AA8">
            <w:pPr>
              <w:adjustRightInd w:val="0"/>
              <w:snapToGrid w:val="0"/>
              <w:spacing w:line="360" w:lineRule="auto"/>
              <w:jc w:val="left"/>
              <w:rPr>
                <w:rFonts w:ascii="宋体" w:hAnsi="宋体"/>
                <w:szCs w:val="21"/>
              </w:rPr>
            </w:pPr>
            <w:r>
              <w:rPr>
                <w:rFonts w:hint="eastAsia" w:ascii="宋体" w:hAnsi="宋体"/>
                <w:b/>
                <w:szCs w:val="21"/>
              </w:rPr>
              <w:t>福利</w:t>
            </w:r>
          </w:p>
        </w:tc>
      </w:tr>
      <w:tr w14:paraId="535DA5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651" w:type="dxa"/>
            <w:noWrap/>
            <w:vAlign w:val="center"/>
          </w:tcPr>
          <w:p w14:paraId="1DD453AA">
            <w:pPr>
              <w:adjustRightInd w:val="0"/>
              <w:snapToGrid w:val="0"/>
              <w:spacing w:line="360" w:lineRule="auto"/>
              <w:jc w:val="center"/>
              <w:rPr>
                <w:rFonts w:ascii="宋体" w:hAnsi="宋体"/>
                <w:szCs w:val="21"/>
              </w:rPr>
            </w:pPr>
          </w:p>
        </w:tc>
        <w:tc>
          <w:tcPr>
            <w:tcW w:w="1378" w:type="dxa"/>
            <w:noWrap/>
            <w:vAlign w:val="center"/>
          </w:tcPr>
          <w:p w14:paraId="25CDC88A">
            <w:pPr>
              <w:adjustRightInd w:val="0"/>
              <w:snapToGrid w:val="0"/>
              <w:spacing w:line="360" w:lineRule="auto"/>
              <w:jc w:val="center"/>
              <w:rPr>
                <w:rFonts w:ascii="宋体" w:hAnsi="宋体"/>
                <w:szCs w:val="21"/>
              </w:rPr>
            </w:pPr>
          </w:p>
        </w:tc>
        <w:tc>
          <w:tcPr>
            <w:tcW w:w="861" w:type="dxa"/>
            <w:noWrap/>
            <w:vAlign w:val="center"/>
          </w:tcPr>
          <w:p w14:paraId="6381D069">
            <w:pPr>
              <w:adjustRightInd w:val="0"/>
              <w:snapToGrid w:val="0"/>
              <w:spacing w:line="360" w:lineRule="auto"/>
              <w:jc w:val="center"/>
              <w:rPr>
                <w:rFonts w:ascii="宋体" w:hAnsi="宋体"/>
                <w:szCs w:val="21"/>
              </w:rPr>
            </w:pPr>
          </w:p>
        </w:tc>
        <w:tc>
          <w:tcPr>
            <w:tcW w:w="1034" w:type="dxa"/>
            <w:noWrap/>
            <w:vAlign w:val="center"/>
          </w:tcPr>
          <w:p w14:paraId="76807B79">
            <w:pPr>
              <w:adjustRightInd w:val="0"/>
              <w:snapToGrid w:val="0"/>
              <w:spacing w:line="360" w:lineRule="auto"/>
              <w:jc w:val="center"/>
              <w:rPr>
                <w:rFonts w:ascii="宋体" w:hAnsi="宋体"/>
                <w:szCs w:val="21"/>
              </w:rPr>
            </w:pPr>
          </w:p>
        </w:tc>
        <w:tc>
          <w:tcPr>
            <w:tcW w:w="861" w:type="dxa"/>
            <w:noWrap/>
            <w:vAlign w:val="center"/>
          </w:tcPr>
          <w:p w14:paraId="6B8DE6BD">
            <w:pPr>
              <w:adjustRightInd w:val="0"/>
              <w:snapToGrid w:val="0"/>
              <w:spacing w:line="360" w:lineRule="auto"/>
              <w:jc w:val="center"/>
              <w:rPr>
                <w:rFonts w:ascii="宋体" w:hAnsi="宋体"/>
                <w:szCs w:val="21"/>
              </w:rPr>
            </w:pPr>
          </w:p>
        </w:tc>
        <w:tc>
          <w:tcPr>
            <w:tcW w:w="1530" w:type="dxa"/>
            <w:gridSpan w:val="2"/>
            <w:noWrap/>
            <w:vAlign w:val="center"/>
          </w:tcPr>
          <w:p w14:paraId="1BD08777">
            <w:pPr>
              <w:adjustRightInd w:val="0"/>
              <w:snapToGrid w:val="0"/>
              <w:spacing w:line="360" w:lineRule="auto"/>
              <w:jc w:val="center"/>
              <w:rPr>
                <w:rFonts w:ascii="宋体" w:hAnsi="宋体"/>
                <w:szCs w:val="21"/>
              </w:rPr>
            </w:pPr>
          </w:p>
        </w:tc>
        <w:tc>
          <w:tcPr>
            <w:tcW w:w="2100" w:type="dxa"/>
            <w:noWrap/>
          </w:tcPr>
          <w:p w14:paraId="555B8A99">
            <w:pPr>
              <w:adjustRightInd w:val="0"/>
              <w:snapToGrid w:val="0"/>
              <w:spacing w:line="360" w:lineRule="auto"/>
              <w:jc w:val="center"/>
              <w:rPr>
                <w:rFonts w:ascii="宋体" w:hAnsi="宋体"/>
                <w:szCs w:val="21"/>
              </w:rPr>
            </w:pPr>
          </w:p>
        </w:tc>
        <w:tc>
          <w:tcPr>
            <w:tcW w:w="1170" w:type="dxa"/>
            <w:noWrap/>
            <w:vAlign w:val="center"/>
          </w:tcPr>
          <w:p w14:paraId="3681C511">
            <w:pPr>
              <w:adjustRightInd w:val="0"/>
              <w:snapToGrid w:val="0"/>
              <w:spacing w:line="360" w:lineRule="auto"/>
              <w:jc w:val="center"/>
              <w:rPr>
                <w:rFonts w:ascii="宋体" w:hAnsi="宋体"/>
                <w:szCs w:val="21"/>
              </w:rPr>
            </w:pPr>
          </w:p>
        </w:tc>
      </w:tr>
      <w:tr w14:paraId="335C6C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651" w:type="dxa"/>
            <w:noWrap/>
            <w:vAlign w:val="center"/>
          </w:tcPr>
          <w:p w14:paraId="11BB95BE">
            <w:pPr>
              <w:adjustRightInd w:val="0"/>
              <w:snapToGrid w:val="0"/>
              <w:spacing w:line="360" w:lineRule="auto"/>
              <w:jc w:val="center"/>
              <w:rPr>
                <w:rFonts w:ascii="宋体" w:hAnsi="宋体"/>
                <w:szCs w:val="21"/>
              </w:rPr>
            </w:pPr>
          </w:p>
        </w:tc>
        <w:tc>
          <w:tcPr>
            <w:tcW w:w="1378" w:type="dxa"/>
            <w:noWrap/>
            <w:vAlign w:val="center"/>
          </w:tcPr>
          <w:p w14:paraId="306C9A04">
            <w:pPr>
              <w:adjustRightInd w:val="0"/>
              <w:snapToGrid w:val="0"/>
              <w:spacing w:line="360" w:lineRule="auto"/>
              <w:jc w:val="center"/>
              <w:rPr>
                <w:rFonts w:ascii="宋体" w:hAnsi="宋体"/>
                <w:szCs w:val="21"/>
              </w:rPr>
            </w:pPr>
          </w:p>
        </w:tc>
        <w:tc>
          <w:tcPr>
            <w:tcW w:w="861" w:type="dxa"/>
            <w:noWrap/>
            <w:vAlign w:val="center"/>
          </w:tcPr>
          <w:p w14:paraId="1EDB9681">
            <w:pPr>
              <w:adjustRightInd w:val="0"/>
              <w:snapToGrid w:val="0"/>
              <w:spacing w:line="360" w:lineRule="auto"/>
              <w:jc w:val="center"/>
              <w:rPr>
                <w:rFonts w:ascii="宋体" w:hAnsi="宋体"/>
                <w:szCs w:val="21"/>
              </w:rPr>
            </w:pPr>
          </w:p>
        </w:tc>
        <w:tc>
          <w:tcPr>
            <w:tcW w:w="1034" w:type="dxa"/>
            <w:noWrap/>
            <w:vAlign w:val="center"/>
          </w:tcPr>
          <w:p w14:paraId="20C47D31">
            <w:pPr>
              <w:adjustRightInd w:val="0"/>
              <w:snapToGrid w:val="0"/>
              <w:spacing w:line="360" w:lineRule="auto"/>
              <w:jc w:val="center"/>
              <w:rPr>
                <w:rFonts w:ascii="宋体" w:hAnsi="宋体"/>
                <w:szCs w:val="21"/>
              </w:rPr>
            </w:pPr>
          </w:p>
        </w:tc>
        <w:tc>
          <w:tcPr>
            <w:tcW w:w="861" w:type="dxa"/>
            <w:noWrap/>
            <w:vAlign w:val="center"/>
          </w:tcPr>
          <w:p w14:paraId="51CB14FC">
            <w:pPr>
              <w:adjustRightInd w:val="0"/>
              <w:snapToGrid w:val="0"/>
              <w:spacing w:line="360" w:lineRule="auto"/>
              <w:jc w:val="center"/>
              <w:rPr>
                <w:rFonts w:ascii="宋体" w:hAnsi="宋体"/>
                <w:szCs w:val="21"/>
              </w:rPr>
            </w:pPr>
          </w:p>
        </w:tc>
        <w:tc>
          <w:tcPr>
            <w:tcW w:w="1530" w:type="dxa"/>
            <w:gridSpan w:val="2"/>
            <w:noWrap/>
            <w:vAlign w:val="center"/>
          </w:tcPr>
          <w:p w14:paraId="13240255">
            <w:pPr>
              <w:adjustRightInd w:val="0"/>
              <w:snapToGrid w:val="0"/>
              <w:spacing w:line="360" w:lineRule="auto"/>
              <w:jc w:val="center"/>
              <w:rPr>
                <w:rFonts w:ascii="宋体" w:hAnsi="宋体"/>
                <w:szCs w:val="21"/>
              </w:rPr>
            </w:pPr>
          </w:p>
        </w:tc>
        <w:tc>
          <w:tcPr>
            <w:tcW w:w="2100" w:type="dxa"/>
            <w:noWrap/>
          </w:tcPr>
          <w:p w14:paraId="0A65CDDB">
            <w:pPr>
              <w:adjustRightInd w:val="0"/>
              <w:snapToGrid w:val="0"/>
              <w:spacing w:line="360" w:lineRule="auto"/>
              <w:jc w:val="center"/>
              <w:rPr>
                <w:rFonts w:ascii="宋体" w:hAnsi="宋体"/>
                <w:szCs w:val="21"/>
              </w:rPr>
            </w:pPr>
          </w:p>
        </w:tc>
        <w:tc>
          <w:tcPr>
            <w:tcW w:w="1170" w:type="dxa"/>
            <w:noWrap/>
            <w:vAlign w:val="center"/>
          </w:tcPr>
          <w:p w14:paraId="625CC8DA">
            <w:pPr>
              <w:adjustRightInd w:val="0"/>
              <w:snapToGrid w:val="0"/>
              <w:spacing w:line="360" w:lineRule="auto"/>
              <w:jc w:val="center"/>
              <w:rPr>
                <w:rFonts w:ascii="宋体" w:hAnsi="宋体"/>
                <w:szCs w:val="21"/>
              </w:rPr>
            </w:pPr>
          </w:p>
        </w:tc>
      </w:tr>
      <w:tr w14:paraId="76D8CB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651" w:type="dxa"/>
            <w:noWrap/>
            <w:vAlign w:val="center"/>
          </w:tcPr>
          <w:p w14:paraId="2EEDDF51">
            <w:pPr>
              <w:adjustRightInd w:val="0"/>
              <w:snapToGrid w:val="0"/>
              <w:spacing w:line="360" w:lineRule="auto"/>
              <w:jc w:val="center"/>
              <w:rPr>
                <w:rFonts w:ascii="宋体" w:hAnsi="宋体"/>
                <w:szCs w:val="21"/>
              </w:rPr>
            </w:pPr>
            <w:r>
              <w:rPr>
                <w:rFonts w:hint="eastAsia" w:ascii="宋体" w:hAnsi="宋体"/>
                <w:szCs w:val="21"/>
              </w:rPr>
              <w:t>小计</w:t>
            </w:r>
          </w:p>
        </w:tc>
        <w:tc>
          <w:tcPr>
            <w:tcW w:w="1378" w:type="dxa"/>
            <w:noWrap/>
            <w:vAlign w:val="center"/>
          </w:tcPr>
          <w:p w14:paraId="6954931A">
            <w:pPr>
              <w:adjustRightInd w:val="0"/>
              <w:snapToGrid w:val="0"/>
              <w:spacing w:line="360" w:lineRule="auto"/>
              <w:jc w:val="center"/>
              <w:rPr>
                <w:rFonts w:ascii="宋体" w:hAnsi="宋体"/>
                <w:szCs w:val="21"/>
              </w:rPr>
            </w:pPr>
          </w:p>
        </w:tc>
        <w:tc>
          <w:tcPr>
            <w:tcW w:w="861" w:type="dxa"/>
            <w:noWrap/>
            <w:vAlign w:val="center"/>
          </w:tcPr>
          <w:p w14:paraId="53633286">
            <w:pPr>
              <w:adjustRightInd w:val="0"/>
              <w:snapToGrid w:val="0"/>
              <w:spacing w:line="360" w:lineRule="auto"/>
              <w:jc w:val="center"/>
              <w:rPr>
                <w:rFonts w:ascii="宋体" w:hAnsi="宋体"/>
                <w:szCs w:val="21"/>
              </w:rPr>
            </w:pPr>
          </w:p>
        </w:tc>
        <w:tc>
          <w:tcPr>
            <w:tcW w:w="1034" w:type="dxa"/>
            <w:noWrap/>
            <w:vAlign w:val="center"/>
          </w:tcPr>
          <w:p w14:paraId="40B7957F">
            <w:pPr>
              <w:adjustRightInd w:val="0"/>
              <w:snapToGrid w:val="0"/>
              <w:spacing w:line="360" w:lineRule="auto"/>
              <w:jc w:val="center"/>
              <w:rPr>
                <w:rFonts w:ascii="宋体" w:hAnsi="宋体"/>
                <w:szCs w:val="21"/>
              </w:rPr>
            </w:pPr>
          </w:p>
        </w:tc>
        <w:tc>
          <w:tcPr>
            <w:tcW w:w="861" w:type="dxa"/>
            <w:noWrap/>
            <w:vAlign w:val="center"/>
          </w:tcPr>
          <w:p w14:paraId="42291DC2">
            <w:pPr>
              <w:adjustRightInd w:val="0"/>
              <w:snapToGrid w:val="0"/>
              <w:spacing w:line="360" w:lineRule="auto"/>
              <w:jc w:val="center"/>
              <w:rPr>
                <w:rFonts w:ascii="宋体" w:hAnsi="宋体"/>
                <w:szCs w:val="21"/>
              </w:rPr>
            </w:pPr>
          </w:p>
        </w:tc>
        <w:tc>
          <w:tcPr>
            <w:tcW w:w="1530" w:type="dxa"/>
            <w:gridSpan w:val="2"/>
            <w:noWrap/>
            <w:vAlign w:val="center"/>
          </w:tcPr>
          <w:p w14:paraId="742A57FD">
            <w:pPr>
              <w:adjustRightInd w:val="0"/>
              <w:snapToGrid w:val="0"/>
              <w:spacing w:line="360" w:lineRule="auto"/>
              <w:jc w:val="center"/>
              <w:rPr>
                <w:rFonts w:ascii="宋体" w:hAnsi="宋体"/>
                <w:szCs w:val="21"/>
              </w:rPr>
            </w:pPr>
          </w:p>
        </w:tc>
        <w:tc>
          <w:tcPr>
            <w:tcW w:w="2100" w:type="dxa"/>
            <w:noWrap/>
          </w:tcPr>
          <w:p w14:paraId="76A6E5B2">
            <w:pPr>
              <w:adjustRightInd w:val="0"/>
              <w:snapToGrid w:val="0"/>
              <w:spacing w:line="360" w:lineRule="auto"/>
              <w:jc w:val="center"/>
              <w:rPr>
                <w:rFonts w:ascii="宋体" w:hAnsi="宋体"/>
                <w:szCs w:val="21"/>
              </w:rPr>
            </w:pPr>
          </w:p>
        </w:tc>
        <w:tc>
          <w:tcPr>
            <w:tcW w:w="1170" w:type="dxa"/>
            <w:noWrap/>
            <w:vAlign w:val="center"/>
          </w:tcPr>
          <w:p w14:paraId="2925EB02">
            <w:pPr>
              <w:adjustRightInd w:val="0"/>
              <w:snapToGrid w:val="0"/>
              <w:spacing w:line="360" w:lineRule="auto"/>
              <w:jc w:val="center"/>
              <w:rPr>
                <w:rFonts w:ascii="宋体" w:hAnsi="宋体"/>
                <w:szCs w:val="21"/>
              </w:rPr>
            </w:pPr>
          </w:p>
        </w:tc>
      </w:tr>
      <w:tr w14:paraId="67AC65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9585" w:type="dxa"/>
            <w:gridSpan w:val="9"/>
            <w:noWrap/>
            <w:vAlign w:val="center"/>
          </w:tcPr>
          <w:p w14:paraId="1E43E38E">
            <w:pPr>
              <w:adjustRightInd w:val="0"/>
              <w:snapToGrid w:val="0"/>
              <w:spacing w:line="360" w:lineRule="auto"/>
              <w:jc w:val="left"/>
              <w:rPr>
                <w:rFonts w:ascii="宋体" w:hAnsi="宋体"/>
                <w:szCs w:val="21"/>
              </w:rPr>
            </w:pPr>
            <w:r>
              <w:rPr>
                <w:rFonts w:hint="eastAsia" w:ascii="宋体" w:hAnsi="宋体"/>
                <w:b/>
                <w:szCs w:val="21"/>
              </w:rPr>
              <w:t>监狱</w:t>
            </w:r>
          </w:p>
        </w:tc>
      </w:tr>
      <w:tr w14:paraId="0ABD87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651" w:type="dxa"/>
            <w:noWrap/>
            <w:vAlign w:val="center"/>
          </w:tcPr>
          <w:p w14:paraId="4EE3A0CB">
            <w:pPr>
              <w:adjustRightInd w:val="0"/>
              <w:snapToGrid w:val="0"/>
              <w:spacing w:line="360" w:lineRule="auto"/>
              <w:jc w:val="center"/>
              <w:rPr>
                <w:rFonts w:ascii="宋体" w:hAnsi="宋体"/>
                <w:szCs w:val="21"/>
              </w:rPr>
            </w:pPr>
          </w:p>
        </w:tc>
        <w:tc>
          <w:tcPr>
            <w:tcW w:w="1378" w:type="dxa"/>
            <w:noWrap/>
            <w:vAlign w:val="center"/>
          </w:tcPr>
          <w:p w14:paraId="05ABD0E7">
            <w:pPr>
              <w:adjustRightInd w:val="0"/>
              <w:snapToGrid w:val="0"/>
              <w:spacing w:line="360" w:lineRule="auto"/>
              <w:jc w:val="center"/>
              <w:rPr>
                <w:rFonts w:ascii="宋体" w:hAnsi="宋体"/>
                <w:szCs w:val="21"/>
              </w:rPr>
            </w:pPr>
          </w:p>
        </w:tc>
        <w:tc>
          <w:tcPr>
            <w:tcW w:w="861" w:type="dxa"/>
            <w:noWrap/>
            <w:vAlign w:val="center"/>
          </w:tcPr>
          <w:p w14:paraId="7E369588">
            <w:pPr>
              <w:adjustRightInd w:val="0"/>
              <w:snapToGrid w:val="0"/>
              <w:spacing w:line="360" w:lineRule="auto"/>
              <w:jc w:val="center"/>
              <w:rPr>
                <w:rFonts w:ascii="宋体" w:hAnsi="宋体"/>
                <w:szCs w:val="21"/>
              </w:rPr>
            </w:pPr>
          </w:p>
        </w:tc>
        <w:tc>
          <w:tcPr>
            <w:tcW w:w="1034" w:type="dxa"/>
            <w:noWrap/>
            <w:vAlign w:val="center"/>
          </w:tcPr>
          <w:p w14:paraId="520D423D">
            <w:pPr>
              <w:adjustRightInd w:val="0"/>
              <w:snapToGrid w:val="0"/>
              <w:spacing w:line="360" w:lineRule="auto"/>
              <w:jc w:val="center"/>
              <w:rPr>
                <w:rFonts w:ascii="宋体" w:hAnsi="宋体"/>
                <w:szCs w:val="21"/>
              </w:rPr>
            </w:pPr>
          </w:p>
        </w:tc>
        <w:tc>
          <w:tcPr>
            <w:tcW w:w="861" w:type="dxa"/>
            <w:noWrap/>
            <w:vAlign w:val="center"/>
          </w:tcPr>
          <w:p w14:paraId="415183F1">
            <w:pPr>
              <w:adjustRightInd w:val="0"/>
              <w:snapToGrid w:val="0"/>
              <w:spacing w:line="360" w:lineRule="auto"/>
              <w:jc w:val="center"/>
              <w:rPr>
                <w:rFonts w:ascii="宋体" w:hAnsi="宋体"/>
                <w:szCs w:val="21"/>
              </w:rPr>
            </w:pPr>
          </w:p>
        </w:tc>
        <w:tc>
          <w:tcPr>
            <w:tcW w:w="1530" w:type="dxa"/>
            <w:gridSpan w:val="2"/>
            <w:noWrap/>
            <w:vAlign w:val="center"/>
          </w:tcPr>
          <w:p w14:paraId="29702447">
            <w:pPr>
              <w:adjustRightInd w:val="0"/>
              <w:snapToGrid w:val="0"/>
              <w:spacing w:line="360" w:lineRule="auto"/>
              <w:jc w:val="center"/>
              <w:rPr>
                <w:rFonts w:ascii="宋体" w:hAnsi="宋体"/>
                <w:szCs w:val="21"/>
              </w:rPr>
            </w:pPr>
          </w:p>
        </w:tc>
        <w:tc>
          <w:tcPr>
            <w:tcW w:w="2100" w:type="dxa"/>
            <w:noWrap/>
          </w:tcPr>
          <w:p w14:paraId="1F544DCE">
            <w:pPr>
              <w:adjustRightInd w:val="0"/>
              <w:snapToGrid w:val="0"/>
              <w:spacing w:line="360" w:lineRule="auto"/>
              <w:jc w:val="center"/>
              <w:rPr>
                <w:rFonts w:ascii="宋体" w:hAnsi="宋体"/>
                <w:szCs w:val="21"/>
              </w:rPr>
            </w:pPr>
          </w:p>
        </w:tc>
        <w:tc>
          <w:tcPr>
            <w:tcW w:w="1170" w:type="dxa"/>
            <w:noWrap/>
            <w:vAlign w:val="center"/>
          </w:tcPr>
          <w:p w14:paraId="26A28D6A">
            <w:pPr>
              <w:adjustRightInd w:val="0"/>
              <w:snapToGrid w:val="0"/>
              <w:spacing w:line="360" w:lineRule="auto"/>
              <w:jc w:val="center"/>
              <w:rPr>
                <w:rFonts w:ascii="宋体" w:hAnsi="宋体"/>
                <w:szCs w:val="21"/>
              </w:rPr>
            </w:pPr>
          </w:p>
        </w:tc>
      </w:tr>
      <w:tr w14:paraId="4FFDDD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651" w:type="dxa"/>
            <w:noWrap/>
            <w:vAlign w:val="center"/>
          </w:tcPr>
          <w:p w14:paraId="3E790CE8">
            <w:pPr>
              <w:adjustRightInd w:val="0"/>
              <w:snapToGrid w:val="0"/>
              <w:spacing w:line="360" w:lineRule="auto"/>
              <w:jc w:val="center"/>
              <w:rPr>
                <w:rFonts w:ascii="宋体" w:hAnsi="宋体"/>
                <w:szCs w:val="21"/>
              </w:rPr>
            </w:pPr>
          </w:p>
        </w:tc>
        <w:tc>
          <w:tcPr>
            <w:tcW w:w="1378" w:type="dxa"/>
            <w:noWrap/>
            <w:vAlign w:val="center"/>
          </w:tcPr>
          <w:p w14:paraId="5531A269">
            <w:pPr>
              <w:adjustRightInd w:val="0"/>
              <w:snapToGrid w:val="0"/>
              <w:spacing w:line="360" w:lineRule="auto"/>
              <w:jc w:val="center"/>
              <w:rPr>
                <w:rFonts w:ascii="宋体" w:hAnsi="宋体"/>
                <w:szCs w:val="21"/>
              </w:rPr>
            </w:pPr>
          </w:p>
        </w:tc>
        <w:tc>
          <w:tcPr>
            <w:tcW w:w="861" w:type="dxa"/>
            <w:noWrap/>
            <w:vAlign w:val="center"/>
          </w:tcPr>
          <w:p w14:paraId="34EEA3D7">
            <w:pPr>
              <w:adjustRightInd w:val="0"/>
              <w:snapToGrid w:val="0"/>
              <w:spacing w:line="360" w:lineRule="auto"/>
              <w:jc w:val="center"/>
              <w:rPr>
                <w:rFonts w:ascii="宋体" w:hAnsi="宋体"/>
                <w:szCs w:val="21"/>
              </w:rPr>
            </w:pPr>
          </w:p>
        </w:tc>
        <w:tc>
          <w:tcPr>
            <w:tcW w:w="1034" w:type="dxa"/>
            <w:noWrap/>
            <w:vAlign w:val="center"/>
          </w:tcPr>
          <w:p w14:paraId="589630C0">
            <w:pPr>
              <w:adjustRightInd w:val="0"/>
              <w:snapToGrid w:val="0"/>
              <w:spacing w:line="360" w:lineRule="auto"/>
              <w:jc w:val="center"/>
              <w:rPr>
                <w:rFonts w:ascii="宋体" w:hAnsi="宋体"/>
                <w:szCs w:val="21"/>
              </w:rPr>
            </w:pPr>
          </w:p>
        </w:tc>
        <w:tc>
          <w:tcPr>
            <w:tcW w:w="861" w:type="dxa"/>
            <w:noWrap/>
            <w:vAlign w:val="center"/>
          </w:tcPr>
          <w:p w14:paraId="21335BCC">
            <w:pPr>
              <w:adjustRightInd w:val="0"/>
              <w:snapToGrid w:val="0"/>
              <w:spacing w:line="360" w:lineRule="auto"/>
              <w:jc w:val="center"/>
              <w:rPr>
                <w:rFonts w:ascii="宋体" w:hAnsi="宋体"/>
                <w:szCs w:val="21"/>
              </w:rPr>
            </w:pPr>
          </w:p>
        </w:tc>
        <w:tc>
          <w:tcPr>
            <w:tcW w:w="1530" w:type="dxa"/>
            <w:gridSpan w:val="2"/>
            <w:noWrap/>
            <w:vAlign w:val="center"/>
          </w:tcPr>
          <w:p w14:paraId="70525509">
            <w:pPr>
              <w:adjustRightInd w:val="0"/>
              <w:snapToGrid w:val="0"/>
              <w:spacing w:line="360" w:lineRule="auto"/>
              <w:jc w:val="center"/>
              <w:rPr>
                <w:rFonts w:ascii="宋体" w:hAnsi="宋体"/>
                <w:szCs w:val="21"/>
              </w:rPr>
            </w:pPr>
          </w:p>
        </w:tc>
        <w:tc>
          <w:tcPr>
            <w:tcW w:w="2100" w:type="dxa"/>
            <w:noWrap/>
          </w:tcPr>
          <w:p w14:paraId="37F1DDE1">
            <w:pPr>
              <w:adjustRightInd w:val="0"/>
              <w:snapToGrid w:val="0"/>
              <w:spacing w:line="360" w:lineRule="auto"/>
              <w:jc w:val="center"/>
              <w:rPr>
                <w:rFonts w:ascii="宋体" w:hAnsi="宋体"/>
                <w:szCs w:val="21"/>
              </w:rPr>
            </w:pPr>
          </w:p>
        </w:tc>
        <w:tc>
          <w:tcPr>
            <w:tcW w:w="1170" w:type="dxa"/>
            <w:noWrap/>
            <w:vAlign w:val="center"/>
          </w:tcPr>
          <w:p w14:paraId="5BD85302">
            <w:pPr>
              <w:adjustRightInd w:val="0"/>
              <w:snapToGrid w:val="0"/>
              <w:spacing w:line="360" w:lineRule="auto"/>
              <w:jc w:val="center"/>
              <w:rPr>
                <w:rFonts w:ascii="宋体" w:hAnsi="宋体"/>
                <w:szCs w:val="21"/>
              </w:rPr>
            </w:pPr>
          </w:p>
        </w:tc>
      </w:tr>
      <w:tr w14:paraId="72FB80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651" w:type="dxa"/>
            <w:noWrap/>
            <w:vAlign w:val="center"/>
          </w:tcPr>
          <w:p w14:paraId="7A374D94">
            <w:pPr>
              <w:adjustRightInd w:val="0"/>
              <w:snapToGrid w:val="0"/>
              <w:spacing w:line="360" w:lineRule="auto"/>
              <w:jc w:val="center"/>
              <w:rPr>
                <w:rFonts w:ascii="宋体" w:hAnsi="宋体"/>
                <w:szCs w:val="21"/>
              </w:rPr>
            </w:pPr>
            <w:r>
              <w:rPr>
                <w:rFonts w:hint="eastAsia" w:ascii="宋体" w:hAnsi="宋体"/>
                <w:szCs w:val="21"/>
              </w:rPr>
              <w:t>小计</w:t>
            </w:r>
          </w:p>
        </w:tc>
        <w:tc>
          <w:tcPr>
            <w:tcW w:w="1378" w:type="dxa"/>
            <w:noWrap/>
            <w:vAlign w:val="center"/>
          </w:tcPr>
          <w:p w14:paraId="1AF5250B">
            <w:pPr>
              <w:adjustRightInd w:val="0"/>
              <w:snapToGrid w:val="0"/>
              <w:spacing w:line="360" w:lineRule="auto"/>
              <w:jc w:val="center"/>
              <w:rPr>
                <w:rFonts w:ascii="宋体" w:hAnsi="宋体"/>
                <w:szCs w:val="21"/>
              </w:rPr>
            </w:pPr>
          </w:p>
        </w:tc>
        <w:tc>
          <w:tcPr>
            <w:tcW w:w="861" w:type="dxa"/>
            <w:noWrap/>
            <w:vAlign w:val="center"/>
          </w:tcPr>
          <w:p w14:paraId="7B53ADF7">
            <w:pPr>
              <w:adjustRightInd w:val="0"/>
              <w:snapToGrid w:val="0"/>
              <w:spacing w:line="360" w:lineRule="auto"/>
              <w:jc w:val="center"/>
              <w:rPr>
                <w:rFonts w:ascii="宋体" w:hAnsi="宋体"/>
                <w:szCs w:val="21"/>
              </w:rPr>
            </w:pPr>
          </w:p>
        </w:tc>
        <w:tc>
          <w:tcPr>
            <w:tcW w:w="1034" w:type="dxa"/>
            <w:noWrap/>
            <w:vAlign w:val="center"/>
          </w:tcPr>
          <w:p w14:paraId="6559F253">
            <w:pPr>
              <w:adjustRightInd w:val="0"/>
              <w:snapToGrid w:val="0"/>
              <w:spacing w:line="360" w:lineRule="auto"/>
              <w:jc w:val="center"/>
              <w:rPr>
                <w:rFonts w:ascii="宋体" w:hAnsi="宋体"/>
                <w:szCs w:val="21"/>
              </w:rPr>
            </w:pPr>
          </w:p>
        </w:tc>
        <w:tc>
          <w:tcPr>
            <w:tcW w:w="861" w:type="dxa"/>
            <w:noWrap/>
            <w:vAlign w:val="center"/>
          </w:tcPr>
          <w:p w14:paraId="19EE199E">
            <w:pPr>
              <w:adjustRightInd w:val="0"/>
              <w:snapToGrid w:val="0"/>
              <w:spacing w:line="360" w:lineRule="auto"/>
              <w:jc w:val="center"/>
              <w:rPr>
                <w:rFonts w:ascii="宋体" w:hAnsi="宋体"/>
                <w:szCs w:val="21"/>
              </w:rPr>
            </w:pPr>
          </w:p>
        </w:tc>
        <w:tc>
          <w:tcPr>
            <w:tcW w:w="1530" w:type="dxa"/>
            <w:gridSpan w:val="2"/>
            <w:noWrap/>
            <w:vAlign w:val="center"/>
          </w:tcPr>
          <w:p w14:paraId="038097D2">
            <w:pPr>
              <w:adjustRightInd w:val="0"/>
              <w:snapToGrid w:val="0"/>
              <w:spacing w:line="360" w:lineRule="auto"/>
              <w:jc w:val="center"/>
              <w:rPr>
                <w:rFonts w:ascii="宋体" w:hAnsi="宋体"/>
                <w:szCs w:val="21"/>
              </w:rPr>
            </w:pPr>
          </w:p>
        </w:tc>
        <w:tc>
          <w:tcPr>
            <w:tcW w:w="2100" w:type="dxa"/>
            <w:noWrap/>
          </w:tcPr>
          <w:p w14:paraId="38F226CA">
            <w:pPr>
              <w:adjustRightInd w:val="0"/>
              <w:snapToGrid w:val="0"/>
              <w:spacing w:line="360" w:lineRule="auto"/>
              <w:jc w:val="center"/>
              <w:rPr>
                <w:rFonts w:ascii="宋体" w:hAnsi="宋体"/>
                <w:szCs w:val="21"/>
              </w:rPr>
            </w:pPr>
          </w:p>
        </w:tc>
        <w:tc>
          <w:tcPr>
            <w:tcW w:w="1170" w:type="dxa"/>
            <w:noWrap/>
            <w:vAlign w:val="center"/>
          </w:tcPr>
          <w:p w14:paraId="295B356A">
            <w:pPr>
              <w:adjustRightInd w:val="0"/>
              <w:snapToGrid w:val="0"/>
              <w:spacing w:line="360" w:lineRule="auto"/>
              <w:jc w:val="center"/>
              <w:rPr>
                <w:rFonts w:ascii="宋体" w:hAnsi="宋体"/>
                <w:szCs w:val="21"/>
              </w:rPr>
            </w:pPr>
          </w:p>
        </w:tc>
      </w:tr>
    </w:tbl>
    <w:p w14:paraId="0EB247F6">
      <w:pPr>
        <w:adjustRightInd w:val="0"/>
        <w:snapToGrid w:val="0"/>
        <w:spacing w:line="360" w:lineRule="auto"/>
        <w:rPr>
          <w:rFonts w:ascii="宋体" w:hAnsi="宋体"/>
          <w:szCs w:val="21"/>
        </w:rPr>
      </w:pPr>
      <w:r>
        <w:rPr>
          <w:rFonts w:hint="eastAsia" w:ascii="宋体" w:hAnsi="宋体"/>
          <w:szCs w:val="21"/>
        </w:rPr>
        <w:t>说明：1、本表用于计算中小企业应享受的政策功能价格扣除。</w:t>
      </w:r>
    </w:p>
    <w:p w14:paraId="6EEDCE55">
      <w:pPr>
        <w:adjustRightInd w:val="0"/>
        <w:snapToGrid w:val="0"/>
        <w:spacing w:line="360" w:lineRule="auto"/>
        <w:ind w:firstLine="630" w:firstLineChars="300"/>
        <w:rPr>
          <w:rFonts w:ascii="宋体" w:hAnsi="宋体"/>
          <w:szCs w:val="21"/>
        </w:rPr>
      </w:pPr>
      <w:r>
        <w:rPr>
          <w:rFonts w:hint="eastAsia" w:ascii="宋体" w:hAnsi="宋体"/>
          <w:szCs w:val="21"/>
        </w:rPr>
        <w:t>2、栏目4“单价”为综合单价，包含货物所有隐含的内容，如运输费、保险费、管理费和利润等。</w:t>
      </w:r>
    </w:p>
    <w:p w14:paraId="261A2267">
      <w:pPr>
        <w:adjustRightInd w:val="0"/>
        <w:snapToGrid w:val="0"/>
        <w:spacing w:line="360" w:lineRule="auto"/>
        <w:ind w:firstLine="630" w:firstLineChars="300"/>
        <w:rPr>
          <w:rFonts w:ascii="宋体" w:hAnsi="宋体"/>
          <w:szCs w:val="21"/>
        </w:rPr>
      </w:pPr>
      <w:r>
        <w:rPr>
          <w:rFonts w:hint="eastAsia" w:ascii="宋体" w:hAnsi="宋体"/>
          <w:szCs w:val="21"/>
        </w:rPr>
        <w:t>3、未提供《中小企业声明函》及未按上述要求填写的，评审时本表所有优惠不予以考虑。</w:t>
      </w:r>
    </w:p>
    <w:p w14:paraId="634D9D85">
      <w:pPr>
        <w:pStyle w:val="38"/>
        <w:ind w:firstLine="200"/>
      </w:pPr>
    </w:p>
    <w:p w14:paraId="5150CB56">
      <w:pPr>
        <w:adjustRightInd w:val="0"/>
        <w:snapToGrid w:val="0"/>
        <w:spacing w:line="360" w:lineRule="auto"/>
        <w:rPr>
          <w:rFonts w:ascii="宋体" w:hAnsi="宋体"/>
          <w:szCs w:val="21"/>
        </w:rPr>
      </w:pPr>
      <w:r>
        <w:rPr>
          <w:rFonts w:hint="eastAsia" w:ascii="宋体" w:hAnsi="宋体"/>
          <w:szCs w:val="21"/>
        </w:rPr>
        <w:t>投标人名称（盖单位章）：</w:t>
      </w:r>
    </w:p>
    <w:p w14:paraId="02919AF7">
      <w:pPr>
        <w:adjustRightInd w:val="0"/>
        <w:snapToGrid w:val="0"/>
        <w:spacing w:line="360" w:lineRule="auto"/>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76D76A74">
      <w:pPr>
        <w:adjustRightInd w:val="0"/>
        <w:snapToGrid w:val="0"/>
        <w:spacing w:before="50" w:line="360" w:lineRule="auto"/>
        <w:rPr>
          <w:rFonts w:ascii="黑体" w:hAnsi="华文中宋" w:eastAsia="黑体" w:cs="宋体"/>
          <w:bCs/>
          <w:color w:val="000000"/>
          <w:spacing w:val="6"/>
          <w:kern w:val="0"/>
          <w:szCs w:val="21"/>
        </w:rPr>
      </w:pPr>
      <w:r>
        <w:rPr>
          <w:rFonts w:ascii="黑体" w:hAnsi="华文中宋" w:eastAsia="黑体" w:cs="宋体"/>
          <w:b/>
          <w:bCs/>
          <w:spacing w:val="6"/>
          <w:kern w:val="0"/>
          <w:sz w:val="24"/>
        </w:rPr>
        <w:br w:type="page"/>
      </w:r>
      <w:r>
        <w:rPr>
          <w:rFonts w:hint="eastAsia" w:ascii="黑体" w:hAnsi="华文中宋" w:eastAsia="黑体" w:cs="宋体"/>
          <w:bCs/>
          <w:color w:val="000000"/>
          <w:spacing w:val="6"/>
          <w:kern w:val="0"/>
          <w:szCs w:val="21"/>
        </w:rPr>
        <w:t xml:space="preserve">附页10-5  </w:t>
      </w:r>
    </w:p>
    <w:p w14:paraId="1E08E80E">
      <w:pPr>
        <w:adjustRightInd w:val="0"/>
        <w:snapToGrid w:val="0"/>
        <w:spacing w:before="50" w:line="360" w:lineRule="auto"/>
        <w:jc w:val="center"/>
        <w:rPr>
          <w:rFonts w:ascii="黑体" w:hAnsi="宋体" w:eastAsia="黑体"/>
          <w:color w:val="000000"/>
          <w:sz w:val="28"/>
          <w:szCs w:val="28"/>
        </w:rPr>
      </w:pPr>
      <w:r>
        <w:rPr>
          <w:rFonts w:hint="eastAsia" w:ascii="黑体" w:hAnsi="宋体" w:eastAsia="黑体"/>
          <w:color w:val="000000"/>
          <w:sz w:val="28"/>
          <w:szCs w:val="28"/>
        </w:rPr>
        <w:t>节能</w:t>
      </w:r>
      <w:r>
        <w:rPr>
          <w:rFonts w:hint="eastAsia" w:ascii="黑体" w:hAnsi="宋体" w:eastAsia="黑体"/>
          <w:bCs/>
          <w:color w:val="000000"/>
          <w:sz w:val="28"/>
          <w:szCs w:val="28"/>
        </w:rPr>
        <w:t>产品</w:t>
      </w:r>
      <w:r>
        <w:rPr>
          <w:rFonts w:hint="eastAsia" w:ascii="黑体" w:hAnsi="宋体" w:eastAsia="黑体"/>
          <w:color w:val="000000"/>
          <w:sz w:val="28"/>
          <w:szCs w:val="28"/>
        </w:rPr>
        <w:t>、环境标志</w:t>
      </w:r>
      <w:r>
        <w:rPr>
          <w:rFonts w:hint="eastAsia" w:ascii="黑体" w:hAnsi="宋体" w:eastAsia="黑体"/>
          <w:bCs/>
          <w:color w:val="000000"/>
          <w:sz w:val="28"/>
          <w:szCs w:val="28"/>
        </w:rPr>
        <w:t>产品的</w:t>
      </w:r>
      <w:r>
        <w:rPr>
          <w:rFonts w:hint="eastAsia" w:ascii="黑体" w:hAnsi="宋体" w:eastAsia="黑体"/>
          <w:color w:val="000000"/>
          <w:sz w:val="28"/>
          <w:szCs w:val="28"/>
        </w:rPr>
        <w:t>证明材料</w:t>
      </w:r>
    </w:p>
    <w:p w14:paraId="468BD9EB">
      <w:pPr>
        <w:spacing w:line="480" w:lineRule="exact"/>
        <w:rPr>
          <w:rFonts w:ascii="黑体" w:eastAsia="黑体"/>
          <w:color w:val="000000"/>
          <w:sz w:val="24"/>
        </w:rPr>
      </w:pPr>
    </w:p>
    <w:p w14:paraId="3ECF2314">
      <w:pPr>
        <w:adjustRightInd w:val="0"/>
        <w:snapToGrid w:val="0"/>
        <w:spacing w:line="360" w:lineRule="auto"/>
        <w:ind w:firstLine="420" w:firstLineChars="200"/>
        <w:jc w:val="left"/>
        <w:rPr>
          <w:rFonts w:ascii="宋体" w:hAnsi="宋体"/>
          <w:color w:val="000000"/>
          <w:szCs w:val="21"/>
        </w:rPr>
      </w:pPr>
      <w:r>
        <w:rPr>
          <w:rFonts w:hint="eastAsia" w:ascii="宋体" w:hAnsi="宋体"/>
          <w:color w:val="000000"/>
          <w:szCs w:val="21"/>
        </w:rPr>
        <w:t>说明：</w:t>
      </w:r>
      <w:r>
        <w:rPr>
          <w:rFonts w:hint="eastAsia" w:ascii="宋体" w:hAnsi="宋体"/>
          <w:bCs/>
          <w:color w:val="000000"/>
          <w:szCs w:val="21"/>
        </w:rPr>
        <w:t>1、</w:t>
      </w:r>
      <w:r>
        <w:rPr>
          <w:rFonts w:hint="eastAsia" w:ascii="宋体" w:hAnsi="宋体"/>
          <w:color w:val="000000"/>
          <w:szCs w:val="21"/>
        </w:rPr>
        <w:t>投标人提供的产品</w:t>
      </w:r>
      <w:r>
        <w:rPr>
          <w:rFonts w:hint="eastAsia" w:ascii="宋体" w:hAnsi="宋体"/>
          <w:bCs/>
          <w:color w:val="000000"/>
          <w:szCs w:val="21"/>
        </w:rPr>
        <w:t>属于强制采购或者优先采购的</w:t>
      </w:r>
      <w:r>
        <w:rPr>
          <w:rFonts w:hint="eastAsia" w:ascii="宋体" w:hAnsi="宋体"/>
          <w:color w:val="000000"/>
          <w:szCs w:val="21"/>
        </w:rPr>
        <w:t>，应按第二章第3</w:t>
      </w:r>
      <w:r>
        <w:rPr>
          <w:rFonts w:ascii="宋体" w:hAnsi="宋体"/>
          <w:color w:val="000000"/>
          <w:szCs w:val="21"/>
        </w:rPr>
        <w:t>6</w:t>
      </w:r>
      <w:r>
        <w:rPr>
          <w:rFonts w:hint="eastAsia" w:ascii="宋体" w:hAnsi="宋体"/>
          <w:color w:val="000000"/>
          <w:szCs w:val="21"/>
        </w:rPr>
        <w:t>.2款或者第3</w:t>
      </w:r>
      <w:r>
        <w:rPr>
          <w:rFonts w:ascii="宋体" w:hAnsi="宋体"/>
          <w:color w:val="000000"/>
          <w:szCs w:val="21"/>
        </w:rPr>
        <w:t>6</w:t>
      </w:r>
      <w:r>
        <w:rPr>
          <w:rFonts w:hint="eastAsia" w:ascii="宋体" w:hAnsi="宋体"/>
          <w:color w:val="000000"/>
          <w:szCs w:val="21"/>
        </w:rPr>
        <w:t>.3款规定提供产品列入《节能产品政府采购品目清单》、《环境标志产品政府采购品目清单》所在页或证书复印件（该页包含制造商或企业名称或申请单位名称、规格型号、有效截止日期等内容），并加盖投标人单位章。在本章《附6-6 提供节能产品、环境标志产品清单》中提供相应数据。</w:t>
      </w:r>
    </w:p>
    <w:p w14:paraId="04AB4A47">
      <w:pPr>
        <w:adjustRightInd w:val="0"/>
        <w:snapToGrid w:val="0"/>
        <w:spacing w:line="360" w:lineRule="auto"/>
        <w:ind w:firstLine="420" w:firstLineChars="200"/>
        <w:rPr>
          <w:rFonts w:ascii="宋体" w:hAnsi="宋体"/>
          <w:bCs/>
          <w:color w:val="000000"/>
          <w:szCs w:val="21"/>
        </w:rPr>
      </w:pPr>
      <w:r>
        <w:rPr>
          <w:rFonts w:hint="eastAsia" w:ascii="宋体" w:hAnsi="宋体"/>
          <w:bCs/>
          <w:color w:val="000000"/>
          <w:szCs w:val="21"/>
        </w:rPr>
        <w:t>2、未按上述要求提供的，评审时不予以考虑。</w:t>
      </w:r>
    </w:p>
    <w:p w14:paraId="34F58B47">
      <w:pPr>
        <w:adjustRightInd w:val="0"/>
        <w:snapToGrid w:val="0"/>
        <w:spacing w:before="50" w:line="360" w:lineRule="auto"/>
        <w:rPr>
          <w:rFonts w:ascii="黑体" w:hAnsi="宋体" w:eastAsia="黑体"/>
          <w:szCs w:val="21"/>
        </w:rPr>
      </w:pPr>
      <w:r>
        <w:rPr>
          <w:rFonts w:hint="eastAsia" w:ascii="黑体" w:hAnsi="宋体" w:eastAsia="黑体"/>
          <w:sz w:val="28"/>
          <w:szCs w:val="28"/>
        </w:rPr>
        <w:br w:type="page"/>
      </w:r>
      <w:r>
        <w:rPr>
          <w:rFonts w:hint="eastAsia" w:ascii="黑体" w:hAnsi="宋体" w:eastAsia="黑体"/>
          <w:szCs w:val="21"/>
        </w:rPr>
        <w:t>附页10-6</w:t>
      </w:r>
    </w:p>
    <w:p w14:paraId="6CDAFFD8">
      <w:pPr>
        <w:adjustRightInd w:val="0"/>
        <w:snapToGrid w:val="0"/>
        <w:spacing w:before="50" w:line="360" w:lineRule="auto"/>
        <w:jc w:val="center"/>
        <w:rPr>
          <w:rFonts w:ascii="宋体" w:hAnsi="宋体"/>
          <w:szCs w:val="21"/>
        </w:rPr>
      </w:pPr>
      <w:r>
        <w:rPr>
          <w:rFonts w:hint="eastAsia" w:ascii="黑体" w:hAnsi="宋体" w:eastAsia="黑体"/>
          <w:sz w:val="28"/>
          <w:szCs w:val="28"/>
        </w:rPr>
        <w:t>提供节能</w:t>
      </w:r>
      <w:r>
        <w:rPr>
          <w:rFonts w:hint="eastAsia" w:ascii="黑体" w:hAnsi="宋体" w:eastAsia="黑体"/>
          <w:bCs/>
          <w:sz w:val="28"/>
          <w:szCs w:val="28"/>
        </w:rPr>
        <w:t>产品</w:t>
      </w:r>
      <w:r>
        <w:rPr>
          <w:rFonts w:hint="eastAsia" w:ascii="黑体" w:hAnsi="宋体" w:eastAsia="黑体"/>
          <w:sz w:val="28"/>
          <w:szCs w:val="28"/>
        </w:rPr>
        <w:t>、环境标志</w:t>
      </w:r>
      <w:r>
        <w:rPr>
          <w:rFonts w:hint="eastAsia" w:ascii="黑体" w:hAnsi="宋体" w:eastAsia="黑体"/>
          <w:bCs/>
          <w:sz w:val="28"/>
          <w:szCs w:val="28"/>
        </w:rPr>
        <w:t>产品</w:t>
      </w:r>
      <w:r>
        <w:rPr>
          <w:rFonts w:hint="eastAsia" w:ascii="黑体" w:hAnsi="宋体" w:eastAsia="黑体"/>
          <w:sz w:val="28"/>
          <w:szCs w:val="28"/>
        </w:rPr>
        <w:t>清单</w:t>
      </w:r>
      <w:r>
        <w:rPr>
          <w:rFonts w:hint="eastAsia" w:hAnsi="宋体"/>
          <w:szCs w:val="21"/>
        </w:rPr>
        <w:t xml:space="preserve">            </w:t>
      </w:r>
    </w:p>
    <w:tbl>
      <w:tblPr>
        <w:tblStyle w:val="40"/>
        <w:tblW w:w="0" w:type="auto"/>
        <w:tblInd w:w="315"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10"/>
        <w:gridCol w:w="1804"/>
        <w:gridCol w:w="862"/>
        <w:gridCol w:w="1033"/>
        <w:gridCol w:w="1207"/>
        <w:gridCol w:w="2411"/>
        <w:gridCol w:w="1218"/>
      </w:tblGrid>
      <w:tr w14:paraId="2A8036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trPr>
        <w:tc>
          <w:tcPr>
            <w:tcW w:w="9345" w:type="dxa"/>
            <w:gridSpan w:val="7"/>
            <w:noWrap/>
            <w:vAlign w:val="center"/>
          </w:tcPr>
          <w:p w14:paraId="442FC698">
            <w:pPr>
              <w:widowControl/>
              <w:adjustRightInd w:val="0"/>
              <w:snapToGrid w:val="0"/>
              <w:spacing w:line="360" w:lineRule="auto"/>
              <w:jc w:val="center"/>
              <w:rPr>
                <w:rFonts w:ascii="黑体" w:hAnsi="宋体" w:eastAsia="黑体"/>
                <w:kern w:val="0"/>
                <w:szCs w:val="21"/>
              </w:rPr>
            </w:pPr>
            <w:r>
              <w:rPr>
                <w:rFonts w:hint="eastAsia" w:ascii="黑体" w:hAnsi="宋体" w:eastAsia="黑体"/>
                <w:kern w:val="0"/>
                <w:szCs w:val="21"/>
              </w:rPr>
              <w:t>本公司对本表的真实性负责。如有虚假，将依法承担相应责任。</w:t>
            </w:r>
          </w:p>
        </w:tc>
      </w:tr>
      <w:tr w14:paraId="1FDAE7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trPr>
        <w:tc>
          <w:tcPr>
            <w:tcW w:w="810" w:type="dxa"/>
            <w:noWrap/>
            <w:vAlign w:val="center"/>
          </w:tcPr>
          <w:p w14:paraId="5535AC91">
            <w:pPr>
              <w:widowControl/>
              <w:adjustRightInd w:val="0"/>
              <w:snapToGrid w:val="0"/>
              <w:spacing w:line="360" w:lineRule="auto"/>
              <w:jc w:val="center"/>
              <w:rPr>
                <w:rFonts w:ascii="宋体" w:hAnsi="宋体"/>
                <w:kern w:val="0"/>
                <w:szCs w:val="21"/>
              </w:rPr>
            </w:pPr>
            <w:r>
              <w:rPr>
                <w:rFonts w:hint="eastAsia" w:ascii="宋体" w:hAnsi="宋体"/>
                <w:kern w:val="0"/>
                <w:szCs w:val="21"/>
              </w:rPr>
              <w:t>1</w:t>
            </w:r>
          </w:p>
        </w:tc>
        <w:tc>
          <w:tcPr>
            <w:tcW w:w="1804" w:type="dxa"/>
            <w:noWrap/>
            <w:vAlign w:val="center"/>
          </w:tcPr>
          <w:p w14:paraId="0062FCB5">
            <w:pPr>
              <w:widowControl/>
              <w:adjustRightInd w:val="0"/>
              <w:snapToGrid w:val="0"/>
              <w:spacing w:line="360" w:lineRule="auto"/>
              <w:jc w:val="center"/>
              <w:rPr>
                <w:rFonts w:ascii="宋体" w:hAnsi="宋体"/>
                <w:kern w:val="0"/>
                <w:szCs w:val="21"/>
              </w:rPr>
            </w:pPr>
            <w:r>
              <w:rPr>
                <w:rFonts w:hint="eastAsia" w:ascii="宋体" w:hAnsi="宋体"/>
                <w:kern w:val="0"/>
                <w:szCs w:val="21"/>
              </w:rPr>
              <w:t>2</w:t>
            </w:r>
          </w:p>
        </w:tc>
        <w:tc>
          <w:tcPr>
            <w:tcW w:w="862" w:type="dxa"/>
            <w:noWrap/>
            <w:vAlign w:val="center"/>
          </w:tcPr>
          <w:p w14:paraId="113BA356">
            <w:pPr>
              <w:widowControl/>
              <w:adjustRightInd w:val="0"/>
              <w:snapToGrid w:val="0"/>
              <w:spacing w:line="360" w:lineRule="auto"/>
              <w:jc w:val="center"/>
              <w:rPr>
                <w:rFonts w:ascii="宋体" w:hAnsi="宋体"/>
                <w:kern w:val="0"/>
                <w:szCs w:val="21"/>
              </w:rPr>
            </w:pPr>
            <w:r>
              <w:rPr>
                <w:rFonts w:hint="eastAsia" w:ascii="宋体" w:hAnsi="宋体"/>
                <w:kern w:val="0"/>
                <w:szCs w:val="21"/>
              </w:rPr>
              <w:t>3</w:t>
            </w:r>
          </w:p>
        </w:tc>
        <w:tc>
          <w:tcPr>
            <w:tcW w:w="1033" w:type="dxa"/>
            <w:noWrap/>
            <w:vAlign w:val="center"/>
          </w:tcPr>
          <w:p w14:paraId="30BF334D">
            <w:pPr>
              <w:widowControl/>
              <w:adjustRightInd w:val="0"/>
              <w:snapToGrid w:val="0"/>
              <w:spacing w:line="360" w:lineRule="auto"/>
              <w:jc w:val="center"/>
              <w:rPr>
                <w:rFonts w:ascii="宋体" w:hAnsi="宋体"/>
                <w:kern w:val="0"/>
                <w:szCs w:val="21"/>
              </w:rPr>
            </w:pPr>
            <w:r>
              <w:rPr>
                <w:rFonts w:hint="eastAsia" w:ascii="宋体" w:hAnsi="宋体"/>
                <w:kern w:val="0"/>
                <w:szCs w:val="21"/>
              </w:rPr>
              <w:t>4</w:t>
            </w:r>
          </w:p>
        </w:tc>
        <w:tc>
          <w:tcPr>
            <w:tcW w:w="1207" w:type="dxa"/>
            <w:noWrap/>
            <w:vAlign w:val="center"/>
          </w:tcPr>
          <w:p w14:paraId="33DC3AB7">
            <w:pPr>
              <w:widowControl/>
              <w:adjustRightInd w:val="0"/>
              <w:snapToGrid w:val="0"/>
              <w:spacing w:line="360" w:lineRule="auto"/>
              <w:jc w:val="center"/>
              <w:rPr>
                <w:rFonts w:ascii="宋体" w:hAnsi="宋体"/>
                <w:kern w:val="0"/>
                <w:szCs w:val="21"/>
              </w:rPr>
            </w:pPr>
            <w:r>
              <w:rPr>
                <w:rFonts w:hint="eastAsia" w:ascii="宋体" w:hAnsi="宋体"/>
                <w:kern w:val="0"/>
                <w:szCs w:val="21"/>
              </w:rPr>
              <w:t>5</w:t>
            </w:r>
          </w:p>
        </w:tc>
        <w:tc>
          <w:tcPr>
            <w:tcW w:w="2411" w:type="dxa"/>
            <w:noWrap/>
            <w:vAlign w:val="center"/>
          </w:tcPr>
          <w:p w14:paraId="19F75B70">
            <w:pPr>
              <w:widowControl/>
              <w:adjustRightInd w:val="0"/>
              <w:snapToGrid w:val="0"/>
              <w:spacing w:line="360" w:lineRule="auto"/>
              <w:jc w:val="center"/>
              <w:rPr>
                <w:rFonts w:ascii="宋体" w:hAnsi="宋体"/>
                <w:kern w:val="0"/>
                <w:szCs w:val="21"/>
              </w:rPr>
            </w:pPr>
            <w:r>
              <w:rPr>
                <w:rFonts w:hint="eastAsia" w:ascii="宋体" w:hAnsi="宋体"/>
                <w:kern w:val="0"/>
                <w:szCs w:val="21"/>
              </w:rPr>
              <w:t>6</w:t>
            </w:r>
          </w:p>
        </w:tc>
        <w:tc>
          <w:tcPr>
            <w:tcW w:w="1218" w:type="dxa"/>
            <w:noWrap/>
            <w:vAlign w:val="center"/>
          </w:tcPr>
          <w:p w14:paraId="73BBC7E5">
            <w:pPr>
              <w:widowControl/>
              <w:adjustRightInd w:val="0"/>
              <w:snapToGrid w:val="0"/>
              <w:spacing w:line="360" w:lineRule="auto"/>
              <w:jc w:val="center"/>
              <w:rPr>
                <w:rFonts w:ascii="宋体" w:hAnsi="宋体"/>
                <w:kern w:val="0"/>
                <w:szCs w:val="21"/>
              </w:rPr>
            </w:pPr>
            <w:r>
              <w:rPr>
                <w:rFonts w:hint="eastAsia" w:ascii="宋体" w:hAnsi="宋体"/>
                <w:kern w:val="0"/>
                <w:szCs w:val="21"/>
              </w:rPr>
              <w:t>7</w:t>
            </w:r>
          </w:p>
        </w:tc>
      </w:tr>
      <w:tr w14:paraId="0B50A6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810" w:type="dxa"/>
            <w:noWrap/>
            <w:vAlign w:val="center"/>
          </w:tcPr>
          <w:p w14:paraId="76E3C400">
            <w:pPr>
              <w:widowControl/>
              <w:adjustRightInd w:val="0"/>
              <w:snapToGrid w:val="0"/>
              <w:spacing w:line="360" w:lineRule="auto"/>
              <w:jc w:val="center"/>
              <w:rPr>
                <w:rFonts w:ascii="宋体" w:hAnsi="宋体"/>
                <w:kern w:val="0"/>
                <w:szCs w:val="21"/>
              </w:rPr>
            </w:pPr>
            <w:r>
              <w:rPr>
                <w:rFonts w:hint="eastAsia" w:ascii="宋体" w:hAnsi="宋体"/>
                <w:kern w:val="0"/>
                <w:szCs w:val="21"/>
              </w:rPr>
              <w:t>序号</w:t>
            </w:r>
          </w:p>
        </w:tc>
        <w:tc>
          <w:tcPr>
            <w:tcW w:w="1804" w:type="dxa"/>
            <w:noWrap/>
            <w:vAlign w:val="center"/>
          </w:tcPr>
          <w:p w14:paraId="76C7DC79">
            <w:pPr>
              <w:widowControl/>
              <w:adjustRightInd w:val="0"/>
              <w:snapToGrid w:val="0"/>
              <w:spacing w:line="360" w:lineRule="auto"/>
              <w:jc w:val="center"/>
              <w:rPr>
                <w:rFonts w:ascii="宋体" w:hAnsi="宋体"/>
                <w:kern w:val="0"/>
                <w:szCs w:val="21"/>
              </w:rPr>
            </w:pPr>
            <w:r>
              <w:rPr>
                <w:rFonts w:hint="eastAsia" w:ascii="宋体" w:hAnsi="宋体"/>
                <w:kern w:val="0"/>
                <w:szCs w:val="21"/>
              </w:rPr>
              <w:t>货物名称</w:t>
            </w:r>
          </w:p>
        </w:tc>
        <w:tc>
          <w:tcPr>
            <w:tcW w:w="862" w:type="dxa"/>
            <w:noWrap/>
            <w:vAlign w:val="center"/>
          </w:tcPr>
          <w:p w14:paraId="2551E50A">
            <w:pPr>
              <w:widowControl/>
              <w:adjustRightInd w:val="0"/>
              <w:snapToGrid w:val="0"/>
              <w:spacing w:line="360" w:lineRule="auto"/>
              <w:jc w:val="center"/>
              <w:rPr>
                <w:rFonts w:ascii="宋体" w:hAnsi="宋体"/>
                <w:kern w:val="0"/>
                <w:szCs w:val="21"/>
              </w:rPr>
            </w:pPr>
            <w:r>
              <w:rPr>
                <w:rFonts w:hint="eastAsia" w:ascii="宋体" w:hAnsi="宋体"/>
                <w:kern w:val="0"/>
                <w:szCs w:val="21"/>
              </w:rPr>
              <w:t>数量</w:t>
            </w:r>
          </w:p>
        </w:tc>
        <w:tc>
          <w:tcPr>
            <w:tcW w:w="1033" w:type="dxa"/>
            <w:noWrap/>
            <w:vAlign w:val="center"/>
          </w:tcPr>
          <w:p w14:paraId="2E8497DD">
            <w:pPr>
              <w:widowControl/>
              <w:adjustRightInd w:val="0"/>
              <w:snapToGrid w:val="0"/>
              <w:spacing w:line="360" w:lineRule="auto"/>
              <w:jc w:val="center"/>
              <w:rPr>
                <w:rFonts w:ascii="宋体" w:hAnsi="宋体"/>
                <w:kern w:val="0"/>
                <w:szCs w:val="21"/>
              </w:rPr>
            </w:pPr>
            <w:r>
              <w:rPr>
                <w:rFonts w:hint="eastAsia" w:ascii="宋体" w:hAnsi="宋体"/>
                <w:kern w:val="0"/>
                <w:szCs w:val="21"/>
              </w:rPr>
              <w:t>单价（元）</w:t>
            </w:r>
          </w:p>
        </w:tc>
        <w:tc>
          <w:tcPr>
            <w:tcW w:w="1207" w:type="dxa"/>
            <w:noWrap/>
            <w:vAlign w:val="center"/>
          </w:tcPr>
          <w:p w14:paraId="13414227">
            <w:pPr>
              <w:widowControl/>
              <w:adjustRightInd w:val="0"/>
              <w:snapToGrid w:val="0"/>
              <w:spacing w:line="360" w:lineRule="auto"/>
              <w:jc w:val="center"/>
              <w:rPr>
                <w:rFonts w:ascii="宋体" w:hAnsi="宋体"/>
                <w:kern w:val="0"/>
                <w:szCs w:val="21"/>
              </w:rPr>
            </w:pPr>
            <w:r>
              <w:rPr>
                <w:rFonts w:hint="eastAsia" w:ascii="宋体" w:hAnsi="宋体"/>
                <w:kern w:val="0"/>
                <w:szCs w:val="21"/>
              </w:rPr>
              <w:t>总额（元）</w:t>
            </w:r>
          </w:p>
        </w:tc>
        <w:tc>
          <w:tcPr>
            <w:tcW w:w="2411" w:type="dxa"/>
            <w:noWrap/>
            <w:vAlign w:val="center"/>
          </w:tcPr>
          <w:p w14:paraId="76A1EE64">
            <w:pPr>
              <w:widowControl/>
              <w:adjustRightInd w:val="0"/>
              <w:snapToGrid w:val="0"/>
              <w:spacing w:line="360" w:lineRule="auto"/>
              <w:jc w:val="center"/>
              <w:rPr>
                <w:rFonts w:ascii="宋体" w:hAnsi="宋体"/>
                <w:kern w:val="0"/>
                <w:szCs w:val="21"/>
              </w:rPr>
            </w:pPr>
            <w:r>
              <w:rPr>
                <w:rFonts w:hint="eastAsia" w:ascii="宋体" w:hAnsi="宋体"/>
                <w:kern w:val="0"/>
                <w:szCs w:val="21"/>
              </w:rPr>
              <w:t>货物制造商名称</w:t>
            </w:r>
          </w:p>
        </w:tc>
        <w:tc>
          <w:tcPr>
            <w:tcW w:w="1218" w:type="dxa"/>
            <w:noWrap/>
            <w:vAlign w:val="center"/>
          </w:tcPr>
          <w:p w14:paraId="5749F7E5">
            <w:pPr>
              <w:widowControl/>
              <w:adjustRightInd w:val="0"/>
              <w:snapToGrid w:val="0"/>
              <w:spacing w:line="360" w:lineRule="auto"/>
              <w:jc w:val="center"/>
              <w:rPr>
                <w:rFonts w:ascii="宋体" w:hAnsi="宋体"/>
                <w:kern w:val="0"/>
                <w:szCs w:val="21"/>
              </w:rPr>
            </w:pPr>
            <w:r>
              <w:rPr>
                <w:rFonts w:hint="eastAsia" w:ascii="宋体" w:hAnsi="宋体"/>
                <w:kern w:val="0"/>
                <w:szCs w:val="21"/>
              </w:rPr>
              <w:t>政策功能编码</w:t>
            </w:r>
          </w:p>
        </w:tc>
      </w:tr>
      <w:tr w14:paraId="4BF74C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9345" w:type="dxa"/>
            <w:gridSpan w:val="7"/>
            <w:noWrap/>
            <w:vAlign w:val="center"/>
          </w:tcPr>
          <w:p w14:paraId="3C01DC73">
            <w:pPr>
              <w:adjustRightInd w:val="0"/>
              <w:snapToGrid w:val="0"/>
              <w:spacing w:line="360" w:lineRule="auto"/>
              <w:jc w:val="left"/>
              <w:rPr>
                <w:rFonts w:ascii="宋体" w:hAnsi="宋体"/>
                <w:b/>
                <w:szCs w:val="21"/>
              </w:rPr>
            </w:pPr>
            <w:r>
              <w:rPr>
                <w:rFonts w:hint="eastAsia" w:ascii="宋体" w:hAnsi="宋体"/>
                <w:b/>
                <w:szCs w:val="21"/>
              </w:rPr>
              <w:t>节能产品</w:t>
            </w:r>
          </w:p>
        </w:tc>
      </w:tr>
      <w:tr w14:paraId="6478C3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10" w:type="dxa"/>
            <w:noWrap/>
            <w:vAlign w:val="center"/>
          </w:tcPr>
          <w:p w14:paraId="2EE16406">
            <w:pPr>
              <w:adjustRightInd w:val="0"/>
              <w:snapToGrid w:val="0"/>
              <w:spacing w:line="360" w:lineRule="auto"/>
              <w:jc w:val="center"/>
              <w:rPr>
                <w:rFonts w:ascii="宋体" w:hAnsi="宋体"/>
                <w:b/>
                <w:szCs w:val="21"/>
              </w:rPr>
            </w:pPr>
          </w:p>
        </w:tc>
        <w:tc>
          <w:tcPr>
            <w:tcW w:w="1804" w:type="dxa"/>
            <w:noWrap/>
            <w:vAlign w:val="center"/>
          </w:tcPr>
          <w:p w14:paraId="03D3CA2E">
            <w:pPr>
              <w:adjustRightInd w:val="0"/>
              <w:snapToGrid w:val="0"/>
              <w:spacing w:line="360" w:lineRule="auto"/>
              <w:jc w:val="center"/>
              <w:rPr>
                <w:rFonts w:ascii="宋体" w:hAnsi="宋体"/>
                <w:b/>
                <w:szCs w:val="21"/>
              </w:rPr>
            </w:pPr>
          </w:p>
        </w:tc>
        <w:tc>
          <w:tcPr>
            <w:tcW w:w="862" w:type="dxa"/>
            <w:noWrap/>
            <w:vAlign w:val="center"/>
          </w:tcPr>
          <w:p w14:paraId="668BDDE9">
            <w:pPr>
              <w:adjustRightInd w:val="0"/>
              <w:snapToGrid w:val="0"/>
              <w:spacing w:line="360" w:lineRule="auto"/>
              <w:jc w:val="center"/>
              <w:rPr>
                <w:rFonts w:ascii="宋体" w:hAnsi="宋体"/>
                <w:b/>
                <w:szCs w:val="21"/>
              </w:rPr>
            </w:pPr>
          </w:p>
        </w:tc>
        <w:tc>
          <w:tcPr>
            <w:tcW w:w="1033" w:type="dxa"/>
            <w:noWrap/>
            <w:vAlign w:val="center"/>
          </w:tcPr>
          <w:p w14:paraId="350060EA">
            <w:pPr>
              <w:adjustRightInd w:val="0"/>
              <w:snapToGrid w:val="0"/>
              <w:spacing w:line="360" w:lineRule="auto"/>
              <w:jc w:val="center"/>
              <w:rPr>
                <w:rFonts w:ascii="宋体" w:hAnsi="宋体"/>
                <w:b/>
                <w:szCs w:val="21"/>
              </w:rPr>
            </w:pPr>
          </w:p>
        </w:tc>
        <w:tc>
          <w:tcPr>
            <w:tcW w:w="1207" w:type="dxa"/>
            <w:noWrap/>
            <w:vAlign w:val="center"/>
          </w:tcPr>
          <w:p w14:paraId="26B81118">
            <w:pPr>
              <w:adjustRightInd w:val="0"/>
              <w:snapToGrid w:val="0"/>
              <w:spacing w:line="360" w:lineRule="auto"/>
              <w:jc w:val="left"/>
              <w:rPr>
                <w:rFonts w:ascii="宋体" w:hAnsi="宋体"/>
                <w:b/>
                <w:szCs w:val="21"/>
              </w:rPr>
            </w:pPr>
          </w:p>
        </w:tc>
        <w:tc>
          <w:tcPr>
            <w:tcW w:w="2411" w:type="dxa"/>
            <w:noWrap/>
            <w:vAlign w:val="center"/>
          </w:tcPr>
          <w:p w14:paraId="150DA602">
            <w:pPr>
              <w:adjustRightInd w:val="0"/>
              <w:snapToGrid w:val="0"/>
              <w:spacing w:line="360" w:lineRule="auto"/>
              <w:jc w:val="center"/>
              <w:rPr>
                <w:rFonts w:ascii="宋体" w:hAnsi="宋体"/>
                <w:b/>
                <w:szCs w:val="21"/>
              </w:rPr>
            </w:pPr>
          </w:p>
        </w:tc>
        <w:tc>
          <w:tcPr>
            <w:tcW w:w="1218" w:type="dxa"/>
            <w:noWrap/>
          </w:tcPr>
          <w:p w14:paraId="052EFEE1">
            <w:pPr>
              <w:adjustRightInd w:val="0"/>
              <w:snapToGrid w:val="0"/>
              <w:spacing w:line="360" w:lineRule="auto"/>
              <w:jc w:val="center"/>
              <w:rPr>
                <w:rFonts w:ascii="宋体" w:hAnsi="宋体"/>
                <w:b/>
                <w:szCs w:val="21"/>
              </w:rPr>
            </w:pPr>
          </w:p>
        </w:tc>
      </w:tr>
      <w:tr w14:paraId="563AB5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10" w:type="dxa"/>
            <w:noWrap/>
            <w:vAlign w:val="center"/>
          </w:tcPr>
          <w:p w14:paraId="44F2ED26">
            <w:pPr>
              <w:adjustRightInd w:val="0"/>
              <w:snapToGrid w:val="0"/>
              <w:spacing w:line="360" w:lineRule="auto"/>
              <w:jc w:val="center"/>
              <w:rPr>
                <w:rFonts w:ascii="宋体" w:hAnsi="宋体"/>
                <w:szCs w:val="21"/>
              </w:rPr>
            </w:pPr>
            <w:r>
              <w:rPr>
                <w:rFonts w:hint="eastAsia" w:ascii="宋体" w:hAnsi="宋体"/>
                <w:szCs w:val="21"/>
              </w:rPr>
              <w:t>小计</w:t>
            </w:r>
          </w:p>
        </w:tc>
        <w:tc>
          <w:tcPr>
            <w:tcW w:w="1804" w:type="dxa"/>
            <w:noWrap/>
            <w:vAlign w:val="center"/>
          </w:tcPr>
          <w:p w14:paraId="65865187">
            <w:pPr>
              <w:adjustRightInd w:val="0"/>
              <w:snapToGrid w:val="0"/>
              <w:spacing w:line="360" w:lineRule="auto"/>
              <w:jc w:val="center"/>
              <w:rPr>
                <w:rFonts w:ascii="宋体" w:hAnsi="宋体"/>
                <w:b/>
                <w:szCs w:val="21"/>
              </w:rPr>
            </w:pPr>
            <w:r>
              <w:rPr>
                <w:rFonts w:hint="eastAsia" w:ascii="宋体" w:hAnsi="宋体"/>
                <w:b/>
                <w:szCs w:val="21"/>
              </w:rPr>
              <w:t>/</w:t>
            </w:r>
          </w:p>
        </w:tc>
        <w:tc>
          <w:tcPr>
            <w:tcW w:w="862" w:type="dxa"/>
            <w:noWrap/>
            <w:vAlign w:val="center"/>
          </w:tcPr>
          <w:p w14:paraId="148A2CF9">
            <w:pPr>
              <w:adjustRightInd w:val="0"/>
              <w:snapToGrid w:val="0"/>
              <w:spacing w:line="360" w:lineRule="auto"/>
              <w:jc w:val="center"/>
              <w:rPr>
                <w:rFonts w:ascii="宋体" w:hAnsi="宋体"/>
                <w:b/>
                <w:szCs w:val="21"/>
              </w:rPr>
            </w:pPr>
            <w:r>
              <w:rPr>
                <w:rFonts w:hint="eastAsia" w:ascii="宋体" w:hAnsi="宋体"/>
                <w:b/>
                <w:szCs w:val="21"/>
              </w:rPr>
              <w:t>/</w:t>
            </w:r>
          </w:p>
        </w:tc>
        <w:tc>
          <w:tcPr>
            <w:tcW w:w="1033" w:type="dxa"/>
            <w:noWrap/>
            <w:vAlign w:val="center"/>
          </w:tcPr>
          <w:p w14:paraId="4437690C">
            <w:pPr>
              <w:adjustRightInd w:val="0"/>
              <w:snapToGrid w:val="0"/>
              <w:spacing w:line="360" w:lineRule="auto"/>
              <w:jc w:val="center"/>
              <w:rPr>
                <w:rFonts w:ascii="宋体" w:hAnsi="宋体"/>
                <w:b/>
                <w:szCs w:val="21"/>
              </w:rPr>
            </w:pPr>
            <w:r>
              <w:rPr>
                <w:rFonts w:hint="eastAsia" w:ascii="宋体" w:hAnsi="宋体"/>
                <w:b/>
                <w:szCs w:val="21"/>
              </w:rPr>
              <w:t>/</w:t>
            </w:r>
          </w:p>
        </w:tc>
        <w:tc>
          <w:tcPr>
            <w:tcW w:w="1207" w:type="dxa"/>
            <w:noWrap/>
            <w:vAlign w:val="center"/>
          </w:tcPr>
          <w:p w14:paraId="5CE62970">
            <w:pPr>
              <w:adjustRightInd w:val="0"/>
              <w:snapToGrid w:val="0"/>
              <w:spacing w:line="360" w:lineRule="auto"/>
              <w:jc w:val="left"/>
              <w:rPr>
                <w:rFonts w:ascii="宋体" w:hAnsi="宋体"/>
                <w:b/>
                <w:szCs w:val="21"/>
              </w:rPr>
            </w:pPr>
          </w:p>
        </w:tc>
        <w:tc>
          <w:tcPr>
            <w:tcW w:w="2411" w:type="dxa"/>
            <w:noWrap/>
            <w:vAlign w:val="center"/>
          </w:tcPr>
          <w:p w14:paraId="6522A30B">
            <w:pPr>
              <w:adjustRightInd w:val="0"/>
              <w:snapToGrid w:val="0"/>
              <w:spacing w:line="360" w:lineRule="auto"/>
              <w:jc w:val="center"/>
              <w:rPr>
                <w:rFonts w:ascii="宋体" w:hAnsi="宋体"/>
                <w:b/>
                <w:szCs w:val="21"/>
              </w:rPr>
            </w:pPr>
            <w:r>
              <w:rPr>
                <w:rFonts w:hint="eastAsia" w:ascii="宋体" w:hAnsi="宋体"/>
                <w:b/>
                <w:szCs w:val="21"/>
              </w:rPr>
              <w:t>/</w:t>
            </w:r>
          </w:p>
        </w:tc>
        <w:tc>
          <w:tcPr>
            <w:tcW w:w="1218" w:type="dxa"/>
            <w:noWrap/>
          </w:tcPr>
          <w:p w14:paraId="39629B19">
            <w:pPr>
              <w:adjustRightInd w:val="0"/>
              <w:snapToGrid w:val="0"/>
              <w:spacing w:line="360" w:lineRule="auto"/>
              <w:jc w:val="center"/>
              <w:rPr>
                <w:rFonts w:ascii="宋体" w:hAnsi="宋体"/>
                <w:b/>
                <w:szCs w:val="21"/>
              </w:rPr>
            </w:pPr>
            <w:r>
              <w:rPr>
                <w:rFonts w:hint="eastAsia" w:ascii="宋体" w:hAnsi="宋体"/>
                <w:b/>
                <w:szCs w:val="21"/>
              </w:rPr>
              <w:t>/</w:t>
            </w:r>
          </w:p>
        </w:tc>
      </w:tr>
      <w:tr w14:paraId="099EE1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9345" w:type="dxa"/>
            <w:gridSpan w:val="7"/>
            <w:noWrap/>
            <w:vAlign w:val="center"/>
          </w:tcPr>
          <w:p w14:paraId="27841B5B">
            <w:pPr>
              <w:adjustRightInd w:val="0"/>
              <w:snapToGrid w:val="0"/>
              <w:spacing w:line="360" w:lineRule="auto"/>
              <w:jc w:val="left"/>
              <w:rPr>
                <w:rFonts w:ascii="宋体" w:hAnsi="宋体"/>
                <w:b/>
                <w:szCs w:val="21"/>
              </w:rPr>
            </w:pPr>
            <w:r>
              <w:rPr>
                <w:rFonts w:hint="eastAsia" w:ascii="宋体" w:hAnsi="宋体"/>
                <w:b/>
                <w:szCs w:val="21"/>
              </w:rPr>
              <w:t>环境标志产品</w:t>
            </w:r>
          </w:p>
        </w:tc>
      </w:tr>
      <w:tr w14:paraId="36FE82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10" w:type="dxa"/>
            <w:noWrap/>
            <w:vAlign w:val="center"/>
          </w:tcPr>
          <w:p w14:paraId="1136D0E8">
            <w:pPr>
              <w:adjustRightInd w:val="0"/>
              <w:snapToGrid w:val="0"/>
              <w:spacing w:line="360" w:lineRule="auto"/>
              <w:jc w:val="center"/>
              <w:rPr>
                <w:rFonts w:ascii="宋体" w:hAnsi="宋体"/>
                <w:b/>
                <w:szCs w:val="21"/>
              </w:rPr>
            </w:pPr>
          </w:p>
        </w:tc>
        <w:tc>
          <w:tcPr>
            <w:tcW w:w="1804" w:type="dxa"/>
            <w:noWrap/>
            <w:vAlign w:val="center"/>
          </w:tcPr>
          <w:p w14:paraId="6D09F4F8">
            <w:pPr>
              <w:adjustRightInd w:val="0"/>
              <w:snapToGrid w:val="0"/>
              <w:spacing w:line="360" w:lineRule="auto"/>
              <w:jc w:val="center"/>
              <w:rPr>
                <w:rFonts w:ascii="宋体" w:hAnsi="宋体"/>
                <w:b/>
                <w:szCs w:val="21"/>
              </w:rPr>
            </w:pPr>
          </w:p>
        </w:tc>
        <w:tc>
          <w:tcPr>
            <w:tcW w:w="862" w:type="dxa"/>
            <w:noWrap/>
            <w:vAlign w:val="center"/>
          </w:tcPr>
          <w:p w14:paraId="1D83AF3B">
            <w:pPr>
              <w:adjustRightInd w:val="0"/>
              <w:snapToGrid w:val="0"/>
              <w:spacing w:line="360" w:lineRule="auto"/>
              <w:jc w:val="center"/>
              <w:rPr>
                <w:rFonts w:ascii="宋体" w:hAnsi="宋体"/>
                <w:b/>
                <w:szCs w:val="21"/>
              </w:rPr>
            </w:pPr>
          </w:p>
        </w:tc>
        <w:tc>
          <w:tcPr>
            <w:tcW w:w="1033" w:type="dxa"/>
            <w:noWrap/>
            <w:vAlign w:val="center"/>
          </w:tcPr>
          <w:p w14:paraId="4C6784F8">
            <w:pPr>
              <w:adjustRightInd w:val="0"/>
              <w:snapToGrid w:val="0"/>
              <w:spacing w:line="360" w:lineRule="auto"/>
              <w:jc w:val="center"/>
              <w:rPr>
                <w:rFonts w:ascii="宋体" w:hAnsi="宋体"/>
                <w:b/>
                <w:szCs w:val="21"/>
              </w:rPr>
            </w:pPr>
          </w:p>
        </w:tc>
        <w:tc>
          <w:tcPr>
            <w:tcW w:w="1207" w:type="dxa"/>
            <w:noWrap/>
            <w:vAlign w:val="center"/>
          </w:tcPr>
          <w:p w14:paraId="1F13C205">
            <w:pPr>
              <w:adjustRightInd w:val="0"/>
              <w:snapToGrid w:val="0"/>
              <w:spacing w:line="360" w:lineRule="auto"/>
              <w:jc w:val="left"/>
              <w:rPr>
                <w:rFonts w:ascii="宋体" w:hAnsi="宋体"/>
                <w:b/>
                <w:szCs w:val="21"/>
              </w:rPr>
            </w:pPr>
          </w:p>
        </w:tc>
        <w:tc>
          <w:tcPr>
            <w:tcW w:w="2411" w:type="dxa"/>
            <w:noWrap/>
            <w:vAlign w:val="center"/>
          </w:tcPr>
          <w:p w14:paraId="04DCDF57">
            <w:pPr>
              <w:adjustRightInd w:val="0"/>
              <w:snapToGrid w:val="0"/>
              <w:spacing w:line="360" w:lineRule="auto"/>
              <w:jc w:val="center"/>
              <w:rPr>
                <w:rFonts w:ascii="宋体" w:hAnsi="宋体"/>
                <w:b/>
                <w:szCs w:val="21"/>
              </w:rPr>
            </w:pPr>
          </w:p>
        </w:tc>
        <w:tc>
          <w:tcPr>
            <w:tcW w:w="1218" w:type="dxa"/>
            <w:noWrap/>
          </w:tcPr>
          <w:p w14:paraId="2E47662B">
            <w:pPr>
              <w:adjustRightInd w:val="0"/>
              <w:snapToGrid w:val="0"/>
              <w:spacing w:line="360" w:lineRule="auto"/>
              <w:jc w:val="center"/>
              <w:rPr>
                <w:rFonts w:ascii="宋体" w:hAnsi="宋体"/>
                <w:b/>
                <w:szCs w:val="21"/>
              </w:rPr>
            </w:pPr>
          </w:p>
        </w:tc>
      </w:tr>
      <w:tr w14:paraId="1A9CCB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10" w:type="dxa"/>
            <w:noWrap/>
            <w:vAlign w:val="center"/>
          </w:tcPr>
          <w:p w14:paraId="15C5D5A4">
            <w:pPr>
              <w:adjustRightInd w:val="0"/>
              <w:snapToGrid w:val="0"/>
              <w:spacing w:line="360" w:lineRule="auto"/>
              <w:jc w:val="center"/>
              <w:rPr>
                <w:rFonts w:ascii="宋体" w:hAnsi="宋体"/>
                <w:szCs w:val="21"/>
              </w:rPr>
            </w:pPr>
            <w:r>
              <w:rPr>
                <w:rFonts w:hint="eastAsia" w:ascii="宋体" w:hAnsi="宋体"/>
                <w:szCs w:val="21"/>
              </w:rPr>
              <w:t>小计</w:t>
            </w:r>
          </w:p>
        </w:tc>
        <w:tc>
          <w:tcPr>
            <w:tcW w:w="1804" w:type="dxa"/>
            <w:noWrap/>
            <w:vAlign w:val="center"/>
          </w:tcPr>
          <w:p w14:paraId="6C7264EE">
            <w:pPr>
              <w:adjustRightInd w:val="0"/>
              <w:snapToGrid w:val="0"/>
              <w:spacing w:line="360" w:lineRule="auto"/>
              <w:jc w:val="center"/>
              <w:rPr>
                <w:rFonts w:ascii="宋体" w:hAnsi="宋体"/>
                <w:b/>
                <w:szCs w:val="21"/>
              </w:rPr>
            </w:pPr>
            <w:r>
              <w:rPr>
                <w:rFonts w:hint="eastAsia" w:ascii="宋体" w:hAnsi="宋体"/>
                <w:b/>
                <w:szCs w:val="21"/>
              </w:rPr>
              <w:t>/</w:t>
            </w:r>
          </w:p>
        </w:tc>
        <w:tc>
          <w:tcPr>
            <w:tcW w:w="862" w:type="dxa"/>
            <w:noWrap/>
            <w:vAlign w:val="center"/>
          </w:tcPr>
          <w:p w14:paraId="329E047E">
            <w:pPr>
              <w:adjustRightInd w:val="0"/>
              <w:snapToGrid w:val="0"/>
              <w:spacing w:line="360" w:lineRule="auto"/>
              <w:jc w:val="center"/>
              <w:rPr>
                <w:rFonts w:ascii="宋体" w:hAnsi="宋体"/>
                <w:b/>
                <w:szCs w:val="21"/>
              </w:rPr>
            </w:pPr>
            <w:r>
              <w:rPr>
                <w:rFonts w:hint="eastAsia" w:ascii="宋体" w:hAnsi="宋体"/>
                <w:b/>
                <w:szCs w:val="21"/>
              </w:rPr>
              <w:t>/</w:t>
            </w:r>
          </w:p>
        </w:tc>
        <w:tc>
          <w:tcPr>
            <w:tcW w:w="1033" w:type="dxa"/>
            <w:noWrap/>
            <w:vAlign w:val="center"/>
          </w:tcPr>
          <w:p w14:paraId="0D41DAF6">
            <w:pPr>
              <w:adjustRightInd w:val="0"/>
              <w:snapToGrid w:val="0"/>
              <w:spacing w:line="360" w:lineRule="auto"/>
              <w:jc w:val="center"/>
              <w:rPr>
                <w:rFonts w:ascii="宋体" w:hAnsi="宋体"/>
                <w:b/>
                <w:szCs w:val="21"/>
              </w:rPr>
            </w:pPr>
            <w:r>
              <w:rPr>
                <w:rFonts w:hint="eastAsia" w:ascii="宋体" w:hAnsi="宋体"/>
                <w:b/>
                <w:szCs w:val="21"/>
              </w:rPr>
              <w:t>/</w:t>
            </w:r>
          </w:p>
        </w:tc>
        <w:tc>
          <w:tcPr>
            <w:tcW w:w="1207" w:type="dxa"/>
            <w:noWrap/>
            <w:vAlign w:val="center"/>
          </w:tcPr>
          <w:p w14:paraId="264D691C">
            <w:pPr>
              <w:adjustRightInd w:val="0"/>
              <w:snapToGrid w:val="0"/>
              <w:spacing w:line="360" w:lineRule="auto"/>
              <w:jc w:val="left"/>
              <w:rPr>
                <w:rFonts w:ascii="宋体" w:hAnsi="宋体"/>
                <w:b/>
                <w:szCs w:val="21"/>
              </w:rPr>
            </w:pPr>
          </w:p>
        </w:tc>
        <w:tc>
          <w:tcPr>
            <w:tcW w:w="2411" w:type="dxa"/>
            <w:noWrap/>
            <w:vAlign w:val="center"/>
          </w:tcPr>
          <w:p w14:paraId="2B1C7D1E">
            <w:pPr>
              <w:adjustRightInd w:val="0"/>
              <w:snapToGrid w:val="0"/>
              <w:spacing w:line="360" w:lineRule="auto"/>
              <w:jc w:val="center"/>
              <w:rPr>
                <w:rFonts w:ascii="宋体" w:hAnsi="宋体"/>
                <w:b/>
                <w:szCs w:val="21"/>
              </w:rPr>
            </w:pPr>
            <w:r>
              <w:rPr>
                <w:rFonts w:hint="eastAsia" w:ascii="宋体" w:hAnsi="宋体"/>
                <w:b/>
                <w:szCs w:val="21"/>
              </w:rPr>
              <w:t>/</w:t>
            </w:r>
          </w:p>
        </w:tc>
        <w:tc>
          <w:tcPr>
            <w:tcW w:w="1218" w:type="dxa"/>
            <w:noWrap/>
          </w:tcPr>
          <w:p w14:paraId="26A02E8C">
            <w:pPr>
              <w:adjustRightInd w:val="0"/>
              <w:snapToGrid w:val="0"/>
              <w:spacing w:line="360" w:lineRule="auto"/>
              <w:jc w:val="center"/>
              <w:rPr>
                <w:rFonts w:ascii="宋体" w:hAnsi="宋体"/>
                <w:b/>
                <w:szCs w:val="21"/>
              </w:rPr>
            </w:pPr>
            <w:r>
              <w:rPr>
                <w:rFonts w:hint="eastAsia" w:ascii="宋体" w:hAnsi="宋体"/>
                <w:b/>
                <w:szCs w:val="21"/>
              </w:rPr>
              <w:t>/</w:t>
            </w:r>
          </w:p>
        </w:tc>
      </w:tr>
    </w:tbl>
    <w:p w14:paraId="797B15DB">
      <w:pPr>
        <w:adjustRightInd w:val="0"/>
        <w:snapToGrid w:val="0"/>
        <w:spacing w:line="360" w:lineRule="auto"/>
        <w:jc w:val="left"/>
        <w:rPr>
          <w:rFonts w:ascii="宋体" w:hAnsi="宋体"/>
          <w:szCs w:val="21"/>
        </w:rPr>
      </w:pPr>
      <w:r>
        <w:rPr>
          <w:rFonts w:hint="eastAsia" w:ascii="宋体" w:hAnsi="宋体"/>
          <w:szCs w:val="21"/>
        </w:rPr>
        <w:t>说明：</w:t>
      </w:r>
      <w:r>
        <w:rPr>
          <w:rFonts w:hint="eastAsia" w:ascii="宋体" w:hAnsi="宋体"/>
          <w:bCs/>
          <w:szCs w:val="21"/>
        </w:rPr>
        <w:t>1、</w:t>
      </w:r>
      <w:r>
        <w:rPr>
          <w:rFonts w:hint="eastAsia" w:ascii="宋体" w:hAnsi="宋体"/>
          <w:szCs w:val="21"/>
        </w:rPr>
        <w:t>本表用于计算节能产品、环境标志产品的政策功能加分或价格扣除。</w:t>
      </w:r>
    </w:p>
    <w:p w14:paraId="4EB037C3">
      <w:pPr>
        <w:adjustRightInd w:val="0"/>
        <w:snapToGrid w:val="0"/>
        <w:spacing w:line="360" w:lineRule="auto"/>
        <w:ind w:firstLine="630" w:firstLineChars="300"/>
        <w:jc w:val="left"/>
        <w:rPr>
          <w:rFonts w:ascii="宋体" w:hAnsi="宋体"/>
          <w:szCs w:val="21"/>
        </w:rPr>
      </w:pPr>
      <w:r>
        <w:rPr>
          <w:rFonts w:hint="eastAsia" w:ascii="宋体" w:hAnsi="宋体"/>
          <w:szCs w:val="21"/>
        </w:rPr>
        <w:t>2、栏目7“政策功能编码”是指货物的中国环境标志认证证书编号、节能标志认证证书号（货物同时属于节能产品、环境标志产品只填写一种）。</w:t>
      </w:r>
    </w:p>
    <w:p w14:paraId="6EAA270B">
      <w:pPr>
        <w:adjustRightInd w:val="0"/>
        <w:snapToGrid w:val="0"/>
        <w:spacing w:line="360" w:lineRule="auto"/>
        <w:ind w:firstLine="630" w:firstLineChars="300"/>
        <w:jc w:val="left"/>
        <w:rPr>
          <w:rFonts w:ascii="宋体" w:hAnsi="宋体"/>
          <w:szCs w:val="21"/>
        </w:rPr>
      </w:pPr>
      <w:r>
        <w:rPr>
          <w:rFonts w:hint="eastAsia" w:ascii="宋体" w:hAnsi="宋体"/>
          <w:szCs w:val="21"/>
        </w:rPr>
        <w:t>3、栏目4“单价”为综合单价，包含货物所有隐含的内容，如运输费、保险费、管理费和利润等。</w:t>
      </w:r>
    </w:p>
    <w:p w14:paraId="6703C20C">
      <w:pPr>
        <w:adjustRightInd w:val="0"/>
        <w:snapToGrid w:val="0"/>
        <w:spacing w:line="360" w:lineRule="auto"/>
        <w:ind w:firstLine="630" w:firstLineChars="300"/>
        <w:rPr>
          <w:rFonts w:ascii="宋体" w:hAnsi="宋体"/>
          <w:bCs/>
          <w:szCs w:val="21"/>
        </w:rPr>
      </w:pPr>
      <w:r>
        <w:rPr>
          <w:rFonts w:hint="eastAsia" w:ascii="宋体" w:hAnsi="宋体"/>
          <w:bCs/>
          <w:szCs w:val="21"/>
        </w:rPr>
        <w:t>4、未按上述要求提供、</w:t>
      </w:r>
      <w:r>
        <w:rPr>
          <w:rFonts w:hint="eastAsia" w:ascii="宋体" w:hAnsi="宋体"/>
          <w:szCs w:val="21"/>
        </w:rPr>
        <w:t>填写的，</w:t>
      </w:r>
      <w:r>
        <w:rPr>
          <w:rFonts w:hint="eastAsia" w:ascii="宋体" w:hAnsi="宋体"/>
          <w:bCs/>
          <w:szCs w:val="21"/>
        </w:rPr>
        <w:t>评审时本表所有优惠不予以考虑。</w:t>
      </w:r>
    </w:p>
    <w:p w14:paraId="4B4165D8">
      <w:pPr>
        <w:adjustRightInd w:val="0"/>
        <w:snapToGrid w:val="0"/>
        <w:spacing w:line="360" w:lineRule="auto"/>
        <w:rPr>
          <w:rFonts w:ascii="宋体" w:hAnsi="宋体"/>
          <w:szCs w:val="21"/>
        </w:rPr>
      </w:pPr>
    </w:p>
    <w:p w14:paraId="5617E694">
      <w:pPr>
        <w:adjustRightInd w:val="0"/>
        <w:snapToGrid w:val="0"/>
        <w:spacing w:line="360" w:lineRule="auto"/>
        <w:rPr>
          <w:rFonts w:ascii="宋体" w:hAnsi="宋体"/>
          <w:szCs w:val="21"/>
        </w:rPr>
      </w:pPr>
    </w:p>
    <w:p w14:paraId="18990202">
      <w:pPr>
        <w:adjustRightInd w:val="0"/>
        <w:snapToGrid w:val="0"/>
        <w:spacing w:line="360" w:lineRule="auto"/>
        <w:rPr>
          <w:rFonts w:ascii="宋体" w:hAnsi="宋体"/>
          <w:szCs w:val="21"/>
        </w:rPr>
      </w:pPr>
      <w:r>
        <w:rPr>
          <w:rFonts w:hint="eastAsia" w:ascii="宋体" w:hAnsi="宋体"/>
          <w:szCs w:val="21"/>
        </w:rPr>
        <w:t>投标人名称（盖单位章）：</w:t>
      </w:r>
    </w:p>
    <w:p w14:paraId="3B960D64">
      <w:pPr>
        <w:adjustRightInd w:val="0"/>
        <w:snapToGrid w:val="0"/>
        <w:spacing w:line="360" w:lineRule="auto"/>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01F13595">
      <w:pPr>
        <w:adjustRightInd w:val="0"/>
        <w:snapToGrid w:val="0"/>
        <w:spacing w:line="360" w:lineRule="auto"/>
        <w:jc w:val="center"/>
        <w:rPr>
          <w:rFonts w:ascii="黑体" w:hAnsi="宋体" w:eastAsia="黑体"/>
          <w:sz w:val="28"/>
          <w:szCs w:val="28"/>
        </w:rPr>
      </w:pPr>
      <w:r>
        <w:rPr>
          <w:rFonts w:hint="eastAsia" w:ascii="黑体" w:hAnsi="宋体" w:eastAsia="黑体"/>
          <w:sz w:val="28"/>
          <w:szCs w:val="28"/>
        </w:rPr>
        <w:br w:type="page"/>
      </w:r>
    </w:p>
    <w:p w14:paraId="6B0A78BA">
      <w:pPr>
        <w:pStyle w:val="4"/>
        <w:adjustRightInd w:val="0"/>
        <w:snapToGrid w:val="0"/>
        <w:spacing w:before="0" w:after="0" w:line="360" w:lineRule="auto"/>
        <w:jc w:val="center"/>
        <w:rPr>
          <w:rFonts w:ascii="黑体" w:hAnsi="宋体" w:eastAsia="黑体"/>
          <w:sz w:val="28"/>
          <w:szCs w:val="28"/>
        </w:rPr>
      </w:pPr>
      <w:bookmarkStart w:id="153" w:name="_Toc20651272"/>
      <w:r>
        <w:rPr>
          <w:rFonts w:hint="eastAsia" w:ascii="黑体" w:hAnsi="宋体" w:eastAsia="黑体"/>
          <w:sz w:val="28"/>
          <w:szCs w:val="28"/>
        </w:rPr>
        <w:t>十一、投标人认为需提供的其他资料</w:t>
      </w:r>
      <w:bookmarkEnd w:id="153"/>
    </w:p>
    <w:p w14:paraId="144F58A7">
      <w:pPr>
        <w:adjustRightInd w:val="0"/>
        <w:snapToGrid w:val="0"/>
        <w:spacing w:beforeLines="50" w:line="360" w:lineRule="auto"/>
        <w:rPr>
          <w:rFonts w:ascii="宋体" w:hAnsi="宋体"/>
        </w:rPr>
      </w:pPr>
    </w:p>
    <w:p w14:paraId="4AC6EC44">
      <w:pPr>
        <w:adjustRightInd w:val="0"/>
        <w:snapToGrid w:val="0"/>
        <w:spacing w:beforeLines="50" w:line="360" w:lineRule="auto"/>
        <w:rPr>
          <w:rFonts w:ascii="宋体" w:hAnsi="宋体"/>
        </w:rPr>
      </w:pPr>
      <w:r>
        <w:rPr>
          <w:rFonts w:hint="eastAsia" w:ascii="宋体" w:hAnsi="宋体"/>
        </w:rPr>
        <w:t>备注：投标人认为需提供的其他资料包括：</w:t>
      </w:r>
    </w:p>
    <w:p w14:paraId="704EF0D7">
      <w:pPr>
        <w:adjustRightInd w:val="0"/>
        <w:snapToGrid w:val="0"/>
        <w:spacing w:beforeLines="50" w:line="360" w:lineRule="auto"/>
        <w:ind w:firstLine="420" w:firstLineChars="200"/>
        <w:rPr>
          <w:rFonts w:ascii="宋体" w:hAnsi="宋体"/>
        </w:rPr>
      </w:pPr>
      <w:r>
        <w:rPr>
          <w:rFonts w:hint="eastAsia" w:ascii="宋体" w:hAnsi="宋体"/>
        </w:rPr>
        <w:t>（1）招标文件第五章采购需求要求的其他资料；</w:t>
      </w:r>
    </w:p>
    <w:p w14:paraId="76725CA5">
      <w:pPr>
        <w:pStyle w:val="38"/>
        <w:adjustRightInd w:val="0"/>
        <w:snapToGrid w:val="0"/>
        <w:spacing w:line="360" w:lineRule="auto"/>
        <w:ind w:firstLine="400" w:firstLineChars="200"/>
        <w:rPr>
          <w:rFonts w:ascii="宋体" w:hAnsi="宋体"/>
        </w:rPr>
      </w:pPr>
      <w:r>
        <w:rPr>
          <w:rFonts w:hint="eastAsia" w:ascii="宋体" w:hAnsi="宋体"/>
        </w:rPr>
        <w:t>（2）招标文件第四章评标方法及标准要求的其他相关资料。</w:t>
      </w:r>
    </w:p>
    <w:p w14:paraId="3F706342">
      <w:pPr>
        <w:pStyle w:val="25"/>
        <w:adjustRightInd w:val="0"/>
        <w:snapToGrid w:val="0"/>
        <w:spacing w:beforeLines="50" w:line="360" w:lineRule="auto"/>
      </w:pPr>
    </w:p>
    <w:p w14:paraId="26904118">
      <w:pPr>
        <w:tabs>
          <w:tab w:val="left" w:pos="4725"/>
        </w:tabs>
        <w:adjustRightInd w:val="0"/>
        <w:snapToGrid w:val="0"/>
        <w:spacing w:line="360" w:lineRule="auto"/>
        <w:outlineLvl w:val="0"/>
        <w:rPr>
          <w:rFonts w:ascii="宋体" w:hAnsi="宋体" w:cs="宋体"/>
          <w:sz w:val="28"/>
          <w:szCs w:val="28"/>
        </w:rPr>
      </w:pPr>
    </w:p>
    <w:p w14:paraId="3E236EC7">
      <w:pPr>
        <w:tabs>
          <w:tab w:val="left" w:pos="4725"/>
        </w:tabs>
        <w:adjustRightInd w:val="0"/>
        <w:snapToGrid w:val="0"/>
        <w:spacing w:line="360" w:lineRule="auto"/>
        <w:jc w:val="center"/>
        <w:rPr>
          <w:rFonts w:ascii="宋体" w:hAnsi="宋体" w:cs="宋体"/>
          <w:szCs w:val="21"/>
        </w:rPr>
      </w:pPr>
    </w:p>
    <w:sectPr>
      <w:pgSz w:w="11906" w:h="16838"/>
      <w:pgMar w:top="1440" w:right="1080" w:bottom="1440" w:left="1080" w:header="737" w:footer="907"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55E4EE5-E56A-4A31-A26C-5DCDE9BC3A08}"/>
  </w:font>
  <w:font w:name="Arial">
    <w:panose1 w:val="020B0604020202020204"/>
    <w:charset w:val="01"/>
    <w:family w:val="swiss"/>
    <w:pitch w:val="default"/>
    <w:sig w:usb0="E0002EFF" w:usb1="C000785B" w:usb2="00000009" w:usb3="00000000" w:csb0="400001FF" w:csb1="FFFF0000"/>
    <w:embedRegular r:id="rId2" w:fontKey="{6EB626FA-5CD8-4C2D-B8A2-621CE0D31A7E}"/>
  </w:font>
  <w:font w:name="黑体">
    <w:panose1 w:val="02010609060101010101"/>
    <w:charset w:val="86"/>
    <w:family w:val="auto"/>
    <w:pitch w:val="default"/>
    <w:sig w:usb0="800002BF" w:usb1="38CF7CFA" w:usb2="00000016" w:usb3="00000000" w:csb0="00040001" w:csb1="00000000"/>
    <w:embedRegular r:id="rId3" w:fontKey="{D996777B-F4A0-4208-93BE-60F33E3477B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0361F0C7-0A62-45A2-B955-891ADEE4CCE0}"/>
  </w:font>
  <w:font w:name="仿宋_GB2312">
    <w:panose1 w:val="02010609030101010101"/>
    <w:charset w:val="86"/>
    <w:family w:val="modern"/>
    <w:pitch w:val="default"/>
    <w:sig w:usb0="00000001" w:usb1="080E0000" w:usb2="00000000" w:usb3="00000000" w:csb0="00040000" w:csb1="00000000"/>
    <w:embedRegular r:id="rId5" w:fontKey="{290D93A9-94BC-492A-9131-E3EB1B1B200A}"/>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embedRegular r:id="rId6" w:fontKey="{23D61BD4-2FE9-4CA1-8E02-E1135901175A}"/>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7" w:fontKey="{1010AD4A-D924-4693-B69B-5B041CD04394}"/>
  </w:font>
  <w:font w:name="Arial Unicode MS">
    <w:altName w:val="宋体"/>
    <w:panose1 w:val="020B0604020202020204"/>
    <w:charset w:val="86"/>
    <w:family w:val="swiss"/>
    <w:pitch w:val="default"/>
    <w:sig w:usb0="00000000" w:usb1="00000000" w:usb2="0000003F" w:usb3="00000000" w:csb0="003F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方正仿宋_GB2312">
    <w:altName w:val="仿宋"/>
    <w:panose1 w:val="02000000000000000000"/>
    <w:charset w:val="86"/>
    <w:family w:val="auto"/>
    <w:pitch w:val="default"/>
    <w:sig w:usb0="00000000" w:usb1="00000000" w:usb2="00000012" w:usb3="00000000" w:csb0="00040001" w:csb1="00000000"/>
  </w:font>
  <w:font w:name="华文中宋">
    <w:panose1 w:val="02010600040101010101"/>
    <w:charset w:val="86"/>
    <w:family w:val="auto"/>
    <w:pitch w:val="default"/>
    <w:sig w:usb0="00000287" w:usb1="080F0000" w:usb2="00000000" w:usb3="00000000" w:csb0="0004009F" w:csb1="DFD70000"/>
    <w:embedRegular r:id="rId8" w:fontKey="{AFA51910-57AB-467F-8E77-5C963E1B3450}"/>
  </w:font>
  <w:font w:name="方正小标宋简体">
    <w:panose1 w:val="02000000000000000000"/>
    <w:charset w:val="86"/>
    <w:family w:val="script"/>
    <w:pitch w:val="default"/>
    <w:sig w:usb0="00000001" w:usb1="08000000" w:usb2="00000000" w:usb3="00000000" w:csb0="00040000" w:csb1="00000000"/>
    <w:embedRegular r:id="rId9" w:fontKey="{B2520409-4885-4B93-A985-5DDB548E0496}"/>
  </w:font>
  <w:font w:name="Segoe UI">
    <w:panose1 w:val="020B0502040204020203"/>
    <w:charset w:val="00"/>
    <w:family w:val="auto"/>
    <w:pitch w:val="default"/>
    <w:sig w:usb0="E4002EFF" w:usb1="C000E47F" w:usb2="00000009" w:usb3="00000000" w:csb0="200001FF" w:csb1="00000000"/>
    <w:embedRegular r:id="rId10" w:fontKey="{3E22A751-5833-4224-BED9-90CD102950C6}"/>
  </w:font>
  <w:font w:name="方正小标宋_GBK">
    <w:panose1 w:val="03000509000000000000"/>
    <w:charset w:val="86"/>
    <w:family w:val="script"/>
    <w:pitch w:val="default"/>
    <w:sig w:usb0="00000001" w:usb1="080E0000" w:usb2="00000000" w:usb3="00000000" w:csb0="00040000" w:csb1="00000000"/>
    <w:embedRegular r:id="rId11" w:fontKey="{BDF8D396-ABA3-45D6-A657-5664708760C5}"/>
  </w:font>
  <w:font w:name="华文宋体">
    <w:panose1 w:val="02010600040101010101"/>
    <w:charset w:val="86"/>
    <w:family w:val="auto"/>
    <w:pitch w:val="default"/>
    <w:sig w:usb0="00000287" w:usb1="080F0000" w:usb2="00000000" w:usb3="00000000" w:csb0="0004009F" w:csb1="DFD70000"/>
    <w:embedRegular r:id="rId12" w:fontKey="{B4521CE5-1128-4CA0-A346-00F98540BDE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240C2">
    <w:pPr>
      <w:pStyle w:val="28"/>
    </w:pPr>
    <w:r>
      <w:pict>
        <v:shape id="文本框 19"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L3UTQAAAAAgEAAA8AAAAAAAAAAQAgAAAAIgAAAGRycy9kb3du&#10;cmV2LnhtbFBLAQIUABQAAAAIAIdO4kBkB+/azgEAAJcDAAAOAAAAAAAAAAEAIAAAAB8BAABkcnMv&#10;ZTJvRG9jLnhtbFBLBQYAAAAABgAGAFkBAABfBQAAAAA=&#10;">
          <v:path/>
          <v:fill on="f" focussize="0,0"/>
          <v:stroke on="f" joinstyle="miter"/>
          <v:imagedata o:title=""/>
          <o:lock v:ext="edit"/>
          <v:textbox inset="0mm,0mm,0mm,0mm" style="mso-fit-shape-to-text:t;">
            <w:txbxContent>
              <w:p w14:paraId="60143F87">
                <w:pPr>
                  <w:pStyle w:val="28"/>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48D54">
    <w:pPr>
      <w:pStyle w:val="28"/>
    </w:pPr>
    <w:r>
      <w:pict>
        <v:shape id="文本框 20" o:spid="_x0000_s1030" o:spt="202" type="#_x0000_t202" style="position:absolute;left:0pt;margin-top:0pt;height:10.35pt;width:4.55pt;mso-position-horizontal:center;mso-position-horizontal-relative:margin;mso-wrap-style:none;z-index:251660288;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4vdRNAAAAACAQAADwAAAAAAAAABACAAAAAiAAAAZHJzL2Rvd25y&#10;ZXYueG1sUEsBAhQAFAAAAAgAh07iQMHw0vzNAQAAlwMAAA4AAAAAAAAAAQAgAAAAHwEAAGRycy9l&#10;Mm9Eb2MueG1sUEsFBgAAAAAGAAYAWQEAAF4FAAAAAA==&#10;">
          <v:path/>
          <v:fill on="f" focussize="0,0"/>
          <v:stroke on="f" joinstyle="miter"/>
          <v:imagedata o:title=""/>
          <o:lock v:ext="edit"/>
          <v:textbox inset="0mm,0mm,0mm,0mm" style="mso-fit-shape-to-text:t;">
            <w:txbxContent>
              <w:p w14:paraId="5568782F">
                <w:pPr>
                  <w:pStyle w:val="28"/>
                </w:pPr>
                <w:r>
                  <w:fldChar w:fldCharType="begin"/>
                </w:r>
                <w:r>
                  <w:instrText xml:space="preserve"> PAGE  \* MERGEFORMAT </w:instrText>
                </w:r>
                <w:r>
                  <w:fldChar w:fldCharType="separate"/>
                </w:r>
                <w:r>
                  <w:t>6</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7A053">
    <w:pPr>
      <w:pStyle w:val="28"/>
    </w:pPr>
    <w:r>
      <w:pict>
        <v:shape id="_x0000_s1029" o:spid="_x0000_s1029"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path/>
          <v:fill on="f" focussize="0,0"/>
          <v:stroke on="f" weight="0.5pt" joinstyle="miter"/>
          <v:imagedata o:title=""/>
          <o:lock v:ext="edit"/>
          <v:textbox inset="0mm,0mm,0mm,0mm" style="mso-fit-shape-to-text:t;">
            <w:txbxContent>
              <w:p w14:paraId="07E29462">
                <w:pPr>
                  <w:pStyle w:val="28"/>
                </w:pPr>
                <w:r>
                  <w:fldChar w:fldCharType="begin"/>
                </w:r>
                <w:r>
                  <w:instrText xml:space="preserve"> PAGE  \* MERGEFORMAT </w:instrText>
                </w:r>
                <w:r>
                  <w:fldChar w:fldCharType="separate"/>
                </w:r>
                <w:r>
                  <w:t>7</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D80FC">
    <w:pPr>
      <w:pStyle w:val="28"/>
    </w:pPr>
    <w:r>
      <w:pict>
        <v:shape id="文本框 21" o:spid="_x0000_s1028"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DPDeR8zgEAAJgDAAAOAAAAAAAAAAEAIAAAAB8BAABkcnMv&#10;ZTJvRG9jLnhtbFBLBQYAAAAABgAGAFkBAABfBQAAAAA=&#10;">
          <v:path/>
          <v:fill on="f" focussize="0,0"/>
          <v:stroke on="f" joinstyle="miter"/>
          <v:imagedata o:title=""/>
          <o:lock v:ext="edit"/>
          <v:textbox inset="0mm,0mm,0mm,0mm" style="mso-fit-shape-to-text:t;">
            <w:txbxContent>
              <w:p w14:paraId="696F33C9">
                <w:pPr>
                  <w:pStyle w:val="28"/>
                </w:pPr>
                <w:r>
                  <w:fldChar w:fldCharType="begin"/>
                </w:r>
                <w:r>
                  <w:instrText xml:space="preserve"> PAGE  \* MERGEFORMAT </w:instrText>
                </w:r>
                <w:r>
                  <w:fldChar w:fldCharType="separate"/>
                </w:r>
                <w:r>
                  <w:t>71</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1F929">
    <w:pPr>
      <w:spacing w:line="177" w:lineRule="auto"/>
      <w:ind w:left="8000"/>
      <w:rPr>
        <w:rFonts w:ascii="宋体" w:hAnsi="宋体" w:cs="宋体"/>
        <w:sz w:val="32"/>
        <w:szCs w:val="32"/>
      </w:rPr>
    </w:pPr>
    <w:r>
      <w:rPr>
        <w:sz w:val="32"/>
      </w:rPr>
      <w:pict>
        <v:shape id="_x0000_s1027" o:spid="_x0000_s1027"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path/>
          <v:fill on="f" focussize="0,0"/>
          <v:stroke on="f" weight="0.5pt" joinstyle="miter"/>
          <v:imagedata o:title=""/>
          <o:lock v:ext="edit"/>
          <v:textbox inset="0mm,0mm,0mm,0mm" style="mso-fit-shape-to-text:t;">
            <w:txbxContent>
              <w:p w14:paraId="78E405EB">
                <w:pPr>
                  <w:pStyle w:val="28"/>
                </w:pPr>
                <w:r>
                  <w:fldChar w:fldCharType="begin"/>
                </w:r>
                <w:r>
                  <w:instrText xml:space="preserve"> PAGE  \* MERGEFORMAT </w:instrText>
                </w:r>
                <w:r>
                  <w:fldChar w:fldCharType="separate"/>
                </w:r>
                <w:r>
                  <w:t>87</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00809">
    <w:pPr>
      <w:pStyle w:val="29"/>
      <w:pBdr>
        <w:bottom w:val="none" w:color="auto" w:sz="0" w:space="1"/>
      </w:pBdr>
      <w:jc w:val="left"/>
      <w:rPr>
        <w:color w:val="0C0C0C"/>
        <w:spacing w:val="-11"/>
        <w:sz w:val="20"/>
        <w:szCs w:val="20"/>
      </w:rPr>
    </w:pPr>
  </w:p>
  <w:p w14:paraId="5CF66805">
    <w:pPr>
      <w:pStyle w:val="29"/>
      <w:pBdr>
        <w:bottom w:val="none" w:color="auto" w:sz="0" w:space="1"/>
      </w:pBdr>
      <w:jc w:val="left"/>
      <w:rPr>
        <w:color w:val="0C0C0C"/>
        <w:spacing w:val="-11"/>
        <w:sz w:val="20"/>
        <w:szCs w:val="20"/>
      </w:rPr>
    </w:pPr>
  </w:p>
  <w:p w14:paraId="1A06C906">
    <w:pPr>
      <w:pStyle w:val="29"/>
      <w:pBdr>
        <w:bottom w:val="single" w:color="auto" w:sz="4" w:space="1"/>
      </w:pBdr>
      <w:jc w:val="left"/>
      <w:rPr>
        <w:rFonts w:hint="eastAsia" w:eastAsia="宋体"/>
        <w:sz w:val="16"/>
        <w:szCs w:val="16"/>
        <w:lang w:eastAsia="zh-CN"/>
      </w:rPr>
    </w:pPr>
    <w:r>
      <w:rPr>
        <w:rFonts w:hint="eastAsia"/>
        <w:color w:val="0C0C0C"/>
        <w:spacing w:val="-11"/>
        <w:sz w:val="20"/>
        <w:szCs w:val="20"/>
        <w:lang w:eastAsia="zh-CN"/>
      </w:rPr>
      <w:t>岳阳县人民医院外科大楼建设项目电梯工程（重新立项）第二次</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75A0B">
    <w:pPr>
      <w:pStyle w:val="29"/>
      <w:jc w:val="both"/>
      <w:rPr>
        <w:rFonts w:hint="eastAsia" w:eastAsia="宋体"/>
        <w:lang w:eastAsia="zh-CN"/>
      </w:rPr>
    </w:pPr>
    <w:r>
      <w:rPr>
        <w:rFonts w:hint="eastAsia"/>
        <w:lang w:eastAsia="zh-CN"/>
      </w:rPr>
      <w:t>岳阳县人民医院外科大楼建设项目电梯工程（重新立项）第二次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chineseCountingThousand"/>
      <w:pStyle w:val="161"/>
      <w:lvlText w:val="%1、"/>
      <w:lvlJc w:val="left"/>
      <w:pPr>
        <w:tabs>
          <w:tab w:val="left" w:pos="425"/>
        </w:tabs>
        <w:ind w:left="425" w:hanging="425"/>
      </w:pPr>
      <w:rPr>
        <w:rFonts w:hint="eastAsia"/>
      </w:rPr>
    </w:lvl>
    <w:lvl w:ilvl="1" w:tentative="0">
      <w:start w:val="1"/>
      <w:numFmt w:val="decimal"/>
      <w:pStyle w:val="154"/>
      <w:isLgl/>
      <w:suff w:val="space"/>
      <w:lvlText w:val="%1.%2"/>
      <w:lvlJc w:val="left"/>
      <w:pPr>
        <w:ind w:left="992" w:hanging="567"/>
      </w:pPr>
      <w:rPr>
        <w:rFonts w:hint="eastAsia"/>
      </w:rPr>
    </w:lvl>
    <w:lvl w:ilvl="2" w:tentative="0">
      <w:start w:val="1"/>
      <w:numFmt w:val="decimal"/>
      <w:pStyle w:val="155"/>
      <w:isLgl/>
      <w:lvlText w:val="%1.%2.%3"/>
      <w:lvlJc w:val="left"/>
      <w:pPr>
        <w:ind w:left="2126" w:hanging="567"/>
      </w:pPr>
      <w:rPr>
        <w:rFonts w:hint="eastAsia"/>
      </w:rPr>
    </w:lvl>
    <w:lvl w:ilvl="3" w:tentative="0">
      <w:start w:val="1"/>
      <w:numFmt w:val="decimal"/>
      <w:pStyle w:val="156"/>
      <w:isLgl/>
      <w:suff w:val="space"/>
      <w:lvlText w:val="%1.%2.%3.%4"/>
      <w:lvlJc w:val="left"/>
      <w:pPr>
        <w:ind w:left="0" w:firstLine="1134"/>
      </w:pPr>
      <w:rPr>
        <w:rFonts w:hint="eastAsia"/>
      </w:rPr>
    </w:lvl>
    <w:lvl w:ilvl="4" w:tentative="0">
      <w:start w:val="1"/>
      <w:numFmt w:val="decimal"/>
      <w:isLgl/>
      <w:lvlText w:val="%1.%2.%3.%4.%5"/>
      <w:lvlJc w:val="left"/>
      <w:pPr>
        <w:ind w:left="2551" w:hanging="850"/>
      </w:pPr>
      <w:rPr>
        <w:rFonts w:hint="eastAsia"/>
      </w:rPr>
    </w:lvl>
    <w:lvl w:ilvl="5" w:tentative="0">
      <w:start w:val="1"/>
      <w:numFmt w:val="decimal"/>
      <w:isLgl/>
      <w:lvlText w:val="%1.%2.%3.%4.%5.%6"/>
      <w:lvlJc w:val="left"/>
      <w:pPr>
        <w:ind w:left="3260" w:hanging="1134"/>
      </w:pPr>
      <w:rPr>
        <w:rFonts w:hint="eastAsia"/>
      </w:rPr>
    </w:lvl>
    <w:lvl w:ilvl="6" w:tentative="0">
      <w:start w:val="1"/>
      <w:numFmt w:val="decimal"/>
      <w:isLgl/>
      <w:lvlText w:val="%1.%2.%3.%4.%5.%6.%7"/>
      <w:lvlJc w:val="left"/>
      <w:pPr>
        <w:ind w:left="3827" w:hanging="1276"/>
      </w:pPr>
      <w:rPr>
        <w:rFonts w:hint="eastAsia"/>
      </w:rPr>
    </w:lvl>
    <w:lvl w:ilvl="7" w:tentative="0">
      <w:start w:val="1"/>
      <w:numFmt w:val="decimal"/>
      <w:isLgl/>
      <w:lvlText w:val="%1.%2.%3.%4.%5.%6.%7.%8"/>
      <w:lvlJc w:val="left"/>
      <w:pPr>
        <w:ind w:left="4394" w:hanging="1418"/>
      </w:pPr>
      <w:rPr>
        <w:rFonts w:hint="eastAsia"/>
      </w:rPr>
    </w:lvl>
    <w:lvl w:ilvl="8" w:tentative="0">
      <w:start w:val="1"/>
      <w:numFmt w:val="decimal"/>
      <w:isLg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1"/>
  </w:compat>
  <w:docVars>
    <w:docVar w:name="commondata" w:val="eyJoZGlkIjoiZDhjNmZjMGUyYzA3ZGEyZTQwNGQ3YzZkZWUwMGI5ODkifQ=="/>
  </w:docVars>
  <w:rsids>
    <w:rsidRoot w:val="499B0676"/>
    <w:rsid w:val="00000A4E"/>
    <w:rsid w:val="000013FE"/>
    <w:rsid w:val="0000186F"/>
    <w:rsid w:val="00001A03"/>
    <w:rsid w:val="000037DE"/>
    <w:rsid w:val="0001024D"/>
    <w:rsid w:val="00010382"/>
    <w:rsid w:val="00011857"/>
    <w:rsid w:val="00012CBC"/>
    <w:rsid w:val="00013466"/>
    <w:rsid w:val="00013574"/>
    <w:rsid w:val="00013923"/>
    <w:rsid w:val="00017581"/>
    <w:rsid w:val="00017649"/>
    <w:rsid w:val="00017F9C"/>
    <w:rsid w:val="000217F7"/>
    <w:rsid w:val="00022FDC"/>
    <w:rsid w:val="0002404C"/>
    <w:rsid w:val="000252F0"/>
    <w:rsid w:val="0002572C"/>
    <w:rsid w:val="00025EED"/>
    <w:rsid w:val="000260CC"/>
    <w:rsid w:val="000312D1"/>
    <w:rsid w:val="00031705"/>
    <w:rsid w:val="000333AE"/>
    <w:rsid w:val="00034FB8"/>
    <w:rsid w:val="000356C7"/>
    <w:rsid w:val="000358FA"/>
    <w:rsid w:val="00037B3D"/>
    <w:rsid w:val="00040247"/>
    <w:rsid w:val="00040313"/>
    <w:rsid w:val="00040E14"/>
    <w:rsid w:val="0004168B"/>
    <w:rsid w:val="00045B4B"/>
    <w:rsid w:val="0004635F"/>
    <w:rsid w:val="00046654"/>
    <w:rsid w:val="00046881"/>
    <w:rsid w:val="00046AFE"/>
    <w:rsid w:val="000508AD"/>
    <w:rsid w:val="0005168D"/>
    <w:rsid w:val="00053BE1"/>
    <w:rsid w:val="00053C94"/>
    <w:rsid w:val="00056A07"/>
    <w:rsid w:val="00057421"/>
    <w:rsid w:val="00061310"/>
    <w:rsid w:val="00061914"/>
    <w:rsid w:val="00063D23"/>
    <w:rsid w:val="000662FC"/>
    <w:rsid w:val="000665A8"/>
    <w:rsid w:val="000674CE"/>
    <w:rsid w:val="000675BE"/>
    <w:rsid w:val="000677C7"/>
    <w:rsid w:val="00067D62"/>
    <w:rsid w:val="00071011"/>
    <w:rsid w:val="0007234E"/>
    <w:rsid w:val="00072573"/>
    <w:rsid w:val="0007343D"/>
    <w:rsid w:val="000745C1"/>
    <w:rsid w:val="0007473A"/>
    <w:rsid w:val="00074CB8"/>
    <w:rsid w:val="00076502"/>
    <w:rsid w:val="000769CD"/>
    <w:rsid w:val="000775DD"/>
    <w:rsid w:val="00080119"/>
    <w:rsid w:val="00082346"/>
    <w:rsid w:val="000841E5"/>
    <w:rsid w:val="00087CA6"/>
    <w:rsid w:val="00091737"/>
    <w:rsid w:val="00091751"/>
    <w:rsid w:val="000917F5"/>
    <w:rsid w:val="00092E61"/>
    <w:rsid w:val="0009483A"/>
    <w:rsid w:val="00095ECE"/>
    <w:rsid w:val="000960B2"/>
    <w:rsid w:val="000A0657"/>
    <w:rsid w:val="000A0CD6"/>
    <w:rsid w:val="000A1812"/>
    <w:rsid w:val="000A2631"/>
    <w:rsid w:val="000A4283"/>
    <w:rsid w:val="000A6AFA"/>
    <w:rsid w:val="000B07FC"/>
    <w:rsid w:val="000B080E"/>
    <w:rsid w:val="000B150D"/>
    <w:rsid w:val="000B1637"/>
    <w:rsid w:val="000B1715"/>
    <w:rsid w:val="000B2722"/>
    <w:rsid w:val="000B320F"/>
    <w:rsid w:val="000B3A4F"/>
    <w:rsid w:val="000B538A"/>
    <w:rsid w:val="000B5D7D"/>
    <w:rsid w:val="000B67D9"/>
    <w:rsid w:val="000B6EA7"/>
    <w:rsid w:val="000B75AB"/>
    <w:rsid w:val="000B7DF1"/>
    <w:rsid w:val="000B7EF2"/>
    <w:rsid w:val="000C01FC"/>
    <w:rsid w:val="000C245B"/>
    <w:rsid w:val="000C2AE6"/>
    <w:rsid w:val="000C354A"/>
    <w:rsid w:val="000C3BCA"/>
    <w:rsid w:val="000C4336"/>
    <w:rsid w:val="000C49B5"/>
    <w:rsid w:val="000C4FD9"/>
    <w:rsid w:val="000C52A0"/>
    <w:rsid w:val="000C6B2C"/>
    <w:rsid w:val="000D04C8"/>
    <w:rsid w:val="000D0E5E"/>
    <w:rsid w:val="000D1018"/>
    <w:rsid w:val="000D1038"/>
    <w:rsid w:val="000D2A3F"/>
    <w:rsid w:val="000D494E"/>
    <w:rsid w:val="000D5249"/>
    <w:rsid w:val="000D6514"/>
    <w:rsid w:val="000E46D9"/>
    <w:rsid w:val="000E4E95"/>
    <w:rsid w:val="000E50DD"/>
    <w:rsid w:val="000E7417"/>
    <w:rsid w:val="000E741F"/>
    <w:rsid w:val="000F1A45"/>
    <w:rsid w:val="000F1AF9"/>
    <w:rsid w:val="000F1BB4"/>
    <w:rsid w:val="000F21C8"/>
    <w:rsid w:val="000F4155"/>
    <w:rsid w:val="000F44CB"/>
    <w:rsid w:val="000F5099"/>
    <w:rsid w:val="000F5866"/>
    <w:rsid w:val="000F74AB"/>
    <w:rsid w:val="000F7568"/>
    <w:rsid w:val="000F7E42"/>
    <w:rsid w:val="00102CD3"/>
    <w:rsid w:val="001047E3"/>
    <w:rsid w:val="00105A9C"/>
    <w:rsid w:val="00106446"/>
    <w:rsid w:val="00110B4B"/>
    <w:rsid w:val="00111596"/>
    <w:rsid w:val="00111CC9"/>
    <w:rsid w:val="00112032"/>
    <w:rsid w:val="00113388"/>
    <w:rsid w:val="00113C61"/>
    <w:rsid w:val="0011564D"/>
    <w:rsid w:val="0011569B"/>
    <w:rsid w:val="001178EB"/>
    <w:rsid w:val="0012174B"/>
    <w:rsid w:val="001228FD"/>
    <w:rsid w:val="00123CC1"/>
    <w:rsid w:val="00124410"/>
    <w:rsid w:val="0012510B"/>
    <w:rsid w:val="00125769"/>
    <w:rsid w:val="00125B14"/>
    <w:rsid w:val="00125EF8"/>
    <w:rsid w:val="00125F48"/>
    <w:rsid w:val="00126A59"/>
    <w:rsid w:val="00130B73"/>
    <w:rsid w:val="00131028"/>
    <w:rsid w:val="0013172D"/>
    <w:rsid w:val="001327AB"/>
    <w:rsid w:val="00132924"/>
    <w:rsid w:val="00134894"/>
    <w:rsid w:val="00137798"/>
    <w:rsid w:val="001413DF"/>
    <w:rsid w:val="00141575"/>
    <w:rsid w:val="00141BEE"/>
    <w:rsid w:val="0014220A"/>
    <w:rsid w:val="00144141"/>
    <w:rsid w:val="0014699B"/>
    <w:rsid w:val="00146D14"/>
    <w:rsid w:val="00146EB7"/>
    <w:rsid w:val="001522A5"/>
    <w:rsid w:val="00153C89"/>
    <w:rsid w:val="001540C5"/>
    <w:rsid w:val="001547FC"/>
    <w:rsid w:val="0016110C"/>
    <w:rsid w:val="001617E9"/>
    <w:rsid w:val="00162F23"/>
    <w:rsid w:val="001642C4"/>
    <w:rsid w:val="00164661"/>
    <w:rsid w:val="00167194"/>
    <w:rsid w:val="00167763"/>
    <w:rsid w:val="001708E8"/>
    <w:rsid w:val="00173D83"/>
    <w:rsid w:val="001753FA"/>
    <w:rsid w:val="00175FE2"/>
    <w:rsid w:val="0017741D"/>
    <w:rsid w:val="00181D2E"/>
    <w:rsid w:val="001846F2"/>
    <w:rsid w:val="001850A4"/>
    <w:rsid w:val="00185B43"/>
    <w:rsid w:val="00187DB6"/>
    <w:rsid w:val="00190C8F"/>
    <w:rsid w:val="00192075"/>
    <w:rsid w:val="001924BD"/>
    <w:rsid w:val="00192709"/>
    <w:rsid w:val="00194B0E"/>
    <w:rsid w:val="001967E9"/>
    <w:rsid w:val="00197153"/>
    <w:rsid w:val="00197441"/>
    <w:rsid w:val="001A053D"/>
    <w:rsid w:val="001A09D1"/>
    <w:rsid w:val="001A101A"/>
    <w:rsid w:val="001A2566"/>
    <w:rsid w:val="001A3AA5"/>
    <w:rsid w:val="001A3AFC"/>
    <w:rsid w:val="001A561A"/>
    <w:rsid w:val="001A58C6"/>
    <w:rsid w:val="001B2294"/>
    <w:rsid w:val="001B313B"/>
    <w:rsid w:val="001B4F01"/>
    <w:rsid w:val="001B5907"/>
    <w:rsid w:val="001C274B"/>
    <w:rsid w:val="001C369A"/>
    <w:rsid w:val="001C3EC1"/>
    <w:rsid w:val="001C5444"/>
    <w:rsid w:val="001C560E"/>
    <w:rsid w:val="001C7034"/>
    <w:rsid w:val="001D0919"/>
    <w:rsid w:val="001D0F5F"/>
    <w:rsid w:val="001D26DC"/>
    <w:rsid w:val="001D300D"/>
    <w:rsid w:val="001D302B"/>
    <w:rsid w:val="001D5B75"/>
    <w:rsid w:val="001D730D"/>
    <w:rsid w:val="001E3D6A"/>
    <w:rsid w:val="001E4458"/>
    <w:rsid w:val="001E4C72"/>
    <w:rsid w:val="001E5669"/>
    <w:rsid w:val="001E59F7"/>
    <w:rsid w:val="001F1819"/>
    <w:rsid w:val="001F3740"/>
    <w:rsid w:val="001F4878"/>
    <w:rsid w:val="001F526E"/>
    <w:rsid w:val="001F5B18"/>
    <w:rsid w:val="001F7861"/>
    <w:rsid w:val="001F7AFA"/>
    <w:rsid w:val="001F7F7E"/>
    <w:rsid w:val="002008A9"/>
    <w:rsid w:val="00200C39"/>
    <w:rsid w:val="00201610"/>
    <w:rsid w:val="00201853"/>
    <w:rsid w:val="002018AB"/>
    <w:rsid w:val="002023F0"/>
    <w:rsid w:val="0020308E"/>
    <w:rsid w:val="00203EA6"/>
    <w:rsid w:val="0020512D"/>
    <w:rsid w:val="00206F11"/>
    <w:rsid w:val="002105AC"/>
    <w:rsid w:val="00210F21"/>
    <w:rsid w:val="0021139E"/>
    <w:rsid w:val="0021498F"/>
    <w:rsid w:val="0021548B"/>
    <w:rsid w:val="00215D98"/>
    <w:rsid w:val="00221240"/>
    <w:rsid w:val="00221BE4"/>
    <w:rsid w:val="00222AE0"/>
    <w:rsid w:val="00223541"/>
    <w:rsid w:val="002240A4"/>
    <w:rsid w:val="0023235C"/>
    <w:rsid w:val="00232836"/>
    <w:rsid w:val="00235123"/>
    <w:rsid w:val="00236C48"/>
    <w:rsid w:val="00240354"/>
    <w:rsid w:val="002419D0"/>
    <w:rsid w:val="00241A39"/>
    <w:rsid w:val="00241B1C"/>
    <w:rsid w:val="00242A62"/>
    <w:rsid w:val="002444EA"/>
    <w:rsid w:val="00245EF6"/>
    <w:rsid w:val="00246A7A"/>
    <w:rsid w:val="002504DB"/>
    <w:rsid w:val="00251252"/>
    <w:rsid w:val="0025131F"/>
    <w:rsid w:val="00253669"/>
    <w:rsid w:val="00253BFE"/>
    <w:rsid w:val="00254043"/>
    <w:rsid w:val="00255AC7"/>
    <w:rsid w:val="00256464"/>
    <w:rsid w:val="00256A84"/>
    <w:rsid w:val="002570A1"/>
    <w:rsid w:val="002579E4"/>
    <w:rsid w:val="00261AC6"/>
    <w:rsid w:val="00262EA5"/>
    <w:rsid w:val="00262FCB"/>
    <w:rsid w:val="00263878"/>
    <w:rsid w:val="00263CC4"/>
    <w:rsid w:val="0026439A"/>
    <w:rsid w:val="002643E5"/>
    <w:rsid w:val="00264DF3"/>
    <w:rsid w:val="00264EB2"/>
    <w:rsid w:val="00265009"/>
    <w:rsid w:val="00265E1A"/>
    <w:rsid w:val="002663DF"/>
    <w:rsid w:val="0026705D"/>
    <w:rsid w:val="00267C83"/>
    <w:rsid w:val="002721FF"/>
    <w:rsid w:val="00272434"/>
    <w:rsid w:val="00272498"/>
    <w:rsid w:val="00276AC4"/>
    <w:rsid w:val="0027767A"/>
    <w:rsid w:val="002815E4"/>
    <w:rsid w:val="0028240A"/>
    <w:rsid w:val="00283A43"/>
    <w:rsid w:val="0028486F"/>
    <w:rsid w:val="00285A81"/>
    <w:rsid w:val="00285F61"/>
    <w:rsid w:val="002868A8"/>
    <w:rsid w:val="0028703F"/>
    <w:rsid w:val="00287BEA"/>
    <w:rsid w:val="00290DAB"/>
    <w:rsid w:val="00290DD1"/>
    <w:rsid w:val="00291C24"/>
    <w:rsid w:val="00292441"/>
    <w:rsid w:val="00292F73"/>
    <w:rsid w:val="00293A07"/>
    <w:rsid w:val="00293AA8"/>
    <w:rsid w:val="002963B2"/>
    <w:rsid w:val="00297284"/>
    <w:rsid w:val="00297B75"/>
    <w:rsid w:val="00297DCC"/>
    <w:rsid w:val="002A0C4E"/>
    <w:rsid w:val="002A1672"/>
    <w:rsid w:val="002A22D6"/>
    <w:rsid w:val="002A3505"/>
    <w:rsid w:val="002A379E"/>
    <w:rsid w:val="002A4598"/>
    <w:rsid w:val="002A65E2"/>
    <w:rsid w:val="002A67CA"/>
    <w:rsid w:val="002A7BBC"/>
    <w:rsid w:val="002B15AC"/>
    <w:rsid w:val="002B1662"/>
    <w:rsid w:val="002B469A"/>
    <w:rsid w:val="002B51EA"/>
    <w:rsid w:val="002B7256"/>
    <w:rsid w:val="002C1AB9"/>
    <w:rsid w:val="002C2061"/>
    <w:rsid w:val="002C2D6E"/>
    <w:rsid w:val="002C363B"/>
    <w:rsid w:val="002C465A"/>
    <w:rsid w:val="002C6E3F"/>
    <w:rsid w:val="002D0F14"/>
    <w:rsid w:val="002D10AB"/>
    <w:rsid w:val="002D13DD"/>
    <w:rsid w:val="002D2F30"/>
    <w:rsid w:val="002D398C"/>
    <w:rsid w:val="002D5AAF"/>
    <w:rsid w:val="002D61AB"/>
    <w:rsid w:val="002E236F"/>
    <w:rsid w:val="002E273F"/>
    <w:rsid w:val="002E28E9"/>
    <w:rsid w:val="002E36ED"/>
    <w:rsid w:val="002E3F2A"/>
    <w:rsid w:val="002E5727"/>
    <w:rsid w:val="002E6631"/>
    <w:rsid w:val="002E7D64"/>
    <w:rsid w:val="002F1C4E"/>
    <w:rsid w:val="002F2A20"/>
    <w:rsid w:val="002F4865"/>
    <w:rsid w:val="002F5627"/>
    <w:rsid w:val="002F5764"/>
    <w:rsid w:val="002F654F"/>
    <w:rsid w:val="002F7B60"/>
    <w:rsid w:val="002F7BD9"/>
    <w:rsid w:val="003009CE"/>
    <w:rsid w:val="00300C8F"/>
    <w:rsid w:val="00303366"/>
    <w:rsid w:val="00304AFA"/>
    <w:rsid w:val="00304CC3"/>
    <w:rsid w:val="00304DD8"/>
    <w:rsid w:val="00306A74"/>
    <w:rsid w:val="003107CD"/>
    <w:rsid w:val="00311F8B"/>
    <w:rsid w:val="00313325"/>
    <w:rsid w:val="0031396B"/>
    <w:rsid w:val="00313A4D"/>
    <w:rsid w:val="00313F34"/>
    <w:rsid w:val="00314D70"/>
    <w:rsid w:val="00314DB9"/>
    <w:rsid w:val="00315C1C"/>
    <w:rsid w:val="00320EE5"/>
    <w:rsid w:val="00321E2F"/>
    <w:rsid w:val="0032557C"/>
    <w:rsid w:val="00327515"/>
    <w:rsid w:val="00331031"/>
    <w:rsid w:val="003327BF"/>
    <w:rsid w:val="00334278"/>
    <w:rsid w:val="003350FF"/>
    <w:rsid w:val="00335312"/>
    <w:rsid w:val="00335CCE"/>
    <w:rsid w:val="00335FD1"/>
    <w:rsid w:val="003360BC"/>
    <w:rsid w:val="003401C3"/>
    <w:rsid w:val="00340374"/>
    <w:rsid w:val="003405EA"/>
    <w:rsid w:val="00340A1C"/>
    <w:rsid w:val="00340B45"/>
    <w:rsid w:val="00340E34"/>
    <w:rsid w:val="00342E44"/>
    <w:rsid w:val="00342EA3"/>
    <w:rsid w:val="00345BBA"/>
    <w:rsid w:val="0034766E"/>
    <w:rsid w:val="00347DC8"/>
    <w:rsid w:val="00350118"/>
    <w:rsid w:val="00350642"/>
    <w:rsid w:val="0035087B"/>
    <w:rsid w:val="00352E5D"/>
    <w:rsid w:val="00353D3F"/>
    <w:rsid w:val="00354E41"/>
    <w:rsid w:val="003563EA"/>
    <w:rsid w:val="0035647A"/>
    <w:rsid w:val="00356C0C"/>
    <w:rsid w:val="0036003D"/>
    <w:rsid w:val="003608CF"/>
    <w:rsid w:val="00361E5C"/>
    <w:rsid w:val="00363C66"/>
    <w:rsid w:val="00364BE7"/>
    <w:rsid w:val="00365420"/>
    <w:rsid w:val="00365849"/>
    <w:rsid w:val="0036592F"/>
    <w:rsid w:val="0036754C"/>
    <w:rsid w:val="00367761"/>
    <w:rsid w:val="003716F6"/>
    <w:rsid w:val="003723EC"/>
    <w:rsid w:val="00372E6F"/>
    <w:rsid w:val="00373228"/>
    <w:rsid w:val="00374C27"/>
    <w:rsid w:val="0037765F"/>
    <w:rsid w:val="0037789B"/>
    <w:rsid w:val="003779F0"/>
    <w:rsid w:val="00381353"/>
    <w:rsid w:val="00382317"/>
    <w:rsid w:val="00383E27"/>
    <w:rsid w:val="00384B52"/>
    <w:rsid w:val="00384F53"/>
    <w:rsid w:val="00385E98"/>
    <w:rsid w:val="00387315"/>
    <w:rsid w:val="00391805"/>
    <w:rsid w:val="00392462"/>
    <w:rsid w:val="003927AD"/>
    <w:rsid w:val="003966A4"/>
    <w:rsid w:val="00396E9F"/>
    <w:rsid w:val="003A4099"/>
    <w:rsid w:val="003A48A3"/>
    <w:rsid w:val="003A56B4"/>
    <w:rsid w:val="003A5FEB"/>
    <w:rsid w:val="003A67B9"/>
    <w:rsid w:val="003A7D94"/>
    <w:rsid w:val="003B074C"/>
    <w:rsid w:val="003B099D"/>
    <w:rsid w:val="003B1302"/>
    <w:rsid w:val="003B652C"/>
    <w:rsid w:val="003B65C0"/>
    <w:rsid w:val="003B6B4B"/>
    <w:rsid w:val="003C054C"/>
    <w:rsid w:val="003C0A14"/>
    <w:rsid w:val="003C1256"/>
    <w:rsid w:val="003C1404"/>
    <w:rsid w:val="003C193D"/>
    <w:rsid w:val="003C2BD3"/>
    <w:rsid w:val="003C2F63"/>
    <w:rsid w:val="003C7A73"/>
    <w:rsid w:val="003D16A0"/>
    <w:rsid w:val="003D33BF"/>
    <w:rsid w:val="003D4669"/>
    <w:rsid w:val="003D475A"/>
    <w:rsid w:val="003D5168"/>
    <w:rsid w:val="003D5E2A"/>
    <w:rsid w:val="003D710E"/>
    <w:rsid w:val="003E031B"/>
    <w:rsid w:val="003E0880"/>
    <w:rsid w:val="003E3CBC"/>
    <w:rsid w:val="003E44E8"/>
    <w:rsid w:val="003E46D4"/>
    <w:rsid w:val="003E4F45"/>
    <w:rsid w:val="003E5316"/>
    <w:rsid w:val="003E587C"/>
    <w:rsid w:val="003E63DA"/>
    <w:rsid w:val="003E6E9A"/>
    <w:rsid w:val="003E77E5"/>
    <w:rsid w:val="003F0052"/>
    <w:rsid w:val="003F0750"/>
    <w:rsid w:val="003F080A"/>
    <w:rsid w:val="003F1CA7"/>
    <w:rsid w:val="003F3C0E"/>
    <w:rsid w:val="003F50DE"/>
    <w:rsid w:val="003F67AD"/>
    <w:rsid w:val="003F6BCC"/>
    <w:rsid w:val="003F6DCF"/>
    <w:rsid w:val="003F7A5C"/>
    <w:rsid w:val="00400ACB"/>
    <w:rsid w:val="00401EA9"/>
    <w:rsid w:val="00403331"/>
    <w:rsid w:val="004047E0"/>
    <w:rsid w:val="0040501F"/>
    <w:rsid w:val="00405498"/>
    <w:rsid w:val="0040556F"/>
    <w:rsid w:val="00405C57"/>
    <w:rsid w:val="00405CF4"/>
    <w:rsid w:val="0040634B"/>
    <w:rsid w:val="0040642E"/>
    <w:rsid w:val="00406717"/>
    <w:rsid w:val="00406F15"/>
    <w:rsid w:val="00411123"/>
    <w:rsid w:val="004112B7"/>
    <w:rsid w:val="004117C4"/>
    <w:rsid w:val="0041189C"/>
    <w:rsid w:val="00412EDA"/>
    <w:rsid w:val="00413ED6"/>
    <w:rsid w:val="00415978"/>
    <w:rsid w:val="00415ACD"/>
    <w:rsid w:val="00416A2C"/>
    <w:rsid w:val="00416C93"/>
    <w:rsid w:val="0041713C"/>
    <w:rsid w:val="00421828"/>
    <w:rsid w:val="004237B8"/>
    <w:rsid w:val="00423AB0"/>
    <w:rsid w:val="004241CA"/>
    <w:rsid w:val="0043056E"/>
    <w:rsid w:val="00431DCD"/>
    <w:rsid w:val="00432EDE"/>
    <w:rsid w:val="004346A4"/>
    <w:rsid w:val="00434E74"/>
    <w:rsid w:val="00435FE1"/>
    <w:rsid w:val="00436879"/>
    <w:rsid w:val="00437C4F"/>
    <w:rsid w:val="00437DC8"/>
    <w:rsid w:val="0044006B"/>
    <w:rsid w:val="00440E17"/>
    <w:rsid w:val="00441569"/>
    <w:rsid w:val="00441DE0"/>
    <w:rsid w:val="004438EC"/>
    <w:rsid w:val="00444082"/>
    <w:rsid w:val="00446471"/>
    <w:rsid w:val="004470B6"/>
    <w:rsid w:val="004470BD"/>
    <w:rsid w:val="00447F68"/>
    <w:rsid w:val="00454519"/>
    <w:rsid w:val="004604E5"/>
    <w:rsid w:val="00460668"/>
    <w:rsid w:val="00460D7A"/>
    <w:rsid w:val="004611C1"/>
    <w:rsid w:val="0046306C"/>
    <w:rsid w:val="00465AF5"/>
    <w:rsid w:val="004661B0"/>
    <w:rsid w:val="00466857"/>
    <w:rsid w:val="00470775"/>
    <w:rsid w:val="00473A7F"/>
    <w:rsid w:val="00474576"/>
    <w:rsid w:val="0047627C"/>
    <w:rsid w:val="004770D1"/>
    <w:rsid w:val="00477E58"/>
    <w:rsid w:val="00481E00"/>
    <w:rsid w:val="00484599"/>
    <w:rsid w:val="00484DBE"/>
    <w:rsid w:val="004851C5"/>
    <w:rsid w:val="00485F0D"/>
    <w:rsid w:val="004906F2"/>
    <w:rsid w:val="004929AF"/>
    <w:rsid w:val="00494A80"/>
    <w:rsid w:val="004955E3"/>
    <w:rsid w:val="004A1A83"/>
    <w:rsid w:val="004A5362"/>
    <w:rsid w:val="004A5ABE"/>
    <w:rsid w:val="004A774F"/>
    <w:rsid w:val="004A7AFF"/>
    <w:rsid w:val="004B2359"/>
    <w:rsid w:val="004B3A3B"/>
    <w:rsid w:val="004B4AA0"/>
    <w:rsid w:val="004B501F"/>
    <w:rsid w:val="004B6A9B"/>
    <w:rsid w:val="004B6B72"/>
    <w:rsid w:val="004B7546"/>
    <w:rsid w:val="004C0A57"/>
    <w:rsid w:val="004C3F0B"/>
    <w:rsid w:val="004C4320"/>
    <w:rsid w:val="004C5034"/>
    <w:rsid w:val="004C6C6E"/>
    <w:rsid w:val="004C780E"/>
    <w:rsid w:val="004D11C5"/>
    <w:rsid w:val="004D4549"/>
    <w:rsid w:val="004D55F9"/>
    <w:rsid w:val="004D5ACE"/>
    <w:rsid w:val="004E0B8E"/>
    <w:rsid w:val="004E0BE3"/>
    <w:rsid w:val="004E15FF"/>
    <w:rsid w:val="004E1894"/>
    <w:rsid w:val="004E1B32"/>
    <w:rsid w:val="004E2CF6"/>
    <w:rsid w:val="004E567C"/>
    <w:rsid w:val="004E6F94"/>
    <w:rsid w:val="004E7331"/>
    <w:rsid w:val="004E7578"/>
    <w:rsid w:val="004F3090"/>
    <w:rsid w:val="004F3836"/>
    <w:rsid w:val="004F3E65"/>
    <w:rsid w:val="004F4346"/>
    <w:rsid w:val="004F4D75"/>
    <w:rsid w:val="00502086"/>
    <w:rsid w:val="00504154"/>
    <w:rsid w:val="0050436C"/>
    <w:rsid w:val="005057CC"/>
    <w:rsid w:val="00505858"/>
    <w:rsid w:val="00505F80"/>
    <w:rsid w:val="00507E86"/>
    <w:rsid w:val="005115F3"/>
    <w:rsid w:val="00511F70"/>
    <w:rsid w:val="00512BF2"/>
    <w:rsid w:val="00515EB7"/>
    <w:rsid w:val="005168C3"/>
    <w:rsid w:val="00520518"/>
    <w:rsid w:val="00520CD4"/>
    <w:rsid w:val="0052205A"/>
    <w:rsid w:val="00523D1E"/>
    <w:rsid w:val="0052422C"/>
    <w:rsid w:val="0052537E"/>
    <w:rsid w:val="005257D5"/>
    <w:rsid w:val="00525F48"/>
    <w:rsid w:val="0052611C"/>
    <w:rsid w:val="00531BF0"/>
    <w:rsid w:val="00532CE9"/>
    <w:rsid w:val="00533FFC"/>
    <w:rsid w:val="00534D98"/>
    <w:rsid w:val="0053539D"/>
    <w:rsid w:val="005360CC"/>
    <w:rsid w:val="005361E0"/>
    <w:rsid w:val="00540302"/>
    <w:rsid w:val="00540570"/>
    <w:rsid w:val="0054365D"/>
    <w:rsid w:val="005447D5"/>
    <w:rsid w:val="00545154"/>
    <w:rsid w:val="00545D91"/>
    <w:rsid w:val="00547B5A"/>
    <w:rsid w:val="00550282"/>
    <w:rsid w:val="0055319D"/>
    <w:rsid w:val="0055403A"/>
    <w:rsid w:val="005547A8"/>
    <w:rsid w:val="005550DD"/>
    <w:rsid w:val="005551C1"/>
    <w:rsid w:val="00560F77"/>
    <w:rsid w:val="00561899"/>
    <w:rsid w:val="00562C7F"/>
    <w:rsid w:val="00563557"/>
    <w:rsid w:val="005635C8"/>
    <w:rsid w:val="00564B12"/>
    <w:rsid w:val="005665E1"/>
    <w:rsid w:val="005701BB"/>
    <w:rsid w:val="005709B5"/>
    <w:rsid w:val="00570BB9"/>
    <w:rsid w:val="00572418"/>
    <w:rsid w:val="00572520"/>
    <w:rsid w:val="00572EF3"/>
    <w:rsid w:val="00573857"/>
    <w:rsid w:val="00573BE5"/>
    <w:rsid w:val="00574301"/>
    <w:rsid w:val="005744DA"/>
    <w:rsid w:val="00574806"/>
    <w:rsid w:val="00574963"/>
    <w:rsid w:val="005752A3"/>
    <w:rsid w:val="00575CB7"/>
    <w:rsid w:val="00577537"/>
    <w:rsid w:val="005779C0"/>
    <w:rsid w:val="005804B8"/>
    <w:rsid w:val="005824F4"/>
    <w:rsid w:val="00583F70"/>
    <w:rsid w:val="00584D05"/>
    <w:rsid w:val="0058523D"/>
    <w:rsid w:val="005870BA"/>
    <w:rsid w:val="00587C00"/>
    <w:rsid w:val="00587E4F"/>
    <w:rsid w:val="0059449D"/>
    <w:rsid w:val="005A0E67"/>
    <w:rsid w:val="005A20D1"/>
    <w:rsid w:val="005A50A0"/>
    <w:rsid w:val="005A55EB"/>
    <w:rsid w:val="005A6D02"/>
    <w:rsid w:val="005B03C3"/>
    <w:rsid w:val="005B0C96"/>
    <w:rsid w:val="005B1244"/>
    <w:rsid w:val="005B252C"/>
    <w:rsid w:val="005B3314"/>
    <w:rsid w:val="005B36F6"/>
    <w:rsid w:val="005B43B8"/>
    <w:rsid w:val="005B64F8"/>
    <w:rsid w:val="005B6C58"/>
    <w:rsid w:val="005C2DE6"/>
    <w:rsid w:val="005C36C3"/>
    <w:rsid w:val="005C3A98"/>
    <w:rsid w:val="005C5098"/>
    <w:rsid w:val="005C58EB"/>
    <w:rsid w:val="005C6B10"/>
    <w:rsid w:val="005C7559"/>
    <w:rsid w:val="005D04A2"/>
    <w:rsid w:val="005D088D"/>
    <w:rsid w:val="005D1F21"/>
    <w:rsid w:val="005D1FBC"/>
    <w:rsid w:val="005D392F"/>
    <w:rsid w:val="005D3F16"/>
    <w:rsid w:val="005D4549"/>
    <w:rsid w:val="005D5FFA"/>
    <w:rsid w:val="005D64B2"/>
    <w:rsid w:val="005D78A2"/>
    <w:rsid w:val="005E15EC"/>
    <w:rsid w:val="005E1C52"/>
    <w:rsid w:val="005E2E68"/>
    <w:rsid w:val="005E33D2"/>
    <w:rsid w:val="005E4BD2"/>
    <w:rsid w:val="005E50F3"/>
    <w:rsid w:val="005E73B6"/>
    <w:rsid w:val="005F1B70"/>
    <w:rsid w:val="005F2D4C"/>
    <w:rsid w:val="005F37D4"/>
    <w:rsid w:val="005F42D2"/>
    <w:rsid w:val="005F430D"/>
    <w:rsid w:val="005F4DD9"/>
    <w:rsid w:val="005F6815"/>
    <w:rsid w:val="00600216"/>
    <w:rsid w:val="00601B2C"/>
    <w:rsid w:val="00601EF9"/>
    <w:rsid w:val="00603AAF"/>
    <w:rsid w:val="00603AC2"/>
    <w:rsid w:val="00605007"/>
    <w:rsid w:val="006108AB"/>
    <w:rsid w:val="00610DCD"/>
    <w:rsid w:val="00611562"/>
    <w:rsid w:val="006119B8"/>
    <w:rsid w:val="00616BBC"/>
    <w:rsid w:val="00616BF1"/>
    <w:rsid w:val="00617730"/>
    <w:rsid w:val="00620483"/>
    <w:rsid w:val="00620808"/>
    <w:rsid w:val="006217E3"/>
    <w:rsid w:val="00621A67"/>
    <w:rsid w:val="00621EDB"/>
    <w:rsid w:val="00623F7E"/>
    <w:rsid w:val="0062497C"/>
    <w:rsid w:val="00625271"/>
    <w:rsid w:val="006349D2"/>
    <w:rsid w:val="00636643"/>
    <w:rsid w:val="00637F16"/>
    <w:rsid w:val="00640A47"/>
    <w:rsid w:val="00642501"/>
    <w:rsid w:val="0064267E"/>
    <w:rsid w:val="006430FF"/>
    <w:rsid w:val="00643967"/>
    <w:rsid w:val="006463AC"/>
    <w:rsid w:val="00647F9D"/>
    <w:rsid w:val="00653B74"/>
    <w:rsid w:val="006545A5"/>
    <w:rsid w:val="006569FD"/>
    <w:rsid w:val="00657B10"/>
    <w:rsid w:val="0066096D"/>
    <w:rsid w:val="0066100B"/>
    <w:rsid w:val="00662EE0"/>
    <w:rsid w:val="0066454E"/>
    <w:rsid w:val="00665A8B"/>
    <w:rsid w:val="00667220"/>
    <w:rsid w:val="00667D33"/>
    <w:rsid w:val="00671324"/>
    <w:rsid w:val="0067452B"/>
    <w:rsid w:val="00676087"/>
    <w:rsid w:val="00677156"/>
    <w:rsid w:val="006779A1"/>
    <w:rsid w:val="006807B3"/>
    <w:rsid w:val="006813A4"/>
    <w:rsid w:val="00681F77"/>
    <w:rsid w:val="00682BA0"/>
    <w:rsid w:val="00682E7A"/>
    <w:rsid w:val="0068390A"/>
    <w:rsid w:val="006855D3"/>
    <w:rsid w:val="00685F80"/>
    <w:rsid w:val="00690243"/>
    <w:rsid w:val="0069139A"/>
    <w:rsid w:val="006920E4"/>
    <w:rsid w:val="0069219F"/>
    <w:rsid w:val="006944EB"/>
    <w:rsid w:val="00694C2D"/>
    <w:rsid w:val="00695459"/>
    <w:rsid w:val="006A0435"/>
    <w:rsid w:val="006A1B12"/>
    <w:rsid w:val="006A2D0E"/>
    <w:rsid w:val="006A2DD2"/>
    <w:rsid w:val="006A34AC"/>
    <w:rsid w:val="006A50E4"/>
    <w:rsid w:val="006A58C6"/>
    <w:rsid w:val="006A7371"/>
    <w:rsid w:val="006B0438"/>
    <w:rsid w:val="006B0910"/>
    <w:rsid w:val="006B0C15"/>
    <w:rsid w:val="006B0C80"/>
    <w:rsid w:val="006B1602"/>
    <w:rsid w:val="006B26CA"/>
    <w:rsid w:val="006B4795"/>
    <w:rsid w:val="006B5791"/>
    <w:rsid w:val="006B5C9A"/>
    <w:rsid w:val="006B7B54"/>
    <w:rsid w:val="006C0536"/>
    <w:rsid w:val="006C0F76"/>
    <w:rsid w:val="006C23C2"/>
    <w:rsid w:val="006C2B61"/>
    <w:rsid w:val="006C33AC"/>
    <w:rsid w:val="006C48FD"/>
    <w:rsid w:val="006C5C39"/>
    <w:rsid w:val="006D0536"/>
    <w:rsid w:val="006D0E3B"/>
    <w:rsid w:val="006D2054"/>
    <w:rsid w:val="006D3851"/>
    <w:rsid w:val="006D3A6D"/>
    <w:rsid w:val="006D4F91"/>
    <w:rsid w:val="006D6ADB"/>
    <w:rsid w:val="006E0419"/>
    <w:rsid w:val="006E14C0"/>
    <w:rsid w:val="006E2594"/>
    <w:rsid w:val="006E278E"/>
    <w:rsid w:val="006E45CC"/>
    <w:rsid w:val="006E4AF5"/>
    <w:rsid w:val="006E63DE"/>
    <w:rsid w:val="006E64C6"/>
    <w:rsid w:val="006E70D1"/>
    <w:rsid w:val="006F137B"/>
    <w:rsid w:val="006F1DC1"/>
    <w:rsid w:val="006F2292"/>
    <w:rsid w:val="006F3B2C"/>
    <w:rsid w:val="006F4901"/>
    <w:rsid w:val="006F4B65"/>
    <w:rsid w:val="006F53F1"/>
    <w:rsid w:val="006F6D52"/>
    <w:rsid w:val="007001BB"/>
    <w:rsid w:val="00704082"/>
    <w:rsid w:val="00704D2C"/>
    <w:rsid w:val="00705B51"/>
    <w:rsid w:val="00707D21"/>
    <w:rsid w:val="00707DAE"/>
    <w:rsid w:val="00710C2B"/>
    <w:rsid w:val="0071593B"/>
    <w:rsid w:val="00715BB2"/>
    <w:rsid w:val="007168DB"/>
    <w:rsid w:val="00717ABB"/>
    <w:rsid w:val="007203FF"/>
    <w:rsid w:val="00722005"/>
    <w:rsid w:val="00722CFC"/>
    <w:rsid w:val="00725683"/>
    <w:rsid w:val="007257D4"/>
    <w:rsid w:val="00726F2B"/>
    <w:rsid w:val="00727A5C"/>
    <w:rsid w:val="00732F1A"/>
    <w:rsid w:val="007360FB"/>
    <w:rsid w:val="007369A0"/>
    <w:rsid w:val="00740E6A"/>
    <w:rsid w:val="0074150C"/>
    <w:rsid w:val="007432CA"/>
    <w:rsid w:val="007434B4"/>
    <w:rsid w:val="00744360"/>
    <w:rsid w:val="00745685"/>
    <w:rsid w:val="00746586"/>
    <w:rsid w:val="00747779"/>
    <w:rsid w:val="00747DDA"/>
    <w:rsid w:val="00747F03"/>
    <w:rsid w:val="00751EBB"/>
    <w:rsid w:val="00751F7C"/>
    <w:rsid w:val="007553E8"/>
    <w:rsid w:val="00755DE5"/>
    <w:rsid w:val="00755F77"/>
    <w:rsid w:val="007567BC"/>
    <w:rsid w:val="007568EE"/>
    <w:rsid w:val="00760328"/>
    <w:rsid w:val="007606C3"/>
    <w:rsid w:val="00760E64"/>
    <w:rsid w:val="00761F02"/>
    <w:rsid w:val="007661D6"/>
    <w:rsid w:val="0076675E"/>
    <w:rsid w:val="0076684A"/>
    <w:rsid w:val="007677C8"/>
    <w:rsid w:val="0077276B"/>
    <w:rsid w:val="00772BAC"/>
    <w:rsid w:val="007741AD"/>
    <w:rsid w:val="00775065"/>
    <w:rsid w:val="00776F5F"/>
    <w:rsid w:val="00777453"/>
    <w:rsid w:val="00780CB0"/>
    <w:rsid w:val="00781BF2"/>
    <w:rsid w:val="00783119"/>
    <w:rsid w:val="00785D69"/>
    <w:rsid w:val="00787713"/>
    <w:rsid w:val="00787B90"/>
    <w:rsid w:val="00792FF7"/>
    <w:rsid w:val="007936B7"/>
    <w:rsid w:val="007938A2"/>
    <w:rsid w:val="00793C99"/>
    <w:rsid w:val="0079531F"/>
    <w:rsid w:val="00795D1A"/>
    <w:rsid w:val="007967C8"/>
    <w:rsid w:val="007972B8"/>
    <w:rsid w:val="007A1B60"/>
    <w:rsid w:val="007A3ABD"/>
    <w:rsid w:val="007A646C"/>
    <w:rsid w:val="007A69F1"/>
    <w:rsid w:val="007A6EC0"/>
    <w:rsid w:val="007B0491"/>
    <w:rsid w:val="007B3D2B"/>
    <w:rsid w:val="007B4A00"/>
    <w:rsid w:val="007B55DC"/>
    <w:rsid w:val="007B741B"/>
    <w:rsid w:val="007C0045"/>
    <w:rsid w:val="007C08E9"/>
    <w:rsid w:val="007C139D"/>
    <w:rsid w:val="007C1433"/>
    <w:rsid w:val="007C165C"/>
    <w:rsid w:val="007C196E"/>
    <w:rsid w:val="007C2C9D"/>
    <w:rsid w:val="007C302F"/>
    <w:rsid w:val="007C3D72"/>
    <w:rsid w:val="007C4610"/>
    <w:rsid w:val="007C5C1F"/>
    <w:rsid w:val="007C76F3"/>
    <w:rsid w:val="007D1483"/>
    <w:rsid w:val="007D23C8"/>
    <w:rsid w:val="007D2ACE"/>
    <w:rsid w:val="007D405F"/>
    <w:rsid w:val="007D460B"/>
    <w:rsid w:val="007D57AF"/>
    <w:rsid w:val="007D6E84"/>
    <w:rsid w:val="007D7812"/>
    <w:rsid w:val="007E0993"/>
    <w:rsid w:val="007E1DC0"/>
    <w:rsid w:val="007E4215"/>
    <w:rsid w:val="007E4969"/>
    <w:rsid w:val="007E4CA2"/>
    <w:rsid w:val="007F29C8"/>
    <w:rsid w:val="007F5C7E"/>
    <w:rsid w:val="007F6ECA"/>
    <w:rsid w:val="007F77C0"/>
    <w:rsid w:val="008022B0"/>
    <w:rsid w:val="00802329"/>
    <w:rsid w:val="00802E2B"/>
    <w:rsid w:val="008031EC"/>
    <w:rsid w:val="008041E9"/>
    <w:rsid w:val="0080537C"/>
    <w:rsid w:val="00805E68"/>
    <w:rsid w:val="00807527"/>
    <w:rsid w:val="00811F9E"/>
    <w:rsid w:val="0081296D"/>
    <w:rsid w:val="008137E0"/>
    <w:rsid w:val="00813A91"/>
    <w:rsid w:val="00813D58"/>
    <w:rsid w:val="00814F1A"/>
    <w:rsid w:val="00817239"/>
    <w:rsid w:val="00817E88"/>
    <w:rsid w:val="008205E0"/>
    <w:rsid w:val="00820C24"/>
    <w:rsid w:val="008242DC"/>
    <w:rsid w:val="00824B7E"/>
    <w:rsid w:val="008255B9"/>
    <w:rsid w:val="00825E93"/>
    <w:rsid w:val="00826A07"/>
    <w:rsid w:val="00827F5B"/>
    <w:rsid w:val="00831BEF"/>
    <w:rsid w:val="00832224"/>
    <w:rsid w:val="00833685"/>
    <w:rsid w:val="008348A7"/>
    <w:rsid w:val="008368A0"/>
    <w:rsid w:val="0084050F"/>
    <w:rsid w:val="00840AB2"/>
    <w:rsid w:val="008417A5"/>
    <w:rsid w:val="00843563"/>
    <w:rsid w:val="00845390"/>
    <w:rsid w:val="00845511"/>
    <w:rsid w:val="00846C2C"/>
    <w:rsid w:val="0085129C"/>
    <w:rsid w:val="008514BB"/>
    <w:rsid w:val="00852675"/>
    <w:rsid w:val="00852853"/>
    <w:rsid w:val="00853659"/>
    <w:rsid w:val="00860B3B"/>
    <w:rsid w:val="00860E07"/>
    <w:rsid w:val="00861135"/>
    <w:rsid w:val="008613AD"/>
    <w:rsid w:val="00862AC9"/>
    <w:rsid w:val="00862E2B"/>
    <w:rsid w:val="00865FEB"/>
    <w:rsid w:val="00873715"/>
    <w:rsid w:val="00874C18"/>
    <w:rsid w:val="0088016F"/>
    <w:rsid w:val="00880277"/>
    <w:rsid w:val="0088062D"/>
    <w:rsid w:val="008821CE"/>
    <w:rsid w:val="00882419"/>
    <w:rsid w:val="00882F88"/>
    <w:rsid w:val="0088391A"/>
    <w:rsid w:val="0088546D"/>
    <w:rsid w:val="00886FAE"/>
    <w:rsid w:val="00887570"/>
    <w:rsid w:val="008915B0"/>
    <w:rsid w:val="00891A77"/>
    <w:rsid w:val="008920E5"/>
    <w:rsid w:val="00892D2C"/>
    <w:rsid w:val="0089319D"/>
    <w:rsid w:val="00893531"/>
    <w:rsid w:val="008961A9"/>
    <w:rsid w:val="00897720"/>
    <w:rsid w:val="008978AE"/>
    <w:rsid w:val="00897ACD"/>
    <w:rsid w:val="008A1CC1"/>
    <w:rsid w:val="008A558F"/>
    <w:rsid w:val="008A64F6"/>
    <w:rsid w:val="008A6C2A"/>
    <w:rsid w:val="008A739E"/>
    <w:rsid w:val="008A79B2"/>
    <w:rsid w:val="008B064A"/>
    <w:rsid w:val="008B12BD"/>
    <w:rsid w:val="008B14D5"/>
    <w:rsid w:val="008B4ECD"/>
    <w:rsid w:val="008B53FD"/>
    <w:rsid w:val="008B6347"/>
    <w:rsid w:val="008B685F"/>
    <w:rsid w:val="008B7563"/>
    <w:rsid w:val="008C008E"/>
    <w:rsid w:val="008C2834"/>
    <w:rsid w:val="008C2DE1"/>
    <w:rsid w:val="008C3296"/>
    <w:rsid w:val="008C3A07"/>
    <w:rsid w:val="008C41AF"/>
    <w:rsid w:val="008C47C2"/>
    <w:rsid w:val="008C5902"/>
    <w:rsid w:val="008C5988"/>
    <w:rsid w:val="008C6F0F"/>
    <w:rsid w:val="008C7DE5"/>
    <w:rsid w:val="008D0C02"/>
    <w:rsid w:val="008D2413"/>
    <w:rsid w:val="008D2E07"/>
    <w:rsid w:val="008D3FC4"/>
    <w:rsid w:val="008D4892"/>
    <w:rsid w:val="008D499A"/>
    <w:rsid w:val="008D4A08"/>
    <w:rsid w:val="008D5A64"/>
    <w:rsid w:val="008D745F"/>
    <w:rsid w:val="008E1B2E"/>
    <w:rsid w:val="008E306A"/>
    <w:rsid w:val="008E3C1A"/>
    <w:rsid w:val="008E4017"/>
    <w:rsid w:val="008E6453"/>
    <w:rsid w:val="008E6DFB"/>
    <w:rsid w:val="008F0797"/>
    <w:rsid w:val="008F587E"/>
    <w:rsid w:val="008F63FC"/>
    <w:rsid w:val="008F64D6"/>
    <w:rsid w:val="008F78B6"/>
    <w:rsid w:val="00900351"/>
    <w:rsid w:val="0090312E"/>
    <w:rsid w:val="009032AA"/>
    <w:rsid w:val="00904FDD"/>
    <w:rsid w:val="009069C0"/>
    <w:rsid w:val="00907438"/>
    <w:rsid w:val="0090766C"/>
    <w:rsid w:val="009104A6"/>
    <w:rsid w:val="00910FB9"/>
    <w:rsid w:val="0091102F"/>
    <w:rsid w:val="00914055"/>
    <w:rsid w:val="00914916"/>
    <w:rsid w:val="00915C2A"/>
    <w:rsid w:val="009162EE"/>
    <w:rsid w:val="00916580"/>
    <w:rsid w:val="00917370"/>
    <w:rsid w:val="00917978"/>
    <w:rsid w:val="00917B30"/>
    <w:rsid w:val="00921556"/>
    <w:rsid w:val="0092181D"/>
    <w:rsid w:val="009226FF"/>
    <w:rsid w:val="009256D8"/>
    <w:rsid w:val="00926E98"/>
    <w:rsid w:val="0093049E"/>
    <w:rsid w:val="0093169F"/>
    <w:rsid w:val="0093245B"/>
    <w:rsid w:val="00932798"/>
    <w:rsid w:val="00932D24"/>
    <w:rsid w:val="00941D78"/>
    <w:rsid w:val="00942853"/>
    <w:rsid w:val="009438E2"/>
    <w:rsid w:val="00945B02"/>
    <w:rsid w:val="009471C8"/>
    <w:rsid w:val="00951E05"/>
    <w:rsid w:val="00955B59"/>
    <w:rsid w:val="00955E59"/>
    <w:rsid w:val="00956364"/>
    <w:rsid w:val="00956792"/>
    <w:rsid w:val="00960AEF"/>
    <w:rsid w:val="00962287"/>
    <w:rsid w:val="009631BA"/>
    <w:rsid w:val="00964404"/>
    <w:rsid w:val="0096607E"/>
    <w:rsid w:val="00966A87"/>
    <w:rsid w:val="00967FBE"/>
    <w:rsid w:val="009703A7"/>
    <w:rsid w:val="0097053B"/>
    <w:rsid w:val="009716E8"/>
    <w:rsid w:val="00974BFD"/>
    <w:rsid w:val="00974D37"/>
    <w:rsid w:val="00975617"/>
    <w:rsid w:val="009764A4"/>
    <w:rsid w:val="009770C4"/>
    <w:rsid w:val="0098151F"/>
    <w:rsid w:val="009822F0"/>
    <w:rsid w:val="00982966"/>
    <w:rsid w:val="009864CF"/>
    <w:rsid w:val="009868D4"/>
    <w:rsid w:val="00986F61"/>
    <w:rsid w:val="00991EB4"/>
    <w:rsid w:val="00992975"/>
    <w:rsid w:val="00992BAF"/>
    <w:rsid w:val="00993871"/>
    <w:rsid w:val="009938CB"/>
    <w:rsid w:val="009942F0"/>
    <w:rsid w:val="00994CAD"/>
    <w:rsid w:val="0099509B"/>
    <w:rsid w:val="00995A71"/>
    <w:rsid w:val="00996B4D"/>
    <w:rsid w:val="00996D0D"/>
    <w:rsid w:val="0099752F"/>
    <w:rsid w:val="009A30BF"/>
    <w:rsid w:val="009A3F9F"/>
    <w:rsid w:val="009A5E9C"/>
    <w:rsid w:val="009A66CA"/>
    <w:rsid w:val="009A73C9"/>
    <w:rsid w:val="009A74DD"/>
    <w:rsid w:val="009A7525"/>
    <w:rsid w:val="009B06BC"/>
    <w:rsid w:val="009B1F47"/>
    <w:rsid w:val="009B327E"/>
    <w:rsid w:val="009B339A"/>
    <w:rsid w:val="009B4683"/>
    <w:rsid w:val="009B5378"/>
    <w:rsid w:val="009B56E8"/>
    <w:rsid w:val="009B5973"/>
    <w:rsid w:val="009C0224"/>
    <w:rsid w:val="009C39BD"/>
    <w:rsid w:val="009C45B1"/>
    <w:rsid w:val="009C4844"/>
    <w:rsid w:val="009C754F"/>
    <w:rsid w:val="009C773C"/>
    <w:rsid w:val="009D223D"/>
    <w:rsid w:val="009D3A2D"/>
    <w:rsid w:val="009D7095"/>
    <w:rsid w:val="009E4229"/>
    <w:rsid w:val="009E4A6F"/>
    <w:rsid w:val="009E599E"/>
    <w:rsid w:val="009E5BB5"/>
    <w:rsid w:val="009E6740"/>
    <w:rsid w:val="009F3C62"/>
    <w:rsid w:val="009F60DA"/>
    <w:rsid w:val="009F6627"/>
    <w:rsid w:val="009F67A3"/>
    <w:rsid w:val="009F7461"/>
    <w:rsid w:val="009F7737"/>
    <w:rsid w:val="00A0440E"/>
    <w:rsid w:val="00A068BD"/>
    <w:rsid w:val="00A079C5"/>
    <w:rsid w:val="00A10DF5"/>
    <w:rsid w:val="00A14AF3"/>
    <w:rsid w:val="00A14F25"/>
    <w:rsid w:val="00A1604E"/>
    <w:rsid w:val="00A2099A"/>
    <w:rsid w:val="00A21F26"/>
    <w:rsid w:val="00A23F0B"/>
    <w:rsid w:val="00A26A5C"/>
    <w:rsid w:val="00A27620"/>
    <w:rsid w:val="00A312B0"/>
    <w:rsid w:val="00A334C4"/>
    <w:rsid w:val="00A34A1C"/>
    <w:rsid w:val="00A356A9"/>
    <w:rsid w:val="00A35822"/>
    <w:rsid w:val="00A368D7"/>
    <w:rsid w:val="00A3740A"/>
    <w:rsid w:val="00A40786"/>
    <w:rsid w:val="00A40795"/>
    <w:rsid w:val="00A410EA"/>
    <w:rsid w:val="00A42EF0"/>
    <w:rsid w:val="00A44584"/>
    <w:rsid w:val="00A44AA1"/>
    <w:rsid w:val="00A47B85"/>
    <w:rsid w:val="00A5126E"/>
    <w:rsid w:val="00A51B00"/>
    <w:rsid w:val="00A5361A"/>
    <w:rsid w:val="00A538D5"/>
    <w:rsid w:val="00A53A4C"/>
    <w:rsid w:val="00A572BD"/>
    <w:rsid w:val="00A57B0B"/>
    <w:rsid w:val="00A62310"/>
    <w:rsid w:val="00A62B81"/>
    <w:rsid w:val="00A64028"/>
    <w:rsid w:val="00A67076"/>
    <w:rsid w:val="00A67152"/>
    <w:rsid w:val="00A67E2B"/>
    <w:rsid w:val="00A70C49"/>
    <w:rsid w:val="00A71D21"/>
    <w:rsid w:val="00A74B0D"/>
    <w:rsid w:val="00A74F07"/>
    <w:rsid w:val="00A76084"/>
    <w:rsid w:val="00A764D4"/>
    <w:rsid w:val="00A76533"/>
    <w:rsid w:val="00A800B7"/>
    <w:rsid w:val="00A801A5"/>
    <w:rsid w:val="00A806A9"/>
    <w:rsid w:val="00A81C21"/>
    <w:rsid w:val="00A83F45"/>
    <w:rsid w:val="00A845AA"/>
    <w:rsid w:val="00A869D6"/>
    <w:rsid w:val="00A86ECE"/>
    <w:rsid w:val="00A90B18"/>
    <w:rsid w:val="00A92142"/>
    <w:rsid w:val="00A92238"/>
    <w:rsid w:val="00A92883"/>
    <w:rsid w:val="00A93090"/>
    <w:rsid w:val="00A933B4"/>
    <w:rsid w:val="00A93F57"/>
    <w:rsid w:val="00A9541B"/>
    <w:rsid w:val="00A96972"/>
    <w:rsid w:val="00A972A5"/>
    <w:rsid w:val="00A979CB"/>
    <w:rsid w:val="00AA203D"/>
    <w:rsid w:val="00AA4545"/>
    <w:rsid w:val="00AA4B35"/>
    <w:rsid w:val="00AA4C3B"/>
    <w:rsid w:val="00AA5080"/>
    <w:rsid w:val="00AA5473"/>
    <w:rsid w:val="00AA5D3D"/>
    <w:rsid w:val="00AB1164"/>
    <w:rsid w:val="00AB5225"/>
    <w:rsid w:val="00AB621A"/>
    <w:rsid w:val="00AC14AF"/>
    <w:rsid w:val="00AC1CF2"/>
    <w:rsid w:val="00AC25B2"/>
    <w:rsid w:val="00AC282F"/>
    <w:rsid w:val="00AC3825"/>
    <w:rsid w:val="00AC46E7"/>
    <w:rsid w:val="00AC7D32"/>
    <w:rsid w:val="00AD0017"/>
    <w:rsid w:val="00AD0343"/>
    <w:rsid w:val="00AD15B0"/>
    <w:rsid w:val="00AD28A2"/>
    <w:rsid w:val="00AD44DC"/>
    <w:rsid w:val="00AD5A5C"/>
    <w:rsid w:val="00AE0EF8"/>
    <w:rsid w:val="00AE43C4"/>
    <w:rsid w:val="00AE4454"/>
    <w:rsid w:val="00AE4D65"/>
    <w:rsid w:val="00AE5041"/>
    <w:rsid w:val="00AE754C"/>
    <w:rsid w:val="00AF0141"/>
    <w:rsid w:val="00AF6181"/>
    <w:rsid w:val="00AF78BA"/>
    <w:rsid w:val="00AF7B5E"/>
    <w:rsid w:val="00B00935"/>
    <w:rsid w:val="00B012BD"/>
    <w:rsid w:val="00B014E7"/>
    <w:rsid w:val="00B02A7E"/>
    <w:rsid w:val="00B0794C"/>
    <w:rsid w:val="00B115CA"/>
    <w:rsid w:val="00B13996"/>
    <w:rsid w:val="00B15A97"/>
    <w:rsid w:val="00B15B55"/>
    <w:rsid w:val="00B15C5A"/>
    <w:rsid w:val="00B216C6"/>
    <w:rsid w:val="00B218D2"/>
    <w:rsid w:val="00B21BCE"/>
    <w:rsid w:val="00B221AB"/>
    <w:rsid w:val="00B226B1"/>
    <w:rsid w:val="00B22735"/>
    <w:rsid w:val="00B22BB2"/>
    <w:rsid w:val="00B233A7"/>
    <w:rsid w:val="00B26607"/>
    <w:rsid w:val="00B275E6"/>
    <w:rsid w:val="00B27D90"/>
    <w:rsid w:val="00B31CB9"/>
    <w:rsid w:val="00B34A5F"/>
    <w:rsid w:val="00B36AA3"/>
    <w:rsid w:val="00B36BAC"/>
    <w:rsid w:val="00B37CD6"/>
    <w:rsid w:val="00B420B0"/>
    <w:rsid w:val="00B42258"/>
    <w:rsid w:val="00B42450"/>
    <w:rsid w:val="00B45413"/>
    <w:rsid w:val="00B46449"/>
    <w:rsid w:val="00B46900"/>
    <w:rsid w:val="00B471AE"/>
    <w:rsid w:val="00B47A89"/>
    <w:rsid w:val="00B47B5C"/>
    <w:rsid w:val="00B47F99"/>
    <w:rsid w:val="00B50B02"/>
    <w:rsid w:val="00B52FFC"/>
    <w:rsid w:val="00B53341"/>
    <w:rsid w:val="00B53D89"/>
    <w:rsid w:val="00B551D4"/>
    <w:rsid w:val="00B575F0"/>
    <w:rsid w:val="00B61172"/>
    <w:rsid w:val="00B61262"/>
    <w:rsid w:val="00B618A0"/>
    <w:rsid w:val="00B629EE"/>
    <w:rsid w:val="00B63F55"/>
    <w:rsid w:val="00B6426D"/>
    <w:rsid w:val="00B65534"/>
    <w:rsid w:val="00B661D4"/>
    <w:rsid w:val="00B70D74"/>
    <w:rsid w:val="00B716F8"/>
    <w:rsid w:val="00B7326F"/>
    <w:rsid w:val="00B73A03"/>
    <w:rsid w:val="00B758E6"/>
    <w:rsid w:val="00B75F93"/>
    <w:rsid w:val="00B762A9"/>
    <w:rsid w:val="00B76AC4"/>
    <w:rsid w:val="00B77BB6"/>
    <w:rsid w:val="00B80B41"/>
    <w:rsid w:val="00B8333A"/>
    <w:rsid w:val="00B83403"/>
    <w:rsid w:val="00B8443F"/>
    <w:rsid w:val="00B86ECD"/>
    <w:rsid w:val="00B90723"/>
    <w:rsid w:val="00B924B9"/>
    <w:rsid w:val="00B92795"/>
    <w:rsid w:val="00B93D7E"/>
    <w:rsid w:val="00B959D2"/>
    <w:rsid w:val="00B96203"/>
    <w:rsid w:val="00BA0710"/>
    <w:rsid w:val="00BA20DF"/>
    <w:rsid w:val="00BA27AD"/>
    <w:rsid w:val="00BA2A64"/>
    <w:rsid w:val="00BA3DEF"/>
    <w:rsid w:val="00BA598D"/>
    <w:rsid w:val="00BA5A47"/>
    <w:rsid w:val="00BB0963"/>
    <w:rsid w:val="00BB1678"/>
    <w:rsid w:val="00BB3745"/>
    <w:rsid w:val="00BB572E"/>
    <w:rsid w:val="00BB7E13"/>
    <w:rsid w:val="00BC0943"/>
    <w:rsid w:val="00BC23A2"/>
    <w:rsid w:val="00BC4CC0"/>
    <w:rsid w:val="00BC51EA"/>
    <w:rsid w:val="00BC5F46"/>
    <w:rsid w:val="00BC61E8"/>
    <w:rsid w:val="00BC62F1"/>
    <w:rsid w:val="00BC65C5"/>
    <w:rsid w:val="00BC6F2C"/>
    <w:rsid w:val="00BD3615"/>
    <w:rsid w:val="00BD5E01"/>
    <w:rsid w:val="00BE0C22"/>
    <w:rsid w:val="00BE1802"/>
    <w:rsid w:val="00BE2379"/>
    <w:rsid w:val="00BE28ED"/>
    <w:rsid w:val="00BE3417"/>
    <w:rsid w:val="00BE3967"/>
    <w:rsid w:val="00BE4EF1"/>
    <w:rsid w:val="00BE5541"/>
    <w:rsid w:val="00BF0168"/>
    <w:rsid w:val="00BF2A3D"/>
    <w:rsid w:val="00BF39FE"/>
    <w:rsid w:val="00BF3DF7"/>
    <w:rsid w:val="00BF4C07"/>
    <w:rsid w:val="00BF6DCB"/>
    <w:rsid w:val="00BF6E8D"/>
    <w:rsid w:val="00BF7233"/>
    <w:rsid w:val="00BF79D5"/>
    <w:rsid w:val="00C00EE7"/>
    <w:rsid w:val="00C0230C"/>
    <w:rsid w:val="00C02977"/>
    <w:rsid w:val="00C0330A"/>
    <w:rsid w:val="00C04F00"/>
    <w:rsid w:val="00C10611"/>
    <w:rsid w:val="00C11D0C"/>
    <w:rsid w:val="00C11DB1"/>
    <w:rsid w:val="00C1232C"/>
    <w:rsid w:val="00C12F2F"/>
    <w:rsid w:val="00C16988"/>
    <w:rsid w:val="00C17281"/>
    <w:rsid w:val="00C23D8A"/>
    <w:rsid w:val="00C23E80"/>
    <w:rsid w:val="00C251FE"/>
    <w:rsid w:val="00C2628C"/>
    <w:rsid w:val="00C2755A"/>
    <w:rsid w:val="00C30134"/>
    <w:rsid w:val="00C30F2B"/>
    <w:rsid w:val="00C315B1"/>
    <w:rsid w:val="00C3302E"/>
    <w:rsid w:val="00C33EC6"/>
    <w:rsid w:val="00C343EE"/>
    <w:rsid w:val="00C345F2"/>
    <w:rsid w:val="00C35288"/>
    <w:rsid w:val="00C359BF"/>
    <w:rsid w:val="00C40DA5"/>
    <w:rsid w:val="00C4109D"/>
    <w:rsid w:val="00C439A8"/>
    <w:rsid w:val="00C446C2"/>
    <w:rsid w:val="00C45961"/>
    <w:rsid w:val="00C469CD"/>
    <w:rsid w:val="00C46B5A"/>
    <w:rsid w:val="00C475AC"/>
    <w:rsid w:val="00C51556"/>
    <w:rsid w:val="00C5245A"/>
    <w:rsid w:val="00C528A8"/>
    <w:rsid w:val="00C53170"/>
    <w:rsid w:val="00C536AF"/>
    <w:rsid w:val="00C54739"/>
    <w:rsid w:val="00C549B2"/>
    <w:rsid w:val="00C54C6E"/>
    <w:rsid w:val="00C5696E"/>
    <w:rsid w:val="00C578FA"/>
    <w:rsid w:val="00C613C2"/>
    <w:rsid w:val="00C61777"/>
    <w:rsid w:val="00C62CE9"/>
    <w:rsid w:val="00C62FE6"/>
    <w:rsid w:val="00C6328C"/>
    <w:rsid w:val="00C63C78"/>
    <w:rsid w:val="00C63CB0"/>
    <w:rsid w:val="00C645F4"/>
    <w:rsid w:val="00C65169"/>
    <w:rsid w:val="00C67517"/>
    <w:rsid w:val="00C67694"/>
    <w:rsid w:val="00C67AF0"/>
    <w:rsid w:val="00C70195"/>
    <w:rsid w:val="00C71E43"/>
    <w:rsid w:val="00C745C5"/>
    <w:rsid w:val="00C74E21"/>
    <w:rsid w:val="00C75910"/>
    <w:rsid w:val="00C7696B"/>
    <w:rsid w:val="00C77DF9"/>
    <w:rsid w:val="00C814BA"/>
    <w:rsid w:val="00C81682"/>
    <w:rsid w:val="00C81B0F"/>
    <w:rsid w:val="00C8238D"/>
    <w:rsid w:val="00C829F6"/>
    <w:rsid w:val="00C84BEE"/>
    <w:rsid w:val="00C84D95"/>
    <w:rsid w:val="00C86F99"/>
    <w:rsid w:val="00C87E5A"/>
    <w:rsid w:val="00C91A48"/>
    <w:rsid w:val="00C9280F"/>
    <w:rsid w:val="00C93184"/>
    <w:rsid w:val="00C94A69"/>
    <w:rsid w:val="00C9576D"/>
    <w:rsid w:val="00C957B6"/>
    <w:rsid w:val="00C95C73"/>
    <w:rsid w:val="00C95EB0"/>
    <w:rsid w:val="00CA1B7C"/>
    <w:rsid w:val="00CA3F26"/>
    <w:rsid w:val="00CA5EA0"/>
    <w:rsid w:val="00CA6433"/>
    <w:rsid w:val="00CA752A"/>
    <w:rsid w:val="00CA7A3F"/>
    <w:rsid w:val="00CB003D"/>
    <w:rsid w:val="00CB0E79"/>
    <w:rsid w:val="00CB110F"/>
    <w:rsid w:val="00CB1BDE"/>
    <w:rsid w:val="00CB4393"/>
    <w:rsid w:val="00CB566F"/>
    <w:rsid w:val="00CB5F45"/>
    <w:rsid w:val="00CB68B5"/>
    <w:rsid w:val="00CC191F"/>
    <w:rsid w:val="00CC1E37"/>
    <w:rsid w:val="00CC231E"/>
    <w:rsid w:val="00CC37C0"/>
    <w:rsid w:val="00CC44EE"/>
    <w:rsid w:val="00CC479D"/>
    <w:rsid w:val="00CC4990"/>
    <w:rsid w:val="00CC4EB2"/>
    <w:rsid w:val="00CC60E8"/>
    <w:rsid w:val="00CC6AA0"/>
    <w:rsid w:val="00CC72C5"/>
    <w:rsid w:val="00CD13E8"/>
    <w:rsid w:val="00CD2906"/>
    <w:rsid w:val="00CD4243"/>
    <w:rsid w:val="00CE004D"/>
    <w:rsid w:val="00CE198C"/>
    <w:rsid w:val="00CE20E6"/>
    <w:rsid w:val="00CE7123"/>
    <w:rsid w:val="00CE7C1A"/>
    <w:rsid w:val="00CF2D70"/>
    <w:rsid w:val="00CF3B1D"/>
    <w:rsid w:val="00CF5178"/>
    <w:rsid w:val="00CF565F"/>
    <w:rsid w:val="00CF6927"/>
    <w:rsid w:val="00CF7E10"/>
    <w:rsid w:val="00D0186B"/>
    <w:rsid w:val="00D045AB"/>
    <w:rsid w:val="00D05CC8"/>
    <w:rsid w:val="00D06806"/>
    <w:rsid w:val="00D102D4"/>
    <w:rsid w:val="00D10C94"/>
    <w:rsid w:val="00D1130C"/>
    <w:rsid w:val="00D11C1D"/>
    <w:rsid w:val="00D13355"/>
    <w:rsid w:val="00D153C1"/>
    <w:rsid w:val="00D1657F"/>
    <w:rsid w:val="00D173A3"/>
    <w:rsid w:val="00D17CB4"/>
    <w:rsid w:val="00D203F6"/>
    <w:rsid w:val="00D20FE9"/>
    <w:rsid w:val="00D21663"/>
    <w:rsid w:val="00D2243A"/>
    <w:rsid w:val="00D24163"/>
    <w:rsid w:val="00D25618"/>
    <w:rsid w:val="00D25B6D"/>
    <w:rsid w:val="00D270CB"/>
    <w:rsid w:val="00D2732B"/>
    <w:rsid w:val="00D305EC"/>
    <w:rsid w:val="00D30A10"/>
    <w:rsid w:val="00D32A90"/>
    <w:rsid w:val="00D32D49"/>
    <w:rsid w:val="00D333A4"/>
    <w:rsid w:val="00D3360B"/>
    <w:rsid w:val="00D358A0"/>
    <w:rsid w:val="00D366FB"/>
    <w:rsid w:val="00D422AA"/>
    <w:rsid w:val="00D441F1"/>
    <w:rsid w:val="00D47B57"/>
    <w:rsid w:val="00D52529"/>
    <w:rsid w:val="00D539C8"/>
    <w:rsid w:val="00D53B50"/>
    <w:rsid w:val="00D54A93"/>
    <w:rsid w:val="00D55FE2"/>
    <w:rsid w:val="00D62DC7"/>
    <w:rsid w:val="00D6347E"/>
    <w:rsid w:val="00D64BEC"/>
    <w:rsid w:val="00D66DC1"/>
    <w:rsid w:val="00D66F25"/>
    <w:rsid w:val="00D679C2"/>
    <w:rsid w:val="00D67A16"/>
    <w:rsid w:val="00D71866"/>
    <w:rsid w:val="00D774C7"/>
    <w:rsid w:val="00D82C72"/>
    <w:rsid w:val="00D835D3"/>
    <w:rsid w:val="00D83A2E"/>
    <w:rsid w:val="00D84079"/>
    <w:rsid w:val="00D8453D"/>
    <w:rsid w:val="00D84D5F"/>
    <w:rsid w:val="00D854A2"/>
    <w:rsid w:val="00D85DC3"/>
    <w:rsid w:val="00D86957"/>
    <w:rsid w:val="00D86A93"/>
    <w:rsid w:val="00D87F54"/>
    <w:rsid w:val="00D90937"/>
    <w:rsid w:val="00D90A72"/>
    <w:rsid w:val="00D94248"/>
    <w:rsid w:val="00D94FEB"/>
    <w:rsid w:val="00D962ED"/>
    <w:rsid w:val="00D96B28"/>
    <w:rsid w:val="00D97D9C"/>
    <w:rsid w:val="00DA0D97"/>
    <w:rsid w:val="00DA2F07"/>
    <w:rsid w:val="00DA43B5"/>
    <w:rsid w:val="00DA4AC8"/>
    <w:rsid w:val="00DA5DC0"/>
    <w:rsid w:val="00DA788C"/>
    <w:rsid w:val="00DB025C"/>
    <w:rsid w:val="00DB2595"/>
    <w:rsid w:val="00DB2A0E"/>
    <w:rsid w:val="00DB4A79"/>
    <w:rsid w:val="00DB65C0"/>
    <w:rsid w:val="00DB74B1"/>
    <w:rsid w:val="00DC144A"/>
    <w:rsid w:val="00DC181C"/>
    <w:rsid w:val="00DC2D0C"/>
    <w:rsid w:val="00DC44D3"/>
    <w:rsid w:val="00DC4A83"/>
    <w:rsid w:val="00DD0C8B"/>
    <w:rsid w:val="00DD33A0"/>
    <w:rsid w:val="00DD38E0"/>
    <w:rsid w:val="00DD4A1D"/>
    <w:rsid w:val="00DD6272"/>
    <w:rsid w:val="00DD790D"/>
    <w:rsid w:val="00DE0220"/>
    <w:rsid w:val="00DE2806"/>
    <w:rsid w:val="00DE2D8D"/>
    <w:rsid w:val="00DE3359"/>
    <w:rsid w:val="00DE485F"/>
    <w:rsid w:val="00DE6364"/>
    <w:rsid w:val="00DE7D7D"/>
    <w:rsid w:val="00DF39D2"/>
    <w:rsid w:val="00DF3E27"/>
    <w:rsid w:val="00DF44F3"/>
    <w:rsid w:val="00DF53AF"/>
    <w:rsid w:val="00DF759D"/>
    <w:rsid w:val="00DF7BAE"/>
    <w:rsid w:val="00E01802"/>
    <w:rsid w:val="00E0313A"/>
    <w:rsid w:val="00E03639"/>
    <w:rsid w:val="00E05BA4"/>
    <w:rsid w:val="00E05EE8"/>
    <w:rsid w:val="00E05EFE"/>
    <w:rsid w:val="00E06ACE"/>
    <w:rsid w:val="00E06DA8"/>
    <w:rsid w:val="00E075DA"/>
    <w:rsid w:val="00E0766E"/>
    <w:rsid w:val="00E07EB2"/>
    <w:rsid w:val="00E10395"/>
    <w:rsid w:val="00E12D3B"/>
    <w:rsid w:val="00E13BD4"/>
    <w:rsid w:val="00E13C13"/>
    <w:rsid w:val="00E14283"/>
    <w:rsid w:val="00E15A39"/>
    <w:rsid w:val="00E17EE4"/>
    <w:rsid w:val="00E22C58"/>
    <w:rsid w:val="00E23EBF"/>
    <w:rsid w:val="00E25115"/>
    <w:rsid w:val="00E25F5E"/>
    <w:rsid w:val="00E2648E"/>
    <w:rsid w:val="00E26F87"/>
    <w:rsid w:val="00E3015C"/>
    <w:rsid w:val="00E302AF"/>
    <w:rsid w:val="00E3127B"/>
    <w:rsid w:val="00E3454D"/>
    <w:rsid w:val="00E34719"/>
    <w:rsid w:val="00E35AF1"/>
    <w:rsid w:val="00E36870"/>
    <w:rsid w:val="00E372AE"/>
    <w:rsid w:val="00E42AB8"/>
    <w:rsid w:val="00E42AE6"/>
    <w:rsid w:val="00E43872"/>
    <w:rsid w:val="00E43FD1"/>
    <w:rsid w:val="00E451F3"/>
    <w:rsid w:val="00E46065"/>
    <w:rsid w:val="00E46551"/>
    <w:rsid w:val="00E50005"/>
    <w:rsid w:val="00E5009F"/>
    <w:rsid w:val="00E50AC9"/>
    <w:rsid w:val="00E52BCA"/>
    <w:rsid w:val="00E54D53"/>
    <w:rsid w:val="00E554E8"/>
    <w:rsid w:val="00E61894"/>
    <w:rsid w:val="00E6275B"/>
    <w:rsid w:val="00E630EB"/>
    <w:rsid w:val="00E63140"/>
    <w:rsid w:val="00E633DC"/>
    <w:rsid w:val="00E63958"/>
    <w:rsid w:val="00E65CD8"/>
    <w:rsid w:val="00E66603"/>
    <w:rsid w:val="00E674B2"/>
    <w:rsid w:val="00E70838"/>
    <w:rsid w:val="00E711EA"/>
    <w:rsid w:val="00E7297B"/>
    <w:rsid w:val="00E729EB"/>
    <w:rsid w:val="00E735A9"/>
    <w:rsid w:val="00E73ACF"/>
    <w:rsid w:val="00E73D3C"/>
    <w:rsid w:val="00E80640"/>
    <w:rsid w:val="00E8157E"/>
    <w:rsid w:val="00E81736"/>
    <w:rsid w:val="00E8176E"/>
    <w:rsid w:val="00E81AA7"/>
    <w:rsid w:val="00E82F1F"/>
    <w:rsid w:val="00E84D69"/>
    <w:rsid w:val="00E85C7C"/>
    <w:rsid w:val="00E85DC7"/>
    <w:rsid w:val="00E86488"/>
    <w:rsid w:val="00E86683"/>
    <w:rsid w:val="00E90C02"/>
    <w:rsid w:val="00E912B1"/>
    <w:rsid w:val="00E92022"/>
    <w:rsid w:val="00E9219E"/>
    <w:rsid w:val="00E979F7"/>
    <w:rsid w:val="00EA3000"/>
    <w:rsid w:val="00EA3936"/>
    <w:rsid w:val="00EA5CD1"/>
    <w:rsid w:val="00EA6D1B"/>
    <w:rsid w:val="00EA7CD0"/>
    <w:rsid w:val="00EB0A04"/>
    <w:rsid w:val="00EB2020"/>
    <w:rsid w:val="00EB2478"/>
    <w:rsid w:val="00EB2E09"/>
    <w:rsid w:val="00EB53D8"/>
    <w:rsid w:val="00EB62A9"/>
    <w:rsid w:val="00EC02BE"/>
    <w:rsid w:val="00EC35DE"/>
    <w:rsid w:val="00EC3601"/>
    <w:rsid w:val="00EC3A0F"/>
    <w:rsid w:val="00EC409F"/>
    <w:rsid w:val="00EC6766"/>
    <w:rsid w:val="00EC7AE3"/>
    <w:rsid w:val="00EC7E08"/>
    <w:rsid w:val="00ED1CFE"/>
    <w:rsid w:val="00ED2563"/>
    <w:rsid w:val="00ED4D41"/>
    <w:rsid w:val="00ED5FC2"/>
    <w:rsid w:val="00ED6B4A"/>
    <w:rsid w:val="00EE0822"/>
    <w:rsid w:val="00EE2D3E"/>
    <w:rsid w:val="00EE5590"/>
    <w:rsid w:val="00EE68FC"/>
    <w:rsid w:val="00EE7A5E"/>
    <w:rsid w:val="00EF11CE"/>
    <w:rsid w:val="00EF13FE"/>
    <w:rsid w:val="00EF4F51"/>
    <w:rsid w:val="00EF6960"/>
    <w:rsid w:val="00EF7D4C"/>
    <w:rsid w:val="00F062AC"/>
    <w:rsid w:val="00F068A0"/>
    <w:rsid w:val="00F0745D"/>
    <w:rsid w:val="00F0782A"/>
    <w:rsid w:val="00F10C63"/>
    <w:rsid w:val="00F121CB"/>
    <w:rsid w:val="00F17101"/>
    <w:rsid w:val="00F175F6"/>
    <w:rsid w:val="00F17AC1"/>
    <w:rsid w:val="00F2026D"/>
    <w:rsid w:val="00F20A25"/>
    <w:rsid w:val="00F20D6E"/>
    <w:rsid w:val="00F23521"/>
    <w:rsid w:val="00F2386A"/>
    <w:rsid w:val="00F24F6A"/>
    <w:rsid w:val="00F25E05"/>
    <w:rsid w:val="00F26DD4"/>
    <w:rsid w:val="00F314CA"/>
    <w:rsid w:val="00F32A62"/>
    <w:rsid w:val="00F34039"/>
    <w:rsid w:val="00F342A7"/>
    <w:rsid w:val="00F35350"/>
    <w:rsid w:val="00F35E37"/>
    <w:rsid w:val="00F4022D"/>
    <w:rsid w:val="00F40A22"/>
    <w:rsid w:val="00F435DD"/>
    <w:rsid w:val="00F43806"/>
    <w:rsid w:val="00F44A54"/>
    <w:rsid w:val="00F46DC9"/>
    <w:rsid w:val="00F471F8"/>
    <w:rsid w:val="00F47574"/>
    <w:rsid w:val="00F50615"/>
    <w:rsid w:val="00F54AF7"/>
    <w:rsid w:val="00F5558D"/>
    <w:rsid w:val="00F5645F"/>
    <w:rsid w:val="00F61323"/>
    <w:rsid w:val="00F61F2B"/>
    <w:rsid w:val="00F632F0"/>
    <w:rsid w:val="00F639CF"/>
    <w:rsid w:val="00F650C6"/>
    <w:rsid w:val="00F65D2B"/>
    <w:rsid w:val="00F670C5"/>
    <w:rsid w:val="00F675A5"/>
    <w:rsid w:val="00F67D94"/>
    <w:rsid w:val="00F7266E"/>
    <w:rsid w:val="00F74487"/>
    <w:rsid w:val="00F775F5"/>
    <w:rsid w:val="00F81B41"/>
    <w:rsid w:val="00F857A6"/>
    <w:rsid w:val="00F86924"/>
    <w:rsid w:val="00F877BC"/>
    <w:rsid w:val="00F87873"/>
    <w:rsid w:val="00F90FD1"/>
    <w:rsid w:val="00F92E0D"/>
    <w:rsid w:val="00F951A8"/>
    <w:rsid w:val="00F97276"/>
    <w:rsid w:val="00F973B8"/>
    <w:rsid w:val="00F978C4"/>
    <w:rsid w:val="00F97D34"/>
    <w:rsid w:val="00FA1AFF"/>
    <w:rsid w:val="00FA33EA"/>
    <w:rsid w:val="00FA41E0"/>
    <w:rsid w:val="00FA4E6A"/>
    <w:rsid w:val="00FA7041"/>
    <w:rsid w:val="00FA7190"/>
    <w:rsid w:val="00FB1F32"/>
    <w:rsid w:val="00FB2681"/>
    <w:rsid w:val="00FB38C1"/>
    <w:rsid w:val="00FB4EEC"/>
    <w:rsid w:val="00FB56E3"/>
    <w:rsid w:val="00FB580A"/>
    <w:rsid w:val="00FB7526"/>
    <w:rsid w:val="00FC2BFC"/>
    <w:rsid w:val="00FC2FEF"/>
    <w:rsid w:val="00FC43F2"/>
    <w:rsid w:val="00FC4E0A"/>
    <w:rsid w:val="00FC65CF"/>
    <w:rsid w:val="00FD0107"/>
    <w:rsid w:val="00FD0552"/>
    <w:rsid w:val="00FD121E"/>
    <w:rsid w:val="00FD16B2"/>
    <w:rsid w:val="00FD25AA"/>
    <w:rsid w:val="00FD5B9A"/>
    <w:rsid w:val="00FD5BAB"/>
    <w:rsid w:val="00FD6264"/>
    <w:rsid w:val="00FD6621"/>
    <w:rsid w:val="00FE2EBF"/>
    <w:rsid w:val="00FE2FFD"/>
    <w:rsid w:val="00FE4CEE"/>
    <w:rsid w:val="00FE65CB"/>
    <w:rsid w:val="00FF1535"/>
    <w:rsid w:val="00FF1921"/>
    <w:rsid w:val="00FF5CDC"/>
    <w:rsid w:val="00FF67A6"/>
    <w:rsid w:val="00FF77B0"/>
    <w:rsid w:val="00FF77BF"/>
    <w:rsid w:val="00FF7E78"/>
    <w:rsid w:val="01144C97"/>
    <w:rsid w:val="012923F4"/>
    <w:rsid w:val="01565EAD"/>
    <w:rsid w:val="017D2FE6"/>
    <w:rsid w:val="018207C5"/>
    <w:rsid w:val="018358E1"/>
    <w:rsid w:val="018C2557"/>
    <w:rsid w:val="018E48F0"/>
    <w:rsid w:val="01923283"/>
    <w:rsid w:val="019A3B52"/>
    <w:rsid w:val="019B3F2B"/>
    <w:rsid w:val="01AA4A61"/>
    <w:rsid w:val="01CC435D"/>
    <w:rsid w:val="01D55D76"/>
    <w:rsid w:val="01DE03EE"/>
    <w:rsid w:val="01EA722A"/>
    <w:rsid w:val="01F36FCC"/>
    <w:rsid w:val="0218075F"/>
    <w:rsid w:val="021A3C01"/>
    <w:rsid w:val="02245145"/>
    <w:rsid w:val="023C7FD4"/>
    <w:rsid w:val="025A3DEF"/>
    <w:rsid w:val="025E04C0"/>
    <w:rsid w:val="027E7E7B"/>
    <w:rsid w:val="027F37B0"/>
    <w:rsid w:val="028436C2"/>
    <w:rsid w:val="029F404A"/>
    <w:rsid w:val="02B306CC"/>
    <w:rsid w:val="02B52B3C"/>
    <w:rsid w:val="02D57D43"/>
    <w:rsid w:val="02E75438"/>
    <w:rsid w:val="02E77952"/>
    <w:rsid w:val="02EF3DA2"/>
    <w:rsid w:val="030B2844"/>
    <w:rsid w:val="03156571"/>
    <w:rsid w:val="03195AE4"/>
    <w:rsid w:val="03420CF5"/>
    <w:rsid w:val="034845A6"/>
    <w:rsid w:val="0348523C"/>
    <w:rsid w:val="0353569A"/>
    <w:rsid w:val="035E1A03"/>
    <w:rsid w:val="03665F86"/>
    <w:rsid w:val="036B3C7F"/>
    <w:rsid w:val="03975ED0"/>
    <w:rsid w:val="03B07E34"/>
    <w:rsid w:val="03CF5817"/>
    <w:rsid w:val="03DA7196"/>
    <w:rsid w:val="03E27853"/>
    <w:rsid w:val="03F92894"/>
    <w:rsid w:val="0403200E"/>
    <w:rsid w:val="040C48E4"/>
    <w:rsid w:val="04264F72"/>
    <w:rsid w:val="042E2662"/>
    <w:rsid w:val="04460984"/>
    <w:rsid w:val="044E4986"/>
    <w:rsid w:val="04512980"/>
    <w:rsid w:val="0466453E"/>
    <w:rsid w:val="047A1549"/>
    <w:rsid w:val="048B2931"/>
    <w:rsid w:val="049A5E25"/>
    <w:rsid w:val="04A27DCF"/>
    <w:rsid w:val="04AC1477"/>
    <w:rsid w:val="04AD3745"/>
    <w:rsid w:val="04B0756A"/>
    <w:rsid w:val="04B37075"/>
    <w:rsid w:val="04B862AB"/>
    <w:rsid w:val="04B86BAD"/>
    <w:rsid w:val="04C85AB6"/>
    <w:rsid w:val="04D4725B"/>
    <w:rsid w:val="04D556EE"/>
    <w:rsid w:val="04F65252"/>
    <w:rsid w:val="050B0B9E"/>
    <w:rsid w:val="050F7B09"/>
    <w:rsid w:val="05192E56"/>
    <w:rsid w:val="051C73A1"/>
    <w:rsid w:val="052467E4"/>
    <w:rsid w:val="053E0E14"/>
    <w:rsid w:val="054C0C9F"/>
    <w:rsid w:val="05595E26"/>
    <w:rsid w:val="055E4766"/>
    <w:rsid w:val="05751654"/>
    <w:rsid w:val="05755E57"/>
    <w:rsid w:val="057D60AF"/>
    <w:rsid w:val="058D40EB"/>
    <w:rsid w:val="0591718E"/>
    <w:rsid w:val="05936802"/>
    <w:rsid w:val="05964B2B"/>
    <w:rsid w:val="05BA0E64"/>
    <w:rsid w:val="05BB6989"/>
    <w:rsid w:val="05CC0260"/>
    <w:rsid w:val="05CC2C17"/>
    <w:rsid w:val="05D1187B"/>
    <w:rsid w:val="05DA08B3"/>
    <w:rsid w:val="05DE6F29"/>
    <w:rsid w:val="05E6685B"/>
    <w:rsid w:val="05F742F0"/>
    <w:rsid w:val="05FF3F3F"/>
    <w:rsid w:val="060D2E24"/>
    <w:rsid w:val="06124315"/>
    <w:rsid w:val="06153BFC"/>
    <w:rsid w:val="062C7E4D"/>
    <w:rsid w:val="0674641F"/>
    <w:rsid w:val="067F410E"/>
    <w:rsid w:val="06862B05"/>
    <w:rsid w:val="06B33FE8"/>
    <w:rsid w:val="06B5519A"/>
    <w:rsid w:val="06B6038C"/>
    <w:rsid w:val="06C23411"/>
    <w:rsid w:val="06C83809"/>
    <w:rsid w:val="06EA0F05"/>
    <w:rsid w:val="06F06D80"/>
    <w:rsid w:val="0713726C"/>
    <w:rsid w:val="07290225"/>
    <w:rsid w:val="073318BD"/>
    <w:rsid w:val="07380D4E"/>
    <w:rsid w:val="073A7498"/>
    <w:rsid w:val="073C2A71"/>
    <w:rsid w:val="073F3784"/>
    <w:rsid w:val="07400105"/>
    <w:rsid w:val="07414A8C"/>
    <w:rsid w:val="07453C99"/>
    <w:rsid w:val="0746567C"/>
    <w:rsid w:val="074A69F7"/>
    <w:rsid w:val="075E4B38"/>
    <w:rsid w:val="076037D1"/>
    <w:rsid w:val="07622DBC"/>
    <w:rsid w:val="076856A5"/>
    <w:rsid w:val="078526AD"/>
    <w:rsid w:val="079A3796"/>
    <w:rsid w:val="079D7E24"/>
    <w:rsid w:val="07A01468"/>
    <w:rsid w:val="07A82607"/>
    <w:rsid w:val="07F651B5"/>
    <w:rsid w:val="081034FB"/>
    <w:rsid w:val="08380483"/>
    <w:rsid w:val="08620D2D"/>
    <w:rsid w:val="08994665"/>
    <w:rsid w:val="08A37057"/>
    <w:rsid w:val="08A532C4"/>
    <w:rsid w:val="08AC6127"/>
    <w:rsid w:val="08B57FDF"/>
    <w:rsid w:val="08CC227D"/>
    <w:rsid w:val="08CC4A1B"/>
    <w:rsid w:val="08E6713A"/>
    <w:rsid w:val="08EA184D"/>
    <w:rsid w:val="08EA4E50"/>
    <w:rsid w:val="08EB6C4F"/>
    <w:rsid w:val="08FF5D87"/>
    <w:rsid w:val="09167E06"/>
    <w:rsid w:val="0922701E"/>
    <w:rsid w:val="09881FFC"/>
    <w:rsid w:val="09945607"/>
    <w:rsid w:val="09B24A3E"/>
    <w:rsid w:val="09B2616E"/>
    <w:rsid w:val="09D34473"/>
    <w:rsid w:val="09E516E3"/>
    <w:rsid w:val="09EE5230"/>
    <w:rsid w:val="0A11032E"/>
    <w:rsid w:val="0A125400"/>
    <w:rsid w:val="0A20316A"/>
    <w:rsid w:val="0A232D8A"/>
    <w:rsid w:val="0A343089"/>
    <w:rsid w:val="0A375166"/>
    <w:rsid w:val="0A466107"/>
    <w:rsid w:val="0A567F31"/>
    <w:rsid w:val="0A675CEA"/>
    <w:rsid w:val="0A7F3BE1"/>
    <w:rsid w:val="0AC36ECD"/>
    <w:rsid w:val="0AEB54FE"/>
    <w:rsid w:val="0B074DA0"/>
    <w:rsid w:val="0B080E10"/>
    <w:rsid w:val="0B0C0DB7"/>
    <w:rsid w:val="0B0F06D0"/>
    <w:rsid w:val="0B0F0EBD"/>
    <w:rsid w:val="0B1A3996"/>
    <w:rsid w:val="0B2A7B63"/>
    <w:rsid w:val="0B31791A"/>
    <w:rsid w:val="0B343278"/>
    <w:rsid w:val="0B431BBC"/>
    <w:rsid w:val="0B487BFD"/>
    <w:rsid w:val="0B5B75CC"/>
    <w:rsid w:val="0B696551"/>
    <w:rsid w:val="0B6E2EC2"/>
    <w:rsid w:val="0B750357"/>
    <w:rsid w:val="0B7F22C5"/>
    <w:rsid w:val="0B8F0B82"/>
    <w:rsid w:val="0B9A4692"/>
    <w:rsid w:val="0B9E091F"/>
    <w:rsid w:val="0BAA44B5"/>
    <w:rsid w:val="0BAB446E"/>
    <w:rsid w:val="0BDA5B4D"/>
    <w:rsid w:val="0BE741D0"/>
    <w:rsid w:val="0BF23C06"/>
    <w:rsid w:val="0C2865C2"/>
    <w:rsid w:val="0C297944"/>
    <w:rsid w:val="0C2D757F"/>
    <w:rsid w:val="0C6B3CBC"/>
    <w:rsid w:val="0C7144AB"/>
    <w:rsid w:val="0C715667"/>
    <w:rsid w:val="0C783118"/>
    <w:rsid w:val="0C8D73AE"/>
    <w:rsid w:val="0C8D7523"/>
    <w:rsid w:val="0C937D2A"/>
    <w:rsid w:val="0C9744FE"/>
    <w:rsid w:val="0CAA38D7"/>
    <w:rsid w:val="0CAC27FF"/>
    <w:rsid w:val="0CC227C4"/>
    <w:rsid w:val="0CD02730"/>
    <w:rsid w:val="0CD21CC2"/>
    <w:rsid w:val="0CDA4A8F"/>
    <w:rsid w:val="0CDB5C0B"/>
    <w:rsid w:val="0CE57C3F"/>
    <w:rsid w:val="0CF17083"/>
    <w:rsid w:val="0CFE1202"/>
    <w:rsid w:val="0CFF627B"/>
    <w:rsid w:val="0D0256F0"/>
    <w:rsid w:val="0D2F5790"/>
    <w:rsid w:val="0D366907"/>
    <w:rsid w:val="0D3F4664"/>
    <w:rsid w:val="0D4A0DEA"/>
    <w:rsid w:val="0D4C7B69"/>
    <w:rsid w:val="0D5247D6"/>
    <w:rsid w:val="0D572F2A"/>
    <w:rsid w:val="0D71036D"/>
    <w:rsid w:val="0D8256A8"/>
    <w:rsid w:val="0D833E19"/>
    <w:rsid w:val="0D9F331E"/>
    <w:rsid w:val="0D9F5D46"/>
    <w:rsid w:val="0DA37836"/>
    <w:rsid w:val="0DA868B0"/>
    <w:rsid w:val="0DC75B79"/>
    <w:rsid w:val="0DCA4EDF"/>
    <w:rsid w:val="0DD56AC6"/>
    <w:rsid w:val="0DEF567D"/>
    <w:rsid w:val="0DF30547"/>
    <w:rsid w:val="0E1578A4"/>
    <w:rsid w:val="0E200997"/>
    <w:rsid w:val="0E214837"/>
    <w:rsid w:val="0E6B438E"/>
    <w:rsid w:val="0E7122AF"/>
    <w:rsid w:val="0E77074F"/>
    <w:rsid w:val="0EA55AF2"/>
    <w:rsid w:val="0EB136AD"/>
    <w:rsid w:val="0EC330BB"/>
    <w:rsid w:val="0ED56144"/>
    <w:rsid w:val="0EE01FD7"/>
    <w:rsid w:val="0EE23A30"/>
    <w:rsid w:val="0EEC54CF"/>
    <w:rsid w:val="0EF80ABD"/>
    <w:rsid w:val="0F0B47BD"/>
    <w:rsid w:val="0F270F20"/>
    <w:rsid w:val="0F285AB4"/>
    <w:rsid w:val="0F2D17CC"/>
    <w:rsid w:val="0F382869"/>
    <w:rsid w:val="0F48798D"/>
    <w:rsid w:val="0F4E0AD0"/>
    <w:rsid w:val="0F501717"/>
    <w:rsid w:val="0F522086"/>
    <w:rsid w:val="0F525FB7"/>
    <w:rsid w:val="0F5472DE"/>
    <w:rsid w:val="0F613425"/>
    <w:rsid w:val="0F635282"/>
    <w:rsid w:val="0F6A0E9A"/>
    <w:rsid w:val="0F6B5442"/>
    <w:rsid w:val="0F9C1E1A"/>
    <w:rsid w:val="0FA230A8"/>
    <w:rsid w:val="0FAB5491"/>
    <w:rsid w:val="0FC227C2"/>
    <w:rsid w:val="0FE50226"/>
    <w:rsid w:val="0FE83AAB"/>
    <w:rsid w:val="0FEE7599"/>
    <w:rsid w:val="0FF52D01"/>
    <w:rsid w:val="10010B73"/>
    <w:rsid w:val="10054D77"/>
    <w:rsid w:val="10083F3E"/>
    <w:rsid w:val="100A5D7E"/>
    <w:rsid w:val="1037024A"/>
    <w:rsid w:val="10440657"/>
    <w:rsid w:val="104B5698"/>
    <w:rsid w:val="106F09BF"/>
    <w:rsid w:val="10812C36"/>
    <w:rsid w:val="10831F34"/>
    <w:rsid w:val="1099291F"/>
    <w:rsid w:val="10A37B4A"/>
    <w:rsid w:val="10BF584E"/>
    <w:rsid w:val="10D73F5D"/>
    <w:rsid w:val="10DC0A22"/>
    <w:rsid w:val="10EA1D17"/>
    <w:rsid w:val="10FB6483"/>
    <w:rsid w:val="11025200"/>
    <w:rsid w:val="11141740"/>
    <w:rsid w:val="111A4082"/>
    <w:rsid w:val="111E2E5E"/>
    <w:rsid w:val="113F1DF0"/>
    <w:rsid w:val="11420F2E"/>
    <w:rsid w:val="11571778"/>
    <w:rsid w:val="1159349F"/>
    <w:rsid w:val="115E48E5"/>
    <w:rsid w:val="115F211D"/>
    <w:rsid w:val="1162723F"/>
    <w:rsid w:val="117A7779"/>
    <w:rsid w:val="119B7DD7"/>
    <w:rsid w:val="11A46C06"/>
    <w:rsid w:val="11AA7D7A"/>
    <w:rsid w:val="11AB239A"/>
    <w:rsid w:val="11AE73FC"/>
    <w:rsid w:val="11B221D1"/>
    <w:rsid w:val="11BF2DC6"/>
    <w:rsid w:val="11C83CE9"/>
    <w:rsid w:val="11CF7A56"/>
    <w:rsid w:val="11D22709"/>
    <w:rsid w:val="11D233D5"/>
    <w:rsid w:val="11E46E2F"/>
    <w:rsid w:val="12073604"/>
    <w:rsid w:val="120C1582"/>
    <w:rsid w:val="1230601B"/>
    <w:rsid w:val="12323B41"/>
    <w:rsid w:val="12477E45"/>
    <w:rsid w:val="124D79DC"/>
    <w:rsid w:val="124E5618"/>
    <w:rsid w:val="1262148C"/>
    <w:rsid w:val="126A45CA"/>
    <w:rsid w:val="1272664D"/>
    <w:rsid w:val="12767BC9"/>
    <w:rsid w:val="12876E01"/>
    <w:rsid w:val="129345A4"/>
    <w:rsid w:val="12974B1E"/>
    <w:rsid w:val="12A30A79"/>
    <w:rsid w:val="12BD7B77"/>
    <w:rsid w:val="12D20067"/>
    <w:rsid w:val="12DE23E5"/>
    <w:rsid w:val="12E3173E"/>
    <w:rsid w:val="12ED1069"/>
    <w:rsid w:val="130321D7"/>
    <w:rsid w:val="130610C1"/>
    <w:rsid w:val="130F2E07"/>
    <w:rsid w:val="131521AF"/>
    <w:rsid w:val="13213657"/>
    <w:rsid w:val="1335111F"/>
    <w:rsid w:val="13525009"/>
    <w:rsid w:val="135A2C58"/>
    <w:rsid w:val="135D7DD3"/>
    <w:rsid w:val="135F1060"/>
    <w:rsid w:val="136E64BD"/>
    <w:rsid w:val="137030B1"/>
    <w:rsid w:val="137A2890"/>
    <w:rsid w:val="137E5EFF"/>
    <w:rsid w:val="13851BB0"/>
    <w:rsid w:val="13A07D5B"/>
    <w:rsid w:val="13A3757B"/>
    <w:rsid w:val="13AC1403"/>
    <w:rsid w:val="13AD52A3"/>
    <w:rsid w:val="13B80076"/>
    <w:rsid w:val="13C9396E"/>
    <w:rsid w:val="13C95C89"/>
    <w:rsid w:val="13D1527E"/>
    <w:rsid w:val="13E07D1E"/>
    <w:rsid w:val="13F6294C"/>
    <w:rsid w:val="13FB2338"/>
    <w:rsid w:val="14021A65"/>
    <w:rsid w:val="140569A4"/>
    <w:rsid w:val="140A6F26"/>
    <w:rsid w:val="1417471F"/>
    <w:rsid w:val="14207BC2"/>
    <w:rsid w:val="142147E2"/>
    <w:rsid w:val="142F1C1F"/>
    <w:rsid w:val="143E58E9"/>
    <w:rsid w:val="145B05B2"/>
    <w:rsid w:val="1463025A"/>
    <w:rsid w:val="146E424F"/>
    <w:rsid w:val="148B53AB"/>
    <w:rsid w:val="14A9470D"/>
    <w:rsid w:val="14C34AAA"/>
    <w:rsid w:val="14CB26E6"/>
    <w:rsid w:val="14D85525"/>
    <w:rsid w:val="14FA3F2A"/>
    <w:rsid w:val="15093050"/>
    <w:rsid w:val="151C47A6"/>
    <w:rsid w:val="15250DB9"/>
    <w:rsid w:val="15345B4B"/>
    <w:rsid w:val="1537321C"/>
    <w:rsid w:val="1546430D"/>
    <w:rsid w:val="15482A3B"/>
    <w:rsid w:val="154B29DC"/>
    <w:rsid w:val="1552637F"/>
    <w:rsid w:val="1556369A"/>
    <w:rsid w:val="15634DF1"/>
    <w:rsid w:val="156D617C"/>
    <w:rsid w:val="15853553"/>
    <w:rsid w:val="15873642"/>
    <w:rsid w:val="15877D00"/>
    <w:rsid w:val="158B3EB5"/>
    <w:rsid w:val="158B5EC8"/>
    <w:rsid w:val="158C615D"/>
    <w:rsid w:val="159A3457"/>
    <w:rsid w:val="159C41BD"/>
    <w:rsid w:val="15AD398C"/>
    <w:rsid w:val="15BA2BE1"/>
    <w:rsid w:val="15C714C2"/>
    <w:rsid w:val="15C93C5F"/>
    <w:rsid w:val="15F734E6"/>
    <w:rsid w:val="15FD236A"/>
    <w:rsid w:val="16084FF0"/>
    <w:rsid w:val="161276CC"/>
    <w:rsid w:val="16222FDC"/>
    <w:rsid w:val="162543E1"/>
    <w:rsid w:val="164E7894"/>
    <w:rsid w:val="1654289E"/>
    <w:rsid w:val="1659168E"/>
    <w:rsid w:val="165B3E62"/>
    <w:rsid w:val="166529CA"/>
    <w:rsid w:val="1665349E"/>
    <w:rsid w:val="16900E7E"/>
    <w:rsid w:val="16A070E1"/>
    <w:rsid w:val="16AD19E8"/>
    <w:rsid w:val="16B72839"/>
    <w:rsid w:val="17046FFC"/>
    <w:rsid w:val="17075C31"/>
    <w:rsid w:val="170D06D3"/>
    <w:rsid w:val="170D06D9"/>
    <w:rsid w:val="17160153"/>
    <w:rsid w:val="171C0A16"/>
    <w:rsid w:val="172E5D32"/>
    <w:rsid w:val="172F5E72"/>
    <w:rsid w:val="175032C2"/>
    <w:rsid w:val="17725C08"/>
    <w:rsid w:val="17771FF6"/>
    <w:rsid w:val="17791642"/>
    <w:rsid w:val="1796247C"/>
    <w:rsid w:val="17A16898"/>
    <w:rsid w:val="17A2749A"/>
    <w:rsid w:val="17A6031B"/>
    <w:rsid w:val="17C94CA0"/>
    <w:rsid w:val="17D1787A"/>
    <w:rsid w:val="17E56F60"/>
    <w:rsid w:val="17EA2FA8"/>
    <w:rsid w:val="17FF7156"/>
    <w:rsid w:val="18014330"/>
    <w:rsid w:val="18030C03"/>
    <w:rsid w:val="18131086"/>
    <w:rsid w:val="182455B3"/>
    <w:rsid w:val="18281EDB"/>
    <w:rsid w:val="183D6FDE"/>
    <w:rsid w:val="18522150"/>
    <w:rsid w:val="187B4376"/>
    <w:rsid w:val="188755EE"/>
    <w:rsid w:val="18897E78"/>
    <w:rsid w:val="18B55715"/>
    <w:rsid w:val="18BC23B6"/>
    <w:rsid w:val="18D23085"/>
    <w:rsid w:val="18D36FB2"/>
    <w:rsid w:val="18F024AA"/>
    <w:rsid w:val="18F46084"/>
    <w:rsid w:val="18FC03F4"/>
    <w:rsid w:val="190300BB"/>
    <w:rsid w:val="190D3B48"/>
    <w:rsid w:val="19103658"/>
    <w:rsid w:val="191A480A"/>
    <w:rsid w:val="191B5FB9"/>
    <w:rsid w:val="192207B1"/>
    <w:rsid w:val="19283909"/>
    <w:rsid w:val="193277E2"/>
    <w:rsid w:val="193F26E5"/>
    <w:rsid w:val="19402AB4"/>
    <w:rsid w:val="19575C3B"/>
    <w:rsid w:val="195F7653"/>
    <w:rsid w:val="19752E9E"/>
    <w:rsid w:val="197E1393"/>
    <w:rsid w:val="19882F7C"/>
    <w:rsid w:val="19945193"/>
    <w:rsid w:val="199B21A3"/>
    <w:rsid w:val="19C135AA"/>
    <w:rsid w:val="19C621AF"/>
    <w:rsid w:val="19C818AF"/>
    <w:rsid w:val="19D454DE"/>
    <w:rsid w:val="19DD19D1"/>
    <w:rsid w:val="19E35721"/>
    <w:rsid w:val="19E576EB"/>
    <w:rsid w:val="19FD6479"/>
    <w:rsid w:val="1A045BD5"/>
    <w:rsid w:val="1A5B3B72"/>
    <w:rsid w:val="1A6D00E7"/>
    <w:rsid w:val="1A78516B"/>
    <w:rsid w:val="1A825480"/>
    <w:rsid w:val="1AA47422"/>
    <w:rsid w:val="1AA80FAD"/>
    <w:rsid w:val="1ABE48AD"/>
    <w:rsid w:val="1ACE572B"/>
    <w:rsid w:val="1AF6559F"/>
    <w:rsid w:val="1B03607B"/>
    <w:rsid w:val="1B121246"/>
    <w:rsid w:val="1B3A75C2"/>
    <w:rsid w:val="1B4319AC"/>
    <w:rsid w:val="1B635F8A"/>
    <w:rsid w:val="1B702904"/>
    <w:rsid w:val="1BA05D54"/>
    <w:rsid w:val="1BCD0CAE"/>
    <w:rsid w:val="1BD702ED"/>
    <w:rsid w:val="1BF24B0D"/>
    <w:rsid w:val="1C0400CE"/>
    <w:rsid w:val="1C094227"/>
    <w:rsid w:val="1C0F47EB"/>
    <w:rsid w:val="1C27091F"/>
    <w:rsid w:val="1C294636"/>
    <w:rsid w:val="1C3252DF"/>
    <w:rsid w:val="1C355E4A"/>
    <w:rsid w:val="1C4619FB"/>
    <w:rsid w:val="1C6137DC"/>
    <w:rsid w:val="1C672ACC"/>
    <w:rsid w:val="1C6B2F46"/>
    <w:rsid w:val="1C6C7C4F"/>
    <w:rsid w:val="1C7431E5"/>
    <w:rsid w:val="1C7F6227"/>
    <w:rsid w:val="1C862EB2"/>
    <w:rsid w:val="1C87251E"/>
    <w:rsid w:val="1CA53588"/>
    <w:rsid w:val="1CC7509C"/>
    <w:rsid w:val="1CCA2607"/>
    <w:rsid w:val="1CCB5EE5"/>
    <w:rsid w:val="1CDA3553"/>
    <w:rsid w:val="1CFA792B"/>
    <w:rsid w:val="1D052D8F"/>
    <w:rsid w:val="1D0F4A92"/>
    <w:rsid w:val="1D101DAF"/>
    <w:rsid w:val="1D10354F"/>
    <w:rsid w:val="1D127F51"/>
    <w:rsid w:val="1D2B2C74"/>
    <w:rsid w:val="1D3377CD"/>
    <w:rsid w:val="1D385523"/>
    <w:rsid w:val="1D5C328E"/>
    <w:rsid w:val="1D872FD5"/>
    <w:rsid w:val="1DA412B6"/>
    <w:rsid w:val="1DAB5031"/>
    <w:rsid w:val="1DF95513"/>
    <w:rsid w:val="1E0740D4"/>
    <w:rsid w:val="1E1B2B12"/>
    <w:rsid w:val="1E1C3382"/>
    <w:rsid w:val="1E1E740B"/>
    <w:rsid w:val="1E226597"/>
    <w:rsid w:val="1E2D340E"/>
    <w:rsid w:val="1E7A3E05"/>
    <w:rsid w:val="1E913FC3"/>
    <w:rsid w:val="1EE60AC3"/>
    <w:rsid w:val="1EF6096B"/>
    <w:rsid w:val="1EFA1543"/>
    <w:rsid w:val="1EFA5C03"/>
    <w:rsid w:val="1EFF098E"/>
    <w:rsid w:val="1F097B4A"/>
    <w:rsid w:val="1F187873"/>
    <w:rsid w:val="1F2B6CB8"/>
    <w:rsid w:val="1F3E3458"/>
    <w:rsid w:val="1F426505"/>
    <w:rsid w:val="1F4F7B53"/>
    <w:rsid w:val="1F5A30D6"/>
    <w:rsid w:val="1F6431E4"/>
    <w:rsid w:val="1F7C4B4B"/>
    <w:rsid w:val="1F8331C1"/>
    <w:rsid w:val="1F894A32"/>
    <w:rsid w:val="1F896D6A"/>
    <w:rsid w:val="1FAA5441"/>
    <w:rsid w:val="1FAE149F"/>
    <w:rsid w:val="1FB71BE3"/>
    <w:rsid w:val="1FB931AC"/>
    <w:rsid w:val="1FBD02CA"/>
    <w:rsid w:val="1FBD44B0"/>
    <w:rsid w:val="1FC6774D"/>
    <w:rsid w:val="1FED3DBA"/>
    <w:rsid w:val="1FEF3527"/>
    <w:rsid w:val="1FFF2932"/>
    <w:rsid w:val="2010515D"/>
    <w:rsid w:val="20120B0E"/>
    <w:rsid w:val="201926AC"/>
    <w:rsid w:val="20196EDC"/>
    <w:rsid w:val="204C68B1"/>
    <w:rsid w:val="20632B55"/>
    <w:rsid w:val="20664E95"/>
    <w:rsid w:val="207A3F54"/>
    <w:rsid w:val="20860324"/>
    <w:rsid w:val="20901F59"/>
    <w:rsid w:val="20902A59"/>
    <w:rsid w:val="20950F81"/>
    <w:rsid w:val="209B6913"/>
    <w:rsid w:val="209F147F"/>
    <w:rsid w:val="20BF00E5"/>
    <w:rsid w:val="20C652AA"/>
    <w:rsid w:val="20D169EE"/>
    <w:rsid w:val="20D25AE3"/>
    <w:rsid w:val="20D57D40"/>
    <w:rsid w:val="20DE0DBC"/>
    <w:rsid w:val="20FC3174"/>
    <w:rsid w:val="211A1599"/>
    <w:rsid w:val="211F2C6E"/>
    <w:rsid w:val="21524077"/>
    <w:rsid w:val="21683A2A"/>
    <w:rsid w:val="2169477D"/>
    <w:rsid w:val="21737CC2"/>
    <w:rsid w:val="21796826"/>
    <w:rsid w:val="21870870"/>
    <w:rsid w:val="218872DA"/>
    <w:rsid w:val="21926AFA"/>
    <w:rsid w:val="21AB75ED"/>
    <w:rsid w:val="21AE1602"/>
    <w:rsid w:val="221870EB"/>
    <w:rsid w:val="221C071D"/>
    <w:rsid w:val="221E0A69"/>
    <w:rsid w:val="22256660"/>
    <w:rsid w:val="2227692D"/>
    <w:rsid w:val="225068B0"/>
    <w:rsid w:val="226440F1"/>
    <w:rsid w:val="22AE19E4"/>
    <w:rsid w:val="22BC4F06"/>
    <w:rsid w:val="22D9459E"/>
    <w:rsid w:val="22DF69D4"/>
    <w:rsid w:val="22EF10CD"/>
    <w:rsid w:val="23066A57"/>
    <w:rsid w:val="23176C0F"/>
    <w:rsid w:val="23480B02"/>
    <w:rsid w:val="23531E01"/>
    <w:rsid w:val="235E6F93"/>
    <w:rsid w:val="236216EC"/>
    <w:rsid w:val="23741036"/>
    <w:rsid w:val="238C45A7"/>
    <w:rsid w:val="23916162"/>
    <w:rsid w:val="23CF041C"/>
    <w:rsid w:val="23DC3967"/>
    <w:rsid w:val="23E04CBD"/>
    <w:rsid w:val="23F07D2B"/>
    <w:rsid w:val="23FD5227"/>
    <w:rsid w:val="24044AF6"/>
    <w:rsid w:val="240754D8"/>
    <w:rsid w:val="242332EA"/>
    <w:rsid w:val="24290505"/>
    <w:rsid w:val="24504B2A"/>
    <w:rsid w:val="245D34C2"/>
    <w:rsid w:val="247B4ED4"/>
    <w:rsid w:val="247C15D5"/>
    <w:rsid w:val="24B8397D"/>
    <w:rsid w:val="24BA2D27"/>
    <w:rsid w:val="24BE4520"/>
    <w:rsid w:val="24C01D1F"/>
    <w:rsid w:val="24E567F1"/>
    <w:rsid w:val="24E625F3"/>
    <w:rsid w:val="24F0235C"/>
    <w:rsid w:val="250B5B12"/>
    <w:rsid w:val="251D00F3"/>
    <w:rsid w:val="25534B94"/>
    <w:rsid w:val="255A5160"/>
    <w:rsid w:val="255D710C"/>
    <w:rsid w:val="259975F5"/>
    <w:rsid w:val="25A377B4"/>
    <w:rsid w:val="25A51E52"/>
    <w:rsid w:val="25AC35E6"/>
    <w:rsid w:val="25B05D4D"/>
    <w:rsid w:val="25B20475"/>
    <w:rsid w:val="25B2188E"/>
    <w:rsid w:val="25C0572C"/>
    <w:rsid w:val="25E12CE7"/>
    <w:rsid w:val="25EF3DCB"/>
    <w:rsid w:val="25FF38E2"/>
    <w:rsid w:val="260361A8"/>
    <w:rsid w:val="26066CA3"/>
    <w:rsid w:val="261D53D8"/>
    <w:rsid w:val="2625501D"/>
    <w:rsid w:val="262804FF"/>
    <w:rsid w:val="26393F83"/>
    <w:rsid w:val="26532D0F"/>
    <w:rsid w:val="266F6F09"/>
    <w:rsid w:val="26867353"/>
    <w:rsid w:val="268A3026"/>
    <w:rsid w:val="26AA5946"/>
    <w:rsid w:val="26B63325"/>
    <w:rsid w:val="26BB5B0F"/>
    <w:rsid w:val="26C70AE5"/>
    <w:rsid w:val="26CD39E1"/>
    <w:rsid w:val="26EA6197"/>
    <w:rsid w:val="270611BC"/>
    <w:rsid w:val="271422C7"/>
    <w:rsid w:val="272861C3"/>
    <w:rsid w:val="27637EA1"/>
    <w:rsid w:val="27710EE2"/>
    <w:rsid w:val="277B758F"/>
    <w:rsid w:val="27841B7B"/>
    <w:rsid w:val="278435FF"/>
    <w:rsid w:val="279A4366"/>
    <w:rsid w:val="279E574B"/>
    <w:rsid w:val="279E6547"/>
    <w:rsid w:val="27A95ECA"/>
    <w:rsid w:val="27AB40BF"/>
    <w:rsid w:val="27BD5803"/>
    <w:rsid w:val="27BF6027"/>
    <w:rsid w:val="27C36490"/>
    <w:rsid w:val="27D36DD5"/>
    <w:rsid w:val="27DE792E"/>
    <w:rsid w:val="27E82E02"/>
    <w:rsid w:val="27EA6735"/>
    <w:rsid w:val="27F002E8"/>
    <w:rsid w:val="27F6451E"/>
    <w:rsid w:val="28023A39"/>
    <w:rsid w:val="28195449"/>
    <w:rsid w:val="28250CC6"/>
    <w:rsid w:val="2827240B"/>
    <w:rsid w:val="284167DC"/>
    <w:rsid w:val="284B737C"/>
    <w:rsid w:val="284D70C5"/>
    <w:rsid w:val="285D13E4"/>
    <w:rsid w:val="285E5D2D"/>
    <w:rsid w:val="286F30C4"/>
    <w:rsid w:val="287C65FA"/>
    <w:rsid w:val="288354D4"/>
    <w:rsid w:val="288D4DF2"/>
    <w:rsid w:val="28903AAA"/>
    <w:rsid w:val="28940663"/>
    <w:rsid w:val="289F6F2D"/>
    <w:rsid w:val="28A7070A"/>
    <w:rsid w:val="28A9444C"/>
    <w:rsid w:val="28AB1F62"/>
    <w:rsid w:val="28CF074F"/>
    <w:rsid w:val="28DA2347"/>
    <w:rsid w:val="28DB66EE"/>
    <w:rsid w:val="28EE7985"/>
    <w:rsid w:val="28F25F51"/>
    <w:rsid w:val="290141E9"/>
    <w:rsid w:val="2910172E"/>
    <w:rsid w:val="29204DEB"/>
    <w:rsid w:val="292518B2"/>
    <w:rsid w:val="29424212"/>
    <w:rsid w:val="2969642A"/>
    <w:rsid w:val="297B49FB"/>
    <w:rsid w:val="29810AEB"/>
    <w:rsid w:val="298D2A6B"/>
    <w:rsid w:val="299B3B6E"/>
    <w:rsid w:val="299D5C1F"/>
    <w:rsid w:val="29A86B39"/>
    <w:rsid w:val="29AA658B"/>
    <w:rsid w:val="29B30E1A"/>
    <w:rsid w:val="29C757FD"/>
    <w:rsid w:val="29C93FEB"/>
    <w:rsid w:val="29D84B46"/>
    <w:rsid w:val="29DC7B87"/>
    <w:rsid w:val="29E2362B"/>
    <w:rsid w:val="29ED5D98"/>
    <w:rsid w:val="29EF2C20"/>
    <w:rsid w:val="29EF38D2"/>
    <w:rsid w:val="29F576DE"/>
    <w:rsid w:val="2A104310"/>
    <w:rsid w:val="2A193E79"/>
    <w:rsid w:val="2A36520C"/>
    <w:rsid w:val="2A375E8B"/>
    <w:rsid w:val="2A3865E1"/>
    <w:rsid w:val="2A4B7C26"/>
    <w:rsid w:val="2A560A7E"/>
    <w:rsid w:val="2A581876"/>
    <w:rsid w:val="2A5A2D0B"/>
    <w:rsid w:val="2A5B38E4"/>
    <w:rsid w:val="2A827ACD"/>
    <w:rsid w:val="2A920D41"/>
    <w:rsid w:val="2AA35F58"/>
    <w:rsid w:val="2AB15B8D"/>
    <w:rsid w:val="2ABB54C9"/>
    <w:rsid w:val="2ACD0453"/>
    <w:rsid w:val="2AF27B44"/>
    <w:rsid w:val="2B07420E"/>
    <w:rsid w:val="2B110935"/>
    <w:rsid w:val="2B194261"/>
    <w:rsid w:val="2B19628B"/>
    <w:rsid w:val="2B2B36AA"/>
    <w:rsid w:val="2B2C3924"/>
    <w:rsid w:val="2B323CA0"/>
    <w:rsid w:val="2B3A1BFB"/>
    <w:rsid w:val="2B3C1135"/>
    <w:rsid w:val="2B4E1B54"/>
    <w:rsid w:val="2B51336E"/>
    <w:rsid w:val="2B5C548B"/>
    <w:rsid w:val="2B776C05"/>
    <w:rsid w:val="2B830215"/>
    <w:rsid w:val="2B9C1402"/>
    <w:rsid w:val="2BA606C1"/>
    <w:rsid w:val="2BCD098B"/>
    <w:rsid w:val="2BD14584"/>
    <w:rsid w:val="2BF13414"/>
    <w:rsid w:val="2BFC6540"/>
    <w:rsid w:val="2C030CE2"/>
    <w:rsid w:val="2C137C81"/>
    <w:rsid w:val="2C2D74AD"/>
    <w:rsid w:val="2C3200B3"/>
    <w:rsid w:val="2C3F1FCD"/>
    <w:rsid w:val="2C413716"/>
    <w:rsid w:val="2C512AC5"/>
    <w:rsid w:val="2C647E46"/>
    <w:rsid w:val="2C70681A"/>
    <w:rsid w:val="2C87092F"/>
    <w:rsid w:val="2CC449D3"/>
    <w:rsid w:val="2CDB58D4"/>
    <w:rsid w:val="2CE959AD"/>
    <w:rsid w:val="2CED504B"/>
    <w:rsid w:val="2CF077F9"/>
    <w:rsid w:val="2CF50E81"/>
    <w:rsid w:val="2CFF5E5D"/>
    <w:rsid w:val="2D036885"/>
    <w:rsid w:val="2D28128C"/>
    <w:rsid w:val="2D320A41"/>
    <w:rsid w:val="2D3B3633"/>
    <w:rsid w:val="2D4571A1"/>
    <w:rsid w:val="2D4F6FA0"/>
    <w:rsid w:val="2D61379E"/>
    <w:rsid w:val="2D685946"/>
    <w:rsid w:val="2D723114"/>
    <w:rsid w:val="2D793EB2"/>
    <w:rsid w:val="2D897331"/>
    <w:rsid w:val="2D8E289A"/>
    <w:rsid w:val="2DA6030D"/>
    <w:rsid w:val="2DAE7C91"/>
    <w:rsid w:val="2DC47CB2"/>
    <w:rsid w:val="2DCA5A16"/>
    <w:rsid w:val="2DDF0497"/>
    <w:rsid w:val="2DEA5505"/>
    <w:rsid w:val="2DF237CB"/>
    <w:rsid w:val="2DF96A04"/>
    <w:rsid w:val="2E045CF5"/>
    <w:rsid w:val="2E092025"/>
    <w:rsid w:val="2E0936B0"/>
    <w:rsid w:val="2E0E5425"/>
    <w:rsid w:val="2E205789"/>
    <w:rsid w:val="2E2572A9"/>
    <w:rsid w:val="2E2C1E2B"/>
    <w:rsid w:val="2E4F6205"/>
    <w:rsid w:val="2E5408B1"/>
    <w:rsid w:val="2E5C724F"/>
    <w:rsid w:val="2E5E3D60"/>
    <w:rsid w:val="2E677ADB"/>
    <w:rsid w:val="2E6B4A7E"/>
    <w:rsid w:val="2E7631AC"/>
    <w:rsid w:val="2E7B2529"/>
    <w:rsid w:val="2E9C787F"/>
    <w:rsid w:val="2EB411CC"/>
    <w:rsid w:val="2EBA46DE"/>
    <w:rsid w:val="2EC21275"/>
    <w:rsid w:val="2EF96FED"/>
    <w:rsid w:val="2F1F3461"/>
    <w:rsid w:val="2F295D9B"/>
    <w:rsid w:val="2F3826EF"/>
    <w:rsid w:val="2F6637E7"/>
    <w:rsid w:val="2F7F4C16"/>
    <w:rsid w:val="2F8240D1"/>
    <w:rsid w:val="2F84431E"/>
    <w:rsid w:val="2F8715CA"/>
    <w:rsid w:val="2F8C221E"/>
    <w:rsid w:val="2FAE24E9"/>
    <w:rsid w:val="2FBB71C5"/>
    <w:rsid w:val="2FBC14AB"/>
    <w:rsid w:val="2FC80A46"/>
    <w:rsid w:val="2FD57AFF"/>
    <w:rsid w:val="2FDA6567"/>
    <w:rsid w:val="2FE536A4"/>
    <w:rsid w:val="2FF36DFD"/>
    <w:rsid w:val="2FFA14C5"/>
    <w:rsid w:val="2FFA2FD9"/>
    <w:rsid w:val="30073ABF"/>
    <w:rsid w:val="300F0E69"/>
    <w:rsid w:val="30111545"/>
    <w:rsid w:val="301C00A4"/>
    <w:rsid w:val="301C076A"/>
    <w:rsid w:val="30203656"/>
    <w:rsid w:val="30562C26"/>
    <w:rsid w:val="3057353A"/>
    <w:rsid w:val="306911B8"/>
    <w:rsid w:val="30C63E43"/>
    <w:rsid w:val="30D34E0D"/>
    <w:rsid w:val="30D875CE"/>
    <w:rsid w:val="30DB2AAE"/>
    <w:rsid w:val="30DD7BF1"/>
    <w:rsid w:val="30ED7F22"/>
    <w:rsid w:val="30EF35B3"/>
    <w:rsid w:val="30F6293C"/>
    <w:rsid w:val="30F71C54"/>
    <w:rsid w:val="31061FC9"/>
    <w:rsid w:val="310D6900"/>
    <w:rsid w:val="31116769"/>
    <w:rsid w:val="31161B30"/>
    <w:rsid w:val="31271437"/>
    <w:rsid w:val="312D25E9"/>
    <w:rsid w:val="315323DB"/>
    <w:rsid w:val="3154072C"/>
    <w:rsid w:val="315F6030"/>
    <w:rsid w:val="31630236"/>
    <w:rsid w:val="318E492C"/>
    <w:rsid w:val="319F019F"/>
    <w:rsid w:val="31AF7BB4"/>
    <w:rsid w:val="31C27E42"/>
    <w:rsid w:val="31D66608"/>
    <w:rsid w:val="31E93883"/>
    <w:rsid w:val="31EA22CE"/>
    <w:rsid w:val="31EB2CDD"/>
    <w:rsid w:val="320471B9"/>
    <w:rsid w:val="32131A4F"/>
    <w:rsid w:val="321F2FC9"/>
    <w:rsid w:val="3235753A"/>
    <w:rsid w:val="32370DC9"/>
    <w:rsid w:val="32386C37"/>
    <w:rsid w:val="324062FE"/>
    <w:rsid w:val="32457483"/>
    <w:rsid w:val="32470A1D"/>
    <w:rsid w:val="3247735B"/>
    <w:rsid w:val="324C5F04"/>
    <w:rsid w:val="3266496B"/>
    <w:rsid w:val="32724B98"/>
    <w:rsid w:val="329E4EB3"/>
    <w:rsid w:val="32AE2918"/>
    <w:rsid w:val="32B54268"/>
    <w:rsid w:val="32BB7644"/>
    <w:rsid w:val="32C36D80"/>
    <w:rsid w:val="32C75788"/>
    <w:rsid w:val="32C94F08"/>
    <w:rsid w:val="32E4021C"/>
    <w:rsid w:val="32E43806"/>
    <w:rsid w:val="32EB1526"/>
    <w:rsid w:val="3306706F"/>
    <w:rsid w:val="33184235"/>
    <w:rsid w:val="33253585"/>
    <w:rsid w:val="332F0ABB"/>
    <w:rsid w:val="33393CE8"/>
    <w:rsid w:val="333A117C"/>
    <w:rsid w:val="333B5915"/>
    <w:rsid w:val="333F13F4"/>
    <w:rsid w:val="33485242"/>
    <w:rsid w:val="3357379F"/>
    <w:rsid w:val="33594163"/>
    <w:rsid w:val="335F5BA3"/>
    <w:rsid w:val="337A3149"/>
    <w:rsid w:val="33937B78"/>
    <w:rsid w:val="33A8045F"/>
    <w:rsid w:val="33E36A93"/>
    <w:rsid w:val="33ED6B69"/>
    <w:rsid w:val="33F00D0E"/>
    <w:rsid w:val="3414239B"/>
    <w:rsid w:val="34146DA2"/>
    <w:rsid w:val="342235BE"/>
    <w:rsid w:val="34307EB3"/>
    <w:rsid w:val="343B37F0"/>
    <w:rsid w:val="344235D6"/>
    <w:rsid w:val="346C65E7"/>
    <w:rsid w:val="348036D7"/>
    <w:rsid w:val="348129CF"/>
    <w:rsid w:val="348340FF"/>
    <w:rsid w:val="34A235C5"/>
    <w:rsid w:val="34A64067"/>
    <w:rsid w:val="34A93765"/>
    <w:rsid w:val="34BD369F"/>
    <w:rsid w:val="34C0321A"/>
    <w:rsid w:val="34C04567"/>
    <w:rsid w:val="34C85B4D"/>
    <w:rsid w:val="34D31A46"/>
    <w:rsid w:val="34D67F04"/>
    <w:rsid w:val="34DD26BC"/>
    <w:rsid w:val="34DF2A61"/>
    <w:rsid w:val="34FB09C4"/>
    <w:rsid w:val="350307B5"/>
    <w:rsid w:val="35151A45"/>
    <w:rsid w:val="353A1619"/>
    <w:rsid w:val="353D7CA8"/>
    <w:rsid w:val="354635ED"/>
    <w:rsid w:val="35764EB0"/>
    <w:rsid w:val="358317A7"/>
    <w:rsid w:val="35833246"/>
    <w:rsid w:val="35855B52"/>
    <w:rsid w:val="359E6C74"/>
    <w:rsid w:val="35A0711C"/>
    <w:rsid w:val="35A17CE2"/>
    <w:rsid w:val="35B60853"/>
    <w:rsid w:val="35B936C0"/>
    <w:rsid w:val="35C251F8"/>
    <w:rsid w:val="35C72D73"/>
    <w:rsid w:val="35D2193F"/>
    <w:rsid w:val="35E6550D"/>
    <w:rsid w:val="35EA6160"/>
    <w:rsid w:val="35EB09FB"/>
    <w:rsid w:val="35FC4BA4"/>
    <w:rsid w:val="3629610B"/>
    <w:rsid w:val="367A3428"/>
    <w:rsid w:val="36994677"/>
    <w:rsid w:val="369E0666"/>
    <w:rsid w:val="36AC24E8"/>
    <w:rsid w:val="36AC4910"/>
    <w:rsid w:val="36BE2E57"/>
    <w:rsid w:val="36C105B3"/>
    <w:rsid w:val="36C14DBF"/>
    <w:rsid w:val="36C41C0D"/>
    <w:rsid w:val="36DA319B"/>
    <w:rsid w:val="36F26B65"/>
    <w:rsid w:val="37336181"/>
    <w:rsid w:val="373D5D54"/>
    <w:rsid w:val="37563644"/>
    <w:rsid w:val="375C3158"/>
    <w:rsid w:val="375D202C"/>
    <w:rsid w:val="375D5510"/>
    <w:rsid w:val="377C6A22"/>
    <w:rsid w:val="379A68D8"/>
    <w:rsid w:val="37B14DE1"/>
    <w:rsid w:val="37BE6E27"/>
    <w:rsid w:val="37BF098E"/>
    <w:rsid w:val="37C00E1C"/>
    <w:rsid w:val="37CB18EC"/>
    <w:rsid w:val="37D73D98"/>
    <w:rsid w:val="37E3390B"/>
    <w:rsid w:val="37E77E78"/>
    <w:rsid w:val="37EC1B94"/>
    <w:rsid w:val="37FE3459"/>
    <w:rsid w:val="38062D4A"/>
    <w:rsid w:val="380E7A6A"/>
    <w:rsid w:val="381415A9"/>
    <w:rsid w:val="383450DC"/>
    <w:rsid w:val="38351CA3"/>
    <w:rsid w:val="384C0A64"/>
    <w:rsid w:val="385B709E"/>
    <w:rsid w:val="386A7861"/>
    <w:rsid w:val="387A507A"/>
    <w:rsid w:val="389F74A4"/>
    <w:rsid w:val="38A55986"/>
    <w:rsid w:val="38A8311F"/>
    <w:rsid w:val="38B42668"/>
    <w:rsid w:val="38E47142"/>
    <w:rsid w:val="38EF5EBB"/>
    <w:rsid w:val="391372DE"/>
    <w:rsid w:val="39185213"/>
    <w:rsid w:val="391B4A7F"/>
    <w:rsid w:val="391D4CD7"/>
    <w:rsid w:val="394A019F"/>
    <w:rsid w:val="39551808"/>
    <w:rsid w:val="39600658"/>
    <w:rsid w:val="396F6FC6"/>
    <w:rsid w:val="397E038C"/>
    <w:rsid w:val="39825CB6"/>
    <w:rsid w:val="39865320"/>
    <w:rsid w:val="399F7AE8"/>
    <w:rsid w:val="39B06F76"/>
    <w:rsid w:val="39B233CA"/>
    <w:rsid w:val="39BB14A5"/>
    <w:rsid w:val="39C3501D"/>
    <w:rsid w:val="39C83B4E"/>
    <w:rsid w:val="39D16765"/>
    <w:rsid w:val="39DA312D"/>
    <w:rsid w:val="39E138B4"/>
    <w:rsid w:val="39E80EC0"/>
    <w:rsid w:val="39F17CF6"/>
    <w:rsid w:val="39F72832"/>
    <w:rsid w:val="3A0634DB"/>
    <w:rsid w:val="3A110298"/>
    <w:rsid w:val="3A1C5B7B"/>
    <w:rsid w:val="3A1E473E"/>
    <w:rsid w:val="3A2129D0"/>
    <w:rsid w:val="3A216362"/>
    <w:rsid w:val="3A2F3D50"/>
    <w:rsid w:val="3A3743AA"/>
    <w:rsid w:val="3A3D7BB6"/>
    <w:rsid w:val="3A553FD7"/>
    <w:rsid w:val="3A6549B3"/>
    <w:rsid w:val="3A7B3A28"/>
    <w:rsid w:val="3A7E7183"/>
    <w:rsid w:val="3A89171C"/>
    <w:rsid w:val="3A893EF0"/>
    <w:rsid w:val="3A8C2A9A"/>
    <w:rsid w:val="3A905B51"/>
    <w:rsid w:val="3AA71963"/>
    <w:rsid w:val="3ABD67BF"/>
    <w:rsid w:val="3AC56A51"/>
    <w:rsid w:val="3AE74C19"/>
    <w:rsid w:val="3AE873E9"/>
    <w:rsid w:val="3AF158EB"/>
    <w:rsid w:val="3B091551"/>
    <w:rsid w:val="3B210C70"/>
    <w:rsid w:val="3B216667"/>
    <w:rsid w:val="3B2F5096"/>
    <w:rsid w:val="3B337FFF"/>
    <w:rsid w:val="3B3B3D02"/>
    <w:rsid w:val="3B583CBC"/>
    <w:rsid w:val="3B673A7D"/>
    <w:rsid w:val="3B7961E9"/>
    <w:rsid w:val="3B7C4830"/>
    <w:rsid w:val="3B7D5D0E"/>
    <w:rsid w:val="3B9F7BFE"/>
    <w:rsid w:val="3BA606D9"/>
    <w:rsid w:val="3BE16D9B"/>
    <w:rsid w:val="3BEC7356"/>
    <w:rsid w:val="3BF30693"/>
    <w:rsid w:val="3BF35216"/>
    <w:rsid w:val="3C0009BC"/>
    <w:rsid w:val="3C04218D"/>
    <w:rsid w:val="3C057F97"/>
    <w:rsid w:val="3C0B4937"/>
    <w:rsid w:val="3C0C123A"/>
    <w:rsid w:val="3C1539F5"/>
    <w:rsid w:val="3C1E1228"/>
    <w:rsid w:val="3C1F5064"/>
    <w:rsid w:val="3C30706F"/>
    <w:rsid w:val="3C343279"/>
    <w:rsid w:val="3C460574"/>
    <w:rsid w:val="3C4612C0"/>
    <w:rsid w:val="3C484FBC"/>
    <w:rsid w:val="3C653D4D"/>
    <w:rsid w:val="3C7B5CF3"/>
    <w:rsid w:val="3C8229AD"/>
    <w:rsid w:val="3C82709A"/>
    <w:rsid w:val="3C9F37B0"/>
    <w:rsid w:val="3CBE328F"/>
    <w:rsid w:val="3CC2593E"/>
    <w:rsid w:val="3CC7519A"/>
    <w:rsid w:val="3CC76145"/>
    <w:rsid w:val="3CE046ED"/>
    <w:rsid w:val="3CE14D4F"/>
    <w:rsid w:val="3CF21D45"/>
    <w:rsid w:val="3CF655E7"/>
    <w:rsid w:val="3D023202"/>
    <w:rsid w:val="3D0A3497"/>
    <w:rsid w:val="3D0E5962"/>
    <w:rsid w:val="3D135DD7"/>
    <w:rsid w:val="3D2949B5"/>
    <w:rsid w:val="3D2C3C66"/>
    <w:rsid w:val="3D2F5E55"/>
    <w:rsid w:val="3D3C5C86"/>
    <w:rsid w:val="3D461B43"/>
    <w:rsid w:val="3D4708AC"/>
    <w:rsid w:val="3D7C4A9A"/>
    <w:rsid w:val="3D7F15FE"/>
    <w:rsid w:val="3D8A22D5"/>
    <w:rsid w:val="3D927D0E"/>
    <w:rsid w:val="3D9717B0"/>
    <w:rsid w:val="3D9F5C7F"/>
    <w:rsid w:val="3DAA56F6"/>
    <w:rsid w:val="3DAD2111"/>
    <w:rsid w:val="3DBA06D9"/>
    <w:rsid w:val="3DD82F3F"/>
    <w:rsid w:val="3DE73182"/>
    <w:rsid w:val="3DEF1CC2"/>
    <w:rsid w:val="3DF27D3F"/>
    <w:rsid w:val="3E036AFD"/>
    <w:rsid w:val="3E072B74"/>
    <w:rsid w:val="3E151A9D"/>
    <w:rsid w:val="3E246184"/>
    <w:rsid w:val="3E282D66"/>
    <w:rsid w:val="3E2E502F"/>
    <w:rsid w:val="3E4B3711"/>
    <w:rsid w:val="3E566AD5"/>
    <w:rsid w:val="3E637FC9"/>
    <w:rsid w:val="3E7A1B8E"/>
    <w:rsid w:val="3E895591"/>
    <w:rsid w:val="3EB70338"/>
    <w:rsid w:val="3ED25BE0"/>
    <w:rsid w:val="3ED854DE"/>
    <w:rsid w:val="3EEF431E"/>
    <w:rsid w:val="3F0C0EE9"/>
    <w:rsid w:val="3F1367E4"/>
    <w:rsid w:val="3F1E0B7D"/>
    <w:rsid w:val="3F39053A"/>
    <w:rsid w:val="3F3954FE"/>
    <w:rsid w:val="3F595A93"/>
    <w:rsid w:val="3F6F30CA"/>
    <w:rsid w:val="3F8C6FB8"/>
    <w:rsid w:val="3F8E0A48"/>
    <w:rsid w:val="3FA83316"/>
    <w:rsid w:val="3FA87CDA"/>
    <w:rsid w:val="3FB12EA5"/>
    <w:rsid w:val="3FB74118"/>
    <w:rsid w:val="3FC041E3"/>
    <w:rsid w:val="3FC2314F"/>
    <w:rsid w:val="3FC72D8E"/>
    <w:rsid w:val="3FD91BFC"/>
    <w:rsid w:val="3FDE6E90"/>
    <w:rsid w:val="3FE54D9E"/>
    <w:rsid w:val="3FEA2447"/>
    <w:rsid w:val="3FF477B2"/>
    <w:rsid w:val="40042C4B"/>
    <w:rsid w:val="40111FC2"/>
    <w:rsid w:val="40116C74"/>
    <w:rsid w:val="401A339B"/>
    <w:rsid w:val="4028789C"/>
    <w:rsid w:val="4047312B"/>
    <w:rsid w:val="40520D87"/>
    <w:rsid w:val="40574E4D"/>
    <w:rsid w:val="40AC210A"/>
    <w:rsid w:val="40AF6026"/>
    <w:rsid w:val="40C45992"/>
    <w:rsid w:val="40CB0B39"/>
    <w:rsid w:val="40CB71BC"/>
    <w:rsid w:val="40E737EC"/>
    <w:rsid w:val="40E95F38"/>
    <w:rsid w:val="41041A87"/>
    <w:rsid w:val="41235542"/>
    <w:rsid w:val="41235BFE"/>
    <w:rsid w:val="412707CA"/>
    <w:rsid w:val="41382C14"/>
    <w:rsid w:val="41576594"/>
    <w:rsid w:val="415A321F"/>
    <w:rsid w:val="415A5B57"/>
    <w:rsid w:val="41813991"/>
    <w:rsid w:val="41826009"/>
    <w:rsid w:val="418D578A"/>
    <w:rsid w:val="41A91627"/>
    <w:rsid w:val="41AA7BD0"/>
    <w:rsid w:val="41B242CB"/>
    <w:rsid w:val="41D022D6"/>
    <w:rsid w:val="41E666D7"/>
    <w:rsid w:val="41E8051E"/>
    <w:rsid w:val="41F05759"/>
    <w:rsid w:val="41F477D5"/>
    <w:rsid w:val="42362E73"/>
    <w:rsid w:val="4239211E"/>
    <w:rsid w:val="423A0D77"/>
    <w:rsid w:val="42520D65"/>
    <w:rsid w:val="425B536A"/>
    <w:rsid w:val="42674891"/>
    <w:rsid w:val="427B0526"/>
    <w:rsid w:val="427C534D"/>
    <w:rsid w:val="428179D9"/>
    <w:rsid w:val="428E28EC"/>
    <w:rsid w:val="42925517"/>
    <w:rsid w:val="42A6087C"/>
    <w:rsid w:val="42AF65CA"/>
    <w:rsid w:val="42C6016E"/>
    <w:rsid w:val="42D601B6"/>
    <w:rsid w:val="42D84C87"/>
    <w:rsid w:val="42E27B5A"/>
    <w:rsid w:val="42EB2FD6"/>
    <w:rsid w:val="42FB3B24"/>
    <w:rsid w:val="431238D6"/>
    <w:rsid w:val="43155450"/>
    <w:rsid w:val="431B4049"/>
    <w:rsid w:val="432B79CB"/>
    <w:rsid w:val="432C19DC"/>
    <w:rsid w:val="433A137A"/>
    <w:rsid w:val="436D1429"/>
    <w:rsid w:val="43772AE2"/>
    <w:rsid w:val="43784CBA"/>
    <w:rsid w:val="438A02EA"/>
    <w:rsid w:val="43904DC9"/>
    <w:rsid w:val="4397020B"/>
    <w:rsid w:val="439873F8"/>
    <w:rsid w:val="43AE1B2D"/>
    <w:rsid w:val="43AE4A4D"/>
    <w:rsid w:val="43B6208E"/>
    <w:rsid w:val="43CB7D73"/>
    <w:rsid w:val="43D96FA5"/>
    <w:rsid w:val="43DF403A"/>
    <w:rsid w:val="43FA2715"/>
    <w:rsid w:val="4402625C"/>
    <w:rsid w:val="44035F34"/>
    <w:rsid w:val="44107232"/>
    <w:rsid w:val="44250BB3"/>
    <w:rsid w:val="442D0617"/>
    <w:rsid w:val="44332C7D"/>
    <w:rsid w:val="44333B81"/>
    <w:rsid w:val="4448265B"/>
    <w:rsid w:val="44487A38"/>
    <w:rsid w:val="44784DF2"/>
    <w:rsid w:val="448E62F1"/>
    <w:rsid w:val="44972300"/>
    <w:rsid w:val="44A61290"/>
    <w:rsid w:val="44AF4DD6"/>
    <w:rsid w:val="44CD2887"/>
    <w:rsid w:val="44D07C7E"/>
    <w:rsid w:val="44DD34FD"/>
    <w:rsid w:val="44E65BE2"/>
    <w:rsid w:val="45026545"/>
    <w:rsid w:val="45047715"/>
    <w:rsid w:val="452A5908"/>
    <w:rsid w:val="45352B00"/>
    <w:rsid w:val="454D18DF"/>
    <w:rsid w:val="456E1EEA"/>
    <w:rsid w:val="457B2BCC"/>
    <w:rsid w:val="45AA5CB6"/>
    <w:rsid w:val="45C068D3"/>
    <w:rsid w:val="45CB3A0A"/>
    <w:rsid w:val="45CD0860"/>
    <w:rsid w:val="45E06E35"/>
    <w:rsid w:val="45EE4662"/>
    <w:rsid w:val="46173325"/>
    <w:rsid w:val="4630628B"/>
    <w:rsid w:val="463D7093"/>
    <w:rsid w:val="464B169C"/>
    <w:rsid w:val="464E4809"/>
    <w:rsid w:val="46546664"/>
    <w:rsid w:val="4668799B"/>
    <w:rsid w:val="467E7756"/>
    <w:rsid w:val="468A2F3E"/>
    <w:rsid w:val="46942B79"/>
    <w:rsid w:val="469D0882"/>
    <w:rsid w:val="46B33F6F"/>
    <w:rsid w:val="46C16488"/>
    <w:rsid w:val="46C52C66"/>
    <w:rsid w:val="46DC6915"/>
    <w:rsid w:val="47046B53"/>
    <w:rsid w:val="470F69A5"/>
    <w:rsid w:val="471A76C1"/>
    <w:rsid w:val="471D7C0F"/>
    <w:rsid w:val="471F480B"/>
    <w:rsid w:val="47207648"/>
    <w:rsid w:val="472A6732"/>
    <w:rsid w:val="47507AB4"/>
    <w:rsid w:val="47812E31"/>
    <w:rsid w:val="478B0B17"/>
    <w:rsid w:val="478B35E3"/>
    <w:rsid w:val="478B5112"/>
    <w:rsid w:val="47956C73"/>
    <w:rsid w:val="47A20D04"/>
    <w:rsid w:val="47A53E92"/>
    <w:rsid w:val="47AF7E51"/>
    <w:rsid w:val="47B36CDA"/>
    <w:rsid w:val="47B862AF"/>
    <w:rsid w:val="47BA434F"/>
    <w:rsid w:val="47C31B12"/>
    <w:rsid w:val="47D828A5"/>
    <w:rsid w:val="47DE2CC1"/>
    <w:rsid w:val="47E117E6"/>
    <w:rsid w:val="47E52847"/>
    <w:rsid w:val="48083EAF"/>
    <w:rsid w:val="48247A05"/>
    <w:rsid w:val="4838006D"/>
    <w:rsid w:val="484C182A"/>
    <w:rsid w:val="484C6A65"/>
    <w:rsid w:val="487F029E"/>
    <w:rsid w:val="48820171"/>
    <w:rsid w:val="489272C6"/>
    <w:rsid w:val="48977BBF"/>
    <w:rsid w:val="48A3226D"/>
    <w:rsid w:val="48C20A74"/>
    <w:rsid w:val="48C56EDC"/>
    <w:rsid w:val="48C94BD2"/>
    <w:rsid w:val="48D23EF1"/>
    <w:rsid w:val="48E75B14"/>
    <w:rsid w:val="48ED7451"/>
    <w:rsid w:val="48F11D71"/>
    <w:rsid w:val="48FD6355"/>
    <w:rsid w:val="4906028D"/>
    <w:rsid w:val="49177695"/>
    <w:rsid w:val="4927010B"/>
    <w:rsid w:val="492826EC"/>
    <w:rsid w:val="49290AF3"/>
    <w:rsid w:val="49333827"/>
    <w:rsid w:val="49412223"/>
    <w:rsid w:val="494473E3"/>
    <w:rsid w:val="49477653"/>
    <w:rsid w:val="4949604C"/>
    <w:rsid w:val="4954613F"/>
    <w:rsid w:val="495A5264"/>
    <w:rsid w:val="495C04A0"/>
    <w:rsid w:val="49676E61"/>
    <w:rsid w:val="496947BE"/>
    <w:rsid w:val="496B2EB9"/>
    <w:rsid w:val="496C1724"/>
    <w:rsid w:val="496D29C8"/>
    <w:rsid w:val="499B0676"/>
    <w:rsid w:val="49AA1C33"/>
    <w:rsid w:val="49C51999"/>
    <w:rsid w:val="49E57483"/>
    <w:rsid w:val="49EF313E"/>
    <w:rsid w:val="49EF7CAA"/>
    <w:rsid w:val="49FB0F52"/>
    <w:rsid w:val="4A095FF0"/>
    <w:rsid w:val="4A2A54D9"/>
    <w:rsid w:val="4A2C0940"/>
    <w:rsid w:val="4A4D014B"/>
    <w:rsid w:val="4A787F91"/>
    <w:rsid w:val="4A79215E"/>
    <w:rsid w:val="4A7F3FEF"/>
    <w:rsid w:val="4A837BAC"/>
    <w:rsid w:val="4A9B36E0"/>
    <w:rsid w:val="4A9C6C64"/>
    <w:rsid w:val="4AAE264B"/>
    <w:rsid w:val="4AD258C2"/>
    <w:rsid w:val="4AD4180F"/>
    <w:rsid w:val="4B026ECF"/>
    <w:rsid w:val="4B056928"/>
    <w:rsid w:val="4B0E0773"/>
    <w:rsid w:val="4B1C1080"/>
    <w:rsid w:val="4B41274C"/>
    <w:rsid w:val="4B4F6310"/>
    <w:rsid w:val="4B603D34"/>
    <w:rsid w:val="4B614574"/>
    <w:rsid w:val="4B8D3465"/>
    <w:rsid w:val="4BA5111A"/>
    <w:rsid w:val="4BB16094"/>
    <w:rsid w:val="4BB4236A"/>
    <w:rsid w:val="4BB654BB"/>
    <w:rsid w:val="4BBF129A"/>
    <w:rsid w:val="4BC62629"/>
    <w:rsid w:val="4BCA0A02"/>
    <w:rsid w:val="4BD16F67"/>
    <w:rsid w:val="4BDC263F"/>
    <w:rsid w:val="4BDF0872"/>
    <w:rsid w:val="4BE3142D"/>
    <w:rsid w:val="4BEA6E7D"/>
    <w:rsid w:val="4BEB2A4C"/>
    <w:rsid w:val="4C3677AE"/>
    <w:rsid w:val="4C3702B2"/>
    <w:rsid w:val="4C3B46C5"/>
    <w:rsid w:val="4C3D342B"/>
    <w:rsid w:val="4C42016C"/>
    <w:rsid w:val="4C4B6ADB"/>
    <w:rsid w:val="4C4F0870"/>
    <w:rsid w:val="4C55248D"/>
    <w:rsid w:val="4C6D0CF6"/>
    <w:rsid w:val="4C771B75"/>
    <w:rsid w:val="4C80275D"/>
    <w:rsid w:val="4C973DE3"/>
    <w:rsid w:val="4CA26BF2"/>
    <w:rsid w:val="4CA757A7"/>
    <w:rsid w:val="4CAB21E0"/>
    <w:rsid w:val="4CC07AE9"/>
    <w:rsid w:val="4CC1696C"/>
    <w:rsid w:val="4CD35F5F"/>
    <w:rsid w:val="4CF37AC0"/>
    <w:rsid w:val="4D0B2CFA"/>
    <w:rsid w:val="4D385174"/>
    <w:rsid w:val="4D435639"/>
    <w:rsid w:val="4D763EF7"/>
    <w:rsid w:val="4D792F59"/>
    <w:rsid w:val="4D905237"/>
    <w:rsid w:val="4DA22C22"/>
    <w:rsid w:val="4DAA3461"/>
    <w:rsid w:val="4DBA0ECD"/>
    <w:rsid w:val="4DD059E1"/>
    <w:rsid w:val="4DD51249"/>
    <w:rsid w:val="4DDF3772"/>
    <w:rsid w:val="4DE118D6"/>
    <w:rsid w:val="4DE50C0B"/>
    <w:rsid w:val="4DF7557D"/>
    <w:rsid w:val="4E197B87"/>
    <w:rsid w:val="4E3C0129"/>
    <w:rsid w:val="4E413928"/>
    <w:rsid w:val="4E4E1AD3"/>
    <w:rsid w:val="4E594AE5"/>
    <w:rsid w:val="4E913210"/>
    <w:rsid w:val="4E9D5D3A"/>
    <w:rsid w:val="4EAE2D89"/>
    <w:rsid w:val="4EC42782"/>
    <w:rsid w:val="4EC64828"/>
    <w:rsid w:val="4EC8404D"/>
    <w:rsid w:val="4ECC61A8"/>
    <w:rsid w:val="4ED23CE3"/>
    <w:rsid w:val="4ED2744B"/>
    <w:rsid w:val="4EE233D8"/>
    <w:rsid w:val="4EF7302E"/>
    <w:rsid w:val="4F0B04A7"/>
    <w:rsid w:val="4F15023B"/>
    <w:rsid w:val="4F154E4D"/>
    <w:rsid w:val="4F16443A"/>
    <w:rsid w:val="4F2152A7"/>
    <w:rsid w:val="4F301739"/>
    <w:rsid w:val="4F3E331D"/>
    <w:rsid w:val="4F473DC3"/>
    <w:rsid w:val="4F4D74C0"/>
    <w:rsid w:val="4F4F0B87"/>
    <w:rsid w:val="4F630779"/>
    <w:rsid w:val="4F7349FE"/>
    <w:rsid w:val="4F7C59C8"/>
    <w:rsid w:val="4F9A627F"/>
    <w:rsid w:val="4FAD40AB"/>
    <w:rsid w:val="4FD22A4E"/>
    <w:rsid w:val="4FD80305"/>
    <w:rsid w:val="4FDB6FF1"/>
    <w:rsid w:val="4FE01326"/>
    <w:rsid w:val="4FEF704D"/>
    <w:rsid w:val="4FEF7961"/>
    <w:rsid w:val="500D1DE9"/>
    <w:rsid w:val="50131E0C"/>
    <w:rsid w:val="50177C3C"/>
    <w:rsid w:val="501D7F57"/>
    <w:rsid w:val="503441EC"/>
    <w:rsid w:val="50356DAA"/>
    <w:rsid w:val="504306F9"/>
    <w:rsid w:val="50590712"/>
    <w:rsid w:val="50681F00"/>
    <w:rsid w:val="5075461D"/>
    <w:rsid w:val="50765A31"/>
    <w:rsid w:val="50884E90"/>
    <w:rsid w:val="508B15C6"/>
    <w:rsid w:val="50A83296"/>
    <w:rsid w:val="50AE495E"/>
    <w:rsid w:val="50B30DEB"/>
    <w:rsid w:val="50B364D9"/>
    <w:rsid w:val="50BE1E1C"/>
    <w:rsid w:val="50C43019"/>
    <w:rsid w:val="50C51101"/>
    <w:rsid w:val="50EC119A"/>
    <w:rsid w:val="51093177"/>
    <w:rsid w:val="51190237"/>
    <w:rsid w:val="511C6CAE"/>
    <w:rsid w:val="51247BEF"/>
    <w:rsid w:val="5126484D"/>
    <w:rsid w:val="51267D96"/>
    <w:rsid w:val="514F4C92"/>
    <w:rsid w:val="51554FCB"/>
    <w:rsid w:val="515D31AA"/>
    <w:rsid w:val="51835582"/>
    <w:rsid w:val="51844B34"/>
    <w:rsid w:val="519B552C"/>
    <w:rsid w:val="519F3FF0"/>
    <w:rsid w:val="51A75912"/>
    <w:rsid w:val="51AB011B"/>
    <w:rsid w:val="51B91D2B"/>
    <w:rsid w:val="51BB286A"/>
    <w:rsid w:val="51CC4595"/>
    <w:rsid w:val="51D210B4"/>
    <w:rsid w:val="51EF1B81"/>
    <w:rsid w:val="51EF5F7B"/>
    <w:rsid w:val="51F662E0"/>
    <w:rsid w:val="521B31A6"/>
    <w:rsid w:val="52200036"/>
    <w:rsid w:val="52431B04"/>
    <w:rsid w:val="524372D2"/>
    <w:rsid w:val="524727E0"/>
    <w:rsid w:val="525B0862"/>
    <w:rsid w:val="52604C60"/>
    <w:rsid w:val="527605D3"/>
    <w:rsid w:val="52791460"/>
    <w:rsid w:val="52826AF7"/>
    <w:rsid w:val="529B0AB2"/>
    <w:rsid w:val="52B04009"/>
    <w:rsid w:val="52B51E83"/>
    <w:rsid w:val="52E82D48"/>
    <w:rsid w:val="52EB2E58"/>
    <w:rsid w:val="52F41C7C"/>
    <w:rsid w:val="52FF6FD5"/>
    <w:rsid w:val="530D6520"/>
    <w:rsid w:val="53156BB3"/>
    <w:rsid w:val="531B23DC"/>
    <w:rsid w:val="53377200"/>
    <w:rsid w:val="53424385"/>
    <w:rsid w:val="53682217"/>
    <w:rsid w:val="536B0DE1"/>
    <w:rsid w:val="5374556C"/>
    <w:rsid w:val="537F69DC"/>
    <w:rsid w:val="53B73033"/>
    <w:rsid w:val="53C946C6"/>
    <w:rsid w:val="53CA61F1"/>
    <w:rsid w:val="53DF21F4"/>
    <w:rsid w:val="53FD7A44"/>
    <w:rsid w:val="54084667"/>
    <w:rsid w:val="540C3158"/>
    <w:rsid w:val="541302BE"/>
    <w:rsid w:val="54207D09"/>
    <w:rsid w:val="542D04BE"/>
    <w:rsid w:val="54321EC1"/>
    <w:rsid w:val="5452246C"/>
    <w:rsid w:val="5454111A"/>
    <w:rsid w:val="545711EA"/>
    <w:rsid w:val="54575033"/>
    <w:rsid w:val="54695416"/>
    <w:rsid w:val="546D75DA"/>
    <w:rsid w:val="5472334E"/>
    <w:rsid w:val="54805D2C"/>
    <w:rsid w:val="54815C87"/>
    <w:rsid w:val="5488614D"/>
    <w:rsid w:val="5495703C"/>
    <w:rsid w:val="549D4B2E"/>
    <w:rsid w:val="54D576D6"/>
    <w:rsid w:val="54E63D3C"/>
    <w:rsid w:val="54ED50E1"/>
    <w:rsid w:val="54F47542"/>
    <w:rsid w:val="54F74321"/>
    <w:rsid w:val="55007630"/>
    <w:rsid w:val="55182D91"/>
    <w:rsid w:val="552423B3"/>
    <w:rsid w:val="55377119"/>
    <w:rsid w:val="55397A5C"/>
    <w:rsid w:val="554910BB"/>
    <w:rsid w:val="55687090"/>
    <w:rsid w:val="557D0EAE"/>
    <w:rsid w:val="557D345A"/>
    <w:rsid w:val="559665C1"/>
    <w:rsid w:val="559D5EE4"/>
    <w:rsid w:val="559F4950"/>
    <w:rsid w:val="559F7833"/>
    <w:rsid w:val="55A207A5"/>
    <w:rsid w:val="55B41AF5"/>
    <w:rsid w:val="55C804D1"/>
    <w:rsid w:val="55D47454"/>
    <w:rsid w:val="55D81C41"/>
    <w:rsid w:val="55E71E57"/>
    <w:rsid w:val="55FF7B2B"/>
    <w:rsid w:val="56020701"/>
    <w:rsid w:val="560F3DBD"/>
    <w:rsid w:val="561B4A7B"/>
    <w:rsid w:val="563921EF"/>
    <w:rsid w:val="56520E15"/>
    <w:rsid w:val="5652593F"/>
    <w:rsid w:val="565478BE"/>
    <w:rsid w:val="56643852"/>
    <w:rsid w:val="56812151"/>
    <w:rsid w:val="568C6E84"/>
    <w:rsid w:val="56AF1F8F"/>
    <w:rsid w:val="56B56277"/>
    <w:rsid w:val="56D42122"/>
    <w:rsid w:val="56D55A97"/>
    <w:rsid w:val="56E13AE9"/>
    <w:rsid w:val="56F049FE"/>
    <w:rsid w:val="5703151C"/>
    <w:rsid w:val="57062824"/>
    <w:rsid w:val="57132128"/>
    <w:rsid w:val="57165896"/>
    <w:rsid w:val="57517C8C"/>
    <w:rsid w:val="57572CCF"/>
    <w:rsid w:val="57592EBD"/>
    <w:rsid w:val="5774590A"/>
    <w:rsid w:val="577E2ED9"/>
    <w:rsid w:val="57867AC8"/>
    <w:rsid w:val="5796096F"/>
    <w:rsid w:val="57CA40D6"/>
    <w:rsid w:val="57CB50E3"/>
    <w:rsid w:val="58154A61"/>
    <w:rsid w:val="58211F5F"/>
    <w:rsid w:val="582426EF"/>
    <w:rsid w:val="58402591"/>
    <w:rsid w:val="58465817"/>
    <w:rsid w:val="584673F0"/>
    <w:rsid w:val="58576BFD"/>
    <w:rsid w:val="5881612B"/>
    <w:rsid w:val="588E5048"/>
    <w:rsid w:val="58AA0567"/>
    <w:rsid w:val="58AE120C"/>
    <w:rsid w:val="58B453EB"/>
    <w:rsid w:val="58CF4D68"/>
    <w:rsid w:val="58D36385"/>
    <w:rsid w:val="58E01150"/>
    <w:rsid w:val="58F07BC4"/>
    <w:rsid w:val="58FC01F2"/>
    <w:rsid w:val="59081D48"/>
    <w:rsid w:val="590D15FA"/>
    <w:rsid w:val="59131F80"/>
    <w:rsid w:val="59230EC3"/>
    <w:rsid w:val="59263EF6"/>
    <w:rsid w:val="59333801"/>
    <w:rsid w:val="596E1A64"/>
    <w:rsid w:val="597F12E3"/>
    <w:rsid w:val="597F6E8F"/>
    <w:rsid w:val="59B71D6B"/>
    <w:rsid w:val="59BB2AEF"/>
    <w:rsid w:val="59C16DBD"/>
    <w:rsid w:val="59C6369C"/>
    <w:rsid w:val="59E03122"/>
    <w:rsid w:val="59F0479D"/>
    <w:rsid w:val="5A1031F4"/>
    <w:rsid w:val="5A186A52"/>
    <w:rsid w:val="5A2212DE"/>
    <w:rsid w:val="5A421A14"/>
    <w:rsid w:val="5A435B6C"/>
    <w:rsid w:val="5A575BE6"/>
    <w:rsid w:val="5A5961EF"/>
    <w:rsid w:val="5A5A1B8C"/>
    <w:rsid w:val="5A625103"/>
    <w:rsid w:val="5A6E0A5B"/>
    <w:rsid w:val="5A6E7A15"/>
    <w:rsid w:val="5A8A090F"/>
    <w:rsid w:val="5A8E08F7"/>
    <w:rsid w:val="5A964256"/>
    <w:rsid w:val="5A9E5585"/>
    <w:rsid w:val="5AAE3797"/>
    <w:rsid w:val="5AB57BD0"/>
    <w:rsid w:val="5AC73CC7"/>
    <w:rsid w:val="5AC94957"/>
    <w:rsid w:val="5ACF7B3C"/>
    <w:rsid w:val="5AD00A41"/>
    <w:rsid w:val="5AD92811"/>
    <w:rsid w:val="5AE26F9D"/>
    <w:rsid w:val="5AF3080E"/>
    <w:rsid w:val="5AFD116F"/>
    <w:rsid w:val="5B20306A"/>
    <w:rsid w:val="5B212520"/>
    <w:rsid w:val="5B296C9A"/>
    <w:rsid w:val="5B35575C"/>
    <w:rsid w:val="5B410FCD"/>
    <w:rsid w:val="5B4C12B1"/>
    <w:rsid w:val="5B67536B"/>
    <w:rsid w:val="5B7B29D0"/>
    <w:rsid w:val="5B7E6D71"/>
    <w:rsid w:val="5B853087"/>
    <w:rsid w:val="5B8C7433"/>
    <w:rsid w:val="5B9E0AB2"/>
    <w:rsid w:val="5BA34735"/>
    <w:rsid w:val="5BAD0F91"/>
    <w:rsid w:val="5BAF3AE1"/>
    <w:rsid w:val="5BB70EE7"/>
    <w:rsid w:val="5BC72ADB"/>
    <w:rsid w:val="5BD171AC"/>
    <w:rsid w:val="5BD75B29"/>
    <w:rsid w:val="5BDB6005"/>
    <w:rsid w:val="5C12560E"/>
    <w:rsid w:val="5C222B52"/>
    <w:rsid w:val="5C422170"/>
    <w:rsid w:val="5C5455A3"/>
    <w:rsid w:val="5C581C1B"/>
    <w:rsid w:val="5C59261F"/>
    <w:rsid w:val="5C5A2E81"/>
    <w:rsid w:val="5C5B7DF8"/>
    <w:rsid w:val="5C654D62"/>
    <w:rsid w:val="5C806824"/>
    <w:rsid w:val="5C854DD5"/>
    <w:rsid w:val="5C8D175B"/>
    <w:rsid w:val="5C8F2534"/>
    <w:rsid w:val="5CA56C1D"/>
    <w:rsid w:val="5CC05655"/>
    <w:rsid w:val="5CDC05B2"/>
    <w:rsid w:val="5CF27C39"/>
    <w:rsid w:val="5CFB28ED"/>
    <w:rsid w:val="5D046C89"/>
    <w:rsid w:val="5D047F56"/>
    <w:rsid w:val="5D1832CD"/>
    <w:rsid w:val="5D2260F4"/>
    <w:rsid w:val="5D283554"/>
    <w:rsid w:val="5D2D0A83"/>
    <w:rsid w:val="5D2E21E4"/>
    <w:rsid w:val="5D396FFC"/>
    <w:rsid w:val="5D3C6162"/>
    <w:rsid w:val="5D4B2344"/>
    <w:rsid w:val="5D57457A"/>
    <w:rsid w:val="5D6A524E"/>
    <w:rsid w:val="5D6D63C2"/>
    <w:rsid w:val="5D7202C3"/>
    <w:rsid w:val="5D7238FB"/>
    <w:rsid w:val="5D8147A9"/>
    <w:rsid w:val="5D9224EA"/>
    <w:rsid w:val="5DBA1E14"/>
    <w:rsid w:val="5DBA67B3"/>
    <w:rsid w:val="5DBE5EE9"/>
    <w:rsid w:val="5DC26BB5"/>
    <w:rsid w:val="5DC43BD5"/>
    <w:rsid w:val="5DC51417"/>
    <w:rsid w:val="5DD340EA"/>
    <w:rsid w:val="5DD62B9F"/>
    <w:rsid w:val="5DD62C12"/>
    <w:rsid w:val="5DDA7D14"/>
    <w:rsid w:val="5DE05DE4"/>
    <w:rsid w:val="5DE14951"/>
    <w:rsid w:val="5DE346BA"/>
    <w:rsid w:val="5DE439DB"/>
    <w:rsid w:val="5DEC7A7D"/>
    <w:rsid w:val="5DFF2E52"/>
    <w:rsid w:val="5E031142"/>
    <w:rsid w:val="5E092C29"/>
    <w:rsid w:val="5E207FB8"/>
    <w:rsid w:val="5E22212E"/>
    <w:rsid w:val="5E2E6B91"/>
    <w:rsid w:val="5E5B529D"/>
    <w:rsid w:val="5E745C5E"/>
    <w:rsid w:val="5E7E0F3A"/>
    <w:rsid w:val="5E845E14"/>
    <w:rsid w:val="5E9C2DA1"/>
    <w:rsid w:val="5E9C4F5D"/>
    <w:rsid w:val="5EAF69D7"/>
    <w:rsid w:val="5EBE614A"/>
    <w:rsid w:val="5EBE65B7"/>
    <w:rsid w:val="5ED74B4C"/>
    <w:rsid w:val="5ED86063"/>
    <w:rsid w:val="5EE01327"/>
    <w:rsid w:val="5EE412EC"/>
    <w:rsid w:val="5EE65064"/>
    <w:rsid w:val="5EEC42F0"/>
    <w:rsid w:val="5EF41CAA"/>
    <w:rsid w:val="5EF46987"/>
    <w:rsid w:val="5EFA28BD"/>
    <w:rsid w:val="5EFB26E6"/>
    <w:rsid w:val="5F143E93"/>
    <w:rsid w:val="5F3A0FC3"/>
    <w:rsid w:val="5F3D6695"/>
    <w:rsid w:val="5F447DEC"/>
    <w:rsid w:val="5F543ADA"/>
    <w:rsid w:val="5F5E636B"/>
    <w:rsid w:val="5F70103F"/>
    <w:rsid w:val="5F826B2B"/>
    <w:rsid w:val="5F8E6C81"/>
    <w:rsid w:val="5FA339A2"/>
    <w:rsid w:val="5FAF36A8"/>
    <w:rsid w:val="5FBB4606"/>
    <w:rsid w:val="5FC46053"/>
    <w:rsid w:val="5FD10276"/>
    <w:rsid w:val="5FD76A07"/>
    <w:rsid w:val="5FDB6195"/>
    <w:rsid w:val="5FE47655"/>
    <w:rsid w:val="60063A2D"/>
    <w:rsid w:val="601935CE"/>
    <w:rsid w:val="6043199F"/>
    <w:rsid w:val="604B3C88"/>
    <w:rsid w:val="605F6D4C"/>
    <w:rsid w:val="60622D2B"/>
    <w:rsid w:val="6064218E"/>
    <w:rsid w:val="607C56BB"/>
    <w:rsid w:val="607F256E"/>
    <w:rsid w:val="609A36A1"/>
    <w:rsid w:val="609E5F7B"/>
    <w:rsid w:val="60AE1946"/>
    <w:rsid w:val="60C001F9"/>
    <w:rsid w:val="60C70D3E"/>
    <w:rsid w:val="60D75841"/>
    <w:rsid w:val="60DB351D"/>
    <w:rsid w:val="60DB487B"/>
    <w:rsid w:val="60E12217"/>
    <w:rsid w:val="60FC060C"/>
    <w:rsid w:val="60FE5ACC"/>
    <w:rsid w:val="61025A59"/>
    <w:rsid w:val="61067D97"/>
    <w:rsid w:val="611258D9"/>
    <w:rsid w:val="612C0399"/>
    <w:rsid w:val="613D0692"/>
    <w:rsid w:val="617E7102"/>
    <w:rsid w:val="61813941"/>
    <w:rsid w:val="61B5633A"/>
    <w:rsid w:val="61B62690"/>
    <w:rsid w:val="61BA2C2D"/>
    <w:rsid w:val="61CC600D"/>
    <w:rsid w:val="61D02A6A"/>
    <w:rsid w:val="61D661F7"/>
    <w:rsid w:val="61DE1E6C"/>
    <w:rsid w:val="61F95DA4"/>
    <w:rsid w:val="61FA2DE8"/>
    <w:rsid w:val="620A1069"/>
    <w:rsid w:val="62113106"/>
    <w:rsid w:val="621D03A8"/>
    <w:rsid w:val="622D3814"/>
    <w:rsid w:val="622E61ED"/>
    <w:rsid w:val="62353A27"/>
    <w:rsid w:val="623710D5"/>
    <w:rsid w:val="62523D2D"/>
    <w:rsid w:val="625E40D8"/>
    <w:rsid w:val="62765598"/>
    <w:rsid w:val="627C4FF5"/>
    <w:rsid w:val="629560BD"/>
    <w:rsid w:val="629A5169"/>
    <w:rsid w:val="62B70360"/>
    <w:rsid w:val="62CD4189"/>
    <w:rsid w:val="62D0061C"/>
    <w:rsid w:val="62D15B35"/>
    <w:rsid w:val="62D37ACA"/>
    <w:rsid w:val="62F723FE"/>
    <w:rsid w:val="63051831"/>
    <w:rsid w:val="631679F3"/>
    <w:rsid w:val="631B077F"/>
    <w:rsid w:val="631E3787"/>
    <w:rsid w:val="63390330"/>
    <w:rsid w:val="633A7C4D"/>
    <w:rsid w:val="63411FAA"/>
    <w:rsid w:val="634E34ED"/>
    <w:rsid w:val="636D1584"/>
    <w:rsid w:val="63997B8E"/>
    <w:rsid w:val="63A46E86"/>
    <w:rsid w:val="63AC7861"/>
    <w:rsid w:val="63AE3C76"/>
    <w:rsid w:val="63B3342B"/>
    <w:rsid w:val="63E02AD6"/>
    <w:rsid w:val="63E258FF"/>
    <w:rsid w:val="63E9716E"/>
    <w:rsid w:val="63FB0D03"/>
    <w:rsid w:val="63FE79E8"/>
    <w:rsid w:val="64091E98"/>
    <w:rsid w:val="640D6BEF"/>
    <w:rsid w:val="64145B27"/>
    <w:rsid w:val="64185D81"/>
    <w:rsid w:val="641F1064"/>
    <w:rsid w:val="6420390D"/>
    <w:rsid w:val="64284669"/>
    <w:rsid w:val="64361733"/>
    <w:rsid w:val="64477F70"/>
    <w:rsid w:val="644C058D"/>
    <w:rsid w:val="64633F49"/>
    <w:rsid w:val="64661EF2"/>
    <w:rsid w:val="646E0538"/>
    <w:rsid w:val="647E5958"/>
    <w:rsid w:val="648C4C34"/>
    <w:rsid w:val="649017F5"/>
    <w:rsid w:val="64A31301"/>
    <w:rsid w:val="64BB63F8"/>
    <w:rsid w:val="64C65908"/>
    <w:rsid w:val="64C9409E"/>
    <w:rsid w:val="64E53693"/>
    <w:rsid w:val="64FB3ABE"/>
    <w:rsid w:val="64FE02E9"/>
    <w:rsid w:val="65044081"/>
    <w:rsid w:val="652B70A8"/>
    <w:rsid w:val="65393A14"/>
    <w:rsid w:val="65467268"/>
    <w:rsid w:val="655820EC"/>
    <w:rsid w:val="655E7837"/>
    <w:rsid w:val="65614944"/>
    <w:rsid w:val="656A3451"/>
    <w:rsid w:val="657D17DE"/>
    <w:rsid w:val="658122F5"/>
    <w:rsid w:val="658944E8"/>
    <w:rsid w:val="65AB6D1E"/>
    <w:rsid w:val="65C14A70"/>
    <w:rsid w:val="65C31945"/>
    <w:rsid w:val="65CF6A1B"/>
    <w:rsid w:val="65F91B21"/>
    <w:rsid w:val="66042274"/>
    <w:rsid w:val="663F11D0"/>
    <w:rsid w:val="663F1FB7"/>
    <w:rsid w:val="66447096"/>
    <w:rsid w:val="664C1D78"/>
    <w:rsid w:val="664C6CC5"/>
    <w:rsid w:val="66711CF7"/>
    <w:rsid w:val="66712172"/>
    <w:rsid w:val="6676702E"/>
    <w:rsid w:val="66A34680"/>
    <w:rsid w:val="66B056DC"/>
    <w:rsid w:val="66C060B0"/>
    <w:rsid w:val="66CA52C9"/>
    <w:rsid w:val="66D43ADB"/>
    <w:rsid w:val="66DF5407"/>
    <w:rsid w:val="66EE7D4B"/>
    <w:rsid w:val="670655E6"/>
    <w:rsid w:val="670B0565"/>
    <w:rsid w:val="67227C86"/>
    <w:rsid w:val="6729696C"/>
    <w:rsid w:val="673F6AFD"/>
    <w:rsid w:val="674A63AC"/>
    <w:rsid w:val="6751785F"/>
    <w:rsid w:val="675B6700"/>
    <w:rsid w:val="67801A40"/>
    <w:rsid w:val="67A01D44"/>
    <w:rsid w:val="67DF5436"/>
    <w:rsid w:val="67EF5A0E"/>
    <w:rsid w:val="67FF2688"/>
    <w:rsid w:val="680802C2"/>
    <w:rsid w:val="680E76CA"/>
    <w:rsid w:val="680F7614"/>
    <w:rsid w:val="681028F8"/>
    <w:rsid w:val="68106599"/>
    <w:rsid w:val="684329ED"/>
    <w:rsid w:val="686D5379"/>
    <w:rsid w:val="68705E7C"/>
    <w:rsid w:val="687F2CA1"/>
    <w:rsid w:val="68803037"/>
    <w:rsid w:val="6890061C"/>
    <w:rsid w:val="6891072B"/>
    <w:rsid w:val="68A8173A"/>
    <w:rsid w:val="68AA07EC"/>
    <w:rsid w:val="68B166E3"/>
    <w:rsid w:val="68BD552E"/>
    <w:rsid w:val="68F52CFC"/>
    <w:rsid w:val="68FA6AE4"/>
    <w:rsid w:val="69016C2F"/>
    <w:rsid w:val="69034A64"/>
    <w:rsid w:val="69080BDE"/>
    <w:rsid w:val="69083ABB"/>
    <w:rsid w:val="69114B86"/>
    <w:rsid w:val="691350E7"/>
    <w:rsid w:val="69274E19"/>
    <w:rsid w:val="69276BBB"/>
    <w:rsid w:val="69310021"/>
    <w:rsid w:val="693C1E70"/>
    <w:rsid w:val="6945337A"/>
    <w:rsid w:val="694E2463"/>
    <w:rsid w:val="695C00E9"/>
    <w:rsid w:val="696B5C3F"/>
    <w:rsid w:val="69757BD8"/>
    <w:rsid w:val="6987670C"/>
    <w:rsid w:val="69A04061"/>
    <w:rsid w:val="69BB7477"/>
    <w:rsid w:val="69BE34F8"/>
    <w:rsid w:val="69C51EFC"/>
    <w:rsid w:val="69CB69DB"/>
    <w:rsid w:val="69D36BB5"/>
    <w:rsid w:val="69E5416A"/>
    <w:rsid w:val="6A0C575B"/>
    <w:rsid w:val="6A2F4547"/>
    <w:rsid w:val="6A3D48C2"/>
    <w:rsid w:val="6A4314F2"/>
    <w:rsid w:val="6A5332A7"/>
    <w:rsid w:val="6A595D36"/>
    <w:rsid w:val="6A5B4621"/>
    <w:rsid w:val="6A5D3FC6"/>
    <w:rsid w:val="6A610D29"/>
    <w:rsid w:val="6A697266"/>
    <w:rsid w:val="6A704610"/>
    <w:rsid w:val="6A817D97"/>
    <w:rsid w:val="6AA63F81"/>
    <w:rsid w:val="6AA7495F"/>
    <w:rsid w:val="6AAD173B"/>
    <w:rsid w:val="6ACE266E"/>
    <w:rsid w:val="6AE40369"/>
    <w:rsid w:val="6AEB4B25"/>
    <w:rsid w:val="6AFC163E"/>
    <w:rsid w:val="6B1229D6"/>
    <w:rsid w:val="6B190FF3"/>
    <w:rsid w:val="6B1E676D"/>
    <w:rsid w:val="6B4A175B"/>
    <w:rsid w:val="6B4D5025"/>
    <w:rsid w:val="6B51435F"/>
    <w:rsid w:val="6B5A338B"/>
    <w:rsid w:val="6B755C0F"/>
    <w:rsid w:val="6B7872D4"/>
    <w:rsid w:val="6B7E67CB"/>
    <w:rsid w:val="6B7F7CAE"/>
    <w:rsid w:val="6B8509D4"/>
    <w:rsid w:val="6B870FBA"/>
    <w:rsid w:val="6BA44E38"/>
    <w:rsid w:val="6BA71E67"/>
    <w:rsid w:val="6BAC4983"/>
    <w:rsid w:val="6BE00C9C"/>
    <w:rsid w:val="6BE63003"/>
    <w:rsid w:val="6BE64975"/>
    <w:rsid w:val="6BEC7A29"/>
    <w:rsid w:val="6BEF730C"/>
    <w:rsid w:val="6C017D5F"/>
    <w:rsid w:val="6C1B6E2B"/>
    <w:rsid w:val="6C1C71B6"/>
    <w:rsid w:val="6C2471CC"/>
    <w:rsid w:val="6C3350BC"/>
    <w:rsid w:val="6C341183"/>
    <w:rsid w:val="6C3519CD"/>
    <w:rsid w:val="6C4262D3"/>
    <w:rsid w:val="6C475649"/>
    <w:rsid w:val="6C564134"/>
    <w:rsid w:val="6C7D21DD"/>
    <w:rsid w:val="6C955C66"/>
    <w:rsid w:val="6C9C12BB"/>
    <w:rsid w:val="6CA306ED"/>
    <w:rsid w:val="6CA72D35"/>
    <w:rsid w:val="6CB31D82"/>
    <w:rsid w:val="6CBF7923"/>
    <w:rsid w:val="6CC52FDE"/>
    <w:rsid w:val="6CF81DCF"/>
    <w:rsid w:val="6CFA6255"/>
    <w:rsid w:val="6D1B1E9D"/>
    <w:rsid w:val="6D3A6F3B"/>
    <w:rsid w:val="6D3E2C1F"/>
    <w:rsid w:val="6D402012"/>
    <w:rsid w:val="6D416583"/>
    <w:rsid w:val="6D4D1025"/>
    <w:rsid w:val="6D500A26"/>
    <w:rsid w:val="6D570D03"/>
    <w:rsid w:val="6D602074"/>
    <w:rsid w:val="6D627973"/>
    <w:rsid w:val="6D630FA9"/>
    <w:rsid w:val="6D6C7B55"/>
    <w:rsid w:val="6D7632AF"/>
    <w:rsid w:val="6D860C8C"/>
    <w:rsid w:val="6DB46FBD"/>
    <w:rsid w:val="6DB91B96"/>
    <w:rsid w:val="6DBE01E7"/>
    <w:rsid w:val="6DC47C6F"/>
    <w:rsid w:val="6DCD67E1"/>
    <w:rsid w:val="6DD56051"/>
    <w:rsid w:val="6DDC1AB4"/>
    <w:rsid w:val="6DE77D9E"/>
    <w:rsid w:val="6DE77EA6"/>
    <w:rsid w:val="6DFE7CAD"/>
    <w:rsid w:val="6E4B6440"/>
    <w:rsid w:val="6E69697A"/>
    <w:rsid w:val="6E891A92"/>
    <w:rsid w:val="6E96394D"/>
    <w:rsid w:val="6E977C16"/>
    <w:rsid w:val="6E9C61BD"/>
    <w:rsid w:val="6E9D40D6"/>
    <w:rsid w:val="6E9D48B4"/>
    <w:rsid w:val="6EBC6B8A"/>
    <w:rsid w:val="6EC815B0"/>
    <w:rsid w:val="6ECB5563"/>
    <w:rsid w:val="6ECC0163"/>
    <w:rsid w:val="6EE1469F"/>
    <w:rsid w:val="6EE23856"/>
    <w:rsid w:val="6EEF537C"/>
    <w:rsid w:val="6EF44BEF"/>
    <w:rsid w:val="6F191596"/>
    <w:rsid w:val="6F230B5D"/>
    <w:rsid w:val="6F2E32BF"/>
    <w:rsid w:val="6F350624"/>
    <w:rsid w:val="6F4A0044"/>
    <w:rsid w:val="6F513174"/>
    <w:rsid w:val="6F60076E"/>
    <w:rsid w:val="6F6B536A"/>
    <w:rsid w:val="6F7E388C"/>
    <w:rsid w:val="6F8102DD"/>
    <w:rsid w:val="6F894224"/>
    <w:rsid w:val="6F895A7B"/>
    <w:rsid w:val="6F8C24F8"/>
    <w:rsid w:val="6F904FB5"/>
    <w:rsid w:val="6F9778C5"/>
    <w:rsid w:val="6FA4172C"/>
    <w:rsid w:val="6FA74D92"/>
    <w:rsid w:val="6FBB39A3"/>
    <w:rsid w:val="6FC82E9C"/>
    <w:rsid w:val="6FD47973"/>
    <w:rsid w:val="6FD81311"/>
    <w:rsid w:val="6FEC2B48"/>
    <w:rsid w:val="700C3D3F"/>
    <w:rsid w:val="7015157A"/>
    <w:rsid w:val="701D4B0D"/>
    <w:rsid w:val="70383787"/>
    <w:rsid w:val="703C3BBA"/>
    <w:rsid w:val="70447DBC"/>
    <w:rsid w:val="706D79CF"/>
    <w:rsid w:val="7072448A"/>
    <w:rsid w:val="707278DE"/>
    <w:rsid w:val="70794B97"/>
    <w:rsid w:val="708162E6"/>
    <w:rsid w:val="709F3E2A"/>
    <w:rsid w:val="70A55E24"/>
    <w:rsid w:val="70B86682"/>
    <w:rsid w:val="70C41F3B"/>
    <w:rsid w:val="70D0072F"/>
    <w:rsid w:val="70E94540"/>
    <w:rsid w:val="70F63C6A"/>
    <w:rsid w:val="7103367C"/>
    <w:rsid w:val="710B7B0F"/>
    <w:rsid w:val="710D763B"/>
    <w:rsid w:val="711205F9"/>
    <w:rsid w:val="712700C4"/>
    <w:rsid w:val="71491C28"/>
    <w:rsid w:val="7154053B"/>
    <w:rsid w:val="716C2AD0"/>
    <w:rsid w:val="71702D83"/>
    <w:rsid w:val="71704568"/>
    <w:rsid w:val="71791412"/>
    <w:rsid w:val="7181481E"/>
    <w:rsid w:val="71A1564E"/>
    <w:rsid w:val="71A26256"/>
    <w:rsid w:val="71B07946"/>
    <w:rsid w:val="71BA52ED"/>
    <w:rsid w:val="71E2790D"/>
    <w:rsid w:val="71FD75A5"/>
    <w:rsid w:val="720738C5"/>
    <w:rsid w:val="72082325"/>
    <w:rsid w:val="721A1658"/>
    <w:rsid w:val="721B7C23"/>
    <w:rsid w:val="721E5912"/>
    <w:rsid w:val="7232233E"/>
    <w:rsid w:val="72354097"/>
    <w:rsid w:val="72375012"/>
    <w:rsid w:val="726C36EB"/>
    <w:rsid w:val="72891AEC"/>
    <w:rsid w:val="72AF5EE7"/>
    <w:rsid w:val="72B70F36"/>
    <w:rsid w:val="72C6005B"/>
    <w:rsid w:val="72D605E9"/>
    <w:rsid w:val="72D6179B"/>
    <w:rsid w:val="72D767B5"/>
    <w:rsid w:val="72EF4476"/>
    <w:rsid w:val="73015AE4"/>
    <w:rsid w:val="730211B9"/>
    <w:rsid w:val="730307F0"/>
    <w:rsid w:val="73066736"/>
    <w:rsid w:val="73081753"/>
    <w:rsid w:val="731131DE"/>
    <w:rsid w:val="73181744"/>
    <w:rsid w:val="731D7A38"/>
    <w:rsid w:val="73277530"/>
    <w:rsid w:val="73325B95"/>
    <w:rsid w:val="734300B9"/>
    <w:rsid w:val="734E4B2E"/>
    <w:rsid w:val="73553243"/>
    <w:rsid w:val="735619F3"/>
    <w:rsid w:val="73606E60"/>
    <w:rsid w:val="736B3932"/>
    <w:rsid w:val="73734CB5"/>
    <w:rsid w:val="73865DCC"/>
    <w:rsid w:val="738666D3"/>
    <w:rsid w:val="73A078B2"/>
    <w:rsid w:val="73C444E9"/>
    <w:rsid w:val="73C900AD"/>
    <w:rsid w:val="73CB365A"/>
    <w:rsid w:val="73DB496E"/>
    <w:rsid w:val="73DD7CAA"/>
    <w:rsid w:val="73DE04B0"/>
    <w:rsid w:val="73EE07D6"/>
    <w:rsid w:val="741A2E52"/>
    <w:rsid w:val="741B0130"/>
    <w:rsid w:val="74241885"/>
    <w:rsid w:val="74266836"/>
    <w:rsid w:val="742C1313"/>
    <w:rsid w:val="743F1E7C"/>
    <w:rsid w:val="74485A21"/>
    <w:rsid w:val="744C282F"/>
    <w:rsid w:val="74795CF3"/>
    <w:rsid w:val="747D5F6A"/>
    <w:rsid w:val="74804D31"/>
    <w:rsid w:val="74841583"/>
    <w:rsid w:val="748E6C7C"/>
    <w:rsid w:val="749A62FC"/>
    <w:rsid w:val="74A22005"/>
    <w:rsid w:val="74A23FA1"/>
    <w:rsid w:val="74B52E2A"/>
    <w:rsid w:val="74B87F14"/>
    <w:rsid w:val="74BD52EA"/>
    <w:rsid w:val="74CF176A"/>
    <w:rsid w:val="74E0113D"/>
    <w:rsid w:val="750E30A4"/>
    <w:rsid w:val="75251FA5"/>
    <w:rsid w:val="755F4D3F"/>
    <w:rsid w:val="757D6D0D"/>
    <w:rsid w:val="75831CA0"/>
    <w:rsid w:val="75840516"/>
    <w:rsid w:val="75853E76"/>
    <w:rsid w:val="75922DA4"/>
    <w:rsid w:val="759727BC"/>
    <w:rsid w:val="75996D53"/>
    <w:rsid w:val="75A266C6"/>
    <w:rsid w:val="75AC723D"/>
    <w:rsid w:val="75BF59BB"/>
    <w:rsid w:val="75DA4FA7"/>
    <w:rsid w:val="75F4150D"/>
    <w:rsid w:val="75F54630"/>
    <w:rsid w:val="760A4D90"/>
    <w:rsid w:val="76174FBE"/>
    <w:rsid w:val="762F7BB1"/>
    <w:rsid w:val="763870FB"/>
    <w:rsid w:val="764E49DF"/>
    <w:rsid w:val="76591B67"/>
    <w:rsid w:val="765E0DF3"/>
    <w:rsid w:val="767C24B0"/>
    <w:rsid w:val="76923449"/>
    <w:rsid w:val="76950565"/>
    <w:rsid w:val="769B12AE"/>
    <w:rsid w:val="76AC569E"/>
    <w:rsid w:val="76B26B05"/>
    <w:rsid w:val="76B51689"/>
    <w:rsid w:val="770208BC"/>
    <w:rsid w:val="770F3B1D"/>
    <w:rsid w:val="77255C2C"/>
    <w:rsid w:val="77327ECF"/>
    <w:rsid w:val="775577BF"/>
    <w:rsid w:val="775B5F7A"/>
    <w:rsid w:val="775E5181"/>
    <w:rsid w:val="775F623E"/>
    <w:rsid w:val="77716110"/>
    <w:rsid w:val="77775173"/>
    <w:rsid w:val="77812836"/>
    <w:rsid w:val="778E1E15"/>
    <w:rsid w:val="77BD3FC6"/>
    <w:rsid w:val="77FC1E3E"/>
    <w:rsid w:val="78123DFF"/>
    <w:rsid w:val="78195B09"/>
    <w:rsid w:val="782E7A7E"/>
    <w:rsid w:val="7832285B"/>
    <w:rsid w:val="784C217A"/>
    <w:rsid w:val="78521B99"/>
    <w:rsid w:val="78542439"/>
    <w:rsid w:val="78564344"/>
    <w:rsid w:val="785E0871"/>
    <w:rsid w:val="78661195"/>
    <w:rsid w:val="78B17328"/>
    <w:rsid w:val="78B339A1"/>
    <w:rsid w:val="78CE2F07"/>
    <w:rsid w:val="78D904A4"/>
    <w:rsid w:val="78E2532A"/>
    <w:rsid w:val="78E258A2"/>
    <w:rsid w:val="78EA457F"/>
    <w:rsid w:val="78EF04B0"/>
    <w:rsid w:val="790027BE"/>
    <w:rsid w:val="79065C1E"/>
    <w:rsid w:val="790C1682"/>
    <w:rsid w:val="79181C93"/>
    <w:rsid w:val="791A6893"/>
    <w:rsid w:val="79232348"/>
    <w:rsid w:val="792E11FA"/>
    <w:rsid w:val="793A6280"/>
    <w:rsid w:val="793D3A3F"/>
    <w:rsid w:val="79427570"/>
    <w:rsid w:val="794A2994"/>
    <w:rsid w:val="79704789"/>
    <w:rsid w:val="79854173"/>
    <w:rsid w:val="79887663"/>
    <w:rsid w:val="79963BA3"/>
    <w:rsid w:val="79AC761C"/>
    <w:rsid w:val="79B76954"/>
    <w:rsid w:val="7A024E8C"/>
    <w:rsid w:val="7A19222E"/>
    <w:rsid w:val="7A1972F1"/>
    <w:rsid w:val="7A322F4C"/>
    <w:rsid w:val="7A326F58"/>
    <w:rsid w:val="7A361450"/>
    <w:rsid w:val="7A412B75"/>
    <w:rsid w:val="7A5C5D83"/>
    <w:rsid w:val="7A642F75"/>
    <w:rsid w:val="7A652E89"/>
    <w:rsid w:val="7A654F2B"/>
    <w:rsid w:val="7A6F5AB6"/>
    <w:rsid w:val="7A7138C4"/>
    <w:rsid w:val="7A785D11"/>
    <w:rsid w:val="7AC26B4B"/>
    <w:rsid w:val="7AE71AF0"/>
    <w:rsid w:val="7AEC4F31"/>
    <w:rsid w:val="7AF52A81"/>
    <w:rsid w:val="7B024AEA"/>
    <w:rsid w:val="7B037FC8"/>
    <w:rsid w:val="7B05466C"/>
    <w:rsid w:val="7B0676C5"/>
    <w:rsid w:val="7B2A4339"/>
    <w:rsid w:val="7B302B5E"/>
    <w:rsid w:val="7B38234C"/>
    <w:rsid w:val="7B3F6578"/>
    <w:rsid w:val="7B416A10"/>
    <w:rsid w:val="7B514D8E"/>
    <w:rsid w:val="7B8224D2"/>
    <w:rsid w:val="7B887FA2"/>
    <w:rsid w:val="7B8B3EEF"/>
    <w:rsid w:val="7B9E358A"/>
    <w:rsid w:val="7BA175E1"/>
    <w:rsid w:val="7BA43E85"/>
    <w:rsid w:val="7BC91F14"/>
    <w:rsid w:val="7BC9340D"/>
    <w:rsid w:val="7BCF633E"/>
    <w:rsid w:val="7BE103F2"/>
    <w:rsid w:val="7BE45625"/>
    <w:rsid w:val="7C4514C4"/>
    <w:rsid w:val="7C477F46"/>
    <w:rsid w:val="7C5E5006"/>
    <w:rsid w:val="7C626C42"/>
    <w:rsid w:val="7C75312C"/>
    <w:rsid w:val="7C7A436C"/>
    <w:rsid w:val="7C924ABE"/>
    <w:rsid w:val="7CA52CE9"/>
    <w:rsid w:val="7CA914F9"/>
    <w:rsid w:val="7CAF4D89"/>
    <w:rsid w:val="7CB71996"/>
    <w:rsid w:val="7CBA4A0A"/>
    <w:rsid w:val="7CD510C8"/>
    <w:rsid w:val="7D0250FD"/>
    <w:rsid w:val="7D033C66"/>
    <w:rsid w:val="7D20072F"/>
    <w:rsid w:val="7D23760F"/>
    <w:rsid w:val="7D2626D2"/>
    <w:rsid w:val="7D364FB1"/>
    <w:rsid w:val="7D776C01"/>
    <w:rsid w:val="7D9655B2"/>
    <w:rsid w:val="7DB36D19"/>
    <w:rsid w:val="7DBC0A90"/>
    <w:rsid w:val="7DDB5CFC"/>
    <w:rsid w:val="7DDE31F3"/>
    <w:rsid w:val="7DF01782"/>
    <w:rsid w:val="7DF27DD8"/>
    <w:rsid w:val="7DF605CC"/>
    <w:rsid w:val="7E153EBF"/>
    <w:rsid w:val="7E2F2844"/>
    <w:rsid w:val="7E323B82"/>
    <w:rsid w:val="7E416A16"/>
    <w:rsid w:val="7E6708BB"/>
    <w:rsid w:val="7E6C5A81"/>
    <w:rsid w:val="7E720379"/>
    <w:rsid w:val="7E723DC7"/>
    <w:rsid w:val="7E7620E5"/>
    <w:rsid w:val="7E80779E"/>
    <w:rsid w:val="7E905039"/>
    <w:rsid w:val="7E9B042A"/>
    <w:rsid w:val="7EB0208F"/>
    <w:rsid w:val="7ECC4684"/>
    <w:rsid w:val="7EEB07B2"/>
    <w:rsid w:val="7EF31307"/>
    <w:rsid w:val="7EFB6CCF"/>
    <w:rsid w:val="7F03539B"/>
    <w:rsid w:val="7F354575"/>
    <w:rsid w:val="7F3C55E8"/>
    <w:rsid w:val="7F3D36B7"/>
    <w:rsid w:val="7F400943"/>
    <w:rsid w:val="7F407D09"/>
    <w:rsid w:val="7F607EF3"/>
    <w:rsid w:val="7F650F8A"/>
    <w:rsid w:val="7FAD52CD"/>
    <w:rsid w:val="7FB06AE2"/>
    <w:rsid w:val="7FBE1ECA"/>
    <w:rsid w:val="7FE33A1B"/>
    <w:rsid w:val="7FF62F69"/>
    <w:rsid w:val="7FF85803"/>
    <w:rsid w:val="7FFF78DC"/>
    <w:rsid w:val="FF7EF953"/>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qFormat="1" w:unhideWhenUsed="0" w:uiPriority="0"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99" w:semiHidden="0"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0"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7"/>
    <w:autoRedefine/>
    <w:qFormat/>
    <w:uiPriority w:val="0"/>
    <w:pPr>
      <w:keepNext/>
      <w:jc w:val="center"/>
      <w:outlineLvl w:val="0"/>
    </w:pPr>
    <w:rPr>
      <w:b/>
      <w:bCs/>
      <w:kern w:val="0"/>
      <w:sz w:val="24"/>
      <w:szCs w:val="20"/>
    </w:rPr>
  </w:style>
  <w:style w:type="paragraph" w:styleId="3">
    <w:name w:val="heading 2"/>
    <w:basedOn w:val="1"/>
    <w:next w:val="1"/>
    <w:link w:val="58"/>
    <w:autoRedefine/>
    <w:qFormat/>
    <w:uiPriority w:val="0"/>
    <w:pPr>
      <w:keepNext/>
      <w:keepLines/>
      <w:spacing w:line="360" w:lineRule="auto"/>
      <w:outlineLvl w:val="1"/>
    </w:pPr>
    <w:rPr>
      <w:rFonts w:ascii="Arial" w:hAnsi="Arial"/>
      <w:b/>
      <w:bCs/>
      <w:kern w:val="0"/>
      <w:sz w:val="24"/>
      <w:szCs w:val="32"/>
    </w:rPr>
  </w:style>
  <w:style w:type="paragraph" w:styleId="4">
    <w:name w:val="heading 3"/>
    <w:basedOn w:val="1"/>
    <w:next w:val="1"/>
    <w:link w:val="59"/>
    <w:autoRedefine/>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60"/>
    <w:autoRedefine/>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7"/>
    <w:link w:val="61"/>
    <w:autoRedefine/>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8">
    <w:name w:val="heading 6"/>
    <w:basedOn w:val="1"/>
    <w:next w:val="7"/>
    <w:link w:val="62"/>
    <w:autoRedefine/>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9">
    <w:name w:val="heading 7"/>
    <w:basedOn w:val="1"/>
    <w:next w:val="1"/>
    <w:link w:val="63"/>
    <w:autoRedefine/>
    <w:qFormat/>
    <w:uiPriority w:val="0"/>
    <w:pPr>
      <w:keepNext/>
      <w:keepLines/>
      <w:adjustRightInd w:val="0"/>
      <w:spacing w:before="240" w:after="64" w:line="320" w:lineRule="atLeast"/>
      <w:jc w:val="left"/>
      <w:textAlignment w:val="baseline"/>
      <w:outlineLvl w:val="6"/>
    </w:pPr>
    <w:rPr>
      <w:b/>
      <w:bCs/>
      <w:kern w:val="0"/>
      <w:sz w:val="24"/>
    </w:rPr>
  </w:style>
  <w:style w:type="paragraph" w:styleId="10">
    <w:name w:val="heading 8"/>
    <w:basedOn w:val="1"/>
    <w:next w:val="1"/>
    <w:link w:val="64"/>
    <w:autoRedefine/>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1">
    <w:name w:val="heading 9"/>
    <w:basedOn w:val="1"/>
    <w:next w:val="1"/>
    <w:link w:val="65"/>
    <w:autoRedefine/>
    <w:qFormat/>
    <w:uiPriority w:val="0"/>
    <w:pPr>
      <w:keepNext/>
      <w:keepLines/>
      <w:adjustRightInd w:val="0"/>
      <w:spacing w:before="240" w:after="64" w:line="320" w:lineRule="atLeast"/>
      <w:jc w:val="left"/>
      <w:textAlignment w:val="baseline"/>
      <w:outlineLvl w:val="8"/>
    </w:pPr>
    <w:rPr>
      <w:rFonts w:ascii="Arial" w:hAnsi="Arial" w:eastAsia="黑体"/>
      <w:kern w:val="0"/>
      <w:sz w:val="20"/>
      <w:szCs w:val="21"/>
    </w:rPr>
  </w:style>
  <w:style w:type="character" w:default="1" w:styleId="42">
    <w:name w:val="Default Paragraph Font"/>
    <w:semiHidden/>
    <w:unhideWhenUsed/>
    <w:qFormat/>
    <w:uiPriority w:val="1"/>
  </w:style>
  <w:style w:type="table" w:default="1" w:styleId="40">
    <w:name w:val="Normal Table"/>
    <w:autoRedefine/>
    <w:semiHidden/>
    <w:unhideWhenUsed/>
    <w:qFormat/>
    <w:uiPriority w:val="99"/>
    <w:tblPr>
      <w:tblCellMar>
        <w:top w:w="0" w:type="dxa"/>
        <w:left w:w="108" w:type="dxa"/>
        <w:bottom w:w="0" w:type="dxa"/>
        <w:right w:w="108" w:type="dxa"/>
      </w:tblCellMar>
    </w:tblPr>
  </w:style>
  <w:style w:type="paragraph" w:customStyle="1" w:styleId="7">
    <w:name w:val="正文格式"/>
    <w:basedOn w:val="1"/>
    <w:autoRedefine/>
    <w:qFormat/>
    <w:uiPriority w:val="0"/>
    <w:pPr>
      <w:spacing w:line="360" w:lineRule="atLeast"/>
      <w:ind w:firstLine="482"/>
    </w:pPr>
    <w:rPr>
      <w:sz w:val="24"/>
    </w:rPr>
  </w:style>
  <w:style w:type="paragraph" w:styleId="12">
    <w:name w:val="Normal Indent"/>
    <w:basedOn w:val="1"/>
    <w:next w:val="13"/>
    <w:autoRedefine/>
    <w:qFormat/>
    <w:uiPriority w:val="0"/>
    <w:pPr>
      <w:widowControl/>
      <w:ind w:firstLine="420"/>
      <w:jc w:val="left"/>
    </w:pPr>
    <w:rPr>
      <w:kern w:val="0"/>
      <w:sz w:val="20"/>
      <w:szCs w:val="20"/>
    </w:rPr>
  </w:style>
  <w:style w:type="paragraph" w:customStyle="1" w:styleId="13">
    <w:name w:val="Default"/>
    <w:autoRedefine/>
    <w:qFormat/>
    <w:uiPriority w:val="0"/>
    <w:pPr>
      <w:widowControl w:val="0"/>
      <w:autoSpaceDE w:val="0"/>
      <w:autoSpaceDN w:val="0"/>
      <w:adjustRightInd w:val="0"/>
    </w:pPr>
    <w:rPr>
      <w:rFonts w:ascii="黑体" w:hAnsi="Times New Roman" w:eastAsia="黑体" w:cs="Times New Roman"/>
      <w:lang w:val="en-US" w:eastAsia="zh-CN" w:bidi="ar-SA"/>
    </w:rPr>
  </w:style>
  <w:style w:type="paragraph" w:styleId="14">
    <w:name w:val="Document Map"/>
    <w:basedOn w:val="1"/>
    <w:link w:val="66"/>
    <w:autoRedefine/>
    <w:semiHidden/>
    <w:qFormat/>
    <w:uiPriority w:val="0"/>
    <w:pPr>
      <w:shd w:val="clear" w:color="auto" w:fill="000080"/>
    </w:pPr>
    <w:rPr>
      <w:kern w:val="0"/>
      <w:sz w:val="20"/>
    </w:rPr>
  </w:style>
  <w:style w:type="paragraph" w:styleId="15">
    <w:name w:val="annotation text"/>
    <w:basedOn w:val="1"/>
    <w:link w:val="67"/>
    <w:autoRedefine/>
    <w:qFormat/>
    <w:uiPriority w:val="0"/>
    <w:pPr>
      <w:jc w:val="left"/>
    </w:pPr>
    <w:rPr>
      <w:kern w:val="0"/>
      <w:sz w:val="20"/>
    </w:rPr>
  </w:style>
  <w:style w:type="paragraph" w:styleId="16">
    <w:name w:val="Salutation"/>
    <w:basedOn w:val="1"/>
    <w:next w:val="1"/>
    <w:link w:val="68"/>
    <w:autoRedefine/>
    <w:qFormat/>
    <w:uiPriority w:val="0"/>
    <w:rPr>
      <w:rFonts w:ascii="仿宋_GB2312" w:eastAsia="仿宋_GB2312"/>
      <w:kern w:val="0"/>
      <w:sz w:val="24"/>
    </w:rPr>
  </w:style>
  <w:style w:type="paragraph" w:styleId="17">
    <w:name w:val="Body Text"/>
    <w:basedOn w:val="1"/>
    <w:next w:val="18"/>
    <w:link w:val="69"/>
    <w:autoRedefine/>
    <w:qFormat/>
    <w:uiPriority w:val="0"/>
    <w:pPr>
      <w:spacing w:after="120"/>
    </w:pPr>
    <w:rPr>
      <w:kern w:val="0"/>
      <w:sz w:val="20"/>
    </w:rPr>
  </w:style>
  <w:style w:type="paragraph" w:customStyle="1" w:styleId="18">
    <w:name w:val="一级条标题"/>
    <w:basedOn w:val="19"/>
    <w:next w:val="20"/>
    <w:autoRedefine/>
    <w:qFormat/>
    <w:uiPriority w:val="0"/>
    <w:pPr>
      <w:spacing w:line="240" w:lineRule="auto"/>
      <w:ind w:left="420"/>
      <w:outlineLvl w:val="2"/>
    </w:pPr>
  </w:style>
  <w:style w:type="paragraph" w:customStyle="1" w:styleId="19">
    <w:name w:val="章标题"/>
    <w:next w:val="1"/>
    <w:autoRedefine/>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20">
    <w:name w:val="段"/>
    <w:next w:val="1"/>
    <w:autoRedefine/>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styleId="21">
    <w:name w:val="Body Text Indent"/>
    <w:basedOn w:val="1"/>
    <w:next w:val="22"/>
    <w:link w:val="70"/>
    <w:autoRedefine/>
    <w:qFormat/>
    <w:uiPriority w:val="0"/>
    <w:pPr>
      <w:spacing w:after="120"/>
      <w:ind w:left="420" w:leftChars="200"/>
    </w:pPr>
    <w:rPr>
      <w:kern w:val="0"/>
      <w:sz w:val="20"/>
    </w:rPr>
  </w:style>
  <w:style w:type="paragraph" w:styleId="22">
    <w:name w:val="Body Text Indent 2"/>
    <w:basedOn w:val="1"/>
    <w:link w:val="73"/>
    <w:autoRedefine/>
    <w:qFormat/>
    <w:uiPriority w:val="0"/>
    <w:pPr>
      <w:spacing w:after="120" w:line="480" w:lineRule="auto"/>
      <w:ind w:left="420" w:leftChars="200"/>
    </w:pPr>
    <w:rPr>
      <w:kern w:val="0"/>
      <w:sz w:val="20"/>
    </w:rPr>
  </w:style>
  <w:style w:type="paragraph" w:styleId="23">
    <w:name w:val="List Continue"/>
    <w:basedOn w:val="1"/>
    <w:autoRedefine/>
    <w:qFormat/>
    <w:uiPriority w:val="99"/>
    <w:pPr>
      <w:spacing w:after="120"/>
      <w:ind w:left="420" w:leftChars="200"/>
    </w:pPr>
    <w:rPr>
      <w:rFonts w:ascii="宋体"/>
      <w:kern w:val="0"/>
      <w:sz w:val="24"/>
      <w:szCs w:val="20"/>
    </w:rPr>
  </w:style>
  <w:style w:type="paragraph" w:styleId="24">
    <w:name w:val="Block Text"/>
    <w:basedOn w:val="1"/>
    <w:autoRedefine/>
    <w:qFormat/>
    <w:uiPriority w:val="0"/>
    <w:pPr>
      <w:ind w:left="1171" w:right="91" w:hanging="1080"/>
    </w:pPr>
    <w:rPr>
      <w:rFonts w:eastAsia="楷体_GB2312"/>
      <w:szCs w:val="20"/>
    </w:rPr>
  </w:style>
  <w:style w:type="paragraph" w:styleId="25">
    <w:name w:val="Plain Text"/>
    <w:basedOn w:val="1"/>
    <w:link w:val="71"/>
    <w:autoRedefine/>
    <w:qFormat/>
    <w:uiPriority w:val="0"/>
    <w:rPr>
      <w:rFonts w:ascii="宋体" w:hAnsi="Courier New"/>
      <w:kern w:val="0"/>
      <w:sz w:val="20"/>
      <w:szCs w:val="21"/>
    </w:rPr>
  </w:style>
  <w:style w:type="paragraph" w:styleId="26">
    <w:name w:val="Date"/>
    <w:basedOn w:val="1"/>
    <w:next w:val="1"/>
    <w:link w:val="72"/>
    <w:autoRedefine/>
    <w:qFormat/>
    <w:uiPriority w:val="0"/>
    <w:rPr>
      <w:kern w:val="0"/>
      <w:sz w:val="24"/>
      <w:szCs w:val="20"/>
    </w:rPr>
  </w:style>
  <w:style w:type="paragraph" w:styleId="27">
    <w:name w:val="Balloon Text"/>
    <w:basedOn w:val="1"/>
    <w:link w:val="74"/>
    <w:autoRedefine/>
    <w:qFormat/>
    <w:uiPriority w:val="0"/>
    <w:rPr>
      <w:kern w:val="0"/>
      <w:sz w:val="18"/>
      <w:szCs w:val="18"/>
    </w:rPr>
  </w:style>
  <w:style w:type="paragraph" w:styleId="28">
    <w:name w:val="footer"/>
    <w:basedOn w:val="1"/>
    <w:link w:val="75"/>
    <w:autoRedefine/>
    <w:qFormat/>
    <w:uiPriority w:val="99"/>
    <w:pPr>
      <w:tabs>
        <w:tab w:val="center" w:pos="4153"/>
        <w:tab w:val="right" w:pos="8306"/>
      </w:tabs>
      <w:snapToGrid w:val="0"/>
      <w:jc w:val="left"/>
    </w:pPr>
    <w:rPr>
      <w:kern w:val="0"/>
      <w:sz w:val="18"/>
      <w:szCs w:val="18"/>
    </w:rPr>
  </w:style>
  <w:style w:type="paragraph" w:styleId="29">
    <w:name w:val="header"/>
    <w:basedOn w:val="1"/>
    <w:link w:val="76"/>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30">
    <w:name w:val="toc 1"/>
    <w:basedOn w:val="1"/>
    <w:next w:val="1"/>
    <w:autoRedefine/>
    <w:semiHidden/>
    <w:qFormat/>
    <w:uiPriority w:val="0"/>
    <w:rPr>
      <w:rFonts w:ascii="宋体" w:hAnsi="宋体"/>
      <w:szCs w:val="21"/>
    </w:rPr>
  </w:style>
  <w:style w:type="paragraph" w:styleId="31">
    <w:name w:val="toc 6"/>
    <w:basedOn w:val="1"/>
    <w:next w:val="1"/>
    <w:autoRedefine/>
    <w:semiHidden/>
    <w:qFormat/>
    <w:uiPriority w:val="0"/>
    <w:pPr>
      <w:ind w:left="2100"/>
    </w:pPr>
    <w:rPr>
      <w:szCs w:val="20"/>
    </w:rPr>
  </w:style>
  <w:style w:type="paragraph" w:styleId="32">
    <w:name w:val="Body Text Indent 3"/>
    <w:basedOn w:val="1"/>
    <w:link w:val="77"/>
    <w:autoRedefine/>
    <w:qFormat/>
    <w:uiPriority w:val="0"/>
    <w:pPr>
      <w:spacing w:after="120"/>
      <w:ind w:left="420" w:leftChars="200"/>
    </w:pPr>
    <w:rPr>
      <w:kern w:val="0"/>
      <w:sz w:val="16"/>
      <w:szCs w:val="16"/>
    </w:rPr>
  </w:style>
  <w:style w:type="paragraph" w:styleId="33">
    <w:name w:val="Body Text 2"/>
    <w:basedOn w:val="1"/>
    <w:link w:val="78"/>
    <w:autoRedefine/>
    <w:qFormat/>
    <w:uiPriority w:val="0"/>
    <w:pPr>
      <w:spacing w:after="120" w:line="480" w:lineRule="auto"/>
    </w:pPr>
    <w:rPr>
      <w:kern w:val="0"/>
      <w:sz w:val="20"/>
    </w:rPr>
  </w:style>
  <w:style w:type="paragraph" w:styleId="34">
    <w:name w:val="HTML Preformatted"/>
    <w:basedOn w:val="1"/>
    <w:link w:val="79"/>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rPr>
  </w:style>
  <w:style w:type="paragraph" w:styleId="35">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styleId="36">
    <w:name w:val="index 1"/>
    <w:basedOn w:val="1"/>
    <w:next w:val="1"/>
    <w:autoRedefine/>
    <w:qFormat/>
    <w:uiPriority w:val="0"/>
    <w:pPr>
      <w:spacing w:line="220" w:lineRule="exact"/>
      <w:jc w:val="center"/>
    </w:pPr>
    <w:rPr>
      <w:rFonts w:ascii="仿宋_GB2312" w:eastAsia="仿宋_GB2312"/>
      <w:szCs w:val="20"/>
    </w:rPr>
  </w:style>
  <w:style w:type="paragraph" w:styleId="37">
    <w:name w:val="annotation subject"/>
    <w:basedOn w:val="15"/>
    <w:next w:val="15"/>
    <w:link w:val="80"/>
    <w:autoRedefine/>
    <w:qFormat/>
    <w:uiPriority w:val="0"/>
    <w:rPr>
      <w:b/>
      <w:bCs/>
    </w:rPr>
  </w:style>
  <w:style w:type="paragraph" w:styleId="38">
    <w:name w:val="Body Text First Indent"/>
    <w:basedOn w:val="17"/>
    <w:autoRedefine/>
    <w:qFormat/>
    <w:uiPriority w:val="0"/>
    <w:pPr>
      <w:ind w:firstLine="420" w:firstLineChars="100"/>
    </w:pPr>
  </w:style>
  <w:style w:type="paragraph" w:styleId="39">
    <w:name w:val="Body Text First Indent 2"/>
    <w:basedOn w:val="21"/>
    <w:next w:val="1"/>
    <w:autoRedefine/>
    <w:unhideWhenUsed/>
    <w:qFormat/>
    <w:uiPriority w:val="99"/>
    <w:pPr>
      <w:autoSpaceDE w:val="0"/>
      <w:autoSpaceDN w:val="0"/>
      <w:adjustRightInd w:val="0"/>
      <w:ind w:firstLine="420"/>
      <w:jc w:val="left"/>
    </w:pPr>
    <w:rPr>
      <w:rFonts w:ascii="Calibri" w:hAnsi="Calibri"/>
    </w:rPr>
  </w:style>
  <w:style w:type="table" w:styleId="41">
    <w:name w:val="Table Grid"/>
    <w:basedOn w:val="4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3">
    <w:name w:val="Strong"/>
    <w:autoRedefine/>
    <w:qFormat/>
    <w:uiPriority w:val="0"/>
    <w:rPr>
      <w:b/>
      <w:bCs/>
    </w:rPr>
  </w:style>
  <w:style w:type="character" w:styleId="44">
    <w:name w:val="page number"/>
    <w:autoRedefine/>
    <w:qFormat/>
    <w:uiPriority w:val="0"/>
  </w:style>
  <w:style w:type="character" w:styleId="45">
    <w:name w:val="FollowedHyperlink"/>
    <w:autoRedefine/>
    <w:qFormat/>
    <w:uiPriority w:val="0"/>
    <w:rPr>
      <w:color w:val="666666"/>
      <w:u w:val="none"/>
    </w:rPr>
  </w:style>
  <w:style w:type="character" w:styleId="46">
    <w:name w:val="Emphasis"/>
    <w:autoRedefine/>
    <w:qFormat/>
    <w:uiPriority w:val="20"/>
  </w:style>
  <w:style w:type="character" w:styleId="47">
    <w:name w:val="HTML Definition"/>
    <w:autoRedefine/>
    <w:unhideWhenUsed/>
    <w:qFormat/>
    <w:uiPriority w:val="99"/>
  </w:style>
  <w:style w:type="character" w:styleId="48">
    <w:name w:val="HTML Typewriter"/>
    <w:autoRedefine/>
    <w:unhideWhenUsed/>
    <w:qFormat/>
    <w:uiPriority w:val="99"/>
    <w:rPr>
      <w:rFonts w:ascii="monospace" w:hAnsi="monospace" w:eastAsia="monospace" w:cs="monospace"/>
      <w:sz w:val="20"/>
    </w:rPr>
  </w:style>
  <w:style w:type="character" w:styleId="49">
    <w:name w:val="HTML Acronym"/>
    <w:basedOn w:val="42"/>
    <w:autoRedefine/>
    <w:unhideWhenUsed/>
    <w:qFormat/>
    <w:uiPriority w:val="99"/>
  </w:style>
  <w:style w:type="character" w:styleId="50">
    <w:name w:val="HTML Variable"/>
    <w:autoRedefine/>
    <w:unhideWhenUsed/>
    <w:qFormat/>
    <w:uiPriority w:val="99"/>
  </w:style>
  <w:style w:type="character" w:styleId="51">
    <w:name w:val="Hyperlink"/>
    <w:autoRedefine/>
    <w:qFormat/>
    <w:uiPriority w:val="99"/>
    <w:rPr>
      <w:color w:val="136EC2"/>
      <w:u w:val="single"/>
    </w:rPr>
  </w:style>
  <w:style w:type="character" w:styleId="52">
    <w:name w:val="HTML Code"/>
    <w:autoRedefine/>
    <w:unhideWhenUsed/>
    <w:qFormat/>
    <w:uiPriority w:val="99"/>
    <w:rPr>
      <w:rFonts w:hint="default" w:ascii="monospace" w:hAnsi="monospace" w:eastAsia="monospace" w:cs="monospace"/>
      <w:sz w:val="20"/>
    </w:rPr>
  </w:style>
  <w:style w:type="character" w:styleId="53">
    <w:name w:val="annotation reference"/>
    <w:autoRedefine/>
    <w:qFormat/>
    <w:uiPriority w:val="0"/>
    <w:rPr>
      <w:sz w:val="21"/>
      <w:szCs w:val="21"/>
    </w:rPr>
  </w:style>
  <w:style w:type="character" w:styleId="54">
    <w:name w:val="HTML Cite"/>
    <w:autoRedefine/>
    <w:unhideWhenUsed/>
    <w:qFormat/>
    <w:uiPriority w:val="99"/>
  </w:style>
  <w:style w:type="character" w:styleId="55">
    <w:name w:val="HTML Keyboard"/>
    <w:autoRedefine/>
    <w:unhideWhenUsed/>
    <w:qFormat/>
    <w:uiPriority w:val="99"/>
    <w:rPr>
      <w:rFonts w:hint="default" w:ascii="monospace" w:hAnsi="monospace" w:eastAsia="monospace" w:cs="monospace"/>
      <w:sz w:val="20"/>
    </w:rPr>
  </w:style>
  <w:style w:type="character" w:styleId="56">
    <w:name w:val="HTML Sample"/>
    <w:autoRedefine/>
    <w:unhideWhenUsed/>
    <w:qFormat/>
    <w:uiPriority w:val="99"/>
    <w:rPr>
      <w:rFonts w:hint="default" w:ascii="monospace" w:hAnsi="monospace" w:eastAsia="monospace" w:cs="monospace"/>
    </w:rPr>
  </w:style>
  <w:style w:type="character" w:customStyle="1" w:styleId="57">
    <w:name w:val="标题 1 Char"/>
    <w:link w:val="2"/>
    <w:autoRedefine/>
    <w:qFormat/>
    <w:uiPriority w:val="0"/>
    <w:rPr>
      <w:rFonts w:ascii="Times New Roman" w:hAnsi="Times New Roman" w:eastAsia="宋体" w:cs="Times New Roman"/>
      <w:b/>
      <w:bCs/>
      <w:sz w:val="24"/>
      <w:szCs w:val="20"/>
    </w:rPr>
  </w:style>
  <w:style w:type="character" w:customStyle="1" w:styleId="58">
    <w:name w:val="标题 2 Char"/>
    <w:link w:val="3"/>
    <w:autoRedefine/>
    <w:qFormat/>
    <w:uiPriority w:val="0"/>
    <w:rPr>
      <w:rFonts w:ascii="Arial" w:hAnsi="Arial" w:eastAsia="宋体" w:cs="Times New Roman"/>
      <w:b/>
      <w:bCs/>
      <w:sz w:val="24"/>
      <w:szCs w:val="32"/>
    </w:rPr>
  </w:style>
  <w:style w:type="character" w:customStyle="1" w:styleId="59">
    <w:name w:val="标题 3 Char"/>
    <w:link w:val="4"/>
    <w:autoRedefine/>
    <w:qFormat/>
    <w:uiPriority w:val="0"/>
    <w:rPr>
      <w:rFonts w:ascii="Times New Roman" w:hAnsi="Times New Roman" w:eastAsia="宋体" w:cs="Times New Roman"/>
      <w:b/>
      <w:bCs/>
      <w:sz w:val="32"/>
      <w:szCs w:val="32"/>
    </w:rPr>
  </w:style>
  <w:style w:type="character" w:customStyle="1" w:styleId="60">
    <w:name w:val="标题 4 Char"/>
    <w:link w:val="5"/>
    <w:autoRedefine/>
    <w:qFormat/>
    <w:uiPriority w:val="0"/>
    <w:rPr>
      <w:rFonts w:ascii="Arial" w:hAnsi="Arial" w:eastAsia="黑体" w:cs="Times New Roman"/>
      <w:b/>
      <w:bCs/>
      <w:sz w:val="28"/>
      <w:szCs w:val="28"/>
    </w:rPr>
  </w:style>
  <w:style w:type="character" w:customStyle="1" w:styleId="61">
    <w:name w:val="标题 5 Char"/>
    <w:link w:val="6"/>
    <w:autoRedefine/>
    <w:qFormat/>
    <w:uiPriority w:val="0"/>
    <w:rPr>
      <w:rFonts w:ascii="Times New Roman" w:hAnsi="Times New Roman" w:eastAsia="宋体" w:cs="Times New Roman"/>
      <w:b/>
      <w:bCs/>
      <w:kern w:val="0"/>
      <w:sz w:val="28"/>
      <w:szCs w:val="28"/>
    </w:rPr>
  </w:style>
  <w:style w:type="character" w:customStyle="1" w:styleId="62">
    <w:name w:val="标题 6 Char"/>
    <w:link w:val="8"/>
    <w:autoRedefine/>
    <w:qFormat/>
    <w:uiPriority w:val="0"/>
    <w:rPr>
      <w:rFonts w:ascii="Arial" w:hAnsi="Arial" w:eastAsia="黑体" w:cs="Times New Roman"/>
      <w:b/>
      <w:bCs/>
      <w:kern w:val="0"/>
      <w:sz w:val="24"/>
      <w:szCs w:val="24"/>
    </w:rPr>
  </w:style>
  <w:style w:type="character" w:customStyle="1" w:styleId="63">
    <w:name w:val="标题 7 Char"/>
    <w:link w:val="9"/>
    <w:autoRedefine/>
    <w:qFormat/>
    <w:uiPriority w:val="0"/>
    <w:rPr>
      <w:rFonts w:ascii="Times New Roman" w:hAnsi="Times New Roman" w:eastAsia="宋体" w:cs="Times New Roman"/>
      <w:b/>
      <w:bCs/>
      <w:kern w:val="0"/>
      <w:sz w:val="24"/>
      <w:szCs w:val="24"/>
    </w:rPr>
  </w:style>
  <w:style w:type="character" w:customStyle="1" w:styleId="64">
    <w:name w:val="标题 8 Char"/>
    <w:link w:val="10"/>
    <w:autoRedefine/>
    <w:qFormat/>
    <w:uiPriority w:val="0"/>
    <w:rPr>
      <w:rFonts w:ascii="Arial" w:hAnsi="Arial" w:eastAsia="黑体" w:cs="Times New Roman"/>
      <w:kern w:val="0"/>
      <w:sz w:val="24"/>
      <w:szCs w:val="24"/>
    </w:rPr>
  </w:style>
  <w:style w:type="character" w:customStyle="1" w:styleId="65">
    <w:name w:val="标题 9 Char"/>
    <w:link w:val="11"/>
    <w:autoRedefine/>
    <w:qFormat/>
    <w:uiPriority w:val="0"/>
    <w:rPr>
      <w:rFonts w:ascii="Arial" w:hAnsi="Arial" w:eastAsia="黑体" w:cs="Times New Roman"/>
      <w:kern w:val="0"/>
      <w:szCs w:val="21"/>
    </w:rPr>
  </w:style>
  <w:style w:type="character" w:customStyle="1" w:styleId="66">
    <w:name w:val="文档结构图 Char"/>
    <w:link w:val="14"/>
    <w:autoRedefine/>
    <w:semiHidden/>
    <w:qFormat/>
    <w:uiPriority w:val="0"/>
    <w:rPr>
      <w:rFonts w:ascii="Times New Roman" w:hAnsi="Times New Roman" w:eastAsia="宋体" w:cs="Times New Roman"/>
      <w:szCs w:val="24"/>
      <w:shd w:val="clear" w:color="auto" w:fill="000080"/>
    </w:rPr>
  </w:style>
  <w:style w:type="character" w:customStyle="1" w:styleId="67">
    <w:name w:val="批注文字 Char"/>
    <w:link w:val="15"/>
    <w:autoRedefine/>
    <w:semiHidden/>
    <w:qFormat/>
    <w:uiPriority w:val="0"/>
    <w:rPr>
      <w:rFonts w:ascii="Times New Roman" w:hAnsi="Times New Roman" w:eastAsia="宋体" w:cs="Times New Roman"/>
      <w:szCs w:val="24"/>
    </w:rPr>
  </w:style>
  <w:style w:type="character" w:customStyle="1" w:styleId="68">
    <w:name w:val="称呼 Char"/>
    <w:link w:val="16"/>
    <w:autoRedefine/>
    <w:qFormat/>
    <w:uiPriority w:val="0"/>
    <w:rPr>
      <w:rFonts w:ascii="仿宋_GB2312" w:hAnsi="Times New Roman" w:eastAsia="仿宋_GB2312" w:cs="Times New Roman"/>
      <w:sz w:val="24"/>
      <w:szCs w:val="24"/>
    </w:rPr>
  </w:style>
  <w:style w:type="character" w:customStyle="1" w:styleId="69">
    <w:name w:val="正文文本 Char"/>
    <w:link w:val="17"/>
    <w:autoRedefine/>
    <w:qFormat/>
    <w:uiPriority w:val="0"/>
    <w:rPr>
      <w:rFonts w:ascii="Times New Roman" w:hAnsi="Times New Roman" w:eastAsia="宋体" w:cs="Times New Roman"/>
      <w:szCs w:val="24"/>
    </w:rPr>
  </w:style>
  <w:style w:type="character" w:customStyle="1" w:styleId="70">
    <w:name w:val="正文文本缩进 Char"/>
    <w:link w:val="21"/>
    <w:autoRedefine/>
    <w:qFormat/>
    <w:uiPriority w:val="0"/>
    <w:rPr>
      <w:rFonts w:ascii="Times New Roman" w:hAnsi="Times New Roman" w:eastAsia="宋体" w:cs="Times New Roman"/>
      <w:szCs w:val="24"/>
    </w:rPr>
  </w:style>
  <w:style w:type="character" w:customStyle="1" w:styleId="71">
    <w:name w:val="纯文本 Char"/>
    <w:link w:val="25"/>
    <w:autoRedefine/>
    <w:qFormat/>
    <w:uiPriority w:val="0"/>
    <w:rPr>
      <w:rFonts w:ascii="宋体" w:hAnsi="Courier New" w:eastAsia="宋体" w:cs="Courier New"/>
      <w:szCs w:val="21"/>
    </w:rPr>
  </w:style>
  <w:style w:type="character" w:customStyle="1" w:styleId="72">
    <w:name w:val="日期 Char"/>
    <w:link w:val="26"/>
    <w:autoRedefine/>
    <w:qFormat/>
    <w:uiPriority w:val="0"/>
    <w:rPr>
      <w:rFonts w:ascii="Times New Roman" w:hAnsi="Times New Roman" w:eastAsia="宋体" w:cs="Times New Roman"/>
      <w:sz w:val="24"/>
      <w:szCs w:val="20"/>
    </w:rPr>
  </w:style>
  <w:style w:type="character" w:customStyle="1" w:styleId="73">
    <w:name w:val="正文文本缩进 2 Char"/>
    <w:link w:val="22"/>
    <w:autoRedefine/>
    <w:qFormat/>
    <w:uiPriority w:val="0"/>
    <w:rPr>
      <w:rFonts w:ascii="Times New Roman" w:hAnsi="Times New Roman" w:eastAsia="宋体" w:cs="Times New Roman"/>
      <w:szCs w:val="24"/>
    </w:rPr>
  </w:style>
  <w:style w:type="character" w:customStyle="1" w:styleId="74">
    <w:name w:val="批注框文本 Char"/>
    <w:link w:val="27"/>
    <w:autoRedefine/>
    <w:qFormat/>
    <w:uiPriority w:val="0"/>
    <w:rPr>
      <w:rFonts w:ascii="Times New Roman" w:hAnsi="Times New Roman" w:eastAsia="宋体" w:cs="Times New Roman"/>
      <w:sz w:val="18"/>
      <w:szCs w:val="18"/>
    </w:rPr>
  </w:style>
  <w:style w:type="character" w:customStyle="1" w:styleId="75">
    <w:name w:val="页脚 Char"/>
    <w:link w:val="28"/>
    <w:autoRedefine/>
    <w:qFormat/>
    <w:uiPriority w:val="99"/>
    <w:rPr>
      <w:rFonts w:ascii="Times New Roman" w:hAnsi="Times New Roman" w:eastAsia="宋体" w:cs="Times New Roman"/>
      <w:sz w:val="18"/>
      <w:szCs w:val="18"/>
    </w:rPr>
  </w:style>
  <w:style w:type="character" w:customStyle="1" w:styleId="76">
    <w:name w:val="页眉 Char"/>
    <w:link w:val="29"/>
    <w:autoRedefine/>
    <w:qFormat/>
    <w:uiPriority w:val="0"/>
    <w:rPr>
      <w:rFonts w:ascii="Times New Roman" w:hAnsi="Times New Roman" w:eastAsia="宋体" w:cs="Times New Roman"/>
      <w:sz w:val="18"/>
      <w:szCs w:val="18"/>
    </w:rPr>
  </w:style>
  <w:style w:type="character" w:customStyle="1" w:styleId="77">
    <w:name w:val="正文文本缩进 3 Char"/>
    <w:link w:val="32"/>
    <w:autoRedefine/>
    <w:qFormat/>
    <w:uiPriority w:val="0"/>
    <w:rPr>
      <w:rFonts w:ascii="Times New Roman" w:hAnsi="Times New Roman" w:eastAsia="宋体" w:cs="Times New Roman"/>
      <w:sz w:val="16"/>
      <w:szCs w:val="16"/>
    </w:rPr>
  </w:style>
  <w:style w:type="character" w:customStyle="1" w:styleId="78">
    <w:name w:val="正文文本 2 Char"/>
    <w:link w:val="33"/>
    <w:autoRedefine/>
    <w:qFormat/>
    <w:uiPriority w:val="0"/>
    <w:rPr>
      <w:rFonts w:ascii="Times New Roman" w:hAnsi="Times New Roman" w:eastAsia="宋体" w:cs="Times New Roman"/>
      <w:szCs w:val="24"/>
    </w:rPr>
  </w:style>
  <w:style w:type="character" w:customStyle="1" w:styleId="79">
    <w:name w:val="HTML 预设格式 Char"/>
    <w:link w:val="34"/>
    <w:autoRedefine/>
    <w:qFormat/>
    <w:uiPriority w:val="0"/>
    <w:rPr>
      <w:rFonts w:ascii="Arial" w:hAnsi="Arial" w:eastAsia="宋体" w:cs="Arial"/>
      <w:kern w:val="0"/>
      <w:sz w:val="24"/>
      <w:szCs w:val="24"/>
    </w:rPr>
  </w:style>
  <w:style w:type="character" w:customStyle="1" w:styleId="80">
    <w:name w:val="批注主题 Char"/>
    <w:link w:val="37"/>
    <w:autoRedefine/>
    <w:qFormat/>
    <w:uiPriority w:val="0"/>
    <w:rPr>
      <w:rFonts w:ascii="Times New Roman" w:hAnsi="Times New Roman" w:eastAsia="宋体" w:cs="Times New Roman"/>
      <w:b/>
      <w:bCs/>
      <w:szCs w:val="24"/>
    </w:rPr>
  </w:style>
  <w:style w:type="character" w:customStyle="1" w:styleId="81">
    <w:name w:val="bsharetext"/>
    <w:autoRedefine/>
    <w:qFormat/>
    <w:uiPriority w:val="0"/>
  </w:style>
  <w:style w:type="character" w:customStyle="1" w:styleId="82">
    <w:name w:val="wx-space"/>
    <w:autoRedefine/>
    <w:qFormat/>
    <w:uiPriority w:val="0"/>
  </w:style>
  <w:style w:type="character" w:customStyle="1" w:styleId="83">
    <w:name w:val="15"/>
    <w:autoRedefine/>
    <w:qFormat/>
    <w:uiPriority w:val="0"/>
    <w:rPr>
      <w:rFonts w:hint="default" w:ascii="Times New Roman" w:hAnsi="Times New Roman" w:cs="Times New Roman"/>
      <w:color w:val="0563C1"/>
      <w:sz w:val="20"/>
      <w:szCs w:val="20"/>
      <w:u w:val="single"/>
    </w:rPr>
  </w:style>
  <w:style w:type="character" w:customStyle="1" w:styleId="84">
    <w:name w:val="hover4"/>
    <w:autoRedefine/>
    <w:qFormat/>
    <w:uiPriority w:val="0"/>
    <w:rPr>
      <w:color w:val="000000"/>
      <w:shd w:val="clear" w:color="auto" w:fill="FFFFFF"/>
    </w:rPr>
  </w:style>
  <w:style w:type="character" w:customStyle="1" w:styleId="85">
    <w:name w:val="wx-space1"/>
    <w:autoRedefine/>
    <w:qFormat/>
    <w:uiPriority w:val="0"/>
  </w:style>
  <w:style w:type="character" w:customStyle="1" w:styleId="86">
    <w:name w:val="hover7"/>
    <w:autoRedefine/>
    <w:qFormat/>
    <w:uiPriority w:val="0"/>
    <w:rPr>
      <w:color w:val="000000"/>
      <w:shd w:val="clear" w:color="auto" w:fill="FFFFFF"/>
    </w:rPr>
  </w:style>
  <w:style w:type="character" w:customStyle="1" w:styleId="87">
    <w:name w:val="font51"/>
    <w:autoRedefine/>
    <w:qFormat/>
    <w:uiPriority w:val="0"/>
    <w:rPr>
      <w:rFonts w:hint="eastAsia" w:ascii="宋体" w:hAnsi="宋体" w:eastAsia="宋体" w:cs="宋体"/>
      <w:b/>
      <w:color w:val="000000"/>
      <w:sz w:val="22"/>
      <w:szCs w:val="22"/>
      <w:u w:val="none"/>
    </w:rPr>
  </w:style>
  <w:style w:type="character" w:customStyle="1" w:styleId="88">
    <w:name w:val="font41"/>
    <w:autoRedefine/>
    <w:qFormat/>
    <w:uiPriority w:val="0"/>
    <w:rPr>
      <w:rFonts w:hint="eastAsia" w:ascii="宋体" w:hAnsi="宋体" w:eastAsia="宋体" w:cs="宋体"/>
      <w:color w:val="000000"/>
      <w:sz w:val="20"/>
      <w:szCs w:val="20"/>
      <w:u w:val="none"/>
    </w:rPr>
  </w:style>
  <w:style w:type="character" w:customStyle="1" w:styleId="89">
    <w:name w:val="p0 Char"/>
    <w:link w:val="90"/>
    <w:autoRedefine/>
    <w:qFormat/>
    <w:uiPriority w:val="0"/>
    <w:rPr>
      <w:rFonts w:eastAsia="宋体"/>
      <w:szCs w:val="21"/>
    </w:rPr>
  </w:style>
  <w:style w:type="paragraph" w:customStyle="1" w:styleId="90">
    <w:name w:val="p0"/>
    <w:basedOn w:val="1"/>
    <w:link w:val="89"/>
    <w:autoRedefine/>
    <w:qFormat/>
    <w:uiPriority w:val="0"/>
    <w:pPr>
      <w:widowControl/>
    </w:pPr>
    <w:rPr>
      <w:kern w:val="0"/>
      <w:sz w:val="20"/>
      <w:szCs w:val="21"/>
    </w:rPr>
  </w:style>
  <w:style w:type="character" w:customStyle="1" w:styleId="91">
    <w:name w:val="font11"/>
    <w:autoRedefine/>
    <w:qFormat/>
    <w:uiPriority w:val="0"/>
    <w:rPr>
      <w:rFonts w:hint="eastAsia" w:ascii="宋体" w:hAnsi="宋体" w:eastAsia="宋体" w:cs="宋体"/>
      <w:color w:val="FF0000"/>
      <w:sz w:val="20"/>
      <w:szCs w:val="20"/>
      <w:u w:val="none"/>
    </w:rPr>
  </w:style>
  <w:style w:type="character" w:customStyle="1" w:styleId="92">
    <w:name w:val="hover5"/>
    <w:autoRedefine/>
    <w:qFormat/>
    <w:uiPriority w:val="0"/>
    <w:rPr>
      <w:color w:val="000000"/>
      <w:shd w:val="clear" w:color="auto" w:fill="FFFFFF"/>
    </w:rPr>
  </w:style>
  <w:style w:type="paragraph" w:styleId="93">
    <w:name w:val="No Spacing"/>
    <w:autoRedefine/>
    <w:qFormat/>
    <w:uiPriority w:val="1"/>
    <w:pPr>
      <w:widowControl w:val="0"/>
      <w:jc w:val="both"/>
    </w:pPr>
    <w:rPr>
      <w:rFonts w:ascii="Calibri" w:hAnsi="Calibri" w:eastAsia="宋体" w:cs="Times New Roman"/>
      <w:kern w:val="2"/>
      <w:sz w:val="21"/>
      <w:szCs w:val="22"/>
      <w:lang w:val="en-US" w:eastAsia="zh-CN" w:bidi="ar-SA"/>
    </w:rPr>
  </w:style>
  <w:style w:type="paragraph" w:customStyle="1" w:styleId="94">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95">
    <w:name w:val="Table Paragraph"/>
    <w:basedOn w:val="1"/>
    <w:autoRedefine/>
    <w:qFormat/>
    <w:uiPriority w:val="1"/>
    <w:pPr>
      <w:autoSpaceDE w:val="0"/>
      <w:autoSpaceDN w:val="0"/>
      <w:jc w:val="left"/>
    </w:pPr>
    <w:rPr>
      <w:rFonts w:ascii="宋体" w:hAnsi="宋体" w:cs="宋体"/>
      <w:kern w:val="0"/>
      <w:sz w:val="22"/>
      <w:szCs w:val="22"/>
      <w:lang w:val="zh-CN" w:bidi="zh-CN"/>
    </w:rPr>
  </w:style>
  <w:style w:type="paragraph" w:customStyle="1" w:styleId="96">
    <w:name w:val="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97">
    <w:name w:val="Char1 Char Char Char 字元 Char Char 字元 Char 字元 Char1 Char Char Char"/>
    <w:basedOn w:val="1"/>
    <w:autoRedefine/>
    <w:qFormat/>
    <w:uiPriority w:val="0"/>
    <w:rPr>
      <w:szCs w:val="20"/>
    </w:rPr>
  </w:style>
  <w:style w:type="paragraph" w:customStyle="1" w:styleId="98">
    <w:name w:val="Other|1"/>
    <w:basedOn w:val="1"/>
    <w:autoRedefine/>
    <w:qFormat/>
    <w:uiPriority w:val="0"/>
    <w:pPr>
      <w:ind w:firstLine="170"/>
      <w:jc w:val="left"/>
    </w:pPr>
    <w:rPr>
      <w:sz w:val="22"/>
      <w:lang w:val="zh-TW" w:eastAsia="zh-TW" w:bidi="zh-TW"/>
    </w:rPr>
  </w:style>
  <w:style w:type="paragraph" w:customStyle="1" w:styleId="99">
    <w:name w:val="1"/>
    <w:basedOn w:val="1"/>
    <w:autoRedefine/>
    <w:qFormat/>
    <w:uiPriority w:val="0"/>
    <w:pPr>
      <w:spacing w:afterLines="50" w:line="360" w:lineRule="auto"/>
    </w:pPr>
    <w:rPr>
      <w:rFonts w:ascii="宋体" w:hAnsi="宋体"/>
      <w:b/>
      <w:sz w:val="30"/>
      <w:szCs w:val="21"/>
    </w:rPr>
  </w:style>
  <w:style w:type="paragraph" w:customStyle="1" w:styleId="100">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101">
    <w:name w:val="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2">
    <w:name w:val="p15"/>
    <w:basedOn w:val="1"/>
    <w:autoRedefine/>
    <w:qFormat/>
    <w:uiPriority w:val="0"/>
    <w:pPr>
      <w:widowControl/>
      <w:spacing w:line="220" w:lineRule="atLeast"/>
      <w:jc w:val="center"/>
    </w:pPr>
    <w:rPr>
      <w:rFonts w:ascii="仿宋_GB2312" w:hAnsi="宋体" w:eastAsia="仿宋_GB2312" w:cs="宋体"/>
      <w:kern w:val="0"/>
      <w:szCs w:val="21"/>
    </w:rPr>
  </w:style>
  <w:style w:type="paragraph" w:styleId="103">
    <w:name w:val="List Paragraph"/>
    <w:basedOn w:val="1"/>
    <w:autoRedefine/>
    <w:qFormat/>
    <w:uiPriority w:val="34"/>
    <w:pPr>
      <w:ind w:firstLine="420" w:firstLineChars="200"/>
    </w:pPr>
  </w:style>
  <w:style w:type="paragraph" w:customStyle="1" w:styleId="104">
    <w:name w:val="正文1"/>
    <w:autoRedefine/>
    <w:qFormat/>
    <w:uiPriority w:val="0"/>
    <w:pPr>
      <w:widowControl w:val="0"/>
      <w:adjustRightInd w:val="0"/>
      <w:spacing w:line="312" w:lineRule="atLeast"/>
      <w:jc w:val="both"/>
    </w:pPr>
    <w:rPr>
      <w:rFonts w:ascii="宋体" w:hAnsi="Calibri" w:eastAsia="宋体" w:cs="Times New Roman"/>
      <w:kern w:val="2"/>
      <w:sz w:val="28"/>
      <w:szCs w:val="22"/>
      <w:lang w:val="en-US" w:eastAsia="zh-CN" w:bidi="ar-SA"/>
    </w:rPr>
  </w:style>
  <w:style w:type="paragraph" w:customStyle="1" w:styleId="105">
    <w:name w:val="Char Char1 Char Char Char Char Char1 Char Char Char Char"/>
    <w:basedOn w:val="14"/>
    <w:autoRedefine/>
    <w:qFormat/>
    <w:uiPriority w:val="0"/>
    <w:rPr>
      <w:rFonts w:ascii="Tahoma" w:hAnsi="Tahoma"/>
    </w:rPr>
  </w:style>
  <w:style w:type="paragraph" w:customStyle="1" w:styleId="106">
    <w:name w:val="样式1"/>
    <w:basedOn w:val="1"/>
    <w:autoRedefine/>
    <w:qFormat/>
    <w:uiPriority w:val="0"/>
    <w:pPr>
      <w:tabs>
        <w:tab w:val="left" w:pos="360"/>
      </w:tabs>
      <w:adjustRightInd w:val="0"/>
      <w:ind w:left="360" w:hanging="360"/>
      <w:textAlignment w:val="baseline"/>
    </w:pPr>
    <w:rPr>
      <w:rFonts w:ascii="宋体" w:hAnsi="宋体"/>
      <w:kern w:val="0"/>
      <w:szCs w:val="21"/>
    </w:rPr>
  </w:style>
  <w:style w:type="paragraph" w:customStyle="1" w:styleId="107">
    <w:name w:val="Normal_0_4"/>
    <w:autoRedefine/>
    <w:qFormat/>
    <w:uiPriority w:val="0"/>
    <w:rPr>
      <w:rFonts w:ascii="Times New Roman" w:hAnsi="Times New Roman" w:eastAsia="Times New Roman" w:cs="Times New Roman"/>
      <w:sz w:val="24"/>
      <w:szCs w:val="24"/>
      <w:lang w:val="en-US" w:eastAsia="zh-CN" w:bidi="ar-SA"/>
    </w:rPr>
  </w:style>
  <w:style w:type="paragraph" w:customStyle="1" w:styleId="108">
    <w:name w:val="样式 标题 2 + Times New Roman 四号 非加粗 段前: 5 磅 段后: 0 磅 行距: 固定值 20..."/>
    <w:basedOn w:val="3"/>
    <w:autoRedefine/>
    <w:qFormat/>
    <w:uiPriority w:val="0"/>
    <w:pPr>
      <w:spacing w:before="100" w:line="400" w:lineRule="exact"/>
    </w:pPr>
    <w:rPr>
      <w:rFonts w:ascii="Times New Roman" w:hAnsi="Times New Roman" w:eastAsia="黑体"/>
      <w:b w:val="0"/>
      <w:bCs w:val="0"/>
      <w:sz w:val="28"/>
      <w:szCs w:val="20"/>
    </w:rPr>
  </w:style>
  <w:style w:type="paragraph" w:customStyle="1" w:styleId="109">
    <w:name w:val="Char1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10">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111">
    <w:name w:val="2级标题"/>
    <w:next w:val="1"/>
    <w:autoRedefine/>
    <w:qFormat/>
    <w:uiPriority w:val="0"/>
    <w:pPr>
      <w:spacing w:afterLines="50"/>
      <w:jc w:val="center"/>
      <w:outlineLvl w:val="1"/>
    </w:pPr>
    <w:rPr>
      <w:rFonts w:ascii="Calibri Light" w:hAnsi="Calibri Light" w:eastAsia="仿宋" w:cs="Times New Roman"/>
      <w:b/>
      <w:kern w:val="44"/>
      <w:sz w:val="28"/>
      <w:szCs w:val="44"/>
      <w:lang w:val="en-US" w:eastAsia="zh-CN" w:bidi="ar-SA"/>
    </w:rPr>
  </w:style>
  <w:style w:type="paragraph" w:customStyle="1" w:styleId="112">
    <w:name w:val="xl31"/>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13">
    <w:name w:val="Char"/>
    <w:basedOn w:val="1"/>
    <w:autoRedefine/>
    <w:qFormat/>
    <w:uiPriority w:val="0"/>
    <w:pPr>
      <w:tabs>
        <w:tab w:val="left" w:pos="360"/>
      </w:tabs>
      <w:ind w:left="360" w:hanging="360" w:hangingChars="200"/>
    </w:pPr>
    <w:rPr>
      <w:sz w:val="24"/>
    </w:rPr>
  </w:style>
  <w:style w:type="paragraph" w:customStyle="1" w:styleId="114">
    <w:name w:val="UserStyle_0"/>
    <w:autoRedefine/>
    <w:qFormat/>
    <w:uiPriority w:val="0"/>
    <w:pPr>
      <w:spacing w:after="200" w:line="276" w:lineRule="auto"/>
      <w:textAlignment w:val="baseline"/>
    </w:pPr>
    <w:rPr>
      <w:rFonts w:ascii="Arial" w:hAnsi="Arial" w:eastAsia="宋体" w:cs="Times New Roman"/>
      <w:color w:val="000000"/>
      <w:sz w:val="24"/>
      <w:szCs w:val="24"/>
      <w:lang w:val="en-US" w:eastAsia="zh-CN" w:bidi="ar-SA"/>
    </w:rPr>
  </w:style>
  <w:style w:type="paragraph" w:customStyle="1" w:styleId="115">
    <w:name w:val="Normal_8"/>
    <w:autoRedefine/>
    <w:qFormat/>
    <w:uiPriority w:val="0"/>
    <w:rPr>
      <w:rFonts w:ascii="Times New Roman" w:hAnsi="Times New Roman" w:eastAsia="Times New Roman" w:cs="Times New Roman"/>
      <w:sz w:val="24"/>
      <w:szCs w:val="24"/>
      <w:lang w:val="en-US" w:eastAsia="zh-CN" w:bidi="ar-SA"/>
    </w:rPr>
  </w:style>
  <w:style w:type="paragraph" w:customStyle="1" w:styleId="116">
    <w:name w:val="Body text|1"/>
    <w:basedOn w:val="1"/>
    <w:autoRedefine/>
    <w:qFormat/>
    <w:uiPriority w:val="0"/>
    <w:pPr>
      <w:spacing w:line="360" w:lineRule="auto"/>
      <w:ind w:firstLine="400"/>
      <w:jc w:val="left"/>
    </w:pPr>
    <w:rPr>
      <w:rFonts w:ascii="宋体" w:hAnsi="宋体" w:cs="宋体"/>
      <w:sz w:val="26"/>
      <w:szCs w:val="26"/>
      <w:lang w:val="zh-TW" w:eastAsia="zh-TW" w:bidi="zh-TW"/>
    </w:rPr>
  </w:style>
  <w:style w:type="paragraph" w:customStyle="1" w:styleId="117">
    <w:name w:val="标题 1 +"/>
    <w:basedOn w:val="2"/>
    <w:next w:val="1"/>
    <w:autoRedefine/>
    <w:qFormat/>
    <w:uiPriority w:val="0"/>
    <w:pPr>
      <w:keepLines/>
      <w:spacing w:line="600" w:lineRule="auto"/>
    </w:pPr>
    <w:rPr>
      <w:rFonts w:eastAsia="黑体"/>
      <w:sz w:val="32"/>
      <w:szCs w:val="32"/>
    </w:rPr>
  </w:style>
  <w:style w:type="paragraph" w:customStyle="1" w:styleId="118">
    <w:name w:val="Char Char1 Char Char Char Char Char Char Char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19">
    <w:name w:val="xl25"/>
    <w:basedOn w:val="1"/>
    <w:autoRedefine/>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20">
    <w:name w:val="正文缩进1"/>
    <w:basedOn w:val="1"/>
    <w:autoRedefine/>
    <w:qFormat/>
    <w:uiPriority w:val="0"/>
    <w:pPr>
      <w:widowControl/>
      <w:ind w:firstLine="420"/>
      <w:jc w:val="left"/>
    </w:pPr>
    <w:rPr>
      <w:kern w:val="0"/>
    </w:rPr>
  </w:style>
  <w:style w:type="paragraph" w:customStyle="1" w:styleId="121">
    <w:name w:val="样式 标题 2 + 宋体 五号 行距: 单倍行距"/>
    <w:basedOn w:val="3"/>
    <w:autoRedefine/>
    <w:qFormat/>
    <w:uiPriority w:val="0"/>
    <w:pPr>
      <w:tabs>
        <w:tab w:val="left" w:pos="2175"/>
      </w:tabs>
      <w:adjustRightInd w:val="0"/>
      <w:spacing w:before="260" w:after="260" w:line="240" w:lineRule="auto"/>
      <w:ind w:left="2175" w:hanging="1275"/>
      <w:jc w:val="left"/>
      <w:textAlignment w:val="baseline"/>
    </w:pPr>
    <w:rPr>
      <w:rFonts w:ascii="宋体" w:hAnsi="宋体"/>
      <w:sz w:val="21"/>
      <w:szCs w:val="20"/>
    </w:rPr>
  </w:style>
  <w:style w:type="paragraph" w:customStyle="1" w:styleId="122">
    <w:name w:val="表格内容"/>
    <w:basedOn w:val="17"/>
    <w:autoRedefine/>
    <w:qFormat/>
    <w:uiPriority w:val="0"/>
    <w:pPr>
      <w:suppressLineNumbers/>
      <w:suppressAutoHyphens/>
      <w:jc w:val="left"/>
    </w:pPr>
    <w:rPr>
      <w:rFonts w:cs="Tahoma"/>
      <w:sz w:val="24"/>
    </w:rPr>
  </w:style>
  <w:style w:type="paragraph" w:customStyle="1" w:styleId="123">
    <w:name w:val="Char Char Char"/>
    <w:basedOn w:val="1"/>
    <w:autoRedefine/>
    <w:qFormat/>
    <w:uiPriority w:val="0"/>
    <w:rPr>
      <w:rFonts w:ascii="宋体" w:hAnsi="宋体"/>
      <w:b/>
      <w:sz w:val="28"/>
      <w:szCs w:val="28"/>
    </w:rPr>
  </w:style>
  <w:style w:type="paragraph" w:customStyle="1" w:styleId="124">
    <w:name w:val="样式 样式 样式 样式 标题 2 + 宋体 五号 非加粗 黑色 + 段前: 6 磅 段后: 0 磅 行距: 单倍行距 + 段前:..."/>
    <w:basedOn w:val="1"/>
    <w:autoRedefine/>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25">
    <w:name w:val="列出段落1"/>
    <w:next w:val="1"/>
    <w:link w:val="126"/>
    <w:autoRedefine/>
    <w:qFormat/>
    <w:uiPriority w:val="0"/>
    <w:pPr>
      <w:ind w:firstLine="420" w:firstLineChars="200"/>
    </w:pPr>
    <w:rPr>
      <w:rFonts w:ascii="宋体" w:hAnsi="微软雅黑" w:eastAsia="宋体" w:cs="仿宋"/>
      <w:color w:val="000000"/>
      <w:sz w:val="32"/>
      <w:szCs w:val="32"/>
      <w:lang w:val="en-US" w:eastAsia="zh-CN" w:bidi="ar-SA"/>
    </w:rPr>
  </w:style>
  <w:style w:type="character" w:customStyle="1" w:styleId="126">
    <w:name w:val="列出段落 字符"/>
    <w:link w:val="125"/>
    <w:autoRedefine/>
    <w:qFormat/>
    <w:uiPriority w:val="0"/>
    <w:rPr>
      <w:rFonts w:ascii="宋体" w:hAnsi="微软雅黑" w:cs="仿宋"/>
      <w:color w:val="000000"/>
      <w:sz w:val="32"/>
      <w:szCs w:val="32"/>
    </w:rPr>
  </w:style>
  <w:style w:type="paragraph" w:customStyle="1" w:styleId="127">
    <w:name w:val="WPSOffice手动目录 1"/>
    <w:autoRedefine/>
    <w:qFormat/>
    <w:uiPriority w:val="0"/>
    <w:rPr>
      <w:rFonts w:ascii="Times New Roman" w:hAnsi="Times New Roman" w:eastAsia="宋体" w:cs="Times New Roman"/>
      <w:lang w:val="en-US" w:eastAsia="zh-CN" w:bidi="ar-SA"/>
    </w:rPr>
  </w:style>
  <w:style w:type="paragraph" w:customStyle="1" w:styleId="128">
    <w:name w:val="中等深浅网格 1 - 着色 21"/>
    <w:basedOn w:val="1"/>
    <w:autoRedefine/>
    <w:qFormat/>
    <w:uiPriority w:val="0"/>
    <w:pPr>
      <w:ind w:firstLine="420" w:firstLineChars="200"/>
    </w:pPr>
  </w:style>
  <w:style w:type="paragraph" w:customStyle="1" w:styleId="129">
    <w:name w:val="Char Char Char1 Char"/>
    <w:basedOn w:val="1"/>
    <w:autoRedefine/>
    <w:qFormat/>
    <w:uiPriority w:val="0"/>
    <w:pPr>
      <w:tabs>
        <w:tab w:val="left" w:pos="360"/>
      </w:tabs>
      <w:snapToGrid w:val="0"/>
      <w:spacing w:line="360" w:lineRule="auto"/>
    </w:pPr>
    <w:rPr>
      <w:rFonts w:eastAsia="仿宋_GB2312" w:cs="宋体"/>
      <w:sz w:val="24"/>
    </w:rPr>
  </w:style>
  <w:style w:type="paragraph" w:customStyle="1" w:styleId="130">
    <w:name w:val="p16"/>
    <w:basedOn w:val="1"/>
    <w:autoRedefine/>
    <w:qFormat/>
    <w:uiPriority w:val="0"/>
    <w:pPr>
      <w:widowControl/>
      <w:jc w:val="left"/>
    </w:pPr>
    <w:rPr>
      <w:kern w:val="0"/>
      <w:szCs w:val="21"/>
    </w:rPr>
  </w:style>
  <w:style w:type="paragraph" w:customStyle="1" w:styleId="131">
    <w:name w:val="正文（缩进）"/>
    <w:basedOn w:val="1"/>
    <w:autoRedefine/>
    <w:qFormat/>
    <w:uiPriority w:val="0"/>
    <w:pPr>
      <w:spacing w:beforeLines="50" w:afterLines="50" w:line="360" w:lineRule="auto"/>
      <w:ind w:firstLine="480" w:firstLineChars="200"/>
    </w:pPr>
    <w:rPr>
      <w:sz w:val="24"/>
    </w:rPr>
  </w:style>
  <w:style w:type="paragraph" w:customStyle="1" w:styleId="132">
    <w:name w:val="Char Char Char Char Char Char Char"/>
    <w:basedOn w:val="1"/>
    <w:autoRedefine/>
    <w:qFormat/>
    <w:uiPriority w:val="0"/>
    <w:pPr>
      <w:snapToGrid w:val="0"/>
      <w:spacing w:line="360" w:lineRule="auto"/>
      <w:ind w:firstLine="200" w:firstLineChars="200"/>
    </w:pPr>
    <w:rPr>
      <w:rFonts w:eastAsia="仿宋_GB2312"/>
      <w:sz w:val="24"/>
    </w:rPr>
  </w:style>
  <w:style w:type="character" w:customStyle="1" w:styleId="133">
    <w:name w:val="hover6"/>
    <w:autoRedefine/>
    <w:qFormat/>
    <w:uiPriority w:val="0"/>
    <w:rPr>
      <w:color w:val="000000"/>
      <w:shd w:val="clear" w:color="auto" w:fill="FFFFFF"/>
    </w:rPr>
  </w:style>
  <w:style w:type="character" w:customStyle="1" w:styleId="134">
    <w:name w:val="标题 1 字符"/>
    <w:autoRedefine/>
    <w:qFormat/>
    <w:uiPriority w:val="0"/>
    <w:rPr>
      <w:rFonts w:ascii="宋体" w:hAnsi="宋体" w:eastAsia="宋体" w:cs="Times New Roman"/>
      <w:b/>
      <w:kern w:val="44"/>
      <w:sz w:val="30"/>
      <w:szCs w:val="32"/>
    </w:rPr>
  </w:style>
  <w:style w:type="character" w:customStyle="1" w:styleId="135">
    <w:name w:val="标题 2 字符"/>
    <w:autoRedefine/>
    <w:qFormat/>
    <w:uiPriority w:val="0"/>
    <w:rPr>
      <w:rFonts w:ascii="宋体" w:hAnsi="宋体" w:eastAsia="宋体" w:cs="Times New Roman"/>
      <w:kern w:val="44"/>
      <w:sz w:val="28"/>
      <w:szCs w:val="28"/>
    </w:rPr>
  </w:style>
  <w:style w:type="character" w:customStyle="1" w:styleId="136">
    <w:name w:val="标题 3 字符"/>
    <w:autoRedefine/>
    <w:qFormat/>
    <w:uiPriority w:val="0"/>
    <w:rPr>
      <w:rFonts w:ascii="宋体" w:hAnsi="宋体" w:eastAsia="宋体" w:cs="Times New Roman"/>
      <w:kern w:val="44"/>
      <w:sz w:val="28"/>
      <w:szCs w:val="24"/>
    </w:rPr>
  </w:style>
  <w:style w:type="character" w:customStyle="1" w:styleId="137">
    <w:name w:val="标题 4 字符"/>
    <w:autoRedefine/>
    <w:qFormat/>
    <w:uiPriority w:val="0"/>
    <w:rPr>
      <w:rFonts w:ascii="宋体" w:hAnsi="宋体" w:eastAsia="宋体" w:cs="Times New Roman"/>
      <w:kern w:val="44"/>
      <w:sz w:val="28"/>
      <w:szCs w:val="32"/>
    </w:rPr>
  </w:style>
  <w:style w:type="character" w:customStyle="1" w:styleId="138">
    <w:name w:val="标题 5 字符"/>
    <w:autoRedefine/>
    <w:qFormat/>
    <w:uiPriority w:val="0"/>
    <w:rPr>
      <w:rFonts w:ascii="宋体" w:hAnsi="宋体" w:eastAsia="宋体" w:cs="Times New Roman"/>
      <w:kern w:val="44"/>
      <w:sz w:val="28"/>
      <w:szCs w:val="32"/>
    </w:rPr>
  </w:style>
  <w:style w:type="character" w:customStyle="1" w:styleId="139">
    <w:name w:val="标题 6 字符"/>
    <w:autoRedefine/>
    <w:qFormat/>
    <w:uiPriority w:val="0"/>
    <w:rPr>
      <w:rFonts w:ascii="宋体" w:hAnsi="等线 Light" w:eastAsia="宋体" w:cs="Times New Roman"/>
      <w:b/>
      <w:bCs/>
      <w:kern w:val="2"/>
      <w:sz w:val="32"/>
      <w:szCs w:val="24"/>
    </w:rPr>
  </w:style>
  <w:style w:type="character" w:customStyle="1" w:styleId="140">
    <w:name w:val="标题 7 字符1"/>
    <w:autoRedefine/>
    <w:qFormat/>
    <w:uiPriority w:val="0"/>
    <w:rPr>
      <w:rFonts w:ascii="仿宋_GB2312" w:hAnsi="Times New Roman" w:eastAsia="仿宋_GB2312" w:cs="Times New Roman"/>
      <w:b/>
      <w:bCs/>
      <w:color w:val="10000A"/>
      <w:sz w:val="24"/>
      <w:szCs w:val="24"/>
    </w:rPr>
  </w:style>
  <w:style w:type="character" w:customStyle="1" w:styleId="141">
    <w:name w:val="标题 8 字符1"/>
    <w:autoRedefine/>
    <w:qFormat/>
    <w:uiPriority w:val="0"/>
    <w:rPr>
      <w:rFonts w:ascii="等线 Light" w:hAnsi="等线 Light" w:eastAsia="等线 Light" w:cs="Times New Roman"/>
      <w:color w:val="10000A"/>
      <w:sz w:val="24"/>
      <w:szCs w:val="24"/>
    </w:rPr>
  </w:style>
  <w:style w:type="character" w:customStyle="1" w:styleId="142">
    <w:name w:val="标题 9 字符"/>
    <w:autoRedefine/>
    <w:qFormat/>
    <w:uiPriority w:val="0"/>
    <w:rPr>
      <w:rFonts w:ascii="Cambria" w:hAnsi="Cambria" w:eastAsia="宋体" w:cs="Times New Roman"/>
      <w:kern w:val="2"/>
      <w:sz w:val="21"/>
      <w:szCs w:val="21"/>
    </w:rPr>
  </w:style>
  <w:style w:type="character" w:customStyle="1" w:styleId="143">
    <w:name w:val="批注文字 字符"/>
    <w:autoRedefine/>
    <w:qFormat/>
    <w:uiPriority w:val="0"/>
    <w:rPr>
      <w:rFonts w:ascii="仿宋_GB2312" w:hAnsi="Times New Roman" w:eastAsia="仿宋_GB2312" w:cs="Times New Roman"/>
      <w:color w:val="10000A"/>
      <w:sz w:val="32"/>
    </w:rPr>
  </w:style>
  <w:style w:type="character" w:customStyle="1" w:styleId="144">
    <w:name w:val="正文文本 字符1"/>
    <w:autoRedefine/>
    <w:qFormat/>
    <w:uiPriority w:val="0"/>
    <w:rPr>
      <w:rFonts w:ascii="仿宋_GB2312" w:hAnsi="Times New Roman" w:eastAsia="仿宋_GB2312" w:cs="Times New Roman"/>
      <w:color w:val="10000A"/>
      <w:sz w:val="32"/>
    </w:rPr>
  </w:style>
  <w:style w:type="character" w:customStyle="1" w:styleId="145">
    <w:name w:val="批注框文本 字符"/>
    <w:autoRedefine/>
    <w:qFormat/>
    <w:uiPriority w:val="0"/>
    <w:rPr>
      <w:rFonts w:ascii="仿宋_GB2312" w:hAnsi="Times New Roman" w:eastAsia="仿宋_GB2312" w:cs="Times New Roman"/>
      <w:color w:val="10000A"/>
      <w:sz w:val="18"/>
      <w:szCs w:val="18"/>
    </w:rPr>
  </w:style>
  <w:style w:type="character" w:customStyle="1" w:styleId="146">
    <w:name w:val="页脚 字符"/>
    <w:autoRedefine/>
    <w:qFormat/>
    <w:uiPriority w:val="0"/>
    <w:rPr>
      <w:rFonts w:ascii="仿宋_GB2312" w:hAnsi="仿宋_GB2312" w:eastAsia="仿宋_GB2312" w:cs="Times New Roman"/>
      <w:color w:val="10000A"/>
      <w:sz w:val="18"/>
    </w:rPr>
  </w:style>
  <w:style w:type="character" w:customStyle="1" w:styleId="147">
    <w:name w:val="页眉 字符"/>
    <w:autoRedefine/>
    <w:qFormat/>
    <w:uiPriority w:val="0"/>
    <w:rPr>
      <w:rFonts w:ascii="仿宋_GB2312" w:hAnsi="Times New Roman" w:eastAsia="仿宋_GB2312" w:cs="Times New Roman"/>
      <w:color w:val="10000A"/>
      <w:sz w:val="18"/>
      <w:szCs w:val="18"/>
    </w:rPr>
  </w:style>
  <w:style w:type="character" w:customStyle="1" w:styleId="148">
    <w:name w:val="批注主题 字符"/>
    <w:autoRedefine/>
    <w:qFormat/>
    <w:uiPriority w:val="0"/>
    <w:rPr>
      <w:rFonts w:ascii="仿宋_GB2312" w:hAnsi="Times New Roman" w:eastAsia="仿宋_GB2312" w:cs="Times New Roman"/>
      <w:b/>
      <w:bCs/>
      <w:color w:val="10000A"/>
      <w:sz w:val="32"/>
    </w:rPr>
  </w:style>
  <w:style w:type="character" w:customStyle="1" w:styleId="149">
    <w:name w:val="标题 7 字符"/>
    <w:autoRedefine/>
    <w:qFormat/>
    <w:uiPriority w:val="0"/>
    <w:rPr>
      <w:rFonts w:ascii="Calibri" w:hAnsi="Calibri" w:eastAsia="宋体" w:cs="Times New Roman"/>
      <w:b/>
      <w:bCs/>
      <w:kern w:val="2"/>
      <w:sz w:val="24"/>
      <w:szCs w:val="24"/>
    </w:rPr>
  </w:style>
  <w:style w:type="character" w:customStyle="1" w:styleId="150">
    <w:name w:val="标题 8 字符"/>
    <w:autoRedefine/>
    <w:qFormat/>
    <w:uiPriority w:val="0"/>
    <w:rPr>
      <w:rFonts w:ascii="Cambria" w:hAnsi="Cambria" w:eastAsia="宋体" w:cs="Times New Roman"/>
      <w:kern w:val="2"/>
      <w:sz w:val="24"/>
      <w:szCs w:val="24"/>
    </w:rPr>
  </w:style>
  <w:style w:type="character" w:customStyle="1" w:styleId="151">
    <w:name w:val="标题 9 字符1"/>
    <w:autoRedefine/>
    <w:qFormat/>
    <w:uiPriority w:val="0"/>
    <w:rPr>
      <w:rFonts w:ascii="等线 Light" w:hAnsi="等线 Light" w:eastAsia="等线 Light" w:cs="Times New Roman"/>
      <w:color w:val="10000A"/>
      <w:sz w:val="21"/>
      <w:szCs w:val="21"/>
    </w:rPr>
  </w:style>
  <w:style w:type="paragraph" w:customStyle="1" w:styleId="152">
    <w:name w:val="正文文本1"/>
    <w:basedOn w:val="1"/>
    <w:next w:val="17"/>
    <w:link w:val="153"/>
    <w:autoRedefine/>
    <w:qFormat/>
    <w:uiPriority w:val="0"/>
    <w:pPr>
      <w:spacing w:after="120" w:line="360" w:lineRule="auto"/>
      <w:ind w:firstLine="480" w:firstLineChars="200"/>
    </w:pPr>
    <w:rPr>
      <w:rFonts w:ascii="宋体" w:hAnsi="宋体" w:eastAsia="方正仿宋_GB2312"/>
      <w:sz w:val="24"/>
      <w:szCs w:val="28"/>
    </w:rPr>
  </w:style>
  <w:style w:type="character" w:customStyle="1" w:styleId="153">
    <w:name w:val="正文文本 字符"/>
    <w:link w:val="152"/>
    <w:autoRedefine/>
    <w:qFormat/>
    <w:uiPriority w:val="0"/>
    <w:rPr>
      <w:rFonts w:ascii="宋体" w:hAnsi="宋体" w:eastAsia="方正仿宋_GB2312"/>
      <w:kern w:val="2"/>
      <w:sz w:val="24"/>
      <w:szCs w:val="28"/>
    </w:rPr>
  </w:style>
  <w:style w:type="paragraph" w:customStyle="1" w:styleId="154">
    <w:name w:val="G_标题2"/>
    <w:basedOn w:val="1"/>
    <w:next w:val="1"/>
    <w:autoRedefine/>
    <w:qFormat/>
    <w:uiPriority w:val="0"/>
    <w:pPr>
      <w:widowControl/>
      <w:numPr>
        <w:ilvl w:val="1"/>
        <w:numId w:val="1"/>
      </w:numPr>
      <w:tabs>
        <w:tab w:val="left" w:pos="426"/>
        <w:tab w:val="left" w:pos="720"/>
      </w:tabs>
      <w:spacing w:beforeLines="100" w:afterLines="100" w:line="360" w:lineRule="auto"/>
      <w:ind w:firstLine="0"/>
      <w:jc w:val="left"/>
      <w:outlineLvl w:val="1"/>
    </w:pPr>
    <w:rPr>
      <w:b/>
      <w:bCs/>
      <w:kern w:val="0"/>
      <w:sz w:val="36"/>
      <w:szCs w:val="28"/>
    </w:rPr>
  </w:style>
  <w:style w:type="paragraph" w:customStyle="1" w:styleId="155">
    <w:name w:val="G_标题3"/>
    <w:basedOn w:val="154"/>
    <w:next w:val="1"/>
    <w:autoRedefine/>
    <w:qFormat/>
    <w:uiPriority w:val="0"/>
    <w:pPr>
      <w:numPr>
        <w:ilvl w:val="2"/>
      </w:numPr>
      <w:tabs>
        <w:tab w:val="left" w:pos="1647"/>
      </w:tabs>
      <w:outlineLvl w:val="2"/>
    </w:pPr>
    <w:rPr>
      <w:sz w:val="32"/>
    </w:rPr>
  </w:style>
  <w:style w:type="paragraph" w:customStyle="1" w:styleId="156">
    <w:name w:val="G_标题4"/>
    <w:basedOn w:val="155"/>
    <w:next w:val="1"/>
    <w:autoRedefine/>
    <w:qFormat/>
    <w:uiPriority w:val="0"/>
    <w:pPr>
      <w:numPr>
        <w:ilvl w:val="3"/>
      </w:numPr>
      <w:tabs>
        <w:tab w:val="left" w:pos="1440"/>
        <w:tab w:val="clear" w:pos="426"/>
      </w:tabs>
      <w:spacing w:before="100" w:after="100"/>
      <w:outlineLvl w:val="3"/>
    </w:pPr>
    <w:rPr>
      <w:sz w:val="30"/>
    </w:rPr>
  </w:style>
  <w:style w:type="paragraph" w:customStyle="1" w:styleId="157">
    <w:name w:val="标题 81"/>
    <w:basedOn w:val="1"/>
    <w:next w:val="1"/>
    <w:autoRedefine/>
    <w:qFormat/>
    <w:uiPriority w:val="0"/>
    <w:pPr>
      <w:keepNext/>
      <w:keepLines/>
      <w:tabs>
        <w:tab w:val="left" w:pos="3932"/>
      </w:tabs>
      <w:spacing w:before="240" w:after="64" w:line="320" w:lineRule="auto"/>
      <w:ind w:left="3932" w:hanging="420"/>
      <w:outlineLvl w:val="7"/>
    </w:pPr>
    <w:rPr>
      <w:rFonts w:ascii="Cambria" w:hAnsi="Cambria"/>
      <w:sz w:val="24"/>
    </w:rPr>
  </w:style>
  <w:style w:type="paragraph" w:customStyle="1" w:styleId="158">
    <w:name w:val="列出段落2"/>
    <w:basedOn w:val="1"/>
    <w:next w:val="103"/>
    <w:autoRedefine/>
    <w:qFormat/>
    <w:uiPriority w:val="0"/>
    <w:pPr>
      <w:ind w:firstLine="420" w:firstLineChars="200"/>
    </w:pPr>
    <w:rPr>
      <w:rFonts w:ascii="Calibri" w:hAnsi="Calibri"/>
      <w:szCs w:val="22"/>
    </w:rPr>
  </w:style>
  <w:style w:type="paragraph" w:customStyle="1" w:styleId="159">
    <w:name w:val="标题 71"/>
    <w:basedOn w:val="1"/>
    <w:next w:val="1"/>
    <w:autoRedefine/>
    <w:qFormat/>
    <w:uiPriority w:val="0"/>
    <w:pPr>
      <w:keepNext/>
      <w:keepLines/>
      <w:tabs>
        <w:tab w:val="left" w:pos="3512"/>
      </w:tabs>
      <w:spacing w:before="240" w:after="64" w:line="320" w:lineRule="auto"/>
      <w:ind w:left="3512" w:hanging="420"/>
      <w:outlineLvl w:val="6"/>
    </w:pPr>
    <w:rPr>
      <w:rFonts w:ascii="Calibri" w:hAnsi="Calibri"/>
      <w:b/>
      <w:bCs/>
      <w:sz w:val="24"/>
    </w:rPr>
  </w:style>
  <w:style w:type="paragraph" w:customStyle="1" w:styleId="160">
    <w:name w:val="标题 91"/>
    <w:basedOn w:val="1"/>
    <w:next w:val="1"/>
    <w:autoRedefine/>
    <w:qFormat/>
    <w:uiPriority w:val="0"/>
    <w:pPr>
      <w:keepNext/>
      <w:keepLines/>
      <w:tabs>
        <w:tab w:val="left" w:pos="4352"/>
      </w:tabs>
      <w:spacing w:before="240" w:after="64" w:line="320" w:lineRule="auto"/>
      <w:ind w:left="4352" w:hanging="420"/>
      <w:outlineLvl w:val="8"/>
    </w:pPr>
    <w:rPr>
      <w:rFonts w:ascii="Cambria" w:hAnsi="Cambria"/>
      <w:szCs w:val="21"/>
    </w:rPr>
  </w:style>
  <w:style w:type="paragraph" w:customStyle="1" w:styleId="161">
    <w:name w:val="G_标题1"/>
    <w:basedOn w:val="1"/>
    <w:next w:val="1"/>
    <w:autoRedefine/>
    <w:qFormat/>
    <w:uiPriority w:val="0"/>
    <w:pPr>
      <w:widowControl/>
      <w:numPr>
        <w:ilvl w:val="0"/>
        <w:numId w:val="1"/>
      </w:numPr>
      <w:spacing w:afterLines="150" w:line="360" w:lineRule="auto"/>
      <w:jc w:val="center"/>
      <w:outlineLvl w:val="0"/>
    </w:pPr>
    <w:rPr>
      <w:b/>
      <w:bCs/>
      <w:kern w:val="0"/>
      <w:sz w:val="44"/>
      <w:szCs w:val="32"/>
    </w:rPr>
  </w:style>
  <w:style w:type="paragraph" w:customStyle="1" w:styleId="162">
    <w:name w:val="列表段落1"/>
    <w:basedOn w:val="1"/>
    <w:autoRedefine/>
    <w:qFormat/>
    <w:uiPriority w:val="34"/>
    <w:pPr>
      <w:ind w:firstLine="420" w:firstLineChars="200"/>
    </w:pPr>
    <w:rPr>
      <w:rFonts w:hint="eastAsia" w:ascii="仿宋_GB2312" w:eastAsia="仿宋_GB2312"/>
      <w:color w:val="10000A"/>
      <w:kern w:val="0"/>
      <w:sz w:val="32"/>
      <w:szCs w:val="20"/>
    </w:rPr>
  </w:style>
  <w:style w:type="character" w:customStyle="1" w:styleId="163">
    <w:name w:val="font21"/>
    <w:autoRedefine/>
    <w:qFormat/>
    <w:uiPriority w:val="0"/>
    <w:rPr>
      <w:rFonts w:hint="eastAsia" w:ascii="宋体" w:hAnsi="宋体" w:eastAsia="宋体" w:cs="宋体"/>
      <w:color w:val="000000"/>
      <w:sz w:val="21"/>
      <w:szCs w:val="21"/>
      <w:u w:val="none"/>
    </w:rPr>
  </w:style>
  <w:style w:type="character" w:customStyle="1" w:styleId="164">
    <w:name w:val="纯文本 字符"/>
    <w:autoRedefine/>
    <w:qFormat/>
    <w:uiPriority w:val="0"/>
    <w:rPr>
      <w:rFonts w:ascii="宋体" w:hAnsi="Courier New" w:eastAsia="宋体" w:cs="Times New Roman"/>
      <w:szCs w:val="21"/>
    </w:rPr>
  </w:style>
  <w:style w:type="paragraph" w:customStyle="1" w:styleId="165">
    <w:name w:val="首行缩进"/>
    <w:basedOn w:val="1"/>
    <w:autoRedefine/>
    <w:qFormat/>
    <w:uiPriority w:val="0"/>
    <w:pPr>
      <w:ind w:firstLine="480" w:firstLineChars="200"/>
    </w:pPr>
    <w:rPr>
      <w:kern w:val="0"/>
      <w:szCs w:val="20"/>
      <w:lang w:val="zh-CN"/>
    </w:rPr>
  </w:style>
  <w:style w:type="paragraph" w:customStyle="1" w:styleId="166">
    <w:name w:val="U_正文2"/>
    <w:basedOn w:val="1"/>
    <w:link w:val="167"/>
    <w:autoRedefine/>
    <w:qFormat/>
    <w:uiPriority w:val="0"/>
    <w:pPr>
      <w:spacing w:beforeLines="10" w:afterLines="10" w:line="300" w:lineRule="auto"/>
    </w:pPr>
    <w:rPr>
      <w:sz w:val="24"/>
      <w:szCs w:val="20"/>
    </w:rPr>
  </w:style>
  <w:style w:type="character" w:customStyle="1" w:styleId="167">
    <w:name w:val="U_正文2 Char"/>
    <w:link w:val="166"/>
    <w:autoRedefine/>
    <w:qFormat/>
    <w:uiPriority w:val="0"/>
    <w:rPr>
      <w:kern w:val="2"/>
      <w:sz w:val="24"/>
    </w:rPr>
  </w:style>
  <w:style w:type="paragraph" w:customStyle="1" w:styleId="168">
    <w:name w:val="U_正文"/>
    <w:basedOn w:val="1"/>
    <w:link w:val="169"/>
    <w:autoRedefine/>
    <w:qFormat/>
    <w:uiPriority w:val="0"/>
    <w:pPr>
      <w:spacing w:beforeLines="20" w:afterLines="20" w:line="300" w:lineRule="auto"/>
      <w:ind w:firstLine="200" w:firstLineChars="200"/>
    </w:pPr>
    <w:rPr>
      <w:sz w:val="24"/>
      <w:szCs w:val="20"/>
    </w:rPr>
  </w:style>
  <w:style w:type="character" w:customStyle="1" w:styleId="169">
    <w:name w:val="U_正文 Char"/>
    <w:link w:val="168"/>
    <w:autoRedefine/>
    <w:qFormat/>
    <w:uiPriority w:val="0"/>
    <w:rPr>
      <w:kern w:val="2"/>
      <w:sz w:val="24"/>
    </w:rPr>
  </w:style>
  <w:style w:type="paragraph" w:customStyle="1" w:styleId="170">
    <w:name w:val="正文_1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1">
    <w:name w:val="Table Text"/>
    <w:basedOn w:val="1"/>
    <w:autoRedefine/>
    <w:semiHidden/>
    <w:qFormat/>
    <w:uiPriority w:val="0"/>
    <w:rPr>
      <w:rFonts w:ascii="宋体" w:hAnsi="宋体" w:cs="宋体"/>
      <w:sz w:val="19"/>
      <w:szCs w:val="19"/>
      <w:lang w:eastAsia="en-US"/>
    </w:rPr>
  </w:style>
  <w:style w:type="table" w:customStyle="1" w:styleId="172">
    <w:name w:val="Table Normal"/>
    <w:autoRedefine/>
    <w:unhideWhenUsed/>
    <w:qFormat/>
    <w:uiPriority w:val="0"/>
    <w:tblPr>
      <w:tblCellMar>
        <w:top w:w="0" w:type="dxa"/>
        <w:left w:w="0" w:type="dxa"/>
        <w:bottom w:w="0" w:type="dxa"/>
        <w:right w:w="0" w:type="dxa"/>
      </w:tblCellMar>
    </w:tblPr>
  </w:style>
  <w:style w:type="character" w:customStyle="1" w:styleId="173">
    <w:name w:val="NormalCharacter"/>
    <w:autoRedefine/>
    <w:semiHidden/>
    <w:qFormat/>
    <w:uiPriority w:val="0"/>
  </w:style>
  <w:style w:type="paragraph" w:customStyle="1" w:styleId="174">
    <w:name w:val="正文_2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75">
    <w:name w:val="正文_22_0"/>
    <w:basedOn w:val="174"/>
    <w:qFormat/>
    <w:uiPriority w:val="0"/>
    <w:rPr>
      <w:rFonts w:ascii="Times New Roman" w:hAnsi="Times New Roman"/>
      <w:szCs w:val="21"/>
    </w:rPr>
  </w:style>
  <w:style w:type="paragraph" w:customStyle="1" w:styleId="176">
    <w:name w:val="正文_21_0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177">
    <w:name w:val="10"/>
    <w:basedOn w:val="42"/>
    <w:qFormat/>
    <w:uiPriority w:val="0"/>
    <w:rPr>
      <w:rFonts w:hint="default" w:ascii="Times New Roman" w:hAnsi="Times New Roman" w:cs="Times New Roman"/>
    </w:rPr>
  </w:style>
  <w:style w:type="paragraph" w:customStyle="1" w:styleId="178">
    <w:name w:val="BodyText1I2"/>
    <w:basedOn w:val="179"/>
    <w:next w:val="1"/>
    <w:qFormat/>
    <w:uiPriority w:val="0"/>
    <w:pPr>
      <w:ind w:firstLine="420"/>
      <w:jc w:val="left"/>
    </w:pPr>
    <w:rPr>
      <w:rFonts w:ascii="Calibri" w:hAnsi="Calibri"/>
      <w:kern w:val="0"/>
    </w:rPr>
  </w:style>
  <w:style w:type="paragraph" w:customStyle="1" w:styleId="179">
    <w:name w:val="BodyTextIndent"/>
    <w:basedOn w:val="180"/>
    <w:next w:val="1"/>
    <w:qFormat/>
    <w:uiPriority w:val="0"/>
    <w:pPr>
      <w:spacing w:after="120"/>
      <w:ind w:left="420" w:leftChars="200"/>
    </w:pPr>
  </w:style>
  <w:style w:type="paragraph" w:customStyle="1" w:styleId="180">
    <w:name w:val="正文_0"/>
    <w:basedOn w:val="1"/>
    <w:next w:val="178"/>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101</Pages>
  <Words>2029</Words>
  <Characters>2163</Characters>
  <Lines>91</Lines>
  <Paragraphs>121</Paragraphs>
  <TotalTime>0</TotalTime>
  <ScaleCrop>false</ScaleCrop>
  <LinksUpToDate>false</LinksUpToDate>
  <CharactersWithSpaces>2263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2024-10-11T05:40:00Z</dcterms:created>
  <dc:creator>Administrator</dc:creator>
  <cp:lastModifiedBy>夏的凛冽</cp:lastModifiedBy>
  <cp:lastPrinted>2025-10-31T02:18:00Z</cp:lastPrinted>
  <dcterms:modified xsi:type="dcterms:W3CDTF">2025-10-31T02:36:01Z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2806231A2C7C47CF85CF38E677FCB02A_11</vt:lpwstr>
  </property>
  <property fmtid="{D5CDD505-2E9C-101B-9397-08002B2CF9AE}" pid="4" name="KSOTemplateDocerSaveRecord">
    <vt:lpwstr>eyJoZGlkIjoiOTNlOWJlZmU2MzMwYTAzMTA5MjYyZDhmZjAwNTc1M2IiLCJ1c2VySWQiOiI1MTU5OTIzMTUifQ==</vt:lpwstr>
  </property>
</Properties>
</file>