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60A45A">
      <w:pPr>
        <w:pStyle w:val="4"/>
        <w:ind w:firstLine="480"/>
        <w:jc w:val="center"/>
        <w:rPr>
          <w:rFonts w:hint="eastAsia" w:ascii="仿宋_GB2312" w:hAnsi="仿宋_GB2312" w:eastAsia="仿宋_GB2312" w:cs="仿宋_GB2312"/>
          <w:b/>
          <w:sz w:val="36"/>
          <w:lang w:val="en-US" w:eastAsia="zh-CN"/>
        </w:rPr>
      </w:pPr>
      <w:bookmarkStart w:id="0" w:name="_GoBack"/>
      <w:bookmarkEnd w:id="0"/>
      <w:r>
        <w:rPr>
          <w:rFonts w:hint="eastAsia" w:ascii="仿宋_GB2312" w:hAnsi="仿宋_GB2312" w:eastAsia="仿宋_GB2312" w:cs="仿宋_GB2312"/>
          <w:b/>
          <w:sz w:val="36"/>
          <w:lang w:val="en-US" w:eastAsia="zh-CN"/>
        </w:rPr>
        <w:t>采购需求</w:t>
      </w:r>
    </w:p>
    <w:p w14:paraId="27B6D99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323156C3">
      <w:pPr>
        <w:pStyle w:val="4"/>
        <w:jc w:val="left"/>
        <w:outlineLvl w:val="2"/>
      </w:pPr>
      <w:r>
        <w:rPr>
          <w:rFonts w:ascii="仿宋_GB2312" w:hAnsi="仿宋_GB2312" w:eastAsia="仿宋_GB2312" w:cs="仿宋_GB2312"/>
          <w:b/>
          <w:sz w:val="28"/>
        </w:rPr>
        <w:t>1.采购内容</w:t>
      </w:r>
    </w:p>
    <w:p w14:paraId="4C0B1ED5">
      <w:pPr>
        <w:pStyle w:val="4"/>
        <w:jc w:val="left"/>
      </w:pPr>
      <w:r>
        <w:rPr>
          <w:rFonts w:ascii="仿宋_GB2312" w:hAnsi="仿宋_GB2312" w:eastAsia="仿宋_GB2312" w:cs="仿宋_GB2312"/>
        </w:rPr>
        <w:t>采购包1：</w:t>
      </w:r>
    </w:p>
    <w:p w14:paraId="0F23934C">
      <w:pPr>
        <w:pStyle w:val="4"/>
        <w:jc w:val="left"/>
      </w:pPr>
      <w:r>
        <w:rPr>
          <w:rFonts w:ascii="仿宋_GB2312" w:hAnsi="仿宋_GB2312" w:eastAsia="仿宋_GB2312" w:cs="仿宋_GB2312"/>
        </w:rPr>
        <w:t>采购包预算金额（元）: 500,000.00</w:t>
      </w:r>
    </w:p>
    <w:p w14:paraId="2607F85F">
      <w:pPr>
        <w:pStyle w:val="4"/>
        <w:jc w:val="left"/>
      </w:pPr>
      <w:r>
        <w:rPr>
          <w:rFonts w:ascii="仿宋_GB2312" w:hAnsi="仿宋_GB2312" w:eastAsia="仿宋_GB2312" w:cs="仿宋_GB2312"/>
        </w:rPr>
        <w:t>采购包最高限价（元）: 500,000.00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294116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101DD62">
            <w:pPr>
              <w:pStyle w:val="4"/>
              <w:jc w:val="center"/>
            </w:pPr>
            <w:r>
              <w:rPr>
                <w:rFonts w:ascii="仿宋_GB2312" w:hAnsi="仿宋_GB2312" w:eastAsia="仿宋_GB2312" w:cs="仿宋_GB2312"/>
              </w:rPr>
              <w:t>序号</w:t>
            </w:r>
          </w:p>
        </w:tc>
        <w:tc>
          <w:tcPr>
            <w:tcW w:w="821" w:type="dxa"/>
          </w:tcPr>
          <w:p w14:paraId="0FF654BA">
            <w:pPr>
              <w:pStyle w:val="4"/>
              <w:jc w:val="center"/>
            </w:pPr>
            <w:r>
              <w:rPr>
                <w:rFonts w:ascii="仿宋_GB2312" w:hAnsi="仿宋_GB2312" w:eastAsia="仿宋_GB2312" w:cs="仿宋_GB2312"/>
              </w:rPr>
              <w:t>采购品目名称</w:t>
            </w:r>
          </w:p>
        </w:tc>
        <w:tc>
          <w:tcPr>
            <w:tcW w:w="821" w:type="dxa"/>
          </w:tcPr>
          <w:p w14:paraId="37654931">
            <w:pPr>
              <w:pStyle w:val="4"/>
              <w:jc w:val="center"/>
            </w:pPr>
            <w:r>
              <w:rPr>
                <w:rFonts w:ascii="仿宋_GB2312" w:hAnsi="仿宋_GB2312" w:eastAsia="仿宋_GB2312" w:cs="仿宋_GB2312"/>
              </w:rPr>
              <w:t>标的名称</w:t>
            </w:r>
          </w:p>
        </w:tc>
        <w:tc>
          <w:tcPr>
            <w:tcW w:w="821" w:type="dxa"/>
          </w:tcPr>
          <w:p w14:paraId="2FCD253F">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191D9BE">
            <w:pPr>
              <w:pStyle w:val="4"/>
              <w:jc w:val="center"/>
            </w:pPr>
            <w:r>
              <w:rPr>
                <w:rFonts w:ascii="仿宋_GB2312" w:hAnsi="仿宋_GB2312" w:eastAsia="仿宋_GB2312" w:cs="仿宋_GB2312"/>
              </w:rPr>
              <w:t>标的金额 （元）</w:t>
            </w:r>
          </w:p>
        </w:tc>
        <w:tc>
          <w:tcPr>
            <w:tcW w:w="821" w:type="dxa"/>
          </w:tcPr>
          <w:p w14:paraId="6C64D6DF">
            <w:pPr>
              <w:pStyle w:val="4"/>
              <w:jc w:val="center"/>
            </w:pPr>
            <w:r>
              <w:rPr>
                <w:rFonts w:ascii="仿宋_GB2312" w:hAnsi="仿宋_GB2312" w:eastAsia="仿宋_GB2312" w:cs="仿宋_GB2312"/>
              </w:rPr>
              <w:t>所属行业</w:t>
            </w:r>
          </w:p>
        </w:tc>
        <w:tc>
          <w:tcPr>
            <w:tcW w:w="821" w:type="dxa"/>
          </w:tcPr>
          <w:p w14:paraId="6D282055">
            <w:pPr>
              <w:pStyle w:val="4"/>
              <w:jc w:val="center"/>
            </w:pPr>
            <w:r>
              <w:rPr>
                <w:rFonts w:ascii="仿宋_GB2312" w:hAnsi="仿宋_GB2312" w:eastAsia="仿宋_GB2312" w:cs="仿宋_GB2312"/>
              </w:rPr>
              <w:t>是否涉及核心产品</w:t>
            </w:r>
          </w:p>
        </w:tc>
        <w:tc>
          <w:tcPr>
            <w:tcW w:w="821" w:type="dxa"/>
          </w:tcPr>
          <w:p w14:paraId="5F255538">
            <w:pPr>
              <w:pStyle w:val="4"/>
              <w:jc w:val="center"/>
            </w:pPr>
            <w:r>
              <w:rPr>
                <w:rFonts w:ascii="仿宋_GB2312" w:hAnsi="仿宋_GB2312" w:eastAsia="仿宋_GB2312" w:cs="仿宋_GB2312"/>
              </w:rPr>
              <w:t>是否涉及采购进口产品</w:t>
            </w:r>
          </w:p>
        </w:tc>
        <w:tc>
          <w:tcPr>
            <w:tcW w:w="821" w:type="dxa"/>
          </w:tcPr>
          <w:p w14:paraId="63E03008">
            <w:pPr>
              <w:pStyle w:val="4"/>
              <w:jc w:val="center"/>
            </w:pPr>
            <w:r>
              <w:rPr>
                <w:rFonts w:ascii="仿宋_GB2312" w:hAnsi="仿宋_GB2312" w:eastAsia="仿宋_GB2312" w:cs="仿宋_GB2312"/>
              </w:rPr>
              <w:t>是否涉及强制采购节能产品</w:t>
            </w:r>
          </w:p>
        </w:tc>
        <w:tc>
          <w:tcPr>
            <w:tcW w:w="639" w:type="dxa"/>
          </w:tcPr>
          <w:p w14:paraId="544381B3">
            <w:pPr>
              <w:pStyle w:val="4"/>
              <w:jc w:val="center"/>
            </w:pPr>
            <w:r>
              <w:rPr>
                <w:rFonts w:ascii="仿宋_GB2312" w:hAnsi="仿宋_GB2312" w:eastAsia="仿宋_GB2312" w:cs="仿宋_GB2312"/>
              </w:rPr>
              <w:t>是否涉及优先采购节能产品</w:t>
            </w:r>
          </w:p>
        </w:tc>
        <w:tc>
          <w:tcPr>
            <w:tcW w:w="639" w:type="dxa"/>
          </w:tcPr>
          <w:p w14:paraId="6DB4EE6B">
            <w:pPr>
              <w:pStyle w:val="4"/>
              <w:jc w:val="center"/>
            </w:pPr>
            <w:r>
              <w:rPr>
                <w:rFonts w:ascii="仿宋_GB2312" w:hAnsi="仿宋_GB2312" w:eastAsia="仿宋_GB2312" w:cs="仿宋_GB2312"/>
              </w:rPr>
              <w:t>是否涉及优先采购环境标志产品</w:t>
            </w:r>
          </w:p>
        </w:tc>
      </w:tr>
      <w:tr w14:paraId="6784CC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9C3FEEA">
            <w:pPr>
              <w:pStyle w:val="4"/>
              <w:jc w:val="left"/>
            </w:pPr>
            <w:r>
              <w:rPr>
                <w:rFonts w:ascii="仿宋_GB2312" w:hAnsi="仿宋_GB2312" w:eastAsia="仿宋_GB2312" w:cs="仿宋_GB2312"/>
              </w:rPr>
              <w:t>1</w:t>
            </w:r>
          </w:p>
        </w:tc>
        <w:tc>
          <w:tcPr>
            <w:tcW w:w="821" w:type="dxa"/>
          </w:tcPr>
          <w:p w14:paraId="7BD15D00">
            <w:pPr>
              <w:pStyle w:val="4"/>
              <w:jc w:val="left"/>
            </w:pPr>
            <w:r>
              <w:rPr>
                <w:rFonts w:ascii="仿宋_GB2312" w:hAnsi="仿宋_GB2312" w:eastAsia="仿宋_GB2312" w:cs="仿宋_GB2312"/>
              </w:rPr>
              <w:t>C99000000 其他服务</w:t>
            </w:r>
          </w:p>
        </w:tc>
        <w:tc>
          <w:tcPr>
            <w:tcW w:w="821" w:type="dxa"/>
          </w:tcPr>
          <w:p w14:paraId="51313C53">
            <w:pPr>
              <w:pStyle w:val="4"/>
              <w:jc w:val="left"/>
            </w:pPr>
            <w:r>
              <w:rPr>
                <w:rFonts w:ascii="仿宋_GB2312" w:hAnsi="仿宋_GB2312" w:eastAsia="仿宋_GB2312" w:cs="仿宋_GB2312"/>
              </w:rPr>
              <w:t>内江市东兴区崇元社区“智慧科技型”城乡社区治理优化提升项目</w:t>
            </w:r>
          </w:p>
        </w:tc>
        <w:tc>
          <w:tcPr>
            <w:tcW w:w="821" w:type="dxa"/>
          </w:tcPr>
          <w:p w14:paraId="0C8347E5">
            <w:pPr>
              <w:pStyle w:val="4"/>
              <w:jc w:val="right"/>
            </w:pPr>
            <w:r>
              <w:rPr>
                <w:rFonts w:ascii="仿宋_GB2312" w:hAnsi="仿宋_GB2312" w:eastAsia="仿宋_GB2312" w:cs="仿宋_GB2312"/>
              </w:rPr>
              <w:t>1.00（项）</w:t>
            </w:r>
          </w:p>
        </w:tc>
        <w:tc>
          <w:tcPr>
            <w:tcW w:w="821" w:type="dxa"/>
          </w:tcPr>
          <w:p w14:paraId="67A8AD05">
            <w:pPr>
              <w:pStyle w:val="4"/>
              <w:jc w:val="right"/>
            </w:pPr>
            <w:r>
              <w:rPr>
                <w:rFonts w:ascii="仿宋_GB2312" w:hAnsi="仿宋_GB2312" w:eastAsia="仿宋_GB2312" w:cs="仿宋_GB2312"/>
              </w:rPr>
              <w:t>500,000.00</w:t>
            </w:r>
          </w:p>
        </w:tc>
        <w:tc>
          <w:tcPr>
            <w:tcW w:w="821" w:type="dxa"/>
          </w:tcPr>
          <w:p w14:paraId="504410E0">
            <w:pPr>
              <w:pStyle w:val="4"/>
              <w:jc w:val="left"/>
            </w:pPr>
            <w:r>
              <w:rPr>
                <w:rFonts w:ascii="仿宋_GB2312" w:hAnsi="仿宋_GB2312" w:eastAsia="仿宋_GB2312" w:cs="仿宋_GB2312"/>
              </w:rPr>
              <w:t>其他未列明行业</w:t>
            </w:r>
          </w:p>
        </w:tc>
        <w:tc>
          <w:tcPr>
            <w:tcW w:w="821" w:type="dxa"/>
          </w:tcPr>
          <w:p w14:paraId="62F54EF3">
            <w:pPr>
              <w:pStyle w:val="4"/>
              <w:jc w:val="left"/>
            </w:pPr>
            <w:r>
              <w:rPr>
                <w:rFonts w:ascii="仿宋_GB2312" w:hAnsi="仿宋_GB2312" w:eastAsia="仿宋_GB2312" w:cs="仿宋_GB2312"/>
              </w:rPr>
              <w:t>否</w:t>
            </w:r>
          </w:p>
        </w:tc>
        <w:tc>
          <w:tcPr>
            <w:tcW w:w="821" w:type="dxa"/>
          </w:tcPr>
          <w:p w14:paraId="26E1C9E8">
            <w:pPr>
              <w:pStyle w:val="4"/>
              <w:jc w:val="left"/>
            </w:pPr>
            <w:r>
              <w:rPr>
                <w:rFonts w:ascii="仿宋_GB2312" w:hAnsi="仿宋_GB2312" w:eastAsia="仿宋_GB2312" w:cs="仿宋_GB2312"/>
              </w:rPr>
              <w:t>否</w:t>
            </w:r>
          </w:p>
        </w:tc>
        <w:tc>
          <w:tcPr>
            <w:tcW w:w="821" w:type="dxa"/>
          </w:tcPr>
          <w:p w14:paraId="24AA62A8">
            <w:pPr>
              <w:pStyle w:val="4"/>
              <w:jc w:val="left"/>
            </w:pPr>
            <w:r>
              <w:rPr>
                <w:rFonts w:ascii="仿宋_GB2312" w:hAnsi="仿宋_GB2312" w:eastAsia="仿宋_GB2312" w:cs="仿宋_GB2312"/>
              </w:rPr>
              <w:t>否</w:t>
            </w:r>
          </w:p>
        </w:tc>
        <w:tc>
          <w:tcPr>
            <w:tcW w:w="639" w:type="dxa"/>
          </w:tcPr>
          <w:p w14:paraId="02F0E42B">
            <w:pPr>
              <w:pStyle w:val="4"/>
              <w:jc w:val="left"/>
            </w:pPr>
            <w:r>
              <w:rPr>
                <w:rFonts w:ascii="仿宋_GB2312" w:hAnsi="仿宋_GB2312" w:eastAsia="仿宋_GB2312" w:cs="仿宋_GB2312"/>
              </w:rPr>
              <w:t>否</w:t>
            </w:r>
          </w:p>
        </w:tc>
        <w:tc>
          <w:tcPr>
            <w:tcW w:w="639" w:type="dxa"/>
          </w:tcPr>
          <w:p w14:paraId="6DE66DD1">
            <w:pPr>
              <w:pStyle w:val="4"/>
              <w:jc w:val="left"/>
            </w:pPr>
            <w:r>
              <w:rPr>
                <w:rFonts w:ascii="仿宋_GB2312" w:hAnsi="仿宋_GB2312" w:eastAsia="仿宋_GB2312" w:cs="仿宋_GB2312"/>
              </w:rPr>
              <w:t>否</w:t>
            </w:r>
          </w:p>
        </w:tc>
      </w:tr>
    </w:tbl>
    <w:p w14:paraId="0AE1E0FD">
      <w:pPr>
        <w:pStyle w:val="4"/>
        <w:jc w:val="left"/>
      </w:pPr>
      <w:r>
        <w:rPr>
          <w:rFonts w:ascii="仿宋_GB2312" w:hAnsi="仿宋_GB2312" w:eastAsia="仿宋_GB2312" w:cs="仿宋_GB2312"/>
        </w:rPr>
        <w:t>是否适用本国产品标准：是</w:t>
      </w:r>
    </w:p>
    <w:p w14:paraId="422553B7">
      <w:pPr>
        <w:pStyle w:val="4"/>
        <w:jc w:val="left"/>
        <w:outlineLvl w:val="3"/>
      </w:pPr>
      <w:r>
        <w:rPr>
          <w:rFonts w:ascii="仿宋_GB2312" w:hAnsi="仿宋_GB2312" w:eastAsia="仿宋_GB2312" w:cs="仿宋_GB2312"/>
          <w:b/>
          <w:sz w:val="24"/>
        </w:rPr>
        <w:t>报价要求</w:t>
      </w:r>
    </w:p>
    <w:p w14:paraId="1533BC8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CA934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FBA2AB">
            <w:pPr>
              <w:pStyle w:val="4"/>
              <w:jc w:val="center"/>
            </w:pPr>
            <w:r>
              <w:rPr>
                <w:rFonts w:ascii="仿宋_GB2312" w:hAnsi="仿宋_GB2312" w:eastAsia="仿宋_GB2312" w:cs="仿宋_GB2312"/>
              </w:rPr>
              <w:t>序号</w:t>
            </w:r>
          </w:p>
        </w:tc>
        <w:tc>
          <w:tcPr>
            <w:tcW w:w="1707" w:type="dxa"/>
          </w:tcPr>
          <w:p w14:paraId="48324F6B">
            <w:pPr>
              <w:pStyle w:val="4"/>
              <w:jc w:val="center"/>
            </w:pPr>
            <w:r>
              <w:rPr>
                <w:rFonts w:ascii="仿宋_GB2312" w:hAnsi="仿宋_GB2312" w:eastAsia="仿宋_GB2312" w:cs="仿宋_GB2312"/>
              </w:rPr>
              <w:t>报价内容</w:t>
            </w:r>
          </w:p>
        </w:tc>
        <w:tc>
          <w:tcPr>
            <w:tcW w:w="1138" w:type="dxa"/>
          </w:tcPr>
          <w:p w14:paraId="54403148">
            <w:pPr>
              <w:pStyle w:val="4"/>
              <w:jc w:val="center"/>
            </w:pPr>
            <w:r>
              <w:rPr>
                <w:rFonts w:ascii="仿宋_GB2312" w:hAnsi="仿宋_GB2312" w:eastAsia="仿宋_GB2312" w:cs="仿宋_GB2312"/>
              </w:rPr>
              <w:t>数量（计量单位）</w:t>
            </w:r>
          </w:p>
        </w:tc>
        <w:tc>
          <w:tcPr>
            <w:tcW w:w="1365" w:type="dxa"/>
          </w:tcPr>
          <w:p w14:paraId="58BD683F">
            <w:pPr>
              <w:pStyle w:val="4"/>
              <w:jc w:val="center"/>
            </w:pPr>
            <w:r>
              <w:rPr>
                <w:rFonts w:ascii="仿宋_GB2312" w:hAnsi="仿宋_GB2312" w:eastAsia="仿宋_GB2312" w:cs="仿宋_GB2312"/>
              </w:rPr>
              <w:t>最高限价</w:t>
            </w:r>
          </w:p>
        </w:tc>
        <w:tc>
          <w:tcPr>
            <w:tcW w:w="1138" w:type="dxa"/>
          </w:tcPr>
          <w:p w14:paraId="26BC0DB2">
            <w:pPr>
              <w:pStyle w:val="4"/>
              <w:jc w:val="center"/>
            </w:pPr>
            <w:r>
              <w:rPr>
                <w:rFonts w:ascii="仿宋_GB2312" w:hAnsi="仿宋_GB2312" w:eastAsia="仿宋_GB2312" w:cs="仿宋_GB2312"/>
              </w:rPr>
              <w:t>价款形式</w:t>
            </w:r>
          </w:p>
        </w:tc>
        <w:tc>
          <w:tcPr>
            <w:tcW w:w="1934" w:type="dxa"/>
          </w:tcPr>
          <w:p w14:paraId="06F145CA">
            <w:pPr>
              <w:pStyle w:val="4"/>
              <w:jc w:val="center"/>
            </w:pPr>
            <w:r>
              <w:rPr>
                <w:rFonts w:ascii="仿宋_GB2312" w:hAnsi="仿宋_GB2312" w:eastAsia="仿宋_GB2312" w:cs="仿宋_GB2312"/>
              </w:rPr>
              <w:t>报价说明</w:t>
            </w:r>
          </w:p>
        </w:tc>
      </w:tr>
      <w:tr w14:paraId="62EF6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BB7FF5">
            <w:pPr>
              <w:pStyle w:val="4"/>
              <w:jc w:val="center"/>
            </w:pPr>
            <w:r>
              <w:rPr>
                <w:rFonts w:ascii="仿宋_GB2312" w:hAnsi="仿宋_GB2312" w:eastAsia="仿宋_GB2312" w:cs="仿宋_GB2312"/>
              </w:rPr>
              <w:t>1</w:t>
            </w:r>
          </w:p>
        </w:tc>
        <w:tc>
          <w:tcPr>
            <w:tcW w:w="1707" w:type="dxa"/>
          </w:tcPr>
          <w:p w14:paraId="798EF163">
            <w:pPr>
              <w:pStyle w:val="4"/>
              <w:jc w:val="center"/>
            </w:pPr>
            <w:r>
              <w:rPr>
                <w:rFonts w:ascii="仿宋_GB2312" w:hAnsi="仿宋_GB2312" w:eastAsia="仿宋_GB2312" w:cs="仿宋_GB2312"/>
              </w:rPr>
              <w:t>内江市东兴区崇元社区“智慧科技型”城乡社区治理优化提升项目</w:t>
            </w:r>
          </w:p>
        </w:tc>
        <w:tc>
          <w:tcPr>
            <w:tcW w:w="1138" w:type="dxa"/>
          </w:tcPr>
          <w:p w14:paraId="71495B2E">
            <w:pPr>
              <w:pStyle w:val="4"/>
              <w:jc w:val="center"/>
            </w:pPr>
            <w:r>
              <w:rPr>
                <w:rFonts w:ascii="仿宋_GB2312" w:hAnsi="仿宋_GB2312" w:eastAsia="仿宋_GB2312" w:cs="仿宋_GB2312"/>
              </w:rPr>
              <w:t>1.00（项）</w:t>
            </w:r>
          </w:p>
        </w:tc>
        <w:tc>
          <w:tcPr>
            <w:tcW w:w="1365" w:type="dxa"/>
          </w:tcPr>
          <w:p w14:paraId="5AF5B2EC">
            <w:pPr>
              <w:pStyle w:val="4"/>
              <w:jc w:val="center"/>
            </w:pPr>
            <w:r>
              <w:rPr>
                <w:rFonts w:ascii="仿宋_GB2312" w:hAnsi="仿宋_GB2312" w:eastAsia="仿宋_GB2312" w:cs="仿宋_GB2312"/>
              </w:rPr>
              <w:t>500,000.00</w:t>
            </w:r>
          </w:p>
        </w:tc>
        <w:tc>
          <w:tcPr>
            <w:tcW w:w="1138" w:type="dxa"/>
          </w:tcPr>
          <w:p w14:paraId="359A7A65">
            <w:pPr>
              <w:pStyle w:val="4"/>
              <w:jc w:val="center"/>
            </w:pPr>
            <w:r>
              <w:rPr>
                <w:rFonts w:ascii="仿宋_GB2312" w:hAnsi="仿宋_GB2312" w:eastAsia="仿宋_GB2312" w:cs="仿宋_GB2312"/>
              </w:rPr>
              <w:t>总价</w:t>
            </w:r>
          </w:p>
        </w:tc>
        <w:tc>
          <w:tcPr>
            <w:tcW w:w="1934" w:type="dxa"/>
          </w:tcPr>
          <w:p w14:paraId="51D0203A">
            <w:pPr>
              <w:pStyle w:val="4"/>
              <w:jc w:val="left"/>
            </w:pPr>
            <w:r>
              <w:rPr>
                <w:rFonts w:ascii="仿宋_GB2312" w:hAnsi="仿宋_GB2312" w:eastAsia="仿宋_GB2312" w:cs="仿宋_GB2312"/>
              </w:rPr>
              <w:t>无</w:t>
            </w:r>
          </w:p>
        </w:tc>
      </w:tr>
    </w:tbl>
    <w:p w14:paraId="4D8245ED">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32473FAD">
      <w:pPr>
        <w:pStyle w:val="4"/>
        <w:jc w:val="left"/>
        <w:outlineLvl w:val="3"/>
      </w:pPr>
      <w:r>
        <w:rPr>
          <w:rFonts w:ascii="仿宋_GB2312" w:hAnsi="仿宋_GB2312" w:eastAsia="仿宋_GB2312" w:cs="仿宋_GB2312"/>
          <w:b/>
          <w:sz w:val="24"/>
        </w:rPr>
        <w:t>本项目涉及核心产品：</w:t>
      </w:r>
    </w:p>
    <w:p w14:paraId="5657309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AA39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9420E81">
            <w:pPr>
              <w:pStyle w:val="4"/>
              <w:jc w:val="center"/>
            </w:pPr>
            <w:r>
              <w:rPr>
                <w:rFonts w:ascii="仿宋_GB2312" w:hAnsi="仿宋_GB2312" w:eastAsia="仿宋_GB2312" w:cs="仿宋_GB2312"/>
              </w:rPr>
              <w:t>序号</w:t>
            </w:r>
          </w:p>
        </w:tc>
        <w:tc>
          <w:tcPr>
            <w:tcW w:w="2492" w:type="dxa"/>
          </w:tcPr>
          <w:p w14:paraId="7C4DDFEE">
            <w:pPr>
              <w:pStyle w:val="4"/>
              <w:jc w:val="center"/>
            </w:pPr>
            <w:r>
              <w:rPr>
                <w:rFonts w:ascii="仿宋_GB2312" w:hAnsi="仿宋_GB2312" w:eastAsia="仿宋_GB2312" w:cs="仿宋_GB2312"/>
              </w:rPr>
              <w:t>采购品目名称</w:t>
            </w:r>
          </w:p>
        </w:tc>
        <w:tc>
          <w:tcPr>
            <w:tcW w:w="2492" w:type="dxa"/>
          </w:tcPr>
          <w:p w14:paraId="621AA0EB">
            <w:pPr>
              <w:pStyle w:val="4"/>
              <w:jc w:val="center"/>
            </w:pPr>
            <w:r>
              <w:rPr>
                <w:rFonts w:ascii="仿宋_GB2312" w:hAnsi="仿宋_GB2312" w:eastAsia="仿宋_GB2312" w:cs="仿宋_GB2312"/>
              </w:rPr>
              <w:t>标的名称</w:t>
            </w:r>
          </w:p>
        </w:tc>
        <w:tc>
          <w:tcPr>
            <w:tcW w:w="2492" w:type="dxa"/>
          </w:tcPr>
          <w:p w14:paraId="34CAFE13">
            <w:pPr>
              <w:pStyle w:val="4"/>
              <w:jc w:val="center"/>
            </w:pPr>
            <w:r>
              <w:rPr>
                <w:rFonts w:ascii="仿宋_GB2312" w:hAnsi="仿宋_GB2312" w:eastAsia="仿宋_GB2312" w:cs="仿宋_GB2312"/>
              </w:rPr>
              <w:t>产品名称</w:t>
            </w:r>
          </w:p>
        </w:tc>
      </w:tr>
      <w:tr w14:paraId="2CC947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E2314D6">
            <w:pPr>
              <w:pStyle w:val="4"/>
              <w:jc w:val="center"/>
            </w:pPr>
            <w:r>
              <w:rPr>
                <w:rFonts w:ascii="仿宋_GB2312" w:hAnsi="仿宋_GB2312" w:eastAsia="仿宋_GB2312" w:cs="仿宋_GB2312"/>
              </w:rPr>
              <w:t>不涉及</w:t>
            </w:r>
          </w:p>
        </w:tc>
      </w:tr>
    </w:tbl>
    <w:p w14:paraId="03A0621A">
      <w:pPr>
        <w:pStyle w:val="4"/>
        <w:ind w:firstLine="480"/>
        <w:jc w:val="left"/>
      </w:pPr>
      <w:r>
        <w:rPr>
          <w:rFonts w:ascii="仿宋_GB2312" w:hAnsi="仿宋_GB2312" w:eastAsia="仿宋_GB2312" w:cs="仿宋_GB2312"/>
        </w:rPr>
        <w:t>注：涉及核心产品的，具体评审规定见第五章。</w:t>
      </w:r>
    </w:p>
    <w:p w14:paraId="4EA5FC24">
      <w:pPr>
        <w:pStyle w:val="4"/>
        <w:jc w:val="left"/>
        <w:outlineLvl w:val="3"/>
      </w:pPr>
      <w:r>
        <w:rPr>
          <w:rFonts w:ascii="仿宋_GB2312" w:hAnsi="仿宋_GB2312" w:eastAsia="仿宋_GB2312" w:cs="仿宋_GB2312"/>
          <w:b/>
          <w:sz w:val="24"/>
        </w:rPr>
        <w:t>本项目涉及采购进口产品：</w:t>
      </w:r>
    </w:p>
    <w:p w14:paraId="7C21945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81802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3250C64F">
            <w:pPr>
              <w:pStyle w:val="4"/>
              <w:jc w:val="center"/>
            </w:pPr>
            <w:r>
              <w:rPr>
                <w:rFonts w:ascii="仿宋_GB2312" w:hAnsi="仿宋_GB2312" w:eastAsia="仿宋_GB2312" w:cs="仿宋_GB2312"/>
              </w:rPr>
              <w:t>序号</w:t>
            </w:r>
          </w:p>
        </w:tc>
        <w:tc>
          <w:tcPr>
            <w:tcW w:w="2492" w:type="dxa"/>
          </w:tcPr>
          <w:p w14:paraId="7772B924">
            <w:pPr>
              <w:pStyle w:val="4"/>
              <w:jc w:val="center"/>
            </w:pPr>
            <w:r>
              <w:rPr>
                <w:rFonts w:ascii="仿宋_GB2312" w:hAnsi="仿宋_GB2312" w:eastAsia="仿宋_GB2312" w:cs="仿宋_GB2312"/>
              </w:rPr>
              <w:t>采购品目名称</w:t>
            </w:r>
          </w:p>
        </w:tc>
        <w:tc>
          <w:tcPr>
            <w:tcW w:w="2492" w:type="dxa"/>
          </w:tcPr>
          <w:p w14:paraId="60D8B4F2">
            <w:pPr>
              <w:pStyle w:val="4"/>
              <w:jc w:val="center"/>
            </w:pPr>
            <w:r>
              <w:rPr>
                <w:rFonts w:ascii="仿宋_GB2312" w:hAnsi="仿宋_GB2312" w:eastAsia="仿宋_GB2312" w:cs="仿宋_GB2312"/>
              </w:rPr>
              <w:t>标的名称</w:t>
            </w:r>
          </w:p>
        </w:tc>
        <w:tc>
          <w:tcPr>
            <w:tcW w:w="2492" w:type="dxa"/>
          </w:tcPr>
          <w:p w14:paraId="4AEC942A">
            <w:pPr>
              <w:pStyle w:val="4"/>
              <w:jc w:val="center"/>
            </w:pPr>
            <w:r>
              <w:rPr>
                <w:rFonts w:ascii="仿宋_GB2312" w:hAnsi="仿宋_GB2312" w:eastAsia="仿宋_GB2312" w:cs="仿宋_GB2312"/>
              </w:rPr>
              <w:t>产品名称</w:t>
            </w:r>
          </w:p>
        </w:tc>
      </w:tr>
      <w:tr w14:paraId="6004A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A3C7D78">
            <w:pPr>
              <w:pStyle w:val="4"/>
              <w:jc w:val="center"/>
            </w:pPr>
            <w:r>
              <w:rPr>
                <w:rFonts w:ascii="仿宋_GB2312" w:hAnsi="仿宋_GB2312" w:eastAsia="仿宋_GB2312" w:cs="仿宋_GB2312"/>
              </w:rPr>
              <w:t>不涉及</w:t>
            </w:r>
          </w:p>
        </w:tc>
      </w:tr>
    </w:tbl>
    <w:p w14:paraId="6EE82A06">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380ABE9E">
      <w:pPr>
        <w:pStyle w:val="4"/>
        <w:jc w:val="left"/>
        <w:outlineLvl w:val="3"/>
      </w:pPr>
      <w:r>
        <w:rPr>
          <w:rFonts w:ascii="仿宋_GB2312" w:hAnsi="仿宋_GB2312" w:eastAsia="仿宋_GB2312" w:cs="仿宋_GB2312"/>
          <w:b/>
          <w:sz w:val="24"/>
        </w:rPr>
        <w:t>本项目涉及强制采购节能产品：</w:t>
      </w:r>
    </w:p>
    <w:p w14:paraId="7F429BB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79B1D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4AECA7">
            <w:pPr>
              <w:pStyle w:val="4"/>
              <w:jc w:val="center"/>
            </w:pPr>
            <w:r>
              <w:rPr>
                <w:rFonts w:ascii="仿宋_GB2312" w:hAnsi="仿宋_GB2312" w:eastAsia="仿宋_GB2312" w:cs="仿宋_GB2312"/>
              </w:rPr>
              <w:t>序号</w:t>
            </w:r>
          </w:p>
        </w:tc>
        <w:tc>
          <w:tcPr>
            <w:tcW w:w="2492" w:type="dxa"/>
          </w:tcPr>
          <w:p w14:paraId="524AF9E5">
            <w:pPr>
              <w:pStyle w:val="4"/>
              <w:jc w:val="center"/>
            </w:pPr>
            <w:r>
              <w:rPr>
                <w:rFonts w:ascii="仿宋_GB2312" w:hAnsi="仿宋_GB2312" w:eastAsia="仿宋_GB2312" w:cs="仿宋_GB2312"/>
              </w:rPr>
              <w:t>采购品目名称</w:t>
            </w:r>
          </w:p>
        </w:tc>
        <w:tc>
          <w:tcPr>
            <w:tcW w:w="2492" w:type="dxa"/>
          </w:tcPr>
          <w:p w14:paraId="1B1C57BC">
            <w:pPr>
              <w:pStyle w:val="4"/>
              <w:jc w:val="center"/>
            </w:pPr>
            <w:r>
              <w:rPr>
                <w:rFonts w:ascii="仿宋_GB2312" w:hAnsi="仿宋_GB2312" w:eastAsia="仿宋_GB2312" w:cs="仿宋_GB2312"/>
              </w:rPr>
              <w:t>标的名称</w:t>
            </w:r>
          </w:p>
        </w:tc>
        <w:tc>
          <w:tcPr>
            <w:tcW w:w="2492" w:type="dxa"/>
          </w:tcPr>
          <w:p w14:paraId="6A664F68">
            <w:pPr>
              <w:pStyle w:val="4"/>
              <w:jc w:val="center"/>
            </w:pPr>
            <w:r>
              <w:rPr>
                <w:rFonts w:ascii="仿宋_GB2312" w:hAnsi="仿宋_GB2312" w:eastAsia="仿宋_GB2312" w:cs="仿宋_GB2312"/>
              </w:rPr>
              <w:t>产品名称</w:t>
            </w:r>
          </w:p>
        </w:tc>
      </w:tr>
      <w:tr w14:paraId="700075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6E40945">
            <w:pPr>
              <w:pStyle w:val="4"/>
              <w:jc w:val="center"/>
            </w:pPr>
            <w:r>
              <w:rPr>
                <w:rFonts w:ascii="仿宋_GB2312" w:hAnsi="仿宋_GB2312" w:eastAsia="仿宋_GB2312" w:cs="仿宋_GB2312"/>
              </w:rPr>
              <w:t>不涉及</w:t>
            </w:r>
          </w:p>
        </w:tc>
      </w:tr>
    </w:tbl>
    <w:p w14:paraId="248F436E">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02FA64C4">
      <w:pPr>
        <w:pStyle w:val="4"/>
        <w:jc w:val="left"/>
      </w:pPr>
      <w:r>
        <w:rPr>
          <w:rFonts w:ascii="仿宋_GB2312" w:hAnsi="仿宋_GB2312" w:eastAsia="仿宋_GB2312" w:cs="仿宋_GB2312"/>
          <w:b/>
        </w:rPr>
        <w:t>本项目涉及优先采购节能产品：</w:t>
      </w:r>
    </w:p>
    <w:p w14:paraId="35A6BA2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1DF9E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65E703">
            <w:pPr>
              <w:pStyle w:val="4"/>
              <w:jc w:val="center"/>
            </w:pPr>
            <w:r>
              <w:rPr>
                <w:rFonts w:ascii="仿宋_GB2312" w:hAnsi="仿宋_GB2312" w:eastAsia="仿宋_GB2312" w:cs="仿宋_GB2312"/>
              </w:rPr>
              <w:t>序号</w:t>
            </w:r>
          </w:p>
        </w:tc>
        <w:tc>
          <w:tcPr>
            <w:tcW w:w="2492" w:type="dxa"/>
          </w:tcPr>
          <w:p w14:paraId="61933E68">
            <w:pPr>
              <w:pStyle w:val="4"/>
              <w:jc w:val="center"/>
            </w:pPr>
            <w:r>
              <w:rPr>
                <w:rFonts w:ascii="仿宋_GB2312" w:hAnsi="仿宋_GB2312" w:eastAsia="仿宋_GB2312" w:cs="仿宋_GB2312"/>
              </w:rPr>
              <w:t>采购品目名称</w:t>
            </w:r>
          </w:p>
        </w:tc>
        <w:tc>
          <w:tcPr>
            <w:tcW w:w="2492" w:type="dxa"/>
          </w:tcPr>
          <w:p w14:paraId="5462326B">
            <w:pPr>
              <w:pStyle w:val="4"/>
              <w:jc w:val="center"/>
            </w:pPr>
            <w:r>
              <w:rPr>
                <w:rFonts w:ascii="仿宋_GB2312" w:hAnsi="仿宋_GB2312" w:eastAsia="仿宋_GB2312" w:cs="仿宋_GB2312"/>
              </w:rPr>
              <w:t>标的名称</w:t>
            </w:r>
          </w:p>
        </w:tc>
        <w:tc>
          <w:tcPr>
            <w:tcW w:w="2492" w:type="dxa"/>
          </w:tcPr>
          <w:p w14:paraId="0A3FBA0E">
            <w:pPr>
              <w:pStyle w:val="4"/>
              <w:jc w:val="center"/>
            </w:pPr>
            <w:r>
              <w:rPr>
                <w:rFonts w:ascii="仿宋_GB2312" w:hAnsi="仿宋_GB2312" w:eastAsia="仿宋_GB2312" w:cs="仿宋_GB2312"/>
              </w:rPr>
              <w:t>产品名称</w:t>
            </w:r>
          </w:p>
        </w:tc>
      </w:tr>
      <w:tr w14:paraId="0CC22F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ED33EA">
            <w:pPr>
              <w:pStyle w:val="4"/>
              <w:jc w:val="center"/>
            </w:pPr>
            <w:r>
              <w:rPr>
                <w:rFonts w:ascii="仿宋_GB2312" w:hAnsi="仿宋_GB2312" w:eastAsia="仿宋_GB2312" w:cs="仿宋_GB2312"/>
              </w:rPr>
              <w:t>不涉及</w:t>
            </w:r>
          </w:p>
        </w:tc>
      </w:tr>
    </w:tbl>
    <w:p w14:paraId="37C0FC98">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2D3D2536">
      <w:pPr>
        <w:pStyle w:val="4"/>
        <w:jc w:val="left"/>
        <w:outlineLvl w:val="3"/>
      </w:pPr>
      <w:r>
        <w:rPr>
          <w:rFonts w:ascii="仿宋_GB2312" w:hAnsi="仿宋_GB2312" w:eastAsia="仿宋_GB2312" w:cs="仿宋_GB2312"/>
          <w:b/>
          <w:sz w:val="24"/>
        </w:rPr>
        <w:t>本项目涉及优先采购环境标志产品：</w:t>
      </w:r>
    </w:p>
    <w:p w14:paraId="79B460F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31819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35094A">
            <w:pPr>
              <w:pStyle w:val="4"/>
              <w:jc w:val="center"/>
            </w:pPr>
            <w:r>
              <w:rPr>
                <w:rFonts w:ascii="仿宋_GB2312" w:hAnsi="仿宋_GB2312" w:eastAsia="仿宋_GB2312" w:cs="仿宋_GB2312"/>
              </w:rPr>
              <w:t>序号</w:t>
            </w:r>
          </w:p>
        </w:tc>
        <w:tc>
          <w:tcPr>
            <w:tcW w:w="2492" w:type="dxa"/>
          </w:tcPr>
          <w:p w14:paraId="444EAF4D">
            <w:pPr>
              <w:pStyle w:val="4"/>
              <w:jc w:val="center"/>
            </w:pPr>
            <w:r>
              <w:rPr>
                <w:rFonts w:ascii="仿宋_GB2312" w:hAnsi="仿宋_GB2312" w:eastAsia="仿宋_GB2312" w:cs="仿宋_GB2312"/>
              </w:rPr>
              <w:t>采购品目名称</w:t>
            </w:r>
          </w:p>
        </w:tc>
        <w:tc>
          <w:tcPr>
            <w:tcW w:w="2492" w:type="dxa"/>
          </w:tcPr>
          <w:p w14:paraId="1AF1F918">
            <w:pPr>
              <w:pStyle w:val="4"/>
              <w:jc w:val="center"/>
            </w:pPr>
            <w:r>
              <w:rPr>
                <w:rFonts w:ascii="仿宋_GB2312" w:hAnsi="仿宋_GB2312" w:eastAsia="仿宋_GB2312" w:cs="仿宋_GB2312"/>
              </w:rPr>
              <w:t>标的名称</w:t>
            </w:r>
          </w:p>
        </w:tc>
        <w:tc>
          <w:tcPr>
            <w:tcW w:w="2492" w:type="dxa"/>
          </w:tcPr>
          <w:p w14:paraId="0313D2FE">
            <w:pPr>
              <w:pStyle w:val="4"/>
              <w:jc w:val="center"/>
            </w:pPr>
            <w:r>
              <w:rPr>
                <w:rFonts w:ascii="仿宋_GB2312" w:hAnsi="仿宋_GB2312" w:eastAsia="仿宋_GB2312" w:cs="仿宋_GB2312"/>
              </w:rPr>
              <w:t>产品名称</w:t>
            </w:r>
          </w:p>
        </w:tc>
      </w:tr>
      <w:tr w14:paraId="4EFCCE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BF520D2">
            <w:pPr>
              <w:pStyle w:val="4"/>
              <w:jc w:val="center"/>
            </w:pPr>
            <w:r>
              <w:rPr>
                <w:rFonts w:ascii="仿宋_GB2312" w:hAnsi="仿宋_GB2312" w:eastAsia="仿宋_GB2312" w:cs="仿宋_GB2312"/>
              </w:rPr>
              <w:t>不涉及</w:t>
            </w:r>
          </w:p>
        </w:tc>
      </w:tr>
    </w:tbl>
    <w:p w14:paraId="5EC71A12">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165B9D9">
      <w:pPr>
        <w:pStyle w:val="4"/>
        <w:jc w:val="left"/>
        <w:outlineLvl w:val="2"/>
      </w:pPr>
      <w:r>
        <w:rPr>
          <w:rFonts w:ascii="仿宋_GB2312" w:hAnsi="仿宋_GB2312" w:eastAsia="仿宋_GB2312" w:cs="仿宋_GB2312"/>
          <w:b/>
          <w:sz w:val="28"/>
        </w:rPr>
        <w:t>2.技术要求</w:t>
      </w:r>
    </w:p>
    <w:p w14:paraId="4FE805ED">
      <w:pPr>
        <w:pStyle w:val="4"/>
        <w:jc w:val="left"/>
      </w:pPr>
      <w:r>
        <w:rPr>
          <w:rFonts w:ascii="仿宋_GB2312" w:hAnsi="仿宋_GB2312" w:eastAsia="仿宋_GB2312" w:cs="仿宋_GB2312"/>
        </w:rPr>
        <w:t>采购包1：</w:t>
      </w:r>
    </w:p>
    <w:p w14:paraId="150641A8">
      <w:pPr>
        <w:pStyle w:val="4"/>
        <w:jc w:val="left"/>
      </w:pPr>
      <w:r>
        <w:rPr>
          <w:rFonts w:ascii="仿宋_GB2312" w:hAnsi="仿宋_GB2312" w:eastAsia="仿宋_GB2312" w:cs="仿宋_GB2312"/>
        </w:rPr>
        <w:t>标的名称：内江市东兴区崇元社区“智慧科技型”城乡社区治理优化提升项目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4B671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F87E2B">
            <w:pPr>
              <w:pStyle w:val="4"/>
              <w:jc w:val="center"/>
            </w:pPr>
            <w:r>
              <w:rPr>
                <w:rFonts w:ascii="仿宋_GB2312" w:hAnsi="仿宋_GB2312" w:eastAsia="仿宋_GB2312" w:cs="仿宋_GB2312"/>
              </w:rPr>
              <w:t>序号</w:t>
            </w:r>
          </w:p>
        </w:tc>
        <w:tc>
          <w:tcPr>
            <w:tcW w:w="581" w:type="dxa"/>
          </w:tcPr>
          <w:p w14:paraId="3EFF0404">
            <w:pPr>
              <w:pStyle w:val="4"/>
              <w:jc w:val="center"/>
            </w:pPr>
            <w:r>
              <w:rPr>
                <w:rFonts w:ascii="仿宋_GB2312" w:hAnsi="仿宋_GB2312" w:eastAsia="仿宋_GB2312" w:cs="仿宋_GB2312"/>
              </w:rPr>
              <w:t>符号标识</w:t>
            </w:r>
          </w:p>
        </w:tc>
        <w:tc>
          <w:tcPr>
            <w:tcW w:w="1495" w:type="dxa"/>
          </w:tcPr>
          <w:p w14:paraId="6564AA9A">
            <w:pPr>
              <w:pStyle w:val="4"/>
              <w:jc w:val="center"/>
            </w:pPr>
            <w:r>
              <w:rPr>
                <w:rFonts w:ascii="仿宋_GB2312" w:hAnsi="仿宋_GB2312" w:eastAsia="仿宋_GB2312" w:cs="仿宋_GB2312"/>
              </w:rPr>
              <w:t>技术要求名称</w:t>
            </w:r>
          </w:p>
        </w:tc>
        <w:tc>
          <w:tcPr>
            <w:tcW w:w="5814" w:type="dxa"/>
          </w:tcPr>
          <w:p w14:paraId="1CF28DEB">
            <w:pPr>
              <w:pStyle w:val="4"/>
              <w:jc w:val="center"/>
            </w:pPr>
            <w:r>
              <w:rPr>
                <w:rFonts w:ascii="仿宋_GB2312" w:hAnsi="仿宋_GB2312" w:eastAsia="仿宋_GB2312" w:cs="仿宋_GB2312"/>
              </w:rPr>
              <w:t>技术参数与性能指标</w:t>
            </w:r>
          </w:p>
        </w:tc>
      </w:tr>
      <w:tr w14:paraId="5D97AF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2B3655">
            <w:pPr>
              <w:pStyle w:val="4"/>
              <w:jc w:val="center"/>
            </w:pPr>
            <w:r>
              <w:rPr>
                <w:rFonts w:ascii="仿宋_GB2312" w:hAnsi="仿宋_GB2312" w:eastAsia="仿宋_GB2312" w:cs="仿宋_GB2312"/>
              </w:rPr>
              <w:t>1</w:t>
            </w:r>
          </w:p>
        </w:tc>
        <w:tc>
          <w:tcPr>
            <w:tcW w:w="581" w:type="dxa"/>
          </w:tcPr>
          <w:p w14:paraId="6DF12BA8">
            <w:pPr>
              <w:pStyle w:val="4"/>
              <w:jc w:val="center"/>
            </w:pPr>
            <w:r>
              <w:rPr>
                <w:rFonts w:ascii="仿宋_GB2312" w:hAnsi="仿宋_GB2312" w:eastAsia="仿宋_GB2312" w:cs="仿宋_GB2312"/>
              </w:rPr>
              <w:t>★</w:t>
            </w:r>
          </w:p>
        </w:tc>
        <w:tc>
          <w:tcPr>
            <w:tcW w:w="1495" w:type="dxa"/>
          </w:tcPr>
          <w:p w14:paraId="4D36B8CF">
            <w:pPr>
              <w:pStyle w:val="4"/>
              <w:jc w:val="left"/>
            </w:pPr>
            <w:r>
              <w:rPr>
                <w:rFonts w:ascii="仿宋_GB2312" w:hAnsi="仿宋_GB2312" w:eastAsia="仿宋_GB2312" w:cs="仿宋_GB2312"/>
              </w:rPr>
              <w:t>技术要求</w:t>
            </w:r>
          </w:p>
        </w:tc>
        <w:tc>
          <w:tcPr>
            <w:tcW w:w="5814" w:type="dxa"/>
          </w:tcPr>
          <w:p w14:paraId="23723D1B">
            <w:pPr>
              <w:pStyle w:val="4"/>
              <w:jc w:val="left"/>
            </w:pPr>
            <w:r>
              <w:rPr>
                <w:rFonts w:ascii="仿宋_GB2312" w:hAnsi="仿宋_GB2312" w:eastAsia="仿宋_GB2312" w:cs="仿宋_GB2312"/>
                <w:sz w:val="20"/>
              </w:rPr>
              <w:t>一、服务内容</w:t>
            </w:r>
          </w:p>
          <w:p w14:paraId="7D1812BB">
            <w:pPr>
              <w:pStyle w:val="4"/>
              <w:ind w:firstLine="400"/>
              <w:jc w:val="left"/>
            </w:pPr>
            <w:r>
              <w:rPr>
                <w:rFonts w:ascii="仿宋_GB2312" w:hAnsi="仿宋_GB2312" w:eastAsia="仿宋_GB2312" w:cs="仿宋_GB2312"/>
                <w:sz w:val="20"/>
              </w:rPr>
              <w:t>西林街道崇元社区辖区内，老龄化程度突出（60岁以上占比25.8%），社区未成年人约320人，其中含困境与留守儿童48人，为深入贯彻落实《中共中央国务院关于加强基层治理体系和治理能力现代化建设的意见》《内江市东兴区城乡社区治理优化提升行动实施办法》等文件精神，紧扣省级智慧科技型社区建设“智能化、精准化、便捷化、协同化”核心要求，以党建为引领，以社区合伙人为纽带，以智慧科技为支撑，以“一老一小”服务为重点，依托社区现有阵地，聚焦智慧养老、便民服务、共建共治，全力打造智慧科技型特色社区，构建“党建引领、科技赋能、合伙共建、服务惠民”的基层治理新格局，为内江市东兴区智慧社区建设提供可复制、可推广的实践样本。</w:t>
            </w:r>
          </w:p>
          <w:p w14:paraId="2AA19B97">
            <w:pPr>
              <w:pStyle w:val="4"/>
              <w:jc w:val="left"/>
            </w:pPr>
            <w:r>
              <w:rPr>
                <w:rFonts w:ascii="仿宋_GB2312" w:hAnsi="仿宋_GB2312" w:eastAsia="仿宋_GB2312" w:cs="仿宋_GB2312"/>
                <w:sz w:val="20"/>
              </w:rPr>
              <w:t>二、服务要求</w:t>
            </w:r>
          </w:p>
          <w:p w14:paraId="7292B47B">
            <w:pPr>
              <w:pStyle w:val="4"/>
              <w:ind w:firstLine="400"/>
              <w:jc w:val="both"/>
            </w:pPr>
            <w:r>
              <w:rPr>
                <w:rFonts w:ascii="仿宋_GB2312" w:hAnsi="仿宋_GB2312" w:eastAsia="仿宋_GB2312" w:cs="仿宋_GB2312"/>
                <w:sz w:val="20"/>
              </w:rPr>
              <w:t>（一）服务内容要求</w:t>
            </w:r>
          </w:p>
          <w:p w14:paraId="631AFC10">
            <w:pPr>
              <w:pStyle w:val="4"/>
              <w:ind w:firstLine="400"/>
              <w:jc w:val="both"/>
            </w:pPr>
            <w:r>
              <w:rPr>
                <w:rFonts w:ascii="仿宋_GB2312" w:hAnsi="仿宋_GB2312" w:eastAsia="仿宋_GB2312" w:cs="仿宋_GB2312"/>
                <w:sz w:val="20"/>
              </w:rPr>
              <w:t>1．调研筑基：精准摸排需求，夯实工作基础</w:t>
            </w:r>
          </w:p>
          <w:p w14:paraId="586030CA">
            <w:pPr>
              <w:pStyle w:val="4"/>
              <w:ind w:firstLine="400"/>
              <w:jc w:val="both"/>
            </w:pPr>
            <w:r>
              <w:rPr>
                <w:rFonts w:ascii="仿宋_GB2312" w:hAnsi="仿宋_GB2312" w:eastAsia="仿宋_GB2312" w:cs="仿宋_GB2312"/>
                <w:sz w:val="20"/>
              </w:rPr>
              <w:t>（1）开展居民全覆盖需求调研，调研文件不少于100份，聚焦“一老一小”等群体，梳理治理痛点，形成详实报告并建立动态机制，为服务升级提供精准支撑。</w:t>
            </w:r>
          </w:p>
          <w:p w14:paraId="65F98104">
            <w:pPr>
              <w:pStyle w:val="4"/>
              <w:ind w:firstLine="400"/>
              <w:jc w:val="both"/>
            </w:pPr>
            <w:r>
              <w:rPr>
                <w:rFonts w:ascii="仿宋_GB2312" w:hAnsi="仿宋_GB2312" w:eastAsia="仿宋_GB2312" w:cs="仿宋_GB2312"/>
                <w:sz w:val="20"/>
              </w:rPr>
              <w:t>（2）建立“资源清单、需求清单、服务清单”三项清单联动机制，实现资源与需求的精准匹配，激活多元主体共建内生动力。</w:t>
            </w:r>
          </w:p>
          <w:p w14:paraId="6BA004D5">
            <w:pPr>
              <w:pStyle w:val="4"/>
              <w:ind w:firstLine="400"/>
              <w:jc w:val="both"/>
            </w:pPr>
            <w:r>
              <w:rPr>
                <w:rFonts w:ascii="仿宋_GB2312" w:hAnsi="仿宋_GB2312" w:eastAsia="仿宋_GB2312" w:cs="仿宋_GB2312"/>
                <w:sz w:val="20"/>
              </w:rPr>
              <w:t>2．队伍建设：组建多元队伍，提升服务能力</w:t>
            </w:r>
          </w:p>
          <w:p w14:paraId="426DBCCF">
            <w:pPr>
              <w:pStyle w:val="4"/>
              <w:ind w:firstLine="400"/>
              <w:jc w:val="both"/>
            </w:pPr>
            <w:r>
              <w:rPr>
                <w:rFonts w:ascii="仿宋_GB2312" w:hAnsi="仿宋_GB2312" w:eastAsia="仿宋_GB2312" w:cs="仿宋_GB2312"/>
                <w:sz w:val="20"/>
              </w:rPr>
              <w:t>（1）组建多元服务队伍，挖掘社区能人、达人力量，组建社区社会组织不少于3支（崇元社区文艺队、养老帮扶志愿服务队、护苗成长志愿服务队），建立社区社会组织规范化管理机制。</w:t>
            </w:r>
          </w:p>
          <w:p w14:paraId="655D5186">
            <w:pPr>
              <w:pStyle w:val="4"/>
              <w:ind w:firstLine="400"/>
              <w:jc w:val="both"/>
            </w:pPr>
            <w:r>
              <w:rPr>
                <w:rFonts w:ascii="仿宋_GB2312" w:hAnsi="仿宋_GB2312" w:eastAsia="仿宋_GB2312" w:cs="仿宋_GB2312"/>
                <w:sz w:val="20"/>
              </w:rPr>
              <w:t>（2）开展社区合伙人招募及推广活动1场，招募不少于三家合伙人资源，拓宽招募渠道，面向辖区企业、商户、社会组织、专业人士等群体，广泛招募社区合伙人，明确合伙人权利义务、合作模式及扶持政策，搭建“社区+合伙人”协同共治平台，凝聚多方力量共建美好社区。</w:t>
            </w:r>
          </w:p>
          <w:p w14:paraId="3D7C0FC9">
            <w:pPr>
              <w:pStyle w:val="4"/>
              <w:ind w:firstLine="400"/>
              <w:jc w:val="both"/>
            </w:pPr>
            <w:r>
              <w:rPr>
                <w:rFonts w:ascii="仿宋_GB2312" w:hAnsi="仿宋_GB2312" w:eastAsia="仿宋_GB2312" w:cs="仿宋_GB2312"/>
                <w:sz w:val="20"/>
              </w:rPr>
              <w:t>（3）举办社区合伙人发布会1场，搭建合伙人展示、交流、对接的桥梁，组织已招募的社区合伙人集中亮相，发布合作意向、服务资源及特色项目，推动合伙人与社区、社区社会组织精准对接，拓宽合作场景，提升合伙人参与社区共建的积极性和实效性，同步做好发布汇后续跟踪对接，确保合作落地见效。</w:t>
            </w:r>
          </w:p>
          <w:p w14:paraId="028049FC">
            <w:pPr>
              <w:pStyle w:val="4"/>
              <w:ind w:firstLine="400"/>
              <w:jc w:val="both"/>
            </w:pPr>
            <w:r>
              <w:rPr>
                <w:rFonts w:ascii="仿宋_GB2312" w:hAnsi="仿宋_GB2312" w:eastAsia="仿宋_GB2312" w:cs="仿宋_GB2312"/>
                <w:sz w:val="20"/>
              </w:rPr>
              <w:t>（4）开展社区合伙人及社区社会组织服务培训不少于2场，围绕一老一小等重点群体，开展培训提升服务队伍专业素养能力，提升服务队伍专业化</w:t>
            </w:r>
            <w:r>
              <w:rPr>
                <w:rFonts w:ascii="仿宋_GB2312" w:hAnsi="仿宋_GB2312" w:eastAsia="仿宋_GB2312" w:cs="仿宋_GB2312"/>
                <w:color w:val="0000FF"/>
                <w:sz w:val="20"/>
              </w:rPr>
              <w:t>。</w:t>
            </w:r>
          </w:p>
          <w:p w14:paraId="33AE9C94">
            <w:pPr>
              <w:pStyle w:val="4"/>
              <w:ind w:firstLine="400"/>
              <w:jc w:val="both"/>
            </w:pPr>
            <w:r>
              <w:rPr>
                <w:rFonts w:ascii="仿宋_GB2312" w:hAnsi="仿宋_GB2312" w:eastAsia="仿宋_GB2312" w:cs="仿宋_GB2312"/>
                <w:sz w:val="20"/>
              </w:rPr>
              <w:t>（5）开展公益创投活动，打包2个公益项目，以公益创投激活社区社会组织参与社区经营和服务的内生动力。</w:t>
            </w:r>
          </w:p>
          <w:p w14:paraId="63CEE4C6">
            <w:pPr>
              <w:pStyle w:val="4"/>
              <w:ind w:firstLine="400"/>
              <w:jc w:val="both"/>
            </w:pPr>
            <w:r>
              <w:rPr>
                <w:rFonts w:ascii="仿宋_GB2312" w:hAnsi="仿宋_GB2312" w:eastAsia="仿宋_GB2312" w:cs="仿宋_GB2312"/>
                <w:sz w:val="20"/>
              </w:rPr>
              <w:t>3．机制搭建：健全联动机制，激活内生动力</w:t>
            </w:r>
          </w:p>
          <w:p w14:paraId="5113C2D2">
            <w:pPr>
              <w:pStyle w:val="4"/>
              <w:ind w:firstLine="400"/>
              <w:jc w:val="both"/>
            </w:pPr>
            <w:r>
              <w:rPr>
                <w:rFonts w:ascii="仿宋_GB2312" w:hAnsi="仿宋_GB2312" w:eastAsia="仿宋_GB2312" w:cs="仿宋_GB2312"/>
                <w:sz w:val="20"/>
              </w:rPr>
              <w:t>（1）建立健全社区合伙人机制，搭建标准化智慧合伙人对接平台，明确合伙责任、权益及准入退出机制。</w:t>
            </w:r>
          </w:p>
          <w:p w14:paraId="360FAA09">
            <w:pPr>
              <w:pStyle w:val="4"/>
              <w:ind w:firstLine="400"/>
              <w:jc w:val="both"/>
            </w:pPr>
            <w:r>
              <w:rPr>
                <w:rFonts w:ascii="仿宋_GB2312" w:hAnsi="仿宋_GB2312" w:eastAsia="仿宋_GB2312" w:cs="仿宋_GB2312"/>
                <w:sz w:val="20"/>
              </w:rPr>
              <w:t>（2）建立“志愿时光储蓄”机制，明确时长登记兑换规则，激励居民参与志愿服务。</w:t>
            </w:r>
          </w:p>
          <w:p w14:paraId="65CD853C">
            <w:pPr>
              <w:pStyle w:val="4"/>
              <w:ind w:firstLine="400"/>
              <w:jc w:val="both"/>
            </w:pPr>
            <w:r>
              <w:rPr>
                <w:rFonts w:ascii="仿宋_GB2312" w:hAnsi="仿宋_GB2312" w:eastAsia="仿宋_GB2312" w:cs="仿宋_GB2312"/>
                <w:sz w:val="20"/>
              </w:rPr>
              <w:t>4．精准服务：聚焦重点群体，提升服务质效</w:t>
            </w:r>
          </w:p>
          <w:p w14:paraId="375B2D39">
            <w:pPr>
              <w:pStyle w:val="4"/>
              <w:ind w:firstLine="400"/>
              <w:jc w:val="both"/>
            </w:pPr>
            <w:r>
              <w:rPr>
                <w:rFonts w:ascii="仿宋_GB2312" w:hAnsi="仿宋_GB2312" w:eastAsia="仿宋_GB2312" w:cs="仿宋_GB2312"/>
                <w:sz w:val="20"/>
              </w:rPr>
              <w:t>（1）以凝聚多元力量、精准对接需求为目标，开展多元共建活动不少于3场，覆盖合伙人、新就业群体，实现服务落地。</w:t>
            </w:r>
          </w:p>
          <w:p w14:paraId="3BDE485F">
            <w:pPr>
              <w:pStyle w:val="4"/>
              <w:ind w:firstLine="400"/>
              <w:jc w:val="both"/>
            </w:pPr>
            <w:r>
              <w:rPr>
                <w:rFonts w:ascii="仿宋_GB2312" w:hAnsi="仿宋_GB2312" w:eastAsia="仿宋_GB2312" w:cs="仿宋_GB2312"/>
                <w:sz w:val="20"/>
              </w:rPr>
              <w:t>（2）联动社区社会组织、合伙人，开展智慧便民服务不少于2场，涵盖家电维修、物资配送对接等线下服务，打通服务群众“最后一公里”，切实解决居民急难愁盼问题。</w:t>
            </w:r>
          </w:p>
          <w:p w14:paraId="5FB07B88">
            <w:pPr>
              <w:pStyle w:val="4"/>
              <w:ind w:firstLine="400"/>
              <w:jc w:val="both"/>
            </w:pPr>
            <w:r>
              <w:rPr>
                <w:rFonts w:ascii="仿宋_GB2312" w:hAnsi="仿宋_GB2312" w:eastAsia="仿宋_GB2312" w:cs="仿宋_GB2312"/>
                <w:sz w:val="20"/>
              </w:rPr>
              <w:t>（3）联动社区志愿者、合伙人及社会组织，围绕空巢老人、困境儿童等特殊群体，开展亲情陪伴、儿童关爱等志愿服务不少于3场，提供精准帮扶，传递社区温暖。</w:t>
            </w:r>
          </w:p>
          <w:p w14:paraId="7BEFE94E">
            <w:pPr>
              <w:pStyle w:val="4"/>
              <w:ind w:firstLine="400"/>
              <w:jc w:val="both"/>
            </w:pPr>
            <w:r>
              <w:rPr>
                <w:rFonts w:ascii="仿宋_GB2312" w:hAnsi="仿宋_GB2312" w:eastAsia="仿宋_GB2312" w:cs="仿宋_GB2312"/>
                <w:sz w:val="20"/>
              </w:rPr>
              <w:t>（4）开展综合为老服务活动不少于4场，联动医疗类合伙人、医护人员、辖区商家等力量，开展义诊、义剪等服务，破解助医、生活照料痛点。</w:t>
            </w:r>
          </w:p>
          <w:p w14:paraId="60B148ED">
            <w:pPr>
              <w:pStyle w:val="4"/>
              <w:ind w:firstLine="400"/>
              <w:jc w:val="both"/>
            </w:pPr>
            <w:r>
              <w:rPr>
                <w:rFonts w:ascii="仿宋_GB2312" w:hAnsi="仿宋_GB2312" w:eastAsia="仿宋_GB2312" w:cs="仿宋_GB2312"/>
                <w:sz w:val="20"/>
              </w:rPr>
              <w:t>（5）开展银龄赋能精神文化提升活动不少于2场，融合数字化教学、兴趣社团、邻里节等内容，助老人跨越数字鸿沟，丰富精神生活、增进邻里情谊。</w:t>
            </w:r>
          </w:p>
          <w:p w14:paraId="3E813BA7">
            <w:pPr>
              <w:pStyle w:val="4"/>
              <w:ind w:firstLine="400"/>
              <w:jc w:val="both"/>
            </w:pPr>
            <w:r>
              <w:rPr>
                <w:rFonts w:ascii="仿宋_GB2312" w:hAnsi="仿宋_GB2312" w:eastAsia="仿宋_GB2312" w:cs="仿宋_GB2312"/>
                <w:sz w:val="20"/>
              </w:rPr>
              <w:t>（6）开展儿童相关服务活动共4场，包含科学育儿指导课程、心理健康关爱、“小小网格员”社会实践等活动，破解双职工家庭带娃难题、帮扶困境儿童，培养儿童公民意识与社会责任感。</w:t>
            </w:r>
          </w:p>
          <w:p w14:paraId="4EFFFCB4">
            <w:pPr>
              <w:pStyle w:val="4"/>
              <w:ind w:firstLine="400"/>
              <w:jc w:val="both"/>
            </w:pPr>
            <w:r>
              <w:rPr>
                <w:rFonts w:ascii="仿宋_GB2312" w:hAnsi="仿宋_GB2312" w:eastAsia="仿宋_GB2312" w:cs="仿宋_GB2312"/>
                <w:sz w:val="20"/>
              </w:rPr>
              <w:t>（7）聚焦儿童成长需求，开展相关服务活动不少于3场，其中儿童服务活动、读书分享会及亲子共读营等活动，重点关注困境儿童、留守儿童，同时培养居民阅读习惯、促进亲子关系。</w:t>
            </w:r>
          </w:p>
          <w:p w14:paraId="32F082C5">
            <w:pPr>
              <w:pStyle w:val="4"/>
              <w:ind w:firstLine="400"/>
              <w:jc w:val="both"/>
            </w:pPr>
            <w:r>
              <w:rPr>
                <w:rFonts w:ascii="仿宋_GB2312" w:hAnsi="仿宋_GB2312" w:eastAsia="仿宋_GB2312" w:cs="仿宋_GB2312"/>
                <w:sz w:val="20"/>
              </w:rPr>
              <w:t>5．智慧赋能：搭建智慧平台，激活服务效能</w:t>
            </w:r>
          </w:p>
          <w:p w14:paraId="046A0E92">
            <w:pPr>
              <w:pStyle w:val="4"/>
              <w:ind w:firstLine="400"/>
              <w:jc w:val="both"/>
            </w:pPr>
            <w:r>
              <w:rPr>
                <w:rFonts w:ascii="仿宋_GB2312" w:hAnsi="仿宋_GB2312" w:eastAsia="仿宋_GB2312" w:cs="仿宋_GB2312"/>
                <w:sz w:val="20"/>
              </w:rPr>
              <w:t>(1)随手拍功能：结合手机的拍照功能，居民随时、随地在发现社区存在的问题后，通过拍摄照片的形式向社区工作人员进行反馈。提供定位信息供居民用户选择，数据上报时根据定位所在地推送给对应负责的网格员，网格员如不能处理该问题再向上级汇报。</w:t>
            </w:r>
          </w:p>
          <w:p w14:paraId="18D4FFC7">
            <w:pPr>
              <w:pStyle w:val="4"/>
              <w:ind w:firstLine="400"/>
              <w:jc w:val="both"/>
            </w:pPr>
            <w:r>
              <w:rPr>
                <w:rFonts w:ascii="仿宋_GB2312" w:hAnsi="仿宋_GB2312" w:eastAsia="仿宋_GB2312" w:cs="仿宋_GB2312"/>
                <w:sz w:val="20"/>
              </w:rPr>
              <w:t>(2)社区活动：社区发布活动，居民参与，实现政民互动，促进社区与居民建立友好的关系。</w:t>
            </w:r>
          </w:p>
          <w:p w14:paraId="3B007D12">
            <w:pPr>
              <w:pStyle w:val="4"/>
              <w:ind w:firstLine="400"/>
              <w:jc w:val="both"/>
            </w:pPr>
            <w:r>
              <w:rPr>
                <w:rFonts w:ascii="仿宋_GB2312" w:hAnsi="仿宋_GB2312" w:eastAsia="仿宋_GB2312" w:cs="仿宋_GB2312"/>
                <w:sz w:val="20"/>
              </w:rPr>
              <w:t>(3)社区资讯：（资讯内容可以进行分类）展示社区动态，实现动态发布展示，让居民掌握社区实时动态信息。</w:t>
            </w:r>
          </w:p>
          <w:p w14:paraId="5CCDC914">
            <w:pPr>
              <w:pStyle w:val="4"/>
              <w:ind w:firstLine="400"/>
              <w:jc w:val="both"/>
            </w:pPr>
            <w:r>
              <w:rPr>
                <w:rFonts w:ascii="仿宋_GB2312" w:hAnsi="仿宋_GB2312" w:eastAsia="仿宋_GB2312" w:cs="仿宋_GB2312"/>
                <w:sz w:val="20"/>
              </w:rPr>
              <w:t>(4)党建资讯：展示近期党务动态、会议精神、工作汇报、思想动态、政策解读等内容。</w:t>
            </w:r>
          </w:p>
          <w:p w14:paraId="7EBD4D0C">
            <w:pPr>
              <w:pStyle w:val="4"/>
              <w:ind w:firstLine="400"/>
              <w:jc w:val="both"/>
            </w:pPr>
            <w:r>
              <w:rPr>
                <w:rFonts w:ascii="仿宋_GB2312" w:hAnsi="仿宋_GB2312" w:eastAsia="仿宋_GB2312" w:cs="仿宋_GB2312"/>
                <w:sz w:val="20"/>
              </w:rPr>
              <w:t>(5)志愿者团队：展示社区的志愿者团队信息，让居民了解社区的志愿者团队情况，并可报名申请成为志愿者。</w:t>
            </w:r>
          </w:p>
          <w:p w14:paraId="7B3C8CFE">
            <w:pPr>
              <w:pStyle w:val="4"/>
              <w:ind w:firstLine="400"/>
              <w:jc w:val="both"/>
            </w:pPr>
            <w:r>
              <w:rPr>
                <w:rFonts w:ascii="仿宋_GB2312" w:hAnsi="仿宋_GB2312" w:eastAsia="仿宋_GB2312" w:cs="仿宋_GB2312"/>
                <w:sz w:val="20"/>
              </w:rPr>
              <w:t>(6)办事指南：展示社区的办事指南，方便引导居民办理业务。</w:t>
            </w:r>
          </w:p>
          <w:p w14:paraId="75415421">
            <w:pPr>
              <w:pStyle w:val="4"/>
              <w:ind w:firstLine="400"/>
              <w:jc w:val="both"/>
            </w:pPr>
            <w:r>
              <w:rPr>
                <w:rFonts w:ascii="仿宋_GB2312" w:hAnsi="仿宋_GB2312" w:eastAsia="仿宋_GB2312" w:cs="仿宋_GB2312"/>
                <w:sz w:val="20"/>
              </w:rPr>
              <w:t>(7)政策文件：展示社区的政策文件，以便居民了解时政信息。</w:t>
            </w:r>
          </w:p>
          <w:p w14:paraId="3C11A05D">
            <w:pPr>
              <w:pStyle w:val="4"/>
              <w:ind w:firstLine="400"/>
              <w:jc w:val="both"/>
            </w:pPr>
            <w:r>
              <w:rPr>
                <w:rFonts w:ascii="仿宋_GB2312" w:hAnsi="仿宋_GB2312" w:eastAsia="仿宋_GB2312" w:cs="仿宋_GB2312"/>
                <w:sz w:val="20"/>
              </w:rPr>
              <w:t>(8)物业服务：能搜集和展示便民服务相关信息，整合相关便民资源到线上，为居民提供便民服务。</w:t>
            </w:r>
          </w:p>
          <w:p w14:paraId="2537430F">
            <w:pPr>
              <w:pStyle w:val="4"/>
              <w:ind w:firstLine="400"/>
              <w:jc w:val="both"/>
            </w:pPr>
            <w:r>
              <w:rPr>
                <w:rFonts w:ascii="仿宋_GB2312" w:hAnsi="仿宋_GB2312" w:eastAsia="仿宋_GB2312" w:cs="仿宋_GB2312"/>
                <w:sz w:val="20"/>
              </w:rPr>
              <w:t>(9)问卷调查：居民填写社区发布的问卷调查，方便社区搜集整理居民问卷调查。</w:t>
            </w:r>
          </w:p>
          <w:p w14:paraId="11014EA0">
            <w:pPr>
              <w:pStyle w:val="4"/>
              <w:ind w:firstLine="400"/>
              <w:jc w:val="both"/>
            </w:pPr>
            <w:r>
              <w:rPr>
                <w:rFonts w:ascii="仿宋_GB2312" w:hAnsi="仿宋_GB2312" w:eastAsia="仿宋_GB2312" w:cs="仿宋_GB2312"/>
                <w:sz w:val="20"/>
              </w:rPr>
              <w:t>(10)微心愿：居民可提出社区建设的合理化建议和心愿，以实现社区的共同建设。</w:t>
            </w:r>
          </w:p>
          <w:p w14:paraId="5BB8FE52">
            <w:pPr>
              <w:pStyle w:val="4"/>
              <w:ind w:firstLine="400"/>
              <w:jc w:val="both"/>
            </w:pPr>
            <w:r>
              <w:rPr>
                <w:rFonts w:ascii="仿宋_GB2312" w:hAnsi="仿宋_GB2312" w:eastAsia="仿宋_GB2312" w:cs="仿宋_GB2312"/>
                <w:sz w:val="20"/>
              </w:rPr>
              <w:t>(11)议事投票：社区发布的议事投票居民可参与，增加居民互动，保证社区居民的议事讨论权，让社区建设的结果符合民意，减少居民和社区之间的矛盾。</w:t>
            </w:r>
          </w:p>
          <w:p w14:paraId="354B6826">
            <w:pPr>
              <w:pStyle w:val="4"/>
              <w:ind w:firstLine="400"/>
              <w:jc w:val="both"/>
            </w:pPr>
            <w:r>
              <w:rPr>
                <w:rFonts w:ascii="仿宋_GB2312" w:hAnsi="仿宋_GB2312" w:eastAsia="仿宋_GB2312" w:cs="仿宋_GB2312"/>
                <w:sz w:val="20"/>
              </w:rPr>
              <w:t>(12)我的积分：对居民参加社区活动等进行积分管理，引导居民参加社区活动。</w:t>
            </w:r>
          </w:p>
          <w:p w14:paraId="4FEA2C9A">
            <w:pPr>
              <w:pStyle w:val="4"/>
              <w:ind w:firstLine="400"/>
              <w:jc w:val="both"/>
            </w:pPr>
            <w:r>
              <w:rPr>
                <w:rFonts w:ascii="仿宋_GB2312" w:hAnsi="仿宋_GB2312" w:eastAsia="仿宋_GB2312" w:cs="仿宋_GB2312"/>
                <w:sz w:val="20"/>
              </w:rPr>
              <w:t>(13)电子档案：居民可编辑和完善自己的基本信息。</w:t>
            </w:r>
          </w:p>
          <w:p w14:paraId="14761AA5">
            <w:pPr>
              <w:pStyle w:val="4"/>
              <w:ind w:firstLine="400"/>
              <w:jc w:val="both"/>
            </w:pPr>
            <w:r>
              <w:rPr>
                <w:rFonts w:ascii="仿宋_GB2312" w:hAnsi="仿宋_GB2312" w:eastAsia="仿宋_GB2312" w:cs="仿宋_GB2312"/>
                <w:sz w:val="20"/>
              </w:rPr>
              <w:t>(14)用户管理：居民信息管理，可以导入、导出、关联实有房屋。</w:t>
            </w:r>
          </w:p>
          <w:p w14:paraId="1D98E5CD">
            <w:pPr>
              <w:pStyle w:val="4"/>
              <w:ind w:firstLine="400"/>
              <w:jc w:val="both"/>
            </w:pPr>
            <w:r>
              <w:rPr>
                <w:rFonts w:ascii="仿宋_GB2312" w:hAnsi="仿宋_GB2312" w:eastAsia="仿宋_GB2312" w:cs="仿宋_GB2312"/>
                <w:sz w:val="20"/>
              </w:rPr>
              <w:t>(15)党组织管理：对社区党委及党支部信息的管理，通过该栏目党员或群众可查看社区的党委人员组成信息以及党组织的人员组成信息和党费缴纳情况。</w:t>
            </w:r>
          </w:p>
          <w:p w14:paraId="4D5CBF7E">
            <w:pPr>
              <w:pStyle w:val="4"/>
              <w:ind w:firstLine="400"/>
              <w:jc w:val="both"/>
            </w:pPr>
            <w:r>
              <w:rPr>
                <w:rFonts w:ascii="仿宋_GB2312" w:hAnsi="仿宋_GB2312" w:eastAsia="仿宋_GB2312" w:cs="仿宋_GB2312"/>
                <w:sz w:val="20"/>
              </w:rPr>
              <w:t>(16)社区数据可视化系统：根据登录的社区统计社区的基础数据、网格数据、党建数据、治理情况、实有人口、治理动态等。可视化展示党建动态等信息，统计实有人口数据信息、特殊人员和人口、小区分布情况，统计社区治理的实际数据，包括事件随手拍、老人检测数据、社区活动等内容。</w:t>
            </w:r>
          </w:p>
          <w:p w14:paraId="46C07A2A">
            <w:pPr>
              <w:pStyle w:val="4"/>
              <w:ind w:firstLine="400"/>
              <w:jc w:val="both"/>
            </w:pPr>
            <w:r>
              <w:rPr>
                <w:rFonts w:ascii="仿宋_GB2312" w:hAnsi="仿宋_GB2312" w:eastAsia="仿宋_GB2312" w:cs="仿宋_GB2312"/>
                <w:sz w:val="20"/>
              </w:rPr>
              <w:t>（17）验收后智慧平台使用权为采购人所有，平台运维服务期：1年。</w:t>
            </w:r>
          </w:p>
          <w:p w14:paraId="76558B62">
            <w:pPr>
              <w:pStyle w:val="4"/>
              <w:ind w:firstLine="400"/>
              <w:jc w:val="both"/>
            </w:pPr>
            <w:r>
              <w:rPr>
                <w:rFonts w:ascii="仿宋_GB2312" w:hAnsi="仿宋_GB2312" w:eastAsia="仿宋_GB2312" w:cs="仿宋_GB2312"/>
                <w:sz w:val="20"/>
              </w:rPr>
              <w:t>6．阵地升级：完善服务载体，打造智慧阵地</w:t>
            </w:r>
          </w:p>
          <w:p w14:paraId="074B729C">
            <w:pPr>
              <w:pStyle w:val="4"/>
              <w:ind w:firstLine="400"/>
              <w:jc w:val="both"/>
            </w:pPr>
            <w:r>
              <w:rPr>
                <w:rFonts w:ascii="仿宋_GB2312" w:hAnsi="仿宋_GB2312" w:eastAsia="仿宋_GB2312" w:cs="仿宋_GB2312"/>
                <w:sz w:val="20"/>
              </w:rPr>
              <w:t>（1）打造居民解压室，面向儿童与居民开展情绪帮扶，常态开放。通过环境布置营造安全、放松、温馨的氛围，提供音乐治疗、物理放松和提供安全可控的宣泄渠道来舒缓身心、改善紧张与焦虑、愤怒、压抑等负面情绪，通过游戏、艺术创作等儿童易于接受的方式，帮助他们识别、理解和表达自己的情绪，及时纾解负面情绪，从源头预防抑郁问题发生。</w:t>
            </w:r>
          </w:p>
          <w:p w14:paraId="2657815E">
            <w:pPr>
              <w:pStyle w:val="4"/>
              <w:ind w:firstLine="400"/>
              <w:jc w:val="both"/>
            </w:pPr>
            <w:r>
              <w:rPr>
                <w:rFonts w:ascii="仿宋_GB2312" w:hAnsi="仿宋_GB2312" w:eastAsia="仿宋_GB2312" w:cs="仿宋_GB2312"/>
                <w:sz w:val="20"/>
              </w:rPr>
              <w:t>（2）完成社区阵地智慧化升级，氛围营造上墙。通过便民服务点、便民健康服务点、社区活动室、心理咨询室、社会工作服务中心、志愿者培育孵化中心、志愿时光储蓄馆、居民解压室等场点阵地升级和场景氛围营造，打造特色服务场景，实现阵地功能完善、智慧化服务全覆盖。供应商负责完善升级场点内氛围营造工作及完善阵地升级工作，氛围营造设计内容须提交采购人确认后实施。</w:t>
            </w:r>
          </w:p>
          <w:p w14:paraId="0CED492A">
            <w:pPr>
              <w:pStyle w:val="4"/>
              <w:ind w:firstLine="400"/>
              <w:jc w:val="both"/>
            </w:pPr>
            <w:r>
              <w:rPr>
                <w:rFonts w:ascii="仿宋_GB2312" w:hAnsi="仿宋_GB2312" w:eastAsia="仿宋_GB2312" w:cs="仿宋_GB2312"/>
                <w:sz w:val="20"/>
              </w:rPr>
              <w:t>（3）健康检测场景为高龄独居老人安装智能手环，实时监测预警，夯实小区精细化保障根基。</w:t>
            </w:r>
          </w:p>
          <w:p w14:paraId="2007EA55">
            <w:pPr>
              <w:pStyle w:val="4"/>
              <w:ind w:firstLine="400"/>
              <w:jc w:val="both"/>
            </w:pPr>
            <w:r>
              <w:rPr>
                <w:rFonts w:ascii="仿宋_GB2312" w:hAnsi="仿宋_GB2312" w:eastAsia="仿宋_GB2312" w:cs="仿宋_GB2312"/>
                <w:sz w:val="20"/>
              </w:rPr>
              <w:t>（4）搭建智慧安防场景，加装电梯智能监控摄像机，报警联动阻梯严防电瓶车进梯入户，筑牢社区智慧安全防护网。</w:t>
            </w:r>
          </w:p>
          <w:p w14:paraId="3C1DCE25">
            <w:pPr>
              <w:pStyle w:val="4"/>
              <w:ind w:firstLine="400"/>
              <w:jc w:val="both"/>
            </w:pPr>
            <w:r>
              <w:rPr>
                <w:rFonts w:ascii="仿宋_GB2312" w:hAnsi="仿宋_GB2312" w:eastAsia="仿宋_GB2312" w:cs="仿宋_GB2312"/>
                <w:sz w:val="20"/>
              </w:rPr>
              <w:t>7．成果总结：提炼经验成果，打造示范样板</w:t>
            </w:r>
          </w:p>
          <w:p w14:paraId="40D318DB">
            <w:pPr>
              <w:pStyle w:val="4"/>
              <w:ind w:firstLine="400"/>
              <w:jc w:val="both"/>
            </w:pPr>
            <w:r>
              <w:rPr>
                <w:rFonts w:ascii="仿宋_GB2312" w:hAnsi="仿宋_GB2312" w:eastAsia="仿宋_GB2312" w:cs="仿宋_GB2312"/>
                <w:sz w:val="20"/>
              </w:rPr>
              <w:t>（1）提炼项目实施经验，形成可复制、可推广的典型案例材料，在省级以上媒体报道不少于3次。</w:t>
            </w:r>
          </w:p>
          <w:p w14:paraId="5652A660">
            <w:pPr>
              <w:pStyle w:val="4"/>
              <w:ind w:firstLine="400"/>
              <w:jc w:val="both"/>
            </w:pPr>
            <w:r>
              <w:rPr>
                <w:rFonts w:ascii="仿宋_GB2312" w:hAnsi="仿宋_GB2312" w:eastAsia="仿宋_GB2312" w:cs="仿宋_GB2312"/>
                <w:sz w:val="20"/>
              </w:rPr>
              <w:t>（2）完成智慧社区成果展架制作、PPT成果展示，打造区域智慧科技型社区示范样板。</w:t>
            </w:r>
          </w:p>
          <w:p w14:paraId="22912E97">
            <w:pPr>
              <w:pStyle w:val="4"/>
              <w:ind w:firstLine="400"/>
              <w:jc w:val="both"/>
            </w:pPr>
            <w:r>
              <w:rPr>
                <w:rFonts w:ascii="仿宋_GB2312" w:hAnsi="仿宋_GB2312" w:eastAsia="仿宋_GB2312" w:cs="仿宋_GB2312"/>
                <w:sz w:val="20"/>
              </w:rPr>
              <w:t>（二）配置清单</w:t>
            </w:r>
          </w:p>
          <w:tbl>
            <w:tblPr>
              <w:tblStyle w:val="2"/>
              <w:tblW w:w="0" w:type="auto"/>
              <w:tblInd w:w="36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28"/>
              <w:gridCol w:w="3556"/>
              <w:gridCol w:w="649"/>
            </w:tblGrid>
            <w:tr w14:paraId="211C38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8B1D6D8">
                  <w:pPr>
                    <w:pStyle w:val="4"/>
                    <w:jc w:val="center"/>
                  </w:pPr>
                  <w:r>
                    <w:rPr>
                      <w:rFonts w:ascii="仿宋_GB2312" w:hAnsi="仿宋_GB2312" w:eastAsia="仿宋_GB2312" w:cs="仿宋_GB2312"/>
                      <w:sz w:val="20"/>
                    </w:rPr>
                    <w:t>名称</w:t>
                  </w:r>
                </w:p>
              </w:tc>
              <w:tc>
                <w:tcPr>
                  <w:tcW w:w="38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F81592">
                  <w:pPr>
                    <w:pStyle w:val="4"/>
                    <w:jc w:val="center"/>
                  </w:pPr>
                  <w:r>
                    <w:rPr>
                      <w:rFonts w:ascii="仿宋_GB2312" w:hAnsi="仿宋_GB2312" w:eastAsia="仿宋_GB2312" w:cs="仿宋_GB2312"/>
                      <w:color w:val="000000"/>
                      <w:sz w:val="22"/>
                    </w:rPr>
                    <w:t>技术参数要求</w:t>
                  </w:r>
                </w:p>
              </w:tc>
              <w:tc>
                <w:tcPr>
                  <w:tcW w:w="67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73AA746">
                  <w:pPr>
                    <w:pStyle w:val="4"/>
                    <w:jc w:val="center"/>
                  </w:pPr>
                  <w:r>
                    <w:rPr>
                      <w:rFonts w:ascii="仿宋_GB2312" w:hAnsi="仿宋_GB2312" w:eastAsia="仿宋_GB2312" w:cs="仿宋_GB2312"/>
                      <w:sz w:val="20"/>
                    </w:rPr>
                    <w:t>数量</w:t>
                  </w:r>
                </w:p>
              </w:tc>
            </w:tr>
            <w:tr w14:paraId="40E2C1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C8B17D">
                  <w:pPr>
                    <w:pStyle w:val="4"/>
                    <w:jc w:val="both"/>
                  </w:pPr>
                  <w:r>
                    <w:rPr>
                      <w:rFonts w:ascii="仿宋_GB2312" w:hAnsi="仿宋_GB2312" w:eastAsia="仿宋_GB2312" w:cs="仿宋_GB2312"/>
                      <w:sz w:val="20"/>
                    </w:rPr>
                    <w:t>电梯智能监控摄像机</w:t>
                  </w:r>
                </w:p>
              </w:tc>
              <w:tc>
                <w:tcPr>
                  <w:tcW w:w="38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64F3CE">
                  <w:pPr>
                    <w:pStyle w:val="4"/>
                    <w:jc w:val="left"/>
                  </w:pPr>
                  <w:r>
                    <w:rPr>
                      <w:rFonts w:ascii="仿宋_GB2312" w:hAnsi="仿宋_GB2312" w:eastAsia="仿宋_GB2312" w:cs="仿宋_GB2312"/>
                      <w:sz w:val="19"/>
                    </w:rPr>
                    <w:t>1、支持电瓶车进电梯识别报警；</w:t>
                  </w:r>
                  <w:r>
                    <w:br w:type="textWrapping"/>
                  </w:r>
                  <w:r>
                    <w:rPr>
                      <w:rFonts w:ascii="仿宋_GB2312" w:hAnsi="仿宋_GB2312" w:eastAsia="仿宋_GB2312" w:cs="仿宋_GB2312"/>
                      <w:sz w:val="19"/>
                    </w:rPr>
                    <w:t xml:space="preserve"> 2、最高分辨率：≥2560×1440帧率</w:t>
                  </w:r>
                  <w:r>
                    <w:br w:type="textWrapping"/>
                  </w:r>
                  <w:r>
                    <w:rPr>
                      <w:rFonts w:ascii="仿宋_GB2312" w:hAnsi="仿宋_GB2312" w:eastAsia="仿宋_GB2312" w:cs="仿宋_GB2312"/>
                      <w:sz w:val="19"/>
                    </w:rPr>
                    <w:t xml:space="preserve"> 25fps，可输出≥400万实时图像；</w:t>
                  </w:r>
                  <w:r>
                    <w:br w:type="textWrapping"/>
                  </w:r>
                  <w:r>
                    <w:rPr>
                      <w:rFonts w:ascii="仿宋_GB2312" w:hAnsi="仿宋_GB2312" w:eastAsia="仿宋_GB2312" w:cs="仿宋_GB2312"/>
                      <w:sz w:val="19"/>
                    </w:rPr>
                    <w:t xml:space="preserve"> 3、具备红外补光灯：红外照射距离≥10m；</w:t>
                  </w:r>
                  <w:r>
                    <w:br w:type="textWrapping"/>
                  </w:r>
                  <w:r>
                    <w:rPr>
                      <w:rFonts w:ascii="仿宋_GB2312" w:hAnsi="仿宋_GB2312" w:eastAsia="仿宋_GB2312" w:cs="仿宋_GB2312"/>
                      <w:sz w:val="19"/>
                    </w:rPr>
                    <w:t xml:space="preserve"> 4、具备不少于1 路报警输入、1 路报警输出；支持 DC12V/POE；</w:t>
                  </w:r>
                  <w:r>
                    <w:br w:type="textWrapping"/>
                  </w:r>
                  <w:r>
                    <w:rPr>
                      <w:rFonts w:ascii="仿宋_GB2312" w:hAnsi="仿宋_GB2312" w:eastAsia="仿宋_GB2312" w:cs="仿宋_GB2312"/>
                      <w:sz w:val="19"/>
                    </w:rPr>
                    <w:t xml:space="preserve"> 5、內置 MicrOSD，或MiCnOSDEC.或MiCrOSDXC 插槽，配备≥256 GB 储存卡；</w:t>
                  </w:r>
                  <w:r>
                    <w:br w:type="textWrapping"/>
                  </w:r>
                  <w:r>
                    <w:rPr>
                      <w:rFonts w:ascii="仿宋_GB2312" w:hAnsi="仿宋_GB2312" w:eastAsia="仿宋_GB2312" w:cs="仿宋_GB2312"/>
                      <w:sz w:val="19"/>
                    </w:rPr>
                    <w:t xml:space="preserve"> 6、具备≥1个内置麦克风，≥1个内置扬声器。</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B93B6">
                  <w:pPr>
                    <w:pStyle w:val="4"/>
                    <w:jc w:val="center"/>
                  </w:pPr>
                  <w:r>
                    <w:rPr>
                      <w:rFonts w:ascii="仿宋_GB2312" w:hAnsi="仿宋_GB2312" w:eastAsia="仿宋_GB2312" w:cs="仿宋_GB2312"/>
                      <w:sz w:val="20"/>
                    </w:rPr>
                    <w:t>94个</w:t>
                  </w:r>
                </w:p>
              </w:tc>
            </w:tr>
            <w:tr w14:paraId="49C02D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61B42">
                  <w:pPr>
                    <w:pStyle w:val="4"/>
                    <w:jc w:val="both"/>
                  </w:pPr>
                  <w:r>
                    <w:rPr>
                      <w:rFonts w:ascii="仿宋_GB2312" w:hAnsi="仿宋_GB2312" w:eastAsia="仿宋_GB2312" w:cs="仿宋_GB2312"/>
                      <w:sz w:val="20"/>
                    </w:rPr>
                    <w:t>老人检测手环</w:t>
                  </w:r>
                </w:p>
              </w:tc>
              <w:tc>
                <w:tcPr>
                  <w:tcW w:w="38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1EA7E">
                  <w:pPr>
                    <w:pStyle w:val="4"/>
                    <w:jc w:val="left"/>
                  </w:pPr>
                  <w:r>
                    <w:rPr>
                      <w:rFonts w:ascii="仿宋_GB2312" w:hAnsi="仿宋_GB2312" w:eastAsia="仿宋_GB2312" w:cs="仿宋_GB2312"/>
                      <w:sz w:val="20"/>
                    </w:rPr>
                    <w:t>1、具备紧急呼叫与应急联动功能：一键呼救，无需记号码；自动检测摔倒并触发警报。</w:t>
                  </w:r>
                  <w:r>
                    <w:br w:type="textWrapping"/>
                  </w:r>
                  <w:r>
                    <w:rPr>
                      <w:rFonts w:ascii="仿宋_GB2312" w:hAnsi="仿宋_GB2312" w:eastAsia="仿宋_GB2312" w:cs="仿宋_GB2312"/>
                      <w:sz w:val="20"/>
                    </w:rPr>
                    <w:t>2、具备精准定位与防走失功能，社区及家属可实时查看位置。</w:t>
                  </w:r>
                  <w:r>
                    <w:br w:type="textWrapping"/>
                  </w:r>
                  <w:r>
                    <w:rPr>
                      <w:rFonts w:ascii="仿宋_GB2312" w:hAnsi="仿宋_GB2312" w:eastAsia="仿宋_GB2312" w:cs="仿宋_GB2312"/>
                      <w:sz w:val="20"/>
                    </w:rPr>
                    <w:t>3、健康监测：实时监测心率、血氧、步数等核心指标，数据异常预警并同步至智慧平台。</w:t>
                  </w:r>
                  <w:r>
                    <w:br w:type="textWrapping"/>
                  </w:r>
                  <w:r>
                    <w:rPr>
                      <w:rFonts w:ascii="仿宋_GB2312" w:hAnsi="仿宋_GB2312" w:eastAsia="仿宋_GB2312" w:cs="仿宋_GB2312"/>
                      <w:sz w:val="20"/>
                    </w:rPr>
                    <w:t>4、适老便民与亲情联动：大字体、按键清晰适配老人；支持亲情通话。</w:t>
                  </w:r>
                </w:p>
                <w:p w14:paraId="49A57071">
                  <w:pPr>
                    <w:pStyle w:val="4"/>
                    <w:jc w:val="left"/>
                  </w:pPr>
                  <w:r>
                    <w:rPr>
                      <w:rFonts w:ascii="仿宋_GB2312" w:hAnsi="仿宋_GB2312" w:eastAsia="仿宋_GB2312" w:cs="仿宋_GB2312"/>
                      <w:sz w:val="20"/>
                    </w:rPr>
                    <w:t>5、配件包含充电器、说明书等。</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136065">
                  <w:pPr>
                    <w:pStyle w:val="4"/>
                    <w:jc w:val="center"/>
                  </w:pPr>
                  <w:r>
                    <w:rPr>
                      <w:rFonts w:ascii="仿宋_GB2312" w:hAnsi="仿宋_GB2312" w:eastAsia="仿宋_GB2312" w:cs="仿宋_GB2312"/>
                      <w:sz w:val="20"/>
                    </w:rPr>
                    <w:t>20个</w:t>
                  </w:r>
                </w:p>
              </w:tc>
            </w:tr>
          </w:tbl>
          <w:p w14:paraId="29D91754">
            <w:pPr>
              <w:pStyle w:val="4"/>
              <w:jc w:val="left"/>
            </w:pPr>
            <w:r>
              <w:rPr>
                <w:rFonts w:ascii="仿宋_GB2312" w:hAnsi="仿宋_GB2312" w:eastAsia="仿宋_GB2312" w:cs="仿宋_GB2312"/>
              </w:rPr>
              <w:t>★注：</w:t>
            </w:r>
          </w:p>
          <w:p w14:paraId="1AB82955">
            <w:pPr>
              <w:pStyle w:val="4"/>
              <w:jc w:val="left"/>
            </w:pPr>
            <w:r>
              <w:rPr>
                <w:rFonts w:ascii="仿宋_GB2312" w:hAnsi="仿宋_GB2312" w:eastAsia="仿宋_GB2312" w:cs="仿宋_GB2312"/>
              </w:rPr>
              <w:t>1.以上配置清单内容，供应商须在响应文件中提供品牌、型号及制造厂家信息，不提供或提供不全做无效响应处理。</w:t>
            </w:r>
          </w:p>
          <w:p w14:paraId="0335EFC3">
            <w:pPr>
              <w:pStyle w:val="4"/>
              <w:jc w:val="left"/>
            </w:pPr>
            <w:r>
              <w:rPr>
                <w:rFonts w:ascii="仿宋_GB2312" w:hAnsi="仿宋_GB2312" w:eastAsia="仿宋_GB2312" w:cs="仿宋_GB2312"/>
              </w:rPr>
              <w:t>2.质量保修范围和保修期 ：（1）以产品本身质保期为准。（2）投标产品属于国家规定“三包”范围的，其产品质量保证期不得低于“三包”规定。</w:t>
            </w:r>
          </w:p>
          <w:p w14:paraId="4D120DD3">
            <w:pPr>
              <w:pStyle w:val="4"/>
              <w:jc w:val="left"/>
            </w:pPr>
            <w:r>
              <w:rPr>
                <w:rFonts w:ascii="仿宋_GB2312" w:hAnsi="仿宋_GB2312" w:eastAsia="仿宋_GB2312" w:cs="仿宋_GB2312"/>
                <w:sz w:val="21"/>
              </w:rPr>
              <w:t>3.本项目报价是供应商响应采购项目要求的全部工作内容的价格体现，采购人不再额外支付任何费用。</w:t>
            </w:r>
          </w:p>
          <w:p w14:paraId="1AE347B2">
            <w:pPr>
              <w:pStyle w:val="4"/>
              <w:jc w:val="left"/>
            </w:pPr>
          </w:p>
        </w:tc>
      </w:tr>
    </w:tbl>
    <w:p w14:paraId="1B46AE4F">
      <w:pPr>
        <w:pStyle w:val="4"/>
        <w:jc w:val="left"/>
        <w:outlineLvl w:val="2"/>
      </w:pPr>
      <w:r>
        <w:rPr>
          <w:rFonts w:ascii="仿宋_GB2312" w:hAnsi="仿宋_GB2312" w:eastAsia="仿宋_GB2312" w:cs="仿宋_GB2312"/>
          <w:b/>
          <w:sz w:val="28"/>
        </w:rPr>
        <w:t>3.服务要求</w:t>
      </w:r>
    </w:p>
    <w:p w14:paraId="7EDBF1DA">
      <w:pPr>
        <w:pStyle w:val="4"/>
        <w:jc w:val="left"/>
        <w:outlineLvl w:val="3"/>
      </w:pPr>
      <w:r>
        <w:rPr>
          <w:rFonts w:ascii="仿宋_GB2312" w:hAnsi="仿宋_GB2312" w:eastAsia="仿宋_GB2312" w:cs="仿宋_GB2312"/>
          <w:b/>
          <w:sz w:val="24"/>
        </w:rPr>
        <w:t>3.1服务内容要求</w:t>
      </w:r>
    </w:p>
    <w:p w14:paraId="729974F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43B83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755130">
            <w:pPr>
              <w:pStyle w:val="4"/>
              <w:jc w:val="center"/>
            </w:pPr>
            <w:r>
              <w:rPr>
                <w:rFonts w:ascii="仿宋_GB2312" w:hAnsi="仿宋_GB2312" w:eastAsia="仿宋_GB2312" w:cs="仿宋_GB2312"/>
              </w:rPr>
              <w:t xml:space="preserve"> 序号</w:t>
            </w:r>
          </w:p>
        </w:tc>
        <w:tc>
          <w:tcPr>
            <w:tcW w:w="581" w:type="dxa"/>
          </w:tcPr>
          <w:p w14:paraId="34640C91">
            <w:pPr>
              <w:pStyle w:val="4"/>
              <w:jc w:val="center"/>
            </w:pPr>
            <w:r>
              <w:rPr>
                <w:rFonts w:ascii="仿宋_GB2312" w:hAnsi="仿宋_GB2312" w:eastAsia="仿宋_GB2312" w:cs="仿宋_GB2312"/>
              </w:rPr>
              <w:t xml:space="preserve"> 符号标识</w:t>
            </w:r>
          </w:p>
        </w:tc>
        <w:tc>
          <w:tcPr>
            <w:tcW w:w="1495" w:type="dxa"/>
          </w:tcPr>
          <w:p w14:paraId="754E29BB">
            <w:pPr>
              <w:pStyle w:val="4"/>
              <w:jc w:val="center"/>
            </w:pPr>
            <w:r>
              <w:rPr>
                <w:rFonts w:ascii="仿宋_GB2312" w:hAnsi="仿宋_GB2312" w:eastAsia="仿宋_GB2312" w:cs="仿宋_GB2312"/>
              </w:rPr>
              <w:t xml:space="preserve"> 服务要求名称</w:t>
            </w:r>
          </w:p>
        </w:tc>
        <w:tc>
          <w:tcPr>
            <w:tcW w:w="5814" w:type="dxa"/>
          </w:tcPr>
          <w:p w14:paraId="409C2B39">
            <w:pPr>
              <w:pStyle w:val="4"/>
              <w:jc w:val="center"/>
            </w:pPr>
            <w:r>
              <w:rPr>
                <w:rFonts w:ascii="仿宋_GB2312" w:hAnsi="仿宋_GB2312" w:eastAsia="仿宋_GB2312" w:cs="仿宋_GB2312"/>
              </w:rPr>
              <w:t xml:space="preserve"> 服务要求内容</w:t>
            </w:r>
          </w:p>
        </w:tc>
      </w:tr>
      <w:tr w14:paraId="63ECF6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A58D45">
            <w:pPr>
              <w:pStyle w:val="4"/>
              <w:jc w:val="center"/>
            </w:pPr>
            <w:r>
              <w:rPr>
                <w:rFonts w:ascii="仿宋_GB2312" w:hAnsi="仿宋_GB2312" w:eastAsia="仿宋_GB2312" w:cs="仿宋_GB2312"/>
              </w:rPr>
              <w:t>1</w:t>
            </w:r>
          </w:p>
        </w:tc>
        <w:tc>
          <w:tcPr>
            <w:tcW w:w="581" w:type="dxa"/>
          </w:tcPr>
          <w:p w14:paraId="29AA5403"/>
        </w:tc>
        <w:tc>
          <w:tcPr>
            <w:tcW w:w="1495" w:type="dxa"/>
          </w:tcPr>
          <w:p w14:paraId="64155E19">
            <w:pPr>
              <w:pStyle w:val="4"/>
              <w:jc w:val="left"/>
            </w:pPr>
            <w:r>
              <w:rPr>
                <w:rFonts w:ascii="仿宋_GB2312" w:hAnsi="仿宋_GB2312" w:eastAsia="仿宋_GB2312" w:cs="仿宋_GB2312"/>
              </w:rPr>
              <w:t>其他要求</w:t>
            </w:r>
          </w:p>
        </w:tc>
        <w:tc>
          <w:tcPr>
            <w:tcW w:w="5814" w:type="dxa"/>
          </w:tcPr>
          <w:p w14:paraId="203FE4A2">
            <w:pPr>
              <w:pStyle w:val="4"/>
              <w:jc w:val="left"/>
            </w:pPr>
            <w:r>
              <w:rPr>
                <w:rFonts w:ascii="仿宋_GB2312" w:hAnsi="仿宋_GB2312" w:eastAsia="仿宋_GB2312" w:cs="仿宋_GB2312"/>
                <w:sz w:val="20"/>
              </w:rPr>
              <w:t>（一）安全要求：</w:t>
            </w:r>
          </w:p>
          <w:p w14:paraId="41BD9516">
            <w:pPr>
              <w:pStyle w:val="4"/>
              <w:jc w:val="left"/>
            </w:pPr>
            <w:r>
              <w:rPr>
                <w:rFonts w:ascii="仿宋_GB2312" w:hAnsi="仿宋_GB2312" w:eastAsia="仿宋_GB2312" w:cs="仿宋_GB2312"/>
                <w:sz w:val="20"/>
              </w:rPr>
              <w:t>1、供应商应依法遵守《中华人民共和国个人信息保护法》《中华人民共和国数据安全法》等法律法规的规定，采取相应的安全保护措施。</w:t>
            </w:r>
          </w:p>
          <w:p w14:paraId="284F9EC9">
            <w:pPr>
              <w:pStyle w:val="4"/>
              <w:jc w:val="left"/>
            </w:pPr>
            <w:r>
              <w:rPr>
                <w:rFonts w:ascii="仿宋_GB2312" w:hAnsi="仿宋_GB2312" w:eastAsia="仿宋_GB2312" w:cs="仿宋_GB2312"/>
                <w:sz w:val="20"/>
              </w:rPr>
              <w:t>2、本项目电梯智能检测摄像机由成交供应商供货，安装调试包含在本项目包干报价内，安装调试属于非主体、非关键性工作，允许依法分包。为保障电梯特种设备运行安全，安装作业实施单位须符合《中华人民共和国特种设备安全法》相关要求。供应商拟在成交后分包的，提供意向性合作协议或在合作的协议或承诺函承诺成交后委托符合资质要求的第三方单位完成全部安装调试工作（</w:t>
            </w:r>
            <w:r>
              <w:rPr>
                <w:rFonts w:ascii="仿宋_GB2312" w:hAnsi="仿宋_GB2312" w:eastAsia="仿宋_GB2312" w:cs="仿宋_GB2312"/>
                <w:b/>
                <w:sz w:val="20"/>
              </w:rPr>
              <w:t>在响应文件中提供协议复印件或承诺函原件并加盖电子公章，格式自拟</w:t>
            </w:r>
            <w:r>
              <w:rPr>
                <w:rFonts w:ascii="仿宋_GB2312" w:hAnsi="仿宋_GB2312" w:eastAsia="仿宋_GB2312" w:cs="仿宋_GB2312"/>
                <w:sz w:val="20"/>
              </w:rPr>
              <w:t>）；不计划分包的，无需提供分包相关资料。无论自行实施或依法分包，成交供应商承担本项目全部履约责任、安全责任及质量责任，采购人负责各方对接协调。</w:t>
            </w:r>
          </w:p>
          <w:p w14:paraId="24D449D7">
            <w:pPr>
              <w:pStyle w:val="4"/>
              <w:jc w:val="left"/>
            </w:pPr>
            <w:r>
              <w:rPr>
                <w:rFonts w:ascii="仿宋_GB2312" w:hAnsi="仿宋_GB2312" w:eastAsia="仿宋_GB2312" w:cs="仿宋_GB2312"/>
                <w:sz w:val="20"/>
              </w:rPr>
              <w:t>（二）供应商可根据自身情况在响应文件中对以下方案进行详细描述（未提供不影响响应文件有效性）：</w:t>
            </w:r>
          </w:p>
          <w:p w14:paraId="12B7D817">
            <w:pPr>
              <w:pStyle w:val="4"/>
              <w:jc w:val="left"/>
            </w:pPr>
            <w:r>
              <w:rPr>
                <w:rFonts w:ascii="仿宋_GB2312" w:hAnsi="仿宋_GB2312" w:eastAsia="仿宋_GB2312" w:cs="仿宋_GB2312"/>
                <w:sz w:val="20"/>
              </w:rPr>
              <w:t>1、服务方案包括: ①项目背景及需求分析；②项目概述及目标；③项目实施详情方案；④项目进度安排（前期、中期、后期）；⑤项目成效；⑥项目经费配置方案等内容。</w:t>
            </w:r>
          </w:p>
          <w:p w14:paraId="39C8CB91">
            <w:pPr>
              <w:pStyle w:val="4"/>
              <w:jc w:val="left"/>
            </w:pPr>
            <w:r>
              <w:rPr>
                <w:rFonts w:ascii="仿宋_GB2312" w:hAnsi="仿宋_GB2312" w:eastAsia="仿宋_GB2312" w:cs="仿宋_GB2312"/>
                <w:sz w:val="20"/>
              </w:rPr>
              <w:t>2、管理制度包括：①供应商内部管理制度；②人员岗位职责及分工；③服务人员考核制度；④安全管理制度；⑤项目档案管理；⑥应急预案制度。</w:t>
            </w:r>
          </w:p>
          <w:p w14:paraId="3CA5956A">
            <w:pPr>
              <w:pStyle w:val="4"/>
              <w:jc w:val="left"/>
            </w:pPr>
            <w:r>
              <w:rPr>
                <w:rFonts w:ascii="仿宋_GB2312" w:hAnsi="仿宋_GB2312" w:eastAsia="仿宋_GB2312" w:cs="仿宋_GB2312"/>
                <w:sz w:val="20"/>
              </w:rPr>
              <w:t>3、服务团队。</w:t>
            </w:r>
          </w:p>
          <w:p w14:paraId="1B129766">
            <w:pPr>
              <w:pStyle w:val="4"/>
              <w:jc w:val="left"/>
            </w:pPr>
            <w:r>
              <w:rPr>
                <w:rFonts w:ascii="仿宋_GB2312" w:hAnsi="仿宋_GB2312" w:eastAsia="仿宋_GB2312" w:cs="仿宋_GB2312"/>
                <w:sz w:val="20"/>
              </w:rPr>
              <w:t>4、履约能力的相关证明材料。</w:t>
            </w:r>
          </w:p>
        </w:tc>
      </w:tr>
    </w:tbl>
    <w:p w14:paraId="33CF5B1C">
      <w:pPr>
        <w:pStyle w:val="4"/>
        <w:jc w:val="left"/>
        <w:outlineLvl w:val="3"/>
      </w:pPr>
      <w:r>
        <w:rPr>
          <w:rFonts w:ascii="仿宋_GB2312" w:hAnsi="仿宋_GB2312" w:eastAsia="仿宋_GB2312" w:cs="仿宋_GB2312"/>
          <w:b/>
          <w:sz w:val="24"/>
        </w:rPr>
        <w:t>3.2.商务要求</w:t>
      </w:r>
    </w:p>
    <w:p w14:paraId="7F59BBF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FF078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7F4060">
            <w:pPr>
              <w:pStyle w:val="4"/>
              <w:jc w:val="left"/>
            </w:pPr>
            <w:r>
              <w:rPr>
                <w:rFonts w:ascii="仿宋_GB2312" w:hAnsi="仿宋_GB2312" w:eastAsia="仿宋_GB2312" w:cs="仿宋_GB2312"/>
              </w:rPr>
              <w:t>序号</w:t>
            </w:r>
          </w:p>
        </w:tc>
        <w:tc>
          <w:tcPr>
            <w:tcW w:w="2076" w:type="dxa"/>
          </w:tcPr>
          <w:p w14:paraId="765E4491">
            <w:pPr>
              <w:pStyle w:val="4"/>
              <w:jc w:val="left"/>
            </w:pPr>
            <w:r>
              <w:rPr>
                <w:rFonts w:ascii="仿宋_GB2312" w:hAnsi="仿宋_GB2312" w:eastAsia="仿宋_GB2312" w:cs="仿宋_GB2312"/>
              </w:rPr>
              <w:t>符号标识</w:t>
            </w:r>
          </w:p>
        </w:tc>
        <w:tc>
          <w:tcPr>
            <w:tcW w:w="2076" w:type="dxa"/>
          </w:tcPr>
          <w:p w14:paraId="4ED416DE">
            <w:pPr>
              <w:pStyle w:val="4"/>
              <w:jc w:val="left"/>
            </w:pPr>
            <w:r>
              <w:rPr>
                <w:rFonts w:ascii="仿宋_GB2312" w:hAnsi="仿宋_GB2312" w:eastAsia="仿宋_GB2312" w:cs="仿宋_GB2312"/>
              </w:rPr>
              <w:t>商务要求名称</w:t>
            </w:r>
          </w:p>
        </w:tc>
        <w:tc>
          <w:tcPr>
            <w:tcW w:w="2076" w:type="dxa"/>
          </w:tcPr>
          <w:p w14:paraId="58C1093F">
            <w:pPr>
              <w:pStyle w:val="4"/>
              <w:jc w:val="left"/>
            </w:pPr>
            <w:r>
              <w:rPr>
                <w:rFonts w:ascii="仿宋_GB2312" w:hAnsi="仿宋_GB2312" w:eastAsia="仿宋_GB2312" w:cs="仿宋_GB2312"/>
              </w:rPr>
              <w:t>商务要求内容</w:t>
            </w:r>
          </w:p>
        </w:tc>
      </w:tr>
      <w:tr w14:paraId="3F2C4A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8D0D6A">
            <w:pPr>
              <w:pStyle w:val="4"/>
              <w:jc w:val="left"/>
            </w:pPr>
            <w:r>
              <w:rPr>
                <w:rFonts w:ascii="仿宋_GB2312" w:hAnsi="仿宋_GB2312" w:eastAsia="仿宋_GB2312" w:cs="仿宋_GB2312"/>
              </w:rPr>
              <w:t>1</w:t>
            </w:r>
          </w:p>
        </w:tc>
        <w:tc>
          <w:tcPr>
            <w:tcW w:w="2076" w:type="dxa"/>
          </w:tcPr>
          <w:p w14:paraId="641E09A1">
            <w:pPr>
              <w:pStyle w:val="4"/>
              <w:jc w:val="left"/>
            </w:pPr>
            <w:r>
              <w:rPr>
                <w:rFonts w:ascii="仿宋_GB2312" w:hAnsi="仿宋_GB2312" w:eastAsia="仿宋_GB2312" w:cs="仿宋_GB2312"/>
              </w:rPr>
              <w:t>★</w:t>
            </w:r>
          </w:p>
        </w:tc>
        <w:tc>
          <w:tcPr>
            <w:tcW w:w="2076" w:type="dxa"/>
          </w:tcPr>
          <w:p w14:paraId="01438251">
            <w:pPr>
              <w:pStyle w:val="4"/>
              <w:jc w:val="left"/>
            </w:pPr>
            <w:r>
              <w:rPr>
                <w:rFonts w:ascii="仿宋_GB2312" w:hAnsi="仿宋_GB2312" w:eastAsia="仿宋_GB2312" w:cs="仿宋_GB2312"/>
              </w:rPr>
              <w:t>服务期限</w:t>
            </w:r>
          </w:p>
        </w:tc>
        <w:tc>
          <w:tcPr>
            <w:tcW w:w="2076" w:type="dxa"/>
          </w:tcPr>
          <w:p w14:paraId="1660B926">
            <w:pPr>
              <w:pStyle w:val="4"/>
              <w:jc w:val="left"/>
            </w:pPr>
            <w:r>
              <w:rPr>
                <w:rFonts w:ascii="仿宋_GB2312" w:hAnsi="仿宋_GB2312" w:eastAsia="仿宋_GB2312" w:cs="仿宋_GB2312"/>
              </w:rPr>
              <w:t>合同签订后365日内完成</w:t>
            </w:r>
          </w:p>
        </w:tc>
      </w:tr>
      <w:tr w14:paraId="11BB3B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7F8BE2">
            <w:pPr>
              <w:pStyle w:val="4"/>
              <w:jc w:val="left"/>
            </w:pPr>
            <w:r>
              <w:rPr>
                <w:rFonts w:ascii="仿宋_GB2312" w:hAnsi="仿宋_GB2312" w:eastAsia="仿宋_GB2312" w:cs="仿宋_GB2312"/>
              </w:rPr>
              <w:t>2</w:t>
            </w:r>
          </w:p>
        </w:tc>
        <w:tc>
          <w:tcPr>
            <w:tcW w:w="2076" w:type="dxa"/>
          </w:tcPr>
          <w:p w14:paraId="607A1D17">
            <w:pPr>
              <w:pStyle w:val="4"/>
              <w:jc w:val="left"/>
            </w:pPr>
            <w:r>
              <w:rPr>
                <w:rFonts w:ascii="仿宋_GB2312" w:hAnsi="仿宋_GB2312" w:eastAsia="仿宋_GB2312" w:cs="仿宋_GB2312"/>
              </w:rPr>
              <w:t>★</w:t>
            </w:r>
          </w:p>
        </w:tc>
        <w:tc>
          <w:tcPr>
            <w:tcW w:w="2076" w:type="dxa"/>
          </w:tcPr>
          <w:p w14:paraId="5540634B">
            <w:pPr>
              <w:pStyle w:val="4"/>
              <w:jc w:val="left"/>
            </w:pPr>
            <w:r>
              <w:rPr>
                <w:rFonts w:ascii="仿宋_GB2312" w:hAnsi="仿宋_GB2312" w:eastAsia="仿宋_GB2312" w:cs="仿宋_GB2312"/>
              </w:rPr>
              <w:t>服务地点</w:t>
            </w:r>
          </w:p>
        </w:tc>
        <w:tc>
          <w:tcPr>
            <w:tcW w:w="2076" w:type="dxa"/>
          </w:tcPr>
          <w:p w14:paraId="222DECAE">
            <w:pPr>
              <w:pStyle w:val="4"/>
              <w:jc w:val="left"/>
            </w:pPr>
            <w:r>
              <w:rPr>
                <w:rFonts w:ascii="仿宋_GB2312" w:hAnsi="仿宋_GB2312" w:eastAsia="仿宋_GB2312" w:cs="仿宋_GB2312"/>
              </w:rPr>
              <w:t>内江市东兴区崇元社区</w:t>
            </w:r>
          </w:p>
        </w:tc>
      </w:tr>
      <w:tr w14:paraId="3F0D2D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02DE179">
            <w:pPr>
              <w:pStyle w:val="4"/>
              <w:jc w:val="left"/>
            </w:pPr>
            <w:r>
              <w:rPr>
                <w:rFonts w:ascii="仿宋_GB2312" w:hAnsi="仿宋_GB2312" w:eastAsia="仿宋_GB2312" w:cs="仿宋_GB2312"/>
              </w:rPr>
              <w:t>3</w:t>
            </w:r>
          </w:p>
        </w:tc>
        <w:tc>
          <w:tcPr>
            <w:tcW w:w="2076" w:type="dxa"/>
          </w:tcPr>
          <w:p w14:paraId="4A4B53AA">
            <w:pPr>
              <w:pStyle w:val="4"/>
              <w:jc w:val="left"/>
            </w:pPr>
            <w:r>
              <w:rPr>
                <w:rFonts w:ascii="仿宋_GB2312" w:hAnsi="仿宋_GB2312" w:eastAsia="仿宋_GB2312" w:cs="仿宋_GB2312"/>
              </w:rPr>
              <w:t>★</w:t>
            </w:r>
          </w:p>
        </w:tc>
        <w:tc>
          <w:tcPr>
            <w:tcW w:w="2076" w:type="dxa"/>
          </w:tcPr>
          <w:p w14:paraId="78FF5439">
            <w:pPr>
              <w:pStyle w:val="4"/>
              <w:jc w:val="left"/>
            </w:pPr>
            <w:r>
              <w:rPr>
                <w:rFonts w:ascii="仿宋_GB2312" w:hAnsi="仿宋_GB2312" w:eastAsia="仿宋_GB2312" w:cs="仿宋_GB2312"/>
              </w:rPr>
              <w:t>验收、交付标准和方法</w:t>
            </w:r>
          </w:p>
        </w:tc>
        <w:tc>
          <w:tcPr>
            <w:tcW w:w="2076" w:type="dxa"/>
          </w:tcPr>
          <w:p w14:paraId="1752CD7C">
            <w:pPr>
              <w:pStyle w:val="4"/>
              <w:jc w:val="left"/>
            </w:pPr>
            <w:r>
              <w:rPr>
                <w:rFonts w:ascii="仿宋_GB2312" w:hAnsi="仿宋_GB2312" w:eastAsia="仿宋_GB2312" w:cs="仿宋_GB2312"/>
              </w:rPr>
              <w:t>按照政府采购相关法律法规以及《财政部关于进一步加强政府采购需求和履约验收管理的指导意见》（财库〔2016〕205号）的要求、采购文件的质量要求和技术指标、成交供应商的响应文件及承诺以及合同约定标准进行验收</w:t>
            </w:r>
          </w:p>
        </w:tc>
      </w:tr>
      <w:tr w14:paraId="02B171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2A8E21">
            <w:pPr>
              <w:pStyle w:val="4"/>
              <w:jc w:val="left"/>
            </w:pPr>
            <w:r>
              <w:rPr>
                <w:rFonts w:ascii="仿宋_GB2312" w:hAnsi="仿宋_GB2312" w:eastAsia="仿宋_GB2312" w:cs="仿宋_GB2312"/>
              </w:rPr>
              <w:t>4</w:t>
            </w:r>
          </w:p>
        </w:tc>
        <w:tc>
          <w:tcPr>
            <w:tcW w:w="2076" w:type="dxa"/>
          </w:tcPr>
          <w:p w14:paraId="47BC6D5F">
            <w:pPr>
              <w:pStyle w:val="4"/>
              <w:jc w:val="left"/>
            </w:pPr>
            <w:r>
              <w:rPr>
                <w:rFonts w:ascii="仿宋_GB2312" w:hAnsi="仿宋_GB2312" w:eastAsia="仿宋_GB2312" w:cs="仿宋_GB2312"/>
              </w:rPr>
              <w:t>★</w:t>
            </w:r>
          </w:p>
        </w:tc>
        <w:tc>
          <w:tcPr>
            <w:tcW w:w="2076" w:type="dxa"/>
          </w:tcPr>
          <w:p w14:paraId="73FCC603">
            <w:pPr>
              <w:pStyle w:val="4"/>
              <w:jc w:val="left"/>
            </w:pPr>
            <w:r>
              <w:rPr>
                <w:rFonts w:ascii="仿宋_GB2312" w:hAnsi="仿宋_GB2312" w:eastAsia="仿宋_GB2312" w:cs="仿宋_GB2312"/>
              </w:rPr>
              <w:t>支付方式</w:t>
            </w:r>
          </w:p>
        </w:tc>
        <w:tc>
          <w:tcPr>
            <w:tcW w:w="2076" w:type="dxa"/>
          </w:tcPr>
          <w:p w14:paraId="6FAD919E">
            <w:pPr>
              <w:pStyle w:val="4"/>
              <w:jc w:val="left"/>
            </w:pPr>
            <w:r>
              <w:rPr>
                <w:rFonts w:ascii="仿宋_GB2312" w:hAnsi="仿宋_GB2312" w:eastAsia="仿宋_GB2312" w:cs="仿宋_GB2312"/>
              </w:rPr>
              <w:t>分期付款</w:t>
            </w:r>
          </w:p>
        </w:tc>
      </w:tr>
      <w:tr w14:paraId="1E0473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1A299E8">
            <w:pPr>
              <w:pStyle w:val="4"/>
              <w:jc w:val="left"/>
            </w:pPr>
            <w:r>
              <w:rPr>
                <w:rFonts w:ascii="仿宋_GB2312" w:hAnsi="仿宋_GB2312" w:eastAsia="仿宋_GB2312" w:cs="仿宋_GB2312"/>
              </w:rPr>
              <w:t>5</w:t>
            </w:r>
          </w:p>
        </w:tc>
        <w:tc>
          <w:tcPr>
            <w:tcW w:w="2076" w:type="dxa"/>
          </w:tcPr>
          <w:p w14:paraId="7EEA5A3C">
            <w:pPr>
              <w:pStyle w:val="4"/>
              <w:jc w:val="left"/>
            </w:pPr>
            <w:r>
              <w:rPr>
                <w:rFonts w:ascii="仿宋_GB2312" w:hAnsi="仿宋_GB2312" w:eastAsia="仿宋_GB2312" w:cs="仿宋_GB2312"/>
              </w:rPr>
              <w:t>★</w:t>
            </w:r>
          </w:p>
        </w:tc>
        <w:tc>
          <w:tcPr>
            <w:tcW w:w="2076" w:type="dxa"/>
          </w:tcPr>
          <w:p w14:paraId="4A9B4ED4">
            <w:pPr>
              <w:pStyle w:val="4"/>
              <w:jc w:val="left"/>
            </w:pPr>
            <w:r>
              <w:rPr>
                <w:rFonts w:ascii="仿宋_GB2312" w:hAnsi="仿宋_GB2312" w:eastAsia="仿宋_GB2312" w:cs="仿宋_GB2312"/>
              </w:rPr>
              <w:t>付款进度安排</w:t>
            </w:r>
          </w:p>
        </w:tc>
        <w:tc>
          <w:tcPr>
            <w:tcW w:w="2076" w:type="dxa"/>
          </w:tcPr>
          <w:p w14:paraId="432EC0AE">
            <w:pPr>
              <w:pStyle w:val="4"/>
              <w:jc w:val="left"/>
            </w:pPr>
            <w:r>
              <w:rPr>
                <w:rFonts w:ascii="仿宋_GB2312" w:hAnsi="仿宋_GB2312" w:eastAsia="仿宋_GB2312" w:cs="仿宋_GB2312"/>
              </w:rPr>
              <w:t>1、预付款付款条件：采购合同签订后。达到该付款条件起10个工作日内，支付合同总金额的50.0%</w:t>
            </w:r>
            <w:r>
              <w:br w:type="textWrapping"/>
            </w:r>
            <w:r>
              <w:rPr>
                <w:rFonts w:ascii="仿宋_GB2312" w:hAnsi="仿宋_GB2312" w:eastAsia="仿宋_GB2312" w:cs="仿宋_GB2312"/>
              </w:rPr>
              <w:t>2、进度款付款条件：项目中期评估后。达到该付款条件起10个工作日内，支付合同总金额的40.0%</w:t>
            </w:r>
            <w:r>
              <w:br w:type="textWrapping"/>
            </w:r>
            <w:r>
              <w:rPr>
                <w:rFonts w:ascii="仿宋_GB2312" w:hAnsi="仿宋_GB2312" w:eastAsia="仿宋_GB2312" w:cs="仿宋_GB2312"/>
              </w:rPr>
              <w:t>3、尾款付款条件：项目在结项评价后。达到该付款条件起10个工作日内，支付合同总金额的10.0%</w:t>
            </w:r>
            <w:r>
              <w:br w:type="textWrapping"/>
            </w:r>
          </w:p>
        </w:tc>
      </w:tr>
      <w:tr w14:paraId="0D99D8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BF33737">
            <w:pPr>
              <w:pStyle w:val="4"/>
              <w:jc w:val="left"/>
            </w:pPr>
            <w:r>
              <w:rPr>
                <w:rFonts w:ascii="仿宋_GB2312" w:hAnsi="仿宋_GB2312" w:eastAsia="仿宋_GB2312" w:cs="仿宋_GB2312"/>
              </w:rPr>
              <w:t>6</w:t>
            </w:r>
          </w:p>
        </w:tc>
        <w:tc>
          <w:tcPr>
            <w:tcW w:w="2076" w:type="dxa"/>
          </w:tcPr>
          <w:p w14:paraId="1596D626">
            <w:pPr>
              <w:pStyle w:val="4"/>
              <w:jc w:val="left"/>
            </w:pPr>
            <w:r>
              <w:rPr>
                <w:rFonts w:ascii="仿宋_GB2312" w:hAnsi="仿宋_GB2312" w:eastAsia="仿宋_GB2312" w:cs="仿宋_GB2312"/>
              </w:rPr>
              <w:t>★</w:t>
            </w:r>
          </w:p>
        </w:tc>
        <w:tc>
          <w:tcPr>
            <w:tcW w:w="2076" w:type="dxa"/>
          </w:tcPr>
          <w:p w14:paraId="60055287">
            <w:pPr>
              <w:pStyle w:val="4"/>
              <w:jc w:val="left"/>
            </w:pPr>
            <w:r>
              <w:rPr>
                <w:rFonts w:ascii="仿宋_GB2312" w:hAnsi="仿宋_GB2312" w:eastAsia="仿宋_GB2312" w:cs="仿宋_GB2312"/>
              </w:rPr>
              <w:t>违约责任与解决争议的方法</w:t>
            </w:r>
          </w:p>
        </w:tc>
        <w:tc>
          <w:tcPr>
            <w:tcW w:w="2076" w:type="dxa"/>
          </w:tcPr>
          <w:p w14:paraId="049DE4A6">
            <w:pPr>
              <w:pStyle w:val="4"/>
              <w:jc w:val="left"/>
            </w:pPr>
            <w:r>
              <w:rPr>
                <w:rFonts w:ascii="仿宋_GB2312" w:hAnsi="仿宋_GB2312" w:eastAsia="仿宋_GB2312" w:cs="仿宋_GB2312"/>
              </w:rPr>
              <w:t>1.采购人违约责任：（1）因采购人原因造成合同变更、中止：采购人擅自解除、中止或变更合同导致成交供应商权益受到损害时，采购人向成交供应商支付合同价款5‰的违约金。（2）采购人未按合同约定付款：采购人应当按照政府采购合同约定，向供应商支付采购资金，不得以机构变动、人员更替、政策调整等为由延迟付款。不得将采购文件和合同中未规定的义务作为向供应商付款的条件，因采购人原因延期付款的，供应商有权停止合同的履行，采购人除应及时支付外，每逾期一日应按照合同总金额的1‰向成交供应商支付逾期违约金。逾期超过30日，供应商有权单方面解除合同，采购人向供应商支付合同价款3%的违约金。2.供应商违约责任：（1）供应商擅自解除、中止或变更合同导致采购人权益受到损害时，成交供应商向采购人支付合同价款5‰的违约金。（2）如因成交供应商在履行过程中的疏忽、失职、过错等故意或者过失原因给采购人造成损失或侵害，包括但不限于采购人本身的财产损失、由此而导致的采购人对任何第三方的法律责任等，成交供应商对此均应承担全部的赔偿责任。 （3）供应商须按合同约定的期限履行建设工作，未按合同约定期限的提供成果的，延期1日，供应商应承担合同总价的1‰作为违约金，若供应商延期时间超过30日的，由供应商承担全部责任，由供应商退还已拨付资金并向采购人支付合同价款3%的违约金。（4）若成交方将本项目直接或间接转包，采购人有权单方面解除合同，并由供应商承担全部责任。（5）采购人有权监督成交供应商服务过程，发现未按要求、标准提供服务等违约情形，采购人将下达整改通知书，成交供应商应在限期内整改。成交供应商拒绝整改或经两次整改仍未合格的，采购人有权解除合同，由供应商退还已拨付资金并向采购人支付合同价款1%的违约金。3.解决争议的方法 合同履行期间,若双方发生争议，向甲方所在地人民法院起诉。</w:t>
            </w:r>
          </w:p>
        </w:tc>
      </w:tr>
    </w:tbl>
    <w:p w14:paraId="1AD3B98D">
      <w:pPr>
        <w:pStyle w:val="4"/>
        <w:jc w:val="left"/>
        <w:outlineLvl w:val="2"/>
      </w:pPr>
      <w:r>
        <w:rPr>
          <w:rFonts w:ascii="仿宋_GB2312" w:hAnsi="仿宋_GB2312" w:eastAsia="仿宋_GB2312" w:cs="仿宋_GB2312"/>
          <w:b/>
          <w:sz w:val="28"/>
        </w:rPr>
        <w:t>4.其他要求</w:t>
      </w:r>
    </w:p>
    <w:p w14:paraId="059623A2">
      <w:pPr>
        <w:pStyle w:val="4"/>
        <w:ind w:firstLine="480"/>
        <w:jc w:val="left"/>
      </w:pPr>
      <w:r>
        <w:rPr>
          <w:rFonts w:ascii="仿宋_GB2312" w:hAnsi="仿宋_GB2312" w:eastAsia="仿宋_GB2312" w:cs="仿宋_GB2312"/>
        </w:rPr>
        <w:t>采购包1：</w:t>
      </w:r>
    </w:p>
    <w:p w14:paraId="6E8509B2">
      <w:pPr>
        <w:pStyle w:val="4"/>
        <w:jc w:val="left"/>
      </w:pPr>
      <w:r>
        <w:rPr>
          <w:rFonts w:ascii="仿宋_GB2312" w:hAnsi="仿宋_GB2312" w:eastAsia="仿宋_GB2312" w:cs="仿宋_GB2312"/>
        </w:rPr>
        <w:t>供应商仅需在《关于符合本国产品标准的声明函》中填写电梯智能监控摄像机、老人检测手环相关信息（本条无需供应商在技术服务应答表中响应）。</w:t>
      </w:r>
    </w:p>
    <w:p w14:paraId="51EDE879">
      <w:pPr>
        <w:pStyle w:val="4"/>
        <w:rPr>
          <w:rFonts w:hint="eastAsia"/>
          <w:lang w:val="en-US" w:eastAsia="zh-Hans"/>
        </w:rPr>
      </w:pPr>
      <w:r>
        <w:rPr>
          <w:rFonts w:ascii="仿宋_GB2312" w:hAnsi="仿宋_GB2312" w:eastAsia="仿宋_GB2312" w:cs="仿宋_GB231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35C5282F"/>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2268</Words>
  <Characters>2493</Characters>
  <Lines>0</Lines>
  <Paragraphs>0</Paragraphs>
  <TotalTime>1</TotalTime>
  <ScaleCrop>false</ScaleCrop>
  <LinksUpToDate>false</LinksUpToDate>
  <CharactersWithSpaces>2534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PC</dc:creator>
  <cp:lastModifiedBy>。。。</cp:lastModifiedBy>
  <dcterms:modified xsi:type="dcterms:W3CDTF">2026-09-09T07:19:15Z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eyJoZGlkIjoiNmU2MTYyMGVmOWE3NDQ2N2VkMDQzYTg3NjE0YjRkMzAiLCJ1c2VySWQiOiIxNjg5Nzk0ODQwIn0=</vt:lpwstr>
  </property>
  <property fmtid="{D5CDD505-2E9C-101B-9397-08002B2CF9AE}" pid="4" name="ICV">
    <vt:lpwstr>00BCD296E35149528B608D5BF3CD8D24_13</vt:lpwstr>
  </property>
</Properties>
</file>