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版本号：N512001202600003920260319001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“天府森林碳库”建设关键技术推广示范项目-柏肤小蠹综合防治示范项目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N5120012026000039</w:t>
      </w:r>
    </w:p>
    <w:p>
      <w:pPr>
        <w:pStyle w:val="null3"/>
        <w:jc w:val="center"/>
        <w:outlineLvl w:val="2"/>
      </w:pPr>
      <w:r>
        <w:rPr>
          <w:rFonts w:ascii="仿宋_GB2312" w:hAnsi="仿宋_GB2312" w:cs="仿宋_GB2312" w:eastAsia="仿宋_GB2312"/>
          <w:sz w:val="28"/>
          <w:b/>
        </w:rPr>
        <w:t>资阳市自然资源和规划局</w:t>
      </w:r>
    </w:p>
    <w:p>
      <w:pPr>
        <w:pStyle w:val="null3"/>
        <w:jc w:val="center"/>
        <w:outlineLvl w:val="2"/>
      </w:pPr>
      <w:r>
        <w:rPr>
          <w:rFonts w:ascii="仿宋_GB2312" w:hAnsi="仿宋_GB2312" w:cs="仿宋_GB2312" w:eastAsia="仿宋_GB2312"/>
          <w:sz w:val="28"/>
          <w:b/>
        </w:rPr>
        <w:t>四川鹏宸项目管理有限公司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四川鹏宸项目管理有限公司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资阳市自然资源和规划局</w:t>
      </w:r>
      <w:r>
        <w:rPr>
          <w:rFonts w:ascii="仿宋_GB2312" w:hAnsi="仿宋_GB2312" w:cs="仿宋_GB2312" w:eastAsia="仿宋_GB2312"/>
        </w:rPr>
        <w:t xml:space="preserve"> 委托，拟对 </w:t>
      </w:r>
      <w:r>
        <w:rPr>
          <w:rFonts w:ascii="仿宋_GB2312" w:hAnsi="仿宋_GB2312" w:cs="仿宋_GB2312" w:eastAsia="仿宋_GB2312"/>
        </w:rPr>
        <w:t>“天府森林碳库”建设关键技术推广示范项目-柏肤小蠹综合防治示范项目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N5120012026000039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“天府森林碳库”建设关键技术推广示范项目-柏肤小蠹综合防治示范项目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资阳市自然资源和规划局拟通过本次采购确定一名供应商完成本项目的全部工作内容。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1、无（描述：无）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资阳市自然资源和规划局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资阳市雁江区娇子大道二段118号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028-26538585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四川鹏宸项目管理有限公司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四川省成都市金牛区四川省成都市高新区（西区）汇川街166号1栋10层10号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18482194196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代理服务费收费标准：计费标准以成交价的1.5%为基础、下浮20%收取，代理服务费不足0.35万元的，按0.35万元收取，由中标人(成交供应商)在领取中标(成交)通知书前向乙方支付。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资阳市自然资源和规划局</w:t>
      </w:r>
      <w:r>
        <w:rPr>
          <w:rFonts w:ascii="仿宋_GB2312" w:hAnsi="仿宋_GB2312" w:cs="仿宋_GB2312" w:eastAsia="仿宋_GB2312"/>
        </w:rPr>
        <w:t xml:space="preserve"> 和 </w:t>
      </w:r>
      <w:r>
        <w:rPr>
          <w:rFonts w:ascii="仿宋_GB2312" w:hAnsi="仿宋_GB2312" w:cs="仿宋_GB2312" w:eastAsia="仿宋_GB2312"/>
        </w:rPr>
        <w:t>四川鹏宸项目管理有限公司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资阳市自然资源和规划局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四川鹏宸项目管理有限公司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完成合同约定的全部工作内容</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按国家有关规定以及本项目采购文件的质量要求和技术指标、成交供应商的响应文件及承诺与本合同约定标准进行技术履约验收。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按照采购文件商务要求及成交供应商响应内容进行商务履约验收。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提交采购人履约验收的项目，必须符合采购文件的技术参数与性能指标要求及成交供应商响应文件进行验收，验收结果合格的，采购人应向成交供应商出具履约验收报告，成交供应商凭验收报告办理相关手续。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履约验收主体：资阳市自然资源和规划局</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资阳市自然资源和规划局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四川鹏宸项目管理有限公司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四川鹏宸项目管理有限公司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联系人：孙燕</w:t>
      </w:r>
    </w:p>
    <w:p>
      <w:pPr>
        <w:pStyle w:val="null3"/>
        <w:jc w:val="left"/>
      </w:pPr>
      <w:r>
        <w:rPr>
          <w:rFonts w:ascii="仿宋_GB2312" w:hAnsi="仿宋_GB2312" w:cs="仿宋_GB2312" w:eastAsia="仿宋_GB2312"/>
        </w:rPr>
        <w:t>联系电话：18328229089</w:t>
      </w:r>
    </w:p>
    <w:p>
      <w:pPr>
        <w:pStyle w:val="null3"/>
        <w:jc w:val="left"/>
      </w:pPr>
      <w:r>
        <w:rPr>
          <w:rFonts w:ascii="仿宋_GB2312" w:hAnsi="仿宋_GB2312" w:cs="仿宋_GB2312" w:eastAsia="仿宋_GB2312"/>
        </w:rPr>
        <w:t>地址：资阳市雁江区娇子大道二段118号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联系人：杨凯</w:t>
      </w:r>
    </w:p>
    <w:p>
      <w:pPr>
        <w:pStyle w:val="null3"/>
        <w:jc w:val="left"/>
      </w:pPr>
      <w:r>
        <w:rPr>
          <w:rFonts w:ascii="仿宋_GB2312" w:hAnsi="仿宋_GB2312" w:cs="仿宋_GB2312" w:eastAsia="仿宋_GB2312"/>
        </w:rPr>
        <w:t>联系电话：18482194196</w:t>
      </w:r>
    </w:p>
    <w:p>
      <w:pPr>
        <w:pStyle w:val="null3"/>
        <w:jc w:val="left"/>
      </w:pPr>
      <w:r>
        <w:rPr>
          <w:rFonts w:ascii="仿宋_GB2312" w:hAnsi="仿宋_GB2312" w:cs="仿宋_GB2312" w:eastAsia="仿宋_GB2312"/>
        </w:rPr>
        <w:t>地址：四川省成都市金牛区四川省成都市高新区(西区)汇川街166号1栋10层10号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C09020400 林业有害生物防治服务</w:t>
            </w:r>
          </w:p>
        </w:tc>
        <w:tc>
          <w:tcPr>
            <w:tcW w:type="dxa" w:w="821"/>
          </w:tcPr>
          <w:p>
            <w:pPr>
              <w:pStyle w:val="null3"/>
              <w:jc w:val="left"/>
            </w:pPr>
            <w:r>
              <w:rPr>
                <w:rFonts w:ascii="仿宋_GB2312" w:hAnsi="仿宋_GB2312" w:cs="仿宋_GB2312" w:eastAsia="仿宋_GB2312"/>
              </w:rPr>
              <w:t>柏肤小蠹综合防治</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柏肤小蠹综合防治</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标的名称：柏肤小蠹综合防治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柏肤小蠹综合防治</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5"/>
              <w:gridCol w:w="278"/>
              <w:gridCol w:w="599"/>
              <w:gridCol w:w="4306"/>
            </w:tblGrid>
            <w:tr>
              <w:tc>
                <w:tcPr>
                  <w:tcW w:type="dxa" w:w="405"/>
                  <w:tcBorders>
                    <w:top w:val="single" w:color="333333" w:sz="4"/>
                    <w:left w:val="single" w:color="333333"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参数性质</w:t>
                  </w:r>
                </w:p>
              </w:tc>
              <w:tc>
                <w:tcPr>
                  <w:tcW w:type="dxa" w:w="278"/>
                  <w:tcBorders>
                    <w:top w:val="single" w:color="333333" w:sz="4"/>
                    <w:left w:val="none" w:color="000000"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序号</w:t>
                  </w:r>
                </w:p>
              </w:tc>
              <w:tc>
                <w:tcPr>
                  <w:tcW w:type="dxa" w:w="599"/>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p>
              </w:tc>
              <w:tc>
                <w:tcPr>
                  <w:tcW w:type="dxa" w:w="4306"/>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技术参数与性能指标</w:t>
                  </w:r>
                </w:p>
              </w:tc>
            </w:tr>
            <w:tr>
              <w:tc>
                <w:tcPr>
                  <w:tcW w:type="dxa" w:w="405"/>
                  <w:tcBorders>
                    <w:top w:val="none" w:color="000000" w:sz="4"/>
                    <w:left w:val="single" w:color="333333"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w:t>
                  </w:r>
                </w:p>
              </w:tc>
              <w:tc>
                <w:tcPr>
                  <w:tcW w:type="dxa" w:w="278"/>
                  <w:tcBorders>
                    <w:top w:val="none" w:color="000000" w:sz="4"/>
                    <w:left w:val="none" w:color="000000"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1</w:t>
                  </w:r>
                </w:p>
              </w:tc>
              <w:tc>
                <w:tcPr>
                  <w:tcW w:type="dxa" w:w="599"/>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服务内容</w:t>
                  </w:r>
                </w:p>
              </w:tc>
              <w:tc>
                <w:tcPr>
                  <w:tcW w:type="dxa" w:w="4306"/>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4"/>
                    </w:rPr>
                    <w:t>（一）化学防治服务</w:t>
                  </w:r>
                </w:p>
                <w:p>
                  <w:pPr>
                    <w:pStyle w:val="null3"/>
                    <w:jc w:val="left"/>
                  </w:pPr>
                  <w:r>
                    <w:rPr>
                      <w:rFonts w:ascii="仿宋_GB2312" w:hAnsi="仿宋_GB2312" w:cs="仿宋_GB2312" w:eastAsia="仿宋_GB2312"/>
                      <w:sz w:val="24"/>
                    </w:rPr>
                    <w:t>服务</w:t>
                  </w:r>
                  <w:r>
                    <w:rPr>
                      <w:rFonts w:ascii="仿宋_GB2312" w:hAnsi="仿宋_GB2312" w:cs="仿宋_GB2312" w:eastAsia="仿宋_GB2312"/>
                      <w:sz w:val="24"/>
                    </w:rPr>
                    <w:t>内容：采用无人机对</w:t>
                  </w:r>
                  <w:r>
                    <w:rPr>
                      <w:rFonts w:ascii="仿宋_GB2312" w:hAnsi="仿宋_GB2312" w:cs="仿宋_GB2312" w:eastAsia="仿宋_GB2312"/>
                      <w:sz w:val="24"/>
                    </w:rPr>
                    <w:t>450</w:t>
                  </w:r>
                  <w:r>
                    <w:rPr>
                      <w:rFonts w:ascii="仿宋_GB2312" w:hAnsi="仿宋_GB2312" w:cs="仿宋_GB2312" w:eastAsia="仿宋_GB2312"/>
                      <w:sz w:val="24"/>
                    </w:rPr>
                    <w:t>亩示范基地开展柏肤小蠹成虫期化学防治，全年施药</w:t>
                  </w:r>
                  <w:r>
                    <w:rPr>
                      <w:rFonts w:ascii="仿宋_GB2312" w:hAnsi="仿宋_GB2312" w:cs="仿宋_GB2312" w:eastAsia="仿宋_GB2312"/>
                      <w:sz w:val="24"/>
                    </w:rPr>
                    <w:t>2</w:t>
                  </w:r>
                  <w:r>
                    <w:rPr>
                      <w:rFonts w:ascii="仿宋_GB2312" w:hAnsi="仿宋_GB2312" w:cs="仿宋_GB2312" w:eastAsia="仿宋_GB2312"/>
                      <w:sz w:val="24"/>
                    </w:rPr>
                    <w:t>次（春季</w:t>
                  </w:r>
                  <w:r>
                    <w:rPr>
                      <w:rFonts w:ascii="仿宋_GB2312" w:hAnsi="仿宋_GB2312" w:cs="仿宋_GB2312" w:eastAsia="仿宋_GB2312"/>
                      <w:sz w:val="24"/>
                    </w:rPr>
                    <w:t>3-4</w:t>
                  </w:r>
                  <w:r>
                    <w:rPr>
                      <w:rFonts w:ascii="仿宋_GB2312" w:hAnsi="仿宋_GB2312" w:cs="仿宋_GB2312" w:eastAsia="仿宋_GB2312"/>
                      <w:sz w:val="24"/>
                    </w:rPr>
                    <w:t>月、夏季</w:t>
                  </w:r>
                  <w:r>
                    <w:rPr>
                      <w:rFonts w:ascii="仿宋_GB2312" w:hAnsi="仿宋_GB2312" w:cs="仿宋_GB2312" w:eastAsia="仿宋_GB2312"/>
                      <w:sz w:val="24"/>
                    </w:rPr>
                    <w:t>6-7</w:t>
                  </w:r>
                  <w:r>
                    <w:rPr>
                      <w:rFonts w:ascii="仿宋_GB2312" w:hAnsi="仿宋_GB2312" w:cs="仿宋_GB2312" w:eastAsia="仿宋_GB2312"/>
                      <w:sz w:val="24"/>
                    </w:rPr>
                    <w:t>月各</w:t>
                  </w:r>
                  <w:r>
                    <w:rPr>
                      <w:rFonts w:ascii="仿宋_GB2312" w:hAnsi="仿宋_GB2312" w:cs="仿宋_GB2312" w:eastAsia="仿宋_GB2312"/>
                      <w:sz w:val="24"/>
                    </w:rPr>
                    <w:t>1</w:t>
                  </w:r>
                  <w:r>
                    <w:rPr>
                      <w:rFonts w:ascii="仿宋_GB2312" w:hAnsi="仿宋_GB2312" w:cs="仿宋_GB2312" w:eastAsia="仿宋_GB2312"/>
                      <w:sz w:val="24"/>
                    </w:rPr>
                    <w:t>次），重点覆盖虫源木及林缘周围。</w:t>
                  </w:r>
                </w:p>
                <w:p>
                  <w:pPr>
                    <w:pStyle w:val="null3"/>
                    <w:jc w:val="left"/>
                  </w:pPr>
                  <w:r>
                    <w:rPr>
                      <w:rFonts w:ascii="仿宋_GB2312" w:hAnsi="仿宋_GB2312" w:cs="仿宋_GB2312" w:eastAsia="仿宋_GB2312"/>
                      <w:sz w:val="24"/>
                    </w:rPr>
                    <w:t>质量</w:t>
                  </w:r>
                  <w:r>
                    <w:rPr>
                      <w:rFonts w:ascii="仿宋_GB2312" w:hAnsi="仿宋_GB2312" w:cs="仿宋_GB2312" w:eastAsia="仿宋_GB2312"/>
                      <w:sz w:val="24"/>
                    </w:rPr>
                    <w:t>标准：药剂类型选用低毒、环保型触杀或内吸性药剂（三种农药混合施用，复配：</w:t>
                  </w:r>
                  <w:r>
                    <w:rPr>
                      <w:rFonts w:ascii="仿宋_GB2312" w:hAnsi="仿宋_GB2312" w:cs="仿宋_GB2312" w:eastAsia="仿宋_GB2312"/>
                      <w:sz w:val="24"/>
                    </w:rPr>
                    <w:t>2%</w:t>
                  </w:r>
                  <w:r>
                    <w:rPr>
                      <w:rFonts w:ascii="仿宋_GB2312" w:hAnsi="仿宋_GB2312" w:cs="仿宋_GB2312" w:eastAsia="仿宋_GB2312"/>
                      <w:sz w:val="24"/>
                    </w:rPr>
                    <w:t>噻虫啉微囊悬浮剂</w:t>
                  </w:r>
                  <w:r>
                    <w:rPr>
                      <w:rFonts w:ascii="仿宋_GB2312" w:hAnsi="仿宋_GB2312" w:cs="仿宋_GB2312" w:eastAsia="仿宋_GB2312"/>
                      <w:sz w:val="24"/>
                    </w:rPr>
                    <w:t>2000</w:t>
                  </w:r>
                  <w:r>
                    <w:rPr>
                      <w:rFonts w:ascii="仿宋_GB2312" w:hAnsi="仿宋_GB2312" w:cs="仿宋_GB2312" w:eastAsia="仿宋_GB2312"/>
                      <w:sz w:val="24"/>
                    </w:rPr>
                    <w:t>倍、</w:t>
                  </w:r>
                  <w:r>
                    <w:rPr>
                      <w:rFonts w:ascii="仿宋_GB2312" w:hAnsi="仿宋_GB2312" w:cs="仿宋_GB2312" w:eastAsia="仿宋_GB2312"/>
                      <w:sz w:val="24"/>
                    </w:rPr>
                    <w:t>8%</w:t>
                  </w:r>
                  <w:r>
                    <w:rPr>
                      <w:rFonts w:ascii="仿宋_GB2312" w:hAnsi="仿宋_GB2312" w:cs="仿宋_GB2312" w:eastAsia="仿宋_GB2312"/>
                      <w:sz w:val="24"/>
                    </w:rPr>
                    <w:t>氯氰菊酯微胶囊剂</w:t>
                  </w:r>
                  <w:r>
                    <w:rPr>
                      <w:rFonts w:ascii="仿宋_GB2312" w:hAnsi="仿宋_GB2312" w:cs="仿宋_GB2312" w:eastAsia="仿宋_GB2312"/>
                      <w:sz w:val="24"/>
                    </w:rPr>
                    <w:t>300</w:t>
                  </w:r>
                  <w:r>
                    <w:rPr>
                      <w:rFonts w:ascii="仿宋_GB2312" w:hAnsi="仿宋_GB2312" w:cs="仿宋_GB2312" w:eastAsia="仿宋_GB2312"/>
                      <w:sz w:val="24"/>
                    </w:rPr>
                    <w:t>倍液～</w:t>
                  </w:r>
                  <w:r>
                    <w:rPr>
                      <w:rFonts w:ascii="仿宋_GB2312" w:hAnsi="仿宋_GB2312" w:cs="仿宋_GB2312" w:eastAsia="仿宋_GB2312"/>
                      <w:sz w:val="24"/>
                    </w:rPr>
                    <w:t>500</w:t>
                  </w:r>
                  <w:r>
                    <w:rPr>
                      <w:rFonts w:ascii="仿宋_GB2312" w:hAnsi="仿宋_GB2312" w:cs="仿宋_GB2312" w:eastAsia="仿宋_GB2312"/>
                      <w:sz w:val="24"/>
                    </w:rPr>
                    <w:t>倍液、</w:t>
                  </w:r>
                  <w:r>
                    <w:rPr>
                      <w:rFonts w:ascii="仿宋_GB2312" w:hAnsi="仿宋_GB2312" w:cs="仿宋_GB2312" w:eastAsia="仿宋_GB2312"/>
                      <w:sz w:val="24"/>
                    </w:rPr>
                    <w:t>1.2%</w:t>
                  </w:r>
                  <w:r>
                    <w:rPr>
                      <w:rFonts w:ascii="仿宋_GB2312" w:hAnsi="仿宋_GB2312" w:cs="仿宋_GB2312" w:eastAsia="仿宋_GB2312"/>
                      <w:sz w:val="24"/>
                    </w:rPr>
                    <w:t>烟参碱或苦参碱乳油</w:t>
                  </w:r>
                  <w:r>
                    <w:rPr>
                      <w:rFonts w:ascii="仿宋_GB2312" w:hAnsi="仿宋_GB2312" w:cs="仿宋_GB2312" w:eastAsia="仿宋_GB2312"/>
                      <w:sz w:val="24"/>
                    </w:rPr>
                    <w:t>1000</w:t>
                  </w:r>
                  <w:r>
                    <w:rPr>
                      <w:rFonts w:ascii="仿宋_GB2312" w:hAnsi="仿宋_GB2312" w:cs="仿宋_GB2312" w:eastAsia="仿宋_GB2312"/>
                      <w:sz w:val="24"/>
                    </w:rPr>
                    <w:t>倍液），施药面积</w:t>
                  </w:r>
                  <w:r>
                    <w:rPr>
                      <w:rFonts w:ascii="仿宋_GB2312" w:hAnsi="仿宋_GB2312" w:cs="仿宋_GB2312" w:eastAsia="仿宋_GB2312"/>
                      <w:sz w:val="24"/>
                    </w:rPr>
                    <w:t>450</w:t>
                  </w:r>
                  <w:r>
                    <w:rPr>
                      <w:rFonts w:ascii="仿宋_GB2312" w:hAnsi="仿宋_GB2312" w:cs="仿宋_GB2312" w:eastAsia="仿宋_GB2312"/>
                      <w:sz w:val="24"/>
                    </w:rPr>
                    <w:t>亩，施药浓度和用量按产品说明书执行；根据气象资料确保无人机作业后</w:t>
                  </w:r>
                  <w:r>
                    <w:rPr>
                      <w:rFonts w:ascii="仿宋_GB2312" w:hAnsi="仿宋_GB2312" w:cs="仿宋_GB2312" w:eastAsia="仿宋_GB2312"/>
                      <w:sz w:val="24"/>
                    </w:rPr>
                    <w:t>24</w:t>
                  </w:r>
                  <w:r>
                    <w:rPr>
                      <w:rFonts w:ascii="仿宋_GB2312" w:hAnsi="仿宋_GB2312" w:cs="仿宋_GB2312" w:eastAsia="仿宋_GB2312"/>
                      <w:sz w:val="24"/>
                    </w:rPr>
                    <w:t>小时内无降雨。</w:t>
                  </w:r>
                </w:p>
                <w:p>
                  <w:pPr>
                    <w:pStyle w:val="null3"/>
                    <w:jc w:val="left"/>
                  </w:pPr>
                  <w:r>
                    <w:rPr>
                      <w:rFonts w:ascii="仿宋_GB2312" w:hAnsi="仿宋_GB2312" w:cs="仿宋_GB2312" w:eastAsia="仿宋_GB2312"/>
                      <w:sz w:val="24"/>
                    </w:rPr>
                    <w:t>（二）生物防治服务</w:t>
                  </w:r>
                </w:p>
                <w:p>
                  <w:pPr>
                    <w:pStyle w:val="null3"/>
                    <w:jc w:val="left"/>
                  </w:pPr>
                  <w:r>
                    <w:rPr>
                      <w:rFonts w:ascii="仿宋_GB2312" w:hAnsi="仿宋_GB2312" w:cs="仿宋_GB2312" w:eastAsia="仿宋_GB2312"/>
                      <w:sz w:val="24"/>
                    </w:rPr>
                    <w:t>服务</w:t>
                  </w:r>
                  <w:r>
                    <w:rPr>
                      <w:rFonts w:ascii="仿宋_GB2312" w:hAnsi="仿宋_GB2312" w:cs="仿宋_GB2312" w:eastAsia="仿宋_GB2312"/>
                      <w:sz w:val="24"/>
                    </w:rPr>
                    <w:t>内容：在</w:t>
                  </w:r>
                  <w:r>
                    <w:rPr>
                      <w:rFonts w:ascii="仿宋_GB2312" w:hAnsi="仿宋_GB2312" w:cs="仿宋_GB2312" w:eastAsia="仿宋_GB2312"/>
                      <w:sz w:val="24"/>
                    </w:rPr>
                    <w:t>450</w:t>
                  </w:r>
                  <w:r>
                    <w:rPr>
                      <w:rFonts w:ascii="仿宋_GB2312" w:hAnsi="仿宋_GB2312" w:cs="仿宋_GB2312" w:eastAsia="仿宋_GB2312"/>
                      <w:sz w:val="24"/>
                    </w:rPr>
                    <w:t>亩示范基地释放柏肤小蠹天敌（川硬皮肿腿蜂或管氏肿腿蜂），总释放量</w:t>
                  </w:r>
                  <w:r>
                    <w:rPr>
                      <w:rFonts w:ascii="仿宋_GB2312" w:hAnsi="仿宋_GB2312" w:cs="仿宋_GB2312" w:eastAsia="仿宋_GB2312"/>
                      <w:sz w:val="24"/>
                    </w:rPr>
                    <w:t>20</w:t>
                  </w:r>
                  <w:r>
                    <w:rPr>
                      <w:rFonts w:ascii="仿宋_GB2312" w:hAnsi="仿宋_GB2312" w:cs="仿宋_GB2312" w:eastAsia="仿宋_GB2312"/>
                      <w:sz w:val="24"/>
                    </w:rPr>
                    <w:t>万头，单次较为均匀释放量</w:t>
                  </w:r>
                  <w:r>
                    <w:rPr>
                      <w:rFonts w:ascii="仿宋_GB2312" w:hAnsi="仿宋_GB2312" w:cs="仿宋_GB2312" w:eastAsia="仿宋_GB2312"/>
                      <w:sz w:val="24"/>
                    </w:rPr>
                    <w:t>10</w:t>
                  </w:r>
                  <w:r>
                    <w:rPr>
                      <w:rFonts w:ascii="仿宋_GB2312" w:hAnsi="仿宋_GB2312" w:cs="仿宋_GB2312" w:eastAsia="仿宋_GB2312"/>
                      <w:sz w:val="24"/>
                    </w:rPr>
                    <w:t>万头，分</w:t>
                  </w:r>
                  <w:r>
                    <w:rPr>
                      <w:rFonts w:ascii="仿宋_GB2312" w:hAnsi="仿宋_GB2312" w:cs="仿宋_GB2312" w:eastAsia="仿宋_GB2312"/>
                      <w:sz w:val="24"/>
                    </w:rPr>
                    <w:t>2</w:t>
                  </w:r>
                  <w:r>
                    <w:rPr>
                      <w:rFonts w:ascii="仿宋_GB2312" w:hAnsi="仿宋_GB2312" w:cs="仿宋_GB2312" w:eastAsia="仿宋_GB2312"/>
                      <w:sz w:val="24"/>
                    </w:rPr>
                    <w:t>次进行（</w:t>
                  </w:r>
                  <w:r>
                    <w:rPr>
                      <w:rFonts w:ascii="仿宋_GB2312" w:hAnsi="仿宋_GB2312" w:cs="仿宋_GB2312" w:eastAsia="仿宋_GB2312"/>
                      <w:sz w:val="24"/>
                    </w:rPr>
                    <w:t>4</w:t>
                  </w:r>
                  <w:r>
                    <w:rPr>
                      <w:rFonts w:ascii="仿宋_GB2312" w:hAnsi="仿宋_GB2312" w:cs="仿宋_GB2312" w:eastAsia="仿宋_GB2312"/>
                      <w:sz w:val="24"/>
                    </w:rPr>
                    <w:t>月中旬、</w:t>
                  </w:r>
                  <w:r>
                    <w:rPr>
                      <w:rFonts w:ascii="仿宋_GB2312" w:hAnsi="仿宋_GB2312" w:cs="仿宋_GB2312" w:eastAsia="仿宋_GB2312"/>
                      <w:sz w:val="24"/>
                    </w:rPr>
                    <w:t>5</w:t>
                  </w:r>
                  <w:r>
                    <w:rPr>
                      <w:rFonts w:ascii="仿宋_GB2312" w:hAnsi="仿宋_GB2312" w:cs="仿宋_GB2312" w:eastAsia="仿宋_GB2312"/>
                      <w:sz w:val="24"/>
                    </w:rPr>
                    <w:t>月上旬各</w:t>
                  </w:r>
                  <w:r>
                    <w:rPr>
                      <w:rFonts w:ascii="仿宋_GB2312" w:hAnsi="仿宋_GB2312" w:cs="仿宋_GB2312" w:eastAsia="仿宋_GB2312"/>
                      <w:sz w:val="24"/>
                    </w:rPr>
                    <w:t>1</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质量</w:t>
                  </w:r>
                  <w:r>
                    <w:rPr>
                      <w:rFonts w:ascii="仿宋_GB2312" w:hAnsi="仿宋_GB2312" w:cs="仿宋_GB2312" w:eastAsia="仿宋_GB2312"/>
                      <w:sz w:val="24"/>
                    </w:rPr>
                    <w:t>标准：天敌来源，提供合法渠道采购的寄生蜂，并确保释放前寄生蜂成虫活力良好（即时活虫率</w:t>
                  </w:r>
                  <w:r>
                    <w:rPr>
                      <w:rFonts w:ascii="仿宋_GB2312" w:hAnsi="仿宋_GB2312" w:cs="仿宋_GB2312" w:eastAsia="仿宋_GB2312"/>
                      <w:sz w:val="24"/>
                    </w:rPr>
                    <w:t>≥90%</w:t>
                  </w:r>
                  <w:r>
                    <w:rPr>
                      <w:rFonts w:ascii="仿宋_GB2312" w:hAnsi="仿宋_GB2312" w:cs="仿宋_GB2312" w:eastAsia="仿宋_GB2312"/>
                      <w:sz w:val="24"/>
                    </w:rPr>
                    <w:t>）；释放方式，人工点释放，直接将蜂卡挂于受害柏树中下部枝条。</w:t>
                  </w:r>
                </w:p>
                <w:p>
                  <w:pPr>
                    <w:pStyle w:val="null3"/>
                    <w:jc w:val="left"/>
                  </w:pPr>
                  <w:r>
                    <w:rPr>
                      <w:rFonts w:ascii="仿宋_GB2312" w:hAnsi="仿宋_GB2312" w:cs="仿宋_GB2312" w:eastAsia="仿宋_GB2312"/>
                      <w:sz w:val="24"/>
                    </w:rPr>
                    <w:t>（三）监测服务</w:t>
                  </w:r>
                </w:p>
                <w:p>
                  <w:pPr>
                    <w:pStyle w:val="null3"/>
                    <w:jc w:val="left"/>
                  </w:pPr>
                  <w:r>
                    <w:rPr>
                      <w:rFonts w:ascii="仿宋_GB2312" w:hAnsi="仿宋_GB2312" w:cs="仿宋_GB2312" w:eastAsia="仿宋_GB2312"/>
                      <w:sz w:val="24"/>
                    </w:rPr>
                    <w:t>服务</w:t>
                  </w:r>
                  <w:r>
                    <w:rPr>
                      <w:rFonts w:ascii="仿宋_GB2312" w:hAnsi="仿宋_GB2312" w:cs="仿宋_GB2312" w:eastAsia="仿宋_GB2312"/>
                      <w:sz w:val="24"/>
                    </w:rPr>
                    <w:t>内容：</w:t>
                  </w:r>
                  <w:r>
                    <w:rPr>
                      <w:rFonts w:ascii="仿宋_GB2312" w:hAnsi="仿宋_GB2312" w:cs="仿宋_GB2312" w:eastAsia="仿宋_GB2312"/>
                      <w:sz w:val="24"/>
                    </w:rPr>
                    <w:t>利用</w:t>
                  </w:r>
                  <w:r>
                    <w:rPr>
                      <w:rFonts w:ascii="仿宋_GB2312" w:hAnsi="仿宋_GB2312" w:cs="仿宋_GB2312" w:eastAsia="仿宋_GB2312"/>
                      <w:sz w:val="24"/>
                    </w:rPr>
                    <w:t>示范基地布设</w:t>
                  </w:r>
                  <w:r>
                    <w:rPr>
                      <w:rFonts w:ascii="仿宋_GB2312" w:hAnsi="仿宋_GB2312" w:cs="仿宋_GB2312" w:eastAsia="仿宋_GB2312"/>
                      <w:sz w:val="24"/>
                    </w:rPr>
                    <w:t>的</w:t>
                  </w:r>
                  <w:r>
                    <w:rPr>
                      <w:rFonts w:ascii="仿宋_GB2312" w:hAnsi="仿宋_GB2312" w:cs="仿宋_GB2312" w:eastAsia="仿宋_GB2312"/>
                      <w:sz w:val="24"/>
                    </w:rPr>
                    <w:t>诱捕器开展柏肤小蠹成虫发生期监测（</w:t>
                  </w:r>
                  <w:r>
                    <w:rPr>
                      <w:rFonts w:ascii="仿宋_GB2312" w:hAnsi="仿宋_GB2312" w:cs="仿宋_GB2312" w:eastAsia="仿宋_GB2312"/>
                      <w:sz w:val="24"/>
                    </w:rPr>
                    <w:t>合同签订当月至</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12</w:t>
                  </w:r>
                  <w:r>
                    <w:rPr>
                      <w:rFonts w:ascii="仿宋_GB2312" w:hAnsi="仿宋_GB2312" w:cs="仿宋_GB2312" w:eastAsia="仿宋_GB2312"/>
                      <w:sz w:val="24"/>
                    </w:rPr>
                    <w:t>月），记录诱捕数量、识别目标虫体种类，绘制各时期成虫数量曲线图，掌握成虫活动高峰期，并提交虫情监测报告。</w:t>
                  </w:r>
                </w:p>
                <w:p>
                  <w:pPr>
                    <w:pStyle w:val="null3"/>
                    <w:jc w:val="left"/>
                  </w:pPr>
                  <w:r>
                    <w:rPr>
                      <w:rFonts w:ascii="仿宋_GB2312" w:hAnsi="仿宋_GB2312" w:cs="仿宋_GB2312" w:eastAsia="仿宋_GB2312"/>
                      <w:sz w:val="24"/>
                    </w:rPr>
                    <w:t>质量</w:t>
                  </w:r>
                  <w:r>
                    <w:rPr>
                      <w:rFonts w:ascii="仿宋_GB2312" w:hAnsi="仿宋_GB2312" w:cs="仿宋_GB2312" w:eastAsia="仿宋_GB2312"/>
                      <w:sz w:val="24"/>
                    </w:rPr>
                    <w:t>标准：成虫发生期（</w:t>
                  </w:r>
                  <w:r>
                    <w:rPr>
                      <w:rFonts w:ascii="仿宋_GB2312" w:hAnsi="仿宋_GB2312" w:cs="仿宋_GB2312" w:eastAsia="仿宋_GB2312"/>
                      <w:sz w:val="24"/>
                    </w:rPr>
                    <w:t>3-7</w:t>
                  </w:r>
                  <w:r>
                    <w:rPr>
                      <w:rFonts w:ascii="仿宋_GB2312" w:hAnsi="仿宋_GB2312" w:cs="仿宋_GB2312" w:eastAsia="仿宋_GB2312"/>
                      <w:sz w:val="24"/>
                    </w:rPr>
                    <w:t>月）每</w:t>
                  </w:r>
                  <w:r>
                    <w:rPr>
                      <w:rFonts w:ascii="仿宋_GB2312" w:hAnsi="仿宋_GB2312" w:cs="仿宋_GB2312" w:eastAsia="仿宋_GB2312"/>
                      <w:sz w:val="24"/>
                    </w:rPr>
                    <w:t>15</w:t>
                  </w:r>
                  <w:r>
                    <w:rPr>
                      <w:rFonts w:ascii="仿宋_GB2312" w:hAnsi="仿宋_GB2312" w:cs="仿宋_GB2312" w:eastAsia="仿宋_GB2312"/>
                      <w:sz w:val="24"/>
                    </w:rPr>
                    <w:t>天调查</w:t>
                  </w:r>
                  <w:r>
                    <w:rPr>
                      <w:rFonts w:ascii="仿宋_GB2312" w:hAnsi="仿宋_GB2312" w:cs="仿宋_GB2312" w:eastAsia="仿宋_GB2312"/>
                      <w:sz w:val="24"/>
                    </w:rPr>
                    <w:t>1</w:t>
                  </w:r>
                  <w:r>
                    <w:rPr>
                      <w:rFonts w:ascii="仿宋_GB2312" w:hAnsi="仿宋_GB2312" w:cs="仿宋_GB2312" w:eastAsia="仿宋_GB2312"/>
                      <w:sz w:val="24"/>
                    </w:rPr>
                    <w:t>次，非发生期每月</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总监测次数不少于</w:t>
                  </w:r>
                  <w:r>
                    <w:rPr>
                      <w:rFonts w:ascii="仿宋_GB2312" w:hAnsi="仿宋_GB2312" w:cs="仿宋_GB2312" w:eastAsia="仿宋_GB2312"/>
                      <w:sz w:val="24"/>
                    </w:rPr>
                    <w:t>16</w:t>
                  </w:r>
                  <w:r>
                    <w:rPr>
                      <w:rFonts w:ascii="仿宋_GB2312" w:hAnsi="仿宋_GB2312" w:cs="仿宋_GB2312" w:eastAsia="仿宋_GB2312"/>
                      <w:sz w:val="24"/>
                    </w:rPr>
                    <w:t>次，</w:t>
                  </w:r>
                  <w:r>
                    <w:rPr>
                      <w:rFonts w:ascii="仿宋_GB2312" w:hAnsi="仿宋_GB2312" w:cs="仿宋_GB2312" w:eastAsia="仿宋_GB2312"/>
                      <w:sz w:val="24"/>
                    </w:rPr>
                    <w:t>记录诱捕数量。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诱捕器和诱芯</w:t>
                  </w:r>
                </w:p>
                <w:p>
                  <w:pPr>
                    <w:pStyle w:val="null3"/>
                    <w:jc w:val="left"/>
                  </w:pPr>
                  <w:r>
                    <w:rPr>
                      <w:rFonts w:ascii="仿宋_GB2312" w:hAnsi="仿宋_GB2312" w:cs="仿宋_GB2312" w:eastAsia="仿宋_GB2312"/>
                      <w:sz w:val="24"/>
                    </w:rPr>
                    <w:t>小蠹虫诱捕器：规格为塑料材质，含挡虫板、集虫器，配套铁丝挂钩</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小蠹虫诱芯：规格为</w:t>
                  </w:r>
                  <w:r>
                    <w:rPr>
                      <w:rFonts w:ascii="仿宋_GB2312" w:hAnsi="仿宋_GB2312" w:cs="仿宋_GB2312" w:eastAsia="仿宋_GB2312"/>
                      <w:sz w:val="24"/>
                    </w:rPr>
                    <w:t>250mL</w:t>
                  </w:r>
                  <w:r>
                    <w:rPr>
                      <w:rFonts w:ascii="仿宋_GB2312" w:hAnsi="仿宋_GB2312" w:cs="仿宋_GB2312" w:eastAsia="仿宋_GB2312"/>
                      <w:sz w:val="24"/>
                    </w:rPr>
                    <w:t>瓶装，内置缓释引诱剂（核心成分</w:t>
                  </w:r>
                  <w:r>
                    <w:rPr>
                      <w:rFonts w:ascii="仿宋_GB2312" w:hAnsi="仿宋_GB2312" w:cs="仿宋_GB2312" w:eastAsia="仿宋_GB2312"/>
                      <w:sz w:val="24"/>
                    </w:rPr>
                    <w:t>“</w:t>
                  </w:r>
                  <w:r>
                    <w:rPr>
                      <w:rFonts w:ascii="仿宋_GB2312" w:hAnsi="仿宋_GB2312" w:cs="仿宋_GB2312" w:eastAsia="仿宋_GB2312"/>
                      <w:sz w:val="24"/>
                    </w:rPr>
                    <w:t>柏木油</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香茅油</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四季橘精油</w:t>
                  </w:r>
                  <w:r>
                    <w:rPr>
                      <w:rFonts w:ascii="仿宋_GB2312" w:hAnsi="仿宋_GB2312" w:cs="仿宋_GB2312" w:eastAsia="仿宋_GB2312"/>
                      <w:sz w:val="24"/>
                    </w:rPr>
                    <w:t>”，</w:t>
                  </w:r>
                  <w:r>
                    <w:rPr>
                      <w:rFonts w:ascii="仿宋_GB2312" w:hAnsi="仿宋_GB2312" w:cs="仿宋_GB2312" w:eastAsia="仿宋_GB2312"/>
                      <w:sz w:val="24"/>
                    </w:rPr>
                    <w:t>含量</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，诱芯数量为</w:t>
                  </w:r>
                  <w:r>
                    <w:rPr>
                      <w:rFonts w:ascii="仿宋_GB2312" w:hAnsi="仿宋_GB2312" w:cs="仿宋_GB2312" w:eastAsia="仿宋_GB2312"/>
                      <w:sz w:val="24"/>
                    </w:rPr>
                    <w:t>900</w:t>
                  </w:r>
                  <w:r>
                    <w:rPr>
                      <w:rFonts w:ascii="仿宋_GB2312" w:hAnsi="仿宋_GB2312" w:cs="仿宋_GB2312" w:eastAsia="仿宋_GB2312"/>
                      <w:sz w:val="24"/>
                    </w:rPr>
                    <w:t>瓶（与诱捕器配套）</w:t>
                  </w:r>
                  <w:r>
                    <w:rPr>
                      <w:rFonts w:ascii="仿宋_GB2312" w:hAnsi="仿宋_GB2312" w:cs="仿宋_GB2312" w:eastAsia="仿宋_GB2312"/>
                      <w:sz w:val="24"/>
                    </w:rPr>
                    <w:t>。</w:t>
                  </w:r>
                </w:p>
              </w:tc>
            </w:tr>
            <w:tr>
              <w:tc>
                <w:tcPr>
                  <w:tcW w:type="dxa" w:w="405"/>
                  <w:tcBorders>
                    <w:top w:val="none" w:color="000000" w:sz="4"/>
                    <w:left w:val="single" w:color="333333"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w:t>
                  </w:r>
                </w:p>
              </w:tc>
              <w:tc>
                <w:tcPr>
                  <w:tcW w:type="dxa" w:w="278"/>
                  <w:tcBorders>
                    <w:top w:val="none" w:color="000000" w:sz="4"/>
                    <w:left w:val="none" w:color="000000"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2</w:t>
                  </w:r>
                </w:p>
              </w:tc>
              <w:tc>
                <w:tcPr>
                  <w:tcW w:type="dxa" w:w="599"/>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交付</w:t>
                  </w:r>
                </w:p>
                <w:p>
                  <w:pPr>
                    <w:pStyle w:val="null3"/>
                    <w:jc w:val="center"/>
                  </w:pPr>
                  <w:r>
                    <w:rPr>
                      <w:rFonts w:ascii="仿宋_GB2312" w:hAnsi="仿宋_GB2312" w:cs="仿宋_GB2312" w:eastAsia="仿宋_GB2312"/>
                      <w:sz w:val="24"/>
                    </w:rPr>
                    <w:t>要求</w:t>
                  </w:r>
                </w:p>
              </w:tc>
              <w:tc>
                <w:tcPr>
                  <w:tcW w:type="dxa" w:w="4306"/>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4"/>
                    </w:rPr>
                    <w:t>化学防治：施药完成后</w:t>
                  </w:r>
                  <w:r>
                    <w:rPr>
                      <w:rFonts w:ascii="仿宋_GB2312" w:hAnsi="仿宋_GB2312" w:cs="仿宋_GB2312" w:eastAsia="仿宋_GB2312"/>
                      <w:sz w:val="24"/>
                    </w:rPr>
                    <w:t>3</w:t>
                  </w:r>
                  <w:r>
                    <w:rPr>
                      <w:rFonts w:ascii="仿宋_GB2312" w:hAnsi="仿宋_GB2312" w:cs="仿宋_GB2312" w:eastAsia="仿宋_GB2312"/>
                      <w:sz w:val="24"/>
                    </w:rPr>
                    <w:t>个工作日内提交《施药记录表》（含时间、药剂名称、作业面积</w:t>
                  </w:r>
                  <w:r>
                    <w:rPr>
                      <w:rFonts w:ascii="仿宋_GB2312" w:hAnsi="仿宋_GB2312" w:cs="仿宋_GB2312" w:eastAsia="仿宋_GB2312"/>
                      <w:sz w:val="24"/>
                    </w:rPr>
                    <w:t>、工作现场图片等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生物防治：释放后</w:t>
                  </w:r>
                  <w:r>
                    <w:rPr>
                      <w:rFonts w:ascii="仿宋_GB2312" w:hAnsi="仿宋_GB2312" w:cs="仿宋_GB2312" w:eastAsia="仿宋_GB2312"/>
                      <w:sz w:val="24"/>
                    </w:rPr>
                    <w:t>7</w:t>
                  </w:r>
                  <w:r>
                    <w:rPr>
                      <w:rFonts w:ascii="仿宋_GB2312" w:hAnsi="仿宋_GB2312" w:cs="仿宋_GB2312" w:eastAsia="仿宋_GB2312"/>
                      <w:sz w:val="24"/>
                    </w:rPr>
                    <w:t>个工作日内提交《释放确认单》（含释放时间、数量、地点</w:t>
                  </w:r>
                  <w:r>
                    <w:rPr>
                      <w:rFonts w:ascii="仿宋_GB2312" w:hAnsi="仿宋_GB2312" w:cs="仿宋_GB2312" w:eastAsia="仿宋_GB2312"/>
                      <w:sz w:val="24"/>
                    </w:rPr>
                    <w:t>、工作现场图片等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监测服务：</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12</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日前提交《监测总结报告》（含诱捕数据统计表、成虫发生趋势分析</w:t>
                  </w:r>
                  <w:r>
                    <w:rPr>
                      <w:rFonts w:ascii="仿宋_GB2312" w:hAnsi="仿宋_GB2312" w:cs="仿宋_GB2312" w:eastAsia="仿宋_GB2312"/>
                      <w:sz w:val="24"/>
                    </w:rPr>
                    <w:t>、工作现场图片等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诱捕器和诱芯</w:t>
                  </w:r>
                  <w:r>
                    <w:rPr>
                      <w:rFonts w:ascii="仿宋_GB2312" w:hAnsi="仿宋_GB2312" w:cs="仿宋_GB2312" w:eastAsia="仿宋_GB2312"/>
                      <w:sz w:val="24"/>
                    </w:rPr>
                    <w:t>：合同签订后</w:t>
                  </w:r>
                  <w:r>
                    <w:rPr>
                      <w:rFonts w:ascii="仿宋_GB2312" w:hAnsi="仿宋_GB2312" w:cs="仿宋_GB2312" w:eastAsia="仿宋_GB2312"/>
                      <w:sz w:val="24"/>
                    </w:rPr>
                    <w:t>10</w:t>
                  </w:r>
                  <w:r>
                    <w:rPr>
                      <w:rFonts w:ascii="仿宋_GB2312" w:hAnsi="仿宋_GB2312" w:cs="仿宋_GB2312" w:eastAsia="仿宋_GB2312"/>
                      <w:sz w:val="24"/>
                    </w:rPr>
                    <w:t>个工作日内，将诱捕器、诱芯一次性运至指定地点，运输及装卸费用由供应商承担。</w:t>
                  </w:r>
                </w:p>
                <w:p>
                  <w:pPr>
                    <w:pStyle w:val="null3"/>
                    <w:jc w:val="left"/>
                  </w:pPr>
                  <w:r>
                    <w:rPr>
                      <w:rFonts w:ascii="仿宋_GB2312" w:hAnsi="仿宋_GB2312" w:cs="仿宋_GB2312" w:eastAsia="仿宋_GB2312"/>
                      <w:sz w:val="24"/>
                    </w:rPr>
                    <w:t>提交的成果包含病虫害种类名录、分布地图、危害程度评估报告、趋势预测分析及防治建议等</w:t>
                  </w:r>
                  <w:r>
                    <w:rPr>
                      <w:rFonts w:ascii="仿宋_GB2312" w:hAnsi="仿宋_GB2312" w:cs="仿宋_GB2312" w:eastAsia="仿宋_GB2312"/>
                      <w:sz w:val="24"/>
                    </w:rPr>
                    <w:t>，</w:t>
                  </w:r>
                  <w:r>
                    <w:rPr>
                      <w:rFonts w:ascii="仿宋_GB2312" w:hAnsi="仿宋_GB2312" w:cs="仿宋_GB2312" w:eastAsia="仿宋_GB2312"/>
                      <w:sz w:val="24"/>
                    </w:rPr>
                    <w:t>成果数据符合《林业有害生物调查技术规范》标准</w:t>
                  </w:r>
                  <w:r>
                    <w:rPr>
                      <w:rFonts w:ascii="仿宋_GB2312" w:hAnsi="仿宋_GB2312" w:cs="仿宋_GB2312" w:eastAsia="仿宋_GB2312"/>
                      <w:sz w:val="24"/>
                    </w:rPr>
                    <w:t>，且</w:t>
                  </w:r>
                  <w:r>
                    <w:rPr>
                      <w:rFonts w:ascii="仿宋_GB2312" w:hAnsi="仿宋_GB2312" w:cs="仿宋_GB2312" w:eastAsia="仿宋_GB2312"/>
                      <w:sz w:val="24"/>
                    </w:rPr>
                    <w:t>报</w:t>
                  </w:r>
                  <w:r>
                    <w:rPr>
                      <w:rFonts w:ascii="仿宋_GB2312" w:hAnsi="仿宋_GB2312" w:cs="仿宋_GB2312" w:eastAsia="仿宋_GB2312"/>
                      <w:sz w:val="24"/>
                    </w:rPr>
                    <w:t>告格式规范</w:t>
                  </w:r>
                  <w:r>
                    <w:rPr>
                      <w:rFonts w:ascii="仿宋_GB2312" w:hAnsi="仿宋_GB2312" w:cs="仿宋_GB2312" w:eastAsia="仿宋_GB2312"/>
                      <w:sz w:val="24"/>
                    </w:rPr>
                    <w:t>、图表清晰、术语准确</w:t>
                  </w:r>
                  <w:r>
                    <w:rPr>
                      <w:rFonts w:ascii="仿宋_GB2312" w:hAnsi="仿宋_GB2312" w:cs="仿宋_GB2312" w:eastAsia="仿宋_GB2312"/>
                      <w:sz w:val="24"/>
                    </w:rPr>
                    <w:t>。</w:t>
                  </w:r>
                </w:p>
              </w:tc>
            </w:tr>
            <w:tr>
              <w:tc>
                <w:tcPr>
                  <w:tcW w:type="dxa" w:w="405"/>
                  <w:tcBorders>
                    <w:top w:val="none" w:color="000000" w:sz="4"/>
                    <w:left w:val="single" w:color="333333"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w:t>
                  </w:r>
                </w:p>
              </w:tc>
              <w:tc>
                <w:tcPr>
                  <w:tcW w:type="dxa" w:w="278"/>
                  <w:tcBorders>
                    <w:top w:val="none" w:color="000000" w:sz="4"/>
                    <w:left w:val="none" w:color="000000" w:sz="4"/>
                    <w:bottom w:val="single" w:color="333333" w:sz="4"/>
                    <w:right w:val="single" w:color="000000"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3</w:t>
                  </w:r>
                </w:p>
              </w:tc>
              <w:tc>
                <w:tcPr>
                  <w:tcW w:type="dxa" w:w="599"/>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安全责任要求</w:t>
                  </w:r>
                </w:p>
              </w:tc>
              <w:tc>
                <w:tcPr>
                  <w:tcW w:type="dxa" w:w="4306"/>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4"/>
                    </w:rPr>
                    <w:t>在履行合同过程中，因供应商自身或其工作人员在履行</w:t>
                  </w:r>
                  <w:r>
                    <w:rPr>
                      <w:rFonts w:ascii="仿宋_GB2312" w:hAnsi="仿宋_GB2312" w:cs="仿宋_GB2312" w:eastAsia="仿宋_GB2312"/>
                      <w:sz w:val="24"/>
                    </w:rPr>
                    <w:t>合同</w:t>
                  </w:r>
                  <w:r>
                    <w:rPr>
                      <w:rFonts w:ascii="仿宋_GB2312" w:hAnsi="仿宋_GB2312" w:cs="仿宋_GB2312" w:eastAsia="仿宋_GB2312"/>
                      <w:sz w:val="24"/>
                    </w:rPr>
                    <w:t>过程中的疏忽、失职、过错等故意或者过失原因造成的人员安全责任及事故责任由供应商负责，如对采购人造成损失的，包括但不限于采购人本身的财产损失、由此而导致的采购人对任何第三方的法律责任等，供应商对此应承担相应的责任；在项目实施过程中，对人畜造成中毒，造成毒害或对防治作物和非防治作物产生药害，均由供应商承担责任。</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1"/>
              </w:rPr>
              <w:t>根据供应商针对本项目提供以下内容进行评审，所提供的内容将作为本项目评审依据，也将作为成交后履约过程中的监督及验收依据</w:t>
            </w:r>
            <w:r>
              <w:br/>
            </w:r>
            <w:r>
              <w:rPr>
                <w:rFonts w:ascii="仿宋_GB2312" w:hAnsi="仿宋_GB2312" w:cs="仿宋_GB2312" w:eastAsia="仿宋_GB2312"/>
                <w:sz w:val="21"/>
              </w:rPr>
              <w:t>1.服务方案:内容包括：①项目实施背景和重难点分析； ②人员配备及分工方案； ③质量保障方案； ④进度</w:t>
            </w:r>
            <w:r>
              <w:rPr>
                <w:rFonts w:ascii="仿宋_GB2312" w:hAnsi="仿宋_GB2312" w:cs="仿宋_GB2312" w:eastAsia="仿宋_GB2312"/>
                <w:sz w:val="21"/>
              </w:rPr>
              <w:t>保障方案； ⑤病虫害防治方案； ⑥服务配置所需产品、设备准备方案。</w:t>
            </w:r>
            <w:r>
              <w:br/>
            </w:r>
            <w:r>
              <w:rPr>
                <w:rFonts w:ascii="仿宋_GB2312" w:hAnsi="仿宋_GB2312" w:cs="仿宋_GB2312" w:eastAsia="仿宋_GB2312"/>
                <w:sz w:val="21"/>
              </w:rPr>
              <w:t xml:space="preserve">2.售后服务及经济方案：内容包括：①售后服务内容与期限；②应急响应机制；③售后保障措施。         </w:t>
            </w:r>
          </w:p>
          <w:p>
            <w:pPr>
              <w:pStyle w:val="null3"/>
              <w:jc w:val="left"/>
            </w:pPr>
            <w:r>
              <w:rPr>
                <w:rFonts w:ascii="仿宋_GB2312" w:hAnsi="仿宋_GB2312" w:cs="仿宋_GB2312" w:eastAsia="仿宋_GB2312"/>
                <w:sz w:val="21"/>
              </w:rPr>
              <w:t>3.履约能力:内容包括本项目类似案例的证明材料。</w:t>
            </w:r>
            <w:r>
              <w:br/>
            </w:r>
            <w:r>
              <w:rPr>
                <w:rFonts w:ascii="仿宋_GB2312" w:hAnsi="仿宋_GB2312" w:cs="仿宋_GB2312" w:eastAsia="仿宋_GB2312"/>
                <w:sz w:val="21"/>
              </w:rPr>
              <w:t xml:space="preserve"> 4.人员配置要求:内容包括本项目采购文件要求相关人员配置。</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:以上内容无需供应商在响应表中进行响应。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合同签订之日起60日内完成全部工作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（由于系统固化原因，若有与2.6.6.履约验收方案有冲突的，以此处为准）1、履约验收主体：资阳市自然资源和规划局。2、履约验收时间：完成合同约定的全部工作内容，达到验收条件起 10 日内，验收合同总金额的 100%。3、履约验收方式及程序：一次性验收。4、履约验收内容：技术履约验收内容：按照技术参数与性能指标验收。商务履约验收内容：按采购文件商务要求进行验收。5、履约验收标准：提交采购人履约验收的项目，必须符合采购文件的技术参数与性能指标要求及成交供应商响应文件进行验收，验收结果合格的，采购人应向成交供应商出具履约验收报告，成交供应商凭验收报告办理相关手续。6、验收交付标准和方法：①严格按照《财政部关于进一步加强政府采购需求和履约验收管理的指导意见》（财库〔2016〕205 号）及资阳市财政局《关于严格落实政府采购需求论证、合同备案和履约验收有关问题的通知》（资财采〔2019〕39号）的相关要求进行验收。②验收标准：依据竞争性磋商文件要求、相关行业标准、签订的合同为准。 ③验收依据包括但不限于：本项目竞争性磋商文件；本项目成交供应商响应文件。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1、预付款，合同签订，达到付款条件起20日内，支付合同总金额的40.00%</w:t>
            </w:r>
          </w:p>
          <w:p>
            <w:pPr>
              <w:pStyle w:val="null3"/>
              <w:jc w:val="left"/>
            </w:pPr>
            <w:r>
              <w:rPr>
                <w:rFonts w:ascii="仿宋_GB2312" w:hAnsi="仿宋_GB2312" w:cs="仿宋_GB2312" w:eastAsia="仿宋_GB2312"/>
              </w:rPr>
              <w:t>2、尾款，项目完成并验收合格后，达到付款条件起40日内，支付合同总金额的60.00%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和采购人双方必须遵守本合同并执行合同中的各项规定，保证本合同的合法正常履行。如供应商无法按照采购人要求履行合同义务，采购人有权终止合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因系统固化原因，本项目合同履行期限以本条描述为准。 化学防治：合同签订后分别于春季3-4月、夏季6-7月各1次施药。施药完成后3个工作日内提交《施药记录表》（含时间、药剂名称、作业面积、工作现场图片等）。 生物防治：合同签订后分别于4月中旬、5月上旬各1次释放柏肤小蠹天敌（川硬皮肿腿蜂或管氏肿腿蜂）。释放后7个工作日内提交《释放确认单》（含释放时间、数量、地点、工作现场图片等）。 监测服务：合同签订后10个工作日内开展监测，成虫发生期（3-7月）每15天调查1次，非发生期每月1次。2026年12月31日前提交《监测总结报告》（含诱捕数据统计表、成虫发生趋势分析、工作现场图片等）。 诱捕器和诱芯：合同签订后10个工作日内，将诱捕器、诱芯一次性运至指定地点，运输及装卸费用由供应商承担。（实质性要求）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以及提供以下证明材料：1.具有独立承担民事责任的能力（注：①供应商若为企业法人：提供“统一社会信用代码营业执照”；未换证的提供“营业执照、税务登记证、组织机构代码证”；②若为事业法人：提供“统一社会信用代码法人登记证书”；未换证的提交“事业 法人登记证书、组织机构代码证”；③若为其他组织：提供“对应主管部门颁发的准许执业证明文件或营业执照”；④若为自然人：提供“身份证明文件”。以上均提供复印件）。</w:t>
            </w:r>
          </w:p>
        </w:tc>
        <w:tc>
          <w:tcPr>
            <w:tcW w:type="dxa" w:w="1661"/>
          </w:tcPr>
          <w:p>
            <w:pPr>
              <w:pStyle w:val="null3"/>
              <w:jc w:val="left"/>
            </w:pPr>
            <w:r>
              <w:rPr>
                <w:rFonts w:ascii="仿宋_GB2312" w:hAnsi="仿宋_GB2312" w:cs="仿宋_GB2312" w:eastAsia="仿宋_GB2312"/>
              </w:rPr>
              <w:t>响应文件封面,具有独立承担民事责任的能力相关证明材料.docx,投标（响应）函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w:t>
            </w:r>
          </w:p>
        </w:tc>
        <w:tc>
          <w:tcPr>
            <w:tcW w:type="dxa" w:w="3322"/>
          </w:tcPr>
          <w:p>
            <w:pPr>
              <w:pStyle w:val="null3"/>
              <w:jc w:val="left"/>
            </w:pPr>
            <w:r>
              <w:rPr>
                <w:rFonts w:ascii="仿宋_GB2312" w:hAnsi="仿宋_GB2312" w:cs="仿宋_GB2312" w:eastAsia="仿宋_GB2312"/>
              </w:rPr>
              <w:t>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竞争性磋商文件规定的其他实质性要求。</w:t>
            </w:r>
          </w:p>
        </w:tc>
        <w:tc>
          <w:tcPr>
            <w:tcW w:type="dxa" w:w="3322"/>
          </w:tcPr>
          <w:p>
            <w:pPr>
              <w:pStyle w:val="null3"/>
              <w:jc w:val="left"/>
            </w:pPr>
            <w:r>
              <w:rPr>
                <w:rFonts w:ascii="仿宋_GB2312" w:hAnsi="仿宋_GB2312" w:cs="仿宋_GB2312" w:eastAsia="仿宋_GB2312"/>
              </w:rPr>
              <w:t>竞争性磋商文件规定的其他实质性要求。</w:t>
            </w:r>
          </w:p>
        </w:tc>
        <w:tc>
          <w:tcPr>
            <w:tcW w:type="dxa" w:w="1661"/>
          </w:tcPr>
          <w:p>
            <w:pPr>
              <w:pStyle w:val="null3"/>
              <w:jc w:val="left"/>
            </w:pPr>
            <w:r>
              <w:rPr>
                <w:rFonts w:ascii="仿宋_GB2312" w:hAnsi="仿宋_GB2312" w:cs="仿宋_GB2312" w:eastAsia="仿宋_GB2312"/>
              </w:rPr>
              <w:t>供应商应提交的相关证明材料,商务应答表.docx,技术要求应答表.docx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评审条款中的服务方案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根据供应商针对本项目制定的服务方案进行综合评审： ①项目实施背景和重难点分析； ②人员配备及分工方案； ③质量保障方案； ④进度保障方案； ⑤病虫害防治方案； ⑥服务配置所需产品、设备准备方案。以上6项内容满分48分。每缺少一项内容扣8分，每项中有一处内容存在缺陷的扣2分，每项最多扣8分，48分扣完为止。 注：“内容存在缺陷”是指：①本项目提供的方案中引用法律、规范、标准存在失效或错误；②非专门针对本项目或内容错漏；③复制或套用其他项目内容；④项目名称错误、实施地点错误；⑤凭空编造、逻辑漏洞、原理错误；以上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售后服务及应急方案</w:t>
            </w:r>
          </w:p>
        </w:tc>
        <w:tc>
          <w:tcPr>
            <w:tcW w:type="dxa" w:w="2575"/>
          </w:tcPr>
          <w:p>
            <w:pPr>
              <w:pStyle w:val="null3"/>
              <w:jc w:val="left"/>
            </w:pPr>
            <w:r>
              <w:rPr>
                <w:rFonts w:ascii="仿宋_GB2312" w:hAnsi="仿宋_GB2312" w:cs="仿宋_GB2312" w:eastAsia="仿宋_GB2312"/>
              </w:rPr>
              <w:t>供应商提供的本项目售后服务及应急方案包括：①售后服务内容与期限；②应急响应机制；③售后保障措施。以上3项内容满分18分。 ①售后服务内容与期限6分，承诺提供1年及以上的售后服务，包含成果解读、数据更新、技术咨询等内容的，得6分；承诺提供 6-12个月（不含12个月）包含成果解读、数据更新、技术咨询等内容的售后服务，得4分；承诺提供少于3-6个月（不含6个月）包含成果解读、数据更新、技术咨询等内容的售后服务的，得2分；承诺提供少于3个月（不含3个月）包含成果解读、数据更新、技术咨询等内容的售后服务的，得1分，无售后服务承诺的，不得分。 ②应急响应机制6分，针对突发性林业病虫害（如外来入侵物种暴发）制定应急调查方案中人员、车辆、物资的调配、技术支撑、现场处置、信息上报等要素都具备得3分，缺少一项扣0.5分，3分扣完为止。响应时间≤24小时得3分，≤48小时得1.5分，超过48小时不得分。 ③售后保障措施6分，明确售后服务团队及联系方式得1分，建立售后问题台账的得1分，24小时内解决售后问题得4分，48小时内解决售后问题得2分，超过48小时不得分。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售后服务及应急方案.docx</w:t>
            </w:r>
          </w:p>
        </w:tc>
      </w:tr>
      <w:tr>
        <w:tc>
          <w:tcPr>
            <w:tcW w:type="dxa" w:w="831"/>
            <w:vMerge/>
          </w:tcPr>
          <w:p/>
        </w:tc>
        <w:tc>
          <w:tcPr>
            <w:tcW w:type="dxa" w:w="1661"/>
          </w:tcPr>
          <w:p>
            <w:pPr>
              <w:pStyle w:val="null3"/>
              <w:jc w:val="left"/>
            </w:pPr>
            <w:r>
              <w:rPr>
                <w:rFonts w:ascii="仿宋_GB2312" w:hAnsi="仿宋_GB2312" w:cs="仿宋_GB2312" w:eastAsia="仿宋_GB2312"/>
              </w:rPr>
              <w:t>项目人员配置情况</w:t>
            </w:r>
          </w:p>
        </w:tc>
        <w:tc>
          <w:tcPr>
            <w:tcW w:type="dxa" w:w="2575"/>
          </w:tcPr>
          <w:p>
            <w:pPr>
              <w:pStyle w:val="null3"/>
              <w:jc w:val="left"/>
            </w:pPr>
            <w:r>
              <w:rPr>
                <w:rFonts w:ascii="仿宋_GB2312" w:hAnsi="仿宋_GB2312" w:cs="仿宋_GB2312" w:eastAsia="仿宋_GB2312"/>
              </w:rPr>
              <w:t>1、项目负责人（1人）：拟派的项目负责人具有林业类初级工程师职称得1分；具有林业类中级工程师职称得3分；具有林业类高级工程师及以上职称得5分，无职称不得分。 2、技术服务人员（3人）：本项满分9分，拟派的项目技术服务人员每有一人具有林业类初级工程师职称得1分、具有林业类中级工程师职称得2分、具有林业类高级工程师及以上职称得3分，无职称不得分。 注：①以上1-2项提供在职证明材料、人员有效居民身份证复印件及相应职称证书复印件加盖供应商电子章，未提供或未按要求提供的均不得分；②以上人员不重复计分，同一人员按最高职称得分计。</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项目人员配置情况.docx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供应商提供2023年1月1日（含）起至今具有一个类似业绩得2.5分，最多得10分。 注：1、提供中标（成交）通知书（协议）或项目合同（协议）扫描件。2、时间以签订合同时间或中标（成交）通知书（协议）落款时间为准。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详见附件：具有独立承担民事责任的能力相关证明材料.docx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详见附件：售后服务及应急方案.docx</w:t>
      </w:r>
    </w:p>
    <w:p>
      <w:pPr>
        <w:pStyle w:val="null3"/>
        <w:ind w:firstLine="960"/>
        <w:jc w:val="left"/>
      </w:pPr>
      <w:r>
        <w:rPr>
          <w:rFonts w:ascii="仿宋_GB2312" w:hAnsi="仿宋_GB2312" w:cs="仿宋_GB2312" w:eastAsia="仿宋_GB2312"/>
        </w:rPr>
        <w:t>详见附件：项目人员配置情况.docx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