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98464F">
      <w:pPr>
        <w:pStyle w:val="4"/>
        <w:jc w:val="center"/>
        <w:outlineLvl w:val="1"/>
      </w:pPr>
      <w:r>
        <w:rPr>
          <w:rFonts w:ascii="仿宋_GB2312" w:hAnsi="仿宋_GB2312" w:eastAsia="仿宋_GB2312" w:cs="仿宋_GB2312"/>
          <w:b/>
          <w:sz w:val="36"/>
        </w:rPr>
        <w:t>第三章 技术、服务及其他要求</w:t>
      </w:r>
    </w:p>
    <w:p w14:paraId="42DB39BF">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675E15E">
      <w:pPr>
        <w:pStyle w:val="4"/>
        <w:jc w:val="left"/>
        <w:outlineLvl w:val="2"/>
      </w:pPr>
      <w:r>
        <w:rPr>
          <w:rFonts w:ascii="仿宋_GB2312" w:hAnsi="仿宋_GB2312" w:eastAsia="仿宋_GB2312" w:cs="仿宋_GB2312"/>
          <w:b/>
          <w:sz w:val="28"/>
        </w:rPr>
        <w:t>3.1.采购内容</w:t>
      </w:r>
    </w:p>
    <w:p w14:paraId="5F4D429E">
      <w:pPr>
        <w:pStyle w:val="4"/>
        <w:jc w:val="left"/>
      </w:pPr>
      <w:r>
        <w:rPr>
          <w:rFonts w:ascii="仿宋_GB2312" w:hAnsi="仿宋_GB2312" w:eastAsia="仿宋_GB2312" w:cs="仿宋_GB2312"/>
        </w:rPr>
        <w:t>采购包1：</w:t>
      </w:r>
    </w:p>
    <w:p w14:paraId="7C91B0D8">
      <w:pPr>
        <w:pStyle w:val="4"/>
        <w:jc w:val="left"/>
      </w:pPr>
      <w:r>
        <w:rPr>
          <w:rFonts w:ascii="仿宋_GB2312" w:hAnsi="仿宋_GB2312" w:eastAsia="仿宋_GB2312" w:cs="仿宋_GB2312"/>
        </w:rPr>
        <w:t>采购包预算金额（元）: 1,000,000.00</w:t>
      </w:r>
    </w:p>
    <w:p w14:paraId="3F39FF36">
      <w:pPr>
        <w:pStyle w:val="4"/>
        <w:jc w:val="left"/>
      </w:pPr>
      <w:r>
        <w:rPr>
          <w:rFonts w:ascii="仿宋_GB2312" w:hAnsi="仿宋_GB2312" w:eastAsia="仿宋_GB2312" w:cs="仿宋_GB2312"/>
        </w:rPr>
        <w:t>采购包最高限价（元）: 1,000,000.00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309C0B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E7A9309">
            <w:pPr>
              <w:pStyle w:val="4"/>
              <w:jc w:val="center"/>
            </w:pPr>
            <w:r>
              <w:rPr>
                <w:rFonts w:ascii="仿宋_GB2312" w:hAnsi="仿宋_GB2312" w:eastAsia="仿宋_GB2312" w:cs="仿宋_GB2312"/>
              </w:rPr>
              <w:t>序号</w:t>
            </w:r>
          </w:p>
        </w:tc>
        <w:tc>
          <w:tcPr>
            <w:tcW w:w="821" w:type="dxa"/>
          </w:tcPr>
          <w:p w14:paraId="05D9FCA4">
            <w:pPr>
              <w:pStyle w:val="4"/>
              <w:jc w:val="center"/>
            </w:pPr>
            <w:r>
              <w:rPr>
                <w:rFonts w:ascii="仿宋_GB2312" w:hAnsi="仿宋_GB2312" w:eastAsia="仿宋_GB2312" w:cs="仿宋_GB2312"/>
              </w:rPr>
              <w:t>采购品目名称</w:t>
            </w:r>
          </w:p>
        </w:tc>
        <w:tc>
          <w:tcPr>
            <w:tcW w:w="821" w:type="dxa"/>
          </w:tcPr>
          <w:p w14:paraId="036DB997">
            <w:pPr>
              <w:pStyle w:val="4"/>
              <w:jc w:val="center"/>
            </w:pPr>
            <w:r>
              <w:rPr>
                <w:rFonts w:ascii="仿宋_GB2312" w:hAnsi="仿宋_GB2312" w:eastAsia="仿宋_GB2312" w:cs="仿宋_GB2312"/>
              </w:rPr>
              <w:t>标的名称</w:t>
            </w:r>
          </w:p>
        </w:tc>
        <w:tc>
          <w:tcPr>
            <w:tcW w:w="821" w:type="dxa"/>
          </w:tcPr>
          <w:p w14:paraId="01BB63D1">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1E290B6">
            <w:pPr>
              <w:pStyle w:val="4"/>
              <w:jc w:val="center"/>
            </w:pPr>
            <w:r>
              <w:rPr>
                <w:rFonts w:ascii="仿宋_GB2312" w:hAnsi="仿宋_GB2312" w:eastAsia="仿宋_GB2312" w:cs="仿宋_GB2312"/>
              </w:rPr>
              <w:t>标的金额 （元）</w:t>
            </w:r>
          </w:p>
        </w:tc>
        <w:tc>
          <w:tcPr>
            <w:tcW w:w="821" w:type="dxa"/>
          </w:tcPr>
          <w:p w14:paraId="39F5D38F">
            <w:pPr>
              <w:pStyle w:val="4"/>
              <w:jc w:val="center"/>
            </w:pPr>
            <w:r>
              <w:rPr>
                <w:rFonts w:ascii="仿宋_GB2312" w:hAnsi="仿宋_GB2312" w:eastAsia="仿宋_GB2312" w:cs="仿宋_GB2312"/>
              </w:rPr>
              <w:t>所属行业</w:t>
            </w:r>
          </w:p>
        </w:tc>
        <w:tc>
          <w:tcPr>
            <w:tcW w:w="821" w:type="dxa"/>
          </w:tcPr>
          <w:p w14:paraId="25382C80">
            <w:pPr>
              <w:pStyle w:val="4"/>
              <w:jc w:val="center"/>
            </w:pPr>
            <w:r>
              <w:rPr>
                <w:rFonts w:ascii="仿宋_GB2312" w:hAnsi="仿宋_GB2312" w:eastAsia="仿宋_GB2312" w:cs="仿宋_GB2312"/>
              </w:rPr>
              <w:t>是否涉及核心产品</w:t>
            </w:r>
          </w:p>
        </w:tc>
        <w:tc>
          <w:tcPr>
            <w:tcW w:w="821" w:type="dxa"/>
          </w:tcPr>
          <w:p w14:paraId="71915662">
            <w:pPr>
              <w:pStyle w:val="4"/>
              <w:jc w:val="center"/>
            </w:pPr>
            <w:r>
              <w:rPr>
                <w:rFonts w:ascii="仿宋_GB2312" w:hAnsi="仿宋_GB2312" w:eastAsia="仿宋_GB2312" w:cs="仿宋_GB2312"/>
              </w:rPr>
              <w:t>是否涉及采购进口产品</w:t>
            </w:r>
          </w:p>
        </w:tc>
        <w:tc>
          <w:tcPr>
            <w:tcW w:w="821" w:type="dxa"/>
          </w:tcPr>
          <w:p w14:paraId="48EACEC7">
            <w:pPr>
              <w:pStyle w:val="4"/>
              <w:jc w:val="center"/>
            </w:pPr>
            <w:r>
              <w:rPr>
                <w:rFonts w:ascii="仿宋_GB2312" w:hAnsi="仿宋_GB2312" w:eastAsia="仿宋_GB2312" w:cs="仿宋_GB2312"/>
              </w:rPr>
              <w:t>是否涉及强制采购节能产品</w:t>
            </w:r>
          </w:p>
        </w:tc>
        <w:tc>
          <w:tcPr>
            <w:tcW w:w="639" w:type="dxa"/>
          </w:tcPr>
          <w:p w14:paraId="6F49287A">
            <w:pPr>
              <w:pStyle w:val="4"/>
              <w:jc w:val="center"/>
            </w:pPr>
            <w:r>
              <w:rPr>
                <w:rFonts w:ascii="仿宋_GB2312" w:hAnsi="仿宋_GB2312" w:eastAsia="仿宋_GB2312" w:cs="仿宋_GB2312"/>
              </w:rPr>
              <w:t>是否涉及优先采购节能产品</w:t>
            </w:r>
          </w:p>
        </w:tc>
        <w:tc>
          <w:tcPr>
            <w:tcW w:w="639" w:type="dxa"/>
          </w:tcPr>
          <w:p w14:paraId="790AFB10">
            <w:pPr>
              <w:pStyle w:val="4"/>
              <w:jc w:val="center"/>
            </w:pPr>
            <w:r>
              <w:rPr>
                <w:rFonts w:ascii="仿宋_GB2312" w:hAnsi="仿宋_GB2312" w:eastAsia="仿宋_GB2312" w:cs="仿宋_GB2312"/>
              </w:rPr>
              <w:t>是否涉及优先采购环境标志产品</w:t>
            </w:r>
          </w:p>
        </w:tc>
      </w:tr>
      <w:tr w14:paraId="0DCED3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E522E58">
            <w:pPr>
              <w:pStyle w:val="4"/>
              <w:jc w:val="left"/>
            </w:pPr>
            <w:r>
              <w:rPr>
                <w:rFonts w:ascii="仿宋_GB2312" w:hAnsi="仿宋_GB2312" w:eastAsia="仿宋_GB2312" w:cs="仿宋_GB2312"/>
              </w:rPr>
              <w:t>1</w:t>
            </w:r>
          </w:p>
        </w:tc>
        <w:tc>
          <w:tcPr>
            <w:tcW w:w="821" w:type="dxa"/>
          </w:tcPr>
          <w:p w14:paraId="69C600D7">
            <w:pPr>
              <w:pStyle w:val="4"/>
              <w:jc w:val="left"/>
            </w:pPr>
            <w:r>
              <w:rPr>
                <w:rFonts w:ascii="仿宋_GB2312" w:hAnsi="仿宋_GB2312" w:eastAsia="仿宋_GB2312" w:cs="仿宋_GB2312"/>
              </w:rPr>
              <w:t>A02102100 教学仪器</w:t>
            </w:r>
          </w:p>
        </w:tc>
        <w:tc>
          <w:tcPr>
            <w:tcW w:w="821" w:type="dxa"/>
          </w:tcPr>
          <w:p w14:paraId="1B86CBF9">
            <w:pPr>
              <w:pStyle w:val="4"/>
              <w:jc w:val="left"/>
            </w:pPr>
            <w:r>
              <w:rPr>
                <w:rFonts w:ascii="仿宋_GB2312" w:hAnsi="仿宋_GB2312" w:eastAsia="仿宋_GB2312" w:cs="仿宋_GB2312"/>
              </w:rPr>
              <w:t>信息化教考一体化实验室（计算机公共机房升级改造）</w:t>
            </w:r>
          </w:p>
        </w:tc>
        <w:tc>
          <w:tcPr>
            <w:tcW w:w="821" w:type="dxa"/>
          </w:tcPr>
          <w:p w14:paraId="5CB5A78B">
            <w:pPr>
              <w:pStyle w:val="4"/>
              <w:jc w:val="right"/>
            </w:pPr>
            <w:r>
              <w:rPr>
                <w:rFonts w:ascii="仿宋_GB2312" w:hAnsi="仿宋_GB2312" w:eastAsia="仿宋_GB2312" w:cs="仿宋_GB2312"/>
              </w:rPr>
              <w:t>1.00（项）</w:t>
            </w:r>
          </w:p>
        </w:tc>
        <w:tc>
          <w:tcPr>
            <w:tcW w:w="821" w:type="dxa"/>
          </w:tcPr>
          <w:p w14:paraId="2E252DE7">
            <w:pPr>
              <w:pStyle w:val="4"/>
              <w:jc w:val="right"/>
            </w:pPr>
            <w:r>
              <w:rPr>
                <w:rFonts w:ascii="仿宋_GB2312" w:hAnsi="仿宋_GB2312" w:eastAsia="仿宋_GB2312" w:cs="仿宋_GB2312"/>
              </w:rPr>
              <w:t>1,000,000.00</w:t>
            </w:r>
          </w:p>
        </w:tc>
        <w:tc>
          <w:tcPr>
            <w:tcW w:w="821" w:type="dxa"/>
          </w:tcPr>
          <w:p w14:paraId="577F999C">
            <w:pPr>
              <w:pStyle w:val="4"/>
              <w:jc w:val="left"/>
            </w:pPr>
            <w:r>
              <w:rPr>
                <w:rFonts w:ascii="仿宋_GB2312" w:hAnsi="仿宋_GB2312" w:eastAsia="仿宋_GB2312" w:cs="仿宋_GB2312"/>
              </w:rPr>
              <w:t>工业</w:t>
            </w:r>
          </w:p>
        </w:tc>
        <w:tc>
          <w:tcPr>
            <w:tcW w:w="821" w:type="dxa"/>
          </w:tcPr>
          <w:p w14:paraId="67F9B55E">
            <w:pPr>
              <w:pStyle w:val="4"/>
              <w:jc w:val="left"/>
            </w:pPr>
            <w:r>
              <w:rPr>
                <w:rFonts w:ascii="仿宋_GB2312" w:hAnsi="仿宋_GB2312" w:eastAsia="仿宋_GB2312" w:cs="仿宋_GB2312"/>
              </w:rPr>
              <w:t>是</w:t>
            </w:r>
          </w:p>
        </w:tc>
        <w:tc>
          <w:tcPr>
            <w:tcW w:w="821" w:type="dxa"/>
          </w:tcPr>
          <w:p w14:paraId="6E232C97">
            <w:pPr>
              <w:pStyle w:val="4"/>
              <w:jc w:val="left"/>
            </w:pPr>
            <w:r>
              <w:rPr>
                <w:rFonts w:ascii="仿宋_GB2312" w:hAnsi="仿宋_GB2312" w:eastAsia="仿宋_GB2312" w:cs="仿宋_GB2312"/>
              </w:rPr>
              <w:t>否</w:t>
            </w:r>
          </w:p>
        </w:tc>
        <w:tc>
          <w:tcPr>
            <w:tcW w:w="821" w:type="dxa"/>
          </w:tcPr>
          <w:p w14:paraId="5F0AF3AA">
            <w:pPr>
              <w:pStyle w:val="4"/>
              <w:jc w:val="left"/>
            </w:pPr>
            <w:r>
              <w:rPr>
                <w:rFonts w:ascii="仿宋_GB2312" w:hAnsi="仿宋_GB2312" w:eastAsia="仿宋_GB2312" w:cs="仿宋_GB2312"/>
              </w:rPr>
              <w:t>是</w:t>
            </w:r>
          </w:p>
        </w:tc>
        <w:tc>
          <w:tcPr>
            <w:tcW w:w="639" w:type="dxa"/>
          </w:tcPr>
          <w:p w14:paraId="5F76C6DA">
            <w:pPr>
              <w:pStyle w:val="4"/>
              <w:jc w:val="left"/>
            </w:pPr>
            <w:r>
              <w:rPr>
                <w:rFonts w:ascii="仿宋_GB2312" w:hAnsi="仿宋_GB2312" w:eastAsia="仿宋_GB2312" w:cs="仿宋_GB2312"/>
              </w:rPr>
              <w:t>否</w:t>
            </w:r>
          </w:p>
        </w:tc>
        <w:tc>
          <w:tcPr>
            <w:tcW w:w="639" w:type="dxa"/>
          </w:tcPr>
          <w:p w14:paraId="0DA9C5D1">
            <w:pPr>
              <w:pStyle w:val="4"/>
              <w:jc w:val="left"/>
            </w:pPr>
            <w:r>
              <w:rPr>
                <w:rFonts w:ascii="仿宋_GB2312" w:hAnsi="仿宋_GB2312" w:eastAsia="仿宋_GB2312" w:cs="仿宋_GB2312"/>
              </w:rPr>
              <w:t>否</w:t>
            </w:r>
          </w:p>
        </w:tc>
      </w:tr>
    </w:tbl>
    <w:p w14:paraId="74DD1271">
      <w:pPr>
        <w:pStyle w:val="4"/>
        <w:jc w:val="left"/>
        <w:outlineLvl w:val="3"/>
      </w:pPr>
      <w:r>
        <w:rPr>
          <w:rFonts w:ascii="仿宋_GB2312" w:hAnsi="仿宋_GB2312" w:eastAsia="仿宋_GB2312" w:cs="仿宋_GB2312"/>
          <w:b/>
          <w:sz w:val="24"/>
        </w:rPr>
        <w:t>报价要求</w:t>
      </w:r>
    </w:p>
    <w:p w14:paraId="40DC243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1348C6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49AC55E">
            <w:pPr>
              <w:pStyle w:val="4"/>
              <w:jc w:val="center"/>
            </w:pPr>
            <w:r>
              <w:rPr>
                <w:rFonts w:ascii="仿宋_GB2312" w:hAnsi="仿宋_GB2312" w:eastAsia="仿宋_GB2312" w:cs="仿宋_GB2312"/>
              </w:rPr>
              <w:t>序号</w:t>
            </w:r>
          </w:p>
        </w:tc>
        <w:tc>
          <w:tcPr>
            <w:tcW w:w="1707" w:type="dxa"/>
          </w:tcPr>
          <w:p w14:paraId="70A9C89D">
            <w:pPr>
              <w:pStyle w:val="4"/>
              <w:jc w:val="center"/>
            </w:pPr>
            <w:r>
              <w:rPr>
                <w:rFonts w:ascii="仿宋_GB2312" w:hAnsi="仿宋_GB2312" w:eastAsia="仿宋_GB2312" w:cs="仿宋_GB2312"/>
              </w:rPr>
              <w:t>报价内容</w:t>
            </w:r>
          </w:p>
        </w:tc>
        <w:tc>
          <w:tcPr>
            <w:tcW w:w="1138" w:type="dxa"/>
          </w:tcPr>
          <w:p w14:paraId="5BB44AD7">
            <w:pPr>
              <w:pStyle w:val="4"/>
              <w:jc w:val="center"/>
            </w:pPr>
            <w:r>
              <w:rPr>
                <w:rFonts w:ascii="仿宋_GB2312" w:hAnsi="仿宋_GB2312" w:eastAsia="仿宋_GB2312" w:cs="仿宋_GB2312"/>
              </w:rPr>
              <w:t>数量（计量单位）</w:t>
            </w:r>
          </w:p>
        </w:tc>
        <w:tc>
          <w:tcPr>
            <w:tcW w:w="1365" w:type="dxa"/>
          </w:tcPr>
          <w:p w14:paraId="24F4A83C">
            <w:pPr>
              <w:pStyle w:val="4"/>
              <w:jc w:val="center"/>
            </w:pPr>
            <w:r>
              <w:rPr>
                <w:rFonts w:ascii="仿宋_GB2312" w:hAnsi="仿宋_GB2312" w:eastAsia="仿宋_GB2312" w:cs="仿宋_GB2312"/>
              </w:rPr>
              <w:t>最高限价</w:t>
            </w:r>
          </w:p>
        </w:tc>
        <w:tc>
          <w:tcPr>
            <w:tcW w:w="1138" w:type="dxa"/>
          </w:tcPr>
          <w:p w14:paraId="0076A69D">
            <w:pPr>
              <w:pStyle w:val="4"/>
              <w:jc w:val="center"/>
            </w:pPr>
            <w:r>
              <w:rPr>
                <w:rFonts w:ascii="仿宋_GB2312" w:hAnsi="仿宋_GB2312" w:eastAsia="仿宋_GB2312" w:cs="仿宋_GB2312"/>
              </w:rPr>
              <w:t>价款形式</w:t>
            </w:r>
          </w:p>
        </w:tc>
        <w:tc>
          <w:tcPr>
            <w:tcW w:w="1934" w:type="dxa"/>
          </w:tcPr>
          <w:p w14:paraId="684C6343">
            <w:pPr>
              <w:pStyle w:val="4"/>
              <w:jc w:val="center"/>
            </w:pPr>
            <w:r>
              <w:rPr>
                <w:rFonts w:ascii="仿宋_GB2312" w:hAnsi="仿宋_GB2312" w:eastAsia="仿宋_GB2312" w:cs="仿宋_GB2312"/>
              </w:rPr>
              <w:t>报价说明</w:t>
            </w:r>
          </w:p>
        </w:tc>
      </w:tr>
      <w:tr w14:paraId="3B2DAA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304F9E">
            <w:pPr>
              <w:pStyle w:val="4"/>
              <w:jc w:val="center"/>
            </w:pPr>
            <w:r>
              <w:rPr>
                <w:rFonts w:ascii="仿宋_GB2312" w:hAnsi="仿宋_GB2312" w:eastAsia="仿宋_GB2312" w:cs="仿宋_GB2312"/>
              </w:rPr>
              <w:t>1</w:t>
            </w:r>
          </w:p>
        </w:tc>
        <w:tc>
          <w:tcPr>
            <w:tcW w:w="1707" w:type="dxa"/>
          </w:tcPr>
          <w:p w14:paraId="7AE75AA9">
            <w:pPr>
              <w:pStyle w:val="4"/>
              <w:jc w:val="center"/>
            </w:pPr>
            <w:r>
              <w:rPr>
                <w:rFonts w:ascii="仿宋_GB2312" w:hAnsi="仿宋_GB2312" w:eastAsia="仿宋_GB2312" w:cs="仿宋_GB2312"/>
              </w:rPr>
              <w:t>信息化教考一体化实验室（计算机公共机房升级改造）</w:t>
            </w:r>
          </w:p>
        </w:tc>
        <w:tc>
          <w:tcPr>
            <w:tcW w:w="1138" w:type="dxa"/>
          </w:tcPr>
          <w:p w14:paraId="60E1FA33">
            <w:pPr>
              <w:pStyle w:val="4"/>
              <w:jc w:val="center"/>
            </w:pPr>
            <w:r>
              <w:rPr>
                <w:rFonts w:ascii="仿宋_GB2312" w:hAnsi="仿宋_GB2312" w:eastAsia="仿宋_GB2312" w:cs="仿宋_GB2312"/>
              </w:rPr>
              <w:t>1.00（项）</w:t>
            </w:r>
          </w:p>
        </w:tc>
        <w:tc>
          <w:tcPr>
            <w:tcW w:w="1365" w:type="dxa"/>
          </w:tcPr>
          <w:p w14:paraId="4BEB8BDB">
            <w:pPr>
              <w:pStyle w:val="4"/>
              <w:jc w:val="center"/>
            </w:pPr>
            <w:r>
              <w:rPr>
                <w:rFonts w:ascii="仿宋_GB2312" w:hAnsi="仿宋_GB2312" w:eastAsia="仿宋_GB2312" w:cs="仿宋_GB2312"/>
              </w:rPr>
              <w:t>1,000,000.00</w:t>
            </w:r>
          </w:p>
        </w:tc>
        <w:tc>
          <w:tcPr>
            <w:tcW w:w="1138" w:type="dxa"/>
          </w:tcPr>
          <w:p w14:paraId="1E8B1CF4">
            <w:pPr>
              <w:pStyle w:val="4"/>
              <w:jc w:val="center"/>
            </w:pPr>
            <w:r>
              <w:rPr>
                <w:rFonts w:ascii="仿宋_GB2312" w:hAnsi="仿宋_GB2312" w:eastAsia="仿宋_GB2312" w:cs="仿宋_GB2312"/>
              </w:rPr>
              <w:t>总价</w:t>
            </w:r>
          </w:p>
        </w:tc>
        <w:tc>
          <w:tcPr>
            <w:tcW w:w="1934" w:type="dxa"/>
          </w:tcPr>
          <w:p w14:paraId="067C0A5F">
            <w:pPr>
              <w:pStyle w:val="4"/>
              <w:jc w:val="left"/>
            </w:pPr>
            <w:r>
              <w:rPr>
                <w:rFonts w:ascii="仿宋_GB2312" w:hAnsi="仿宋_GB2312" w:eastAsia="仿宋_GB2312" w:cs="仿宋_GB2312"/>
              </w:rPr>
              <w:t>无</w:t>
            </w:r>
          </w:p>
        </w:tc>
      </w:tr>
    </w:tbl>
    <w:p w14:paraId="328984EF">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3299947D">
      <w:pPr>
        <w:pStyle w:val="4"/>
        <w:jc w:val="left"/>
        <w:outlineLvl w:val="3"/>
      </w:pPr>
      <w:r>
        <w:rPr>
          <w:rFonts w:ascii="仿宋_GB2312" w:hAnsi="仿宋_GB2312" w:eastAsia="仿宋_GB2312" w:cs="仿宋_GB2312"/>
          <w:b/>
          <w:sz w:val="24"/>
        </w:rPr>
        <w:t>本项目涉及核心产品：</w:t>
      </w:r>
    </w:p>
    <w:p w14:paraId="2778814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78AED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AB2BFE">
            <w:pPr>
              <w:pStyle w:val="4"/>
              <w:jc w:val="center"/>
            </w:pPr>
            <w:r>
              <w:rPr>
                <w:rFonts w:ascii="仿宋_GB2312" w:hAnsi="仿宋_GB2312" w:eastAsia="仿宋_GB2312" w:cs="仿宋_GB2312"/>
              </w:rPr>
              <w:t>序号</w:t>
            </w:r>
          </w:p>
        </w:tc>
        <w:tc>
          <w:tcPr>
            <w:tcW w:w="2492" w:type="dxa"/>
          </w:tcPr>
          <w:p w14:paraId="1EB50252">
            <w:pPr>
              <w:pStyle w:val="4"/>
              <w:jc w:val="center"/>
            </w:pPr>
            <w:r>
              <w:rPr>
                <w:rFonts w:ascii="仿宋_GB2312" w:hAnsi="仿宋_GB2312" w:eastAsia="仿宋_GB2312" w:cs="仿宋_GB2312"/>
              </w:rPr>
              <w:t>采购品目名称</w:t>
            </w:r>
          </w:p>
        </w:tc>
        <w:tc>
          <w:tcPr>
            <w:tcW w:w="2492" w:type="dxa"/>
          </w:tcPr>
          <w:p w14:paraId="78317242">
            <w:pPr>
              <w:pStyle w:val="4"/>
              <w:jc w:val="center"/>
            </w:pPr>
            <w:r>
              <w:rPr>
                <w:rFonts w:ascii="仿宋_GB2312" w:hAnsi="仿宋_GB2312" w:eastAsia="仿宋_GB2312" w:cs="仿宋_GB2312"/>
              </w:rPr>
              <w:t>标的名称</w:t>
            </w:r>
          </w:p>
        </w:tc>
        <w:tc>
          <w:tcPr>
            <w:tcW w:w="2492" w:type="dxa"/>
          </w:tcPr>
          <w:p w14:paraId="72B4C4E9">
            <w:pPr>
              <w:pStyle w:val="4"/>
              <w:jc w:val="center"/>
            </w:pPr>
            <w:r>
              <w:rPr>
                <w:rFonts w:ascii="仿宋_GB2312" w:hAnsi="仿宋_GB2312" w:eastAsia="仿宋_GB2312" w:cs="仿宋_GB2312"/>
              </w:rPr>
              <w:t>产品名称</w:t>
            </w:r>
          </w:p>
        </w:tc>
      </w:tr>
      <w:tr w14:paraId="57EDA1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CE236D">
            <w:pPr>
              <w:pStyle w:val="4"/>
              <w:jc w:val="left"/>
            </w:pPr>
            <w:r>
              <w:rPr>
                <w:rFonts w:ascii="仿宋_GB2312" w:hAnsi="仿宋_GB2312" w:eastAsia="仿宋_GB2312" w:cs="仿宋_GB2312"/>
              </w:rPr>
              <w:t>1</w:t>
            </w:r>
          </w:p>
        </w:tc>
        <w:tc>
          <w:tcPr>
            <w:tcW w:w="2492" w:type="dxa"/>
          </w:tcPr>
          <w:p w14:paraId="1C25AF0A">
            <w:pPr>
              <w:pStyle w:val="4"/>
              <w:jc w:val="left"/>
            </w:pPr>
            <w:r>
              <w:rPr>
                <w:rFonts w:ascii="仿宋_GB2312" w:hAnsi="仿宋_GB2312" w:eastAsia="仿宋_GB2312" w:cs="仿宋_GB2312"/>
              </w:rPr>
              <w:t>A02102100 教学仪器</w:t>
            </w:r>
          </w:p>
        </w:tc>
        <w:tc>
          <w:tcPr>
            <w:tcW w:w="2492" w:type="dxa"/>
          </w:tcPr>
          <w:p w14:paraId="425647D6">
            <w:pPr>
              <w:pStyle w:val="4"/>
              <w:jc w:val="left"/>
            </w:pPr>
            <w:r>
              <w:rPr>
                <w:rFonts w:ascii="仿宋_GB2312" w:hAnsi="仿宋_GB2312" w:eastAsia="仿宋_GB2312" w:cs="仿宋_GB2312"/>
              </w:rPr>
              <w:t>信息化教考一体化实验室（计算机公共机房升级改造）</w:t>
            </w:r>
          </w:p>
        </w:tc>
        <w:tc>
          <w:tcPr>
            <w:tcW w:w="2492" w:type="dxa"/>
          </w:tcPr>
          <w:p w14:paraId="6C639601">
            <w:pPr>
              <w:pStyle w:val="4"/>
              <w:jc w:val="left"/>
            </w:pPr>
            <w:r>
              <w:rPr>
                <w:rFonts w:ascii="仿宋_GB2312" w:hAnsi="仿宋_GB2312" w:eastAsia="仿宋_GB2312" w:cs="仿宋_GB2312"/>
              </w:rPr>
              <w:t>桌面云计算存储资源池</w:t>
            </w:r>
          </w:p>
        </w:tc>
      </w:tr>
      <w:tr w14:paraId="48E00A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E971BF">
            <w:pPr>
              <w:pStyle w:val="4"/>
              <w:jc w:val="left"/>
            </w:pPr>
            <w:r>
              <w:rPr>
                <w:rFonts w:ascii="仿宋_GB2312" w:hAnsi="仿宋_GB2312" w:eastAsia="仿宋_GB2312" w:cs="仿宋_GB2312"/>
              </w:rPr>
              <w:t>2</w:t>
            </w:r>
          </w:p>
        </w:tc>
        <w:tc>
          <w:tcPr>
            <w:tcW w:w="2492" w:type="dxa"/>
          </w:tcPr>
          <w:p w14:paraId="7B8DD893">
            <w:pPr>
              <w:pStyle w:val="4"/>
              <w:jc w:val="left"/>
            </w:pPr>
            <w:r>
              <w:rPr>
                <w:rFonts w:ascii="仿宋_GB2312" w:hAnsi="仿宋_GB2312" w:eastAsia="仿宋_GB2312" w:cs="仿宋_GB2312"/>
              </w:rPr>
              <w:t>A02102100 教学仪器</w:t>
            </w:r>
          </w:p>
        </w:tc>
        <w:tc>
          <w:tcPr>
            <w:tcW w:w="2492" w:type="dxa"/>
          </w:tcPr>
          <w:p w14:paraId="0D5AD82D">
            <w:pPr>
              <w:pStyle w:val="4"/>
              <w:jc w:val="left"/>
            </w:pPr>
            <w:r>
              <w:rPr>
                <w:rFonts w:ascii="仿宋_GB2312" w:hAnsi="仿宋_GB2312" w:eastAsia="仿宋_GB2312" w:cs="仿宋_GB2312"/>
              </w:rPr>
              <w:t>信息化教考一体化实验室（计算机公共机房升级改造）</w:t>
            </w:r>
          </w:p>
        </w:tc>
        <w:tc>
          <w:tcPr>
            <w:tcW w:w="2492" w:type="dxa"/>
          </w:tcPr>
          <w:p w14:paraId="64396BA6">
            <w:pPr>
              <w:pStyle w:val="4"/>
              <w:jc w:val="left"/>
            </w:pPr>
            <w:r>
              <w:rPr>
                <w:rFonts w:ascii="仿宋_GB2312" w:hAnsi="仿宋_GB2312" w:eastAsia="仿宋_GB2312" w:cs="仿宋_GB2312"/>
              </w:rPr>
              <w:t>桌面云接入终端平台</w:t>
            </w:r>
          </w:p>
        </w:tc>
      </w:tr>
    </w:tbl>
    <w:p w14:paraId="07D83F39">
      <w:pPr>
        <w:pStyle w:val="4"/>
        <w:ind w:firstLine="480"/>
        <w:jc w:val="left"/>
      </w:pPr>
      <w:r>
        <w:rPr>
          <w:rFonts w:ascii="仿宋_GB2312" w:hAnsi="仿宋_GB2312" w:eastAsia="仿宋_GB2312" w:cs="仿宋_GB2312"/>
        </w:rPr>
        <w:t>注：涉及核心产品的，具体评审规定见第五章。</w:t>
      </w:r>
    </w:p>
    <w:p w14:paraId="39DD1F5F">
      <w:pPr>
        <w:pStyle w:val="4"/>
        <w:jc w:val="left"/>
        <w:outlineLvl w:val="3"/>
      </w:pPr>
      <w:r>
        <w:rPr>
          <w:rFonts w:ascii="仿宋_GB2312" w:hAnsi="仿宋_GB2312" w:eastAsia="仿宋_GB2312" w:cs="仿宋_GB2312"/>
          <w:b/>
          <w:sz w:val="24"/>
        </w:rPr>
        <w:t>本项目涉及采购进口产品：</w:t>
      </w:r>
    </w:p>
    <w:p w14:paraId="5C8C02B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87DD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CE1840">
            <w:pPr>
              <w:pStyle w:val="4"/>
              <w:jc w:val="center"/>
            </w:pPr>
            <w:r>
              <w:rPr>
                <w:rFonts w:ascii="仿宋_GB2312" w:hAnsi="仿宋_GB2312" w:eastAsia="仿宋_GB2312" w:cs="仿宋_GB2312"/>
              </w:rPr>
              <w:t>序号</w:t>
            </w:r>
          </w:p>
        </w:tc>
        <w:tc>
          <w:tcPr>
            <w:tcW w:w="2492" w:type="dxa"/>
          </w:tcPr>
          <w:p w14:paraId="7FD0C1BF">
            <w:pPr>
              <w:pStyle w:val="4"/>
              <w:jc w:val="center"/>
            </w:pPr>
            <w:r>
              <w:rPr>
                <w:rFonts w:ascii="仿宋_GB2312" w:hAnsi="仿宋_GB2312" w:eastAsia="仿宋_GB2312" w:cs="仿宋_GB2312"/>
              </w:rPr>
              <w:t>采购品目名称</w:t>
            </w:r>
          </w:p>
        </w:tc>
        <w:tc>
          <w:tcPr>
            <w:tcW w:w="2492" w:type="dxa"/>
          </w:tcPr>
          <w:p w14:paraId="56451C59">
            <w:pPr>
              <w:pStyle w:val="4"/>
              <w:jc w:val="center"/>
            </w:pPr>
            <w:r>
              <w:rPr>
                <w:rFonts w:ascii="仿宋_GB2312" w:hAnsi="仿宋_GB2312" w:eastAsia="仿宋_GB2312" w:cs="仿宋_GB2312"/>
              </w:rPr>
              <w:t>标的名称</w:t>
            </w:r>
          </w:p>
        </w:tc>
        <w:tc>
          <w:tcPr>
            <w:tcW w:w="2492" w:type="dxa"/>
          </w:tcPr>
          <w:p w14:paraId="4C91DBAB">
            <w:pPr>
              <w:pStyle w:val="4"/>
              <w:jc w:val="center"/>
            </w:pPr>
            <w:r>
              <w:rPr>
                <w:rFonts w:ascii="仿宋_GB2312" w:hAnsi="仿宋_GB2312" w:eastAsia="仿宋_GB2312" w:cs="仿宋_GB2312"/>
              </w:rPr>
              <w:t>产品名称</w:t>
            </w:r>
          </w:p>
        </w:tc>
      </w:tr>
      <w:tr w14:paraId="68FD98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2500354">
            <w:pPr>
              <w:pStyle w:val="4"/>
              <w:jc w:val="center"/>
            </w:pPr>
            <w:r>
              <w:rPr>
                <w:rFonts w:ascii="仿宋_GB2312" w:hAnsi="仿宋_GB2312" w:eastAsia="仿宋_GB2312" w:cs="仿宋_GB2312"/>
              </w:rPr>
              <w:t>不涉及</w:t>
            </w:r>
          </w:p>
        </w:tc>
      </w:tr>
    </w:tbl>
    <w:p w14:paraId="42D140D5">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AB2CF5C">
      <w:pPr>
        <w:pStyle w:val="4"/>
        <w:jc w:val="left"/>
        <w:outlineLvl w:val="3"/>
      </w:pPr>
      <w:r>
        <w:rPr>
          <w:rFonts w:ascii="仿宋_GB2312" w:hAnsi="仿宋_GB2312" w:eastAsia="仿宋_GB2312" w:cs="仿宋_GB2312"/>
          <w:b/>
          <w:sz w:val="24"/>
        </w:rPr>
        <w:t>本项目涉及强制采购节能产品：</w:t>
      </w:r>
    </w:p>
    <w:p w14:paraId="265A20B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C73C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C976A5">
            <w:pPr>
              <w:pStyle w:val="4"/>
              <w:jc w:val="center"/>
            </w:pPr>
            <w:r>
              <w:rPr>
                <w:rFonts w:ascii="仿宋_GB2312" w:hAnsi="仿宋_GB2312" w:eastAsia="仿宋_GB2312" w:cs="仿宋_GB2312"/>
              </w:rPr>
              <w:t>序号</w:t>
            </w:r>
          </w:p>
        </w:tc>
        <w:tc>
          <w:tcPr>
            <w:tcW w:w="2492" w:type="dxa"/>
          </w:tcPr>
          <w:p w14:paraId="3D85BCC3">
            <w:pPr>
              <w:pStyle w:val="4"/>
              <w:jc w:val="center"/>
            </w:pPr>
            <w:r>
              <w:rPr>
                <w:rFonts w:ascii="仿宋_GB2312" w:hAnsi="仿宋_GB2312" w:eastAsia="仿宋_GB2312" w:cs="仿宋_GB2312"/>
              </w:rPr>
              <w:t>采购品目名称</w:t>
            </w:r>
          </w:p>
        </w:tc>
        <w:tc>
          <w:tcPr>
            <w:tcW w:w="2492" w:type="dxa"/>
          </w:tcPr>
          <w:p w14:paraId="004182F0">
            <w:pPr>
              <w:pStyle w:val="4"/>
              <w:jc w:val="center"/>
            </w:pPr>
            <w:r>
              <w:rPr>
                <w:rFonts w:ascii="仿宋_GB2312" w:hAnsi="仿宋_GB2312" w:eastAsia="仿宋_GB2312" w:cs="仿宋_GB2312"/>
              </w:rPr>
              <w:t>标的名称</w:t>
            </w:r>
          </w:p>
        </w:tc>
        <w:tc>
          <w:tcPr>
            <w:tcW w:w="2492" w:type="dxa"/>
          </w:tcPr>
          <w:p w14:paraId="0B73D040">
            <w:pPr>
              <w:pStyle w:val="4"/>
              <w:jc w:val="center"/>
            </w:pPr>
            <w:r>
              <w:rPr>
                <w:rFonts w:ascii="仿宋_GB2312" w:hAnsi="仿宋_GB2312" w:eastAsia="仿宋_GB2312" w:cs="仿宋_GB2312"/>
              </w:rPr>
              <w:t>产品名称</w:t>
            </w:r>
          </w:p>
        </w:tc>
      </w:tr>
      <w:tr w14:paraId="6F213A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7F6CDE">
            <w:pPr>
              <w:pStyle w:val="4"/>
              <w:jc w:val="left"/>
            </w:pPr>
            <w:r>
              <w:rPr>
                <w:rFonts w:ascii="仿宋_GB2312" w:hAnsi="仿宋_GB2312" w:eastAsia="仿宋_GB2312" w:cs="仿宋_GB2312"/>
              </w:rPr>
              <w:t>1</w:t>
            </w:r>
          </w:p>
        </w:tc>
        <w:tc>
          <w:tcPr>
            <w:tcW w:w="2492" w:type="dxa"/>
          </w:tcPr>
          <w:p w14:paraId="747BD847">
            <w:pPr>
              <w:pStyle w:val="4"/>
              <w:jc w:val="left"/>
            </w:pPr>
            <w:r>
              <w:rPr>
                <w:rFonts w:ascii="仿宋_GB2312" w:hAnsi="仿宋_GB2312" w:eastAsia="仿宋_GB2312" w:cs="仿宋_GB2312"/>
              </w:rPr>
              <w:t>A02102100 教学仪器</w:t>
            </w:r>
          </w:p>
        </w:tc>
        <w:tc>
          <w:tcPr>
            <w:tcW w:w="2492" w:type="dxa"/>
          </w:tcPr>
          <w:p w14:paraId="38A1BD26">
            <w:pPr>
              <w:pStyle w:val="4"/>
              <w:jc w:val="left"/>
            </w:pPr>
            <w:r>
              <w:rPr>
                <w:rFonts w:ascii="仿宋_GB2312" w:hAnsi="仿宋_GB2312" w:eastAsia="仿宋_GB2312" w:cs="仿宋_GB2312"/>
              </w:rPr>
              <w:t>信息化教考一体化实验室（计算机公共机房升级改造）</w:t>
            </w:r>
          </w:p>
        </w:tc>
        <w:tc>
          <w:tcPr>
            <w:tcW w:w="2492" w:type="dxa"/>
          </w:tcPr>
          <w:p w14:paraId="25B6D3B1">
            <w:pPr>
              <w:pStyle w:val="4"/>
              <w:jc w:val="left"/>
            </w:pPr>
            <w:r>
              <w:rPr>
                <w:rFonts w:ascii="仿宋_GB2312" w:hAnsi="仿宋_GB2312" w:eastAsia="仿宋_GB2312" w:cs="仿宋_GB2312"/>
              </w:rPr>
              <w:t>显示终端</w:t>
            </w:r>
          </w:p>
        </w:tc>
      </w:tr>
    </w:tbl>
    <w:p w14:paraId="711D3EC9">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DF9181F">
      <w:pPr>
        <w:pStyle w:val="4"/>
        <w:jc w:val="left"/>
      </w:pPr>
      <w:r>
        <w:rPr>
          <w:rFonts w:ascii="仿宋_GB2312" w:hAnsi="仿宋_GB2312" w:eastAsia="仿宋_GB2312" w:cs="仿宋_GB2312"/>
          <w:b/>
        </w:rPr>
        <w:t>本项目涉及优先采购节能产品：</w:t>
      </w:r>
    </w:p>
    <w:p w14:paraId="373573E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20C02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48CCCC">
            <w:pPr>
              <w:pStyle w:val="4"/>
              <w:jc w:val="center"/>
            </w:pPr>
            <w:r>
              <w:rPr>
                <w:rFonts w:ascii="仿宋_GB2312" w:hAnsi="仿宋_GB2312" w:eastAsia="仿宋_GB2312" w:cs="仿宋_GB2312"/>
              </w:rPr>
              <w:t>序号</w:t>
            </w:r>
          </w:p>
        </w:tc>
        <w:tc>
          <w:tcPr>
            <w:tcW w:w="2492" w:type="dxa"/>
          </w:tcPr>
          <w:p w14:paraId="19FE1CB8">
            <w:pPr>
              <w:pStyle w:val="4"/>
              <w:jc w:val="center"/>
            </w:pPr>
            <w:r>
              <w:rPr>
                <w:rFonts w:ascii="仿宋_GB2312" w:hAnsi="仿宋_GB2312" w:eastAsia="仿宋_GB2312" w:cs="仿宋_GB2312"/>
              </w:rPr>
              <w:t>采购品目名称</w:t>
            </w:r>
          </w:p>
        </w:tc>
        <w:tc>
          <w:tcPr>
            <w:tcW w:w="2492" w:type="dxa"/>
          </w:tcPr>
          <w:p w14:paraId="5C00C188">
            <w:pPr>
              <w:pStyle w:val="4"/>
              <w:jc w:val="center"/>
            </w:pPr>
            <w:r>
              <w:rPr>
                <w:rFonts w:ascii="仿宋_GB2312" w:hAnsi="仿宋_GB2312" w:eastAsia="仿宋_GB2312" w:cs="仿宋_GB2312"/>
              </w:rPr>
              <w:t>标的名称</w:t>
            </w:r>
          </w:p>
        </w:tc>
        <w:tc>
          <w:tcPr>
            <w:tcW w:w="2492" w:type="dxa"/>
          </w:tcPr>
          <w:p w14:paraId="6E0F01DF">
            <w:pPr>
              <w:pStyle w:val="4"/>
              <w:jc w:val="center"/>
            </w:pPr>
            <w:r>
              <w:rPr>
                <w:rFonts w:ascii="仿宋_GB2312" w:hAnsi="仿宋_GB2312" w:eastAsia="仿宋_GB2312" w:cs="仿宋_GB2312"/>
              </w:rPr>
              <w:t>产品名称</w:t>
            </w:r>
          </w:p>
        </w:tc>
      </w:tr>
      <w:tr w14:paraId="4C55D2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8E3CFD0">
            <w:pPr>
              <w:pStyle w:val="4"/>
              <w:jc w:val="center"/>
            </w:pPr>
            <w:r>
              <w:rPr>
                <w:rFonts w:ascii="仿宋_GB2312" w:hAnsi="仿宋_GB2312" w:eastAsia="仿宋_GB2312" w:cs="仿宋_GB2312"/>
              </w:rPr>
              <w:t>不涉及</w:t>
            </w:r>
          </w:p>
        </w:tc>
      </w:tr>
    </w:tbl>
    <w:p w14:paraId="0E74A9D3">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B9CCA51">
      <w:pPr>
        <w:pStyle w:val="4"/>
        <w:jc w:val="left"/>
        <w:outlineLvl w:val="3"/>
      </w:pPr>
      <w:r>
        <w:rPr>
          <w:rFonts w:ascii="仿宋_GB2312" w:hAnsi="仿宋_GB2312" w:eastAsia="仿宋_GB2312" w:cs="仿宋_GB2312"/>
          <w:b/>
          <w:sz w:val="24"/>
        </w:rPr>
        <w:t>本项目涉及优先采购环境标志产品：</w:t>
      </w:r>
    </w:p>
    <w:p w14:paraId="00CAF44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65C7B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732D2C1">
            <w:pPr>
              <w:pStyle w:val="4"/>
              <w:jc w:val="center"/>
            </w:pPr>
            <w:r>
              <w:rPr>
                <w:rFonts w:ascii="仿宋_GB2312" w:hAnsi="仿宋_GB2312" w:eastAsia="仿宋_GB2312" w:cs="仿宋_GB2312"/>
              </w:rPr>
              <w:t>序号</w:t>
            </w:r>
          </w:p>
        </w:tc>
        <w:tc>
          <w:tcPr>
            <w:tcW w:w="2492" w:type="dxa"/>
          </w:tcPr>
          <w:p w14:paraId="7FCCD23E">
            <w:pPr>
              <w:pStyle w:val="4"/>
              <w:jc w:val="center"/>
            </w:pPr>
            <w:r>
              <w:rPr>
                <w:rFonts w:ascii="仿宋_GB2312" w:hAnsi="仿宋_GB2312" w:eastAsia="仿宋_GB2312" w:cs="仿宋_GB2312"/>
              </w:rPr>
              <w:t>采购品目名称</w:t>
            </w:r>
          </w:p>
        </w:tc>
        <w:tc>
          <w:tcPr>
            <w:tcW w:w="2492" w:type="dxa"/>
          </w:tcPr>
          <w:p w14:paraId="3685E6A3">
            <w:pPr>
              <w:pStyle w:val="4"/>
              <w:jc w:val="center"/>
            </w:pPr>
            <w:r>
              <w:rPr>
                <w:rFonts w:ascii="仿宋_GB2312" w:hAnsi="仿宋_GB2312" w:eastAsia="仿宋_GB2312" w:cs="仿宋_GB2312"/>
              </w:rPr>
              <w:t>标的名称</w:t>
            </w:r>
          </w:p>
        </w:tc>
        <w:tc>
          <w:tcPr>
            <w:tcW w:w="2492" w:type="dxa"/>
          </w:tcPr>
          <w:p w14:paraId="47EC5B40">
            <w:pPr>
              <w:pStyle w:val="4"/>
              <w:jc w:val="center"/>
            </w:pPr>
            <w:r>
              <w:rPr>
                <w:rFonts w:ascii="仿宋_GB2312" w:hAnsi="仿宋_GB2312" w:eastAsia="仿宋_GB2312" w:cs="仿宋_GB2312"/>
              </w:rPr>
              <w:t>产品名称</w:t>
            </w:r>
          </w:p>
        </w:tc>
      </w:tr>
      <w:tr w14:paraId="18CA2A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4025C8E">
            <w:pPr>
              <w:pStyle w:val="4"/>
              <w:jc w:val="center"/>
            </w:pPr>
            <w:r>
              <w:rPr>
                <w:rFonts w:ascii="仿宋_GB2312" w:hAnsi="仿宋_GB2312" w:eastAsia="仿宋_GB2312" w:cs="仿宋_GB2312"/>
              </w:rPr>
              <w:t>不涉及</w:t>
            </w:r>
          </w:p>
        </w:tc>
      </w:tr>
    </w:tbl>
    <w:p w14:paraId="45F945F7">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95D4890">
      <w:pPr>
        <w:pStyle w:val="4"/>
        <w:jc w:val="left"/>
        <w:outlineLvl w:val="2"/>
      </w:pPr>
      <w:r>
        <w:rPr>
          <w:rFonts w:ascii="仿宋_GB2312" w:hAnsi="仿宋_GB2312" w:eastAsia="仿宋_GB2312" w:cs="仿宋_GB2312"/>
          <w:b/>
          <w:sz w:val="28"/>
        </w:rPr>
        <w:t>3.2.技术要求</w:t>
      </w:r>
    </w:p>
    <w:p w14:paraId="2A001FA4">
      <w:pPr>
        <w:pStyle w:val="4"/>
        <w:jc w:val="left"/>
      </w:pPr>
      <w:r>
        <w:rPr>
          <w:rFonts w:ascii="仿宋_GB2312" w:hAnsi="仿宋_GB2312" w:eastAsia="仿宋_GB2312" w:cs="仿宋_GB2312"/>
        </w:rPr>
        <w:t>采购包1：</w:t>
      </w:r>
    </w:p>
    <w:p w14:paraId="5A158A68">
      <w:pPr>
        <w:pStyle w:val="4"/>
        <w:jc w:val="left"/>
      </w:pPr>
      <w:r>
        <w:rPr>
          <w:rFonts w:ascii="仿宋_GB2312" w:hAnsi="仿宋_GB2312" w:eastAsia="仿宋_GB2312" w:cs="仿宋_GB2312"/>
        </w:rPr>
        <w:t>标的名称：信息化教考一体化实验室（计算机公共机房升级改造）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24F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D5F353">
            <w:pPr>
              <w:pStyle w:val="4"/>
              <w:jc w:val="center"/>
            </w:pPr>
            <w:r>
              <w:rPr>
                <w:rFonts w:ascii="仿宋_GB2312" w:hAnsi="仿宋_GB2312" w:eastAsia="仿宋_GB2312" w:cs="仿宋_GB2312"/>
              </w:rPr>
              <w:t>序号</w:t>
            </w:r>
          </w:p>
        </w:tc>
        <w:tc>
          <w:tcPr>
            <w:tcW w:w="581" w:type="dxa"/>
          </w:tcPr>
          <w:p w14:paraId="63066FFF">
            <w:pPr>
              <w:pStyle w:val="4"/>
              <w:jc w:val="center"/>
            </w:pPr>
            <w:r>
              <w:rPr>
                <w:rFonts w:ascii="仿宋_GB2312" w:hAnsi="仿宋_GB2312" w:eastAsia="仿宋_GB2312" w:cs="仿宋_GB2312"/>
              </w:rPr>
              <w:t>符号标识</w:t>
            </w:r>
          </w:p>
        </w:tc>
        <w:tc>
          <w:tcPr>
            <w:tcW w:w="1495" w:type="dxa"/>
          </w:tcPr>
          <w:p w14:paraId="413BB74B">
            <w:pPr>
              <w:pStyle w:val="4"/>
              <w:jc w:val="center"/>
            </w:pPr>
            <w:r>
              <w:rPr>
                <w:rFonts w:ascii="仿宋_GB2312" w:hAnsi="仿宋_GB2312" w:eastAsia="仿宋_GB2312" w:cs="仿宋_GB2312"/>
              </w:rPr>
              <w:t>技术要求名称</w:t>
            </w:r>
          </w:p>
        </w:tc>
        <w:tc>
          <w:tcPr>
            <w:tcW w:w="5814" w:type="dxa"/>
          </w:tcPr>
          <w:p w14:paraId="1B575875">
            <w:pPr>
              <w:pStyle w:val="4"/>
              <w:jc w:val="center"/>
            </w:pPr>
            <w:r>
              <w:rPr>
                <w:rFonts w:ascii="仿宋_GB2312" w:hAnsi="仿宋_GB2312" w:eastAsia="仿宋_GB2312" w:cs="仿宋_GB2312"/>
              </w:rPr>
              <w:t>技术参数与性能指标</w:t>
            </w:r>
          </w:p>
        </w:tc>
      </w:tr>
      <w:tr w14:paraId="7148CD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180F72">
            <w:pPr>
              <w:pStyle w:val="4"/>
              <w:jc w:val="center"/>
            </w:pPr>
            <w:r>
              <w:rPr>
                <w:rFonts w:ascii="仿宋_GB2312" w:hAnsi="仿宋_GB2312" w:eastAsia="仿宋_GB2312" w:cs="仿宋_GB2312"/>
              </w:rPr>
              <w:t>1</w:t>
            </w:r>
          </w:p>
        </w:tc>
        <w:tc>
          <w:tcPr>
            <w:tcW w:w="581" w:type="dxa"/>
          </w:tcPr>
          <w:p w14:paraId="36D317BC">
            <w:pPr>
              <w:pStyle w:val="4"/>
              <w:jc w:val="center"/>
            </w:pPr>
            <w:r>
              <w:rPr>
                <w:rFonts w:ascii="仿宋_GB2312" w:hAnsi="仿宋_GB2312" w:eastAsia="仿宋_GB2312" w:cs="仿宋_GB2312"/>
              </w:rPr>
              <w:t>★</w:t>
            </w:r>
          </w:p>
        </w:tc>
        <w:tc>
          <w:tcPr>
            <w:tcW w:w="1495" w:type="dxa"/>
          </w:tcPr>
          <w:p w14:paraId="64B877EA">
            <w:pPr>
              <w:pStyle w:val="4"/>
              <w:jc w:val="left"/>
            </w:pPr>
            <w:r>
              <w:rPr>
                <w:rFonts w:ascii="仿宋_GB2312" w:hAnsi="仿宋_GB2312" w:eastAsia="仿宋_GB2312" w:cs="仿宋_GB2312"/>
              </w:rPr>
              <w:t>标的要求</w:t>
            </w:r>
          </w:p>
        </w:tc>
        <w:tc>
          <w:tcPr>
            <w:tcW w:w="5814" w:type="dxa"/>
          </w:tcPr>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86"/>
              <w:gridCol w:w="2257"/>
              <w:gridCol w:w="1162"/>
              <w:gridCol w:w="688"/>
            </w:tblGrid>
            <w:tr w14:paraId="75BAB2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353A12">
                  <w:pPr>
                    <w:pStyle w:val="4"/>
                    <w:jc w:val="center"/>
                  </w:pPr>
                  <w:r>
                    <w:rPr>
                      <w:rFonts w:ascii="仿宋_GB2312" w:hAnsi="仿宋_GB2312" w:eastAsia="仿宋_GB2312" w:cs="仿宋_GB2312"/>
                      <w:color w:val="000000"/>
                      <w:sz w:val="21"/>
                    </w:rPr>
                    <w:t>序号</w:t>
                  </w:r>
                </w:p>
              </w:tc>
              <w:tc>
                <w:tcPr>
                  <w:tcW w:w="22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186A2D">
                  <w:pPr>
                    <w:pStyle w:val="4"/>
                    <w:jc w:val="center"/>
                  </w:pPr>
                  <w:r>
                    <w:rPr>
                      <w:rFonts w:ascii="仿宋_GB2312" w:hAnsi="仿宋_GB2312" w:eastAsia="仿宋_GB2312" w:cs="仿宋_GB2312"/>
                      <w:color w:val="000000"/>
                      <w:sz w:val="21"/>
                    </w:rPr>
                    <w:t>标的名称</w:t>
                  </w:r>
                </w:p>
              </w:tc>
              <w:tc>
                <w:tcPr>
                  <w:tcW w:w="116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75B031">
                  <w:pPr>
                    <w:pStyle w:val="4"/>
                    <w:jc w:val="center"/>
                  </w:pPr>
                  <w:r>
                    <w:rPr>
                      <w:rFonts w:ascii="仿宋_GB2312" w:hAnsi="仿宋_GB2312" w:eastAsia="仿宋_GB2312" w:cs="仿宋_GB2312"/>
                      <w:color w:val="000000"/>
                      <w:sz w:val="21"/>
                    </w:rPr>
                    <w:t>计量单位</w:t>
                  </w:r>
                </w:p>
              </w:tc>
              <w:tc>
                <w:tcPr>
                  <w:tcW w:w="68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DB8F58">
                  <w:pPr>
                    <w:pStyle w:val="4"/>
                    <w:jc w:val="center"/>
                  </w:pPr>
                  <w:r>
                    <w:rPr>
                      <w:rFonts w:ascii="仿宋_GB2312" w:hAnsi="仿宋_GB2312" w:eastAsia="仿宋_GB2312" w:cs="仿宋_GB2312"/>
                      <w:color w:val="000000"/>
                      <w:sz w:val="21"/>
                    </w:rPr>
                    <w:t>数量</w:t>
                  </w:r>
                </w:p>
              </w:tc>
            </w:tr>
            <w:tr w14:paraId="4A2AAE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D777F">
                  <w:pPr>
                    <w:pStyle w:val="4"/>
                    <w:jc w:val="center"/>
                  </w:pPr>
                  <w:r>
                    <w:rPr>
                      <w:rFonts w:ascii="仿宋_GB2312" w:hAnsi="仿宋_GB2312" w:eastAsia="仿宋_GB2312" w:cs="仿宋_GB2312"/>
                      <w:color w:val="000000"/>
                      <w:sz w:val="20"/>
                    </w:rPr>
                    <w:t>1</w:t>
                  </w:r>
                </w:p>
              </w:tc>
              <w:tc>
                <w:tcPr>
                  <w:tcW w:w="2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1E075">
                  <w:pPr>
                    <w:pStyle w:val="4"/>
                    <w:jc w:val="center"/>
                  </w:pPr>
                  <w:r>
                    <w:rPr>
                      <w:rFonts w:ascii="仿宋_GB2312" w:hAnsi="仿宋_GB2312" w:eastAsia="仿宋_GB2312" w:cs="仿宋_GB2312"/>
                      <w:color w:val="000000"/>
                      <w:sz w:val="20"/>
                    </w:rPr>
                    <w:t>桌面云计算存储资源池</w:t>
                  </w:r>
                </w:p>
              </w:tc>
              <w:tc>
                <w:tcPr>
                  <w:tcW w:w="1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6E4728">
                  <w:pPr>
                    <w:pStyle w:val="4"/>
                    <w:jc w:val="center"/>
                  </w:pPr>
                  <w:r>
                    <w:rPr>
                      <w:rFonts w:ascii="仿宋_GB2312" w:hAnsi="仿宋_GB2312" w:eastAsia="仿宋_GB2312" w:cs="仿宋_GB2312"/>
                      <w:color w:val="000000"/>
                      <w:sz w:val="20"/>
                    </w:rPr>
                    <w:t>台</w:t>
                  </w:r>
                </w:p>
              </w:tc>
              <w:tc>
                <w:tcPr>
                  <w:tcW w:w="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EF1852">
                  <w:pPr>
                    <w:pStyle w:val="4"/>
                    <w:jc w:val="center"/>
                  </w:pPr>
                  <w:r>
                    <w:rPr>
                      <w:rFonts w:ascii="仿宋_GB2312" w:hAnsi="仿宋_GB2312" w:eastAsia="仿宋_GB2312" w:cs="仿宋_GB2312"/>
                      <w:color w:val="000000"/>
                      <w:sz w:val="20"/>
                    </w:rPr>
                    <w:t>8</w:t>
                  </w:r>
                </w:p>
              </w:tc>
            </w:tr>
            <w:tr w14:paraId="1F198A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BF1B30">
                  <w:pPr>
                    <w:pStyle w:val="4"/>
                    <w:jc w:val="center"/>
                  </w:pPr>
                  <w:r>
                    <w:rPr>
                      <w:rFonts w:ascii="仿宋_GB2312" w:hAnsi="仿宋_GB2312" w:eastAsia="仿宋_GB2312" w:cs="仿宋_GB2312"/>
                      <w:color w:val="000000"/>
                      <w:sz w:val="20"/>
                    </w:rPr>
                    <w:t>2</w:t>
                  </w:r>
                </w:p>
              </w:tc>
              <w:tc>
                <w:tcPr>
                  <w:tcW w:w="2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6D60BB">
                  <w:pPr>
                    <w:pStyle w:val="4"/>
                    <w:jc w:val="center"/>
                  </w:pPr>
                  <w:r>
                    <w:rPr>
                      <w:rFonts w:ascii="仿宋_GB2312" w:hAnsi="仿宋_GB2312" w:eastAsia="仿宋_GB2312" w:cs="仿宋_GB2312"/>
                      <w:color w:val="000000"/>
                      <w:sz w:val="20"/>
                    </w:rPr>
                    <w:t>桌面云接入终端平台</w:t>
                  </w:r>
                </w:p>
              </w:tc>
              <w:tc>
                <w:tcPr>
                  <w:tcW w:w="1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80011A">
                  <w:pPr>
                    <w:pStyle w:val="4"/>
                    <w:jc w:val="center"/>
                  </w:pPr>
                  <w:r>
                    <w:rPr>
                      <w:rFonts w:ascii="仿宋_GB2312" w:hAnsi="仿宋_GB2312" w:eastAsia="仿宋_GB2312" w:cs="仿宋_GB2312"/>
                      <w:color w:val="000000"/>
                      <w:sz w:val="20"/>
                    </w:rPr>
                    <w:t>套</w:t>
                  </w:r>
                </w:p>
              </w:tc>
              <w:tc>
                <w:tcPr>
                  <w:tcW w:w="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300EA">
                  <w:pPr>
                    <w:pStyle w:val="4"/>
                    <w:jc w:val="center"/>
                  </w:pPr>
                  <w:r>
                    <w:rPr>
                      <w:rFonts w:ascii="仿宋_GB2312" w:hAnsi="仿宋_GB2312" w:eastAsia="仿宋_GB2312" w:cs="仿宋_GB2312"/>
                      <w:color w:val="000000"/>
                      <w:sz w:val="20"/>
                    </w:rPr>
                    <w:t>1</w:t>
                  </w:r>
                </w:p>
              </w:tc>
            </w:tr>
            <w:tr w14:paraId="3193D0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5B6E23">
                  <w:pPr>
                    <w:pStyle w:val="4"/>
                    <w:jc w:val="center"/>
                  </w:pPr>
                  <w:r>
                    <w:rPr>
                      <w:rFonts w:ascii="仿宋_GB2312" w:hAnsi="仿宋_GB2312" w:eastAsia="仿宋_GB2312" w:cs="仿宋_GB2312"/>
                      <w:color w:val="000000"/>
                      <w:sz w:val="20"/>
                    </w:rPr>
                    <w:t>3</w:t>
                  </w:r>
                </w:p>
              </w:tc>
              <w:tc>
                <w:tcPr>
                  <w:tcW w:w="2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454E09">
                  <w:pPr>
                    <w:pStyle w:val="4"/>
                    <w:jc w:val="center"/>
                  </w:pPr>
                  <w:r>
                    <w:rPr>
                      <w:rFonts w:ascii="仿宋_GB2312" w:hAnsi="仿宋_GB2312" w:eastAsia="仿宋_GB2312" w:cs="仿宋_GB2312"/>
                      <w:color w:val="000000"/>
                      <w:sz w:val="20"/>
                    </w:rPr>
                    <w:t>存储虚拟化软件</w:t>
                  </w:r>
                </w:p>
              </w:tc>
              <w:tc>
                <w:tcPr>
                  <w:tcW w:w="1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16028C">
                  <w:pPr>
                    <w:pStyle w:val="4"/>
                    <w:jc w:val="center"/>
                  </w:pPr>
                  <w:r>
                    <w:rPr>
                      <w:rFonts w:ascii="仿宋_GB2312" w:hAnsi="仿宋_GB2312" w:eastAsia="仿宋_GB2312" w:cs="仿宋_GB2312"/>
                      <w:color w:val="000000"/>
                      <w:sz w:val="20"/>
                    </w:rPr>
                    <w:t>套</w:t>
                  </w:r>
                </w:p>
              </w:tc>
              <w:tc>
                <w:tcPr>
                  <w:tcW w:w="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D22636">
                  <w:pPr>
                    <w:pStyle w:val="4"/>
                    <w:jc w:val="center"/>
                  </w:pPr>
                  <w:r>
                    <w:rPr>
                      <w:rFonts w:ascii="仿宋_GB2312" w:hAnsi="仿宋_GB2312" w:eastAsia="仿宋_GB2312" w:cs="仿宋_GB2312"/>
                      <w:color w:val="000000"/>
                      <w:sz w:val="20"/>
                    </w:rPr>
                    <w:t>1</w:t>
                  </w:r>
                </w:p>
              </w:tc>
            </w:tr>
            <w:tr w14:paraId="71A1C6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58D53">
                  <w:pPr>
                    <w:pStyle w:val="4"/>
                    <w:jc w:val="center"/>
                  </w:pPr>
                  <w:r>
                    <w:rPr>
                      <w:rFonts w:ascii="仿宋_GB2312" w:hAnsi="仿宋_GB2312" w:eastAsia="仿宋_GB2312" w:cs="仿宋_GB2312"/>
                      <w:color w:val="000000"/>
                      <w:sz w:val="20"/>
                    </w:rPr>
                    <w:t>4</w:t>
                  </w:r>
                </w:p>
              </w:tc>
              <w:tc>
                <w:tcPr>
                  <w:tcW w:w="2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0BFF97">
                  <w:pPr>
                    <w:pStyle w:val="4"/>
                    <w:jc w:val="center"/>
                  </w:pPr>
                  <w:r>
                    <w:rPr>
                      <w:rFonts w:ascii="仿宋_GB2312" w:hAnsi="仿宋_GB2312" w:eastAsia="仿宋_GB2312" w:cs="仿宋_GB2312"/>
                      <w:color w:val="000000"/>
                      <w:sz w:val="20"/>
                    </w:rPr>
                    <w:t>万兆存储交换机</w:t>
                  </w:r>
                </w:p>
              </w:tc>
              <w:tc>
                <w:tcPr>
                  <w:tcW w:w="1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25A1A2">
                  <w:pPr>
                    <w:pStyle w:val="4"/>
                    <w:jc w:val="center"/>
                  </w:pPr>
                  <w:r>
                    <w:rPr>
                      <w:rFonts w:ascii="仿宋_GB2312" w:hAnsi="仿宋_GB2312" w:eastAsia="仿宋_GB2312" w:cs="仿宋_GB2312"/>
                      <w:color w:val="000000"/>
                      <w:sz w:val="20"/>
                    </w:rPr>
                    <w:t>台</w:t>
                  </w:r>
                </w:p>
              </w:tc>
              <w:tc>
                <w:tcPr>
                  <w:tcW w:w="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61AD1">
                  <w:pPr>
                    <w:pStyle w:val="4"/>
                    <w:jc w:val="center"/>
                  </w:pPr>
                  <w:r>
                    <w:rPr>
                      <w:rFonts w:ascii="仿宋_GB2312" w:hAnsi="仿宋_GB2312" w:eastAsia="仿宋_GB2312" w:cs="仿宋_GB2312"/>
                      <w:color w:val="000000"/>
                      <w:sz w:val="20"/>
                    </w:rPr>
                    <w:t>3</w:t>
                  </w:r>
                </w:p>
              </w:tc>
            </w:tr>
            <w:tr w14:paraId="379C40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07499">
                  <w:pPr>
                    <w:pStyle w:val="4"/>
                    <w:jc w:val="center"/>
                  </w:pPr>
                  <w:r>
                    <w:rPr>
                      <w:rFonts w:ascii="仿宋_GB2312" w:hAnsi="仿宋_GB2312" w:eastAsia="仿宋_GB2312" w:cs="仿宋_GB2312"/>
                      <w:color w:val="000000"/>
                      <w:sz w:val="20"/>
                    </w:rPr>
                    <w:t>5</w:t>
                  </w:r>
                </w:p>
              </w:tc>
              <w:tc>
                <w:tcPr>
                  <w:tcW w:w="2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24CDDE">
                  <w:pPr>
                    <w:pStyle w:val="4"/>
                    <w:jc w:val="center"/>
                  </w:pPr>
                  <w:r>
                    <w:rPr>
                      <w:rFonts w:ascii="仿宋_GB2312" w:hAnsi="仿宋_GB2312" w:eastAsia="仿宋_GB2312" w:cs="仿宋_GB2312"/>
                      <w:color w:val="000000"/>
                      <w:sz w:val="20"/>
                    </w:rPr>
                    <w:t>接入交换机</w:t>
                  </w:r>
                </w:p>
              </w:tc>
              <w:tc>
                <w:tcPr>
                  <w:tcW w:w="1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516AA">
                  <w:pPr>
                    <w:pStyle w:val="4"/>
                    <w:jc w:val="center"/>
                  </w:pPr>
                  <w:r>
                    <w:rPr>
                      <w:rFonts w:ascii="仿宋_GB2312" w:hAnsi="仿宋_GB2312" w:eastAsia="仿宋_GB2312" w:cs="仿宋_GB2312"/>
                      <w:color w:val="000000"/>
                      <w:sz w:val="20"/>
                    </w:rPr>
                    <w:t>台</w:t>
                  </w:r>
                </w:p>
              </w:tc>
              <w:tc>
                <w:tcPr>
                  <w:tcW w:w="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F43CDA">
                  <w:pPr>
                    <w:pStyle w:val="4"/>
                    <w:jc w:val="center"/>
                  </w:pPr>
                  <w:r>
                    <w:rPr>
                      <w:rFonts w:ascii="仿宋_GB2312" w:hAnsi="仿宋_GB2312" w:eastAsia="仿宋_GB2312" w:cs="仿宋_GB2312"/>
                      <w:color w:val="000000"/>
                      <w:sz w:val="20"/>
                    </w:rPr>
                    <w:t>10</w:t>
                  </w:r>
                </w:p>
              </w:tc>
            </w:tr>
            <w:tr w14:paraId="0610FD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6CB2D5">
                  <w:pPr>
                    <w:pStyle w:val="4"/>
                    <w:jc w:val="center"/>
                  </w:pPr>
                  <w:r>
                    <w:rPr>
                      <w:rFonts w:ascii="仿宋_GB2312" w:hAnsi="仿宋_GB2312" w:eastAsia="仿宋_GB2312" w:cs="仿宋_GB2312"/>
                      <w:color w:val="000000"/>
                      <w:sz w:val="20"/>
                    </w:rPr>
                    <w:t>6</w:t>
                  </w:r>
                </w:p>
              </w:tc>
              <w:tc>
                <w:tcPr>
                  <w:tcW w:w="2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87615">
                  <w:pPr>
                    <w:pStyle w:val="4"/>
                    <w:jc w:val="center"/>
                  </w:pPr>
                  <w:r>
                    <w:rPr>
                      <w:rFonts w:ascii="仿宋_GB2312" w:hAnsi="仿宋_GB2312" w:eastAsia="仿宋_GB2312" w:cs="仿宋_GB2312"/>
                      <w:color w:val="000000"/>
                      <w:sz w:val="20"/>
                    </w:rPr>
                    <w:t>显示终端</w:t>
                  </w:r>
                </w:p>
              </w:tc>
              <w:tc>
                <w:tcPr>
                  <w:tcW w:w="1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77ACC4">
                  <w:pPr>
                    <w:pStyle w:val="4"/>
                    <w:jc w:val="center"/>
                  </w:pPr>
                  <w:r>
                    <w:rPr>
                      <w:rFonts w:ascii="仿宋_GB2312" w:hAnsi="仿宋_GB2312" w:eastAsia="仿宋_GB2312" w:cs="仿宋_GB2312"/>
                      <w:color w:val="000000"/>
                      <w:sz w:val="20"/>
                    </w:rPr>
                    <w:t>台</w:t>
                  </w:r>
                </w:p>
              </w:tc>
              <w:tc>
                <w:tcPr>
                  <w:tcW w:w="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A4F09">
                  <w:pPr>
                    <w:pStyle w:val="4"/>
                    <w:jc w:val="center"/>
                  </w:pPr>
                  <w:r>
                    <w:rPr>
                      <w:rFonts w:ascii="仿宋_GB2312" w:hAnsi="仿宋_GB2312" w:eastAsia="仿宋_GB2312" w:cs="仿宋_GB2312"/>
                      <w:color w:val="000000"/>
                      <w:sz w:val="20"/>
                    </w:rPr>
                    <w:t>162</w:t>
                  </w:r>
                </w:p>
              </w:tc>
            </w:tr>
            <w:tr w14:paraId="796DFD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EE6BE0">
                  <w:pPr>
                    <w:pStyle w:val="4"/>
                    <w:jc w:val="center"/>
                  </w:pPr>
                  <w:r>
                    <w:rPr>
                      <w:rFonts w:ascii="仿宋_GB2312" w:hAnsi="仿宋_GB2312" w:eastAsia="仿宋_GB2312" w:cs="仿宋_GB2312"/>
                      <w:color w:val="000000"/>
                      <w:sz w:val="20"/>
                    </w:rPr>
                    <w:t>7</w:t>
                  </w:r>
                </w:p>
              </w:tc>
              <w:tc>
                <w:tcPr>
                  <w:tcW w:w="2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81EFD">
                  <w:pPr>
                    <w:pStyle w:val="4"/>
                    <w:jc w:val="center"/>
                  </w:pPr>
                  <w:r>
                    <w:rPr>
                      <w:rFonts w:ascii="仿宋_GB2312" w:hAnsi="仿宋_GB2312" w:eastAsia="仿宋_GB2312" w:cs="仿宋_GB2312"/>
                      <w:color w:val="000000"/>
                      <w:sz w:val="20"/>
                    </w:rPr>
                    <w:t>综合布线</w:t>
                  </w:r>
                </w:p>
              </w:tc>
              <w:tc>
                <w:tcPr>
                  <w:tcW w:w="1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6D9DCF">
                  <w:pPr>
                    <w:pStyle w:val="4"/>
                    <w:jc w:val="center"/>
                  </w:pPr>
                  <w:r>
                    <w:rPr>
                      <w:rFonts w:ascii="仿宋_GB2312" w:hAnsi="仿宋_GB2312" w:eastAsia="仿宋_GB2312" w:cs="仿宋_GB2312"/>
                      <w:color w:val="000000"/>
                      <w:sz w:val="20"/>
                    </w:rPr>
                    <w:t>项</w:t>
                  </w:r>
                </w:p>
              </w:tc>
              <w:tc>
                <w:tcPr>
                  <w:tcW w:w="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EA767">
                  <w:pPr>
                    <w:pStyle w:val="4"/>
                    <w:jc w:val="center"/>
                  </w:pPr>
                  <w:r>
                    <w:rPr>
                      <w:rFonts w:ascii="仿宋_GB2312" w:hAnsi="仿宋_GB2312" w:eastAsia="仿宋_GB2312" w:cs="仿宋_GB2312"/>
                      <w:color w:val="000000"/>
                      <w:sz w:val="20"/>
                    </w:rPr>
                    <w:t>1</w:t>
                  </w:r>
                </w:p>
              </w:tc>
            </w:tr>
          </w:tbl>
          <w:p w14:paraId="7DBCCAD7">
            <w:pPr>
              <w:pStyle w:val="4"/>
              <w:jc w:val="left"/>
            </w:pPr>
            <w:r>
              <w:rPr>
                <w:rFonts w:ascii="仿宋_GB2312" w:hAnsi="仿宋_GB2312" w:eastAsia="仿宋_GB2312" w:cs="仿宋_GB2312"/>
              </w:rPr>
              <w:t>注：</w:t>
            </w:r>
            <w:r>
              <w:rPr>
                <w:rFonts w:ascii="仿宋_GB2312" w:hAnsi="仿宋_GB2312" w:eastAsia="仿宋_GB2312" w:cs="仿宋_GB2312"/>
                <w:sz w:val="21"/>
              </w:rPr>
              <w:t>供应商应根据以上标的内容提供分项报价表，否则视为无效报价。</w:t>
            </w:r>
          </w:p>
        </w:tc>
      </w:tr>
      <w:tr w14:paraId="51E4ED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33613B">
            <w:pPr>
              <w:pStyle w:val="4"/>
              <w:jc w:val="center"/>
            </w:pPr>
            <w:r>
              <w:rPr>
                <w:rFonts w:ascii="仿宋_GB2312" w:hAnsi="仿宋_GB2312" w:eastAsia="仿宋_GB2312" w:cs="仿宋_GB2312"/>
              </w:rPr>
              <w:t>2</w:t>
            </w:r>
          </w:p>
        </w:tc>
        <w:tc>
          <w:tcPr>
            <w:tcW w:w="581" w:type="dxa"/>
          </w:tcPr>
          <w:p w14:paraId="6CC9C44B"/>
        </w:tc>
        <w:tc>
          <w:tcPr>
            <w:tcW w:w="1495" w:type="dxa"/>
          </w:tcPr>
          <w:p w14:paraId="11297725">
            <w:pPr>
              <w:pStyle w:val="4"/>
              <w:jc w:val="left"/>
            </w:pPr>
            <w:r>
              <w:rPr>
                <w:rFonts w:ascii="仿宋_GB2312" w:hAnsi="仿宋_GB2312" w:eastAsia="仿宋_GB2312" w:cs="仿宋_GB2312"/>
              </w:rPr>
              <w:t>技术指标</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10"/>
              <w:gridCol w:w="660"/>
              <w:gridCol w:w="4623"/>
            </w:tblGrid>
            <w:tr w14:paraId="779189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D4CE5A">
                  <w:pPr>
                    <w:pStyle w:val="4"/>
                    <w:spacing w:before="105" w:after="165"/>
                    <w:jc w:val="center"/>
                  </w:pPr>
                  <w:r>
                    <w:rPr>
                      <w:rFonts w:ascii="仿宋_GB2312" w:hAnsi="仿宋_GB2312" w:eastAsia="仿宋_GB2312" w:cs="仿宋_GB2312"/>
                      <w:sz w:val="20"/>
                    </w:rPr>
                    <w:t>1</w:t>
                  </w:r>
                </w:p>
              </w:tc>
              <w:tc>
                <w:tcPr>
                  <w:tcW w:w="6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470476A">
                  <w:pPr>
                    <w:pStyle w:val="4"/>
                    <w:spacing w:before="105" w:after="165"/>
                    <w:jc w:val="center"/>
                  </w:pPr>
                  <w:r>
                    <w:rPr>
                      <w:rFonts w:ascii="仿宋_GB2312" w:hAnsi="仿宋_GB2312" w:eastAsia="仿宋_GB2312" w:cs="仿宋_GB2312"/>
                      <w:sz w:val="20"/>
                    </w:rPr>
                    <w:t>桌面云计算存储资源池</w:t>
                  </w:r>
                </w:p>
              </w:tc>
              <w:tc>
                <w:tcPr>
                  <w:tcW w:w="467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5F94728">
                  <w:pPr>
                    <w:pStyle w:val="4"/>
                    <w:spacing w:before="105" w:after="165"/>
                    <w:jc w:val="left"/>
                  </w:pPr>
                  <w:r>
                    <w:rPr>
                      <w:rFonts w:ascii="仿宋_GB2312" w:hAnsi="仿宋_GB2312" w:eastAsia="仿宋_GB2312" w:cs="仿宋_GB2312"/>
                      <w:sz w:val="20"/>
                    </w:rPr>
                    <w:t>★1、要求配置≥2颗CPU，每颗CPU核心数≥16核，每颗CPU主频≥2.9GHz；</w:t>
                  </w:r>
                </w:p>
                <w:p w14:paraId="77361E33">
                  <w:pPr>
                    <w:pStyle w:val="4"/>
                    <w:spacing w:before="105" w:after="165"/>
                    <w:jc w:val="left"/>
                  </w:pPr>
                  <w:r>
                    <w:rPr>
                      <w:rFonts w:ascii="仿宋_GB2312" w:hAnsi="仿宋_GB2312" w:eastAsia="仿宋_GB2312" w:cs="仿宋_GB2312"/>
                      <w:sz w:val="20"/>
                    </w:rPr>
                    <w:t>★2、每节点配置≥2块240GB SATA SSD企业级硬盘，支持免工具热插拔维护，支持RAID1，可用于安装操作系统，配置≥4块4TB SATA HDD 企业级机械硬盘，≥2块960GB SSD固态热插拔硬盘，在空余硬盘插槽使用真硬盘槽位，支持后期扩容直接插入硬盘；</w:t>
                  </w:r>
                </w:p>
                <w:p w14:paraId="752ADEBF">
                  <w:pPr>
                    <w:pStyle w:val="4"/>
                    <w:spacing w:before="105" w:after="165"/>
                    <w:jc w:val="left"/>
                  </w:pPr>
                  <w:r>
                    <w:rPr>
                      <w:rFonts w:ascii="仿宋_GB2312" w:hAnsi="仿宋_GB2312" w:eastAsia="仿宋_GB2312" w:cs="仿宋_GB2312"/>
                      <w:sz w:val="20"/>
                    </w:rPr>
                    <w:t>★3、每节点配置≥8根32GB RECC DDR4 3200MHz内存条，支持内存ECC自动纠错机制，配套内存支架，配置≥4千兆电口，≥2个万兆光口（含万兆多模光模块），配置冗余热插拔电源；</w:t>
                  </w:r>
                </w:p>
              </w:tc>
            </w:tr>
            <w:tr w14:paraId="6D4E24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6A7003">
                  <w:pPr>
                    <w:pStyle w:val="4"/>
                    <w:spacing w:before="105" w:after="165"/>
                    <w:jc w:val="center"/>
                  </w:pPr>
                  <w:r>
                    <w:rPr>
                      <w:rFonts w:ascii="仿宋_GB2312" w:hAnsi="仿宋_GB2312" w:eastAsia="仿宋_GB2312" w:cs="仿宋_GB2312"/>
                      <w:sz w:val="20"/>
                    </w:rPr>
                    <w:t>2</w:t>
                  </w:r>
                </w:p>
              </w:tc>
              <w:tc>
                <w:tcPr>
                  <w:tcW w:w="6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1D878">
                  <w:pPr>
                    <w:pStyle w:val="4"/>
                    <w:spacing w:before="105" w:after="165"/>
                    <w:jc w:val="center"/>
                  </w:pPr>
                  <w:r>
                    <w:rPr>
                      <w:rFonts w:ascii="仿宋_GB2312" w:hAnsi="仿宋_GB2312" w:eastAsia="仿宋_GB2312" w:cs="仿宋_GB2312"/>
                      <w:sz w:val="20"/>
                    </w:rPr>
                    <w:t>桌面云接入终端平台</w:t>
                  </w:r>
                </w:p>
              </w:tc>
              <w:tc>
                <w:tcPr>
                  <w:tcW w:w="46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276FD1">
                  <w:pPr>
                    <w:pStyle w:val="4"/>
                    <w:spacing w:before="105" w:after="165"/>
                    <w:jc w:val="left"/>
                  </w:pPr>
                  <w:r>
                    <w:rPr>
                      <w:rFonts w:ascii="仿宋_GB2312" w:hAnsi="仿宋_GB2312" w:eastAsia="仿宋_GB2312" w:cs="仿宋_GB2312"/>
                      <w:sz w:val="20"/>
                    </w:rPr>
                    <w:t>★1、配置≥162套桌面云终端接入授权,并同步配置≥162台云桌面客户机，教师及学生可以通过云桌面客户机接入虚拟桌面资源。单个虚拟桌面vcpu≥4核，内存≥8G。</w:t>
                  </w:r>
                </w:p>
                <w:p w14:paraId="7E7ED88F">
                  <w:pPr>
                    <w:pStyle w:val="4"/>
                    <w:spacing w:before="105" w:after="165"/>
                    <w:jc w:val="left"/>
                  </w:pPr>
                  <w:r>
                    <w:rPr>
                      <w:rFonts w:ascii="仿宋_GB2312" w:hAnsi="仿宋_GB2312" w:eastAsia="仿宋_GB2312" w:cs="仿宋_GB2312"/>
                      <w:sz w:val="20"/>
                    </w:rPr>
                    <w:t>▲2、为了方便用户自主修复桌面，支持自助快照恢复，当用户自己误操作导致云桌面卡慢、蓝屏、死机或者中病毒的时候，用户通过导航条按钮，可以自助进行系统盘快照还原操作（提供产品功能截图并加盖供应商公章）；</w:t>
                  </w:r>
                </w:p>
                <w:p w14:paraId="1E0DBD32">
                  <w:pPr>
                    <w:pStyle w:val="4"/>
                    <w:spacing w:before="105" w:after="165"/>
                    <w:jc w:val="left"/>
                  </w:pPr>
                  <w:r>
                    <w:rPr>
                      <w:rFonts w:ascii="仿宋_GB2312" w:hAnsi="仿宋_GB2312" w:eastAsia="仿宋_GB2312" w:cs="仿宋_GB2312"/>
                      <w:sz w:val="20"/>
                    </w:rPr>
                    <w:t>3、为了提高桌面使用稳定性，客户端连接虚拟桌面无需依赖虚拟机IP，如禁用虚机网卡或者随意更改IP，桌面会话不会中断，用户可以正常办公，避免因误操作而导致业务中断。</w:t>
                  </w:r>
                </w:p>
                <w:p w14:paraId="2EFD47C3">
                  <w:pPr>
                    <w:pStyle w:val="4"/>
                    <w:spacing w:before="105" w:after="165"/>
                    <w:jc w:val="left"/>
                  </w:pPr>
                  <w:r>
                    <w:rPr>
                      <w:rFonts w:ascii="仿宋_GB2312" w:hAnsi="仿宋_GB2312" w:eastAsia="仿宋_GB2312" w:cs="仿宋_GB2312"/>
                      <w:sz w:val="20"/>
                    </w:rPr>
                    <w:t>4、支持桌面会话连接保持功能，在多桌面切换、更换不同终端接入、临时性网络中断（自动重连）等情况下，用户重新登录后不会影响原先的桌面操作行为；</w:t>
                  </w:r>
                </w:p>
                <w:p w14:paraId="2DFA4D1D">
                  <w:pPr>
                    <w:pStyle w:val="4"/>
                    <w:spacing w:before="105" w:after="165"/>
                    <w:jc w:val="left"/>
                  </w:pPr>
                  <w:r>
                    <w:rPr>
                      <w:rFonts w:ascii="仿宋_GB2312" w:hAnsi="仿宋_GB2312" w:eastAsia="仿宋_GB2312" w:cs="仿宋_GB2312"/>
                      <w:sz w:val="20"/>
                    </w:rPr>
                    <w:t>5、支持删除用户时，可选择是否删除关联的虚拟机，如果不删除，虚拟机处于闲置状态，可重新关联给其他用户。</w:t>
                  </w:r>
                </w:p>
                <w:p w14:paraId="1FABA552">
                  <w:pPr>
                    <w:pStyle w:val="4"/>
                    <w:spacing w:before="105" w:after="165"/>
                    <w:jc w:val="left"/>
                  </w:pPr>
                  <w:r>
                    <w:rPr>
                      <w:rFonts w:ascii="仿宋_GB2312" w:hAnsi="仿宋_GB2312" w:eastAsia="仿宋_GB2312" w:cs="仿宋_GB2312"/>
                      <w:sz w:val="20"/>
                    </w:rPr>
                    <w:t>6、应用虚拟化管理平台支持管理员手动注销用户会话，在用户整个会话卡死，且用户无法自己关闭、无法注销或注销后登录也是卡死状态时，管理员可以在管理平台上手动注销用户会话；</w:t>
                  </w:r>
                </w:p>
                <w:p w14:paraId="7AB020C9">
                  <w:pPr>
                    <w:pStyle w:val="4"/>
                    <w:spacing w:before="105" w:after="165"/>
                    <w:jc w:val="left"/>
                  </w:pPr>
                  <w:r>
                    <w:rPr>
                      <w:rFonts w:ascii="仿宋_GB2312" w:hAnsi="仿宋_GB2312" w:eastAsia="仿宋_GB2312" w:cs="仿宋_GB2312"/>
                      <w:sz w:val="20"/>
                    </w:rPr>
                    <w:t>▲7、为了直观获取网络状态，支持云桌面导航条显示网络状态，支持导航条显示当前终端（终端、PC客户端）与云桌面控制台之间的网络状态，用户可以实时查看网络状态和时延，当网络状态不佳时在后台进行日志记录，方便管理员进行网络状态查询和维护（提供产品功能截图并加盖供应商公章）。</w:t>
                  </w:r>
                </w:p>
                <w:p w14:paraId="287F79A8">
                  <w:pPr>
                    <w:pStyle w:val="4"/>
                    <w:spacing w:before="105" w:after="165"/>
                    <w:jc w:val="left"/>
                  </w:pPr>
                  <w:r>
                    <w:rPr>
                      <w:rFonts w:ascii="仿宋_GB2312" w:hAnsi="仿宋_GB2312" w:eastAsia="仿宋_GB2312" w:cs="仿宋_GB2312"/>
                      <w:sz w:val="20"/>
                    </w:rPr>
                    <w:t>▲8、支持在多应用办公场景下，可针对当下使用频率较高的软件做进程加速，管理员也可自定义需做进程加速应用，以保障应用使用体验（提供产品功能截图并加盖供应商公章）。</w:t>
                  </w:r>
                </w:p>
                <w:p w14:paraId="70158C59">
                  <w:pPr>
                    <w:pStyle w:val="4"/>
                    <w:spacing w:before="105" w:after="165"/>
                    <w:jc w:val="left"/>
                  </w:pPr>
                  <w:r>
                    <w:rPr>
                      <w:rFonts w:ascii="仿宋_GB2312" w:hAnsi="仿宋_GB2312" w:eastAsia="仿宋_GB2312" w:cs="仿宋_GB2312"/>
                      <w:sz w:val="20"/>
                    </w:rPr>
                    <w:t>▲9、需支持模板链接克隆及完整复制虚拟机。链接克隆可以提高上线维护效率，完整复制虚拟机可以让虚拟机保持独立，不受模版单点故障影响。克隆时可指定虚拟机数量、运行位置、存储位置、网口信息、磁盘大小，并需支持链接克隆虚拟机转为完整复制虚拟机，本项目要求100个虚拟机派生时间不超过5分钟(提供产品功能截图并加盖供应商公章)。</w:t>
                  </w:r>
                </w:p>
                <w:p w14:paraId="31CCB3F7">
                  <w:pPr>
                    <w:pStyle w:val="4"/>
                    <w:spacing w:before="105" w:after="165"/>
                    <w:jc w:val="left"/>
                  </w:pPr>
                  <w:r>
                    <w:rPr>
                      <w:rFonts w:ascii="仿宋_GB2312" w:hAnsi="仿宋_GB2312" w:eastAsia="仿宋_GB2312" w:cs="仿宋_GB2312"/>
                      <w:sz w:val="20"/>
                    </w:rPr>
                    <w:t>▲10、支持用户可自助申请虚拟机配置变更，由管理员审核，管理员可以选择审批通过、修改申请配置后申请通过、驳回操作，审核通过资源自动加到用户虚拟机上。并且用户申请虚拟机配置变更可以直接指定给部门资产管理员审批（提供产品功能截图并加盖供应商公章）。</w:t>
                  </w:r>
                </w:p>
                <w:p w14:paraId="0D4DE89A">
                  <w:pPr>
                    <w:pStyle w:val="4"/>
                    <w:spacing w:before="105" w:after="165"/>
                    <w:jc w:val="left"/>
                  </w:pPr>
                  <w:r>
                    <w:rPr>
                      <w:rFonts w:ascii="仿宋_GB2312" w:hAnsi="仿宋_GB2312" w:eastAsia="仿宋_GB2312" w:cs="仿宋_GB2312"/>
                      <w:sz w:val="20"/>
                    </w:rPr>
                    <w:t>11、为保障用户使用的稳定性和流畅性，产品需要根据网络带宽情况自动进行体验优化，支持通过自动优化传输画面的帧率、提供高准确率的缓存等，提升用户体验。</w:t>
                  </w:r>
                </w:p>
                <w:p w14:paraId="4979E1B8">
                  <w:pPr>
                    <w:pStyle w:val="4"/>
                    <w:spacing w:before="105" w:after="165"/>
                    <w:jc w:val="left"/>
                  </w:pPr>
                  <w:r>
                    <w:rPr>
                      <w:rFonts w:ascii="仿宋_GB2312" w:hAnsi="仿宋_GB2312" w:eastAsia="仿宋_GB2312" w:cs="仿宋_GB2312"/>
                      <w:sz w:val="20"/>
                    </w:rPr>
                    <w:t>12.为了降低使用难度，所投产品使用方式需与PC使用习惯一致，需支持显示虚拟机开关机画面、需支持分辨率自适应和更改分辨率、需支持与本地操作系统、AD域等实现单点登录。</w:t>
                  </w:r>
                </w:p>
                <w:p w14:paraId="5CA16073">
                  <w:pPr>
                    <w:pStyle w:val="4"/>
                    <w:spacing w:before="105" w:after="165"/>
                    <w:jc w:val="left"/>
                  </w:pPr>
                  <w:r>
                    <w:rPr>
                      <w:rFonts w:ascii="仿宋_GB2312" w:hAnsi="仿宋_GB2312" w:eastAsia="仿宋_GB2312" w:cs="仿宋_GB2312"/>
                      <w:sz w:val="20"/>
                    </w:rPr>
                    <w:t>▲13、软件资源占用统计和业务软件识别，针对软件资源（含CPU、内存、使用人、安装目录和供应商）占用进行统计分析，如果消耗较高会提供告警；同时提供业务软件标识功能，管理员可以将特定软件标记为业务软件和非业务软件，用于管理员对单位组织软件安装和使用情况做分析(提供产品功能截图并加盖供应商公章)。</w:t>
                  </w:r>
                </w:p>
                <w:p w14:paraId="4C2E7F42">
                  <w:pPr>
                    <w:pStyle w:val="4"/>
                    <w:spacing w:before="105" w:after="165"/>
                    <w:jc w:val="left"/>
                  </w:pPr>
                  <w:r>
                    <w:rPr>
                      <w:rFonts w:ascii="仿宋_GB2312" w:hAnsi="仿宋_GB2312" w:eastAsia="仿宋_GB2312" w:cs="仿宋_GB2312"/>
                      <w:sz w:val="20"/>
                    </w:rPr>
                    <w:t>14、支持联动关机，用户可以跟使用PC一样，打开操作系统“开始”菜单、点击“关机”按钮，云终端和操作系统将会一体化关闭，没有多余的操作步骤。</w:t>
                  </w:r>
                </w:p>
                <w:p w14:paraId="7DC62B3D">
                  <w:pPr>
                    <w:pStyle w:val="4"/>
                    <w:spacing w:before="105" w:after="165"/>
                    <w:jc w:val="left"/>
                  </w:pPr>
                  <w:r>
                    <w:rPr>
                      <w:rFonts w:ascii="仿宋_GB2312" w:hAnsi="仿宋_GB2312" w:eastAsia="仿宋_GB2312" w:cs="仿宋_GB2312"/>
                      <w:sz w:val="20"/>
                    </w:rPr>
                    <w:t>▲15、为简化运维人员工作量，支持软件分发，通过创建软件库并关联给虚拟机，实现应用软件、驱动程序的增量式更新，不需要在每个虚拟机执行安装过程，整个分发过程秒级完成，且分发后不会覆盖原虚拟机的个性化配置和自主安装的软件，本项目要求支持应用软件、USB打印机和网络打印机驱动、网页快捷方式和页面控件、办公文件的分发（提供产品功能截图并加盖供应商公章）。</w:t>
                  </w:r>
                </w:p>
                <w:p w14:paraId="5A53AF94">
                  <w:pPr>
                    <w:pStyle w:val="4"/>
                    <w:spacing w:before="105" w:after="165"/>
                    <w:jc w:val="left"/>
                  </w:pPr>
                  <w:r>
                    <w:rPr>
                      <w:rFonts w:ascii="仿宋_GB2312" w:hAnsi="仿宋_GB2312" w:eastAsia="仿宋_GB2312" w:cs="仿宋_GB2312"/>
                      <w:sz w:val="20"/>
                    </w:rPr>
                    <w:t>▲16、支持设置首次登录强制修改密码、定时修改密码、图形校验码和软键盘等密码安全策略，以保障认证密码安全性，避免越权访问行为（提供产品功能截图并加盖供应商公章）。</w:t>
                  </w:r>
                </w:p>
                <w:p w14:paraId="73A66CC1">
                  <w:pPr>
                    <w:pStyle w:val="4"/>
                    <w:spacing w:before="105" w:after="165"/>
                    <w:jc w:val="left"/>
                  </w:pPr>
                  <w:r>
                    <w:rPr>
                      <w:rFonts w:ascii="仿宋_GB2312" w:hAnsi="仿宋_GB2312" w:eastAsia="仿宋_GB2312" w:cs="仿宋_GB2312"/>
                      <w:sz w:val="20"/>
                    </w:rPr>
                    <w:t>▲17、为保证平台平稳运行，避免业务部门因云平台资源不足或异常影响业务开展，平台应可依据虚拟机/服务器/集群当前的资源占用和调度情况，量化出每个虚拟机/服务器/集群的体验和风险的综合评分（评分越低，代表此虚拟机/服务器/集群的使用体验越差，越有可能发生风险问题），且支持查看评分趋势变化图，帮助管理员及时识别相关问题。并且给出处置建议引导管理员解决，如虚机配置不足提示扩容，服务器负载过高建议迁移部分虚机等(提供产品功能截图并加盖供应商公章)。</w:t>
                  </w:r>
                </w:p>
                <w:p w14:paraId="66B91D19">
                  <w:pPr>
                    <w:pStyle w:val="4"/>
                    <w:spacing w:before="105" w:after="165"/>
                    <w:jc w:val="left"/>
                  </w:pPr>
                  <w:r>
                    <w:rPr>
                      <w:rFonts w:ascii="仿宋_GB2312" w:hAnsi="仿宋_GB2312" w:eastAsia="仿宋_GB2312" w:cs="仿宋_GB2312"/>
                      <w:sz w:val="20"/>
                    </w:rPr>
                    <w:t>▲18、支持分组管理、批量移动、删除、关闭瘦终端，支持配置定时开关机计划及加电自启动功能，支持自定义开机画面、配置自动登录和保存密码（提供产品功能截图并加盖供应商公章）。</w:t>
                  </w:r>
                </w:p>
                <w:p w14:paraId="333E7CD9">
                  <w:pPr>
                    <w:pStyle w:val="4"/>
                    <w:spacing w:before="105" w:after="165"/>
                    <w:jc w:val="left"/>
                  </w:pPr>
                  <w:r>
                    <w:rPr>
                      <w:rFonts w:ascii="仿宋_GB2312" w:hAnsi="仿宋_GB2312" w:eastAsia="仿宋_GB2312" w:cs="仿宋_GB2312"/>
                      <w:sz w:val="20"/>
                    </w:rPr>
                    <w:t>▲19、为了满足我单位不同场景的应用需求，要求每用户授权支持发布专有桌面、共享桌面、远程应用等至少3种资源类型（提供产品功能截图并加盖供应商公章）。</w:t>
                  </w:r>
                </w:p>
              </w:tc>
            </w:tr>
            <w:tr w14:paraId="7CAC0E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3EC4BF">
                  <w:pPr>
                    <w:pStyle w:val="4"/>
                    <w:spacing w:before="105" w:after="165"/>
                    <w:jc w:val="center"/>
                  </w:pPr>
                  <w:r>
                    <w:rPr>
                      <w:rFonts w:ascii="仿宋_GB2312" w:hAnsi="仿宋_GB2312" w:eastAsia="仿宋_GB2312" w:cs="仿宋_GB2312"/>
                      <w:sz w:val="20"/>
                    </w:rPr>
                    <w:t>3</w:t>
                  </w:r>
                </w:p>
              </w:tc>
              <w:tc>
                <w:tcPr>
                  <w:tcW w:w="6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5491CB">
                  <w:pPr>
                    <w:pStyle w:val="4"/>
                    <w:spacing w:before="105" w:after="165"/>
                    <w:jc w:val="center"/>
                  </w:pPr>
                  <w:r>
                    <w:rPr>
                      <w:rFonts w:ascii="仿宋_GB2312" w:hAnsi="仿宋_GB2312" w:eastAsia="仿宋_GB2312" w:cs="仿宋_GB2312"/>
                      <w:sz w:val="20"/>
                    </w:rPr>
                    <w:t>存储虚拟化软件</w:t>
                  </w:r>
                </w:p>
              </w:tc>
              <w:tc>
                <w:tcPr>
                  <w:tcW w:w="46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7CF612">
                  <w:pPr>
                    <w:pStyle w:val="4"/>
                    <w:spacing w:before="105" w:after="165"/>
                    <w:jc w:val="left"/>
                  </w:pPr>
                  <w:r>
                    <w:rPr>
                      <w:rFonts w:ascii="仿宋_GB2312" w:hAnsi="仿宋_GB2312" w:eastAsia="仿宋_GB2312" w:cs="仿宋_GB2312"/>
                      <w:sz w:val="20"/>
                    </w:rPr>
                    <w:t>★1、配置要求：配置≥16颗物理CPU授权许可；</w:t>
                  </w:r>
                </w:p>
                <w:p w14:paraId="781340EC">
                  <w:pPr>
                    <w:pStyle w:val="4"/>
                    <w:spacing w:before="105" w:after="165"/>
                    <w:jc w:val="left"/>
                  </w:pPr>
                  <w:r>
                    <w:rPr>
                      <w:rFonts w:ascii="仿宋_GB2312" w:hAnsi="仿宋_GB2312" w:eastAsia="仿宋_GB2312" w:cs="仿宋_GB2312"/>
                      <w:sz w:val="20"/>
                    </w:rPr>
                    <w:t>2、支持坏道扫描功能，由用户设置扫描的时间段定期对集群的硬盘进行扫描，及时发现潜藏的坏道；</w:t>
                  </w:r>
                </w:p>
                <w:p w14:paraId="5BDB9E77">
                  <w:pPr>
                    <w:pStyle w:val="4"/>
                    <w:spacing w:before="105" w:after="165"/>
                    <w:jc w:val="left"/>
                  </w:pPr>
                  <w:r>
                    <w:rPr>
                      <w:rFonts w:ascii="仿宋_GB2312" w:hAnsi="仿宋_GB2312" w:eastAsia="仿宋_GB2312" w:cs="仿宋_GB2312"/>
                      <w:sz w:val="20"/>
                    </w:rPr>
                    <w:t>▲3、支持对数据重建优先级进行调整，保障业务在硬件故障后尽快恢复冗余数据保障，允许用户查看数据重建任务列表，包括对象名称、对象类型、数据量和优先级等详细信息。用户可以点击操作中的优先级选项，以优先重建所需的数据；（需提供产品功能截图与第三方检测机构出具的检测报告证明，至少包含报告首页，对应功能测试页和报告尾页并加盖供应商公章）。</w:t>
                  </w:r>
                </w:p>
                <w:p w14:paraId="3DD37BD9">
                  <w:pPr>
                    <w:pStyle w:val="4"/>
                    <w:spacing w:before="105" w:after="165"/>
                    <w:jc w:val="left"/>
                  </w:pPr>
                  <w:r>
                    <w:rPr>
                      <w:rFonts w:ascii="仿宋_GB2312" w:hAnsi="仿宋_GB2312" w:eastAsia="仿宋_GB2312" w:cs="仿宋_GB2312"/>
                      <w:sz w:val="20"/>
                    </w:rPr>
                    <w:t>4、可以在WEB管理平台查看虚拟分布式存储容量使用率、实时的IOPS读写次数、IOPS读写数据量、对应的容量大小等信息；</w:t>
                  </w:r>
                </w:p>
                <w:p w14:paraId="219406BF">
                  <w:pPr>
                    <w:pStyle w:val="4"/>
                    <w:spacing w:before="105" w:after="165"/>
                    <w:jc w:val="left"/>
                  </w:pPr>
                  <w:r>
                    <w:rPr>
                      <w:rFonts w:ascii="仿宋_GB2312" w:hAnsi="仿宋_GB2312" w:eastAsia="仿宋_GB2312" w:cs="仿宋_GB2312"/>
                      <w:sz w:val="20"/>
                    </w:rPr>
                    <w:t>▲5、支持多种硬盘状态的检测、监控和告警功能，在用户界面上，不同状态的硬盘将呈现不同的特征或告警，硬盘的状态包括"正常"、"告警"和"严重告警"不同级别，以便清晰区分和处理（需提供产品功能截图，并加盖供应商公章）。</w:t>
                  </w:r>
                </w:p>
                <w:p w14:paraId="238B7239">
                  <w:pPr>
                    <w:pStyle w:val="4"/>
                    <w:spacing w:before="105" w:after="165"/>
                    <w:jc w:val="left"/>
                  </w:pPr>
                  <w:r>
                    <w:rPr>
                      <w:rFonts w:ascii="仿宋_GB2312" w:hAnsi="仿宋_GB2312" w:eastAsia="仿宋_GB2312" w:cs="仿宋_GB2312"/>
                      <w:sz w:val="20"/>
                    </w:rPr>
                    <w:t>6、具备条带化功能，同时支持以虚拟磁盘为单位进行灵活设置不同的条带数量。</w:t>
                  </w:r>
                </w:p>
                <w:p w14:paraId="03848CB4">
                  <w:pPr>
                    <w:pStyle w:val="4"/>
                    <w:spacing w:before="105" w:after="165"/>
                    <w:jc w:val="left"/>
                  </w:pPr>
                  <w:r>
                    <w:rPr>
                      <w:rFonts w:ascii="仿宋_GB2312" w:hAnsi="仿宋_GB2312" w:eastAsia="仿宋_GB2312" w:cs="仿宋_GB2312"/>
                      <w:sz w:val="20"/>
                    </w:rPr>
                    <w:t>7、支持快照功能。快照类型支持存储快照、磁盘快照。支持静默快照功能。</w:t>
                  </w:r>
                </w:p>
                <w:p w14:paraId="7F1F0FAE">
                  <w:pPr>
                    <w:pStyle w:val="4"/>
                    <w:spacing w:before="105" w:after="165"/>
                    <w:jc w:val="left"/>
                  </w:pPr>
                  <w:r>
                    <w:rPr>
                      <w:rFonts w:ascii="仿宋_GB2312" w:hAnsi="仿宋_GB2312" w:eastAsia="仿宋_GB2312" w:cs="仿宋_GB2312"/>
                      <w:sz w:val="20"/>
                    </w:rPr>
                    <w:t>▲8、为保障业务在硬件故障情况下的性能稳定性，支持数据重建智能保护业务性能，允许对数据重建速度进行智能限速，以确保业务的正常运行（需提供产品功能截图并加盖供应商公章）。</w:t>
                  </w:r>
                </w:p>
                <w:p w14:paraId="500F49E9">
                  <w:pPr>
                    <w:pStyle w:val="4"/>
                    <w:spacing w:before="105" w:after="165"/>
                    <w:jc w:val="left"/>
                  </w:pPr>
                  <w:r>
                    <w:rPr>
                      <w:rFonts w:ascii="仿宋_GB2312" w:hAnsi="仿宋_GB2312" w:eastAsia="仿宋_GB2312" w:cs="仿宋_GB2312"/>
                      <w:sz w:val="20"/>
                    </w:rPr>
                    <w:t>9、支持自动检测、自动隔离卡慢盘、异常只读盘，隔离操作包括临时拔盘和永久拔盘，支持手动隔离选项，永久拔盘后，需要手动替换磁盘才能使其重新上线，以消除磁盘异常对业务的影响；</w:t>
                  </w:r>
                </w:p>
                <w:p w14:paraId="4DF6D7F6">
                  <w:pPr>
                    <w:pStyle w:val="4"/>
                    <w:spacing w:before="105" w:after="165"/>
                    <w:jc w:val="left"/>
                  </w:pPr>
                  <w:r>
                    <w:rPr>
                      <w:rFonts w:ascii="仿宋_GB2312" w:hAnsi="仿宋_GB2312" w:eastAsia="仿宋_GB2312" w:cs="仿宋_GB2312"/>
                      <w:sz w:val="20"/>
                    </w:rPr>
                    <w:t>10、支持外部物理主机通过标准的iSCSI接口访问虚拟存储，实现Server SAN和IP SAN的融合，支持iSCSI接口的访问；</w:t>
                  </w:r>
                </w:p>
                <w:p w14:paraId="3943EFF1">
                  <w:pPr>
                    <w:pStyle w:val="4"/>
                    <w:spacing w:before="105" w:after="165"/>
                    <w:jc w:val="left"/>
                  </w:pPr>
                  <w:r>
                    <w:rPr>
                      <w:rFonts w:ascii="仿宋_GB2312" w:hAnsi="仿宋_GB2312" w:eastAsia="仿宋_GB2312" w:cs="仿宋_GB2312"/>
                      <w:sz w:val="20"/>
                    </w:rPr>
                    <w:t>11、要求平台支持虚拟机定期全量备份、增量备份，并支持静默备份方式确保数据一致性，支持按周、按天、按小时的备份策略。</w:t>
                  </w:r>
                </w:p>
              </w:tc>
            </w:tr>
            <w:tr w14:paraId="31935B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63021E">
                  <w:pPr>
                    <w:pStyle w:val="4"/>
                    <w:spacing w:before="105" w:after="165"/>
                    <w:jc w:val="center"/>
                  </w:pPr>
                  <w:r>
                    <w:rPr>
                      <w:rFonts w:ascii="仿宋_GB2312" w:hAnsi="仿宋_GB2312" w:eastAsia="仿宋_GB2312" w:cs="仿宋_GB2312"/>
                      <w:sz w:val="20"/>
                    </w:rPr>
                    <w:t>4</w:t>
                  </w:r>
                </w:p>
              </w:tc>
              <w:tc>
                <w:tcPr>
                  <w:tcW w:w="6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25B08D">
                  <w:pPr>
                    <w:pStyle w:val="4"/>
                    <w:spacing w:before="105" w:after="165"/>
                    <w:jc w:val="center"/>
                  </w:pPr>
                  <w:r>
                    <w:rPr>
                      <w:rFonts w:ascii="仿宋_GB2312" w:hAnsi="仿宋_GB2312" w:eastAsia="仿宋_GB2312" w:cs="仿宋_GB2312"/>
                      <w:sz w:val="20"/>
                    </w:rPr>
                    <w:t>万兆存储交换机</w:t>
                  </w:r>
                </w:p>
              </w:tc>
              <w:tc>
                <w:tcPr>
                  <w:tcW w:w="46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B139AD">
                  <w:pPr>
                    <w:pStyle w:val="4"/>
                    <w:spacing w:before="105" w:after="165"/>
                    <w:jc w:val="left"/>
                  </w:pPr>
                  <w:r>
                    <w:rPr>
                      <w:rFonts w:ascii="仿宋_GB2312" w:hAnsi="仿宋_GB2312" w:eastAsia="仿宋_GB2312" w:cs="仿宋_GB2312"/>
                      <w:sz w:val="20"/>
                    </w:rPr>
                    <w:t>★1、交换容量≥6.4Tbps/64Tbps；转发性能≥2880Mpps/12600Mpps。</w:t>
                  </w:r>
                  <w:r>
                    <w:br w:type="textWrapping"/>
                  </w:r>
                  <w:r>
                    <w:rPr>
                      <w:rFonts w:ascii="仿宋_GB2312" w:hAnsi="仿宋_GB2312" w:eastAsia="仿宋_GB2312" w:cs="仿宋_GB2312"/>
                      <w:sz w:val="20"/>
                    </w:rPr>
                    <w:t>★2、支持可拔插双模块化电源，单电源功率≥130W，实现1+1冗余，支持热插拔，支持不同型号电源混插。</w:t>
                  </w:r>
                  <w:r>
                    <w:br w:type="textWrapping"/>
                  </w:r>
                  <w:r>
                    <w:rPr>
                      <w:rFonts w:ascii="仿宋_GB2312" w:hAnsi="仿宋_GB2312" w:eastAsia="仿宋_GB2312" w:cs="仿宋_GB2312"/>
                      <w:sz w:val="20"/>
                    </w:rPr>
                    <w:t>3、采用正交交换架构，交换网板与线卡成垂直90°正交连接，业务板槽位采用竖插槽方式设计。</w:t>
                  </w:r>
                  <w:r>
                    <w:br w:type="textWrapping"/>
                  </w:r>
                  <w:r>
                    <w:rPr>
                      <w:rFonts w:ascii="仿宋_GB2312" w:hAnsi="仿宋_GB2312" w:eastAsia="仿宋_GB2312" w:cs="仿宋_GB2312"/>
                      <w:sz w:val="20"/>
                    </w:rPr>
                    <w:t>4、支持静态路由、等价路由、策略路由；支持OSPF、RIPv1/v2、BGPv4、BGP4+、IS-IS等路由协议。</w:t>
                  </w:r>
                  <w:r>
                    <w:br w:type="textWrapping"/>
                  </w:r>
                  <w:r>
                    <w:rPr>
                      <w:rFonts w:ascii="仿宋_GB2312" w:hAnsi="仿宋_GB2312" w:eastAsia="仿宋_GB2312" w:cs="仿宋_GB2312"/>
                      <w:sz w:val="20"/>
                    </w:rPr>
                    <w:t>5、为保障业务安全，设备具备安全特性，支持特殊协议网关、出入栈策略、一般性防攻击、AAA、RADIUS、ARP安全等；提供流量限速、会话限制、URL过滤、报文过滤等多种安全特性。</w:t>
                  </w:r>
                  <w:r>
                    <w:br w:type="textWrapping"/>
                  </w:r>
                  <w:r>
                    <w:rPr>
                      <w:rFonts w:ascii="仿宋_GB2312" w:hAnsi="仿宋_GB2312" w:eastAsia="仿宋_GB2312" w:cs="仿宋_GB2312"/>
                      <w:sz w:val="20"/>
                    </w:rPr>
                    <w:t>▲6、支持硬件健康状态可视化，可以对风扇状态、电源、温度进行监控（提供官网截图和链接并加盖供应商公章）。</w:t>
                  </w:r>
                  <w:r>
                    <w:br w:type="textWrapping"/>
                  </w:r>
                  <w:r>
                    <w:rPr>
                      <w:rFonts w:ascii="仿宋_GB2312" w:hAnsi="仿宋_GB2312" w:eastAsia="仿宋_GB2312" w:cs="仿宋_GB2312"/>
                      <w:sz w:val="20"/>
                    </w:rPr>
                    <w:t>▲7、支持内嵌版SDN，可对配置批量复用下发、复制配置、备份配置、配置变更、配置查看、删除配置等模板配置功能；可支持对一体机的不同端口绑定不同配置模板（提供第三方检测机构出具的检测报告证明，至少包含报告首页，对应功能测试页和报告尾页并加盖供应商公章）。</w:t>
                  </w:r>
                  <w:r>
                    <w:br w:type="textWrapping"/>
                  </w:r>
                  <w:r>
                    <w:rPr>
                      <w:rFonts w:ascii="仿宋_GB2312" w:hAnsi="仿宋_GB2312" w:eastAsia="仿宋_GB2312" w:cs="仿宋_GB2312"/>
                      <w:sz w:val="20"/>
                    </w:rPr>
                    <w:t>★8、单台配置10G/1G SFP+光接口≥16个，万兆多模光模块≥15个，万兆单模光模块≥1个。</w:t>
                  </w:r>
                </w:p>
              </w:tc>
            </w:tr>
            <w:tr w14:paraId="47FC96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406C07">
                  <w:pPr>
                    <w:pStyle w:val="4"/>
                    <w:spacing w:before="105" w:after="165"/>
                    <w:jc w:val="center"/>
                  </w:pPr>
                  <w:r>
                    <w:rPr>
                      <w:rFonts w:ascii="仿宋_GB2312" w:hAnsi="仿宋_GB2312" w:eastAsia="仿宋_GB2312" w:cs="仿宋_GB2312"/>
                      <w:sz w:val="20"/>
                    </w:rPr>
                    <w:t>5</w:t>
                  </w:r>
                </w:p>
              </w:tc>
              <w:tc>
                <w:tcPr>
                  <w:tcW w:w="6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FF30B">
                  <w:pPr>
                    <w:pStyle w:val="4"/>
                    <w:spacing w:before="105" w:after="165"/>
                    <w:jc w:val="center"/>
                  </w:pPr>
                  <w:r>
                    <w:rPr>
                      <w:rFonts w:ascii="仿宋_GB2312" w:hAnsi="仿宋_GB2312" w:eastAsia="仿宋_GB2312" w:cs="仿宋_GB2312"/>
                      <w:sz w:val="20"/>
                    </w:rPr>
                    <w:t>接入交换机</w:t>
                  </w:r>
                </w:p>
              </w:tc>
              <w:tc>
                <w:tcPr>
                  <w:tcW w:w="46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6EDE8">
                  <w:pPr>
                    <w:pStyle w:val="4"/>
                    <w:spacing w:before="105" w:after="165"/>
                    <w:jc w:val="left"/>
                  </w:pPr>
                  <w:r>
                    <w:rPr>
                      <w:rFonts w:ascii="仿宋_GB2312" w:hAnsi="仿宋_GB2312" w:eastAsia="仿宋_GB2312" w:cs="仿宋_GB2312"/>
                      <w:sz w:val="20"/>
                    </w:rPr>
                    <w:t>★1、配置10/100/1000M以太网端口≥24个，10G/1G SFP+光接口≥4个；</w:t>
                  </w:r>
                  <w:r>
                    <w:br w:type="textWrapping"/>
                  </w:r>
                  <w:r>
                    <w:rPr>
                      <w:rFonts w:ascii="仿宋_GB2312" w:hAnsi="仿宋_GB2312" w:eastAsia="仿宋_GB2312" w:cs="仿宋_GB2312"/>
                      <w:sz w:val="20"/>
                    </w:rPr>
                    <w:t>▲2、交换容量≥335Gbps，包转发率≥125Mpps；</w:t>
                  </w:r>
                  <w:r>
                    <w:br w:type="textWrapping"/>
                  </w:r>
                  <w:r>
                    <w:rPr>
                      <w:rFonts w:ascii="仿宋_GB2312" w:hAnsi="仿宋_GB2312" w:eastAsia="仿宋_GB2312" w:cs="仿宋_GB2312"/>
                      <w:sz w:val="20"/>
                    </w:rPr>
                    <w:t>3、支持生成树协议STP(IEEE 802.1d)，RSTP(IEEE 802.1w)和MSTP(IEEE 802.1s)，完全保证快速收敛，提高容错能力，保证网络的稳定运行和链路的负载均衡，合理使用网络通道，提供冗余链路利用率；</w:t>
                  </w:r>
                  <w:r>
                    <w:br w:type="textWrapping"/>
                  </w:r>
                  <w:r>
                    <w:rPr>
                      <w:rFonts w:ascii="仿宋_GB2312" w:hAnsi="仿宋_GB2312" w:eastAsia="仿宋_GB2312" w:cs="仿宋_GB2312"/>
                      <w:sz w:val="20"/>
                    </w:rPr>
                    <w:t>▲4、支持基于云管平台进行网络拓扑自动发现并以图形化形式呈现， 基于云管平台的功能包含配置下发、配置备份、配置恢复、命令调试、访问eWeb、访问Telnet、访问SSH、重启、设备升级等功能， 基于云管平台支持告警通过微信公众号，邮件；微信，企业钉钉发送提醒（提供官网查询链接和截图并加盖供应商公章）。</w:t>
                  </w:r>
                  <w:r>
                    <w:br w:type="textWrapping"/>
                  </w:r>
                  <w:r>
                    <w:rPr>
                      <w:rFonts w:ascii="仿宋_GB2312" w:hAnsi="仿宋_GB2312" w:eastAsia="仿宋_GB2312" w:cs="仿宋_GB2312"/>
                      <w:sz w:val="20"/>
                    </w:rPr>
                    <w:t>5、单台配置万兆多模光模块≥1个，万兆单模光模块≥2个。</w:t>
                  </w:r>
                </w:p>
                <w:p w14:paraId="412B4ECC">
                  <w:pPr>
                    <w:pStyle w:val="4"/>
                    <w:spacing w:before="105" w:after="165"/>
                    <w:jc w:val="left"/>
                  </w:pPr>
                  <w:r>
                    <w:rPr>
                      <w:rFonts w:ascii="仿宋_GB2312" w:hAnsi="仿宋_GB2312" w:eastAsia="仿宋_GB2312" w:cs="仿宋_GB2312"/>
                      <w:sz w:val="20"/>
                    </w:rPr>
                    <w:t>▲6、支持快速链路检测协议，可快速检测链路的通断和光纤链路的单向性，并支持端口下的环路检测功能，防止端口因私接Hub等设备形成的环路而导致故障的现象（提供官网查询链接和截图并加盖供应商公章）。</w:t>
                  </w:r>
                </w:p>
              </w:tc>
            </w:tr>
            <w:tr w14:paraId="464D7B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C8E202">
                  <w:pPr>
                    <w:pStyle w:val="4"/>
                    <w:spacing w:before="105" w:after="165"/>
                    <w:jc w:val="center"/>
                  </w:pPr>
                  <w:r>
                    <w:rPr>
                      <w:rFonts w:ascii="仿宋_GB2312" w:hAnsi="仿宋_GB2312" w:eastAsia="仿宋_GB2312" w:cs="仿宋_GB2312"/>
                      <w:sz w:val="20"/>
                    </w:rPr>
                    <w:t>6</w:t>
                  </w:r>
                </w:p>
              </w:tc>
              <w:tc>
                <w:tcPr>
                  <w:tcW w:w="6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1AD64C">
                  <w:pPr>
                    <w:pStyle w:val="4"/>
                    <w:spacing w:before="105" w:after="165"/>
                    <w:jc w:val="center"/>
                  </w:pPr>
                  <w:r>
                    <w:rPr>
                      <w:rFonts w:ascii="仿宋_GB2312" w:hAnsi="仿宋_GB2312" w:eastAsia="仿宋_GB2312" w:cs="仿宋_GB2312"/>
                      <w:sz w:val="20"/>
                    </w:rPr>
                    <w:t>显示终端</w:t>
                  </w:r>
                </w:p>
              </w:tc>
              <w:tc>
                <w:tcPr>
                  <w:tcW w:w="46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9CA055">
                  <w:pPr>
                    <w:pStyle w:val="4"/>
                    <w:spacing w:before="105" w:after="165"/>
                    <w:jc w:val="left"/>
                  </w:pPr>
                  <w:r>
                    <w:rPr>
                      <w:rFonts w:ascii="仿宋_GB2312" w:hAnsi="仿宋_GB2312" w:eastAsia="仿宋_GB2312" w:cs="仿宋_GB2312"/>
                      <w:sz w:val="20"/>
                    </w:rPr>
                    <w:t>▲1、屏幕尺寸≥21.5英寸；对比度≥3000:1；分辨率≥1920*1080；色域不低于 99% sRGB;视频接口支持：VGA+HDMI。（提供官网查询链接和截图或官方产品宣传资料彩页扫描件并加盖供应商公章）。</w:t>
                  </w:r>
                </w:p>
                <w:p w14:paraId="18D80F6A">
                  <w:pPr>
                    <w:pStyle w:val="4"/>
                    <w:spacing w:before="105" w:after="165"/>
                    <w:jc w:val="left"/>
                  </w:pPr>
                  <w:r>
                    <w:rPr>
                      <w:rFonts w:ascii="仿宋_GB2312" w:hAnsi="仿宋_GB2312" w:eastAsia="仿宋_GB2312" w:cs="仿宋_GB2312"/>
                      <w:sz w:val="20"/>
                    </w:rPr>
                    <w:t>★2、配置1.5米HDMI数据线×1条，配置USB有线键盘、鼠标×1套。</w:t>
                  </w:r>
                </w:p>
              </w:tc>
            </w:tr>
            <w:tr w14:paraId="5D0B86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73CF35">
                  <w:pPr>
                    <w:pStyle w:val="4"/>
                    <w:spacing w:before="105" w:after="165"/>
                    <w:jc w:val="center"/>
                  </w:pPr>
                  <w:r>
                    <w:rPr>
                      <w:rFonts w:ascii="仿宋_GB2312" w:hAnsi="仿宋_GB2312" w:eastAsia="仿宋_GB2312" w:cs="仿宋_GB2312"/>
                      <w:sz w:val="20"/>
                    </w:rPr>
                    <w:t>7</w:t>
                  </w:r>
                </w:p>
              </w:tc>
              <w:tc>
                <w:tcPr>
                  <w:tcW w:w="6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E8DC1">
                  <w:pPr>
                    <w:pStyle w:val="4"/>
                    <w:spacing w:before="105" w:after="165"/>
                    <w:jc w:val="center"/>
                  </w:pPr>
                  <w:r>
                    <w:rPr>
                      <w:rFonts w:ascii="仿宋_GB2312" w:hAnsi="仿宋_GB2312" w:eastAsia="仿宋_GB2312" w:cs="仿宋_GB2312"/>
                      <w:sz w:val="20"/>
                    </w:rPr>
                    <w:t>综合布线</w:t>
                  </w:r>
                </w:p>
              </w:tc>
              <w:tc>
                <w:tcPr>
                  <w:tcW w:w="46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859B05">
                  <w:pPr>
                    <w:pStyle w:val="4"/>
                    <w:spacing w:before="105" w:after="165"/>
                    <w:jc w:val="left"/>
                  </w:pPr>
                  <w:r>
                    <w:rPr>
                      <w:rFonts w:ascii="仿宋_GB2312" w:hAnsi="仿宋_GB2312" w:eastAsia="仿宋_GB2312" w:cs="仿宋_GB2312"/>
                      <w:sz w:val="20"/>
                    </w:rPr>
                    <w:t>设备、系统的安装与调试，162个信息点位的线路施工，货物上下楼以及运输搬运，电脑、设施、桌椅拆除再组装，环境清洁以及所需六类线材，电源线线材，pvc管材，辅材等；</w:t>
                  </w:r>
                </w:p>
              </w:tc>
            </w:tr>
          </w:tbl>
          <w:p w14:paraId="413F7C03"/>
        </w:tc>
      </w:tr>
    </w:tbl>
    <w:p w14:paraId="43032A36">
      <w:pPr>
        <w:pStyle w:val="4"/>
        <w:jc w:val="left"/>
        <w:outlineLvl w:val="2"/>
      </w:pPr>
      <w:r>
        <w:rPr>
          <w:rFonts w:ascii="仿宋_GB2312" w:hAnsi="仿宋_GB2312" w:eastAsia="仿宋_GB2312" w:cs="仿宋_GB2312"/>
          <w:b/>
          <w:sz w:val="28"/>
        </w:rPr>
        <w:t>3.3.服务要求</w:t>
      </w:r>
    </w:p>
    <w:p w14:paraId="623187F9">
      <w:pPr>
        <w:pStyle w:val="4"/>
        <w:jc w:val="left"/>
        <w:outlineLvl w:val="3"/>
      </w:pPr>
      <w:r>
        <w:rPr>
          <w:rFonts w:ascii="仿宋_GB2312" w:hAnsi="仿宋_GB2312" w:eastAsia="仿宋_GB2312" w:cs="仿宋_GB2312"/>
          <w:b/>
          <w:sz w:val="24"/>
        </w:rPr>
        <w:t>3.3.1.服务内容要求</w:t>
      </w:r>
    </w:p>
    <w:p w14:paraId="03B6B02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AC1A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F54E9C">
            <w:pPr>
              <w:pStyle w:val="4"/>
              <w:jc w:val="center"/>
            </w:pPr>
            <w:r>
              <w:rPr>
                <w:rFonts w:ascii="仿宋_GB2312" w:hAnsi="仿宋_GB2312" w:eastAsia="仿宋_GB2312" w:cs="仿宋_GB2312"/>
              </w:rPr>
              <w:t xml:space="preserve"> 序号</w:t>
            </w:r>
          </w:p>
        </w:tc>
        <w:tc>
          <w:tcPr>
            <w:tcW w:w="581" w:type="dxa"/>
          </w:tcPr>
          <w:p w14:paraId="7BC0B957">
            <w:pPr>
              <w:pStyle w:val="4"/>
              <w:jc w:val="center"/>
            </w:pPr>
            <w:r>
              <w:rPr>
                <w:rFonts w:ascii="仿宋_GB2312" w:hAnsi="仿宋_GB2312" w:eastAsia="仿宋_GB2312" w:cs="仿宋_GB2312"/>
              </w:rPr>
              <w:t xml:space="preserve"> 符号标识</w:t>
            </w:r>
          </w:p>
        </w:tc>
        <w:tc>
          <w:tcPr>
            <w:tcW w:w="1495" w:type="dxa"/>
          </w:tcPr>
          <w:p w14:paraId="2BFE18DA">
            <w:pPr>
              <w:pStyle w:val="4"/>
              <w:jc w:val="center"/>
            </w:pPr>
            <w:r>
              <w:rPr>
                <w:rFonts w:ascii="仿宋_GB2312" w:hAnsi="仿宋_GB2312" w:eastAsia="仿宋_GB2312" w:cs="仿宋_GB2312"/>
              </w:rPr>
              <w:t xml:space="preserve"> 服务要求名称</w:t>
            </w:r>
          </w:p>
        </w:tc>
        <w:tc>
          <w:tcPr>
            <w:tcW w:w="5814" w:type="dxa"/>
          </w:tcPr>
          <w:p w14:paraId="75DFCB44">
            <w:pPr>
              <w:pStyle w:val="4"/>
              <w:jc w:val="center"/>
            </w:pPr>
            <w:r>
              <w:rPr>
                <w:rFonts w:ascii="仿宋_GB2312" w:hAnsi="仿宋_GB2312" w:eastAsia="仿宋_GB2312" w:cs="仿宋_GB2312"/>
              </w:rPr>
              <w:t xml:space="preserve"> 服务要求内容</w:t>
            </w:r>
          </w:p>
        </w:tc>
      </w:tr>
      <w:tr w14:paraId="708A29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CA3B5B">
            <w:pPr>
              <w:pStyle w:val="4"/>
              <w:jc w:val="center"/>
            </w:pPr>
            <w:r>
              <w:rPr>
                <w:rFonts w:ascii="仿宋_GB2312" w:hAnsi="仿宋_GB2312" w:eastAsia="仿宋_GB2312" w:cs="仿宋_GB2312"/>
              </w:rPr>
              <w:t>1</w:t>
            </w:r>
          </w:p>
        </w:tc>
        <w:tc>
          <w:tcPr>
            <w:tcW w:w="581" w:type="dxa"/>
          </w:tcPr>
          <w:p w14:paraId="60EBFBE5">
            <w:pPr>
              <w:pStyle w:val="4"/>
              <w:jc w:val="center"/>
            </w:pPr>
            <w:r>
              <w:rPr>
                <w:rFonts w:ascii="仿宋_GB2312" w:hAnsi="仿宋_GB2312" w:eastAsia="仿宋_GB2312" w:cs="仿宋_GB2312"/>
              </w:rPr>
              <w:t>★</w:t>
            </w:r>
          </w:p>
        </w:tc>
        <w:tc>
          <w:tcPr>
            <w:tcW w:w="1495" w:type="dxa"/>
          </w:tcPr>
          <w:p w14:paraId="2BA507F9">
            <w:pPr>
              <w:pStyle w:val="4"/>
              <w:jc w:val="left"/>
            </w:pPr>
            <w:r>
              <w:rPr>
                <w:rFonts w:ascii="仿宋_GB2312" w:hAnsi="仿宋_GB2312" w:eastAsia="仿宋_GB2312" w:cs="仿宋_GB2312"/>
              </w:rPr>
              <w:t>相关标准要求</w:t>
            </w:r>
          </w:p>
        </w:tc>
        <w:tc>
          <w:tcPr>
            <w:tcW w:w="5814" w:type="dxa"/>
          </w:tcPr>
          <w:p w14:paraId="58A12B5B">
            <w:pPr>
              <w:pStyle w:val="4"/>
              <w:jc w:val="both"/>
            </w:pPr>
            <w:r>
              <w:rPr>
                <w:rFonts w:ascii="仿宋_GB2312" w:hAnsi="仿宋_GB2312" w:eastAsia="仿宋_GB2312" w:cs="仿宋_GB2312"/>
                <w:sz w:val="24"/>
              </w:rPr>
              <w:t>如采购文件中涉及到的法律依据及相关国家、行业、地方标准存在过期、废止、变更的情况（包含实质性要求），以最新颁布的法律依据及相关国家、行业、地方标准为准，不对采购文件中已过期、废止或变更的法律依据及相关国家、行业、地方标准作实质性要求。</w:t>
            </w:r>
          </w:p>
        </w:tc>
      </w:tr>
      <w:tr w14:paraId="066A8A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0A79D0">
            <w:pPr>
              <w:pStyle w:val="4"/>
              <w:jc w:val="center"/>
            </w:pPr>
            <w:r>
              <w:rPr>
                <w:rFonts w:ascii="仿宋_GB2312" w:hAnsi="仿宋_GB2312" w:eastAsia="仿宋_GB2312" w:cs="仿宋_GB2312"/>
              </w:rPr>
              <w:t>2</w:t>
            </w:r>
          </w:p>
        </w:tc>
        <w:tc>
          <w:tcPr>
            <w:tcW w:w="581" w:type="dxa"/>
          </w:tcPr>
          <w:p w14:paraId="32FA7713"/>
        </w:tc>
        <w:tc>
          <w:tcPr>
            <w:tcW w:w="1495" w:type="dxa"/>
          </w:tcPr>
          <w:p w14:paraId="1E776D40">
            <w:pPr>
              <w:pStyle w:val="4"/>
              <w:jc w:val="left"/>
            </w:pPr>
            <w:r>
              <w:rPr>
                <w:rFonts w:ascii="仿宋_GB2312" w:hAnsi="仿宋_GB2312" w:eastAsia="仿宋_GB2312" w:cs="仿宋_GB2312"/>
              </w:rPr>
              <w:t>其他要求</w:t>
            </w:r>
          </w:p>
        </w:tc>
        <w:tc>
          <w:tcPr>
            <w:tcW w:w="5814" w:type="dxa"/>
          </w:tcPr>
          <w:p w14:paraId="4AC4B305">
            <w:pPr>
              <w:pStyle w:val="4"/>
              <w:jc w:val="both"/>
            </w:pPr>
            <w:r>
              <w:rPr>
                <w:rFonts w:ascii="仿宋_GB2312" w:hAnsi="仿宋_GB2312" w:eastAsia="仿宋_GB2312" w:cs="仿宋_GB2312"/>
                <w:sz w:val="21"/>
              </w:rPr>
              <w:t>1.本采购需求是采购人期望获得供应商在满足基本采购需求基础之上的更优化的需求希望供应商为采购人提供更加优质的合同履约质量，这样更能充分保证质量。供应商可以根据自身情况据实提供，未提供不会导致其响应无效，但会影响其综合评价情况。有关情况，详见评分标准。</w:t>
            </w:r>
          </w:p>
          <w:p w14:paraId="117CBCE1">
            <w:pPr>
              <w:pStyle w:val="4"/>
              <w:jc w:val="both"/>
            </w:pPr>
            <w:r>
              <w:rPr>
                <w:rFonts w:ascii="仿宋_GB2312" w:hAnsi="仿宋_GB2312" w:eastAsia="仿宋_GB2312" w:cs="仿宋_GB2312"/>
                <w:sz w:val="21"/>
              </w:rPr>
              <w:t>2.供应商应当按照采购文件的技术响应情况参数逐条响应，响应的技术参数以详细评审及要求进行相应评分。</w:t>
            </w:r>
          </w:p>
          <w:p w14:paraId="3B07D4E3">
            <w:pPr>
              <w:pStyle w:val="4"/>
              <w:jc w:val="both"/>
            </w:pPr>
            <w:r>
              <w:rPr>
                <w:rFonts w:ascii="仿宋_GB2312" w:hAnsi="仿宋_GB2312" w:eastAsia="仿宋_GB2312" w:cs="仿宋_GB2312"/>
                <w:sz w:val="21"/>
              </w:rPr>
              <w:t>3.供应商针对本项目功能演示：为保障桌面云接入管理软件的稳定性、可靠性、适配性，将根据投标人的现场功能演示进行评分。</w:t>
            </w:r>
          </w:p>
          <w:p w14:paraId="3430A6FB">
            <w:pPr>
              <w:pStyle w:val="4"/>
              <w:jc w:val="both"/>
            </w:pPr>
            <w:r>
              <w:rPr>
                <w:rFonts w:ascii="仿宋_GB2312" w:hAnsi="仿宋_GB2312" w:eastAsia="仿宋_GB2312" w:cs="仿宋_GB2312"/>
                <w:sz w:val="21"/>
              </w:rPr>
              <w:t>4.供应商针对自身综合实力提供相应证明材料。</w:t>
            </w:r>
          </w:p>
          <w:p w14:paraId="4E860418">
            <w:pPr>
              <w:pStyle w:val="4"/>
              <w:jc w:val="both"/>
            </w:pPr>
            <w:r>
              <w:rPr>
                <w:rFonts w:ascii="仿宋_GB2312" w:hAnsi="仿宋_GB2312" w:eastAsia="仿宋_GB2312" w:cs="仿宋_GB2312"/>
                <w:sz w:val="21"/>
              </w:rPr>
              <w:t>5.供应商针对本项目提供实施方案，内容包括：①项目进度计划方案；②系统设计方案；③系统运行保障方案；④系统培训方案；⑤各设备的调试及与采购人现有各系统的对接方案。</w:t>
            </w:r>
          </w:p>
          <w:p w14:paraId="4DDBC931">
            <w:pPr>
              <w:pStyle w:val="4"/>
              <w:jc w:val="both"/>
            </w:pPr>
            <w:r>
              <w:rPr>
                <w:rFonts w:ascii="仿宋_GB2312" w:hAnsi="仿宋_GB2312" w:eastAsia="仿宋_GB2312" w:cs="仿宋_GB2312"/>
                <w:sz w:val="21"/>
              </w:rPr>
              <w:t>6.供应商针对本项目提供售后服务方案，内容包括：①售后服务响应方案；②现场服务支持能力；③巡检方案；④运维服务方案；⑤故障应急处理方案。</w:t>
            </w:r>
          </w:p>
          <w:p w14:paraId="4729646F">
            <w:pPr>
              <w:pStyle w:val="4"/>
              <w:jc w:val="both"/>
            </w:pPr>
            <w:r>
              <w:rPr>
                <w:rFonts w:ascii="仿宋_GB2312" w:hAnsi="仿宋_GB2312" w:eastAsia="仿宋_GB2312" w:cs="仿宋_GB2312"/>
                <w:sz w:val="21"/>
              </w:rPr>
              <w:t>★7.报价要求：超过最高限价、未上传报价明细表的报价为无效报价。</w:t>
            </w:r>
          </w:p>
          <w:p w14:paraId="41CC0FD4">
            <w:pPr>
              <w:pStyle w:val="4"/>
              <w:jc w:val="both"/>
            </w:pPr>
            <w:r>
              <w:rPr>
                <w:rFonts w:ascii="仿宋_GB2312" w:hAnsi="仿宋_GB2312" w:eastAsia="仿宋_GB2312" w:cs="仿宋_GB2312"/>
                <w:sz w:val="21"/>
              </w:rPr>
              <w:t>★8.采购人在签订合同签前有权对成交（中标）供应商提交的响应文件进行真实性核实，如 需供应商配合或提供相关证明材料时，供应商须无条件配合。</w:t>
            </w:r>
          </w:p>
          <w:p w14:paraId="7E135C79">
            <w:pPr>
              <w:pStyle w:val="4"/>
              <w:jc w:val="both"/>
            </w:pPr>
          </w:p>
        </w:tc>
      </w:tr>
    </w:tbl>
    <w:p w14:paraId="58E165D2">
      <w:pPr>
        <w:pStyle w:val="4"/>
        <w:jc w:val="left"/>
        <w:outlineLvl w:val="3"/>
      </w:pPr>
      <w:r>
        <w:rPr>
          <w:rFonts w:ascii="仿宋_GB2312" w:hAnsi="仿宋_GB2312" w:eastAsia="仿宋_GB2312" w:cs="仿宋_GB2312"/>
          <w:b/>
          <w:sz w:val="24"/>
        </w:rPr>
        <w:t>3.3.2.商务要求</w:t>
      </w:r>
    </w:p>
    <w:p w14:paraId="2B78688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54615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59F672">
            <w:pPr>
              <w:pStyle w:val="4"/>
              <w:jc w:val="center"/>
            </w:pPr>
            <w:r>
              <w:rPr>
                <w:rFonts w:ascii="仿宋_GB2312" w:hAnsi="仿宋_GB2312" w:eastAsia="仿宋_GB2312" w:cs="仿宋_GB2312"/>
              </w:rPr>
              <w:t>序号</w:t>
            </w:r>
          </w:p>
        </w:tc>
        <w:tc>
          <w:tcPr>
            <w:tcW w:w="581" w:type="dxa"/>
          </w:tcPr>
          <w:p w14:paraId="337BB8C7">
            <w:pPr>
              <w:pStyle w:val="4"/>
              <w:jc w:val="center"/>
            </w:pPr>
            <w:r>
              <w:rPr>
                <w:rFonts w:ascii="仿宋_GB2312" w:hAnsi="仿宋_GB2312" w:eastAsia="仿宋_GB2312" w:cs="仿宋_GB2312"/>
              </w:rPr>
              <w:t>符号标识</w:t>
            </w:r>
          </w:p>
        </w:tc>
        <w:tc>
          <w:tcPr>
            <w:tcW w:w="1495" w:type="dxa"/>
          </w:tcPr>
          <w:p w14:paraId="28E59807">
            <w:pPr>
              <w:pStyle w:val="4"/>
              <w:jc w:val="center"/>
            </w:pPr>
            <w:r>
              <w:rPr>
                <w:rFonts w:ascii="仿宋_GB2312" w:hAnsi="仿宋_GB2312" w:eastAsia="仿宋_GB2312" w:cs="仿宋_GB2312"/>
              </w:rPr>
              <w:t>商务要求名称</w:t>
            </w:r>
          </w:p>
        </w:tc>
        <w:tc>
          <w:tcPr>
            <w:tcW w:w="5814" w:type="dxa"/>
          </w:tcPr>
          <w:p w14:paraId="3C432CF7">
            <w:pPr>
              <w:pStyle w:val="4"/>
              <w:jc w:val="center"/>
            </w:pPr>
            <w:r>
              <w:rPr>
                <w:rFonts w:ascii="仿宋_GB2312" w:hAnsi="仿宋_GB2312" w:eastAsia="仿宋_GB2312" w:cs="仿宋_GB2312"/>
              </w:rPr>
              <w:t>商务要求内容</w:t>
            </w:r>
          </w:p>
        </w:tc>
      </w:tr>
      <w:tr w14:paraId="6CB760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7DD66B">
            <w:pPr>
              <w:pStyle w:val="4"/>
              <w:jc w:val="center"/>
            </w:pPr>
            <w:r>
              <w:rPr>
                <w:rFonts w:ascii="仿宋_GB2312" w:hAnsi="仿宋_GB2312" w:eastAsia="仿宋_GB2312" w:cs="仿宋_GB2312"/>
              </w:rPr>
              <w:t>1</w:t>
            </w:r>
          </w:p>
        </w:tc>
        <w:tc>
          <w:tcPr>
            <w:tcW w:w="581" w:type="dxa"/>
          </w:tcPr>
          <w:p w14:paraId="061598AC">
            <w:pPr>
              <w:pStyle w:val="4"/>
              <w:jc w:val="center"/>
            </w:pPr>
            <w:r>
              <w:rPr>
                <w:rFonts w:ascii="仿宋_GB2312" w:hAnsi="仿宋_GB2312" w:eastAsia="仿宋_GB2312" w:cs="仿宋_GB2312"/>
              </w:rPr>
              <w:t>★</w:t>
            </w:r>
          </w:p>
        </w:tc>
        <w:tc>
          <w:tcPr>
            <w:tcW w:w="1495" w:type="dxa"/>
          </w:tcPr>
          <w:p w14:paraId="1831ABF8">
            <w:pPr>
              <w:pStyle w:val="4"/>
              <w:jc w:val="left"/>
            </w:pPr>
            <w:r>
              <w:rPr>
                <w:rFonts w:ascii="仿宋_GB2312" w:hAnsi="仿宋_GB2312" w:eastAsia="仿宋_GB2312" w:cs="仿宋_GB2312"/>
              </w:rPr>
              <w:t>交货时间</w:t>
            </w:r>
          </w:p>
        </w:tc>
        <w:tc>
          <w:tcPr>
            <w:tcW w:w="5814" w:type="dxa"/>
          </w:tcPr>
          <w:p w14:paraId="0E7E127B">
            <w:pPr>
              <w:pStyle w:val="4"/>
              <w:jc w:val="left"/>
            </w:pPr>
            <w:r>
              <w:rPr>
                <w:rFonts w:ascii="仿宋_GB2312" w:hAnsi="仿宋_GB2312" w:eastAsia="仿宋_GB2312" w:cs="仿宋_GB2312"/>
              </w:rPr>
              <w:t>自合同签订之日起30日</w:t>
            </w:r>
          </w:p>
        </w:tc>
      </w:tr>
      <w:tr w14:paraId="45A18F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F652A1">
            <w:pPr>
              <w:pStyle w:val="4"/>
              <w:jc w:val="center"/>
            </w:pPr>
            <w:r>
              <w:rPr>
                <w:rFonts w:ascii="仿宋_GB2312" w:hAnsi="仿宋_GB2312" w:eastAsia="仿宋_GB2312" w:cs="仿宋_GB2312"/>
              </w:rPr>
              <w:t>2</w:t>
            </w:r>
          </w:p>
        </w:tc>
        <w:tc>
          <w:tcPr>
            <w:tcW w:w="581" w:type="dxa"/>
          </w:tcPr>
          <w:p w14:paraId="356AA5F1">
            <w:pPr>
              <w:pStyle w:val="4"/>
              <w:jc w:val="center"/>
            </w:pPr>
            <w:r>
              <w:rPr>
                <w:rFonts w:ascii="仿宋_GB2312" w:hAnsi="仿宋_GB2312" w:eastAsia="仿宋_GB2312" w:cs="仿宋_GB2312"/>
              </w:rPr>
              <w:t>★</w:t>
            </w:r>
          </w:p>
        </w:tc>
        <w:tc>
          <w:tcPr>
            <w:tcW w:w="1495" w:type="dxa"/>
          </w:tcPr>
          <w:p w14:paraId="1C30FDEC">
            <w:pPr>
              <w:pStyle w:val="4"/>
              <w:jc w:val="left"/>
            </w:pPr>
            <w:r>
              <w:rPr>
                <w:rFonts w:ascii="仿宋_GB2312" w:hAnsi="仿宋_GB2312" w:eastAsia="仿宋_GB2312" w:cs="仿宋_GB2312"/>
              </w:rPr>
              <w:t>交货地点</w:t>
            </w:r>
          </w:p>
        </w:tc>
        <w:tc>
          <w:tcPr>
            <w:tcW w:w="5814" w:type="dxa"/>
          </w:tcPr>
          <w:p w14:paraId="638165A8">
            <w:pPr>
              <w:pStyle w:val="4"/>
              <w:jc w:val="left"/>
            </w:pPr>
            <w:r>
              <w:rPr>
                <w:rFonts w:ascii="仿宋_GB2312" w:hAnsi="仿宋_GB2312" w:eastAsia="仿宋_GB2312" w:cs="仿宋_GB2312"/>
              </w:rPr>
              <w:t>绵阳师范学院</w:t>
            </w:r>
          </w:p>
        </w:tc>
      </w:tr>
      <w:tr w14:paraId="7931E4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36E320">
            <w:pPr>
              <w:pStyle w:val="4"/>
              <w:jc w:val="center"/>
            </w:pPr>
            <w:r>
              <w:rPr>
                <w:rFonts w:ascii="仿宋_GB2312" w:hAnsi="仿宋_GB2312" w:eastAsia="仿宋_GB2312" w:cs="仿宋_GB2312"/>
              </w:rPr>
              <w:t>3</w:t>
            </w:r>
          </w:p>
        </w:tc>
        <w:tc>
          <w:tcPr>
            <w:tcW w:w="581" w:type="dxa"/>
          </w:tcPr>
          <w:p w14:paraId="2D6BCAD2">
            <w:pPr>
              <w:pStyle w:val="4"/>
              <w:jc w:val="center"/>
            </w:pPr>
            <w:r>
              <w:rPr>
                <w:rFonts w:ascii="仿宋_GB2312" w:hAnsi="仿宋_GB2312" w:eastAsia="仿宋_GB2312" w:cs="仿宋_GB2312"/>
              </w:rPr>
              <w:t>★</w:t>
            </w:r>
          </w:p>
        </w:tc>
        <w:tc>
          <w:tcPr>
            <w:tcW w:w="1495" w:type="dxa"/>
          </w:tcPr>
          <w:p w14:paraId="2B726821">
            <w:pPr>
              <w:pStyle w:val="4"/>
              <w:jc w:val="left"/>
            </w:pPr>
            <w:r>
              <w:rPr>
                <w:rFonts w:ascii="仿宋_GB2312" w:hAnsi="仿宋_GB2312" w:eastAsia="仿宋_GB2312" w:cs="仿宋_GB2312"/>
              </w:rPr>
              <w:t>支付方式</w:t>
            </w:r>
          </w:p>
        </w:tc>
        <w:tc>
          <w:tcPr>
            <w:tcW w:w="5814" w:type="dxa"/>
          </w:tcPr>
          <w:p w14:paraId="3C99D8F9">
            <w:pPr>
              <w:pStyle w:val="4"/>
              <w:jc w:val="left"/>
            </w:pPr>
            <w:r>
              <w:rPr>
                <w:rFonts w:ascii="仿宋_GB2312" w:hAnsi="仿宋_GB2312" w:eastAsia="仿宋_GB2312" w:cs="仿宋_GB2312"/>
              </w:rPr>
              <w:t>一次付清</w:t>
            </w:r>
          </w:p>
        </w:tc>
      </w:tr>
      <w:tr w14:paraId="513338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46F0D8">
            <w:pPr>
              <w:pStyle w:val="4"/>
              <w:jc w:val="center"/>
            </w:pPr>
            <w:r>
              <w:rPr>
                <w:rFonts w:ascii="仿宋_GB2312" w:hAnsi="仿宋_GB2312" w:eastAsia="仿宋_GB2312" w:cs="仿宋_GB2312"/>
              </w:rPr>
              <w:t>4</w:t>
            </w:r>
          </w:p>
        </w:tc>
        <w:tc>
          <w:tcPr>
            <w:tcW w:w="581" w:type="dxa"/>
          </w:tcPr>
          <w:p w14:paraId="2E1BA9B1">
            <w:pPr>
              <w:pStyle w:val="4"/>
              <w:jc w:val="center"/>
            </w:pPr>
            <w:r>
              <w:rPr>
                <w:rFonts w:ascii="仿宋_GB2312" w:hAnsi="仿宋_GB2312" w:eastAsia="仿宋_GB2312" w:cs="仿宋_GB2312"/>
              </w:rPr>
              <w:t>★</w:t>
            </w:r>
          </w:p>
        </w:tc>
        <w:tc>
          <w:tcPr>
            <w:tcW w:w="1495" w:type="dxa"/>
          </w:tcPr>
          <w:p w14:paraId="12A92A8B">
            <w:pPr>
              <w:pStyle w:val="4"/>
              <w:jc w:val="left"/>
            </w:pPr>
            <w:r>
              <w:rPr>
                <w:rFonts w:ascii="仿宋_GB2312" w:hAnsi="仿宋_GB2312" w:eastAsia="仿宋_GB2312" w:cs="仿宋_GB2312"/>
              </w:rPr>
              <w:t>付款进度安排</w:t>
            </w:r>
          </w:p>
        </w:tc>
        <w:tc>
          <w:tcPr>
            <w:tcW w:w="5814" w:type="dxa"/>
          </w:tcPr>
          <w:p w14:paraId="15C28AE4">
            <w:pPr>
              <w:pStyle w:val="4"/>
              <w:jc w:val="left"/>
            </w:pPr>
            <w:r>
              <w:rPr>
                <w:rFonts w:ascii="仿宋_GB2312" w:hAnsi="仿宋_GB2312" w:eastAsia="仿宋_GB2312" w:cs="仿宋_GB2312"/>
              </w:rPr>
              <w:t>1、一次性付清，成交供应商按合同要求完成全部货物交付并完成部署验收合格后 ，经采购人验收合格后，采购人在收到提供的下列文件后：（1）合法有效的全额增值税发票；（2）货物验收合格报告（需双方签字确认）；（3）货物清单及出厂合格证明（如适用），达到付款条件起30日内，支付合同总金额的100.00%</w:t>
            </w:r>
          </w:p>
        </w:tc>
      </w:tr>
      <w:tr w14:paraId="08A3E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0538E7">
            <w:pPr>
              <w:pStyle w:val="4"/>
              <w:jc w:val="center"/>
            </w:pPr>
            <w:r>
              <w:rPr>
                <w:rFonts w:ascii="仿宋_GB2312" w:hAnsi="仿宋_GB2312" w:eastAsia="仿宋_GB2312" w:cs="仿宋_GB2312"/>
              </w:rPr>
              <w:t>5</w:t>
            </w:r>
          </w:p>
        </w:tc>
        <w:tc>
          <w:tcPr>
            <w:tcW w:w="581" w:type="dxa"/>
          </w:tcPr>
          <w:p w14:paraId="0E7663C9">
            <w:pPr>
              <w:pStyle w:val="4"/>
              <w:jc w:val="center"/>
            </w:pPr>
            <w:r>
              <w:rPr>
                <w:rFonts w:ascii="仿宋_GB2312" w:hAnsi="仿宋_GB2312" w:eastAsia="仿宋_GB2312" w:cs="仿宋_GB2312"/>
              </w:rPr>
              <w:t>★</w:t>
            </w:r>
          </w:p>
        </w:tc>
        <w:tc>
          <w:tcPr>
            <w:tcW w:w="1495" w:type="dxa"/>
          </w:tcPr>
          <w:p w14:paraId="2A9FBA8B">
            <w:pPr>
              <w:pStyle w:val="4"/>
              <w:jc w:val="left"/>
            </w:pPr>
            <w:r>
              <w:rPr>
                <w:rFonts w:ascii="仿宋_GB2312" w:hAnsi="仿宋_GB2312" w:eastAsia="仿宋_GB2312" w:cs="仿宋_GB2312"/>
              </w:rPr>
              <w:t>验收、交付标准和方法</w:t>
            </w:r>
          </w:p>
        </w:tc>
        <w:tc>
          <w:tcPr>
            <w:tcW w:w="5814" w:type="dxa"/>
          </w:tcPr>
          <w:p w14:paraId="6DAE56C7">
            <w:pPr>
              <w:pStyle w:val="4"/>
              <w:jc w:val="left"/>
            </w:pPr>
            <w:r>
              <w:rPr>
                <w:rFonts w:ascii="仿宋_GB2312" w:hAnsi="仿宋_GB2312" w:eastAsia="仿宋_GB2312" w:cs="仿宋_GB2312"/>
              </w:rPr>
              <w:t>（1）严格按照《财政部关于进一步加强政府采购需求和履约验收 管理的指导意见》（财库〔2016〕205 号）、国家行业相关标准、招标文件、投标文件、合同约定 及补充协议等书面文件为依据，确保货物、工程或服务符合约定的技术参数、规格、数量、质量等 要求进行验收； （2）验收时如发现所交付的货物有短装、次品、损坏或其它不符合标准及合同规定 之情形者，采购人应做出详尽的现场记录，或由采购人与成交供应商双方签署备忘录，此现场记录或备忘录可用作补充、缺失和更换损坏部件的有效证据，由此产生的时间延误与有关费用由成交供 应商承担，验收期限相应顺延；投标人完成设备及软件安装调等工作后，书面通知采购人验收。验收合格，采购人、供应商等在验收记录（单）上签字；验收不合格，投标人须在采购人限定的时间内整改后重新验收。再次验收不合格则视为供应商违约，相应的违约责任；成交供应商应提供货物的装箱清单、配件、随机工具、用户使用手册、原厂保修卡等资料交付给采购人；成交供应商不能完整交付货物及本款规定的单证和工具的，必须负责补齐，否则视为未按合同约定交货；如货物经成交供应商3次维修仍不能达到合同约定的质量标准，采购人有权退货，并视作成交供应商不能交付货物而须支付违约赔偿金给采购人，采购人还可依法追究成交供应商的违约责任。</w:t>
            </w:r>
          </w:p>
        </w:tc>
      </w:tr>
      <w:tr w14:paraId="79EFCF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BC4922">
            <w:pPr>
              <w:pStyle w:val="4"/>
              <w:jc w:val="center"/>
            </w:pPr>
            <w:r>
              <w:rPr>
                <w:rFonts w:ascii="仿宋_GB2312" w:hAnsi="仿宋_GB2312" w:eastAsia="仿宋_GB2312" w:cs="仿宋_GB2312"/>
              </w:rPr>
              <w:t>6</w:t>
            </w:r>
          </w:p>
        </w:tc>
        <w:tc>
          <w:tcPr>
            <w:tcW w:w="581" w:type="dxa"/>
          </w:tcPr>
          <w:p w14:paraId="3861BE54">
            <w:pPr>
              <w:pStyle w:val="4"/>
              <w:jc w:val="center"/>
            </w:pPr>
            <w:r>
              <w:rPr>
                <w:rFonts w:ascii="仿宋_GB2312" w:hAnsi="仿宋_GB2312" w:eastAsia="仿宋_GB2312" w:cs="仿宋_GB2312"/>
              </w:rPr>
              <w:t>★</w:t>
            </w:r>
          </w:p>
        </w:tc>
        <w:tc>
          <w:tcPr>
            <w:tcW w:w="1495" w:type="dxa"/>
          </w:tcPr>
          <w:p w14:paraId="113FE325">
            <w:pPr>
              <w:pStyle w:val="4"/>
              <w:jc w:val="left"/>
            </w:pPr>
            <w:r>
              <w:rPr>
                <w:rFonts w:ascii="仿宋_GB2312" w:hAnsi="仿宋_GB2312" w:eastAsia="仿宋_GB2312" w:cs="仿宋_GB2312"/>
              </w:rPr>
              <w:t>质量保修范围和保修期</w:t>
            </w:r>
          </w:p>
        </w:tc>
        <w:tc>
          <w:tcPr>
            <w:tcW w:w="5814" w:type="dxa"/>
          </w:tcPr>
          <w:p w14:paraId="0083991E">
            <w:pPr>
              <w:pStyle w:val="4"/>
              <w:jc w:val="left"/>
            </w:pPr>
            <w:r>
              <w:rPr>
                <w:rFonts w:ascii="仿宋_GB2312" w:hAnsi="仿宋_GB2312" w:eastAsia="仿宋_GB2312" w:cs="仿宋_GB2312"/>
              </w:rPr>
              <w:t>（1）免费保修期限：提供质保三年（成交供应商签订合同时提供针对本项目售后服务函原件） （2）系统维护（升级）期内，能够安排技术人员提供技术和业务支持，关键时间段提供现场技术保障和维护服务。</w:t>
            </w:r>
          </w:p>
        </w:tc>
      </w:tr>
      <w:tr w14:paraId="43ED6D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2FBF5D">
            <w:pPr>
              <w:pStyle w:val="4"/>
              <w:jc w:val="center"/>
            </w:pPr>
            <w:r>
              <w:rPr>
                <w:rFonts w:ascii="仿宋_GB2312" w:hAnsi="仿宋_GB2312" w:eastAsia="仿宋_GB2312" w:cs="仿宋_GB2312"/>
              </w:rPr>
              <w:t>7</w:t>
            </w:r>
          </w:p>
        </w:tc>
        <w:tc>
          <w:tcPr>
            <w:tcW w:w="581" w:type="dxa"/>
          </w:tcPr>
          <w:p w14:paraId="25E23643">
            <w:pPr>
              <w:pStyle w:val="4"/>
              <w:jc w:val="center"/>
            </w:pPr>
            <w:r>
              <w:rPr>
                <w:rFonts w:ascii="仿宋_GB2312" w:hAnsi="仿宋_GB2312" w:eastAsia="仿宋_GB2312" w:cs="仿宋_GB2312"/>
              </w:rPr>
              <w:t>★</w:t>
            </w:r>
          </w:p>
        </w:tc>
        <w:tc>
          <w:tcPr>
            <w:tcW w:w="1495" w:type="dxa"/>
          </w:tcPr>
          <w:p w14:paraId="07C03171">
            <w:pPr>
              <w:pStyle w:val="4"/>
              <w:jc w:val="left"/>
            </w:pPr>
            <w:r>
              <w:rPr>
                <w:rFonts w:ascii="仿宋_GB2312" w:hAnsi="仿宋_GB2312" w:eastAsia="仿宋_GB2312" w:cs="仿宋_GB2312"/>
              </w:rPr>
              <w:t>违约责任与解决争议的方法</w:t>
            </w:r>
          </w:p>
        </w:tc>
        <w:tc>
          <w:tcPr>
            <w:tcW w:w="5814" w:type="dxa"/>
          </w:tcPr>
          <w:p w14:paraId="08699FCF">
            <w:pPr>
              <w:pStyle w:val="4"/>
              <w:jc w:val="left"/>
            </w:pPr>
            <w:r>
              <w:rPr>
                <w:rFonts w:ascii="仿宋_GB2312" w:hAnsi="仿宋_GB2312" w:eastAsia="仿宋_GB2312" w:cs="仿宋_GB2312"/>
              </w:rPr>
              <w:t>在执行本合同中发生的或与本合同有关的争端，双方应通过友好协商解决，经协商不能达成 协议时，应提交合同履行地人民法院诉讼解决。</w:t>
            </w:r>
          </w:p>
        </w:tc>
      </w:tr>
      <w:tr w14:paraId="59F815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F1A6F0">
            <w:pPr>
              <w:pStyle w:val="4"/>
              <w:jc w:val="center"/>
            </w:pPr>
            <w:r>
              <w:rPr>
                <w:rFonts w:ascii="仿宋_GB2312" w:hAnsi="仿宋_GB2312" w:eastAsia="仿宋_GB2312" w:cs="仿宋_GB2312"/>
              </w:rPr>
              <w:t>8</w:t>
            </w:r>
          </w:p>
        </w:tc>
        <w:tc>
          <w:tcPr>
            <w:tcW w:w="581" w:type="dxa"/>
          </w:tcPr>
          <w:p w14:paraId="7CD3F51A">
            <w:pPr>
              <w:pStyle w:val="4"/>
              <w:jc w:val="center"/>
            </w:pPr>
            <w:r>
              <w:rPr>
                <w:rFonts w:ascii="仿宋_GB2312" w:hAnsi="仿宋_GB2312" w:eastAsia="仿宋_GB2312" w:cs="仿宋_GB2312"/>
              </w:rPr>
              <w:t>★</w:t>
            </w:r>
          </w:p>
        </w:tc>
        <w:tc>
          <w:tcPr>
            <w:tcW w:w="1495" w:type="dxa"/>
          </w:tcPr>
          <w:p w14:paraId="318809B5">
            <w:pPr>
              <w:pStyle w:val="4"/>
              <w:jc w:val="left"/>
            </w:pPr>
            <w:r>
              <w:rPr>
                <w:rFonts w:ascii="仿宋_GB2312" w:hAnsi="仿宋_GB2312" w:eastAsia="仿宋_GB2312" w:cs="仿宋_GB2312"/>
              </w:rPr>
              <w:t>包装方式及运输</w:t>
            </w:r>
          </w:p>
        </w:tc>
        <w:tc>
          <w:tcPr>
            <w:tcW w:w="5814" w:type="dxa"/>
          </w:tcPr>
          <w:p w14:paraId="6F21C3A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3C1E1117">
      <w:pPr>
        <w:pStyle w:val="4"/>
        <w:jc w:val="left"/>
        <w:outlineLvl w:val="2"/>
      </w:pPr>
      <w:r>
        <w:rPr>
          <w:rFonts w:ascii="仿宋_GB2312" w:hAnsi="仿宋_GB2312" w:eastAsia="仿宋_GB2312" w:cs="仿宋_GB2312"/>
          <w:b/>
          <w:sz w:val="28"/>
        </w:rPr>
        <w:t>3.4.其他要求</w:t>
      </w:r>
    </w:p>
    <w:p w14:paraId="263C668F">
      <w:pPr>
        <w:pStyle w:val="4"/>
        <w:jc w:val="left"/>
      </w:pPr>
      <w:r>
        <w:rPr>
          <w:rFonts w:ascii="仿宋_GB2312" w:hAnsi="仿宋_GB2312" w:eastAsia="仿宋_GB2312" w:cs="仿宋_GB2312"/>
        </w:rPr>
        <w:t>供应商应当响应采购文件的技术、服务、商务及其他要求，如有遗漏视为视为未响应，将按照采购文件要求视为无效磋商或者扣分处理。</w:t>
      </w:r>
    </w:p>
    <w:p w14:paraId="653EB2E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4B42E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2025-07-25T10:57:05Z</dcterms:created>
  <dc:creator>kkk</dc:creator>
  <cp:lastModifiedBy>Aurora</cp:lastModifiedBy>
  <dcterms:modified xsi:type="dcterms:W3CDTF">2025-07-25T10:57:10Z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eyJoZGlkIjoiNGZjZGQyYmEwOTMxNzQ2NDU2YTFhMDQwYjAxN2E1NTEiLCJ1c2VySWQiOiIzMDY3Mjg4ODAifQ==</vt:lpwstr>
  </property>
  <property fmtid="{D5CDD505-2E9C-101B-9397-08002B2CF9AE}" pid="4" name="ICV">
    <vt:lpwstr>BC0015E0787A401A95CA9D11E5D86D25_12</vt:lpwstr>
  </property>
</Properties>
</file>