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b/>
          <w:color w:val="auto"/>
          <w:sz w:val="36"/>
          <w:szCs w:val="36"/>
        </w:rPr>
      </w:pPr>
    </w:p>
    <w:p>
      <w:pPr>
        <w:jc w:val="center"/>
        <w:rPr>
          <w:rFonts w:ascii="宋体" w:hAnsi="宋体"/>
          <w:b/>
          <w:color w:val="auto"/>
          <w:sz w:val="52"/>
          <w:szCs w:val="52"/>
        </w:rPr>
      </w:pPr>
    </w:p>
    <w:p>
      <w:pPr>
        <w:jc w:val="center"/>
        <w:rPr>
          <w:rFonts w:ascii="宋体" w:hAnsi="宋体"/>
          <w:b/>
          <w:color w:val="auto"/>
          <w:sz w:val="56"/>
          <w:szCs w:val="56"/>
          <w:u w:val="single"/>
        </w:rPr>
      </w:pPr>
      <w:r>
        <w:rPr>
          <w:rFonts w:hint="eastAsia" w:ascii="宋体" w:hAnsi="宋体"/>
          <w:b/>
          <w:color w:val="auto"/>
          <w:sz w:val="56"/>
          <w:szCs w:val="56"/>
          <w:u w:val="single"/>
        </w:rPr>
        <w:t>绵阳高新市政建设有限责任公司</w:t>
      </w:r>
    </w:p>
    <w:p>
      <w:pPr>
        <w:rPr>
          <w:rFonts w:ascii="宋体" w:hAnsi="宋体"/>
          <w:b/>
          <w:color w:val="auto"/>
          <w:sz w:val="72"/>
          <w:szCs w:val="72"/>
        </w:rPr>
      </w:pPr>
    </w:p>
    <w:p>
      <w:pPr>
        <w:pStyle w:val="2"/>
        <w:rPr>
          <w:color w:val="auto"/>
        </w:rPr>
      </w:pPr>
    </w:p>
    <w:p>
      <w:pPr>
        <w:pStyle w:val="2"/>
        <w:rPr>
          <w:color w:val="auto"/>
        </w:rPr>
      </w:pPr>
    </w:p>
    <w:p>
      <w:pPr>
        <w:rPr>
          <w:rFonts w:ascii="宋体" w:hAnsi="宋体"/>
          <w:b/>
          <w:color w:val="auto"/>
          <w:sz w:val="72"/>
          <w:szCs w:val="72"/>
        </w:rPr>
      </w:pPr>
    </w:p>
    <w:p>
      <w:pPr>
        <w:jc w:val="center"/>
        <w:rPr>
          <w:rFonts w:ascii="宋体" w:hAnsi="宋体"/>
          <w:b/>
          <w:color w:val="auto"/>
          <w:sz w:val="84"/>
          <w:szCs w:val="84"/>
        </w:rPr>
      </w:pPr>
      <w:r>
        <w:rPr>
          <w:rFonts w:hint="eastAsia" w:ascii="宋体" w:hAnsi="宋体"/>
          <w:b/>
          <w:color w:val="auto"/>
          <w:sz w:val="84"/>
          <w:szCs w:val="84"/>
        </w:rPr>
        <w:t xml:space="preserve">竞争性磋商文件 </w:t>
      </w:r>
    </w:p>
    <w:p>
      <w:pPr>
        <w:jc w:val="center"/>
        <w:rPr>
          <w:rFonts w:ascii="宋体" w:hAnsi="宋体"/>
          <w:b/>
          <w:color w:val="auto"/>
          <w:sz w:val="52"/>
          <w:szCs w:val="52"/>
        </w:rPr>
      </w:pPr>
    </w:p>
    <w:p>
      <w:pPr>
        <w:jc w:val="center"/>
        <w:rPr>
          <w:rFonts w:ascii="宋体" w:hAnsi="宋体"/>
          <w:b/>
          <w:color w:val="auto"/>
          <w:sz w:val="30"/>
          <w:szCs w:val="30"/>
        </w:rPr>
      </w:pPr>
    </w:p>
    <w:p>
      <w:pPr>
        <w:jc w:val="center"/>
        <w:rPr>
          <w:rFonts w:ascii="宋体" w:hAnsi="宋体"/>
          <w:b/>
          <w:color w:val="auto"/>
          <w:sz w:val="30"/>
          <w:szCs w:val="30"/>
        </w:rPr>
      </w:pPr>
    </w:p>
    <w:p>
      <w:pPr>
        <w:pStyle w:val="2"/>
        <w:rPr>
          <w:color w:val="auto"/>
        </w:rPr>
      </w:pPr>
    </w:p>
    <w:p>
      <w:pPr>
        <w:jc w:val="center"/>
        <w:rPr>
          <w:rFonts w:ascii="宋体" w:hAnsi="宋体"/>
          <w:b/>
          <w:color w:val="auto"/>
          <w:sz w:val="30"/>
          <w:szCs w:val="30"/>
        </w:rPr>
      </w:pPr>
    </w:p>
    <w:p>
      <w:pPr>
        <w:spacing w:line="480" w:lineRule="auto"/>
        <w:ind w:firstLine="282" w:firstLineChars="78"/>
        <w:jc w:val="left"/>
        <w:rPr>
          <w:rFonts w:hint="eastAsia" w:ascii="宋体" w:hAnsi="宋体" w:eastAsia="宋体"/>
          <w:b/>
          <w:color w:val="auto"/>
          <w:sz w:val="36"/>
          <w:szCs w:val="36"/>
          <w:lang w:eastAsia="zh-CN"/>
        </w:rPr>
      </w:pPr>
      <w:r>
        <w:rPr>
          <w:rFonts w:hint="eastAsia" w:ascii="宋体" w:hAnsi="宋体"/>
          <w:b/>
          <w:color w:val="auto"/>
          <w:sz w:val="36"/>
          <w:szCs w:val="36"/>
        </w:rPr>
        <w:t>项目编号：</w:t>
      </w:r>
      <w:r>
        <w:rPr>
          <w:rFonts w:hint="eastAsia" w:ascii="宋体" w:hAnsi="宋体"/>
          <w:b/>
          <w:color w:val="auto"/>
          <w:sz w:val="36"/>
          <w:szCs w:val="36"/>
          <w:u w:val="single"/>
          <w:lang w:eastAsia="zh-CN"/>
        </w:rPr>
        <w:t>四川玖久公信绵高新市政磋（2022）1号</w:t>
      </w:r>
    </w:p>
    <w:p>
      <w:pPr>
        <w:spacing w:line="480" w:lineRule="auto"/>
        <w:ind w:firstLine="282" w:firstLineChars="78"/>
        <w:jc w:val="left"/>
        <w:rPr>
          <w:rFonts w:hint="default" w:ascii="宋体" w:hAnsi="宋体" w:eastAsia="宋体"/>
          <w:b/>
          <w:color w:val="auto"/>
          <w:sz w:val="36"/>
          <w:szCs w:val="36"/>
          <w:u w:val="single"/>
          <w:lang w:val="en-US" w:eastAsia="zh-CN"/>
        </w:rPr>
      </w:pPr>
      <w:r>
        <w:rPr>
          <w:rFonts w:hint="eastAsia" w:ascii="宋体" w:hAnsi="宋体"/>
          <w:b/>
          <w:color w:val="auto"/>
          <w:sz w:val="36"/>
          <w:szCs w:val="36"/>
        </w:rPr>
        <w:t>项目名称：</w:t>
      </w:r>
      <w:r>
        <w:rPr>
          <w:rFonts w:hint="eastAsia" w:ascii="宋体" w:hAnsi="宋体"/>
          <w:b/>
          <w:color w:val="auto"/>
          <w:sz w:val="36"/>
          <w:szCs w:val="36"/>
          <w:u w:val="single"/>
          <w:lang w:val="en-US" w:eastAsia="zh-CN"/>
        </w:rPr>
        <w:t>采购</w:t>
      </w:r>
      <w:r>
        <w:rPr>
          <w:rFonts w:hint="eastAsia" w:ascii="宋体" w:hAnsi="宋体"/>
          <w:b/>
          <w:color w:val="auto"/>
          <w:sz w:val="36"/>
          <w:szCs w:val="36"/>
          <w:u w:val="single"/>
          <w:lang w:eastAsia="zh-CN"/>
        </w:rPr>
        <w:t>洗扫车、洒水车</w:t>
      </w:r>
      <w:r>
        <w:rPr>
          <w:rFonts w:hint="eastAsia" w:ascii="宋体" w:hAnsi="宋体"/>
          <w:b/>
          <w:color w:val="auto"/>
          <w:sz w:val="36"/>
          <w:szCs w:val="36"/>
          <w:u w:val="single"/>
          <w:lang w:val="en-US" w:eastAsia="zh-CN"/>
        </w:rPr>
        <w:t>一批</w:t>
      </w:r>
    </w:p>
    <w:p>
      <w:pPr>
        <w:jc w:val="center"/>
        <w:rPr>
          <w:rFonts w:ascii="宋体" w:hAnsi="宋体"/>
          <w:b/>
          <w:color w:val="auto"/>
          <w:sz w:val="52"/>
          <w:szCs w:val="52"/>
        </w:rPr>
      </w:pPr>
    </w:p>
    <w:p>
      <w:pPr>
        <w:spacing w:line="360" w:lineRule="auto"/>
        <w:rPr>
          <w:rFonts w:ascii="宋体" w:hAnsi="宋体"/>
          <w:b/>
          <w:color w:val="auto"/>
          <w:sz w:val="32"/>
          <w:szCs w:val="32"/>
        </w:rPr>
      </w:pPr>
    </w:p>
    <w:p>
      <w:pPr>
        <w:spacing w:line="360" w:lineRule="auto"/>
        <w:ind w:firstLine="1285" w:firstLineChars="400"/>
        <w:rPr>
          <w:rFonts w:ascii="宋体" w:hAnsi="宋体" w:cs="宋体"/>
          <w:b/>
          <w:color w:val="auto"/>
          <w:sz w:val="32"/>
          <w:szCs w:val="32"/>
        </w:rPr>
      </w:pPr>
      <w:r>
        <w:rPr>
          <w:rFonts w:hint="eastAsia" w:ascii="宋体" w:hAnsi="宋体" w:cs="宋体"/>
          <w:b/>
          <w:color w:val="auto"/>
          <w:sz w:val="32"/>
          <w:szCs w:val="32"/>
        </w:rPr>
        <w:t>采购单位：绵阳高新市政建设有限责任公司</w:t>
      </w:r>
    </w:p>
    <w:p>
      <w:pPr>
        <w:spacing w:line="360" w:lineRule="auto"/>
        <w:jc w:val="left"/>
        <w:rPr>
          <w:rFonts w:ascii="宋体" w:hAnsi="宋体" w:cs="宋体"/>
          <w:b/>
          <w:color w:val="auto"/>
          <w:sz w:val="32"/>
          <w:szCs w:val="32"/>
        </w:rPr>
      </w:pPr>
      <w:r>
        <w:rPr>
          <w:rFonts w:ascii="宋体" w:hAnsi="宋体"/>
          <w:b/>
          <w:color w:val="auto"/>
          <w:sz w:val="32"/>
          <w:szCs w:val="32"/>
        </w:rPr>
        <w:t xml:space="preserve">        采购代理：四川玖久公信招标代理有限公司</w:t>
      </w:r>
    </w:p>
    <w:p>
      <w:pPr>
        <w:spacing w:line="360" w:lineRule="auto"/>
        <w:jc w:val="center"/>
        <w:rPr>
          <w:rFonts w:ascii="宋体" w:hAnsi="宋体"/>
          <w:color w:val="auto"/>
          <w:sz w:val="32"/>
          <w:szCs w:val="32"/>
        </w:rPr>
        <w:sectPr>
          <w:headerReference r:id="rId5" w:type="first"/>
          <w:footerReference r:id="rId7" w:type="first"/>
          <w:headerReference r:id="rId3" w:type="default"/>
          <w:headerReference r:id="rId4" w:type="even"/>
          <w:footerReference r:id="rId6" w:type="even"/>
          <w:type w:val="continuous"/>
          <w:pgSz w:w="11907" w:h="16839"/>
          <w:pgMar w:top="1111" w:right="1474" w:bottom="1418" w:left="1474" w:header="851" w:footer="992" w:gutter="0"/>
          <w:pgNumType w:fmt="decimal" w:start="1"/>
          <w:cols w:space="720" w:num="1"/>
          <w:titlePg/>
          <w:docGrid w:linePitch="312" w:charSpace="0"/>
        </w:sectPr>
      </w:pPr>
      <w:r>
        <w:rPr>
          <w:rFonts w:hint="eastAsia" w:ascii="宋体" w:hAnsi="宋体"/>
          <w:b/>
          <w:color w:val="auto"/>
          <w:sz w:val="32"/>
          <w:szCs w:val="32"/>
          <w:lang w:eastAsia="zh-CN"/>
        </w:rPr>
        <w:t>2022年01月</w:t>
      </w:r>
      <w:r>
        <w:rPr>
          <w:rFonts w:ascii="宋体" w:hAnsi="宋体"/>
          <w:b/>
          <w:color w:val="auto"/>
          <w:sz w:val="32"/>
          <w:szCs w:val="32"/>
        </w:rPr>
        <w:t xml:space="preserve">  共同编制</w:t>
      </w:r>
    </w:p>
    <w:p>
      <w:pPr>
        <w:pStyle w:val="81"/>
        <w:jc w:val="center"/>
        <w:rPr>
          <w:color w:val="auto"/>
          <w:sz w:val="36"/>
          <w:szCs w:val="36"/>
          <w:lang w:val="zh-CN"/>
        </w:rPr>
      </w:pPr>
      <w:bookmarkStart w:id="0" w:name="_Hlt101843627"/>
      <w:bookmarkEnd w:id="0"/>
      <w:bookmarkStart w:id="1" w:name="_Hlt101233737"/>
      <w:bookmarkEnd w:id="1"/>
    </w:p>
    <w:p>
      <w:pPr>
        <w:pStyle w:val="81"/>
        <w:jc w:val="center"/>
        <w:rPr>
          <w:color w:val="auto"/>
          <w:sz w:val="36"/>
          <w:szCs w:val="36"/>
          <w:lang w:val="zh-CN"/>
        </w:rPr>
        <w:sectPr>
          <w:footerReference r:id="rId9" w:type="first"/>
          <w:footerReference r:id="rId8" w:type="default"/>
          <w:type w:val="continuous"/>
          <w:pgSz w:w="11907" w:h="16839"/>
          <w:pgMar w:top="1440" w:right="1474" w:bottom="1440" w:left="1474" w:header="851" w:footer="992" w:gutter="0"/>
          <w:pgNumType w:fmt="decimal" w:start="0"/>
          <w:cols w:space="720" w:num="1"/>
          <w:docGrid w:linePitch="312" w:charSpace="0"/>
        </w:sectPr>
      </w:pPr>
    </w:p>
    <w:p>
      <w:pPr>
        <w:pStyle w:val="81"/>
        <w:jc w:val="center"/>
        <w:rPr>
          <w:color w:val="auto"/>
          <w:sz w:val="36"/>
          <w:szCs w:val="36"/>
          <w:lang w:val="zh-CN"/>
        </w:rPr>
      </w:pPr>
      <w:r>
        <w:rPr>
          <w:color w:val="auto"/>
          <w:sz w:val="36"/>
          <w:szCs w:val="36"/>
          <w:lang w:val="zh-CN"/>
        </w:rPr>
        <w:t>目录</w:t>
      </w:r>
    </w:p>
    <w:p>
      <w:pPr>
        <w:rPr>
          <w:color w:val="auto"/>
          <w:lang w:val="zh-CN"/>
        </w:rPr>
      </w:pPr>
    </w:p>
    <w:p>
      <w:pPr>
        <w:pStyle w:val="20"/>
        <w:tabs>
          <w:tab w:val="right" w:leader="dot" w:pos="8949"/>
        </w:tabs>
        <w:spacing w:line="480" w:lineRule="auto"/>
        <w:jc w:val="center"/>
        <w:rPr>
          <w:rFonts w:ascii="Calibri" w:hAnsi="Calibri"/>
          <w:b/>
          <w:color w:val="auto"/>
          <w:sz w:val="28"/>
          <w:szCs w:val="28"/>
        </w:rPr>
      </w:pPr>
      <w:r>
        <w:rPr>
          <w:rFonts w:ascii="宋体" w:hAnsi="宋体"/>
          <w:b/>
          <w:color w:val="auto"/>
          <w:sz w:val="24"/>
        </w:rPr>
        <w:fldChar w:fldCharType="begin"/>
      </w:r>
      <w:r>
        <w:rPr>
          <w:rFonts w:ascii="宋体" w:hAnsi="宋体"/>
          <w:b/>
          <w:color w:val="auto"/>
          <w:sz w:val="24"/>
        </w:rPr>
        <w:instrText xml:space="preserve"> TOC \o "1-3" \h \z \u </w:instrText>
      </w:r>
      <w:r>
        <w:rPr>
          <w:rFonts w:ascii="宋体" w:hAnsi="宋体"/>
          <w:b/>
          <w:color w:val="auto"/>
          <w:sz w:val="24"/>
        </w:rPr>
        <w:fldChar w:fldCharType="separate"/>
      </w:r>
      <w:r>
        <w:rPr>
          <w:color w:val="auto"/>
        </w:rPr>
        <w:fldChar w:fldCharType="begin"/>
      </w:r>
      <w:r>
        <w:rPr>
          <w:color w:val="auto"/>
        </w:rPr>
        <w:instrText xml:space="preserve"> HYPERLINK \l "_Toc19457948" </w:instrText>
      </w:r>
      <w:r>
        <w:rPr>
          <w:color w:val="auto"/>
        </w:rPr>
        <w:fldChar w:fldCharType="separate"/>
      </w:r>
      <w:r>
        <w:rPr>
          <w:rStyle w:val="34"/>
          <w:rFonts w:hint="eastAsia"/>
          <w:b/>
          <w:color w:val="auto"/>
          <w:sz w:val="28"/>
          <w:szCs w:val="28"/>
        </w:rPr>
        <w:t>第一章  磋商邀请</w:t>
      </w:r>
      <w:r>
        <w:rPr>
          <w:b/>
          <w:color w:val="auto"/>
          <w:sz w:val="28"/>
          <w:szCs w:val="28"/>
        </w:rPr>
        <w:tab/>
      </w:r>
      <w:r>
        <w:rPr>
          <w:b/>
          <w:color w:val="auto"/>
          <w:sz w:val="28"/>
          <w:szCs w:val="28"/>
        </w:rPr>
        <w:fldChar w:fldCharType="begin"/>
      </w:r>
      <w:r>
        <w:rPr>
          <w:b/>
          <w:color w:val="auto"/>
          <w:sz w:val="28"/>
          <w:szCs w:val="28"/>
        </w:rPr>
        <w:instrText xml:space="preserve"> PAGEREF _Toc19457948 \h </w:instrText>
      </w:r>
      <w:r>
        <w:rPr>
          <w:b/>
          <w:color w:val="auto"/>
          <w:sz w:val="28"/>
          <w:szCs w:val="28"/>
        </w:rPr>
        <w:fldChar w:fldCharType="separate"/>
      </w:r>
      <w:r>
        <w:rPr>
          <w:b/>
          <w:color w:val="auto"/>
          <w:sz w:val="28"/>
          <w:szCs w:val="28"/>
        </w:rPr>
        <w:t>1</w:t>
      </w:r>
      <w:r>
        <w:rPr>
          <w:b/>
          <w:color w:val="auto"/>
          <w:sz w:val="28"/>
          <w:szCs w:val="28"/>
        </w:rPr>
        <w:fldChar w:fldCharType="end"/>
      </w:r>
      <w:r>
        <w:rPr>
          <w:b/>
          <w:color w:val="auto"/>
          <w:sz w:val="28"/>
          <w:szCs w:val="28"/>
        </w:rPr>
        <w:fldChar w:fldCharType="end"/>
      </w:r>
    </w:p>
    <w:p>
      <w:pPr>
        <w:pStyle w:val="20"/>
        <w:tabs>
          <w:tab w:val="right" w:leader="dot" w:pos="8949"/>
        </w:tabs>
        <w:spacing w:line="480" w:lineRule="auto"/>
        <w:jc w:val="center"/>
        <w:rPr>
          <w:rFonts w:ascii="Calibri" w:hAnsi="Calibri"/>
          <w:b/>
          <w:color w:val="auto"/>
          <w:sz w:val="28"/>
          <w:szCs w:val="28"/>
        </w:rPr>
      </w:pPr>
      <w:r>
        <w:rPr>
          <w:color w:val="auto"/>
        </w:rPr>
        <w:fldChar w:fldCharType="begin"/>
      </w:r>
      <w:r>
        <w:rPr>
          <w:color w:val="auto"/>
        </w:rPr>
        <w:instrText xml:space="preserve"> HYPERLINK \l "_Toc19457949" </w:instrText>
      </w:r>
      <w:r>
        <w:rPr>
          <w:color w:val="auto"/>
        </w:rPr>
        <w:fldChar w:fldCharType="separate"/>
      </w:r>
      <w:r>
        <w:rPr>
          <w:rStyle w:val="34"/>
          <w:rFonts w:hint="eastAsia"/>
          <w:b/>
          <w:color w:val="auto"/>
          <w:sz w:val="28"/>
          <w:szCs w:val="28"/>
        </w:rPr>
        <w:t>第二章  磋商须知</w:t>
      </w:r>
      <w:r>
        <w:rPr>
          <w:b/>
          <w:color w:val="auto"/>
          <w:sz w:val="28"/>
          <w:szCs w:val="28"/>
        </w:rPr>
        <w:tab/>
      </w:r>
      <w:r>
        <w:rPr>
          <w:b/>
          <w:color w:val="auto"/>
          <w:sz w:val="28"/>
          <w:szCs w:val="28"/>
        </w:rPr>
        <w:fldChar w:fldCharType="begin"/>
      </w:r>
      <w:r>
        <w:rPr>
          <w:b/>
          <w:color w:val="auto"/>
          <w:sz w:val="28"/>
          <w:szCs w:val="28"/>
        </w:rPr>
        <w:instrText xml:space="preserve"> PAGEREF _Toc19457949 \h </w:instrText>
      </w:r>
      <w:r>
        <w:rPr>
          <w:b/>
          <w:color w:val="auto"/>
          <w:sz w:val="28"/>
          <w:szCs w:val="28"/>
        </w:rPr>
        <w:fldChar w:fldCharType="separate"/>
      </w:r>
      <w:r>
        <w:rPr>
          <w:b/>
          <w:color w:val="auto"/>
          <w:sz w:val="28"/>
          <w:szCs w:val="28"/>
        </w:rPr>
        <w:t>4</w:t>
      </w:r>
      <w:r>
        <w:rPr>
          <w:b/>
          <w:color w:val="auto"/>
          <w:sz w:val="28"/>
          <w:szCs w:val="28"/>
        </w:rPr>
        <w:fldChar w:fldCharType="end"/>
      </w:r>
      <w:r>
        <w:rPr>
          <w:b/>
          <w:color w:val="auto"/>
          <w:sz w:val="28"/>
          <w:szCs w:val="28"/>
        </w:rPr>
        <w:fldChar w:fldCharType="end"/>
      </w:r>
    </w:p>
    <w:p>
      <w:pPr>
        <w:pStyle w:val="20"/>
        <w:tabs>
          <w:tab w:val="right" w:leader="dot" w:pos="8949"/>
        </w:tabs>
        <w:spacing w:line="480" w:lineRule="auto"/>
        <w:jc w:val="center"/>
        <w:rPr>
          <w:rFonts w:ascii="Calibri" w:hAnsi="Calibri"/>
          <w:b/>
          <w:color w:val="auto"/>
          <w:sz w:val="28"/>
          <w:szCs w:val="28"/>
        </w:rPr>
      </w:pPr>
      <w:r>
        <w:rPr>
          <w:color w:val="auto"/>
        </w:rPr>
        <w:fldChar w:fldCharType="begin"/>
      </w:r>
      <w:r>
        <w:rPr>
          <w:color w:val="auto"/>
        </w:rPr>
        <w:instrText xml:space="preserve"> HYPERLINK \l "_Toc19457990" </w:instrText>
      </w:r>
      <w:r>
        <w:rPr>
          <w:color w:val="auto"/>
        </w:rPr>
        <w:fldChar w:fldCharType="separate"/>
      </w:r>
      <w:r>
        <w:rPr>
          <w:rStyle w:val="34"/>
          <w:rFonts w:hint="eastAsia"/>
          <w:b/>
          <w:color w:val="auto"/>
          <w:sz w:val="28"/>
          <w:szCs w:val="28"/>
        </w:rPr>
        <w:t>第三章  供应商资格条件要求</w:t>
      </w:r>
      <w:r>
        <w:rPr>
          <w:b/>
          <w:color w:val="auto"/>
          <w:sz w:val="28"/>
          <w:szCs w:val="28"/>
        </w:rPr>
        <w:tab/>
      </w:r>
      <w:r>
        <w:rPr>
          <w:b/>
          <w:color w:val="auto"/>
          <w:sz w:val="28"/>
          <w:szCs w:val="28"/>
        </w:rPr>
        <w:fldChar w:fldCharType="begin"/>
      </w:r>
      <w:r>
        <w:rPr>
          <w:b/>
          <w:color w:val="auto"/>
          <w:sz w:val="28"/>
          <w:szCs w:val="28"/>
        </w:rPr>
        <w:instrText xml:space="preserve"> PAGEREF _Toc19457990 \h </w:instrText>
      </w:r>
      <w:r>
        <w:rPr>
          <w:b/>
          <w:color w:val="auto"/>
          <w:sz w:val="28"/>
          <w:szCs w:val="28"/>
        </w:rPr>
        <w:fldChar w:fldCharType="separate"/>
      </w:r>
      <w:r>
        <w:rPr>
          <w:b/>
          <w:color w:val="auto"/>
          <w:sz w:val="28"/>
          <w:szCs w:val="28"/>
        </w:rPr>
        <w:t>16</w:t>
      </w:r>
      <w:r>
        <w:rPr>
          <w:b/>
          <w:color w:val="auto"/>
          <w:sz w:val="28"/>
          <w:szCs w:val="28"/>
        </w:rPr>
        <w:fldChar w:fldCharType="end"/>
      </w:r>
      <w:r>
        <w:rPr>
          <w:b/>
          <w:color w:val="auto"/>
          <w:sz w:val="28"/>
          <w:szCs w:val="28"/>
        </w:rPr>
        <w:fldChar w:fldCharType="end"/>
      </w:r>
    </w:p>
    <w:p>
      <w:pPr>
        <w:pStyle w:val="20"/>
        <w:tabs>
          <w:tab w:val="right" w:leader="dot" w:pos="8949"/>
        </w:tabs>
        <w:spacing w:line="480" w:lineRule="auto"/>
        <w:jc w:val="center"/>
        <w:rPr>
          <w:rFonts w:ascii="Calibri" w:hAnsi="Calibri"/>
          <w:b/>
          <w:color w:val="auto"/>
          <w:sz w:val="28"/>
          <w:szCs w:val="28"/>
        </w:rPr>
      </w:pPr>
      <w:r>
        <w:rPr>
          <w:color w:val="auto"/>
        </w:rPr>
        <w:fldChar w:fldCharType="begin"/>
      </w:r>
      <w:r>
        <w:rPr>
          <w:color w:val="auto"/>
        </w:rPr>
        <w:instrText xml:space="preserve"> HYPERLINK \l "_Toc19457991" </w:instrText>
      </w:r>
      <w:r>
        <w:rPr>
          <w:color w:val="auto"/>
        </w:rPr>
        <w:fldChar w:fldCharType="separate"/>
      </w:r>
      <w:r>
        <w:rPr>
          <w:rStyle w:val="34"/>
          <w:rFonts w:hint="eastAsia"/>
          <w:b/>
          <w:color w:val="auto"/>
          <w:sz w:val="28"/>
          <w:szCs w:val="28"/>
        </w:rPr>
        <w:t>第四章  供应商资格证明材料</w:t>
      </w:r>
      <w:r>
        <w:rPr>
          <w:b/>
          <w:color w:val="auto"/>
          <w:sz w:val="28"/>
          <w:szCs w:val="28"/>
        </w:rPr>
        <w:tab/>
      </w:r>
      <w:r>
        <w:rPr>
          <w:b/>
          <w:color w:val="auto"/>
          <w:sz w:val="28"/>
          <w:szCs w:val="28"/>
        </w:rPr>
        <w:fldChar w:fldCharType="begin"/>
      </w:r>
      <w:r>
        <w:rPr>
          <w:b/>
          <w:color w:val="auto"/>
          <w:sz w:val="28"/>
          <w:szCs w:val="28"/>
        </w:rPr>
        <w:instrText xml:space="preserve"> PAGEREF _Toc19457991 \h </w:instrText>
      </w:r>
      <w:r>
        <w:rPr>
          <w:b/>
          <w:color w:val="auto"/>
          <w:sz w:val="28"/>
          <w:szCs w:val="28"/>
        </w:rPr>
        <w:fldChar w:fldCharType="separate"/>
      </w:r>
      <w:r>
        <w:rPr>
          <w:b/>
          <w:color w:val="auto"/>
          <w:sz w:val="28"/>
          <w:szCs w:val="28"/>
        </w:rPr>
        <w:t>17</w:t>
      </w:r>
      <w:r>
        <w:rPr>
          <w:b/>
          <w:color w:val="auto"/>
          <w:sz w:val="28"/>
          <w:szCs w:val="28"/>
        </w:rPr>
        <w:fldChar w:fldCharType="end"/>
      </w:r>
      <w:r>
        <w:rPr>
          <w:b/>
          <w:color w:val="auto"/>
          <w:sz w:val="28"/>
          <w:szCs w:val="28"/>
        </w:rPr>
        <w:fldChar w:fldCharType="end"/>
      </w:r>
    </w:p>
    <w:p>
      <w:pPr>
        <w:pStyle w:val="20"/>
        <w:tabs>
          <w:tab w:val="right" w:leader="dot" w:pos="8949"/>
        </w:tabs>
        <w:spacing w:line="480" w:lineRule="auto"/>
        <w:jc w:val="center"/>
        <w:rPr>
          <w:rFonts w:ascii="Calibri" w:hAnsi="Calibri"/>
          <w:b/>
          <w:color w:val="auto"/>
          <w:sz w:val="28"/>
          <w:szCs w:val="28"/>
        </w:rPr>
      </w:pPr>
      <w:r>
        <w:rPr>
          <w:color w:val="auto"/>
        </w:rPr>
        <w:fldChar w:fldCharType="begin"/>
      </w:r>
      <w:r>
        <w:rPr>
          <w:color w:val="auto"/>
        </w:rPr>
        <w:instrText xml:space="preserve"> HYPERLINK \l "_Toc19457992" </w:instrText>
      </w:r>
      <w:r>
        <w:rPr>
          <w:color w:val="auto"/>
        </w:rPr>
        <w:fldChar w:fldCharType="separate"/>
      </w:r>
      <w:r>
        <w:rPr>
          <w:rStyle w:val="34"/>
          <w:rFonts w:hint="eastAsia"/>
          <w:b/>
          <w:color w:val="auto"/>
          <w:sz w:val="28"/>
          <w:szCs w:val="28"/>
        </w:rPr>
        <w:t>第五章  供应商技术、服务、商务响应文件内容</w:t>
      </w:r>
      <w:r>
        <w:rPr>
          <w:b/>
          <w:color w:val="auto"/>
          <w:sz w:val="28"/>
          <w:szCs w:val="28"/>
        </w:rPr>
        <w:tab/>
      </w:r>
      <w:r>
        <w:rPr>
          <w:b/>
          <w:color w:val="auto"/>
          <w:sz w:val="28"/>
          <w:szCs w:val="28"/>
        </w:rPr>
        <w:fldChar w:fldCharType="begin"/>
      </w:r>
      <w:r>
        <w:rPr>
          <w:b/>
          <w:color w:val="auto"/>
          <w:sz w:val="28"/>
          <w:szCs w:val="28"/>
        </w:rPr>
        <w:instrText xml:space="preserve"> PAGEREF _Toc19457992 \h </w:instrText>
      </w:r>
      <w:r>
        <w:rPr>
          <w:b/>
          <w:color w:val="auto"/>
          <w:sz w:val="28"/>
          <w:szCs w:val="28"/>
        </w:rPr>
        <w:fldChar w:fldCharType="separate"/>
      </w:r>
      <w:r>
        <w:rPr>
          <w:b/>
          <w:color w:val="auto"/>
          <w:sz w:val="28"/>
          <w:szCs w:val="28"/>
        </w:rPr>
        <w:t>18</w:t>
      </w:r>
      <w:r>
        <w:rPr>
          <w:b/>
          <w:color w:val="auto"/>
          <w:sz w:val="28"/>
          <w:szCs w:val="28"/>
        </w:rPr>
        <w:fldChar w:fldCharType="end"/>
      </w:r>
      <w:r>
        <w:rPr>
          <w:b/>
          <w:color w:val="auto"/>
          <w:sz w:val="28"/>
          <w:szCs w:val="28"/>
        </w:rPr>
        <w:fldChar w:fldCharType="end"/>
      </w:r>
    </w:p>
    <w:p>
      <w:pPr>
        <w:pStyle w:val="20"/>
        <w:tabs>
          <w:tab w:val="right" w:leader="dot" w:pos="8949"/>
        </w:tabs>
        <w:spacing w:line="480" w:lineRule="auto"/>
        <w:jc w:val="center"/>
        <w:rPr>
          <w:rFonts w:ascii="Calibri" w:hAnsi="Calibri"/>
          <w:b/>
          <w:color w:val="auto"/>
          <w:sz w:val="28"/>
          <w:szCs w:val="28"/>
        </w:rPr>
      </w:pPr>
      <w:r>
        <w:rPr>
          <w:color w:val="auto"/>
        </w:rPr>
        <w:fldChar w:fldCharType="begin"/>
      </w:r>
      <w:r>
        <w:rPr>
          <w:color w:val="auto"/>
        </w:rPr>
        <w:instrText xml:space="preserve"> HYPERLINK \l "_Toc19457993" </w:instrText>
      </w:r>
      <w:r>
        <w:rPr>
          <w:color w:val="auto"/>
        </w:rPr>
        <w:fldChar w:fldCharType="separate"/>
      </w:r>
      <w:r>
        <w:rPr>
          <w:rStyle w:val="34"/>
          <w:rFonts w:hint="eastAsia"/>
          <w:b/>
          <w:color w:val="auto"/>
          <w:sz w:val="28"/>
          <w:szCs w:val="28"/>
        </w:rPr>
        <w:t>第六章  采购项目技术、服务及商务要求</w:t>
      </w:r>
      <w:r>
        <w:rPr>
          <w:b/>
          <w:color w:val="auto"/>
          <w:sz w:val="28"/>
          <w:szCs w:val="28"/>
        </w:rPr>
        <w:tab/>
      </w:r>
      <w:r>
        <w:rPr>
          <w:b/>
          <w:color w:val="auto"/>
          <w:sz w:val="28"/>
          <w:szCs w:val="28"/>
        </w:rPr>
        <w:fldChar w:fldCharType="begin"/>
      </w:r>
      <w:r>
        <w:rPr>
          <w:b/>
          <w:color w:val="auto"/>
          <w:sz w:val="28"/>
          <w:szCs w:val="28"/>
        </w:rPr>
        <w:instrText xml:space="preserve"> PAGEREF _Toc19457993 \h </w:instrText>
      </w:r>
      <w:r>
        <w:rPr>
          <w:b/>
          <w:color w:val="auto"/>
          <w:sz w:val="28"/>
          <w:szCs w:val="28"/>
        </w:rPr>
        <w:fldChar w:fldCharType="separate"/>
      </w:r>
      <w:r>
        <w:rPr>
          <w:b/>
          <w:color w:val="auto"/>
          <w:sz w:val="28"/>
          <w:szCs w:val="28"/>
        </w:rPr>
        <w:t>19</w:t>
      </w:r>
      <w:r>
        <w:rPr>
          <w:b/>
          <w:color w:val="auto"/>
          <w:sz w:val="28"/>
          <w:szCs w:val="28"/>
        </w:rPr>
        <w:fldChar w:fldCharType="end"/>
      </w:r>
      <w:r>
        <w:rPr>
          <w:b/>
          <w:color w:val="auto"/>
          <w:sz w:val="28"/>
          <w:szCs w:val="28"/>
        </w:rPr>
        <w:fldChar w:fldCharType="end"/>
      </w:r>
    </w:p>
    <w:p>
      <w:pPr>
        <w:pStyle w:val="20"/>
        <w:tabs>
          <w:tab w:val="right" w:leader="dot" w:pos="8949"/>
        </w:tabs>
        <w:spacing w:line="480" w:lineRule="auto"/>
        <w:jc w:val="center"/>
        <w:rPr>
          <w:rFonts w:ascii="Calibri" w:hAnsi="Calibri"/>
          <w:b/>
          <w:color w:val="auto"/>
          <w:sz w:val="28"/>
          <w:szCs w:val="28"/>
        </w:rPr>
      </w:pPr>
      <w:r>
        <w:rPr>
          <w:color w:val="auto"/>
        </w:rPr>
        <w:fldChar w:fldCharType="begin"/>
      </w:r>
      <w:r>
        <w:rPr>
          <w:color w:val="auto"/>
        </w:rPr>
        <w:instrText xml:space="preserve"> HYPERLINK \l "_Toc19457994" </w:instrText>
      </w:r>
      <w:r>
        <w:rPr>
          <w:color w:val="auto"/>
        </w:rPr>
        <w:fldChar w:fldCharType="separate"/>
      </w:r>
      <w:r>
        <w:rPr>
          <w:rStyle w:val="34"/>
          <w:rFonts w:hint="eastAsia"/>
          <w:b/>
          <w:color w:val="auto"/>
          <w:sz w:val="28"/>
          <w:szCs w:val="28"/>
        </w:rPr>
        <w:t>第七章  响应文件格式</w:t>
      </w:r>
      <w:r>
        <w:rPr>
          <w:b/>
          <w:color w:val="auto"/>
          <w:sz w:val="28"/>
          <w:szCs w:val="28"/>
        </w:rPr>
        <w:tab/>
      </w:r>
      <w:r>
        <w:rPr>
          <w:b/>
          <w:color w:val="auto"/>
          <w:sz w:val="28"/>
          <w:szCs w:val="28"/>
        </w:rPr>
        <w:fldChar w:fldCharType="begin"/>
      </w:r>
      <w:r>
        <w:rPr>
          <w:b/>
          <w:color w:val="auto"/>
          <w:sz w:val="28"/>
          <w:szCs w:val="28"/>
        </w:rPr>
        <w:instrText xml:space="preserve"> PAGEREF _Toc19457994 \h </w:instrText>
      </w:r>
      <w:r>
        <w:rPr>
          <w:b/>
          <w:color w:val="auto"/>
          <w:sz w:val="28"/>
          <w:szCs w:val="28"/>
        </w:rPr>
        <w:fldChar w:fldCharType="separate"/>
      </w:r>
      <w:r>
        <w:rPr>
          <w:b/>
          <w:color w:val="auto"/>
          <w:sz w:val="28"/>
          <w:szCs w:val="28"/>
        </w:rPr>
        <w:t>22</w:t>
      </w:r>
      <w:r>
        <w:rPr>
          <w:b/>
          <w:color w:val="auto"/>
          <w:sz w:val="28"/>
          <w:szCs w:val="28"/>
        </w:rPr>
        <w:fldChar w:fldCharType="end"/>
      </w:r>
      <w:r>
        <w:rPr>
          <w:b/>
          <w:color w:val="auto"/>
          <w:sz w:val="28"/>
          <w:szCs w:val="28"/>
        </w:rPr>
        <w:fldChar w:fldCharType="end"/>
      </w:r>
    </w:p>
    <w:p>
      <w:pPr>
        <w:pStyle w:val="20"/>
        <w:tabs>
          <w:tab w:val="right" w:leader="dot" w:pos="8949"/>
        </w:tabs>
        <w:spacing w:line="480" w:lineRule="auto"/>
        <w:jc w:val="center"/>
        <w:rPr>
          <w:rFonts w:ascii="Calibri" w:hAnsi="Calibri"/>
          <w:b/>
          <w:color w:val="auto"/>
          <w:sz w:val="28"/>
          <w:szCs w:val="28"/>
        </w:rPr>
      </w:pPr>
      <w:r>
        <w:rPr>
          <w:color w:val="auto"/>
        </w:rPr>
        <w:fldChar w:fldCharType="begin"/>
      </w:r>
      <w:r>
        <w:rPr>
          <w:color w:val="auto"/>
        </w:rPr>
        <w:instrText xml:space="preserve"> HYPERLINK \l "_Toc19457995" </w:instrText>
      </w:r>
      <w:r>
        <w:rPr>
          <w:color w:val="auto"/>
        </w:rPr>
        <w:fldChar w:fldCharType="separate"/>
      </w:r>
      <w:r>
        <w:rPr>
          <w:rStyle w:val="34"/>
          <w:rFonts w:hint="eastAsia"/>
          <w:b/>
          <w:color w:val="auto"/>
          <w:sz w:val="28"/>
          <w:szCs w:val="28"/>
        </w:rPr>
        <w:t>第八章  评审方法</w:t>
      </w:r>
      <w:r>
        <w:rPr>
          <w:b/>
          <w:color w:val="auto"/>
          <w:sz w:val="28"/>
          <w:szCs w:val="28"/>
        </w:rPr>
        <w:tab/>
      </w:r>
      <w:r>
        <w:rPr>
          <w:b/>
          <w:color w:val="auto"/>
          <w:sz w:val="28"/>
          <w:szCs w:val="28"/>
        </w:rPr>
        <w:fldChar w:fldCharType="begin"/>
      </w:r>
      <w:r>
        <w:rPr>
          <w:b/>
          <w:color w:val="auto"/>
          <w:sz w:val="28"/>
          <w:szCs w:val="28"/>
        </w:rPr>
        <w:instrText xml:space="preserve"> PAGEREF _Toc19457995 \h </w:instrText>
      </w:r>
      <w:r>
        <w:rPr>
          <w:b/>
          <w:color w:val="auto"/>
          <w:sz w:val="28"/>
          <w:szCs w:val="28"/>
        </w:rPr>
        <w:fldChar w:fldCharType="separate"/>
      </w:r>
      <w:r>
        <w:rPr>
          <w:b/>
          <w:color w:val="auto"/>
          <w:sz w:val="28"/>
          <w:szCs w:val="28"/>
        </w:rPr>
        <w:t>31</w:t>
      </w:r>
      <w:r>
        <w:rPr>
          <w:b/>
          <w:color w:val="auto"/>
          <w:sz w:val="28"/>
          <w:szCs w:val="28"/>
        </w:rPr>
        <w:fldChar w:fldCharType="end"/>
      </w:r>
      <w:r>
        <w:rPr>
          <w:b/>
          <w:color w:val="auto"/>
          <w:sz w:val="28"/>
          <w:szCs w:val="28"/>
        </w:rPr>
        <w:fldChar w:fldCharType="end"/>
      </w:r>
    </w:p>
    <w:p>
      <w:pPr>
        <w:pStyle w:val="20"/>
        <w:tabs>
          <w:tab w:val="right" w:leader="dot" w:pos="8949"/>
        </w:tabs>
        <w:spacing w:line="480" w:lineRule="auto"/>
        <w:jc w:val="center"/>
        <w:rPr>
          <w:rFonts w:ascii="Calibri" w:hAnsi="Calibri"/>
          <w:color w:val="auto"/>
          <w:szCs w:val="22"/>
        </w:rPr>
      </w:pPr>
      <w:r>
        <w:rPr>
          <w:color w:val="auto"/>
        </w:rPr>
        <w:fldChar w:fldCharType="begin"/>
      </w:r>
      <w:r>
        <w:rPr>
          <w:color w:val="auto"/>
        </w:rPr>
        <w:instrText xml:space="preserve"> HYPERLINK \l "_Toc19458038" </w:instrText>
      </w:r>
      <w:r>
        <w:rPr>
          <w:color w:val="auto"/>
        </w:rPr>
        <w:fldChar w:fldCharType="separate"/>
      </w:r>
      <w:r>
        <w:rPr>
          <w:rStyle w:val="34"/>
          <w:rFonts w:hint="eastAsia"/>
          <w:b/>
          <w:color w:val="auto"/>
          <w:sz w:val="28"/>
          <w:szCs w:val="28"/>
        </w:rPr>
        <w:t>第九章  采购合同</w:t>
      </w:r>
      <w:r>
        <w:rPr>
          <w:b/>
          <w:color w:val="auto"/>
          <w:sz w:val="28"/>
          <w:szCs w:val="28"/>
        </w:rPr>
        <w:tab/>
      </w:r>
      <w:r>
        <w:rPr>
          <w:b/>
          <w:color w:val="auto"/>
          <w:sz w:val="28"/>
          <w:szCs w:val="28"/>
        </w:rPr>
        <w:fldChar w:fldCharType="begin"/>
      </w:r>
      <w:r>
        <w:rPr>
          <w:b/>
          <w:color w:val="auto"/>
          <w:sz w:val="28"/>
          <w:szCs w:val="28"/>
        </w:rPr>
        <w:instrText xml:space="preserve"> PAGEREF _Toc19458038 \h </w:instrText>
      </w:r>
      <w:r>
        <w:rPr>
          <w:b/>
          <w:color w:val="auto"/>
          <w:sz w:val="28"/>
          <w:szCs w:val="28"/>
        </w:rPr>
        <w:fldChar w:fldCharType="separate"/>
      </w:r>
      <w:r>
        <w:rPr>
          <w:b/>
          <w:color w:val="auto"/>
          <w:sz w:val="28"/>
          <w:szCs w:val="28"/>
        </w:rPr>
        <w:t>39</w:t>
      </w:r>
      <w:r>
        <w:rPr>
          <w:b/>
          <w:color w:val="auto"/>
          <w:sz w:val="28"/>
          <w:szCs w:val="28"/>
        </w:rPr>
        <w:fldChar w:fldCharType="end"/>
      </w:r>
      <w:r>
        <w:rPr>
          <w:b/>
          <w:color w:val="auto"/>
          <w:sz w:val="28"/>
          <w:szCs w:val="28"/>
        </w:rPr>
        <w:fldChar w:fldCharType="end"/>
      </w:r>
    </w:p>
    <w:p>
      <w:pPr>
        <w:spacing w:line="480" w:lineRule="auto"/>
        <w:jc w:val="center"/>
        <w:rPr>
          <w:color w:val="auto"/>
        </w:rPr>
      </w:pPr>
      <w:r>
        <w:rPr>
          <w:rFonts w:ascii="宋体" w:hAnsi="宋体"/>
          <w:b/>
          <w:color w:val="auto"/>
          <w:sz w:val="24"/>
        </w:rPr>
        <w:fldChar w:fldCharType="end"/>
      </w:r>
    </w:p>
    <w:p>
      <w:pPr>
        <w:pStyle w:val="5"/>
        <w:keepNext w:val="0"/>
        <w:keepLines w:val="0"/>
        <w:spacing w:line="360" w:lineRule="exact"/>
        <w:jc w:val="center"/>
        <w:rPr>
          <w:rFonts w:ascii="宋体" w:hAnsi="宋体" w:eastAsia="宋体"/>
          <w:bCs w:val="0"/>
          <w:color w:val="auto"/>
          <w:sz w:val="36"/>
        </w:rPr>
      </w:pPr>
    </w:p>
    <w:p>
      <w:pPr>
        <w:rPr>
          <w:color w:val="auto"/>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7"/>
        <w:spacing w:line="360" w:lineRule="auto"/>
        <w:outlineLvl w:val="9"/>
        <w:rPr>
          <w:rFonts w:hint="eastAsia"/>
          <w:color w:val="auto"/>
        </w:rPr>
        <w:sectPr>
          <w:footerReference r:id="rId11" w:type="first"/>
          <w:footerReference r:id="rId10" w:type="default"/>
          <w:pgSz w:w="11907" w:h="16839"/>
          <w:pgMar w:top="1440" w:right="1474" w:bottom="1440" w:left="1474" w:header="851" w:footer="992" w:gutter="0"/>
          <w:pgNumType w:fmt="decimal" w:start="1"/>
          <w:cols w:space="720" w:num="1"/>
          <w:titlePg/>
          <w:docGrid w:linePitch="312" w:charSpace="0"/>
        </w:sectPr>
      </w:pPr>
      <w:bookmarkStart w:id="2" w:name="_Toc19457948"/>
    </w:p>
    <w:p>
      <w:pPr>
        <w:pStyle w:val="27"/>
        <w:spacing w:line="360" w:lineRule="auto"/>
        <w:outlineLvl w:val="9"/>
        <w:rPr>
          <w:color w:val="auto"/>
        </w:rPr>
      </w:pPr>
      <w:r>
        <w:rPr>
          <w:rFonts w:hint="eastAsia"/>
          <w:color w:val="auto"/>
        </w:rPr>
        <w:t>第一章  磋商邀请</w:t>
      </w:r>
      <w:bookmarkEnd w:id="2"/>
    </w:p>
    <w:p>
      <w:pPr>
        <w:spacing w:line="360" w:lineRule="auto"/>
        <w:ind w:firstLine="480" w:firstLineChars="200"/>
        <w:jc w:val="left"/>
        <w:rPr>
          <w:rFonts w:ascii="宋体" w:hAnsi="宋体"/>
          <w:color w:val="auto"/>
          <w:sz w:val="24"/>
          <w:szCs w:val="28"/>
        </w:rPr>
      </w:pPr>
      <w:r>
        <w:rPr>
          <w:rFonts w:hint="eastAsia" w:ascii="宋体" w:hAnsi="宋体"/>
          <w:color w:val="auto"/>
          <w:sz w:val="24"/>
          <w:u w:val="single"/>
        </w:rPr>
        <w:t>四川玖久公信招标代理有限公司</w:t>
      </w:r>
      <w:r>
        <w:rPr>
          <w:rFonts w:hint="eastAsia" w:ascii="宋体" w:hAnsi="宋体"/>
          <w:color w:val="auto"/>
          <w:sz w:val="24"/>
        </w:rPr>
        <w:t>受</w:t>
      </w:r>
      <w:r>
        <w:rPr>
          <w:rFonts w:hint="eastAsia" w:ascii="宋体" w:hAnsi="宋体"/>
          <w:bCs/>
          <w:color w:val="auto"/>
          <w:sz w:val="24"/>
          <w:u w:val="single"/>
        </w:rPr>
        <w:t>绵阳高新市政建设有限责任公司</w:t>
      </w:r>
      <w:r>
        <w:rPr>
          <w:rFonts w:hint="eastAsia" w:ascii="宋体" w:hAnsi="宋体"/>
          <w:color w:val="auto"/>
          <w:sz w:val="24"/>
        </w:rPr>
        <w:t>委托，拟对</w:t>
      </w:r>
      <w:r>
        <w:rPr>
          <w:rFonts w:hint="eastAsia" w:ascii="宋体" w:hAnsi="宋体"/>
          <w:color w:val="auto"/>
          <w:sz w:val="24"/>
          <w:u w:val="single"/>
          <w:lang w:eastAsia="zh-CN"/>
        </w:rPr>
        <w:t>洗扫车、洒水车</w:t>
      </w:r>
      <w:r>
        <w:rPr>
          <w:rFonts w:hint="eastAsia" w:ascii="宋体" w:hAnsi="宋体"/>
          <w:color w:val="auto"/>
          <w:sz w:val="24"/>
          <w:szCs w:val="32"/>
        </w:rPr>
        <w:t>项目采用竞争性磋商方式</w:t>
      </w:r>
      <w:r>
        <w:rPr>
          <w:rFonts w:hint="eastAsia" w:ascii="宋体" w:hAnsi="宋体"/>
          <w:color w:val="auto"/>
          <w:sz w:val="24"/>
        </w:rPr>
        <w:t>进行采购，特</w:t>
      </w:r>
      <w:r>
        <w:rPr>
          <w:rFonts w:hint="eastAsia" w:ascii="宋体" w:hAnsi="宋体"/>
          <w:color w:val="auto"/>
          <w:sz w:val="24"/>
          <w:szCs w:val="28"/>
        </w:rPr>
        <w:t>邀请符合本次采购要求的供应商参加</w:t>
      </w:r>
      <w:r>
        <w:rPr>
          <w:rFonts w:hint="eastAsia" w:ascii="宋体" w:hAnsi="宋体"/>
          <w:color w:val="auto"/>
          <w:sz w:val="24"/>
        </w:rPr>
        <w:t>本项目的竞争性磋商</w:t>
      </w:r>
      <w:r>
        <w:rPr>
          <w:rFonts w:hint="eastAsia" w:ascii="宋体" w:hAnsi="宋体"/>
          <w:color w:val="auto"/>
          <w:sz w:val="24"/>
          <w:szCs w:val="28"/>
        </w:rPr>
        <w:t>。</w:t>
      </w:r>
    </w:p>
    <w:p>
      <w:pPr>
        <w:spacing w:line="360" w:lineRule="auto"/>
        <w:ind w:firstLine="482" w:firstLineChars="200"/>
        <w:rPr>
          <w:rFonts w:ascii="宋体" w:hAnsi="宋体"/>
          <w:b/>
          <w:color w:val="auto"/>
          <w:sz w:val="24"/>
        </w:rPr>
      </w:pPr>
      <w:r>
        <w:rPr>
          <w:rFonts w:hint="eastAsia" w:ascii="宋体" w:hAnsi="宋体"/>
          <w:b/>
          <w:color w:val="auto"/>
          <w:sz w:val="24"/>
        </w:rPr>
        <w:t>一、采购项目基本情况</w:t>
      </w:r>
    </w:p>
    <w:p>
      <w:pPr>
        <w:spacing w:line="360" w:lineRule="auto"/>
        <w:ind w:firstLine="480" w:firstLineChars="200"/>
        <w:rPr>
          <w:rFonts w:hint="eastAsia" w:ascii="宋体" w:hAnsi="宋体" w:eastAsia="宋体"/>
          <w:color w:val="auto"/>
          <w:sz w:val="24"/>
          <w:lang w:eastAsia="zh-CN"/>
        </w:rPr>
      </w:pPr>
      <w:r>
        <w:rPr>
          <w:rFonts w:hint="eastAsia" w:ascii="宋体" w:hAnsi="宋体"/>
          <w:color w:val="auto"/>
          <w:sz w:val="24"/>
        </w:rPr>
        <w:t>1.项目编号：</w:t>
      </w:r>
      <w:r>
        <w:rPr>
          <w:rFonts w:hint="eastAsia" w:ascii="宋体" w:hAnsi="宋体"/>
          <w:color w:val="auto"/>
          <w:sz w:val="24"/>
          <w:u w:val="single"/>
          <w:lang w:eastAsia="zh-CN"/>
        </w:rPr>
        <w:t>四川玖久公信绵高新市政磋（2022）1号</w:t>
      </w:r>
    </w:p>
    <w:p>
      <w:pPr>
        <w:spacing w:line="360" w:lineRule="auto"/>
        <w:ind w:firstLine="480" w:firstLineChars="200"/>
        <w:rPr>
          <w:rFonts w:hint="default" w:ascii="宋体" w:hAnsi="宋体" w:eastAsia="宋体"/>
          <w:color w:val="auto"/>
          <w:sz w:val="24"/>
          <w:lang w:val="en-US" w:eastAsia="zh-CN"/>
        </w:rPr>
      </w:pPr>
      <w:r>
        <w:rPr>
          <w:rFonts w:hint="eastAsia" w:ascii="宋体" w:hAnsi="宋体"/>
          <w:color w:val="auto"/>
          <w:sz w:val="24"/>
        </w:rPr>
        <w:t>2.项目名称：</w:t>
      </w:r>
      <w:r>
        <w:rPr>
          <w:rFonts w:hint="eastAsia" w:ascii="宋体" w:hAnsi="宋体"/>
          <w:color w:val="auto"/>
          <w:sz w:val="24"/>
          <w:u w:val="single"/>
          <w:lang w:val="en-US" w:eastAsia="zh-CN"/>
        </w:rPr>
        <w:t>采购</w:t>
      </w:r>
      <w:r>
        <w:rPr>
          <w:rFonts w:hint="eastAsia" w:ascii="宋体" w:hAnsi="宋体"/>
          <w:color w:val="auto"/>
          <w:sz w:val="24"/>
          <w:u w:val="single"/>
          <w:lang w:eastAsia="zh-CN"/>
        </w:rPr>
        <w:t>洗扫车、洒水车</w:t>
      </w:r>
      <w:r>
        <w:rPr>
          <w:rFonts w:hint="eastAsia" w:ascii="宋体" w:hAnsi="宋体"/>
          <w:color w:val="auto"/>
          <w:sz w:val="24"/>
          <w:u w:val="single"/>
          <w:lang w:val="en-US" w:eastAsia="zh-CN"/>
        </w:rPr>
        <w:t>一批</w:t>
      </w:r>
    </w:p>
    <w:p>
      <w:pPr>
        <w:spacing w:line="360" w:lineRule="auto"/>
        <w:ind w:firstLine="480" w:firstLineChars="200"/>
        <w:rPr>
          <w:rFonts w:ascii="宋体" w:hAnsi="宋体"/>
          <w:color w:val="auto"/>
          <w:sz w:val="24"/>
        </w:rPr>
      </w:pPr>
      <w:r>
        <w:rPr>
          <w:rFonts w:hint="eastAsia" w:ascii="宋体" w:hAnsi="宋体"/>
          <w:color w:val="auto"/>
          <w:sz w:val="24"/>
        </w:rPr>
        <w:t>3.采购单位：绵阳高新市政建设有限责任公司</w:t>
      </w:r>
    </w:p>
    <w:p>
      <w:pPr>
        <w:spacing w:line="360" w:lineRule="auto"/>
        <w:ind w:firstLine="480" w:firstLineChars="200"/>
        <w:rPr>
          <w:rFonts w:ascii="宋体" w:hAnsi="宋体"/>
          <w:color w:val="auto"/>
          <w:sz w:val="24"/>
        </w:rPr>
      </w:pPr>
      <w:r>
        <w:rPr>
          <w:rFonts w:hint="eastAsia" w:ascii="宋体" w:hAnsi="宋体"/>
          <w:color w:val="auto"/>
          <w:sz w:val="24"/>
        </w:rPr>
        <w:t>4.采购代理：四川玖久公信招标代理有限公司</w:t>
      </w:r>
    </w:p>
    <w:p>
      <w:pPr>
        <w:spacing w:line="360" w:lineRule="auto"/>
        <w:ind w:firstLine="482" w:firstLineChars="200"/>
        <w:rPr>
          <w:rFonts w:ascii="宋体" w:hAnsi="宋体"/>
          <w:b/>
          <w:color w:val="auto"/>
          <w:sz w:val="24"/>
        </w:rPr>
      </w:pPr>
      <w:r>
        <w:rPr>
          <w:rFonts w:hint="eastAsia" w:ascii="宋体" w:hAnsi="宋体"/>
          <w:b/>
          <w:color w:val="auto"/>
          <w:sz w:val="24"/>
        </w:rPr>
        <w:t>二、资金情况</w:t>
      </w:r>
    </w:p>
    <w:p>
      <w:pPr>
        <w:spacing w:line="360" w:lineRule="auto"/>
        <w:ind w:right="31" w:rightChars="15" w:firstLine="480" w:firstLineChars="200"/>
        <w:rPr>
          <w:rFonts w:ascii="宋体" w:hAnsi="宋体"/>
          <w:b/>
          <w:bCs/>
          <w:color w:val="auto"/>
          <w:sz w:val="24"/>
        </w:rPr>
      </w:pPr>
      <w:r>
        <w:rPr>
          <w:rFonts w:hint="eastAsia" w:ascii="宋体" w:hAnsi="宋体"/>
          <w:color w:val="auto"/>
          <w:sz w:val="24"/>
        </w:rPr>
        <w:t>资金来源：债券资金+财政资金</w:t>
      </w:r>
    </w:p>
    <w:p>
      <w:pPr>
        <w:spacing w:line="360" w:lineRule="auto"/>
        <w:ind w:firstLine="482" w:firstLineChars="200"/>
        <w:rPr>
          <w:rFonts w:ascii="宋体" w:hAnsi="宋体"/>
          <w:color w:val="auto"/>
          <w:sz w:val="24"/>
        </w:rPr>
      </w:pPr>
      <w:r>
        <w:rPr>
          <w:rFonts w:hint="eastAsia" w:ascii="宋体" w:hAnsi="宋体"/>
          <w:b/>
          <w:color w:val="auto"/>
          <w:sz w:val="24"/>
        </w:rPr>
        <w:t>三</w:t>
      </w:r>
      <w:r>
        <w:rPr>
          <w:rFonts w:hint="eastAsia" w:ascii="宋体" w:hAnsi="宋体"/>
          <w:b/>
          <w:bCs/>
          <w:color w:val="auto"/>
          <w:sz w:val="24"/>
        </w:rPr>
        <w:t>、</w:t>
      </w:r>
      <w:r>
        <w:rPr>
          <w:rFonts w:hint="eastAsia" w:ascii="宋体" w:hAnsi="宋体"/>
          <w:b/>
          <w:color w:val="auto"/>
          <w:sz w:val="24"/>
        </w:rPr>
        <w:t>采购项目简介</w:t>
      </w:r>
    </w:p>
    <w:p>
      <w:pPr>
        <w:spacing w:line="360" w:lineRule="auto"/>
        <w:ind w:firstLine="464" w:firstLineChars="200"/>
        <w:rPr>
          <w:rFonts w:ascii="宋体" w:hAnsi="宋体"/>
          <w:color w:val="auto"/>
          <w:spacing w:val="-4"/>
          <w:sz w:val="24"/>
        </w:rPr>
      </w:pPr>
      <w:r>
        <w:rPr>
          <w:rFonts w:hint="eastAsia" w:ascii="宋体" w:hAnsi="宋体"/>
          <w:color w:val="auto"/>
          <w:spacing w:val="-4"/>
          <w:sz w:val="24"/>
        </w:rPr>
        <w:t>绵阳高新市政建设有限责任公司采购“</w:t>
      </w:r>
      <w:r>
        <w:rPr>
          <w:rFonts w:hint="eastAsia" w:ascii="宋体" w:hAnsi="宋体"/>
          <w:color w:val="auto"/>
          <w:spacing w:val="-4"/>
          <w:sz w:val="24"/>
          <w:lang w:eastAsia="zh-CN"/>
        </w:rPr>
        <w:t>洗扫车、洒水车</w:t>
      </w:r>
      <w:r>
        <w:rPr>
          <w:rFonts w:hint="eastAsia" w:ascii="宋体" w:hAnsi="宋体"/>
          <w:color w:val="auto"/>
          <w:spacing w:val="-4"/>
          <w:sz w:val="24"/>
        </w:rPr>
        <w:t>”项目，整包预算控制价</w:t>
      </w:r>
      <w:r>
        <w:rPr>
          <w:rFonts w:hint="eastAsia" w:ascii="宋体" w:hAnsi="宋体"/>
          <w:color w:val="auto"/>
          <w:spacing w:val="-4"/>
          <w:sz w:val="24"/>
          <w:u w:val="none"/>
          <w:lang w:eastAsia="zh-CN"/>
        </w:rPr>
        <w:t>1874000.00元，</w:t>
      </w:r>
      <w:r>
        <w:rPr>
          <w:rFonts w:hint="eastAsia" w:ascii="宋体" w:hAnsi="宋体"/>
          <w:color w:val="auto"/>
          <w:spacing w:val="-4"/>
          <w:sz w:val="24"/>
          <w:u w:val="none"/>
          <w:lang w:val="en-US" w:eastAsia="zh-CN"/>
        </w:rPr>
        <w:t>大写：壹佰捌拾柒万肆仟元整</w:t>
      </w:r>
      <w:r>
        <w:rPr>
          <w:rFonts w:hint="eastAsia" w:ascii="宋体" w:hAnsi="宋体"/>
          <w:color w:val="auto"/>
          <w:spacing w:val="-4"/>
          <w:sz w:val="24"/>
        </w:rPr>
        <w:t>。（详见磋商文件第六章）</w:t>
      </w:r>
    </w:p>
    <w:p>
      <w:pPr>
        <w:spacing w:line="360" w:lineRule="auto"/>
        <w:ind w:firstLine="482" w:firstLineChars="200"/>
        <w:rPr>
          <w:rFonts w:ascii="宋体" w:hAnsi="宋体"/>
          <w:b/>
          <w:bCs/>
          <w:color w:val="auto"/>
          <w:sz w:val="24"/>
        </w:rPr>
      </w:pPr>
      <w:r>
        <w:rPr>
          <w:rFonts w:hint="eastAsia" w:ascii="宋体" w:hAnsi="宋体"/>
          <w:b/>
          <w:bCs/>
          <w:color w:val="auto"/>
          <w:sz w:val="24"/>
        </w:rPr>
        <w:t>四、供应商邀请方式</w:t>
      </w:r>
    </w:p>
    <w:p>
      <w:pPr>
        <w:spacing w:after="120" w:line="360" w:lineRule="auto"/>
        <w:ind w:firstLine="480" w:firstLineChars="200"/>
        <w:rPr>
          <w:rFonts w:ascii="宋体" w:hAnsi="宋体"/>
          <w:bCs/>
          <w:color w:val="auto"/>
          <w:sz w:val="24"/>
        </w:rPr>
      </w:pPr>
      <w:r>
        <w:rPr>
          <w:rFonts w:hint="eastAsia" w:ascii="宋体" w:hAnsi="宋体"/>
          <w:bCs/>
          <w:color w:val="auto"/>
          <w:sz w:val="24"/>
        </w:rPr>
        <w:t>公告方式：本次竞争性磋商邀请在中国政府采购网</w:t>
      </w:r>
      <w:r>
        <w:rPr>
          <w:rFonts w:hint="eastAsia" w:ascii="宋体" w:hAnsi="宋体"/>
          <w:color w:val="auto"/>
          <w:sz w:val="24"/>
        </w:rPr>
        <w:t>（www.ccgp.gov.cn）</w:t>
      </w:r>
      <w:r>
        <w:rPr>
          <w:rFonts w:hint="eastAsia" w:ascii="宋体" w:hAnsi="宋体"/>
          <w:bCs/>
          <w:color w:val="auto"/>
          <w:sz w:val="24"/>
        </w:rPr>
        <w:t>上以公告形式发布。</w:t>
      </w:r>
    </w:p>
    <w:p>
      <w:pPr>
        <w:spacing w:after="120" w:line="360" w:lineRule="auto"/>
        <w:ind w:firstLine="482" w:firstLineChars="200"/>
        <w:rPr>
          <w:rFonts w:ascii="宋体" w:hAnsi="宋体"/>
          <w:b/>
          <w:bCs/>
          <w:color w:val="auto"/>
          <w:sz w:val="24"/>
        </w:rPr>
      </w:pPr>
      <w:r>
        <w:rPr>
          <w:rFonts w:hint="eastAsia" w:ascii="宋体" w:hAnsi="宋体"/>
          <w:b/>
          <w:bCs/>
          <w:color w:val="auto"/>
          <w:sz w:val="24"/>
        </w:rPr>
        <w:t>五、供应商参加本次采购活动应具备下列条件（资格证明材料见第四章）</w:t>
      </w:r>
    </w:p>
    <w:p>
      <w:pPr>
        <w:pStyle w:val="79"/>
        <w:ind w:firstLine="600" w:firstLineChars="250"/>
        <w:rPr>
          <w:rFonts w:ascii="宋体" w:hAnsi="宋体"/>
          <w:color w:val="auto"/>
          <w:sz w:val="24"/>
        </w:rPr>
      </w:pPr>
      <w:r>
        <w:rPr>
          <w:rFonts w:hint="eastAsia" w:ascii="宋体" w:hAnsi="宋体"/>
          <w:color w:val="auto"/>
          <w:sz w:val="24"/>
        </w:rPr>
        <w:t>1.具有独立承担民事责任的能力。</w:t>
      </w:r>
    </w:p>
    <w:p>
      <w:pPr>
        <w:tabs>
          <w:tab w:val="left" w:pos="7665"/>
        </w:tabs>
        <w:spacing w:line="360" w:lineRule="auto"/>
        <w:ind w:firstLine="600" w:firstLineChars="250"/>
        <w:rPr>
          <w:rFonts w:ascii="宋体" w:hAnsi="宋体"/>
          <w:color w:val="auto"/>
          <w:sz w:val="24"/>
        </w:rPr>
      </w:pPr>
      <w:r>
        <w:rPr>
          <w:rFonts w:hint="eastAsia" w:ascii="宋体" w:hAnsi="宋体"/>
          <w:color w:val="auto"/>
          <w:sz w:val="24"/>
        </w:rPr>
        <w:t>2.具有良好的商业信誉和健全的财务会计制度。</w:t>
      </w:r>
    </w:p>
    <w:p>
      <w:pPr>
        <w:tabs>
          <w:tab w:val="left" w:pos="7665"/>
        </w:tabs>
        <w:spacing w:line="360" w:lineRule="auto"/>
        <w:ind w:firstLine="600" w:firstLineChars="250"/>
        <w:rPr>
          <w:rFonts w:ascii="宋体" w:hAnsi="宋体"/>
          <w:color w:val="auto"/>
          <w:sz w:val="24"/>
        </w:rPr>
      </w:pPr>
      <w:r>
        <w:rPr>
          <w:rFonts w:hint="eastAsia" w:ascii="宋体" w:hAnsi="宋体"/>
          <w:color w:val="auto"/>
          <w:sz w:val="24"/>
        </w:rPr>
        <w:t>3.具有履行合同所必须的设备和专业技术能力。</w:t>
      </w:r>
    </w:p>
    <w:p>
      <w:pPr>
        <w:tabs>
          <w:tab w:val="left" w:pos="7665"/>
        </w:tabs>
        <w:spacing w:line="360" w:lineRule="auto"/>
        <w:ind w:firstLine="600" w:firstLineChars="250"/>
        <w:rPr>
          <w:rFonts w:ascii="宋体" w:hAnsi="宋体"/>
          <w:color w:val="auto"/>
          <w:sz w:val="24"/>
        </w:rPr>
      </w:pPr>
      <w:r>
        <w:rPr>
          <w:rFonts w:hint="eastAsia" w:ascii="宋体" w:hAnsi="宋体"/>
          <w:color w:val="auto"/>
          <w:sz w:val="24"/>
        </w:rPr>
        <w:t>4.具有依法缴纳税收和社会保障资金的良好记录。</w:t>
      </w:r>
    </w:p>
    <w:p>
      <w:pPr>
        <w:tabs>
          <w:tab w:val="left" w:pos="7665"/>
        </w:tabs>
        <w:spacing w:line="360" w:lineRule="auto"/>
        <w:ind w:firstLine="600" w:firstLineChars="250"/>
        <w:rPr>
          <w:rFonts w:ascii="宋体" w:hAnsi="宋体"/>
          <w:color w:val="auto"/>
          <w:sz w:val="24"/>
        </w:rPr>
      </w:pPr>
      <w:r>
        <w:rPr>
          <w:rFonts w:hint="eastAsia" w:ascii="宋体" w:hAnsi="宋体"/>
          <w:color w:val="auto"/>
          <w:sz w:val="24"/>
        </w:rPr>
        <w:t>5.参加本次采购活动前三年内，在经营活动中没有重大违法记录。</w:t>
      </w:r>
    </w:p>
    <w:p>
      <w:pPr>
        <w:pStyle w:val="79"/>
        <w:ind w:firstLine="600" w:firstLineChars="250"/>
        <w:rPr>
          <w:rFonts w:ascii="宋体" w:hAnsi="宋体"/>
          <w:color w:val="auto"/>
          <w:sz w:val="24"/>
        </w:rPr>
      </w:pPr>
      <w:r>
        <w:rPr>
          <w:rFonts w:hint="eastAsia" w:ascii="宋体" w:hAnsi="宋体"/>
          <w:color w:val="auto"/>
          <w:sz w:val="24"/>
        </w:rPr>
        <w:t>6.法律、行政法规规定的其他条件。</w:t>
      </w:r>
    </w:p>
    <w:p>
      <w:pPr>
        <w:pStyle w:val="79"/>
        <w:ind w:firstLine="600" w:firstLineChars="250"/>
        <w:rPr>
          <w:rFonts w:ascii="宋体" w:hAnsi="宋体"/>
          <w:color w:val="auto"/>
          <w:sz w:val="24"/>
        </w:rPr>
      </w:pPr>
      <w:r>
        <w:rPr>
          <w:rFonts w:hint="eastAsia" w:ascii="宋体" w:hAnsi="宋体"/>
          <w:color w:val="auto"/>
          <w:sz w:val="24"/>
        </w:rPr>
        <w:t>7.本项目不接受联合体磋商。</w:t>
      </w:r>
    </w:p>
    <w:p>
      <w:pPr>
        <w:spacing w:line="360" w:lineRule="auto"/>
        <w:ind w:firstLine="482" w:firstLineChars="200"/>
        <w:rPr>
          <w:rFonts w:ascii="宋体" w:hAnsi="宋体"/>
          <w:b/>
          <w:color w:val="auto"/>
          <w:sz w:val="24"/>
        </w:rPr>
      </w:pPr>
      <w:r>
        <w:rPr>
          <w:rFonts w:hint="eastAsia" w:ascii="宋体" w:hAnsi="宋体"/>
          <w:b/>
          <w:color w:val="auto"/>
          <w:sz w:val="24"/>
        </w:rPr>
        <w:t>六、禁止参加本次采购活动的供应商</w:t>
      </w:r>
    </w:p>
    <w:p>
      <w:pPr>
        <w:spacing w:line="360" w:lineRule="auto"/>
        <w:ind w:firstLine="480" w:firstLineChars="200"/>
        <w:rPr>
          <w:rFonts w:ascii="宋体" w:hAnsi="宋体"/>
          <w:color w:val="auto"/>
          <w:sz w:val="24"/>
        </w:rPr>
      </w:pPr>
      <w:r>
        <w:rPr>
          <w:rFonts w:hint="eastAsia" w:ascii="宋体" w:hAnsi="宋体"/>
          <w:color w:val="auto"/>
          <w:sz w:val="24"/>
        </w:rPr>
        <w:t xml:space="preserve"> 1.绵阳高新市政建设有限责任公司/四川玖久公信招标代理有限公司将通过“信用中国”网站（www.creditchina.gov.cn）、“中国政府采购网”网站（www.ccgp.gov.cn）等渠道查询供应商在采购公告发布之日前的信用记录并保存信用记录结果网页截图，拒绝列入失信被执行人名单、重大税收违法案件当事人名单、采购严重违法失信行为记录名单中的供应商报名参加本项目的采购活动。</w:t>
      </w:r>
    </w:p>
    <w:p>
      <w:pPr>
        <w:spacing w:line="360" w:lineRule="auto"/>
        <w:ind w:firstLine="480" w:firstLineChars="200"/>
        <w:rPr>
          <w:rFonts w:ascii="宋体" w:hAnsi="宋体"/>
          <w:color w:val="auto"/>
          <w:sz w:val="24"/>
        </w:rPr>
      </w:pPr>
      <w:r>
        <w:rPr>
          <w:rFonts w:hint="eastAsia" w:ascii="宋体" w:hAnsi="宋体"/>
          <w:color w:val="auto"/>
          <w:sz w:val="24"/>
        </w:rPr>
        <w:t xml:space="preserve"> 2.为采购项目提供整体设计、规范编制或者项目管理、监理、检测等服务的供应商，不得参加本采购项目。供应商为采购单位、采购代理机构在确定采购需求、编制磋商文件过程中提供咨询论证，其提供的咨询论证意见成为磋商文件中规定的供应商资格条件、技术服务商务要求、评审因素和标准、采购合同等实质性内容条款的，视同为采购项目提供规范编制。</w:t>
      </w:r>
    </w:p>
    <w:p>
      <w:pPr>
        <w:spacing w:line="360" w:lineRule="auto"/>
        <w:ind w:firstLine="482" w:firstLineChars="200"/>
        <w:rPr>
          <w:rFonts w:ascii="宋体" w:hAnsi="宋体"/>
          <w:b/>
          <w:color w:val="auto"/>
          <w:sz w:val="24"/>
        </w:rPr>
      </w:pPr>
      <w:r>
        <w:rPr>
          <w:rFonts w:hint="eastAsia" w:ascii="宋体" w:hAnsi="宋体"/>
          <w:b/>
          <w:color w:val="auto"/>
          <w:sz w:val="24"/>
        </w:rPr>
        <w:t>七、磋商文件获取方式、时间、地点：</w:t>
      </w:r>
    </w:p>
    <w:p>
      <w:pPr>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rPr>
        <w:t>磋商文件自</w:t>
      </w:r>
      <w:r>
        <w:rPr>
          <w:rFonts w:hint="eastAsia" w:ascii="宋体" w:hAnsi="宋体"/>
          <w:color w:val="auto"/>
          <w:sz w:val="24"/>
          <w:highlight w:val="none"/>
          <w:u w:val="single"/>
          <w:lang w:eastAsia="zh-CN"/>
        </w:rPr>
        <w:t>2022年01月</w:t>
      </w:r>
      <w:r>
        <w:rPr>
          <w:rFonts w:hint="eastAsia" w:ascii="宋体" w:hAnsi="宋体"/>
          <w:color w:val="auto"/>
          <w:sz w:val="24"/>
          <w:highlight w:val="none"/>
          <w:u w:val="single"/>
          <w:lang w:val="en-US" w:eastAsia="zh-CN"/>
        </w:rPr>
        <w:t>25</w:t>
      </w:r>
      <w:r>
        <w:rPr>
          <w:rFonts w:hint="eastAsia" w:ascii="宋体" w:hAnsi="宋体"/>
          <w:color w:val="auto"/>
          <w:sz w:val="24"/>
          <w:highlight w:val="none"/>
          <w:u w:val="single"/>
        </w:rPr>
        <w:t>日至</w:t>
      </w:r>
      <w:r>
        <w:rPr>
          <w:rFonts w:hint="eastAsia" w:ascii="宋体" w:hAnsi="宋体"/>
          <w:color w:val="auto"/>
          <w:sz w:val="24"/>
          <w:highlight w:val="none"/>
          <w:u w:val="single"/>
          <w:lang w:eastAsia="zh-CN"/>
        </w:rPr>
        <w:t>2022年01月</w:t>
      </w:r>
      <w:r>
        <w:rPr>
          <w:rFonts w:hint="eastAsia" w:ascii="宋体" w:hAnsi="宋体"/>
          <w:color w:val="auto"/>
          <w:sz w:val="24"/>
          <w:highlight w:val="none"/>
          <w:u w:val="single"/>
          <w:lang w:val="en-US" w:eastAsia="zh-CN"/>
        </w:rPr>
        <w:t>29</w:t>
      </w:r>
      <w:r>
        <w:rPr>
          <w:rFonts w:hint="eastAsia" w:ascii="宋体" w:hAnsi="宋体"/>
          <w:color w:val="auto"/>
          <w:sz w:val="24"/>
          <w:highlight w:val="none"/>
          <w:u w:val="single"/>
        </w:rPr>
        <w:t>日09</w:t>
      </w:r>
      <w:r>
        <w:rPr>
          <w:rFonts w:ascii="宋体" w:hAnsi="宋体"/>
          <w:color w:val="auto"/>
          <w:sz w:val="24"/>
          <w:highlight w:val="none"/>
          <w:u w:val="single"/>
        </w:rPr>
        <w:t>:</w:t>
      </w:r>
      <w:r>
        <w:rPr>
          <w:rFonts w:hint="eastAsia" w:ascii="宋体" w:hAnsi="宋体"/>
          <w:color w:val="auto"/>
          <w:sz w:val="24"/>
          <w:highlight w:val="none"/>
          <w:u w:val="single"/>
        </w:rPr>
        <w:t>00—17</w:t>
      </w:r>
      <w:r>
        <w:rPr>
          <w:rFonts w:ascii="宋体" w:hAnsi="宋体"/>
          <w:color w:val="auto"/>
          <w:sz w:val="24"/>
          <w:highlight w:val="none"/>
          <w:u w:val="single"/>
        </w:rPr>
        <w:t>:</w:t>
      </w:r>
      <w:r>
        <w:rPr>
          <w:rFonts w:hint="eastAsia" w:ascii="宋体" w:hAnsi="宋体"/>
          <w:color w:val="auto"/>
          <w:sz w:val="24"/>
          <w:highlight w:val="none"/>
          <w:u w:val="single"/>
        </w:rPr>
        <w:t>00</w:t>
      </w:r>
      <w:r>
        <w:rPr>
          <w:rFonts w:ascii="宋体" w:hAnsi="宋体"/>
          <w:color w:val="auto"/>
          <w:sz w:val="24"/>
          <w:szCs w:val="28"/>
          <w:highlight w:val="none"/>
        </w:rPr>
        <w:t>（北京时间</w:t>
      </w:r>
      <w:r>
        <w:rPr>
          <w:rFonts w:hint="eastAsia" w:ascii="宋体" w:hAnsi="宋体"/>
          <w:color w:val="auto"/>
          <w:sz w:val="24"/>
          <w:szCs w:val="28"/>
          <w:highlight w:val="none"/>
        </w:rPr>
        <w:t>，法定节假日除外</w:t>
      </w:r>
      <w:r>
        <w:rPr>
          <w:rFonts w:ascii="宋体" w:hAnsi="宋体"/>
          <w:color w:val="auto"/>
          <w:sz w:val="24"/>
          <w:szCs w:val="28"/>
          <w:highlight w:val="none"/>
        </w:rPr>
        <w:t>）</w:t>
      </w:r>
      <w:r>
        <w:rPr>
          <w:rFonts w:hint="eastAsia" w:ascii="宋体" w:hAnsi="宋体"/>
          <w:b/>
          <w:bCs/>
          <w:color w:val="auto"/>
          <w:sz w:val="24"/>
          <w:szCs w:val="28"/>
          <w:highlight w:val="none"/>
          <w:u w:val="single"/>
        </w:rPr>
        <w:t>四川玖久公信招标代理有限公司财务室</w:t>
      </w:r>
      <w:r>
        <w:rPr>
          <w:rFonts w:hint="eastAsia" w:ascii="宋体" w:hAnsi="宋体"/>
          <w:b/>
          <w:bCs/>
          <w:color w:val="auto"/>
          <w:sz w:val="24"/>
          <w:highlight w:val="none"/>
          <w:u w:val="single"/>
        </w:rPr>
        <w:t>（绵阳市科创园区剑南路西段388号长兴星城5幢2楼1号商铺）</w:t>
      </w:r>
      <w:r>
        <w:rPr>
          <w:rFonts w:hint="eastAsia" w:ascii="宋体" w:hAnsi="宋体"/>
          <w:b w:val="0"/>
          <w:bCs w:val="0"/>
          <w:color w:val="auto"/>
          <w:sz w:val="24"/>
          <w:highlight w:val="none"/>
          <w:u w:val="none"/>
          <w:lang w:val="en-US" w:eastAsia="zh-CN"/>
        </w:rPr>
        <w:t>现场</w:t>
      </w:r>
      <w:r>
        <w:rPr>
          <w:rFonts w:hint="eastAsia" w:ascii="宋体" w:hAnsi="宋体"/>
          <w:b w:val="0"/>
          <w:bCs w:val="0"/>
          <w:color w:val="auto"/>
          <w:sz w:val="24"/>
          <w:highlight w:val="none"/>
          <w:u w:val="none"/>
        </w:rPr>
        <w:t>获取</w:t>
      </w:r>
      <w:r>
        <w:rPr>
          <w:rFonts w:hint="eastAsia" w:ascii="宋体" w:hAnsi="宋体"/>
          <w:color w:val="auto"/>
          <w:sz w:val="24"/>
          <w:highlight w:val="none"/>
        </w:rPr>
        <w:t>。</w:t>
      </w:r>
    </w:p>
    <w:p>
      <w:pPr>
        <w:spacing w:line="360" w:lineRule="auto"/>
        <w:ind w:firstLine="480" w:firstLineChars="200"/>
        <w:rPr>
          <w:rFonts w:ascii="宋体" w:hAnsi="宋体"/>
          <w:color w:val="auto"/>
          <w:sz w:val="24"/>
          <w:highlight w:val="none"/>
        </w:rPr>
      </w:pPr>
      <w:r>
        <w:rPr>
          <w:rFonts w:hint="eastAsia" w:ascii="宋体" w:hAnsi="宋体"/>
          <w:color w:val="auto"/>
          <w:sz w:val="24"/>
          <w:szCs w:val="18"/>
          <w:highlight w:val="none"/>
        </w:rPr>
        <w:t>本项目磋商文件有偿获取，磋商文件售价：人民币</w:t>
      </w:r>
      <w:r>
        <w:rPr>
          <w:rFonts w:hint="eastAsia" w:ascii="宋体" w:hAnsi="宋体"/>
          <w:color w:val="auto"/>
          <w:sz w:val="24"/>
          <w:szCs w:val="18"/>
          <w:highlight w:val="none"/>
          <w:u w:val="single"/>
        </w:rPr>
        <w:t>300元/份</w:t>
      </w:r>
      <w:r>
        <w:rPr>
          <w:rFonts w:hint="eastAsia" w:ascii="宋体" w:hAnsi="宋体"/>
          <w:color w:val="auto"/>
          <w:sz w:val="24"/>
          <w:highlight w:val="none"/>
        </w:rPr>
        <w:t>（磋商文件售后不退</w:t>
      </w:r>
      <w:r>
        <w:rPr>
          <w:rFonts w:ascii="宋体" w:hAnsi="宋体"/>
          <w:color w:val="auto"/>
          <w:sz w:val="24"/>
          <w:highlight w:val="none"/>
        </w:rPr>
        <w:t>,</w:t>
      </w:r>
      <w:r>
        <w:rPr>
          <w:rFonts w:hint="eastAsia" w:ascii="宋体" w:hAnsi="宋体"/>
          <w:color w:val="auto"/>
          <w:sz w:val="24"/>
          <w:highlight w:val="none"/>
        </w:rPr>
        <w:t xml:space="preserve"> 磋商资格不能转让）。</w:t>
      </w:r>
    </w:p>
    <w:p>
      <w:pPr>
        <w:spacing w:line="360" w:lineRule="auto"/>
        <w:ind w:firstLine="480" w:firstLineChars="200"/>
        <w:rPr>
          <w:rFonts w:ascii="宋体" w:hAnsi="宋体"/>
          <w:b/>
          <w:color w:val="auto"/>
          <w:sz w:val="24"/>
          <w:highlight w:val="none"/>
        </w:rPr>
      </w:pPr>
      <w:r>
        <w:rPr>
          <w:rFonts w:hint="eastAsia" w:ascii="宋体" w:hAnsi="宋体"/>
          <w:color w:val="auto"/>
          <w:sz w:val="24"/>
          <w:highlight w:val="none"/>
        </w:rPr>
        <w:t>获取磋商文件时，经办人员应现场提交以下资料：</w:t>
      </w:r>
      <w:r>
        <w:rPr>
          <w:rFonts w:hint="eastAsia" w:ascii="宋体" w:hAnsi="宋体"/>
          <w:b/>
          <w:color w:val="auto"/>
          <w:sz w:val="24"/>
          <w:highlight w:val="none"/>
        </w:rPr>
        <w:t>单位介绍信、经办人身份证复印件（均加盖鲜章）。本项目不接受其他方式递交的报名资料。</w:t>
      </w:r>
    </w:p>
    <w:p>
      <w:pPr>
        <w:spacing w:after="120" w:line="360" w:lineRule="auto"/>
        <w:ind w:firstLine="482" w:firstLineChars="200"/>
        <w:rPr>
          <w:rFonts w:ascii="宋体" w:hAnsi="宋体"/>
          <w:color w:val="auto"/>
          <w:sz w:val="24"/>
          <w:szCs w:val="28"/>
          <w:highlight w:val="none"/>
        </w:rPr>
      </w:pPr>
      <w:r>
        <w:rPr>
          <w:rFonts w:hint="eastAsia" w:ascii="宋体" w:hAnsi="宋体"/>
          <w:b/>
          <w:color w:val="auto"/>
          <w:sz w:val="24"/>
          <w:szCs w:val="28"/>
          <w:highlight w:val="none"/>
        </w:rPr>
        <w:t>八、递交响应文件</w:t>
      </w:r>
      <w:r>
        <w:rPr>
          <w:rFonts w:hint="eastAsia" w:ascii="宋体" w:hAnsi="宋体"/>
          <w:b/>
          <w:color w:val="auto"/>
          <w:sz w:val="24"/>
          <w:highlight w:val="none"/>
        </w:rPr>
        <w:t>截止时间（同磋商开始时间）：</w:t>
      </w:r>
      <w:r>
        <w:rPr>
          <w:rFonts w:hint="eastAsia" w:ascii="宋体" w:hAnsi="宋体"/>
          <w:bCs/>
          <w:color w:val="auto"/>
          <w:sz w:val="24"/>
          <w:highlight w:val="none"/>
          <w:u w:val="single"/>
          <w:lang w:eastAsia="zh-CN"/>
        </w:rPr>
        <w:t>2022年0</w:t>
      </w:r>
      <w:r>
        <w:rPr>
          <w:rFonts w:hint="eastAsia" w:ascii="宋体" w:hAnsi="宋体"/>
          <w:bCs/>
          <w:color w:val="auto"/>
          <w:sz w:val="24"/>
          <w:highlight w:val="none"/>
          <w:u w:val="single"/>
          <w:lang w:val="en-US" w:eastAsia="zh-CN"/>
        </w:rPr>
        <w:t>2</w:t>
      </w:r>
      <w:r>
        <w:rPr>
          <w:rFonts w:hint="eastAsia" w:ascii="宋体" w:hAnsi="宋体"/>
          <w:bCs/>
          <w:color w:val="auto"/>
          <w:sz w:val="24"/>
          <w:highlight w:val="none"/>
          <w:u w:val="single"/>
          <w:lang w:eastAsia="zh-CN"/>
        </w:rPr>
        <w:t>月</w:t>
      </w:r>
      <w:r>
        <w:rPr>
          <w:rFonts w:hint="eastAsia" w:ascii="宋体" w:hAnsi="宋体"/>
          <w:bCs/>
          <w:color w:val="auto"/>
          <w:sz w:val="24"/>
          <w:highlight w:val="none"/>
          <w:u w:val="single"/>
          <w:lang w:val="en-US" w:eastAsia="zh-CN"/>
        </w:rPr>
        <w:t>08</w:t>
      </w:r>
      <w:r>
        <w:rPr>
          <w:rFonts w:hint="eastAsia" w:ascii="宋体" w:hAnsi="宋体"/>
          <w:bCs/>
          <w:color w:val="auto"/>
          <w:sz w:val="24"/>
          <w:highlight w:val="none"/>
          <w:u w:val="single"/>
        </w:rPr>
        <w:t>日1</w:t>
      </w:r>
      <w:r>
        <w:rPr>
          <w:rFonts w:hint="eastAsia" w:ascii="宋体" w:hAnsi="宋体"/>
          <w:bCs/>
          <w:color w:val="auto"/>
          <w:sz w:val="24"/>
          <w:highlight w:val="none"/>
          <w:u w:val="single"/>
          <w:lang w:val="en-US" w:eastAsia="zh-CN"/>
        </w:rPr>
        <w:t>4</w:t>
      </w:r>
      <w:r>
        <w:rPr>
          <w:rFonts w:ascii="宋体" w:hAnsi="宋体"/>
          <w:bCs/>
          <w:color w:val="auto"/>
          <w:sz w:val="24"/>
          <w:highlight w:val="none"/>
          <w:u w:val="single"/>
        </w:rPr>
        <w:t>:</w:t>
      </w:r>
      <w:r>
        <w:rPr>
          <w:rFonts w:hint="eastAsia" w:ascii="宋体" w:hAnsi="宋体"/>
          <w:bCs/>
          <w:color w:val="auto"/>
          <w:sz w:val="24"/>
          <w:highlight w:val="none"/>
          <w:u w:val="single"/>
          <w:lang w:val="en-US" w:eastAsia="zh-CN"/>
        </w:rPr>
        <w:t>0</w:t>
      </w:r>
      <w:r>
        <w:rPr>
          <w:rFonts w:hint="eastAsia" w:ascii="宋体" w:hAnsi="宋体"/>
          <w:bCs/>
          <w:color w:val="auto"/>
          <w:sz w:val="24"/>
          <w:highlight w:val="none"/>
          <w:u w:val="single"/>
        </w:rPr>
        <w:t>0时</w:t>
      </w:r>
      <w:r>
        <w:rPr>
          <w:rFonts w:ascii="宋体" w:hAnsi="宋体"/>
          <w:color w:val="auto"/>
          <w:sz w:val="24"/>
          <w:szCs w:val="28"/>
          <w:highlight w:val="none"/>
        </w:rPr>
        <w:t>（北京时间）</w:t>
      </w:r>
      <w:r>
        <w:rPr>
          <w:rFonts w:hint="eastAsia" w:ascii="宋体" w:hAnsi="宋体"/>
          <w:color w:val="auto"/>
          <w:sz w:val="24"/>
          <w:szCs w:val="28"/>
          <w:highlight w:val="none"/>
        </w:rPr>
        <w:t>。</w:t>
      </w:r>
    </w:p>
    <w:p>
      <w:pPr>
        <w:spacing w:line="360" w:lineRule="auto"/>
        <w:ind w:firstLine="489" w:firstLineChars="203"/>
        <w:rPr>
          <w:rFonts w:ascii="宋体" w:hAnsi="宋体"/>
          <w:color w:val="auto"/>
          <w:sz w:val="24"/>
          <w:szCs w:val="28"/>
          <w:highlight w:val="none"/>
        </w:rPr>
      </w:pPr>
      <w:r>
        <w:rPr>
          <w:rFonts w:hint="eastAsia" w:ascii="宋体" w:hAnsi="宋体"/>
          <w:b/>
          <w:color w:val="auto"/>
          <w:sz w:val="24"/>
          <w:szCs w:val="28"/>
          <w:highlight w:val="none"/>
        </w:rPr>
        <w:t>九</w:t>
      </w:r>
      <w:r>
        <w:rPr>
          <w:rFonts w:hint="eastAsia" w:ascii="宋体" w:hAnsi="宋体"/>
          <w:b/>
          <w:color w:val="auto"/>
          <w:sz w:val="24"/>
          <w:highlight w:val="none"/>
        </w:rPr>
        <w:t>、递交响应文件地点：</w:t>
      </w:r>
      <w:r>
        <w:rPr>
          <w:rFonts w:hint="eastAsia" w:ascii="宋体" w:hAnsi="宋体"/>
          <w:color w:val="auto"/>
          <w:sz w:val="24"/>
          <w:szCs w:val="28"/>
          <w:highlight w:val="none"/>
          <w:u w:val="single"/>
        </w:rPr>
        <w:t>四川玖久公信招标代理有限公司开标室（一）（</w:t>
      </w:r>
      <w:r>
        <w:rPr>
          <w:rFonts w:hint="eastAsia" w:ascii="宋体" w:hAnsi="宋体"/>
          <w:color w:val="auto"/>
          <w:sz w:val="24"/>
          <w:highlight w:val="none"/>
          <w:u w:val="single"/>
        </w:rPr>
        <w:t>绵阳市科创园区剑南路西段388号长兴星城5幢2楼1号商铺）</w:t>
      </w:r>
      <w:r>
        <w:rPr>
          <w:rFonts w:hint="eastAsia" w:ascii="宋体" w:hAnsi="宋体"/>
          <w:color w:val="auto"/>
          <w:sz w:val="24"/>
          <w:highlight w:val="none"/>
        </w:rPr>
        <w:t>。</w:t>
      </w:r>
    </w:p>
    <w:p>
      <w:pPr>
        <w:spacing w:after="120" w:line="360" w:lineRule="auto"/>
        <w:ind w:firstLine="480" w:firstLineChars="200"/>
        <w:rPr>
          <w:rFonts w:ascii="宋体" w:hAnsi="宋体"/>
          <w:color w:val="auto"/>
          <w:sz w:val="24"/>
          <w:szCs w:val="28"/>
          <w:highlight w:val="none"/>
        </w:rPr>
      </w:pPr>
      <w:r>
        <w:rPr>
          <w:rFonts w:hint="eastAsia" w:ascii="宋体" w:hAnsi="宋体"/>
          <w:color w:val="auto"/>
          <w:sz w:val="24"/>
          <w:highlight w:val="none"/>
        </w:rPr>
        <w:t>响应文件必须在递交响应文件截止时间前送达磋商地点。逾期送达、密封和标注错误的响应文件恕不接收。本次采购不接收邮寄的响应文件。</w:t>
      </w:r>
    </w:p>
    <w:p>
      <w:pPr>
        <w:spacing w:after="120" w:line="360" w:lineRule="auto"/>
        <w:ind w:firstLine="482" w:firstLineChars="200"/>
        <w:rPr>
          <w:rFonts w:ascii="宋体" w:hAnsi="宋体"/>
          <w:color w:val="auto"/>
          <w:sz w:val="24"/>
          <w:szCs w:val="28"/>
        </w:rPr>
      </w:pPr>
      <w:r>
        <w:rPr>
          <w:rFonts w:hint="eastAsia" w:ascii="宋体" w:hAnsi="宋体"/>
          <w:b/>
          <w:color w:val="auto"/>
          <w:sz w:val="24"/>
          <w:szCs w:val="28"/>
          <w:highlight w:val="none"/>
        </w:rPr>
        <w:t>十、响应文件开启时间（同磋商开始时间）：</w:t>
      </w:r>
      <w:r>
        <w:rPr>
          <w:rFonts w:hint="eastAsia" w:ascii="宋体" w:hAnsi="宋体"/>
          <w:bCs/>
          <w:color w:val="auto"/>
          <w:sz w:val="24"/>
          <w:highlight w:val="none"/>
          <w:u w:val="single"/>
          <w:lang w:eastAsia="zh-CN"/>
        </w:rPr>
        <w:t>2022年0</w:t>
      </w:r>
      <w:r>
        <w:rPr>
          <w:rFonts w:hint="eastAsia" w:ascii="宋体" w:hAnsi="宋体"/>
          <w:bCs/>
          <w:color w:val="auto"/>
          <w:sz w:val="24"/>
          <w:highlight w:val="none"/>
          <w:u w:val="single"/>
          <w:lang w:val="en-US" w:eastAsia="zh-CN"/>
        </w:rPr>
        <w:t>2</w:t>
      </w:r>
      <w:r>
        <w:rPr>
          <w:rFonts w:hint="eastAsia" w:ascii="宋体" w:hAnsi="宋体"/>
          <w:bCs/>
          <w:color w:val="auto"/>
          <w:sz w:val="24"/>
          <w:highlight w:val="none"/>
          <w:u w:val="single"/>
          <w:lang w:eastAsia="zh-CN"/>
        </w:rPr>
        <w:t>月</w:t>
      </w:r>
      <w:r>
        <w:rPr>
          <w:rFonts w:hint="eastAsia" w:ascii="宋体" w:hAnsi="宋体"/>
          <w:bCs/>
          <w:color w:val="auto"/>
          <w:sz w:val="24"/>
          <w:highlight w:val="none"/>
          <w:u w:val="single"/>
          <w:lang w:val="en-US" w:eastAsia="zh-CN"/>
        </w:rPr>
        <w:t>08</w:t>
      </w:r>
      <w:r>
        <w:rPr>
          <w:rFonts w:hint="eastAsia" w:ascii="宋体" w:hAnsi="宋体"/>
          <w:bCs/>
          <w:color w:val="auto"/>
          <w:sz w:val="24"/>
          <w:highlight w:val="none"/>
          <w:u w:val="single"/>
        </w:rPr>
        <w:t>日1</w:t>
      </w:r>
      <w:r>
        <w:rPr>
          <w:rFonts w:hint="eastAsia" w:ascii="宋体" w:hAnsi="宋体"/>
          <w:bCs/>
          <w:color w:val="auto"/>
          <w:sz w:val="24"/>
          <w:highlight w:val="none"/>
          <w:u w:val="single"/>
          <w:lang w:val="en-US" w:eastAsia="zh-CN"/>
        </w:rPr>
        <w:t>4</w:t>
      </w:r>
      <w:r>
        <w:rPr>
          <w:rFonts w:ascii="宋体" w:hAnsi="宋体"/>
          <w:bCs/>
          <w:color w:val="auto"/>
          <w:sz w:val="24"/>
          <w:highlight w:val="none"/>
          <w:u w:val="single"/>
        </w:rPr>
        <w:t>:</w:t>
      </w:r>
      <w:r>
        <w:rPr>
          <w:rFonts w:hint="eastAsia" w:ascii="宋体" w:hAnsi="宋体"/>
          <w:bCs/>
          <w:color w:val="auto"/>
          <w:sz w:val="24"/>
          <w:highlight w:val="none"/>
          <w:u w:val="single"/>
          <w:lang w:val="en-US" w:eastAsia="zh-CN"/>
        </w:rPr>
        <w:t>0</w:t>
      </w:r>
      <w:r>
        <w:rPr>
          <w:rFonts w:hint="eastAsia" w:ascii="宋体" w:hAnsi="宋体"/>
          <w:bCs/>
          <w:color w:val="auto"/>
          <w:sz w:val="24"/>
          <w:highlight w:val="none"/>
          <w:u w:val="single"/>
        </w:rPr>
        <w:t>0时</w:t>
      </w:r>
      <w:r>
        <w:rPr>
          <w:rFonts w:ascii="宋体" w:hAnsi="宋体"/>
          <w:color w:val="auto"/>
          <w:sz w:val="24"/>
          <w:szCs w:val="28"/>
          <w:highlight w:val="none"/>
        </w:rPr>
        <w:t>（北</w:t>
      </w:r>
      <w:r>
        <w:rPr>
          <w:rFonts w:ascii="宋体" w:hAnsi="宋体"/>
          <w:color w:val="auto"/>
          <w:sz w:val="24"/>
          <w:szCs w:val="28"/>
        </w:rPr>
        <w:t>京时间）</w:t>
      </w:r>
      <w:r>
        <w:rPr>
          <w:rFonts w:hint="eastAsia" w:ascii="宋体" w:hAnsi="宋体"/>
          <w:color w:val="auto"/>
          <w:sz w:val="24"/>
          <w:szCs w:val="28"/>
        </w:rPr>
        <w:t>在磋商地点开启。</w:t>
      </w:r>
    </w:p>
    <w:p>
      <w:pPr>
        <w:spacing w:line="360" w:lineRule="auto"/>
        <w:ind w:firstLine="489" w:firstLineChars="203"/>
        <w:rPr>
          <w:rFonts w:ascii="宋体" w:hAnsi="宋体"/>
          <w:color w:val="auto"/>
          <w:sz w:val="24"/>
          <w:szCs w:val="28"/>
        </w:rPr>
      </w:pPr>
      <w:r>
        <w:rPr>
          <w:rFonts w:hint="eastAsia" w:ascii="宋体" w:hAnsi="宋体"/>
          <w:b/>
          <w:color w:val="auto"/>
          <w:sz w:val="24"/>
          <w:szCs w:val="28"/>
        </w:rPr>
        <w:t>十一、磋商</w:t>
      </w:r>
      <w:r>
        <w:rPr>
          <w:rFonts w:ascii="宋体" w:hAnsi="宋体"/>
          <w:b/>
          <w:color w:val="auto"/>
          <w:sz w:val="24"/>
          <w:szCs w:val="28"/>
        </w:rPr>
        <w:t>地点：</w:t>
      </w:r>
      <w:r>
        <w:rPr>
          <w:rFonts w:hint="eastAsia" w:ascii="宋体" w:hAnsi="宋体"/>
          <w:color w:val="auto"/>
          <w:sz w:val="24"/>
          <w:szCs w:val="28"/>
          <w:u w:val="single"/>
        </w:rPr>
        <w:t>四川玖久公信招标代理有限公司（</w:t>
      </w:r>
      <w:r>
        <w:rPr>
          <w:rFonts w:hint="eastAsia" w:ascii="宋体" w:hAnsi="宋体"/>
          <w:color w:val="auto"/>
          <w:sz w:val="24"/>
          <w:u w:val="single"/>
        </w:rPr>
        <w:t>绵阳市科创园区剑南路西段388号长兴星城5幢2楼1号商铺）</w:t>
      </w:r>
      <w:r>
        <w:rPr>
          <w:rFonts w:hint="eastAsia" w:ascii="宋体" w:hAnsi="宋体"/>
          <w:color w:val="auto"/>
          <w:sz w:val="24"/>
        </w:rPr>
        <w:t>。</w:t>
      </w:r>
    </w:p>
    <w:p>
      <w:pPr>
        <w:pStyle w:val="79"/>
        <w:ind w:firstLine="482"/>
        <w:rPr>
          <w:rFonts w:ascii="宋体" w:hAnsi="宋体"/>
          <w:b/>
          <w:color w:val="auto"/>
          <w:sz w:val="24"/>
        </w:rPr>
      </w:pPr>
      <w:r>
        <w:rPr>
          <w:rFonts w:hint="eastAsia" w:ascii="宋体" w:hAnsi="宋体"/>
          <w:b/>
          <w:color w:val="auto"/>
          <w:sz w:val="24"/>
        </w:rPr>
        <w:t>十二、联系方式</w:t>
      </w:r>
    </w:p>
    <w:p>
      <w:pPr>
        <w:pStyle w:val="79"/>
        <w:ind w:firstLine="424" w:firstLineChars="176"/>
        <w:rPr>
          <w:rFonts w:ascii="宋体" w:hAnsi="宋体"/>
          <w:b/>
          <w:bCs/>
          <w:color w:val="auto"/>
          <w:sz w:val="24"/>
        </w:rPr>
      </w:pPr>
      <w:r>
        <w:rPr>
          <w:rFonts w:hint="eastAsia" w:ascii="宋体" w:hAnsi="宋体"/>
          <w:b/>
          <w:color w:val="auto"/>
          <w:sz w:val="24"/>
        </w:rPr>
        <w:t>采购单位：绵阳高新市政建设有限责任公司</w:t>
      </w:r>
    </w:p>
    <w:p>
      <w:pPr>
        <w:spacing w:line="360" w:lineRule="auto"/>
        <w:ind w:firstLine="470" w:firstLineChars="196"/>
        <w:rPr>
          <w:rFonts w:ascii="宋体" w:hAnsi="宋体"/>
          <w:color w:val="auto"/>
          <w:sz w:val="24"/>
        </w:rPr>
      </w:pPr>
      <w:r>
        <w:rPr>
          <w:rFonts w:hint="eastAsia" w:ascii="宋体" w:hAnsi="宋体"/>
          <w:color w:val="auto"/>
          <w:sz w:val="24"/>
        </w:rPr>
        <w:t>联系人：</w:t>
      </w:r>
      <w:r>
        <w:rPr>
          <w:rFonts w:hint="eastAsia" w:ascii="宋体" w:hAnsi="宋体"/>
          <w:color w:val="auto"/>
          <w:sz w:val="24"/>
          <w:lang w:eastAsia="zh-CN"/>
        </w:rPr>
        <w:t>周鹏</w:t>
      </w:r>
      <w:r>
        <w:rPr>
          <w:rFonts w:hint="eastAsia" w:ascii="宋体" w:hAnsi="宋体"/>
          <w:color w:val="auto"/>
          <w:sz w:val="24"/>
        </w:rPr>
        <w:t xml:space="preserve"> </w:t>
      </w:r>
    </w:p>
    <w:p>
      <w:pPr>
        <w:spacing w:line="360" w:lineRule="auto"/>
        <w:ind w:firstLine="470" w:firstLineChars="196"/>
        <w:rPr>
          <w:rFonts w:hint="default" w:ascii="宋体" w:hAnsi="宋体" w:eastAsia="宋体"/>
          <w:color w:val="auto"/>
          <w:sz w:val="24"/>
          <w:lang w:val="en-US" w:eastAsia="zh-CN"/>
        </w:rPr>
      </w:pPr>
      <w:r>
        <w:rPr>
          <w:rFonts w:hint="eastAsia" w:ascii="宋体" w:hAnsi="宋体"/>
          <w:color w:val="auto"/>
          <w:sz w:val="24"/>
        </w:rPr>
        <w:t>联系电话：</w:t>
      </w:r>
      <w:r>
        <w:rPr>
          <w:rFonts w:hint="eastAsia" w:ascii="宋体" w:hAnsi="宋体"/>
          <w:color w:val="auto"/>
          <w:sz w:val="24"/>
          <w:lang w:val="en-US" w:eastAsia="zh-CN"/>
        </w:rPr>
        <w:t>0816-2543288</w:t>
      </w:r>
    </w:p>
    <w:p>
      <w:pPr>
        <w:pStyle w:val="79"/>
        <w:ind w:firstLine="422" w:firstLineChars="176"/>
        <w:rPr>
          <w:rFonts w:ascii="宋体" w:hAnsi="宋体"/>
          <w:color w:val="auto"/>
          <w:sz w:val="24"/>
        </w:rPr>
      </w:pPr>
      <w:r>
        <w:rPr>
          <w:rFonts w:hint="eastAsia" w:ascii="宋体" w:hAnsi="宋体"/>
          <w:color w:val="auto"/>
          <w:sz w:val="24"/>
          <w:lang w:val="zh-CN"/>
        </w:rPr>
        <w:t>地址：</w:t>
      </w:r>
      <w:r>
        <w:rPr>
          <w:rFonts w:ascii="宋体" w:hAnsi="宋体"/>
          <w:color w:val="auto"/>
          <w:sz w:val="24"/>
        </w:rPr>
        <w:t>绵阳市</w:t>
      </w:r>
      <w:r>
        <w:rPr>
          <w:rFonts w:hint="eastAsia" w:ascii="宋体" w:hAnsi="宋体"/>
          <w:color w:val="auto"/>
          <w:sz w:val="24"/>
        </w:rPr>
        <w:t>普明北路西段25号</w:t>
      </w:r>
    </w:p>
    <w:p>
      <w:pPr>
        <w:pStyle w:val="79"/>
        <w:ind w:firstLine="424" w:firstLineChars="176"/>
        <w:rPr>
          <w:rFonts w:ascii="宋体" w:hAnsi="宋体"/>
          <w:b/>
          <w:color w:val="auto"/>
          <w:sz w:val="24"/>
        </w:rPr>
      </w:pPr>
      <w:r>
        <w:rPr>
          <w:rFonts w:hint="eastAsia" w:ascii="宋体" w:hAnsi="宋体"/>
          <w:b/>
          <w:color w:val="auto"/>
          <w:sz w:val="24"/>
        </w:rPr>
        <w:t xml:space="preserve">采购代理：四川玖久公信招标代理有限公司 </w:t>
      </w:r>
    </w:p>
    <w:p>
      <w:pPr>
        <w:pStyle w:val="79"/>
        <w:ind w:firstLine="422" w:firstLineChars="176"/>
        <w:rPr>
          <w:rFonts w:ascii="宋体" w:hAnsi="宋体"/>
          <w:color w:val="auto"/>
          <w:sz w:val="24"/>
        </w:rPr>
      </w:pPr>
      <w:r>
        <w:rPr>
          <w:rFonts w:hint="eastAsia" w:ascii="宋体" w:hAnsi="宋体"/>
          <w:color w:val="auto"/>
          <w:sz w:val="24"/>
        </w:rPr>
        <w:t>通讯地址：绵阳市科创园区剑南路西段388号长兴星城5幢2楼1号商铺</w:t>
      </w:r>
    </w:p>
    <w:p>
      <w:pPr>
        <w:pStyle w:val="79"/>
        <w:ind w:firstLine="422" w:firstLineChars="176"/>
        <w:rPr>
          <w:rFonts w:ascii="宋体" w:hAnsi="宋体"/>
          <w:color w:val="auto"/>
          <w:sz w:val="24"/>
        </w:rPr>
      </w:pPr>
      <w:r>
        <w:rPr>
          <w:rFonts w:hint="eastAsia" w:ascii="宋体" w:hAnsi="宋体"/>
          <w:color w:val="auto"/>
          <w:sz w:val="24"/>
        </w:rPr>
        <w:t>联系人：</w:t>
      </w:r>
    </w:p>
    <w:p>
      <w:pPr>
        <w:pStyle w:val="79"/>
        <w:ind w:firstLine="422" w:firstLineChars="176"/>
        <w:rPr>
          <w:rFonts w:ascii="宋体" w:hAnsi="宋体"/>
          <w:color w:val="auto"/>
          <w:sz w:val="24"/>
        </w:rPr>
      </w:pPr>
      <w:r>
        <w:rPr>
          <w:rFonts w:hint="eastAsia" w:ascii="宋体" w:hAnsi="宋体"/>
          <w:color w:val="auto"/>
          <w:sz w:val="24"/>
        </w:rPr>
        <w:t>杨星（项目咨询）  联系电话：0816-2507739</w:t>
      </w:r>
    </w:p>
    <w:p>
      <w:pPr>
        <w:pStyle w:val="79"/>
        <w:ind w:firstLine="422" w:firstLineChars="176"/>
        <w:rPr>
          <w:rFonts w:ascii="宋体" w:hAnsi="宋体"/>
          <w:color w:val="auto"/>
          <w:sz w:val="24"/>
        </w:rPr>
      </w:pPr>
      <w:r>
        <w:rPr>
          <w:rFonts w:hint="eastAsia" w:ascii="宋体" w:hAnsi="宋体"/>
          <w:color w:val="auto"/>
          <w:sz w:val="24"/>
        </w:rPr>
        <w:t>肖波（文件发售、成交通知书发放、磋商保证金收退）  联系电话：0816-2219399</w:t>
      </w:r>
    </w:p>
    <w:p>
      <w:pPr>
        <w:pStyle w:val="79"/>
        <w:ind w:firstLine="422" w:firstLineChars="176"/>
        <w:rPr>
          <w:rFonts w:ascii="宋体" w:hAnsi="宋体"/>
          <w:color w:val="auto"/>
          <w:sz w:val="24"/>
        </w:rPr>
      </w:pPr>
      <w:r>
        <w:rPr>
          <w:rFonts w:hint="eastAsia" w:ascii="宋体" w:hAnsi="宋体"/>
          <w:color w:val="auto"/>
          <w:sz w:val="24"/>
        </w:rPr>
        <w:t>开户行：中国银行绵阳高新技术产业开发区支行</w:t>
      </w:r>
    </w:p>
    <w:p>
      <w:pPr>
        <w:pStyle w:val="79"/>
        <w:ind w:firstLine="422" w:firstLineChars="176"/>
        <w:rPr>
          <w:rFonts w:ascii="宋体" w:hAnsi="宋体"/>
          <w:color w:val="auto"/>
          <w:sz w:val="24"/>
        </w:rPr>
      </w:pPr>
      <w:r>
        <w:rPr>
          <w:rFonts w:hint="eastAsia" w:ascii="宋体" w:hAnsi="宋体"/>
          <w:color w:val="auto"/>
          <w:sz w:val="24"/>
        </w:rPr>
        <w:t>银行账号：129312973767</w:t>
      </w:r>
    </w:p>
    <w:p>
      <w:pPr>
        <w:tabs>
          <w:tab w:val="left" w:pos="2310"/>
        </w:tabs>
        <w:spacing w:line="360" w:lineRule="auto"/>
        <w:ind w:right="420" w:rightChars="200" w:firstLine="1260" w:firstLineChars="600"/>
        <w:jc w:val="right"/>
        <w:rPr>
          <w:rFonts w:ascii="宋体" w:hAnsi="宋体"/>
          <w:color w:val="auto"/>
        </w:rPr>
      </w:pPr>
      <w:r>
        <w:rPr>
          <w:rFonts w:ascii="宋体" w:hAnsi="宋体"/>
          <w:color w:val="auto"/>
        </w:rPr>
        <w:tab/>
      </w:r>
    </w:p>
    <w:p>
      <w:pPr>
        <w:tabs>
          <w:tab w:val="left" w:pos="2310"/>
        </w:tabs>
        <w:spacing w:line="360" w:lineRule="auto"/>
        <w:ind w:right="420" w:rightChars="200" w:firstLine="1260" w:firstLineChars="600"/>
        <w:jc w:val="right"/>
        <w:rPr>
          <w:rFonts w:ascii="宋体" w:hAnsi="宋体"/>
          <w:color w:val="auto"/>
        </w:rPr>
      </w:pPr>
    </w:p>
    <w:p>
      <w:pPr>
        <w:tabs>
          <w:tab w:val="left" w:pos="2310"/>
        </w:tabs>
        <w:spacing w:line="360" w:lineRule="auto"/>
        <w:ind w:right="420" w:rightChars="200" w:firstLine="1440" w:firstLineChars="600"/>
        <w:jc w:val="right"/>
        <w:rPr>
          <w:rFonts w:hint="eastAsia" w:ascii="宋体" w:hAnsi="宋体" w:eastAsia="宋体"/>
          <w:color w:val="auto"/>
          <w:lang w:eastAsia="zh-CN"/>
        </w:rPr>
      </w:pPr>
      <w:r>
        <w:rPr>
          <w:rFonts w:hint="eastAsia" w:ascii="宋体" w:hAnsi="宋体"/>
          <w:color w:val="auto"/>
          <w:sz w:val="24"/>
          <w:lang w:eastAsia="zh-CN"/>
        </w:rPr>
        <w:t>2022年01月</w:t>
      </w:r>
    </w:p>
    <w:p>
      <w:pPr>
        <w:pStyle w:val="4"/>
        <w:keepNext w:val="0"/>
        <w:keepLines w:val="0"/>
        <w:spacing w:line="240" w:lineRule="atLeast"/>
        <w:jc w:val="center"/>
        <w:rPr>
          <w:rFonts w:ascii="宋体" w:hAnsi="宋体"/>
          <w:color w:val="auto"/>
          <w:sz w:val="36"/>
          <w:szCs w:val="36"/>
        </w:rPr>
      </w:pPr>
      <w:bookmarkStart w:id="3" w:name="_Toc213396945"/>
      <w:bookmarkStart w:id="4" w:name="_Toc213496267"/>
      <w:bookmarkStart w:id="5" w:name="_Toc217446031"/>
      <w:bookmarkStart w:id="6" w:name="_Toc213396759"/>
      <w:bookmarkStart w:id="7" w:name="_Toc213397009"/>
    </w:p>
    <w:p>
      <w:pPr>
        <w:pStyle w:val="27"/>
        <w:outlineLvl w:val="9"/>
        <w:rPr>
          <w:rFonts w:ascii="宋体" w:hAnsi="宋体"/>
          <w:color w:val="auto"/>
          <w:kern w:val="44"/>
          <w:sz w:val="36"/>
          <w:szCs w:val="36"/>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7"/>
        <w:jc w:val="both"/>
        <w:outlineLvl w:val="9"/>
        <w:rPr>
          <w:color w:val="auto"/>
        </w:rPr>
      </w:pPr>
      <w:bookmarkStart w:id="8" w:name="_Toc19457949"/>
    </w:p>
    <w:p>
      <w:pPr>
        <w:pStyle w:val="27"/>
        <w:outlineLvl w:val="9"/>
        <w:rPr>
          <w:color w:val="auto"/>
        </w:rPr>
      </w:pPr>
      <w:r>
        <w:rPr>
          <w:rFonts w:hint="eastAsia"/>
          <w:color w:val="auto"/>
        </w:rPr>
        <w:t>第二章  磋商须知</w:t>
      </w:r>
      <w:bookmarkEnd w:id="3"/>
      <w:bookmarkEnd w:id="4"/>
      <w:bookmarkEnd w:id="5"/>
      <w:bookmarkEnd w:id="6"/>
      <w:bookmarkEnd w:id="7"/>
      <w:bookmarkEnd w:id="8"/>
    </w:p>
    <w:p>
      <w:pPr>
        <w:pStyle w:val="5"/>
        <w:keepNext w:val="0"/>
        <w:keepLines w:val="0"/>
        <w:spacing w:line="240" w:lineRule="atLeast"/>
        <w:jc w:val="center"/>
        <w:rPr>
          <w:rFonts w:ascii="宋体" w:hAnsi="宋体" w:eastAsia="宋体"/>
          <w:color w:val="auto"/>
          <w:sz w:val="30"/>
          <w:szCs w:val="30"/>
        </w:rPr>
      </w:pPr>
      <w:bookmarkStart w:id="9" w:name="_Toc19457950"/>
      <w:bookmarkStart w:id="10" w:name="_Toc17106643"/>
      <w:r>
        <w:rPr>
          <w:rFonts w:hint="eastAsia" w:ascii="宋体" w:hAnsi="宋体" w:eastAsia="宋体"/>
          <w:color w:val="auto"/>
          <w:sz w:val="30"/>
          <w:szCs w:val="30"/>
        </w:rPr>
        <w:t>一、供应商须知附表</w:t>
      </w:r>
      <w:bookmarkEnd w:id="9"/>
      <w:bookmarkEnd w:id="10"/>
    </w:p>
    <w:tbl>
      <w:tblPr>
        <w:tblStyle w:val="29"/>
        <w:tblW w:w="0" w:type="auto"/>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1013"/>
        <w:gridCol w:w="2409"/>
        <w:gridCol w:w="6084"/>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left="9"/>
              <w:jc w:val="center"/>
              <w:rPr>
                <w:color w:val="auto"/>
                <w:sz w:val="21"/>
                <w:szCs w:val="21"/>
                <w:lang w:val="zh-CN"/>
              </w:rPr>
            </w:pPr>
            <w:r>
              <w:rPr>
                <w:rFonts w:hint="eastAsia"/>
                <w:color w:val="auto"/>
                <w:sz w:val="21"/>
                <w:szCs w:val="21"/>
                <w:lang w:val="zh-CN"/>
              </w:rPr>
              <w:t>序号</w:t>
            </w:r>
          </w:p>
        </w:tc>
        <w:tc>
          <w:tcPr>
            <w:tcW w:w="2409" w:type="dxa"/>
            <w:noWrap w:val="0"/>
            <w:vAlign w:val="center"/>
          </w:tcPr>
          <w:p>
            <w:pPr>
              <w:pStyle w:val="74"/>
              <w:spacing w:line="276" w:lineRule="auto"/>
              <w:ind w:left="38"/>
              <w:jc w:val="center"/>
              <w:rPr>
                <w:color w:val="auto"/>
                <w:sz w:val="21"/>
                <w:szCs w:val="21"/>
                <w:lang w:val="zh-CN"/>
              </w:rPr>
            </w:pPr>
            <w:r>
              <w:rPr>
                <w:rFonts w:hint="eastAsia"/>
                <w:color w:val="auto"/>
                <w:sz w:val="21"/>
                <w:szCs w:val="21"/>
                <w:lang w:val="zh-CN"/>
              </w:rPr>
              <w:t>应知事项</w:t>
            </w:r>
          </w:p>
        </w:tc>
        <w:tc>
          <w:tcPr>
            <w:tcW w:w="6084" w:type="dxa"/>
            <w:noWrap w:val="0"/>
            <w:vAlign w:val="center"/>
          </w:tcPr>
          <w:p>
            <w:pPr>
              <w:pStyle w:val="74"/>
              <w:spacing w:line="276" w:lineRule="auto"/>
              <w:jc w:val="center"/>
              <w:rPr>
                <w:color w:val="auto"/>
                <w:sz w:val="21"/>
                <w:szCs w:val="21"/>
                <w:lang w:val="zh-CN"/>
              </w:rPr>
            </w:pPr>
            <w:r>
              <w:rPr>
                <w:rFonts w:hint="eastAsia"/>
                <w:color w:val="auto"/>
                <w:sz w:val="21"/>
                <w:szCs w:val="21"/>
                <w:lang w:val="zh-CN"/>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1</w:t>
            </w:r>
          </w:p>
        </w:tc>
        <w:tc>
          <w:tcPr>
            <w:tcW w:w="2409" w:type="dxa"/>
            <w:noWrap w:val="0"/>
            <w:vAlign w:val="center"/>
          </w:tcPr>
          <w:p>
            <w:pPr>
              <w:pStyle w:val="74"/>
              <w:spacing w:line="276" w:lineRule="auto"/>
              <w:ind w:left="38"/>
              <w:jc w:val="center"/>
              <w:rPr>
                <w:color w:val="auto"/>
                <w:sz w:val="21"/>
                <w:szCs w:val="21"/>
                <w:lang w:val="zh-CN"/>
              </w:rPr>
            </w:pPr>
            <w:r>
              <w:rPr>
                <w:rFonts w:hint="eastAsia"/>
                <w:color w:val="auto"/>
                <w:sz w:val="21"/>
                <w:szCs w:val="21"/>
                <w:lang w:val="zh-CN"/>
              </w:rPr>
              <w:t>确定邀请磋商的供应商数量和方式</w:t>
            </w:r>
          </w:p>
        </w:tc>
        <w:tc>
          <w:tcPr>
            <w:tcW w:w="6084" w:type="dxa"/>
            <w:noWrap w:val="0"/>
            <w:vAlign w:val="center"/>
          </w:tcPr>
          <w:p>
            <w:pPr>
              <w:pStyle w:val="74"/>
              <w:spacing w:line="276" w:lineRule="auto"/>
              <w:ind w:firstLine="210" w:firstLineChars="100"/>
              <w:jc w:val="both"/>
              <w:rPr>
                <w:color w:val="auto"/>
                <w:sz w:val="21"/>
                <w:szCs w:val="21"/>
                <w:lang w:val="zh-CN"/>
              </w:rPr>
            </w:pPr>
            <w:r>
              <w:rPr>
                <w:rFonts w:hint="eastAsia"/>
                <w:color w:val="auto"/>
                <w:sz w:val="21"/>
                <w:szCs w:val="21"/>
                <w:lang w:val="zh-CN"/>
              </w:rPr>
              <w:t>本次采购以</w:t>
            </w:r>
            <w:r>
              <w:rPr>
                <w:rFonts w:hint="eastAsia"/>
                <w:color w:val="auto"/>
                <w:sz w:val="21"/>
                <w:szCs w:val="21"/>
              </w:rPr>
              <w:t>在中国政府采购网公告</w:t>
            </w:r>
            <w:r>
              <w:rPr>
                <w:rFonts w:hint="eastAsia"/>
                <w:color w:val="auto"/>
                <w:sz w:val="21"/>
                <w:szCs w:val="21"/>
                <w:lang w:val="zh-CN"/>
              </w:rPr>
              <w:t>的方式邀请不少于三家参加磋商的供应商。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2</w:t>
            </w:r>
          </w:p>
        </w:tc>
        <w:tc>
          <w:tcPr>
            <w:tcW w:w="2409" w:type="dxa"/>
            <w:noWrap w:val="0"/>
            <w:vAlign w:val="center"/>
          </w:tcPr>
          <w:p>
            <w:pPr>
              <w:pStyle w:val="74"/>
              <w:spacing w:line="276" w:lineRule="auto"/>
              <w:ind w:left="38"/>
              <w:jc w:val="center"/>
              <w:rPr>
                <w:color w:val="auto"/>
                <w:sz w:val="21"/>
                <w:szCs w:val="21"/>
                <w:lang w:val="zh-CN"/>
              </w:rPr>
            </w:pPr>
            <w:r>
              <w:rPr>
                <w:rFonts w:hint="eastAsia"/>
                <w:color w:val="auto"/>
                <w:sz w:val="21"/>
                <w:szCs w:val="21"/>
                <w:lang w:val="zh-CN"/>
              </w:rPr>
              <w:t>采购预算（实质性要求）</w:t>
            </w:r>
          </w:p>
        </w:tc>
        <w:tc>
          <w:tcPr>
            <w:tcW w:w="6084" w:type="dxa"/>
            <w:noWrap w:val="0"/>
            <w:vAlign w:val="center"/>
          </w:tcPr>
          <w:p>
            <w:pPr>
              <w:pStyle w:val="74"/>
              <w:spacing w:line="276" w:lineRule="auto"/>
              <w:ind w:firstLine="202" w:firstLineChars="100"/>
              <w:jc w:val="both"/>
              <w:rPr>
                <w:color w:val="auto"/>
                <w:sz w:val="21"/>
                <w:szCs w:val="21"/>
              </w:rPr>
            </w:pPr>
            <w:r>
              <w:rPr>
                <w:rFonts w:hint="eastAsia"/>
                <w:color w:val="auto"/>
                <w:spacing w:val="-4"/>
                <w:sz w:val="21"/>
                <w:szCs w:val="21"/>
              </w:rPr>
              <w:t>采购</w:t>
            </w:r>
            <w:r>
              <w:rPr>
                <w:rFonts w:hint="eastAsia"/>
                <w:color w:val="auto"/>
                <w:spacing w:val="-4"/>
                <w:sz w:val="21"/>
                <w:szCs w:val="21"/>
                <w:lang w:val="en-US" w:eastAsia="zh-CN"/>
              </w:rPr>
              <w:t>总</w:t>
            </w:r>
            <w:r>
              <w:rPr>
                <w:rFonts w:hint="eastAsia"/>
                <w:color w:val="auto"/>
                <w:spacing w:val="-4"/>
                <w:sz w:val="21"/>
                <w:szCs w:val="21"/>
              </w:rPr>
              <w:t>预算</w:t>
            </w:r>
            <w:r>
              <w:rPr>
                <w:rFonts w:hint="eastAsia"/>
                <w:color w:val="auto"/>
                <w:spacing w:val="-4"/>
                <w:sz w:val="21"/>
                <w:szCs w:val="21"/>
                <w:lang w:eastAsia="zh-CN"/>
              </w:rPr>
              <w:t>1874000.00元</w:t>
            </w:r>
            <w:r>
              <w:rPr>
                <w:rFonts w:hint="eastAsia"/>
                <w:color w:val="auto"/>
                <w:spacing w:val="-4"/>
                <w:sz w:val="21"/>
                <w:szCs w:val="21"/>
              </w:rPr>
              <w:t>，</w:t>
            </w:r>
            <w:r>
              <w:rPr>
                <w:rFonts w:hint="eastAsia"/>
                <w:color w:val="auto"/>
                <w:spacing w:val="-4"/>
                <w:sz w:val="21"/>
                <w:szCs w:val="21"/>
                <w:lang w:val="en-US" w:eastAsia="zh-CN"/>
              </w:rPr>
              <w:t>其中洗扫车单价预算528000.00元/辆，洒水车单价预算290000.00元/辆，</w:t>
            </w:r>
            <w:r>
              <w:rPr>
                <w:rFonts w:hint="eastAsia"/>
                <w:color w:val="auto"/>
                <w:spacing w:val="-4"/>
                <w:sz w:val="21"/>
                <w:szCs w:val="21"/>
              </w:rPr>
              <w:t>超过采购预算报价的</w:t>
            </w:r>
            <w:r>
              <w:rPr>
                <w:rFonts w:hint="eastAsia"/>
                <w:color w:val="auto"/>
                <w:spacing w:val="-4"/>
                <w:sz w:val="21"/>
                <w:szCs w:val="21"/>
                <w:lang w:val="en-US" w:eastAsia="zh-CN"/>
              </w:rPr>
              <w:t>响应文件无效</w:t>
            </w:r>
            <w:r>
              <w:rPr>
                <w:rFonts w:hint="eastAsia"/>
                <w:color w:val="auto"/>
                <w:spacing w:val="-4"/>
                <w:sz w:val="21"/>
                <w:szCs w:val="21"/>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3</w:t>
            </w:r>
          </w:p>
        </w:tc>
        <w:tc>
          <w:tcPr>
            <w:tcW w:w="2409" w:type="dxa"/>
            <w:noWrap w:val="0"/>
            <w:vAlign w:val="center"/>
          </w:tcPr>
          <w:p>
            <w:pPr>
              <w:pStyle w:val="74"/>
              <w:spacing w:line="276" w:lineRule="auto"/>
              <w:ind w:left="38"/>
              <w:jc w:val="center"/>
              <w:rPr>
                <w:color w:val="auto"/>
                <w:sz w:val="21"/>
                <w:szCs w:val="21"/>
                <w:lang w:val="zh-CN"/>
              </w:rPr>
            </w:pPr>
            <w:r>
              <w:rPr>
                <w:rFonts w:hint="eastAsia"/>
                <w:color w:val="auto"/>
                <w:sz w:val="21"/>
                <w:szCs w:val="21"/>
                <w:lang w:val="zh-CN"/>
              </w:rPr>
              <w:t>最高限价（实质性要求）</w:t>
            </w:r>
          </w:p>
        </w:tc>
        <w:tc>
          <w:tcPr>
            <w:tcW w:w="6084" w:type="dxa"/>
            <w:noWrap w:val="0"/>
            <w:vAlign w:val="center"/>
          </w:tcPr>
          <w:p>
            <w:pPr>
              <w:pStyle w:val="74"/>
              <w:spacing w:line="276" w:lineRule="auto"/>
              <w:ind w:firstLine="210" w:firstLineChars="100"/>
              <w:jc w:val="both"/>
              <w:rPr>
                <w:color w:val="auto"/>
                <w:sz w:val="21"/>
                <w:szCs w:val="21"/>
                <w:lang w:val="zh-CN"/>
              </w:rPr>
            </w:pPr>
            <w:r>
              <w:rPr>
                <w:rFonts w:hint="eastAsia"/>
                <w:color w:val="auto"/>
                <w:sz w:val="21"/>
                <w:szCs w:val="21"/>
                <w:lang w:val="zh-CN"/>
              </w:rPr>
              <w:t>采购</w:t>
            </w:r>
            <w:r>
              <w:rPr>
                <w:rFonts w:hint="eastAsia"/>
                <w:color w:val="auto"/>
                <w:sz w:val="21"/>
                <w:szCs w:val="21"/>
                <w:lang w:val="en-US" w:eastAsia="zh-CN"/>
              </w:rPr>
              <w:t>总</w:t>
            </w:r>
            <w:r>
              <w:rPr>
                <w:rFonts w:hint="eastAsia"/>
                <w:color w:val="auto"/>
                <w:sz w:val="21"/>
                <w:szCs w:val="21"/>
                <w:lang w:val="zh-CN"/>
              </w:rPr>
              <w:t>限价</w:t>
            </w:r>
            <w:r>
              <w:rPr>
                <w:rFonts w:hint="eastAsia"/>
                <w:color w:val="auto"/>
                <w:spacing w:val="-4"/>
                <w:sz w:val="21"/>
                <w:szCs w:val="21"/>
                <w:lang w:eastAsia="zh-CN"/>
              </w:rPr>
              <w:t>1874000.00元</w:t>
            </w:r>
            <w:r>
              <w:rPr>
                <w:rFonts w:hint="eastAsia"/>
                <w:color w:val="auto"/>
                <w:sz w:val="21"/>
                <w:szCs w:val="21"/>
                <w:lang w:val="zh-CN"/>
              </w:rPr>
              <w:t>，</w:t>
            </w:r>
            <w:r>
              <w:rPr>
                <w:rFonts w:hint="eastAsia"/>
                <w:color w:val="auto"/>
                <w:spacing w:val="-4"/>
                <w:sz w:val="21"/>
                <w:szCs w:val="21"/>
                <w:lang w:val="en-US" w:eastAsia="zh-CN"/>
              </w:rPr>
              <w:t>其中洗扫车单价限价528000.00元/辆，洒水车单价限价290000.00元/辆，</w:t>
            </w:r>
            <w:r>
              <w:rPr>
                <w:rFonts w:hint="eastAsia"/>
                <w:color w:val="auto"/>
                <w:sz w:val="21"/>
                <w:szCs w:val="21"/>
                <w:lang w:val="zh-CN"/>
              </w:rPr>
              <w:t>超过限价报价的响应</w:t>
            </w:r>
            <w:r>
              <w:rPr>
                <w:rFonts w:hint="eastAsia"/>
                <w:color w:val="auto"/>
                <w:sz w:val="21"/>
                <w:szCs w:val="21"/>
                <w:lang w:val="en-US" w:eastAsia="zh-CN"/>
              </w:rPr>
              <w:t>文件</w:t>
            </w:r>
            <w:r>
              <w:rPr>
                <w:rFonts w:hint="eastAsia"/>
                <w:color w:val="auto"/>
                <w:sz w:val="21"/>
                <w:szCs w:val="21"/>
                <w:lang w:val="zh-CN"/>
              </w:rPr>
              <w:t>无效。</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4</w:t>
            </w:r>
          </w:p>
        </w:tc>
        <w:tc>
          <w:tcPr>
            <w:tcW w:w="2409" w:type="dxa"/>
            <w:noWrap w:val="0"/>
            <w:vAlign w:val="center"/>
          </w:tcPr>
          <w:p>
            <w:pPr>
              <w:pStyle w:val="74"/>
              <w:spacing w:line="276" w:lineRule="auto"/>
              <w:ind w:left="38"/>
              <w:jc w:val="center"/>
              <w:rPr>
                <w:color w:val="auto"/>
                <w:sz w:val="21"/>
                <w:szCs w:val="21"/>
                <w:lang w:val="zh-CN"/>
              </w:rPr>
            </w:pPr>
            <w:r>
              <w:rPr>
                <w:rFonts w:hint="eastAsia"/>
                <w:color w:val="auto"/>
                <w:sz w:val="21"/>
                <w:szCs w:val="21"/>
                <w:lang w:val="zh-CN"/>
              </w:rPr>
              <w:t>联合体</w:t>
            </w:r>
          </w:p>
        </w:tc>
        <w:tc>
          <w:tcPr>
            <w:tcW w:w="6084" w:type="dxa"/>
            <w:noWrap w:val="0"/>
            <w:vAlign w:val="center"/>
          </w:tcPr>
          <w:p>
            <w:pPr>
              <w:pStyle w:val="74"/>
              <w:spacing w:line="276" w:lineRule="auto"/>
              <w:ind w:firstLine="210" w:firstLineChars="100"/>
              <w:jc w:val="both"/>
              <w:rPr>
                <w:color w:val="auto"/>
                <w:sz w:val="21"/>
                <w:szCs w:val="21"/>
                <w:lang w:val="zh-CN"/>
              </w:rPr>
            </w:pPr>
            <w:r>
              <w:rPr>
                <w:rFonts w:hint="eastAsia"/>
                <w:color w:val="auto"/>
                <w:sz w:val="21"/>
                <w:szCs w:val="21"/>
                <w:lang w:val="zh-CN"/>
              </w:rPr>
              <w:t>不允许联合体</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5</w:t>
            </w:r>
          </w:p>
        </w:tc>
        <w:tc>
          <w:tcPr>
            <w:tcW w:w="2409" w:type="dxa"/>
            <w:noWrap w:val="0"/>
            <w:vAlign w:val="center"/>
          </w:tcPr>
          <w:p>
            <w:pPr>
              <w:pStyle w:val="74"/>
              <w:spacing w:line="276" w:lineRule="auto"/>
              <w:ind w:left="38"/>
              <w:jc w:val="center"/>
              <w:rPr>
                <w:color w:val="auto"/>
                <w:sz w:val="21"/>
                <w:szCs w:val="21"/>
              </w:rPr>
            </w:pPr>
            <w:r>
              <w:rPr>
                <w:rFonts w:hint="eastAsia"/>
                <w:color w:val="auto"/>
                <w:sz w:val="21"/>
                <w:szCs w:val="21"/>
              </w:rPr>
              <w:t>低于成本价不正当竞争预防措施（实质性要求）</w:t>
            </w:r>
          </w:p>
        </w:tc>
        <w:tc>
          <w:tcPr>
            <w:tcW w:w="6084" w:type="dxa"/>
            <w:noWrap w:val="0"/>
            <w:vAlign w:val="center"/>
          </w:tcPr>
          <w:p>
            <w:pPr>
              <w:pStyle w:val="74"/>
              <w:spacing w:line="276" w:lineRule="auto"/>
              <w:ind w:firstLine="210" w:firstLineChars="100"/>
              <w:jc w:val="both"/>
              <w:rPr>
                <w:rFonts w:cs="Calibri"/>
                <w:color w:val="auto"/>
                <w:sz w:val="21"/>
                <w:szCs w:val="21"/>
                <w:shd w:val="clear" w:color="auto" w:fill="FFFFFF"/>
              </w:rPr>
            </w:pPr>
            <w:r>
              <w:rPr>
                <w:rFonts w:hint="eastAsia"/>
                <w:color w:val="auto"/>
                <w:sz w:val="21"/>
                <w:szCs w:val="21"/>
              </w:rPr>
              <w:t>1.</w:t>
            </w:r>
            <w:r>
              <w:rPr>
                <w:rFonts w:hint="eastAsia" w:cs="Calibri"/>
                <w:color w:val="auto"/>
                <w:sz w:val="21"/>
                <w:szCs w:val="21"/>
                <w:shd w:val="clear" w:color="auto" w:fill="FFFFFF"/>
                <w:lang w:val="en-US" w:eastAsia="zh-CN"/>
              </w:rPr>
              <w:t>供应商的报价低于预算控制价30%</w:t>
            </w:r>
            <w:r>
              <w:rPr>
                <w:rFonts w:hint="eastAsia" w:cs="Calibri"/>
                <w:color w:val="auto"/>
                <w:sz w:val="21"/>
                <w:szCs w:val="21"/>
                <w:shd w:val="clear" w:color="auto" w:fill="FFFFFF"/>
              </w:rPr>
              <w:t>，</w:t>
            </w:r>
            <w:r>
              <w:rPr>
                <w:rFonts w:hint="eastAsia" w:cs="Calibri"/>
                <w:color w:val="auto"/>
                <w:sz w:val="21"/>
                <w:szCs w:val="21"/>
                <w:shd w:val="clear" w:color="auto" w:fill="FFFFFF"/>
                <w:lang w:val="en-US" w:eastAsia="zh-CN"/>
              </w:rPr>
              <w:t>或者</w:t>
            </w:r>
            <w:r>
              <w:rPr>
                <w:rFonts w:hint="eastAsia" w:cs="Calibri"/>
                <w:color w:val="auto"/>
                <w:sz w:val="21"/>
                <w:szCs w:val="21"/>
                <w:shd w:val="clear" w:color="auto" w:fill="FFFFFF"/>
              </w:rPr>
              <w:t>有可能影响服务质量或者不能诚信履约的，应当要求其在评审现场合理的时间内提供书面说明，必要时提交相关证明材料；供应商不能证明其报价合理性的，评审委员会应当将其作为无效响应处理。</w:t>
            </w:r>
          </w:p>
          <w:p>
            <w:pPr>
              <w:pStyle w:val="74"/>
              <w:spacing w:line="276" w:lineRule="auto"/>
              <w:ind w:firstLine="210" w:firstLineChars="100"/>
              <w:jc w:val="both"/>
              <w:rPr>
                <w:color w:val="auto"/>
                <w:sz w:val="21"/>
                <w:szCs w:val="21"/>
              </w:rPr>
            </w:pPr>
            <w:r>
              <w:rPr>
                <w:rFonts w:hint="eastAsia"/>
                <w:color w:val="auto"/>
                <w:sz w:val="21"/>
                <w:szCs w:val="21"/>
              </w:rPr>
              <w:t>供应商的书面说明材料应当按照国家财务会计制度的规定要求，逐项就供应商提供的货物、工程和服务的主营业务成本、税金及附加、销售费用、管理费用、财务费用等成本构成事项详细陈述）。</w:t>
            </w:r>
          </w:p>
          <w:p>
            <w:pPr>
              <w:spacing w:line="276" w:lineRule="auto"/>
              <w:ind w:right="105" w:rightChars="50" w:firstLine="210" w:firstLineChars="100"/>
              <w:rPr>
                <w:rFonts w:ascii="宋体" w:hAnsi="宋体"/>
                <w:color w:val="auto"/>
                <w:szCs w:val="21"/>
              </w:rPr>
            </w:pPr>
            <w:r>
              <w:rPr>
                <w:rFonts w:hint="eastAsia" w:ascii="宋体" w:hAnsi="宋体"/>
                <w:color w:val="auto"/>
                <w:szCs w:val="21"/>
              </w:rPr>
              <w:t xml:space="preserve">2.供应商书面说明应当签字确认或者加盖公章，否则无效。书面说明的签字确认，由其法定代表人/主要负责人/本人或者其授权代表签字确认。 </w:t>
            </w:r>
          </w:p>
          <w:p>
            <w:pPr>
              <w:spacing w:line="276" w:lineRule="auto"/>
              <w:ind w:right="105" w:rightChars="50" w:firstLine="210" w:firstLineChars="100"/>
              <w:rPr>
                <w:rFonts w:ascii="宋体" w:hAnsi="宋体"/>
                <w:color w:val="auto"/>
                <w:szCs w:val="21"/>
              </w:rPr>
            </w:pPr>
            <w:r>
              <w:rPr>
                <w:rFonts w:hint="eastAsia" w:ascii="宋体" w:hAnsi="宋体"/>
                <w:color w:val="auto"/>
                <w:szCs w:val="21"/>
              </w:rPr>
              <w:t>3.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磋商小组应当将其响应文件作为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6</w:t>
            </w:r>
          </w:p>
          <w:p>
            <w:pPr>
              <w:pStyle w:val="74"/>
              <w:spacing w:line="276" w:lineRule="auto"/>
              <w:ind w:right="230"/>
              <w:jc w:val="center"/>
              <w:rPr>
                <w:rFonts w:cs="Courier New"/>
                <w:color w:val="auto"/>
                <w:sz w:val="21"/>
                <w:szCs w:val="21"/>
                <w:lang w:val="zh-CN"/>
              </w:rPr>
            </w:pPr>
          </w:p>
        </w:tc>
        <w:tc>
          <w:tcPr>
            <w:tcW w:w="2409" w:type="dxa"/>
            <w:noWrap w:val="0"/>
            <w:vAlign w:val="center"/>
          </w:tcPr>
          <w:p>
            <w:pPr>
              <w:pStyle w:val="74"/>
              <w:spacing w:line="276" w:lineRule="auto"/>
              <w:ind w:left="38"/>
              <w:jc w:val="center"/>
              <w:rPr>
                <w:color w:val="auto"/>
                <w:sz w:val="21"/>
                <w:szCs w:val="21"/>
                <w:lang w:val="zh-CN"/>
              </w:rPr>
            </w:pPr>
            <w:r>
              <w:rPr>
                <w:rFonts w:hint="eastAsia"/>
                <w:color w:val="auto"/>
                <w:sz w:val="21"/>
                <w:szCs w:val="21"/>
                <w:lang w:val="zh-CN"/>
              </w:rPr>
              <w:t>失信企业报价加成或者扣分（实质性要求）</w:t>
            </w:r>
          </w:p>
          <w:p>
            <w:pPr>
              <w:pStyle w:val="74"/>
              <w:spacing w:line="276" w:lineRule="auto"/>
              <w:ind w:left="38"/>
              <w:jc w:val="center"/>
              <w:rPr>
                <w:color w:val="auto"/>
                <w:sz w:val="21"/>
                <w:szCs w:val="21"/>
                <w:lang w:val="zh-CN"/>
              </w:rPr>
            </w:pPr>
          </w:p>
        </w:tc>
        <w:tc>
          <w:tcPr>
            <w:tcW w:w="6084" w:type="dxa"/>
            <w:noWrap w:val="0"/>
            <w:vAlign w:val="center"/>
          </w:tcPr>
          <w:p>
            <w:pPr>
              <w:spacing w:line="276" w:lineRule="auto"/>
              <w:ind w:right="105" w:rightChars="50" w:firstLine="210" w:firstLineChars="100"/>
              <w:rPr>
                <w:rFonts w:ascii="宋体" w:hAnsi="宋体"/>
                <w:color w:val="auto"/>
                <w:szCs w:val="21"/>
              </w:rPr>
            </w:pPr>
            <w:r>
              <w:rPr>
                <w:rFonts w:hint="eastAsia" w:ascii="宋体" w:hAnsi="宋体"/>
                <w:color w:val="auto"/>
                <w:szCs w:val="21"/>
              </w:rPr>
              <w:t>1.对记入诚信档案且在有效期内的失信供应商，在参加本次采购活动中直接从总分中扣除5分。</w:t>
            </w:r>
          </w:p>
          <w:p>
            <w:pPr>
              <w:spacing w:line="276" w:lineRule="auto"/>
              <w:ind w:right="105" w:rightChars="50" w:firstLine="210" w:firstLineChars="100"/>
              <w:rPr>
                <w:rFonts w:ascii="宋体" w:hAnsi="宋体"/>
                <w:color w:val="auto"/>
                <w:szCs w:val="21"/>
              </w:rPr>
            </w:pPr>
            <w:r>
              <w:rPr>
                <w:rFonts w:hint="eastAsia"/>
                <w:color w:val="auto"/>
                <w:szCs w:val="21"/>
              </w:rPr>
              <w:t>2.供应商参加本次采购活动时，应当就自己的诚信情况在响应文件中进行承诺。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7</w:t>
            </w:r>
          </w:p>
        </w:tc>
        <w:tc>
          <w:tcPr>
            <w:tcW w:w="2409" w:type="dxa"/>
            <w:noWrap w:val="0"/>
            <w:vAlign w:val="center"/>
          </w:tcPr>
          <w:p>
            <w:pPr>
              <w:pStyle w:val="74"/>
              <w:spacing w:line="276" w:lineRule="auto"/>
              <w:ind w:left="38"/>
              <w:jc w:val="center"/>
              <w:rPr>
                <w:color w:val="auto"/>
                <w:sz w:val="21"/>
                <w:szCs w:val="21"/>
                <w:lang w:val="zh-CN"/>
              </w:rPr>
            </w:pPr>
            <w:r>
              <w:rPr>
                <w:rFonts w:hint="eastAsia"/>
                <w:color w:val="auto"/>
                <w:sz w:val="21"/>
                <w:szCs w:val="21"/>
                <w:lang w:val="zh-CN"/>
              </w:rPr>
              <w:t>磋商情况公告</w:t>
            </w:r>
          </w:p>
        </w:tc>
        <w:tc>
          <w:tcPr>
            <w:tcW w:w="6084" w:type="dxa"/>
            <w:noWrap w:val="0"/>
            <w:vAlign w:val="center"/>
          </w:tcPr>
          <w:p>
            <w:pPr>
              <w:pStyle w:val="74"/>
              <w:spacing w:line="276" w:lineRule="auto"/>
              <w:ind w:firstLine="210" w:firstLineChars="100"/>
              <w:jc w:val="both"/>
              <w:rPr>
                <w:color w:val="auto"/>
                <w:sz w:val="21"/>
                <w:szCs w:val="21"/>
                <w:lang w:val="zh-CN"/>
              </w:rPr>
            </w:pPr>
            <w:r>
              <w:rPr>
                <w:rFonts w:hint="eastAsia"/>
                <w:color w:val="auto"/>
                <w:sz w:val="21"/>
                <w:szCs w:val="21"/>
                <w:lang w:val="zh-CN"/>
              </w:rPr>
              <w:t>在中国政府采购网上予以公告。</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8</w:t>
            </w:r>
          </w:p>
        </w:tc>
        <w:tc>
          <w:tcPr>
            <w:tcW w:w="2409" w:type="dxa"/>
            <w:noWrap w:val="0"/>
            <w:vAlign w:val="center"/>
          </w:tcPr>
          <w:p>
            <w:pPr>
              <w:pStyle w:val="74"/>
              <w:spacing w:line="276" w:lineRule="auto"/>
              <w:ind w:left="38"/>
              <w:jc w:val="center"/>
              <w:rPr>
                <w:color w:val="auto"/>
                <w:sz w:val="21"/>
                <w:szCs w:val="21"/>
                <w:lang w:val="zh-CN"/>
              </w:rPr>
            </w:pPr>
            <w:r>
              <w:rPr>
                <w:rFonts w:hint="eastAsia"/>
                <w:color w:val="auto"/>
                <w:sz w:val="21"/>
                <w:szCs w:val="21"/>
                <w:lang w:val="zh-CN"/>
              </w:rPr>
              <w:t>磋商保证金</w:t>
            </w:r>
          </w:p>
        </w:tc>
        <w:tc>
          <w:tcPr>
            <w:tcW w:w="6084" w:type="dxa"/>
            <w:noWrap w:val="0"/>
            <w:vAlign w:val="center"/>
          </w:tcPr>
          <w:p>
            <w:pPr>
              <w:pStyle w:val="74"/>
              <w:spacing w:line="276" w:lineRule="auto"/>
              <w:ind w:firstLine="210" w:firstLineChars="100"/>
              <w:jc w:val="both"/>
              <w:rPr>
                <w:rFonts w:hint="eastAsia"/>
                <w:color w:val="auto"/>
                <w:sz w:val="21"/>
                <w:szCs w:val="21"/>
                <w:lang w:val="zh-CN"/>
              </w:rPr>
            </w:pPr>
            <w:r>
              <w:rPr>
                <w:rFonts w:hint="eastAsia"/>
                <w:color w:val="auto"/>
                <w:sz w:val="21"/>
                <w:szCs w:val="21"/>
                <w:lang w:val="zh-CN"/>
              </w:rPr>
              <w:t>金额：</w:t>
            </w:r>
            <w:r>
              <w:rPr>
                <w:rFonts w:hint="eastAsia"/>
                <w:color w:val="auto"/>
                <w:sz w:val="21"/>
                <w:szCs w:val="21"/>
                <w:lang w:val="en-US" w:eastAsia="zh-CN"/>
              </w:rPr>
              <w:t>20</w:t>
            </w:r>
            <w:r>
              <w:rPr>
                <w:rFonts w:hint="eastAsia"/>
                <w:color w:val="auto"/>
                <w:sz w:val="21"/>
                <w:szCs w:val="21"/>
                <w:lang w:val="zh-CN"/>
              </w:rPr>
              <w:t>000.00元（大写：</w:t>
            </w:r>
            <w:r>
              <w:rPr>
                <w:rFonts w:hint="eastAsia"/>
                <w:color w:val="auto"/>
                <w:sz w:val="21"/>
                <w:szCs w:val="21"/>
                <w:lang w:val="en-US" w:eastAsia="zh-CN"/>
              </w:rPr>
              <w:t>贰万</w:t>
            </w:r>
            <w:r>
              <w:rPr>
                <w:rFonts w:hint="eastAsia"/>
                <w:color w:val="auto"/>
                <w:sz w:val="21"/>
                <w:szCs w:val="21"/>
                <w:lang w:val="zh-CN"/>
              </w:rPr>
              <w:t>元整）</w:t>
            </w:r>
          </w:p>
          <w:p>
            <w:pPr>
              <w:pStyle w:val="74"/>
              <w:spacing w:line="276" w:lineRule="auto"/>
              <w:ind w:firstLine="210" w:firstLineChars="100"/>
              <w:jc w:val="both"/>
              <w:rPr>
                <w:rFonts w:hint="eastAsia"/>
                <w:color w:val="auto"/>
                <w:sz w:val="21"/>
                <w:szCs w:val="21"/>
                <w:lang w:val="zh-CN"/>
              </w:rPr>
            </w:pPr>
            <w:r>
              <w:rPr>
                <w:rFonts w:hint="eastAsia"/>
                <w:color w:val="auto"/>
                <w:sz w:val="21"/>
                <w:szCs w:val="21"/>
                <w:lang w:val="zh-CN"/>
              </w:rPr>
              <w:t>交纳方式：银行转账（基本账户）</w:t>
            </w:r>
            <w:r>
              <w:rPr>
                <w:rFonts w:hint="eastAsia"/>
                <w:color w:val="auto"/>
                <w:sz w:val="21"/>
                <w:szCs w:val="21"/>
                <w:lang w:val="en-US" w:eastAsia="zh-CN"/>
              </w:rPr>
              <w:t>或</w:t>
            </w:r>
            <w:r>
              <w:rPr>
                <w:rFonts w:hint="eastAsia"/>
                <w:color w:val="auto"/>
                <w:sz w:val="21"/>
                <w:szCs w:val="21"/>
                <w:lang w:val="zh-CN"/>
              </w:rPr>
              <w:t>现金方式</w:t>
            </w:r>
          </w:p>
          <w:p>
            <w:pPr>
              <w:pStyle w:val="74"/>
              <w:spacing w:line="276" w:lineRule="auto"/>
              <w:ind w:firstLine="210" w:firstLineChars="100"/>
              <w:jc w:val="both"/>
              <w:rPr>
                <w:rFonts w:hint="eastAsia"/>
                <w:color w:val="auto"/>
                <w:sz w:val="21"/>
                <w:szCs w:val="21"/>
                <w:lang w:val="zh-CN"/>
              </w:rPr>
            </w:pPr>
            <w:r>
              <w:rPr>
                <w:rFonts w:hint="eastAsia"/>
                <w:color w:val="auto"/>
                <w:sz w:val="21"/>
                <w:szCs w:val="21"/>
                <w:lang w:val="zh-CN"/>
              </w:rPr>
              <w:t>收款单位：四川玖久公信招标代理有限公司</w:t>
            </w:r>
          </w:p>
          <w:p>
            <w:pPr>
              <w:pStyle w:val="74"/>
              <w:spacing w:line="276" w:lineRule="auto"/>
              <w:ind w:firstLine="210" w:firstLineChars="100"/>
              <w:rPr>
                <w:rFonts w:hint="eastAsia"/>
                <w:color w:val="auto"/>
                <w:sz w:val="21"/>
                <w:szCs w:val="21"/>
                <w:lang w:val="zh-CN"/>
              </w:rPr>
            </w:pPr>
            <w:r>
              <w:rPr>
                <w:rFonts w:hint="eastAsia"/>
                <w:color w:val="auto"/>
                <w:sz w:val="21"/>
                <w:szCs w:val="21"/>
                <w:lang w:val="zh-CN"/>
              </w:rPr>
              <w:t>开户行：中国银行绵阳高新技术产业开发区支行</w:t>
            </w:r>
          </w:p>
          <w:p>
            <w:pPr>
              <w:pStyle w:val="74"/>
              <w:spacing w:line="276" w:lineRule="auto"/>
              <w:ind w:firstLine="210" w:firstLineChars="100"/>
              <w:jc w:val="both"/>
              <w:rPr>
                <w:rFonts w:hint="eastAsia"/>
                <w:color w:val="auto"/>
                <w:sz w:val="21"/>
                <w:szCs w:val="21"/>
                <w:lang w:val="zh-CN"/>
              </w:rPr>
            </w:pPr>
            <w:r>
              <w:rPr>
                <w:rFonts w:hint="eastAsia"/>
                <w:color w:val="auto"/>
                <w:sz w:val="21"/>
                <w:szCs w:val="21"/>
                <w:lang w:val="zh-CN"/>
              </w:rPr>
              <w:t>银行账号：129312973767</w:t>
            </w:r>
            <w:bookmarkStart w:id="324" w:name="_GoBack"/>
            <w:bookmarkEnd w:id="324"/>
          </w:p>
          <w:p>
            <w:pPr>
              <w:pStyle w:val="74"/>
              <w:spacing w:line="276" w:lineRule="auto"/>
              <w:ind w:firstLine="210" w:firstLineChars="100"/>
              <w:jc w:val="both"/>
              <w:rPr>
                <w:rFonts w:hint="eastAsia"/>
                <w:color w:val="auto"/>
                <w:sz w:val="21"/>
                <w:szCs w:val="21"/>
                <w:lang w:val="zh-CN"/>
              </w:rPr>
            </w:pPr>
            <w:r>
              <w:rPr>
                <w:rFonts w:hint="eastAsia"/>
                <w:color w:val="auto"/>
                <w:sz w:val="21"/>
                <w:szCs w:val="21"/>
                <w:lang w:val="zh-CN"/>
              </w:rPr>
              <w:t>保证金交纳截止时间：</w:t>
            </w:r>
            <w:r>
              <w:rPr>
                <w:rFonts w:hint="eastAsia"/>
                <w:b/>
                <w:bCs/>
                <w:color w:val="auto"/>
                <w:sz w:val="21"/>
                <w:szCs w:val="21"/>
                <w:lang w:val="zh-CN"/>
              </w:rPr>
              <w:t>2022年0</w:t>
            </w:r>
            <w:r>
              <w:rPr>
                <w:rFonts w:hint="eastAsia"/>
                <w:b/>
                <w:bCs/>
                <w:color w:val="auto"/>
                <w:sz w:val="21"/>
                <w:szCs w:val="21"/>
                <w:lang w:val="en-US" w:eastAsia="zh-CN"/>
              </w:rPr>
              <w:t>2</w:t>
            </w:r>
            <w:r>
              <w:rPr>
                <w:rFonts w:hint="eastAsia"/>
                <w:b/>
                <w:bCs/>
                <w:color w:val="auto"/>
                <w:sz w:val="21"/>
                <w:szCs w:val="21"/>
                <w:lang w:val="zh-CN"/>
              </w:rPr>
              <w:t>月</w:t>
            </w:r>
            <w:r>
              <w:rPr>
                <w:rFonts w:hint="eastAsia"/>
                <w:b/>
                <w:bCs/>
                <w:color w:val="auto"/>
                <w:sz w:val="21"/>
                <w:szCs w:val="21"/>
                <w:lang w:val="en-US" w:eastAsia="zh-CN"/>
              </w:rPr>
              <w:t>07</w:t>
            </w:r>
            <w:r>
              <w:rPr>
                <w:rFonts w:hint="eastAsia"/>
                <w:b/>
                <w:bCs/>
                <w:color w:val="auto"/>
                <w:sz w:val="21"/>
                <w:szCs w:val="21"/>
                <w:lang w:val="zh-CN"/>
              </w:rPr>
              <w:t>日12:00时</w:t>
            </w:r>
            <w:r>
              <w:rPr>
                <w:rFonts w:hint="eastAsia"/>
                <w:color w:val="auto"/>
                <w:sz w:val="21"/>
                <w:szCs w:val="21"/>
                <w:lang w:val="zh-CN"/>
              </w:rPr>
              <w:t>（以银行到账时间为准）</w:t>
            </w:r>
          </w:p>
          <w:p>
            <w:pPr>
              <w:pStyle w:val="74"/>
              <w:spacing w:line="276" w:lineRule="auto"/>
              <w:ind w:firstLine="210" w:firstLineChars="100"/>
              <w:jc w:val="both"/>
              <w:rPr>
                <w:color w:val="auto"/>
                <w:sz w:val="21"/>
                <w:szCs w:val="21"/>
                <w:lang w:val="zh-CN"/>
              </w:rPr>
            </w:pPr>
            <w:r>
              <w:rPr>
                <w:rFonts w:hint="eastAsia"/>
                <w:color w:val="auto"/>
                <w:sz w:val="21"/>
                <w:szCs w:val="21"/>
                <w:lang w:val="zh-CN"/>
              </w:rPr>
              <w:t>未成交供应商交纳的磋商保证金在成交供应商领取成交通知书后5个工作日内原路无息退还；成交供应商交纳的磋商保证金在与采购单位签订合同并送交合同原件一份给四川玖久公信招标代理有限公司后5个工作日内原路无息退还。</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9</w:t>
            </w:r>
          </w:p>
        </w:tc>
        <w:tc>
          <w:tcPr>
            <w:tcW w:w="2409" w:type="dxa"/>
            <w:noWrap w:val="0"/>
            <w:vAlign w:val="center"/>
          </w:tcPr>
          <w:p>
            <w:pPr>
              <w:pStyle w:val="74"/>
              <w:spacing w:line="276" w:lineRule="auto"/>
              <w:ind w:left="38"/>
              <w:jc w:val="center"/>
              <w:rPr>
                <w:color w:val="auto"/>
                <w:sz w:val="21"/>
                <w:szCs w:val="21"/>
                <w:lang w:val="zh-CN"/>
              </w:rPr>
            </w:pPr>
            <w:r>
              <w:rPr>
                <w:rFonts w:hint="eastAsia"/>
                <w:color w:val="auto"/>
                <w:sz w:val="21"/>
                <w:szCs w:val="21"/>
                <w:lang w:val="zh-CN"/>
              </w:rPr>
              <w:t>履约保证金</w:t>
            </w:r>
          </w:p>
        </w:tc>
        <w:tc>
          <w:tcPr>
            <w:tcW w:w="6084" w:type="dxa"/>
            <w:noWrap w:val="0"/>
            <w:vAlign w:val="center"/>
          </w:tcPr>
          <w:p>
            <w:pPr>
              <w:widowControl/>
              <w:ind w:firstLine="210" w:firstLineChars="100"/>
              <w:jc w:val="left"/>
              <w:rPr>
                <w:rFonts w:hint="eastAsia" w:ascii="宋体" w:hAnsi="宋体" w:cs="宋体"/>
                <w:color w:val="auto"/>
                <w:kern w:val="0"/>
                <w:szCs w:val="21"/>
              </w:rPr>
            </w:pPr>
            <w:r>
              <w:rPr>
                <w:rFonts w:hint="eastAsia" w:ascii="宋体" w:hAnsi="宋体" w:cs="宋体"/>
                <w:color w:val="auto"/>
                <w:szCs w:val="21"/>
                <w:lang w:val="zh-CN"/>
              </w:rPr>
              <w:t>金额：成交金额的</w:t>
            </w:r>
            <w:r>
              <w:rPr>
                <w:rFonts w:hint="eastAsia" w:ascii="宋体" w:hAnsi="宋体" w:cs="宋体"/>
                <w:color w:val="auto"/>
                <w:szCs w:val="21"/>
              </w:rPr>
              <w:t>10</w:t>
            </w:r>
            <w:r>
              <w:rPr>
                <w:rFonts w:hint="eastAsia" w:ascii="宋体" w:hAnsi="宋体" w:cs="宋体"/>
                <w:color w:val="auto"/>
                <w:szCs w:val="21"/>
                <w:lang w:val="zh-CN"/>
              </w:rPr>
              <w:t>%。</w:t>
            </w:r>
            <w:r>
              <w:rPr>
                <w:rFonts w:hint="eastAsia" w:ascii="宋体" w:hAnsi="宋体" w:cs="宋体"/>
                <w:color w:val="auto"/>
                <w:kern w:val="0"/>
                <w:szCs w:val="21"/>
              </w:rPr>
              <w:t>在签订合同前，</w:t>
            </w:r>
            <w:r>
              <w:rPr>
                <w:rFonts w:hint="eastAsia" w:ascii="宋体" w:hAnsi="宋体" w:cs="宋体"/>
                <w:color w:val="auto"/>
                <w:kern w:val="0"/>
                <w:szCs w:val="21"/>
                <w:lang w:val="en-US" w:eastAsia="zh-CN"/>
              </w:rPr>
              <w:t>成交供应商</w:t>
            </w:r>
            <w:r>
              <w:rPr>
                <w:rFonts w:hint="eastAsia" w:ascii="宋体" w:hAnsi="宋体" w:cs="宋体"/>
                <w:color w:val="auto"/>
                <w:kern w:val="0"/>
                <w:szCs w:val="21"/>
              </w:rPr>
              <w:t>应按规定的金额向采购单位提交履约保证金。若成交供应商不能按要求提交履约保证金的，视为放弃成交，其磋商保证金不予退还，给采购单位造成的损失超过磋商保证金数额的，成交供应商还应当对超过部分予以赔偿。</w:t>
            </w:r>
          </w:p>
          <w:p>
            <w:pPr>
              <w:widowControl/>
              <w:ind w:firstLine="210" w:firstLineChars="100"/>
              <w:jc w:val="left"/>
              <w:rPr>
                <w:color w:val="auto"/>
                <w:sz w:val="21"/>
                <w:szCs w:val="21"/>
              </w:rPr>
            </w:pPr>
            <w:r>
              <w:rPr>
                <w:rFonts w:hint="eastAsia"/>
                <w:color w:val="auto"/>
                <w:sz w:val="21"/>
                <w:szCs w:val="21"/>
                <w:lang w:val="zh-CN"/>
              </w:rPr>
              <w:t>交款方式：</w:t>
            </w:r>
            <w:r>
              <w:rPr>
                <w:rFonts w:hint="eastAsia"/>
                <w:color w:val="auto"/>
                <w:sz w:val="21"/>
                <w:szCs w:val="21"/>
                <w:lang w:val="en-US" w:eastAsia="zh-CN"/>
              </w:rPr>
              <w:t>通过</w:t>
            </w:r>
            <w:r>
              <w:rPr>
                <w:rFonts w:hint="eastAsia"/>
                <w:color w:val="auto"/>
                <w:szCs w:val="21"/>
                <w:lang w:val="zh-CN" w:eastAsia="zh-CN"/>
              </w:rPr>
              <w:t>银行</w:t>
            </w:r>
            <w:r>
              <w:rPr>
                <w:rFonts w:hint="eastAsia"/>
                <w:color w:val="auto"/>
                <w:szCs w:val="21"/>
                <w:lang w:val="en-US" w:eastAsia="zh-CN"/>
              </w:rPr>
              <w:t>转账</w:t>
            </w:r>
            <w:r>
              <w:rPr>
                <w:rFonts w:hint="eastAsia"/>
                <w:szCs w:val="21"/>
              </w:rPr>
              <w:t>形式(</w:t>
            </w:r>
            <w:r>
              <w:rPr>
                <w:rFonts w:hint="eastAsia"/>
                <w:szCs w:val="21"/>
                <w:lang w:val="zh-CN"/>
              </w:rPr>
              <w:t>通过供应商基本银行账户转账纳）</w:t>
            </w:r>
            <w:r>
              <w:rPr>
                <w:rFonts w:hint="eastAsia"/>
                <w:color w:val="auto"/>
                <w:szCs w:val="21"/>
                <w:lang w:val="en-US" w:eastAsia="zh-CN"/>
              </w:rPr>
              <w:t xml:space="preserve">         </w:t>
            </w:r>
          </w:p>
          <w:p>
            <w:pPr>
              <w:pStyle w:val="74"/>
              <w:spacing w:line="276" w:lineRule="auto"/>
              <w:ind w:firstLine="210" w:firstLineChars="100"/>
              <w:jc w:val="both"/>
              <w:rPr>
                <w:color w:val="auto"/>
                <w:sz w:val="21"/>
                <w:szCs w:val="21"/>
                <w:lang w:val="zh-CN"/>
              </w:rPr>
            </w:pPr>
            <w:r>
              <w:rPr>
                <w:rFonts w:hint="eastAsia"/>
                <w:color w:val="auto"/>
                <w:sz w:val="21"/>
                <w:szCs w:val="21"/>
                <w:lang w:val="zh-CN"/>
              </w:rPr>
              <w:t>收款单位：绵阳高新市政建设有限责任公司</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10</w:t>
            </w:r>
          </w:p>
        </w:tc>
        <w:tc>
          <w:tcPr>
            <w:tcW w:w="2409" w:type="dxa"/>
            <w:noWrap w:val="0"/>
            <w:vAlign w:val="center"/>
          </w:tcPr>
          <w:p>
            <w:pPr>
              <w:pStyle w:val="74"/>
              <w:spacing w:line="276" w:lineRule="auto"/>
              <w:ind w:left="38"/>
              <w:jc w:val="center"/>
              <w:rPr>
                <w:color w:val="auto"/>
                <w:sz w:val="21"/>
                <w:szCs w:val="21"/>
                <w:lang w:val="zh-CN"/>
              </w:rPr>
            </w:pPr>
            <w:r>
              <w:rPr>
                <w:rFonts w:hint="eastAsia"/>
                <w:bCs/>
                <w:color w:val="auto"/>
                <w:sz w:val="21"/>
                <w:szCs w:val="21"/>
              </w:rPr>
              <w:t>磋商</w:t>
            </w:r>
            <w:r>
              <w:rPr>
                <w:rFonts w:hint="eastAsia"/>
                <w:color w:val="auto"/>
                <w:sz w:val="21"/>
                <w:szCs w:val="21"/>
                <w:lang w:val="zh-CN"/>
              </w:rPr>
              <w:t>文件咨询</w:t>
            </w:r>
          </w:p>
        </w:tc>
        <w:tc>
          <w:tcPr>
            <w:tcW w:w="6084" w:type="dxa"/>
            <w:noWrap w:val="0"/>
            <w:vAlign w:val="center"/>
          </w:tcPr>
          <w:p>
            <w:pPr>
              <w:pStyle w:val="74"/>
              <w:spacing w:line="276" w:lineRule="auto"/>
              <w:ind w:firstLine="210" w:firstLineChars="100"/>
              <w:jc w:val="both"/>
              <w:rPr>
                <w:color w:val="auto"/>
                <w:sz w:val="21"/>
                <w:szCs w:val="21"/>
                <w:lang w:val="zh-CN"/>
              </w:rPr>
            </w:pPr>
            <w:r>
              <w:rPr>
                <w:rFonts w:hint="eastAsia"/>
                <w:color w:val="auto"/>
                <w:sz w:val="21"/>
                <w:szCs w:val="21"/>
                <w:lang w:val="zh-CN"/>
              </w:rPr>
              <w:t xml:space="preserve">联系人：杨星     联系电话：0816-2507739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11</w:t>
            </w:r>
          </w:p>
        </w:tc>
        <w:tc>
          <w:tcPr>
            <w:tcW w:w="2409" w:type="dxa"/>
            <w:noWrap w:val="0"/>
            <w:vAlign w:val="center"/>
          </w:tcPr>
          <w:p>
            <w:pPr>
              <w:pStyle w:val="74"/>
              <w:spacing w:line="276" w:lineRule="auto"/>
              <w:ind w:left="38"/>
              <w:jc w:val="center"/>
              <w:rPr>
                <w:color w:val="auto"/>
                <w:sz w:val="21"/>
                <w:szCs w:val="21"/>
                <w:lang w:val="zh-CN"/>
              </w:rPr>
            </w:pPr>
            <w:r>
              <w:rPr>
                <w:rFonts w:hint="eastAsia"/>
                <w:color w:val="auto"/>
                <w:sz w:val="21"/>
                <w:szCs w:val="21"/>
                <w:lang w:val="zh-CN"/>
              </w:rPr>
              <w:t>磋商过程、结果工作咨询</w:t>
            </w:r>
          </w:p>
        </w:tc>
        <w:tc>
          <w:tcPr>
            <w:tcW w:w="6084" w:type="dxa"/>
            <w:noWrap w:val="0"/>
            <w:vAlign w:val="center"/>
          </w:tcPr>
          <w:p>
            <w:pPr>
              <w:pStyle w:val="74"/>
              <w:spacing w:line="276" w:lineRule="auto"/>
              <w:ind w:firstLine="210" w:firstLineChars="100"/>
              <w:jc w:val="both"/>
              <w:rPr>
                <w:color w:val="auto"/>
                <w:sz w:val="21"/>
                <w:szCs w:val="21"/>
                <w:lang w:val="zh-CN"/>
              </w:rPr>
            </w:pPr>
            <w:r>
              <w:rPr>
                <w:rFonts w:hint="eastAsia"/>
                <w:color w:val="auto"/>
                <w:sz w:val="21"/>
                <w:szCs w:val="21"/>
                <w:lang w:val="zh-CN"/>
              </w:rPr>
              <w:t xml:space="preserve">联系人：杨星     联系电话：0816-2507739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12</w:t>
            </w:r>
          </w:p>
        </w:tc>
        <w:tc>
          <w:tcPr>
            <w:tcW w:w="2409" w:type="dxa"/>
            <w:noWrap w:val="0"/>
            <w:vAlign w:val="center"/>
          </w:tcPr>
          <w:p>
            <w:pPr>
              <w:pStyle w:val="74"/>
              <w:spacing w:line="276" w:lineRule="auto"/>
              <w:ind w:left="38"/>
              <w:jc w:val="center"/>
              <w:rPr>
                <w:color w:val="auto"/>
                <w:sz w:val="21"/>
                <w:szCs w:val="21"/>
                <w:lang w:val="zh-CN"/>
              </w:rPr>
            </w:pPr>
            <w:r>
              <w:rPr>
                <w:rFonts w:hint="eastAsia"/>
                <w:color w:val="auto"/>
                <w:sz w:val="21"/>
                <w:szCs w:val="21"/>
                <w:lang w:val="zh-CN"/>
              </w:rPr>
              <w:t>成交通知书领取</w:t>
            </w:r>
          </w:p>
        </w:tc>
        <w:tc>
          <w:tcPr>
            <w:tcW w:w="6084" w:type="dxa"/>
            <w:noWrap w:val="0"/>
            <w:vAlign w:val="center"/>
          </w:tcPr>
          <w:p>
            <w:pPr>
              <w:pStyle w:val="74"/>
              <w:spacing w:line="276" w:lineRule="auto"/>
              <w:ind w:left="2"/>
              <w:jc w:val="both"/>
              <w:rPr>
                <w:color w:val="auto"/>
                <w:sz w:val="21"/>
                <w:szCs w:val="21"/>
                <w:lang w:val="zh-CN"/>
              </w:rPr>
            </w:pPr>
            <w:r>
              <w:rPr>
                <w:rFonts w:hint="eastAsia"/>
                <w:color w:val="auto"/>
                <w:sz w:val="21"/>
                <w:szCs w:val="21"/>
                <w:lang w:val="zh-CN"/>
              </w:rPr>
              <w:t xml:space="preserve">  采购成交公告在中国政府采购网上发布后，请成交供应商凭有效身份证明证件到四川玖久公信招标代理有限公司领取成交通知书。</w:t>
            </w:r>
          </w:p>
          <w:p>
            <w:pPr>
              <w:pStyle w:val="74"/>
              <w:spacing w:line="276" w:lineRule="auto"/>
              <w:ind w:firstLine="210" w:firstLineChars="100"/>
              <w:jc w:val="both"/>
              <w:rPr>
                <w:color w:val="auto"/>
                <w:sz w:val="21"/>
                <w:szCs w:val="21"/>
                <w:lang w:val="zh-CN"/>
              </w:rPr>
            </w:pPr>
            <w:r>
              <w:rPr>
                <w:rFonts w:hint="eastAsia"/>
                <w:color w:val="auto"/>
                <w:sz w:val="21"/>
                <w:szCs w:val="21"/>
                <w:lang w:val="zh-CN"/>
              </w:rPr>
              <w:t>联系电话：肖波   联系电话：0816-2219399</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13</w:t>
            </w:r>
          </w:p>
        </w:tc>
        <w:tc>
          <w:tcPr>
            <w:tcW w:w="2409" w:type="dxa"/>
            <w:noWrap w:val="0"/>
            <w:vAlign w:val="center"/>
          </w:tcPr>
          <w:p>
            <w:pPr>
              <w:pStyle w:val="74"/>
              <w:spacing w:line="276" w:lineRule="auto"/>
              <w:ind w:left="38"/>
              <w:jc w:val="center"/>
              <w:rPr>
                <w:color w:val="auto"/>
                <w:sz w:val="21"/>
                <w:szCs w:val="21"/>
                <w:lang w:val="zh-CN"/>
              </w:rPr>
            </w:pPr>
            <w:r>
              <w:rPr>
                <w:rFonts w:hint="eastAsia"/>
                <w:color w:val="auto"/>
                <w:sz w:val="21"/>
                <w:szCs w:val="21"/>
                <w:lang w:val="zh-CN"/>
              </w:rPr>
              <w:t>供应商询问</w:t>
            </w:r>
          </w:p>
        </w:tc>
        <w:tc>
          <w:tcPr>
            <w:tcW w:w="6084" w:type="dxa"/>
            <w:noWrap w:val="0"/>
            <w:vAlign w:val="center"/>
          </w:tcPr>
          <w:p>
            <w:pPr>
              <w:pStyle w:val="74"/>
              <w:spacing w:line="276" w:lineRule="auto"/>
              <w:ind w:firstLine="210" w:firstLineChars="100"/>
              <w:jc w:val="both"/>
              <w:rPr>
                <w:color w:val="auto"/>
                <w:sz w:val="21"/>
                <w:szCs w:val="21"/>
                <w:lang w:val="zh-CN"/>
              </w:rPr>
            </w:pPr>
            <w:r>
              <w:rPr>
                <w:rFonts w:hint="eastAsia"/>
                <w:color w:val="auto"/>
                <w:sz w:val="21"/>
                <w:szCs w:val="21"/>
                <w:lang w:val="zh-CN"/>
              </w:rPr>
              <w:t>根据委托代理协议约定，供应商询问由四川玖久公信招标代理有限公司负责答复，采购单位协助答复。</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tcBorders>
              <w:top w:val="single" w:color="auto" w:sz="8" w:space="0"/>
              <w:left w:val="single" w:color="auto" w:sz="18" w:space="0"/>
              <w:bottom w:val="single" w:color="auto" w:sz="8" w:space="0"/>
              <w:right w:val="single" w:color="auto" w:sz="8" w:space="0"/>
            </w:tcBorders>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14</w:t>
            </w:r>
          </w:p>
        </w:tc>
        <w:tc>
          <w:tcPr>
            <w:tcW w:w="2409" w:type="dxa"/>
            <w:tcBorders>
              <w:top w:val="single" w:color="auto" w:sz="8" w:space="0"/>
              <w:left w:val="single" w:color="auto" w:sz="8" w:space="0"/>
              <w:bottom w:val="single" w:color="auto" w:sz="8" w:space="0"/>
              <w:right w:val="single" w:color="auto" w:sz="8" w:space="0"/>
            </w:tcBorders>
            <w:noWrap w:val="0"/>
            <w:vAlign w:val="center"/>
          </w:tcPr>
          <w:p>
            <w:pPr>
              <w:pStyle w:val="74"/>
              <w:spacing w:line="276" w:lineRule="auto"/>
              <w:ind w:left="96"/>
              <w:jc w:val="center"/>
              <w:rPr>
                <w:color w:val="auto"/>
                <w:sz w:val="21"/>
                <w:szCs w:val="21"/>
                <w:lang w:val="zh-CN"/>
              </w:rPr>
            </w:pPr>
            <w:r>
              <w:rPr>
                <w:rFonts w:hint="eastAsia"/>
                <w:color w:val="auto"/>
                <w:sz w:val="21"/>
                <w:szCs w:val="21"/>
                <w:lang w:val="zh-CN"/>
              </w:rPr>
              <w:t>供应商质疑</w:t>
            </w:r>
          </w:p>
        </w:tc>
        <w:tc>
          <w:tcPr>
            <w:tcW w:w="6084" w:type="dxa"/>
            <w:tcBorders>
              <w:top w:val="single" w:color="auto" w:sz="8" w:space="0"/>
              <w:left w:val="single" w:color="auto" w:sz="8" w:space="0"/>
              <w:bottom w:val="single" w:color="auto" w:sz="8" w:space="0"/>
              <w:right w:val="single" w:color="auto" w:sz="18" w:space="0"/>
            </w:tcBorders>
            <w:noWrap w:val="0"/>
            <w:vAlign w:val="center"/>
          </w:tcPr>
          <w:p>
            <w:pPr>
              <w:pStyle w:val="74"/>
              <w:spacing w:line="276" w:lineRule="auto"/>
              <w:jc w:val="both"/>
              <w:rPr>
                <w:color w:val="auto"/>
                <w:sz w:val="21"/>
                <w:szCs w:val="21"/>
                <w:lang w:val="zh-CN"/>
              </w:rPr>
            </w:pPr>
            <w:r>
              <w:rPr>
                <w:rFonts w:hint="eastAsia"/>
                <w:color w:val="auto"/>
                <w:sz w:val="21"/>
                <w:szCs w:val="21"/>
                <w:lang w:val="zh-CN"/>
              </w:rPr>
              <w:t xml:space="preserve">  根据委托代理协议约定，供应商质疑由四川玖久公信招标代理有限公司负责答复，采购单位协助答复。</w:t>
            </w:r>
          </w:p>
          <w:p>
            <w:pPr>
              <w:pStyle w:val="74"/>
              <w:spacing w:line="276" w:lineRule="auto"/>
              <w:ind w:firstLine="210" w:firstLineChars="100"/>
              <w:jc w:val="both"/>
              <w:rPr>
                <w:color w:val="auto"/>
                <w:sz w:val="21"/>
                <w:szCs w:val="21"/>
                <w:lang w:val="zh-CN"/>
              </w:rPr>
            </w:pPr>
            <w:r>
              <w:rPr>
                <w:rFonts w:hint="eastAsia"/>
                <w:color w:val="auto"/>
                <w:sz w:val="21"/>
                <w:szCs w:val="21"/>
                <w:lang w:val="zh-CN"/>
              </w:rPr>
              <w:t>联系人：杨星</w:t>
            </w:r>
          </w:p>
          <w:p>
            <w:pPr>
              <w:pStyle w:val="74"/>
              <w:spacing w:line="276" w:lineRule="auto"/>
              <w:ind w:firstLine="210" w:firstLineChars="100"/>
              <w:jc w:val="both"/>
              <w:rPr>
                <w:color w:val="auto"/>
                <w:sz w:val="21"/>
                <w:szCs w:val="21"/>
                <w:lang w:val="zh-CN"/>
              </w:rPr>
            </w:pPr>
            <w:r>
              <w:rPr>
                <w:rFonts w:hint="eastAsia"/>
                <w:color w:val="auto"/>
                <w:sz w:val="21"/>
                <w:szCs w:val="21"/>
                <w:lang w:val="zh-CN"/>
              </w:rPr>
              <w:t>联系电话：0816-2507739</w:t>
            </w:r>
          </w:p>
          <w:p>
            <w:pPr>
              <w:pStyle w:val="74"/>
              <w:spacing w:line="276" w:lineRule="auto"/>
              <w:ind w:firstLine="210" w:firstLineChars="100"/>
              <w:jc w:val="both"/>
              <w:rPr>
                <w:color w:val="auto"/>
                <w:sz w:val="21"/>
                <w:szCs w:val="21"/>
                <w:lang w:val="zh-CN"/>
              </w:rPr>
            </w:pPr>
            <w:r>
              <w:rPr>
                <w:rFonts w:hint="eastAsia"/>
                <w:color w:val="auto"/>
                <w:sz w:val="21"/>
                <w:szCs w:val="21"/>
                <w:lang w:val="zh-CN"/>
              </w:rPr>
              <w:t>注：供应商质疑不得超出磋商文件、磋商过程、磋商结果的范围。</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tcBorders>
              <w:top w:val="single" w:color="auto" w:sz="8" w:space="0"/>
              <w:left w:val="single" w:color="auto" w:sz="18" w:space="0"/>
              <w:bottom w:val="single" w:color="auto" w:sz="8" w:space="0"/>
              <w:right w:val="single" w:color="auto" w:sz="8" w:space="0"/>
            </w:tcBorders>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15</w:t>
            </w:r>
          </w:p>
        </w:tc>
        <w:tc>
          <w:tcPr>
            <w:tcW w:w="2409" w:type="dxa"/>
            <w:tcBorders>
              <w:top w:val="single" w:color="auto" w:sz="8" w:space="0"/>
              <w:left w:val="single" w:color="auto" w:sz="8" w:space="0"/>
              <w:bottom w:val="single" w:color="auto" w:sz="8" w:space="0"/>
              <w:right w:val="single" w:color="auto" w:sz="8" w:space="0"/>
            </w:tcBorders>
            <w:noWrap w:val="0"/>
            <w:vAlign w:val="center"/>
          </w:tcPr>
          <w:p>
            <w:pPr>
              <w:pStyle w:val="74"/>
              <w:spacing w:line="276" w:lineRule="auto"/>
              <w:ind w:left="96"/>
              <w:jc w:val="center"/>
              <w:rPr>
                <w:color w:val="auto"/>
                <w:sz w:val="21"/>
                <w:szCs w:val="21"/>
                <w:lang w:val="zh-CN"/>
              </w:rPr>
            </w:pPr>
            <w:r>
              <w:rPr>
                <w:rFonts w:hint="eastAsia"/>
                <w:color w:val="auto"/>
                <w:sz w:val="21"/>
                <w:szCs w:val="21"/>
                <w:lang w:val="zh-CN"/>
              </w:rPr>
              <w:t>采购合同公告备案</w:t>
            </w:r>
          </w:p>
        </w:tc>
        <w:tc>
          <w:tcPr>
            <w:tcW w:w="6084" w:type="dxa"/>
            <w:tcBorders>
              <w:top w:val="single" w:color="auto" w:sz="8" w:space="0"/>
              <w:left w:val="single" w:color="auto" w:sz="8" w:space="0"/>
              <w:bottom w:val="single" w:color="auto" w:sz="8" w:space="0"/>
              <w:right w:val="single" w:color="auto" w:sz="18" w:space="0"/>
            </w:tcBorders>
            <w:noWrap w:val="0"/>
            <w:vAlign w:val="center"/>
          </w:tcPr>
          <w:p>
            <w:pPr>
              <w:pStyle w:val="74"/>
              <w:spacing w:line="276" w:lineRule="auto"/>
              <w:ind w:leftChars="-1" w:hanging="2"/>
              <w:jc w:val="both"/>
              <w:rPr>
                <w:color w:val="auto"/>
                <w:sz w:val="21"/>
                <w:szCs w:val="21"/>
                <w:lang w:val="zh-CN"/>
              </w:rPr>
            </w:pPr>
            <w:r>
              <w:rPr>
                <w:rFonts w:hint="eastAsia"/>
                <w:color w:val="auto"/>
                <w:sz w:val="21"/>
                <w:szCs w:val="21"/>
                <w:lang w:val="zh-CN"/>
              </w:rPr>
              <w:t xml:space="preserve">  如有需要，采购合同经采购代理机构监章后由采购单位自行公告、备案。</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0" w:hRule="atLeast"/>
          <w:jc w:val="center"/>
        </w:trPr>
        <w:tc>
          <w:tcPr>
            <w:tcW w:w="1013" w:type="dxa"/>
            <w:tcBorders>
              <w:top w:val="single" w:color="auto" w:sz="8" w:space="0"/>
              <w:left w:val="single" w:color="auto" w:sz="18" w:space="0"/>
              <w:bottom w:val="single" w:color="auto" w:sz="8" w:space="0"/>
              <w:right w:val="single" w:color="auto" w:sz="8" w:space="0"/>
            </w:tcBorders>
            <w:noWrap w:val="0"/>
            <w:vAlign w:val="center"/>
          </w:tcPr>
          <w:p>
            <w:pPr>
              <w:pStyle w:val="74"/>
              <w:spacing w:line="276" w:lineRule="auto"/>
              <w:ind w:right="230"/>
              <w:jc w:val="center"/>
              <w:rPr>
                <w:rFonts w:cs="Courier New"/>
                <w:color w:val="auto"/>
                <w:sz w:val="21"/>
                <w:szCs w:val="21"/>
                <w:lang w:val="zh-CN"/>
              </w:rPr>
            </w:pPr>
            <w:r>
              <w:rPr>
                <w:rFonts w:hint="eastAsia" w:cs="Courier New"/>
                <w:color w:val="auto"/>
                <w:sz w:val="21"/>
                <w:szCs w:val="21"/>
                <w:lang w:val="zh-CN"/>
              </w:rPr>
              <w:t>16</w:t>
            </w:r>
          </w:p>
        </w:tc>
        <w:tc>
          <w:tcPr>
            <w:tcW w:w="2409" w:type="dxa"/>
            <w:tcBorders>
              <w:top w:val="single" w:color="auto" w:sz="8" w:space="0"/>
              <w:left w:val="single" w:color="auto" w:sz="8" w:space="0"/>
              <w:bottom w:val="single" w:color="auto" w:sz="8" w:space="0"/>
              <w:right w:val="single" w:color="auto" w:sz="8" w:space="0"/>
            </w:tcBorders>
            <w:noWrap w:val="0"/>
            <w:vAlign w:val="center"/>
          </w:tcPr>
          <w:p>
            <w:pPr>
              <w:pStyle w:val="74"/>
              <w:spacing w:line="276" w:lineRule="auto"/>
              <w:ind w:left="96"/>
              <w:jc w:val="center"/>
              <w:rPr>
                <w:color w:val="auto"/>
                <w:sz w:val="21"/>
                <w:szCs w:val="21"/>
                <w:lang w:val="zh-CN"/>
              </w:rPr>
            </w:pPr>
            <w:r>
              <w:rPr>
                <w:rFonts w:hint="eastAsia"/>
                <w:color w:val="auto"/>
                <w:sz w:val="21"/>
                <w:szCs w:val="21"/>
                <w:lang w:val="zh-CN"/>
              </w:rPr>
              <w:t>磋商费用</w:t>
            </w:r>
          </w:p>
        </w:tc>
        <w:tc>
          <w:tcPr>
            <w:tcW w:w="6084" w:type="dxa"/>
            <w:tcBorders>
              <w:top w:val="single" w:color="auto" w:sz="8" w:space="0"/>
              <w:left w:val="single" w:color="auto" w:sz="8" w:space="0"/>
              <w:bottom w:val="single" w:color="auto" w:sz="8" w:space="0"/>
              <w:right w:val="single" w:color="auto" w:sz="18" w:space="0"/>
            </w:tcBorders>
            <w:noWrap w:val="0"/>
            <w:vAlign w:val="center"/>
          </w:tcPr>
          <w:p>
            <w:pPr>
              <w:pStyle w:val="74"/>
              <w:spacing w:line="276" w:lineRule="auto"/>
              <w:ind w:left="-3" w:leftChars="-127" w:hanging="264" w:hangingChars="126"/>
              <w:jc w:val="both"/>
              <w:rPr>
                <w:color w:val="auto"/>
                <w:sz w:val="21"/>
                <w:szCs w:val="21"/>
                <w:lang w:val="zh-CN"/>
              </w:rPr>
            </w:pPr>
            <w:r>
              <w:rPr>
                <w:rFonts w:hint="eastAsia"/>
                <w:color w:val="auto"/>
                <w:sz w:val="21"/>
                <w:szCs w:val="21"/>
                <w:lang w:val="zh-CN"/>
              </w:rPr>
              <w:t xml:space="preserve">    无论磋商的过程和结果如何，参加磋商的供应商自行承担参加磋商的全部费用。</w:t>
            </w:r>
            <w:r>
              <w:rPr>
                <w:rFonts w:hint="eastAsia"/>
                <w:b/>
                <w:color w:val="auto"/>
                <w:sz w:val="21"/>
                <w:szCs w:val="21"/>
                <w:lang w:val="zh-CN"/>
              </w:rPr>
              <w:t>采购代理费按</w:t>
            </w:r>
            <w:r>
              <w:rPr>
                <w:rFonts w:hint="eastAsia"/>
                <w:b/>
                <w:color w:val="auto"/>
                <w:sz w:val="21"/>
                <w:szCs w:val="21"/>
              </w:rPr>
              <w:t>计价格【2002】1980号文件货物标准</w:t>
            </w:r>
            <w:r>
              <w:rPr>
                <w:rFonts w:hint="eastAsia"/>
                <w:b/>
                <w:color w:val="auto"/>
                <w:sz w:val="21"/>
                <w:szCs w:val="21"/>
                <w:lang w:val="en-US" w:eastAsia="zh-CN"/>
              </w:rPr>
              <w:t>下浮40%</w:t>
            </w:r>
            <w:r>
              <w:rPr>
                <w:rFonts w:hint="eastAsia"/>
                <w:b/>
                <w:color w:val="auto"/>
                <w:sz w:val="21"/>
                <w:szCs w:val="21"/>
                <w:lang w:val="zh-CN"/>
              </w:rPr>
              <w:t>收取，</w:t>
            </w:r>
            <w:r>
              <w:rPr>
                <w:rFonts w:hint="eastAsia"/>
                <w:color w:val="auto"/>
                <w:sz w:val="21"/>
                <w:szCs w:val="21"/>
                <w:lang w:val="zh-CN"/>
              </w:rPr>
              <w:t>由成交供应商领取成交通知书时一次性支付给四川玖久公信招标代理有限公司。</w:t>
            </w:r>
          </w:p>
        </w:tc>
      </w:tr>
    </w:tbl>
    <w:p>
      <w:pPr>
        <w:pStyle w:val="5"/>
        <w:keepNext w:val="0"/>
        <w:keepLines w:val="0"/>
        <w:spacing w:after="0" w:line="360" w:lineRule="auto"/>
        <w:jc w:val="center"/>
        <w:rPr>
          <w:rFonts w:ascii="宋体" w:hAnsi="宋体" w:eastAsia="宋体"/>
          <w:bCs w:val="0"/>
          <w:color w:val="auto"/>
          <w:sz w:val="28"/>
          <w:szCs w:val="28"/>
        </w:rPr>
      </w:pPr>
      <w:bookmarkStart w:id="11" w:name="_Toc17106644"/>
      <w:bookmarkStart w:id="12" w:name="_Toc19457951"/>
      <w:r>
        <w:rPr>
          <w:rFonts w:hint="eastAsia" w:ascii="宋体" w:hAnsi="宋体" w:eastAsia="宋体"/>
          <w:bCs w:val="0"/>
          <w:color w:val="auto"/>
          <w:sz w:val="28"/>
          <w:szCs w:val="28"/>
        </w:rPr>
        <w:t>二、总  则</w:t>
      </w:r>
      <w:bookmarkEnd w:id="11"/>
      <w:bookmarkEnd w:id="12"/>
      <w:bookmarkStart w:id="13" w:name="_Toc183582205"/>
      <w:bookmarkStart w:id="14" w:name="_Toc183682342"/>
      <w:bookmarkStart w:id="15" w:name="_Toc217446034"/>
    </w:p>
    <w:p>
      <w:pPr>
        <w:pStyle w:val="6"/>
        <w:keepNext w:val="0"/>
        <w:keepLines w:val="0"/>
        <w:spacing w:before="0" w:after="0" w:line="360" w:lineRule="auto"/>
        <w:ind w:firstLine="482" w:firstLineChars="200"/>
        <w:rPr>
          <w:rFonts w:ascii="宋体" w:hAnsi="宋体"/>
          <w:color w:val="auto"/>
          <w:sz w:val="24"/>
        </w:rPr>
      </w:pPr>
      <w:bookmarkStart w:id="16" w:name="_Toc2929417"/>
      <w:bookmarkStart w:id="17" w:name="_Toc19457952"/>
      <w:bookmarkStart w:id="18" w:name="_Toc17106645"/>
      <w:r>
        <w:rPr>
          <w:rFonts w:hint="eastAsia" w:ascii="宋体" w:hAnsi="宋体"/>
          <w:color w:val="auto"/>
          <w:sz w:val="24"/>
        </w:rPr>
        <w:t>1</w:t>
      </w:r>
      <w:r>
        <w:rPr>
          <w:rFonts w:ascii="宋体" w:hAnsi="宋体"/>
          <w:color w:val="auto"/>
          <w:sz w:val="24"/>
        </w:rPr>
        <w:t>.</w:t>
      </w:r>
      <w:bookmarkEnd w:id="13"/>
      <w:bookmarkEnd w:id="14"/>
      <w:r>
        <w:rPr>
          <w:rFonts w:hint="eastAsia" w:ascii="宋体" w:hAnsi="宋体"/>
          <w:color w:val="auto"/>
          <w:sz w:val="24"/>
          <w:szCs w:val="24"/>
        </w:rPr>
        <w:t>适用范围</w:t>
      </w:r>
      <w:bookmarkEnd w:id="15"/>
      <w:bookmarkEnd w:id="16"/>
      <w:bookmarkEnd w:id="17"/>
      <w:bookmarkEnd w:id="18"/>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1</w:t>
      </w:r>
      <w:r>
        <w:rPr>
          <w:rFonts w:ascii="宋体" w:hAnsi="宋体"/>
          <w:color w:val="auto"/>
          <w:sz w:val="24"/>
        </w:rPr>
        <w:t>.</w:t>
      </w:r>
      <w:r>
        <w:rPr>
          <w:rFonts w:hint="eastAsia" w:ascii="宋体" w:hAnsi="宋体"/>
          <w:color w:val="auto"/>
          <w:sz w:val="24"/>
        </w:rPr>
        <w:t>1 本磋商文件仅适用于本次磋商所叙述的服务采购。</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1.2 本磋商文件的解释权归采购单位和采购代理机构所有。</w:t>
      </w:r>
    </w:p>
    <w:p>
      <w:pPr>
        <w:pStyle w:val="6"/>
        <w:keepNext w:val="0"/>
        <w:keepLines w:val="0"/>
        <w:spacing w:before="0" w:after="0" w:line="360" w:lineRule="auto"/>
        <w:ind w:firstLine="482" w:firstLineChars="200"/>
        <w:rPr>
          <w:rFonts w:ascii="宋体" w:hAnsi="宋体"/>
          <w:color w:val="auto"/>
          <w:sz w:val="24"/>
        </w:rPr>
      </w:pPr>
      <w:bookmarkStart w:id="19" w:name="_Toc183682343"/>
      <w:bookmarkStart w:id="20" w:name="_Toc217446035"/>
      <w:bookmarkStart w:id="21" w:name="_Toc183582206"/>
      <w:bookmarkStart w:id="22" w:name="_Toc2929418"/>
      <w:bookmarkStart w:id="23" w:name="_Toc19457953"/>
      <w:bookmarkStart w:id="24" w:name="_Toc17106646"/>
      <w:r>
        <w:rPr>
          <w:rFonts w:ascii="宋体" w:hAnsi="宋体"/>
          <w:color w:val="auto"/>
          <w:sz w:val="24"/>
        </w:rPr>
        <w:t>2.</w:t>
      </w:r>
      <w:bookmarkEnd w:id="19"/>
      <w:bookmarkEnd w:id="20"/>
      <w:bookmarkEnd w:id="21"/>
      <w:r>
        <w:rPr>
          <w:rFonts w:hint="eastAsia" w:ascii="宋体" w:hAnsi="宋体"/>
          <w:color w:val="auto"/>
          <w:sz w:val="24"/>
        </w:rPr>
        <w:t>采购主体</w:t>
      </w:r>
      <w:bookmarkEnd w:id="22"/>
      <w:bookmarkEnd w:id="23"/>
      <w:bookmarkEnd w:id="24"/>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2</w:t>
      </w:r>
      <w:r>
        <w:rPr>
          <w:rFonts w:ascii="宋体" w:hAnsi="宋体"/>
          <w:color w:val="auto"/>
          <w:sz w:val="24"/>
        </w:rPr>
        <w:t>.</w:t>
      </w:r>
      <w:r>
        <w:rPr>
          <w:rFonts w:hint="eastAsia" w:ascii="宋体" w:hAnsi="宋体"/>
          <w:color w:val="auto"/>
          <w:sz w:val="24"/>
        </w:rPr>
        <w:t>1本次磋商的采购单位是</w:t>
      </w:r>
      <w:r>
        <w:rPr>
          <w:rFonts w:hint="eastAsia" w:ascii="宋体" w:hAnsi="宋体"/>
          <w:color w:val="auto"/>
          <w:sz w:val="24"/>
          <w:u w:val="single"/>
        </w:rPr>
        <w:t>绵阳高新市政建设有限责任公司</w:t>
      </w:r>
      <w:r>
        <w:rPr>
          <w:rFonts w:hint="eastAsia" w:ascii="宋体" w:hAnsi="宋体"/>
          <w:color w:val="auto"/>
          <w:sz w:val="24"/>
        </w:rPr>
        <w:t xml:space="preserve"> 。</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2</w:t>
      </w:r>
      <w:r>
        <w:rPr>
          <w:rFonts w:ascii="宋体" w:hAnsi="宋体"/>
          <w:color w:val="auto"/>
          <w:sz w:val="24"/>
        </w:rPr>
        <w:t>.</w:t>
      </w:r>
      <w:r>
        <w:rPr>
          <w:rFonts w:hint="eastAsia" w:ascii="宋体" w:hAnsi="宋体"/>
          <w:color w:val="auto"/>
          <w:sz w:val="24"/>
        </w:rPr>
        <w:t>2本次磋商的采购代理机构是</w:t>
      </w:r>
      <w:r>
        <w:rPr>
          <w:rFonts w:hint="eastAsia" w:ascii="宋体" w:hAnsi="宋体"/>
          <w:color w:val="auto"/>
          <w:sz w:val="24"/>
          <w:u w:val="single"/>
        </w:rPr>
        <w:t>四川玖久公信招标代理有限公司</w:t>
      </w:r>
      <w:r>
        <w:rPr>
          <w:rFonts w:hint="eastAsia" w:ascii="宋体" w:hAnsi="宋体"/>
          <w:color w:val="auto"/>
          <w:sz w:val="24"/>
        </w:rPr>
        <w:t>。</w:t>
      </w:r>
    </w:p>
    <w:p>
      <w:pPr>
        <w:pStyle w:val="6"/>
        <w:keepNext w:val="0"/>
        <w:keepLines w:val="0"/>
        <w:spacing w:before="0" w:after="0" w:line="360" w:lineRule="auto"/>
        <w:ind w:firstLine="482" w:firstLineChars="200"/>
        <w:rPr>
          <w:rFonts w:ascii="宋体" w:hAnsi="宋体"/>
          <w:color w:val="auto"/>
          <w:sz w:val="24"/>
        </w:rPr>
      </w:pPr>
      <w:bookmarkStart w:id="25" w:name="_Toc183582207"/>
      <w:bookmarkStart w:id="26" w:name="_Toc217390843"/>
      <w:bookmarkStart w:id="27" w:name="_Toc183682344"/>
      <w:bookmarkStart w:id="28" w:name="_Toc217446036"/>
      <w:bookmarkStart w:id="29" w:name="_Toc2929419"/>
      <w:bookmarkStart w:id="30" w:name="_Toc17106647"/>
      <w:bookmarkStart w:id="31" w:name="_Toc19457954"/>
      <w:r>
        <w:rPr>
          <w:rFonts w:ascii="宋体" w:hAnsi="宋体"/>
          <w:color w:val="auto"/>
          <w:sz w:val="24"/>
        </w:rPr>
        <w:t>3.</w:t>
      </w:r>
      <w:r>
        <w:rPr>
          <w:rFonts w:hint="eastAsia" w:ascii="宋体" w:hAnsi="宋体"/>
          <w:color w:val="auto"/>
          <w:sz w:val="24"/>
        </w:rPr>
        <w:t xml:space="preserve"> 合格</w:t>
      </w:r>
      <w:bookmarkEnd w:id="25"/>
      <w:bookmarkEnd w:id="26"/>
      <w:bookmarkEnd w:id="27"/>
      <w:bookmarkEnd w:id="28"/>
      <w:r>
        <w:rPr>
          <w:rFonts w:hint="eastAsia" w:ascii="宋体" w:hAnsi="宋体"/>
          <w:color w:val="auto"/>
          <w:sz w:val="24"/>
        </w:rPr>
        <w:t>供应商（实质性要求）</w:t>
      </w:r>
      <w:bookmarkEnd w:id="29"/>
      <w:bookmarkEnd w:id="30"/>
      <w:bookmarkEnd w:id="31"/>
    </w:p>
    <w:p>
      <w:pPr>
        <w:pStyle w:val="6"/>
        <w:keepNext w:val="0"/>
        <w:keepLines w:val="0"/>
        <w:spacing w:before="0" w:after="0" w:line="360" w:lineRule="auto"/>
        <w:ind w:firstLine="480" w:firstLineChars="200"/>
        <w:rPr>
          <w:rFonts w:ascii="宋体" w:hAnsi="宋体"/>
          <w:b w:val="0"/>
          <w:color w:val="auto"/>
          <w:sz w:val="24"/>
        </w:rPr>
      </w:pPr>
      <w:r>
        <w:rPr>
          <w:rFonts w:hint="eastAsia" w:ascii="宋体" w:hAnsi="宋体"/>
          <w:b w:val="0"/>
          <w:color w:val="auto"/>
          <w:sz w:val="24"/>
        </w:rPr>
        <w:t>合格供应商应具备以下条件：</w:t>
      </w:r>
    </w:p>
    <w:p>
      <w:pPr>
        <w:tabs>
          <w:tab w:val="left" w:pos="7665"/>
        </w:tabs>
        <w:spacing w:line="360" w:lineRule="auto"/>
        <w:ind w:firstLine="480" w:firstLineChars="200"/>
        <w:rPr>
          <w:rFonts w:ascii="宋体" w:hAnsi="宋体"/>
          <w:color w:val="auto"/>
          <w:spacing w:val="-4"/>
          <w:sz w:val="24"/>
        </w:rPr>
      </w:pPr>
      <w:r>
        <w:rPr>
          <w:rFonts w:hint="eastAsia" w:ascii="宋体" w:hAnsi="宋体"/>
          <w:color w:val="auto"/>
          <w:sz w:val="24"/>
        </w:rPr>
        <w:t>3.1 具备法律法规和本采购文件规定的资格条件</w:t>
      </w:r>
      <w:r>
        <w:rPr>
          <w:rFonts w:hint="eastAsia" w:ascii="宋体" w:hAnsi="宋体"/>
          <w:color w:val="auto"/>
          <w:spacing w:val="-4"/>
          <w:sz w:val="24"/>
        </w:rPr>
        <w:t>；</w:t>
      </w:r>
    </w:p>
    <w:p>
      <w:pPr>
        <w:tabs>
          <w:tab w:val="left" w:pos="7665"/>
        </w:tabs>
        <w:spacing w:line="360" w:lineRule="auto"/>
        <w:ind w:firstLine="464" w:firstLineChars="200"/>
        <w:rPr>
          <w:rFonts w:ascii="宋体" w:hAnsi="宋体"/>
          <w:color w:val="auto"/>
          <w:spacing w:val="-4"/>
          <w:sz w:val="24"/>
        </w:rPr>
      </w:pPr>
      <w:r>
        <w:rPr>
          <w:rFonts w:hint="eastAsia" w:ascii="宋体" w:hAnsi="宋体"/>
          <w:color w:val="auto"/>
          <w:spacing w:val="-4"/>
          <w:sz w:val="24"/>
        </w:rPr>
        <w:t>3.2 不属于禁止参加本项目采购活动的供应商；</w:t>
      </w:r>
    </w:p>
    <w:p>
      <w:pPr>
        <w:tabs>
          <w:tab w:val="left" w:pos="7665"/>
        </w:tabs>
        <w:spacing w:line="360" w:lineRule="auto"/>
        <w:ind w:firstLine="464" w:firstLineChars="200"/>
        <w:rPr>
          <w:rFonts w:ascii="宋体" w:hAnsi="宋体"/>
          <w:color w:val="auto"/>
          <w:spacing w:val="-4"/>
          <w:sz w:val="24"/>
        </w:rPr>
      </w:pPr>
      <w:r>
        <w:rPr>
          <w:rFonts w:hint="eastAsia" w:ascii="宋体" w:hAnsi="宋体"/>
          <w:color w:val="auto"/>
          <w:spacing w:val="-4"/>
          <w:sz w:val="24"/>
        </w:rPr>
        <w:t>3.3 按照规定</w:t>
      </w:r>
      <w:r>
        <w:rPr>
          <w:rFonts w:hint="eastAsia" w:ascii="宋体" w:hAnsi="宋体"/>
          <w:color w:val="auto"/>
          <w:sz w:val="24"/>
        </w:rPr>
        <w:t>获取了磋商文件，属于实质性参加本次采购活动的供应商。</w:t>
      </w:r>
      <w:bookmarkStart w:id="32" w:name="_Toc183582208"/>
      <w:bookmarkStart w:id="33" w:name="_Toc217446037"/>
      <w:bookmarkStart w:id="34" w:name="_Toc183682345"/>
    </w:p>
    <w:p>
      <w:pPr>
        <w:pStyle w:val="6"/>
        <w:keepNext w:val="0"/>
        <w:keepLines w:val="0"/>
        <w:spacing w:before="0" w:after="0" w:line="360" w:lineRule="auto"/>
        <w:ind w:firstLine="482" w:firstLineChars="200"/>
        <w:rPr>
          <w:rFonts w:ascii="宋体" w:hAnsi="宋体"/>
          <w:color w:val="auto"/>
          <w:sz w:val="24"/>
        </w:rPr>
      </w:pPr>
      <w:bookmarkStart w:id="35" w:name="_Toc17106648"/>
      <w:bookmarkStart w:id="36" w:name="_Toc2929420"/>
      <w:bookmarkStart w:id="37" w:name="_Toc19457955"/>
      <w:r>
        <w:rPr>
          <w:rFonts w:hint="eastAsia" w:ascii="宋体" w:hAnsi="宋体"/>
          <w:color w:val="auto"/>
          <w:sz w:val="24"/>
        </w:rPr>
        <w:t>4. 磋商费用</w:t>
      </w:r>
      <w:bookmarkEnd w:id="32"/>
      <w:bookmarkEnd w:id="33"/>
      <w:bookmarkEnd w:id="34"/>
      <w:bookmarkEnd w:id="35"/>
      <w:bookmarkEnd w:id="36"/>
      <w:bookmarkEnd w:id="37"/>
    </w:p>
    <w:p>
      <w:pPr>
        <w:tabs>
          <w:tab w:val="left" w:pos="7665"/>
        </w:tabs>
        <w:spacing w:line="360" w:lineRule="auto"/>
        <w:ind w:firstLine="480"/>
        <w:rPr>
          <w:rFonts w:ascii="宋体" w:hAnsi="宋体"/>
          <w:color w:val="auto"/>
          <w:sz w:val="24"/>
        </w:rPr>
      </w:pPr>
      <w:r>
        <w:rPr>
          <w:rFonts w:hint="eastAsia" w:ascii="宋体" w:hAnsi="宋体"/>
          <w:color w:val="auto"/>
          <w:sz w:val="24"/>
        </w:rPr>
        <w:t>供应商应自行承担参加磋商活动的全部费用。</w:t>
      </w:r>
    </w:p>
    <w:p>
      <w:pPr>
        <w:pStyle w:val="84"/>
        <w:spacing w:line="360" w:lineRule="auto"/>
        <w:ind w:left="1" w:firstLine="482" w:firstLineChars="200"/>
        <w:rPr>
          <w:rFonts w:hAnsi="宋体"/>
          <w:b/>
          <w:color w:val="auto"/>
          <w:sz w:val="24"/>
        </w:rPr>
      </w:pPr>
      <w:r>
        <w:rPr>
          <w:rFonts w:hint="eastAsia" w:hAnsi="宋体"/>
          <w:b/>
          <w:color w:val="auto"/>
          <w:sz w:val="24"/>
        </w:rPr>
        <w:t>5.充分、公平竞争保障措施（实质性要求）</w:t>
      </w:r>
    </w:p>
    <w:p>
      <w:pPr>
        <w:pStyle w:val="84"/>
        <w:spacing w:line="360" w:lineRule="auto"/>
        <w:ind w:left="1" w:firstLine="480" w:firstLineChars="200"/>
        <w:rPr>
          <w:rFonts w:hAnsi="宋体"/>
          <w:color w:val="auto"/>
          <w:sz w:val="28"/>
          <w:szCs w:val="28"/>
        </w:rPr>
      </w:pPr>
      <w:r>
        <w:rPr>
          <w:rFonts w:hint="eastAsia" w:hAnsi="宋体"/>
          <w:color w:val="auto"/>
          <w:sz w:val="24"/>
        </w:rPr>
        <w:t>5.1利害关系供应商处理。单位负责人为同一人或者存在直接控股、管理关系的不同供应商不得参加同一合同项下的采购活动。采购项目实行资格预审的，单位负责人为同一人或者存在直接控股、管理关系的不同供应商可以参加资格预审，但只能由供应商确定其中一家符合条件的供应商参加后续的采购活动，否则，其响应文件作为无效处理。</w:t>
      </w:r>
    </w:p>
    <w:p>
      <w:pPr>
        <w:pStyle w:val="84"/>
        <w:spacing w:line="360" w:lineRule="auto"/>
        <w:ind w:left="1" w:firstLine="480" w:firstLineChars="200"/>
        <w:rPr>
          <w:rFonts w:hAnsi="宋体"/>
          <w:color w:val="auto"/>
          <w:sz w:val="24"/>
        </w:rPr>
      </w:pPr>
      <w:r>
        <w:rPr>
          <w:rFonts w:hint="eastAsia" w:hAnsi="宋体"/>
          <w:color w:val="auto"/>
          <w:sz w:val="24"/>
        </w:rPr>
        <w:t>5.2利害关系授权代表处理。两家以上的供应商不得在同一合同项下的采购项目中，委托同一个自然人、同一家庭的人员、同一单位的人员作为其授权代表，否则，其响应文件作为无效处理。</w:t>
      </w:r>
    </w:p>
    <w:p>
      <w:pPr>
        <w:pStyle w:val="84"/>
        <w:spacing w:line="360" w:lineRule="auto"/>
        <w:ind w:left="1" w:firstLine="480" w:firstLineChars="200"/>
        <w:rPr>
          <w:rFonts w:hAnsi="宋体"/>
          <w:color w:val="auto"/>
          <w:sz w:val="24"/>
        </w:rPr>
      </w:pPr>
      <w:r>
        <w:rPr>
          <w:rFonts w:hint="eastAsia" w:hAnsi="宋体"/>
          <w:color w:val="auto"/>
          <w:sz w:val="24"/>
        </w:rPr>
        <w:t>5.3前期参与供应商处理。为采购项目提供整体设计、规范编制或者项目管理、监理、检测等服务的供应商，不得再参加该采购项目的其他采购活动。供应商为采购单位、采购代理机构在确定采购需求、编制采购文件过程中提供咨询论证，其提供的咨询论证意见成为采购文件中规定的供应商资格条件、技术服务商务要求、</w:t>
      </w:r>
      <w:r>
        <w:rPr>
          <w:rFonts w:hint="eastAsia" w:hAnsi="宋体"/>
          <w:color w:val="auto"/>
          <w:sz w:val="24"/>
          <w:lang w:eastAsia="zh-CN"/>
        </w:rPr>
        <w:t>评审</w:t>
      </w:r>
      <w:r>
        <w:rPr>
          <w:rFonts w:hint="eastAsia" w:hAnsi="宋体"/>
          <w:color w:val="auto"/>
          <w:sz w:val="24"/>
        </w:rPr>
        <w:t>因素和标准、采购合同等实质性内容条款的，视同为采购项目提供规范编制。</w:t>
      </w:r>
    </w:p>
    <w:p>
      <w:pPr>
        <w:pStyle w:val="84"/>
        <w:spacing w:line="360" w:lineRule="auto"/>
        <w:ind w:left="1" w:firstLine="480" w:firstLineChars="200"/>
        <w:rPr>
          <w:rFonts w:hAnsi="宋体"/>
          <w:color w:val="auto"/>
          <w:sz w:val="24"/>
        </w:rPr>
      </w:pPr>
      <w:r>
        <w:rPr>
          <w:rFonts w:hint="eastAsia" w:hAnsi="宋体"/>
          <w:color w:val="auto"/>
          <w:sz w:val="24"/>
        </w:rPr>
        <w:t>5.4供应商实际控制人或者中高级管理人员，同时是采购代理机构工作人员，不得参与本项目采购活动。</w:t>
      </w:r>
    </w:p>
    <w:p>
      <w:pPr>
        <w:spacing w:line="360" w:lineRule="auto"/>
        <w:ind w:firstLine="480" w:firstLineChars="200"/>
        <w:rPr>
          <w:rFonts w:ascii="宋体" w:hAnsi="宋体"/>
          <w:color w:val="auto"/>
          <w:sz w:val="24"/>
        </w:rPr>
      </w:pPr>
      <w:r>
        <w:rPr>
          <w:rFonts w:hint="eastAsia" w:ascii="宋体" w:hAnsi="宋体"/>
          <w:color w:val="auto"/>
          <w:sz w:val="24"/>
        </w:rPr>
        <w:t>5.5供应商与采购代理机构存在关联关系，或者是采购代理机构的母公司或子公司，不得参加本项目采购活动。</w:t>
      </w:r>
    </w:p>
    <w:p>
      <w:pPr>
        <w:pStyle w:val="84"/>
        <w:spacing w:line="360" w:lineRule="auto"/>
        <w:ind w:left="1" w:firstLine="480" w:firstLineChars="200"/>
        <w:rPr>
          <w:rFonts w:hAnsi="宋体"/>
          <w:color w:val="auto"/>
          <w:sz w:val="24"/>
        </w:rPr>
      </w:pPr>
      <w:r>
        <w:rPr>
          <w:rFonts w:hint="eastAsia" w:hAnsi="宋体"/>
          <w:color w:val="auto"/>
          <w:sz w:val="24"/>
        </w:rPr>
        <w:t>5.6回避。本次采购活动中，</w:t>
      </w:r>
      <w:r>
        <w:rPr>
          <w:rFonts w:hint="eastAsia" w:hAnsi="宋体"/>
          <w:color w:val="auto"/>
          <w:sz w:val="24"/>
          <w:lang w:eastAsia="zh-CN"/>
        </w:rPr>
        <w:t>采购单位人员</w:t>
      </w:r>
      <w:r>
        <w:rPr>
          <w:rFonts w:hint="eastAsia" w:hAnsi="宋体"/>
          <w:color w:val="auto"/>
          <w:sz w:val="24"/>
        </w:rPr>
        <w:t>及相关人员与供应商有下列利害关系之一的，应当回避：</w:t>
      </w:r>
    </w:p>
    <w:p>
      <w:pPr>
        <w:pStyle w:val="84"/>
        <w:spacing w:line="360" w:lineRule="auto"/>
        <w:ind w:left="1" w:firstLine="480" w:firstLineChars="200"/>
        <w:rPr>
          <w:rFonts w:hAnsi="宋体"/>
          <w:color w:val="auto"/>
          <w:sz w:val="24"/>
        </w:rPr>
      </w:pPr>
      <w:r>
        <w:rPr>
          <w:rFonts w:hint="eastAsia" w:hAnsi="宋体"/>
          <w:color w:val="auto"/>
          <w:sz w:val="24"/>
        </w:rPr>
        <w:t>（1）参加采购活动前3年内与供应商存在劳动关系；</w:t>
      </w:r>
    </w:p>
    <w:p>
      <w:pPr>
        <w:pStyle w:val="84"/>
        <w:spacing w:line="360" w:lineRule="auto"/>
        <w:ind w:left="1" w:firstLine="480" w:firstLineChars="200"/>
        <w:rPr>
          <w:rFonts w:hAnsi="宋体"/>
          <w:color w:val="auto"/>
          <w:sz w:val="24"/>
        </w:rPr>
      </w:pPr>
      <w:r>
        <w:rPr>
          <w:rFonts w:hint="eastAsia" w:hAnsi="宋体"/>
          <w:color w:val="auto"/>
          <w:sz w:val="24"/>
        </w:rPr>
        <w:t>（2）参加采购活动前3年内担任供应商的董事、监事；</w:t>
      </w:r>
    </w:p>
    <w:p>
      <w:pPr>
        <w:pStyle w:val="84"/>
        <w:spacing w:line="360" w:lineRule="auto"/>
        <w:ind w:left="1" w:firstLine="480" w:firstLineChars="200"/>
        <w:rPr>
          <w:rFonts w:hAnsi="宋体"/>
          <w:color w:val="auto"/>
          <w:sz w:val="24"/>
        </w:rPr>
      </w:pPr>
      <w:r>
        <w:rPr>
          <w:rFonts w:hint="eastAsia" w:hAnsi="宋体"/>
          <w:color w:val="auto"/>
          <w:sz w:val="24"/>
        </w:rPr>
        <w:t>（3）参加采购活动前3年内是供应商的控股股东或者实际控制人；</w:t>
      </w:r>
    </w:p>
    <w:p>
      <w:pPr>
        <w:pStyle w:val="84"/>
        <w:spacing w:line="360" w:lineRule="auto"/>
        <w:ind w:left="1" w:firstLine="480" w:firstLineChars="200"/>
        <w:rPr>
          <w:rFonts w:hAnsi="宋体"/>
          <w:color w:val="auto"/>
          <w:sz w:val="24"/>
        </w:rPr>
      </w:pPr>
      <w:r>
        <w:rPr>
          <w:rFonts w:hint="eastAsia" w:hAnsi="宋体"/>
          <w:color w:val="auto"/>
          <w:sz w:val="24"/>
        </w:rPr>
        <w:t>（4）与供应商的法定代表人或者负责人有夫妻、直系血亲、三代以内旁系血亲或者近姻亲关系；</w:t>
      </w:r>
    </w:p>
    <w:p>
      <w:pPr>
        <w:pStyle w:val="84"/>
        <w:spacing w:line="360" w:lineRule="auto"/>
        <w:ind w:left="1" w:firstLine="480" w:firstLineChars="200"/>
        <w:rPr>
          <w:rFonts w:hAnsi="宋体"/>
          <w:color w:val="auto"/>
          <w:sz w:val="24"/>
        </w:rPr>
      </w:pPr>
      <w:r>
        <w:rPr>
          <w:rFonts w:hint="eastAsia" w:hAnsi="宋体"/>
          <w:color w:val="auto"/>
          <w:sz w:val="24"/>
        </w:rPr>
        <w:t>（5）与供应商有其他可能影响采购活动公平、公正进行的关系。</w:t>
      </w:r>
    </w:p>
    <w:p>
      <w:pPr>
        <w:pStyle w:val="84"/>
        <w:spacing w:line="360" w:lineRule="auto"/>
        <w:ind w:left="1" w:firstLine="480" w:firstLineChars="200"/>
        <w:rPr>
          <w:rFonts w:hAnsi="宋体"/>
          <w:color w:val="auto"/>
          <w:sz w:val="24"/>
        </w:rPr>
      </w:pPr>
      <w:r>
        <w:rPr>
          <w:rFonts w:hint="eastAsia" w:hAnsi="宋体"/>
          <w:color w:val="auto"/>
          <w:sz w:val="24"/>
        </w:rPr>
        <w:t>本项目采购活动中需要依法回避的采购单位</w:t>
      </w:r>
      <w:r>
        <w:rPr>
          <w:rFonts w:hint="eastAsia" w:hAnsi="宋体"/>
          <w:color w:val="auto"/>
          <w:sz w:val="24"/>
          <w:lang w:val="en-US" w:eastAsia="zh-CN"/>
        </w:rPr>
        <w:t>人</w:t>
      </w:r>
      <w:r>
        <w:rPr>
          <w:rFonts w:hint="eastAsia" w:hAnsi="宋体"/>
          <w:color w:val="auto"/>
          <w:sz w:val="24"/>
        </w:rPr>
        <w:t>员是指采购单位内部负责采购项目的具体经办工作人员和直接分管采购项目的负责人，以及采购代理机构负责采购项目的具体经办工作人员和直接分管采购活动的负责人。本项目采购活动中需要依法回避的相关人员是指磋商小组成员。</w:t>
      </w:r>
    </w:p>
    <w:p>
      <w:pPr>
        <w:pStyle w:val="84"/>
        <w:spacing w:line="360" w:lineRule="auto"/>
        <w:ind w:left="1" w:firstLine="480" w:firstLineChars="200"/>
        <w:rPr>
          <w:rFonts w:hAnsi="宋体"/>
          <w:color w:val="auto"/>
          <w:sz w:val="24"/>
        </w:rPr>
      </w:pPr>
      <w:r>
        <w:rPr>
          <w:rFonts w:hint="eastAsia" w:hAnsi="宋体"/>
          <w:color w:val="auto"/>
          <w:sz w:val="24"/>
        </w:rPr>
        <w:t>供应商认为</w:t>
      </w:r>
      <w:r>
        <w:rPr>
          <w:rFonts w:hint="eastAsia" w:hAnsi="宋体"/>
          <w:color w:val="auto"/>
          <w:sz w:val="24"/>
          <w:lang w:eastAsia="zh-CN"/>
        </w:rPr>
        <w:t>采购单位人员</w:t>
      </w:r>
      <w:r>
        <w:rPr>
          <w:rFonts w:hint="eastAsia" w:hAnsi="宋体"/>
          <w:color w:val="auto"/>
          <w:sz w:val="24"/>
        </w:rPr>
        <w:t>及相关人员与其他供应商有利害关系的，可以向采购代理机构书面提出回避申请，并说明理由。采购代理机构将及时询问被申请回避人员，有利害关系的被申请回避人员应当回避。</w:t>
      </w:r>
    </w:p>
    <w:p>
      <w:pPr>
        <w:spacing w:line="360" w:lineRule="auto"/>
        <w:ind w:firstLine="472" w:firstLineChars="196"/>
        <w:rPr>
          <w:rFonts w:ascii="宋体" w:hAnsi="宋体"/>
          <w:b/>
          <w:color w:val="auto"/>
          <w:sz w:val="24"/>
        </w:rPr>
      </w:pPr>
      <w:r>
        <w:rPr>
          <w:rFonts w:hint="eastAsia" w:ascii="宋体" w:hAnsi="宋体"/>
          <w:b/>
          <w:color w:val="auto"/>
          <w:sz w:val="24"/>
        </w:rPr>
        <w:t>7.响应文件有效期（实质性要求）</w:t>
      </w:r>
    </w:p>
    <w:p>
      <w:pPr>
        <w:spacing w:line="360" w:lineRule="auto"/>
        <w:ind w:firstLine="470" w:firstLineChars="196"/>
        <w:rPr>
          <w:rFonts w:ascii="宋体" w:hAnsi="宋体"/>
          <w:color w:val="auto"/>
          <w:sz w:val="24"/>
        </w:rPr>
      </w:pPr>
      <w:r>
        <w:rPr>
          <w:rFonts w:hint="eastAsia" w:ascii="宋体" w:hAnsi="宋体"/>
          <w:color w:val="auto"/>
          <w:sz w:val="24"/>
        </w:rPr>
        <w:t>本项目响应文件有效期为递交磋商响应文件截止之日起60天。供应商响应文件中必须载明响应文件有效期，响应文件中载明的响应文件有效期可以长于磋商文件规定的期限，但不得短于磋商文件规定的期限。否则，其响应文件将作为无效处理。</w:t>
      </w:r>
    </w:p>
    <w:p>
      <w:pPr>
        <w:pStyle w:val="11"/>
        <w:spacing w:line="360" w:lineRule="auto"/>
        <w:ind w:firstLine="482" w:firstLineChars="200"/>
        <w:rPr>
          <w:rFonts w:ascii="宋体" w:hAnsi="宋体"/>
          <w:b/>
          <w:bCs/>
          <w:color w:val="auto"/>
          <w:sz w:val="24"/>
          <w:szCs w:val="24"/>
        </w:rPr>
      </w:pPr>
      <w:r>
        <w:rPr>
          <w:rFonts w:hint="eastAsia" w:ascii="宋体" w:hAnsi="宋体"/>
          <w:b/>
          <w:color w:val="auto"/>
          <w:sz w:val="24"/>
        </w:rPr>
        <w:t>8.</w:t>
      </w:r>
      <w:r>
        <w:rPr>
          <w:rFonts w:hint="eastAsia" w:ascii="宋体" w:hAnsi="宋体"/>
          <w:b/>
          <w:bCs/>
          <w:color w:val="auto"/>
          <w:sz w:val="24"/>
          <w:szCs w:val="24"/>
        </w:rPr>
        <w:t>知识产权（实质性要求）</w:t>
      </w:r>
    </w:p>
    <w:p>
      <w:pPr>
        <w:pStyle w:val="11"/>
        <w:spacing w:line="360" w:lineRule="auto"/>
        <w:ind w:firstLine="480" w:firstLineChars="200"/>
        <w:rPr>
          <w:rFonts w:ascii="宋体" w:hAnsi="宋体"/>
          <w:color w:val="auto"/>
          <w:sz w:val="24"/>
          <w:szCs w:val="24"/>
        </w:rPr>
      </w:pPr>
      <w:r>
        <w:rPr>
          <w:rFonts w:hint="eastAsia" w:ascii="宋体" w:hAnsi="宋体"/>
          <w:color w:val="auto"/>
          <w:sz w:val="24"/>
          <w:szCs w:val="24"/>
        </w:rPr>
        <w:t>8</w:t>
      </w:r>
      <w:r>
        <w:rPr>
          <w:rFonts w:ascii="宋体" w:hAnsi="宋体"/>
          <w:color w:val="auto"/>
          <w:sz w:val="24"/>
          <w:szCs w:val="24"/>
        </w:rPr>
        <w:t>.1</w:t>
      </w:r>
      <w:r>
        <w:rPr>
          <w:rFonts w:hint="eastAsia" w:ascii="宋体" w:hAnsi="宋体"/>
          <w:color w:val="auto"/>
          <w:sz w:val="24"/>
        </w:rPr>
        <w:t>供应商</w:t>
      </w:r>
      <w:r>
        <w:rPr>
          <w:rFonts w:hint="eastAsia" w:ascii="宋体" w:hAnsi="宋体"/>
          <w:color w:val="auto"/>
          <w:sz w:val="24"/>
          <w:szCs w:val="24"/>
        </w:rPr>
        <w:t>应保证在本项目中使用的任何设备和服务（包括部分使用），不会产生因第三方提出侵犯其专利权、商标权或其它知识产权而引起的法律和经济纠纷，如因专利权、商标权或其它知识产权而引起法律和经济纠纷，由</w:t>
      </w:r>
      <w:r>
        <w:rPr>
          <w:rFonts w:hint="eastAsia" w:ascii="宋体" w:hAnsi="宋体"/>
          <w:color w:val="auto"/>
          <w:sz w:val="24"/>
        </w:rPr>
        <w:t>供应商</w:t>
      </w:r>
      <w:r>
        <w:rPr>
          <w:rFonts w:hint="eastAsia" w:ascii="宋体" w:hAnsi="宋体"/>
          <w:color w:val="auto"/>
          <w:sz w:val="24"/>
          <w:szCs w:val="24"/>
        </w:rPr>
        <w:t>承担所有相关责任。</w:t>
      </w:r>
    </w:p>
    <w:p>
      <w:pPr>
        <w:pStyle w:val="11"/>
        <w:spacing w:line="360" w:lineRule="auto"/>
        <w:ind w:firstLine="480" w:firstLineChars="200"/>
        <w:rPr>
          <w:rFonts w:ascii="宋体" w:hAnsi="宋体"/>
          <w:b/>
          <w:bCs/>
          <w:color w:val="auto"/>
          <w:sz w:val="24"/>
          <w:szCs w:val="24"/>
        </w:rPr>
      </w:pPr>
      <w:r>
        <w:rPr>
          <w:rFonts w:hint="eastAsia" w:ascii="宋体" w:hAnsi="宋体"/>
          <w:color w:val="auto"/>
          <w:sz w:val="24"/>
          <w:szCs w:val="24"/>
        </w:rPr>
        <w:t>8</w:t>
      </w:r>
      <w:r>
        <w:rPr>
          <w:rFonts w:ascii="宋体" w:hAnsi="宋体"/>
          <w:color w:val="auto"/>
          <w:sz w:val="24"/>
          <w:szCs w:val="24"/>
        </w:rPr>
        <w:t>.2</w:t>
      </w:r>
      <w:r>
        <w:rPr>
          <w:rFonts w:hint="eastAsia" w:ascii="宋体" w:hAnsi="宋体"/>
          <w:b/>
          <w:bCs/>
          <w:color w:val="auto"/>
          <w:sz w:val="24"/>
          <w:szCs w:val="24"/>
        </w:rPr>
        <w:t>除非磋商文件特别规定，采购单位享有本项目实施过程中产生的定制化部分知识成果及知识产权。供应商应向采购方提供该软件定制化部分非核心源代码。</w:t>
      </w:r>
    </w:p>
    <w:p>
      <w:pPr>
        <w:spacing w:line="360" w:lineRule="auto"/>
        <w:ind w:firstLine="480" w:firstLineChars="200"/>
        <w:rPr>
          <w:rFonts w:ascii="宋体" w:hAnsi="宋体"/>
          <w:color w:val="auto"/>
          <w:sz w:val="32"/>
          <w:szCs w:val="32"/>
        </w:rPr>
      </w:pPr>
      <w:r>
        <w:rPr>
          <w:rFonts w:hint="eastAsia" w:ascii="宋体" w:hAnsi="宋体"/>
          <w:color w:val="auto"/>
          <w:sz w:val="24"/>
        </w:rPr>
        <w:t>8</w:t>
      </w:r>
      <w:r>
        <w:rPr>
          <w:rFonts w:ascii="宋体" w:hAnsi="宋体"/>
          <w:color w:val="auto"/>
          <w:sz w:val="24"/>
        </w:rPr>
        <w:t>.3</w:t>
      </w:r>
      <w:r>
        <w:rPr>
          <w:rFonts w:hint="eastAsia" w:ascii="宋体" w:hAnsi="宋体"/>
          <w:color w:val="auto"/>
          <w:sz w:val="24"/>
        </w:rPr>
        <w:t>供应商将在采购项目实施过程中采用自有或者第三方知识成果的，应当在响应文件中载明，并提供相关知识产权证明文件。采购单位享有使用权。</w:t>
      </w:r>
    </w:p>
    <w:p>
      <w:pPr>
        <w:spacing w:line="360" w:lineRule="auto"/>
        <w:ind w:firstLine="460" w:firstLineChars="192"/>
        <w:rPr>
          <w:rFonts w:ascii="宋体" w:hAnsi="宋体"/>
          <w:color w:val="auto"/>
          <w:sz w:val="24"/>
        </w:rPr>
      </w:pPr>
      <w:r>
        <w:rPr>
          <w:rFonts w:hint="eastAsia" w:ascii="宋体" w:hAnsi="宋体"/>
          <w:color w:val="auto"/>
          <w:sz w:val="24"/>
        </w:rPr>
        <w:t>8</w:t>
      </w:r>
      <w:r>
        <w:rPr>
          <w:rFonts w:ascii="宋体" w:hAnsi="宋体"/>
          <w:color w:val="auto"/>
          <w:sz w:val="24"/>
        </w:rPr>
        <w:t>.4</w:t>
      </w:r>
      <w:r>
        <w:rPr>
          <w:rFonts w:hint="eastAsia" w:ascii="宋体" w:hAnsi="宋体"/>
          <w:color w:val="auto"/>
          <w:sz w:val="24"/>
        </w:rPr>
        <w:t xml:space="preserve"> 如采用供应商所不拥有的知识产权，则在报价中必须包括合法获取该知识产权的相关费用。 </w:t>
      </w:r>
      <w:bookmarkStart w:id="38" w:name="_Toc77400779"/>
      <w:bookmarkStart w:id="39" w:name="_Toc217446038"/>
      <w:bookmarkStart w:id="40" w:name="_Toc183582209"/>
      <w:bookmarkStart w:id="41" w:name="_Toc89075875"/>
      <w:bookmarkStart w:id="42" w:name="_Toc183682346"/>
    </w:p>
    <w:p>
      <w:pPr>
        <w:pStyle w:val="5"/>
        <w:keepNext w:val="0"/>
        <w:keepLines w:val="0"/>
        <w:spacing w:after="0" w:line="360" w:lineRule="auto"/>
        <w:jc w:val="center"/>
        <w:rPr>
          <w:rFonts w:ascii="宋体" w:hAnsi="宋体" w:eastAsia="宋体"/>
          <w:bCs w:val="0"/>
          <w:color w:val="auto"/>
          <w:sz w:val="30"/>
          <w:szCs w:val="30"/>
        </w:rPr>
      </w:pPr>
      <w:bookmarkStart w:id="43" w:name="_Toc19457956"/>
      <w:bookmarkStart w:id="44" w:name="_Toc17106649"/>
      <w:r>
        <w:rPr>
          <w:rFonts w:hint="eastAsia" w:ascii="宋体" w:hAnsi="宋体" w:eastAsia="宋体"/>
          <w:bCs w:val="0"/>
          <w:color w:val="auto"/>
          <w:sz w:val="30"/>
          <w:szCs w:val="30"/>
        </w:rPr>
        <w:t>三、磋商文件</w:t>
      </w:r>
      <w:bookmarkEnd w:id="38"/>
      <w:bookmarkEnd w:id="39"/>
      <w:bookmarkEnd w:id="40"/>
      <w:bookmarkEnd w:id="41"/>
      <w:bookmarkEnd w:id="42"/>
      <w:bookmarkEnd w:id="43"/>
      <w:bookmarkEnd w:id="44"/>
      <w:bookmarkStart w:id="45" w:name="_Toc183582210"/>
      <w:bookmarkStart w:id="46" w:name="_Toc183682347"/>
      <w:bookmarkStart w:id="47" w:name="_Toc217446039"/>
    </w:p>
    <w:p>
      <w:pPr>
        <w:pStyle w:val="6"/>
        <w:keepNext w:val="0"/>
        <w:keepLines w:val="0"/>
        <w:spacing w:before="0" w:after="0" w:line="360" w:lineRule="auto"/>
        <w:ind w:firstLine="482" w:firstLineChars="200"/>
        <w:rPr>
          <w:rFonts w:ascii="宋体" w:hAnsi="宋体"/>
          <w:color w:val="auto"/>
          <w:sz w:val="24"/>
        </w:rPr>
      </w:pPr>
      <w:bookmarkStart w:id="48" w:name="_Toc2929422"/>
      <w:bookmarkStart w:id="49" w:name="_Toc17106650"/>
      <w:bookmarkStart w:id="50" w:name="_Toc19457957"/>
      <w:r>
        <w:rPr>
          <w:rFonts w:hint="eastAsia" w:ascii="宋体" w:hAnsi="宋体"/>
          <w:color w:val="auto"/>
          <w:sz w:val="24"/>
        </w:rPr>
        <w:t>9．磋商文件的构成</w:t>
      </w:r>
      <w:bookmarkEnd w:id="45"/>
      <w:bookmarkEnd w:id="46"/>
      <w:bookmarkEnd w:id="47"/>
      <w:r>
        <w:rPr>
          <w:rFonts w:hint="eastAsia" w:ascii="宋体" w:hAnsi="宋体"/>
          <w:color w:val="auto"/>
          <w:sz w:val="24"/>
        </w:rPr>
        <w:t>（实质性要求）</w:t>
      </w:r>
      <w:bookmarkEnd w:id="48"/>
      <w:bookmarkEnd w:id="49"/>
      <w:bookmarkEnd w:id="50"/>
    </w:p>
    <w:p>
      <w:pPr>
        <w:tabs>
          <w:tab w:val="left" w:pos="720"/>
        </w:tabs>
        <w:spacing w:line="360" w:lineRule="auto"/>
        <w:ind w:firstLine="480" w:firstLineChars="200"/>
        <w:rPr>
          <w:rFonts w:ascii="宋体" w:hAnsi="宋体"/>
          <w:color w:val="auto"/>
          <w:sz w:val="24"/>
        </w:rPr>
      </w:pPr>
      <w:r>
        <w:rPr>
          <w:rFonts w:hint="eastAsia" w:ascii="宋体" w:hAnsi="宋体"/>
          <w:color w:val="auto"/>
          <w:sz w:val="24"/>
        </w:rPr>
        <w:t>9</w:t>
      </w:r>
      <w:r>
        <w:rPr>
          <w:rFonts w:ascii="宋体" w:hAnsi="宋体"/>
          <w:b/>
          <w:bCs/>
          <w:color w:val="auto"/>
          <w:sz w:val="24"/>
        </w:rPr>
        <w:t>.</w:t>
      </w:r>
      <w:r>
        <w:rPr>
          <w:rFonts w:hint="eastAsia" w:ascii="宋体" w:hAnsi="宋体"/>
          <w:color w:val="auto"/>
          <w:sz w:val="24"/>
        </w:rPr>
        <w:t>1 磋商文件是供应商准备响应文件和参加磋商的依据，同时也是磋商的重要依据。磋商文件用以阐明磋商项目所需的资质、技术、服务及报价等要求、磋商程序、有关规定和注意事项以及合同主要条款等。</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9</w:t>
      </w:r>
      <w:r>
        <w:rPr>
          <w:rFonts w:hint="eastAsia" w:ascii="宋体" w:hAnsi="宋体"/>
          <w:b/>
          <w:bCs/>
          <w:color w:val="auto"/>
          <w:sz w:val="24"/>
        </w:rPr>
        <w:t>.</w:t>
      </w:r>
      <w:r>
        <w:rPr>
          <w:rFonts w:hint="eastAsia" w:ascii="宋体" w:hAnsi="宋体"/>
          <w:color w:val="auto"/>
          <w:sz w:val="24"/>
        </w:rPr>
        <w:t>2 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bookmarkStart w:id="51" w:name="_Toc183582211"/>
      <w:bookmarkStart w:id="52" w:name="_Toc183682348"/>
      <w:bookmarkStart w:id="53" w:name="_Toc217446040"/>
    </w:p>
    <w:p>
      <w:pPr>
        <w:pStyle w:val="6"/>
        <w:keepNext w:val="0"/>
        <w:keepLines w:val="0"/>
        <w:spacing w:before="0" w:after="0" w:line="360" w:lineRule="auto"/>
        <w:ind w:firstLine="482" w:firstLineChars="200"/>
        <w:rPr>
          <w:rFonts w:ascii="宋体" w:hAnsi="宋体"/>
          <w:color w:val="auto"/>
          <w:sz w:val="24"/>
        </w:rPr>
      </w:pPr>
      <w:bookmarkStart w:id="54" w:name="_Toc2929423"/>
      <w:bookmarkStart w:id="55" w:name="_Toc17106651"/>
      <w:bookmarkStart w:id="56" w:name="_Toc19457958"/>
      <w:r>
        <w:rPr>
          <w:rFonts w:hint="eastAsia" w:ascii="宋体" w:hAnsi="宋体"/>
          <w:color w:val="auto"/>
          <w:sz w:val="24"/>
        </w:rPr>
        <w:t>10.磋商文件的澄清</w:t>
      </w:r>
      <w:bookmarkEnd w:id="51"/>
      <w:bookmarkEnd w:id="52"/>
      <w:r>
        <w:rPr>
          <w:rFonts w:hint="eastAsia" w:ascii="宋体" w:hAnsi="宋体"/>
          <w:color w:val="auto"/>
          <w:sz w:val="24"/>
        </w:rPr>
        <w:t>和修改</w:t>
      </w:r>
      <w:bookmarkEnd w:id="53"/>
      <w:bookmarkEnd w:id="54"/>
      <w:bookmarkEnd w:id="55"/>
      <w:bookmarkEnd w:id="56"/>
    </w:p>
    <w:p>
      <w:pPr>
        <w:tabs>
          <w:tab w:val="left" w:pos="720"/>
        </w:tabs>
        <w:spacing w:line="360" w:lineRule="auto"/>
        <w:ind w:firstLine="480" w:firstLineChars="200"/>
        <w:rPr>
          <w:rFonts w:ascii="宋体" w:hAnsi="宋体"/>
          <w:color w:val="auto"/>
          <w:sz w:val="24"/>
        </w:rPr>
      </w:pPr>
      <w:r>
        <w:rPr>
          <w:rFonts w:hint="eastAsia" w:ascii="宋体" w:hAnsi="宋体"/>
          <w:color w:val="auto"/>
          <w:sz w:val="24"/>
        </w:rPr>
        <w:t>10.1 在递交响应文件截止时间前，采购单位、采购代理机构可以对磋商文件进行澄清或者修改。</w:t>
      </w:r>
    </w:p>
    <w:p>
      <w:pPr>
        <w:tabs>
          <w:tab w:val="left" w:pos="720"/>
        </w:tabs>
        <w:spacing w:line="360" w:lineRule="auto"/>
        <w:ind w:firstLine="480" w:firstLineChars="200"/>
        <w:rPr>
          <w:rFonts w:ascii="宋体" w:hAnsi="宋体"/>
          <w:color w:val="auto"/>
          <w:sz w:val="24"/>
        </w:rPr>
      </w:pPr>
      <w:r>
        <w:rPr>
          <w:rFonts w:hint="eastAsia" w:ascii="宋体" w:hAnsi="宋体"/>
          <w:color w:val="auto"/>
          <w:sz w:val="24"/>
        </w:rPr>
        <w:t>10.2 采购代理机构对已发出的磋商文件进行澄清或者修改，应当以书面形式将澄清或者修改的内容通知所有购买了磋商文件的供应商，同时在中国政府采购网上发布更正公告。该澄清或者修改的内容为磋商文件的组成部分，澄清或者修改的内容可能影响响应文件编制的，采购代理机构发布公告并书面通知供应商的时间，应当在</w:t>
      </w:r>
      <w:r>
        <w:rPr>
          <w:rFonts w:hint="eastAsia" w:ascii="宋体" w:hAnsi="宋体" w:cs="宋体"/>
          <w:color w:val="auto"/>
          <w:sz w:val="24"/>
        </w:rPr>
        <w:t>提交</w:t>
      </w:r>
      <w:r>
        <w:rPr>
          <w:rFonts w:hint="eastAsia" w:ascii="宋体" w:hAnsi="宋体"/>
          <w:color w:val="auto"/>
          <w:sz w:val="24"/>
        </w:rPr>
        <w:t>首次响应文件截</w:t>
      </w:r>
      <w:r>
        <w:rPr>
          <w:rFonts w:hint="eastAsia" w:ascii="宋体" w:hAnsi="宋体" w:cs="宋体"/>
          <w:color w:val="auto"/>
          <w:sz w:val="24"/>
        </w:rPr>
        <w:t>止之日起3个工作日前</w:t>
      </w:r>
      <w:r>
        <w:rPr>
          <w:rFonts w:hint="eastAsia" w:ascii="宋体" w:hAnsi="宋体"/>
          <w:color w:val="auto"/>
          <w:sz w:val="24"/>
        </w:rPr>
        <w:t>；不足上述时间的，应当顺延递交响应文件的截止时间。</w:t>
      </w:r>
    </w:p>
    <w:p>
      <w:pPr>
        <w:tabs>
          <w:tab w:val="left" w:pos="720"/>
        </w:tabs>
        <w:spacing w:line="360" w:lineRule="auto"/>
        <w:ind w:firstLine="480" w:firstLineChars="200"/>
        <w:rPr>
          <w:rFonts w:ascii="宋体" w:hAnsi="宋体"/>
          <w:color w:val="auto"/>
          <w:sz w:val="24"/>
        </w:rPr>
      </w:pPr>
      <w:r>
        <w:rPr>
          <w:rFonts w:hint="eastAsia" w:ascii="宋体" w:hAnsi="宋体"/>
          <w:color w:val="auto"/>
          <w:sz w:val="24"/>
        </w:rPr>
        <w:t>10.3供应商认为采购代理机构需要对磋商文件进行澄清或者修改的，可以在磋商开始前以书面形式向采购代理机构提出申请，由采购代理机构决定是否采纳供应商的申请事项。</w:t>
      </w:r>
    </w:p>
    <w:p>
      <w:pPr>
        <w:pStyle w:val="6"/>
        <w:keepNext w:val="0"/>
        <w:keepLines w:val="0"/>
        <w:spacing w:before="0" w:after="0" w:line="360" w:lineRule="auto"/>
        <w:ind w:firstLine="482" w:firstLineChars="200"/>
        <w:rPr>
          <w:rFonts w:ascii="宋体" w:hAnsi="宋体"/>
          <w:color w:val="auto"/>
          <w:sz w:val="24"/>
        </w:rPr>
      </w:pPr>
      <w:bookmarkStart w:id="57" w:name="_Toc19457959"/>
      <w:bookmarkStart w:id="58" w:name="_Toc208848971"/>
      <w:bookmarkStart w:id="59" w:name="_Toc2929424"/>
      <w:bookmarkStart w:id="60" w:name="_Toc217446041"/>
      <w:bookmarkStart w:id="61" w:name="_Toc17106652"/>
      <w:r>
        <w:rPr>
          <w:rFonts w:hint="eastAsia" w:ascii="宋体" w:hAnsi="宋体"/>
          <w:color w:val="auto"/>
          <w:sz w:val="24"/>
        </w:rPr>
        <w:t>11.答疑会和现场考察</w:t>
      </w:r>
      <w:bookmarkEnd w:id="57"/>
      <w:bookmarkEnd w:id="58"/>
      <w:bookmarkEnd w:id="59"/>
      <w:bookmarkEnd w:id="60"/>
      <w:bookmarkEnd w:id="61"/>
    </w:p>
    <w:p>
      <w:pPr>
        <w:spacing w:line="360" w:lineRule="auto"/>
        <w:ind w:firstLine="480" w:firstLineChars="200"/>
        <w:rPr>
          <w:rFonts w:ascii="宋体" w:hAnsi="宋体"/>
          <w:color w:val="auto"/>
          <w:sz w:val="24"/>
        </w:rPr>
      </w:pPr>
      <w:r>
        <w:rPr>
          <w:rFonts w:hint="eastAsia" w:ascii="宋体" w:hAnsi="宋体"/>
          <w:color w:val="auto"/>
          <w:sz w:val="24"/>
        </w:rPr>
        <w:t>11.1 根据采购项目和具体情况，采购单位、采购代理机构认为有必要，可以在磋商文件提供期限截止后响应文件提交截止前，组织已获取磋商文件的潜在供应商现场考察或者召开答疑会。</w:t>
      </w:r>
    </w:p>
    <w:p>
      <w:pPr>
        <w:spacing w:line="360" w:lineRule="auto"/>
        <w:ind w:firstLine="480" w:firstLineChars="200"/>
        <w:rPr>
          <w:rFonts w:ascii="宋体" w:hAnsi="宋体"/>
          <w:color w:val="auto"/>
          <w:sz w:val="24"/>
        </w:rPr>
      </w:pPr>
      <w:r>
        <w:rPr>
          <w:rFonts w:hint="eastAsia" w:ascii="宋体" w:hAnsi="宋体"/>
          <w:color w:val="auto"/>
          <w:sz w:val="24"/>
        </w:rPr>
        <w:t>11.2采购单位、采购代理机构组织现场考察或者召开答疑会的，将以书面形式通知所有获取磋商文件的潜在供应商。供应商接到通知后，不按照要求参加现场考察或者答疑会的，视同放弃参加现场考察或者答疑的权利，采购单位、采购代理机构不再对该供应商重新组织，但也不会以此限制供应商提交响应文件或者以此将供应商响应文件直接作为无效处理。</w:t>
      </w:r>
    </w:p>
    <w:p>
      <w:pPr>
        <w:adjustRightInd w:val="0"/>
        <w:snapToGrid w:val="0"/>
        <w:spacing w:line="360" w:lineRule="auto"/>
        <w:ind w:firstLine="420" w:firstLineChars="175"/>
        <w:rPr>
          <w:rFonts w:ascii="宋体" w:hAnsi="宋体"/>
          <w:color w:val="auto"/>
          <w:sz w:val="24"/>
        </w:rPr>
      </w:pPr>
      <w:r>
        <w:rPr>
          <w:rFonts w:hint="eastAsia" w:ascii="宋体" w:hAnsi="宋体"/>
          <w:color w:val="auto"/>
          <w:sz w:val="24"/>
        </w:rPr>
        <w:t>11</w:t>
      </w:r>
      <w:r>
        <w:rPr>
          <w:rFonts w:ascii="宋体" w:hAnsi="宋体"/>
          <w:color w:val="auto"/>
          <w:sz w:val="24"/>
        </w:rPr>
        <w:t>.</w:t>
      </w:r>
      <w:r>
        <w:rPr>
          <w:rFonts w:hint="eastAsia" w:ascii="宋体" w:hAnsi="宋体"/>
          <w:color w:val="auto"/>
          <w:sz w:val="24"/>
        </w:rPr>
        <w:t>3 供应商考察现场或者参加答疑会所发生的一切费用由供应商自己承担。</w:t>
      </w:r>
      <w:bookmarkStart w:id="62" w:name="_Toc89075876"/>
      <w:bookmarkStart w:id="63" w:name="_Toc77400780"/>
      <w:bookmarkStart w:id="64" w:name="_Toc183582214"/>
      <w:bookmarkStart w:id="65" w:name="_Toc183682351"/>
      <w:bookmarkStart w:id="66" w:name="_Toc217446042"/>
    </w:p>
    <w:p>
      <w:pPr>
        <w:pStyle w:val="5"/>
        <w:keepNext w:val="0"/>
        <w:keepLines w:val="0"/>
        <w:spacing w:after="0" w:line="360" w:lineRule="auto"/>
        <w:jc w:val="center"/>
        <w:rPr>
          <w:rFonts w:ascii="宋体" w:hAnsi="宋体" w:eastAsia="宋体"/>
          <w:bCs w:val="0"/>
          <w:color w:val="auto"/>
          <w:sz w:val="30"/>
          <w:szCs w:val="30"/>
        </w:rPr>
      </w:pPr>
      <w:bookmarkStart w:id="67" w:name="_Toc19457960"/>
      <w:bookmarkStart w:id="68" w:name="_Toc17106653"/>
      <w:r>
        <w:rPr>
          <w:rFonts w:hint="eastAsia" w:ascii="宋体" w:hAnsi="宋体" w:eastAsia="宋体"/>
          <w:bCs w:val="0"/>
          <w:color w:val="auto"/>
          <w:sz w:val="30"/>
          <w:szCs w:val="30"/>
        </w:rPr>
        <w:t>四、响应文件</w:t>
      </w:r>
      <w:bookmarkEnd w:id="62"/>
      <w:bookmarkEnd w:id="63"/>
      <w:bookmarkEnd w:id="64"/>
      <w:bookmarkEnd w:id="65"/>
      <w:bookmarkEnd w:id="66"/>
      <w:bookmarkEnd w:id="67"/>
      <w:bookmarkEnd w:id="68"/>
    </w:p>
    <w:p>
      <w:pPr>
        <w:pStyle w:val="6"/>
        <w:keepNext w:val="0"/>
        <w:keepLines w:val="0"/>
        <w:spacing w:before="0" w:after="0" w:line="360" w:lineRule="auto"/>
        <w:ind w:firstLine="482" w:firstLineChars="200"/>
        <w:rPr>
          <w:rFonts w:ascii="宋体" w:hAnsi="宋体"/>
          <w:color w:val="auto"/>
          <w:sz w:val="24"/>
        </w:rPr>
      </w:pPr>
      <w:bookmarkStart w:id="69" w:name="_Toc19457961"/>
      <w:bookmarkStart w:id="70" w:name="_Toc2929426"/>
      <w:bookmarkStart w:id="71" w:name="_Toc17106654"/>
      <w:bookmarkStart w:id="72" w:name="_Toc217446043"/>
      <w:bookmarkStart w:id="73" w:name="_Toc183682352"/>
      <w:bookmarkStart w:id="74" w:name="_Toc183582215"/>
      <w:r>
        <w:rPr>
          <w:rFonts w:hint="eastAsia" w:ascii="宋体" w:hAnsi="宋体"/>
          <w:color w:val="auto"/>
          <w:sz w:val="24"/>
        </w:rPr>
        <w:t>12.响应文件的组成（实质性要求）</w:t>
      </w:r>
      <w:bookmarkEnd w:id="69"/>
      <w:bookmarkEnd w:id="70"/>
      <w:bookmarkEnd w:id="71"/>
    </w:p>
    <w:p>
      <w:pPr>
        <w:spacing w:line="360" w:lineRule="auto"/>
        <w:ind w:left="2" w:leftChars="1" w:firstLine="480" w:firstLineChars="200"/>
        <w:rPr>
          <w:rFonts w:ascii="宋体" w:hAnsi="宋体"/>
          <w:b/>
          <w:color w:val="auto"/>
          <w:sz w:val="24"/>
        </w:rPr>
      </w:pPr>
      <w:r>
        <w:rPr>
          <w:rFonts w:hint="eastAsia" w:ascii="宋体" w:hAnsi="宋体"/>
          <w:color w:val="auto"/>
          <w:sz w:val="24"/>
        </w:rPr>
        <w:t>供应商应按照磋商文件的规定和要求编制响应文件</w:t>
      </w:r>
      <w:r>
        <w:rPr>
          <w:rFonts w:hint="eastAsia" w:ascii="宋体" w:hAnsi="宋体"/>
          <w:b/>
          <w:color w:val="auto"/>
          <w:sz w:val="24"/>
        </w:rPr>
        <w:t>（详见第四章、第五章）</w:t>
      </w:r>
      <w:r>
        <w:rPr>
          <w:rFonts w:hint="eastAsia" w:ascii="宋体" w:hAnsi="宋体"/>
          <w:color w:val="auto"/>
          <w:sz w:val="24"/>
        </w:rPr>
        <w:t>。供应商在成交后将成交项目的非主体、非关键性工作分包他人完成的，应当在响应文件中载明或磋商过程中澄清。</w:t>
      </w:r>
      <w:r>
        <w:rPr>
          <w:rFonts w:hint="eastAsia" w:ascii="宋体" w:hAnsi="宋体"/>
          <w:b/>
          <w:color w:val="auto"/>
          <w:sz w:val="24"/>
        </w:rPr>
        <w:t>供应商编写的响应文件应包括资格性响应文件（内容见第四章）和技术、商务、服务响应文件（内容见第五章）两部分，统一装订成一册并在响应文件中注明（如：第一部分 资格性响应文件；第二部分 技术、商务、服务响应文件）。</w:t>
      </w:r>
    </w:p>
    <w:p>
      <w:pPr>
        <w:pStyle w:val="6"/>
        <w:keepNext w:val="0"/>
        <w:keepLines w:val="0"/>
        <w:spacing w:before="0" w:after="0" w:line="360" w:lineRule="auto"/>
        <w:ind w:firstLine="482" w:firstLineChars="200"/>
        <w:rPr>
          <w:rFonts w:ascii="宋体" w:hAnsi="宋体"/>
          <w:bCs w:val="0"/>
          <w:color w:val="auto"/>
          <w:sz w:val="24"/>
        </w:rPr>
      </w:pPr>
      <w:bookmarkStart w:id="75" w:name="_Toc17106655"/>
      <w:bookmarkStart w:id="76" w:name="_Toc2929427"/>
      <w:bookmarkStart w:id="77" w:name="_Toc19457962"/>
      <w:r>
        <w:rPr>
          <w:rFonts w:hint="eastAsia" w:ascii="宋体" w:hAnsi="宋体"/>
          <w:bCs w:val="0"/>
          <w:color w:val="auto"/>
          <w:sz w:val="24"/>
        </w:rPr>
        <w:t>13.响应文件的语言</w:t>
      </w:r>
      <w:bookmarkEnd w:id="72"/>
      <w:bookmarkEnd w:id="73"/>
      <w:bookmarkEnd w:id="74"/>
      <w:r>
        <w:rPr>
          <w:rFonts w:hint="eastAsia" w:ascii="宋体" w:hAnsi="宋体"/>
          <w:bCs w:val="0"/>
          <w:color w:val="auto"/>
          <w:sz w:val="24"/>
        </w:rPr>
        <w:t>（实质性要求）</w:t>
      </w:r>
      <w:bookmarkEnd w:id="75"/>
      <w:bookmarkEnd w:id="76"/>
      <w:bookmarkEnd w:id="77"/>
    </w:p>
    <w:p>
      <w:pPr>
        <w:spacing w:line="360" w:lineRule="auto"/>
        <w:ind w:firstLine="480" w:firstLineChars="200"/>
        <w:rPr>
          <w:rFonts w:ascii="宋体" w:hAnsi="宋体"/>
          <w:color w:val="auto"/>
          <w:sz w:val="24"/>
        </w:rPr>
      </w:pPr>
      <w:r>
        <w:rPr>
          <w:rFonts w:hint="eastAsia" w:ascii="宋体" w:hAnsi="宋体"/>
          <w:color w:val="auto"/>
          <w:sz w:val="24"/>
        </w:rPr>
        <w:t>13.1 供应商提交的响应文件以及供应商与采购单位、采购代理机构就有关报价的所有来往书面文件均须使用中文。响应文件中如附有外文资料，必须逐一对应翻译成中文并加盖供应商公章后附在相关外文资料后面，否则，供应商的响应文件将作为无效处理。（说明：供应商的法定代表人为外籍人士的，法定代表人的签字和护照除外。）</w:t>
      </w:r>
    </w:p>
    <w:p>
      <w:pPr>
        <w:spacing w:line="360" w:lineRule="auto"/>
        <w:ind w:firstLine="480" w:firstLineChars="200"/>
        <w:rPr>
          <w:rFonts w:ascii="宋体" w:hAnsi="宋体"/>
          <w:color w:val="auto"/>
          <w:sz w:val="24"/>
        </w:rPr>
      </w:pPr>
      <w:r>
        <w:rPr>
          <w:rFonts w:hint="eastAsia" w:ascii="宋体" w:hAnsi="宋体"/>
          <w:color w:val="auto"/>
          <w:sz w:val="24"/>
        </w:rPr>
        <w:t>13.2 翻译的中文资料与外文资料如果出现差异和矛盾，以中文为准。但不能故意错误翻译，否则，供应商的响应文件将作为无效处理。</w:t>
      </w:r>
      <w:bookmarkStart w:id="78" w:name="_Toc183582216"/>
      <w:bookmarkStart w:id="79" w:name="_Toc217446044"/>
      <w:bookmarkStart w:id="80" w:name="_Toc183682353"/>
    </w:p>
    <w:p>
      <w:pPr>
        <w:pStyle w:val="6"/>
        <w:keepNext w:val="0"/>
        <w:keepLines w:val="0"/>
        <w:spacing w:before="0" w:after="0" w:line="360" w:lineRule="auto"/>
        <w:ind w:firstLine="482" w:firstLineChars="200"/>
        <w:rPr>
          <w:rFonts w:ascii="宋体" w:hAnsi="宋体"/>
          <w:color w:val="auto"/>
          <w:sz w:val="24"/>
        </w:rPr>
      </w:pPr>
      <w:bookmarkStart w:id="81" w:name="_Toc19457963"/>
      <w:bookmarkStart w:id="82" w:name="_Toc2929428"/>
      <w:bookmarkStart w:id="83" w:name="_Toc17106656"/>
      <w:r>
        <w:rPr>
          <w:rFonts w:hint="eastAsia" w:ascii="宋体" w:hAnsi="宋体"/>
          <w:color w:val="auto"/>
          <w:sz w:val="24"/>
        </w:rPr>
        <w:t>14</w:t>
      </w:r>
      <w:r>
        <w:rPr>
          <w:rFonts w:hint="eastAsia" w:ascii="宋体" w:hAnsi="宋体"/>
          <w:color w:val="auto"/>
          <w:sz w:val="24"/>
          <w:lang w:val="en-US" w:eastAsia="zh-CN"/>
        </w:rPr>
        <w:t>.</w:t>
      </w:r>
      <w:r>
        <w:rPr>
          <w:rFonts w:hint="eastAsia" w:ascii="宋体" w:hAnsi="宋体"/>
          <w:color w:val="auto"/>
          <w:sz w:val="24"/>
        </w:rPr>
        <w:t>计量单位</w:t>
      </w:r>
      <w:bookmarkEnd w:id="78"/>
      <w:bookmarkEnd w:id="79"/>
      <w:bookmarkEnd w:id="80"/>
      <w:r>
        <w:rPr>
          <w:rFonts w:hint="eastAsia" w:ascii="宋体" w:hAnsi="宋体"/>
          <w:color w:val="auto"/>
          <w:sz w:val="24"/>
        </w:rPr>
        <w:t>（实质性要求）</w:t>
      </w:r>
      <w:bookmarkEnd w:id="81"/>
      <w:bookmarkEnd w:id="82"/>
      <w:bookmarkEnd w:id="83"/>
    </w:p>
    <w:p>
      <w:pPr>
        <w:spacing w:line="360" w:lineRule="auto"/>
        <w:ind w:firstLine="470" w:firstLineChars="196"/>
        <w:rPr>
          <w:rFonts w:ascii="宋体" w:hAnsi="宋体"/>
          <w:color w:val="auto"/>
          <w:sz w:val="24"/>
        </w:rPr>
      </w:pPr>
      <w:r>
        <w:rPr>
          <w:rFonts w:hint="eastAsia" w:ascii="宋体" w:hAnsi="宋体"/>
          <w:color w:val="auto"/>
          <w:sz w:val="24"/>
        </w:rPr>
        <w:t>除磋商文件中另有规定外，本次采购项目所有合同项下的报价均采用国家法定的计量单位。</w:t>
      </w:r>
      <w:bookmarkStart w:id="84" w:name="_Toc217446045"/>
    </w:p>
    <w:p>
      <w:pPr>
        <w:spacing w:line="360" w:lineRule="auto"/>
        <w:ind w:firstLine="470" w:firstLineChars="195"/>
        <w:rPr>
          <w:rFonts w:ascii="宋体" w:hAnsi="宋体"/>
          <w:b/>
          <w:bCs/>
          <w:color w:val="auto"/>
          <w:sz w:val="24"/>
        </w:rPr>
      </w:pPr>
      <w:r>
        <w:rPr>
          <w:rFonts w:hint="eastAsia" w:ascii="宋体" w:hAnsi="宋体"/>
          <w:b/>
          <w:bCs/>
          <w:color w:val="auto"/>
          <w:sz w:val="24"/>
        </w:rPr>
        <w:t>15.</w:t>
      </w:r>
      <w:r>
        <w:rPr>
          <w:rFonts w:hint="eastAsia" w:ascii="宋体" w:hAnsi="宋体"/>
          <w:b/>
          <w:color w:val="auto"/>
          <w:sz w:val="24"/>
        </w:rPr>
        <w:t>报价</w:t>
      </w:r>
      <w:r>
        <w:rPr>
          <w:rFonts w:hint="eastAsia" w:ascii="宋体" w:hAnsi="宋体"/>
          <w:b/>
          <w:bCs/>
          <w:color w:val="auto"/>
          <w:sz w:val="24"/>
        </w:rPr>
        <w:t>货币（实质性要求）</w:t>
      </w:r>
    </w:p>
    <w:p>
      <w:pPr>
        <w:spacing w:line="360" w:lineRule="auto"/>
        <w:ind w:firstLine="468" w:firstLineChars="195"/>
        <w:rPr>
          <w:rFonts w:ascii="宋体" w:hAnsi="宋体"/>
          <w:bCs/>
          <w:color w:val="auto"/>
          <w:sz w:val="24"/>
        </w:rPr>
      </w:pPr>
      <w:r>
        <w:rPr>
          <w:rFonts w:hint="eastAsia" w:ascii="宋体" w:hAnsi="宋体"/>
          <w:bCs/>
          <w:color w:val="auto"/>
          <w:sz w:val="24"/>
        </w:rPr>
        <w:t>本次磋商项目的</w:t>
      </w:r>
      <w:r>
        <w:rPr>
          <w:rFonts w:hint="eastAsia" w:ascii="宋体" w:hAnsi="宋体"/>
          <w:color w:val="auto"/>
          <w:sz w:val="24"/>
        </w:rPr>
        <w:t>报价</w:t>
      </w:r>
      <w:r>
        <w:rPr>
          <w:rFonts w:hint="eastAsia" w:ascii="宋体" w:hAnsi="宋体"/>
          <w:color w:val="auto"/>
          <w:spacing w:val="-4"/>
          <w:sz w:val="24"/>
        </w:rPr>
        <w:t>以人民币为报价货币单位</w:t>
      </w:r>
      <w:r>
        <w:rPr>
          <w:rFonts w:hint="eastAsia" w:ascii="宋体" w:hAnsi="宋体"/>
          <w:bCs/>
          <w:color w:val="auto"/>
          <w:sz w:val="24"/>
        </w:rPr>
        <w:t xml:space="preserve">。 </w:t>
      </w:r>
    </w:p>
    <w:bookmarkEnd w:id="84"/>
    <w:p>
      <w:pPr>
        <w:spacing w:line="360" w:lineRule="auto"/>
        <w:ind w:left="2" w:leftChars="1" w:firstLine="482" w:firstLineChars="200"/>
        <w:rPr>
          <w:rFonts w:ascii="宋体" w:hAnsi="宋体"/>
          <w:b/>
          <w:bCs/>
          <w:color w:val="auto"/>
          <w:sz w:val="24"/>
        </w:rPr>
      </w:pPr>
      <w:r>
        <w:rPr>
          <w:rFonts w:hint="eastAsia" w:ascii="宋体" w:hAnsi="宋体"/>
          <w:b/>
          <w:bCs/>
          <w:color w:val="auto"/>
          <w:sz w:val="24"/>
        </w:rPr>
        <w:t>16.响应文件格式</w:t>
      </w:r>
    </w:p>
    <w:p>
      <w:pPr>
        <w:spacing w:line="360" w:lineRule="auto"/>
        <w:ind w:left="2" w:leftChars="1" w:firstLine="480" w:firstLineChars="200"/>
        <w:rPr>
          <w:rFonts w:ascii="宋体" w:hAnsi="宋体"/>
          <w:bCs/>
          <w:color w:val="auto"/>
          <w:sz w:val="24"/>
        </w:rPr>
      </w:pPr>
      <w:r>
        <w:rPr>
          <w:rFonts w:hint="eastAsia" w:ascii="宋体" w:hAnsi="宋体"/>
          <w:bCs/>
          <w:color w:val="auto"/>
          <w:sz w:val="24"/>
        </w:rPr>
        <w:t>16.1 供应商应执行磋商文件第八章的规定要求。</w:t>
      </w:r>
    </w:p>
    <w:p>
      <w:pPr>
        <w:spacing w:line="360" w:lineRule="auto"/>
        <w:ind w:left="2" w:leftChars="1" w:firstLine="480" w:firstLineChars="200"/>
        <w:rPr>
          <w:rFonts w:ascii="宋体" w:hAnsi="宋体"/>
          <w:color w:val="auto"/>
          <w:sz w:val="24"/>
        </w:rPr>
      </w:pPr>
      <w:r>
        <w:rPr>
          <w:rFonts w:hint="eastAsia" w:ascii="宋体" w:hAnsi="宋体"/>
          <w:color w:val="auto"/>
          <w:sz w:val="24"/>
        </w:rPr>
        <w:t>16.2 对于没有格式要求的磋商文件由供应商自行编写。</w:t>
      </w:r>
      <w:bookmarkStart w:id="85" w:name="_Toc217446051"/>
      <w:bookmarkStart w:id="86" w:name="_Toc183682361"/>
      <w:bookmarkStart w:id="87" w:name="_Toc183582224"/>
    </w:p>
    <w:p>
      <w:pPr>
        <w:spacing w:line="360" w:lineRule="auto"/>
        <w:ind w:firstLine="472" w:firstLineChars="196"/>
        <w:rPr>
          <w:rFonts w:ascii="宋体" w:hAnsi="宋体"/>
          <w:b/>
          <w:color w:val="auto"/>
          <w:sz w:val="24"/>
        </w:rPr>
      </w:pPr>
      <w:r>
        <w:rPr>
          <w:rFonts w:hint="eastAsia" w:ascii="宋体" w:hAnsi="宋体"/>
          <w:b/>
          <w:color w:val="auto"/>
          <w:sz w:val="24"/>
        </w:rPr>
        <w:t>17.响应文件的编制和签署</w:t>
      </w:r>
    </w:p>
    <w:p>
      <w:pPr>
        <w:spacing w:line="360" w:lineRule="auto"/>
        <w:ind w:firstLine="468" w:firstLineChars="195"/>
        <w:rPr>
          <w:rFonts w:ascii="宋体" w:hAnsi="宋体"/>
          <w:bCs/>
          <w:color w:val="auto"/>
          <w:sz w:val="24"/>
        </w:rPr>
      </w:pPr>
      <w:r>
        <w:rPr>
          <w:rFonts w:hint="eastAsia" w:ascii="宋体" w:hAnsi="宋体"/>
          <w:color w:val="auto"/>
          <w:sz w:val="24"/>
        </w:rPr>
        <w:t>17.1</w:t>
      </w:r>
      <w:r>
        <w:rPr>
          <w:rFonts w:hint="eastAsia" w:ascii="宋体" w:hAnsi="宋体"/>
          <w:b/>
          <w:color w:val="auto"/>
          <w:sz w:val="24"/>
        </w:rPr>
        <w:t>响应文件正本1份、副本2份</w:t>
      </w:r>
      <w:r>
        <w:rPr>
          <w:rFonts w:hint="eastAsia" w:ascii="宋体" w:hAnsi="宋体"/>
          <w:b/>
          <w:bCs/>
          <w:color w:val="auto"/>
          <w:sz w:val="24"/>
        </w:rPr>
        <w:t>，</w:t>
      </w:r>
      <w:r>
        <w:rPr>
          <w:rFonts w:hint="eastAsia" w:ascii="宋体" w:hAnsi="宋体"/>
          <w:bCs/>
          <w:color w:val="auto"/>
          <w:sz w:val="24"/>
        </w:rPr>
        <w:t>并在其封面上清楚地标明竞争性磋商响应文件、采购项目名称、采购项目编号、包件号及名称（若有）、供应商名称以及“正本”或“副本”字样。若正本和副本有不一致的内容，以正本书面响应文件为准。</w:t>
      </w:r>
    </w:p>
    <w:bookmarkEnd w:id="85"/>
    <w:bookmarkEnd w:id="86"/>
    <w:bookmarkEnd w:id="87"/>
    <w:p>
      <w:pPr>
        <w:spacing w:line="360" w:lineRule="auto"/>
        <w:ind w:firstLine="468" w:firstLineChars="195"/>
        <w:rPr>
          <w:rFonts w:ascii="宋体" w:hAnsi="宋体"/>
          <w:bCs/>
          <w:color w:val="auto"/>
          <w:sz w:val="24"/>
        </w:rPr>
      </w:pPr>
      <w:r>
        <w:rPr>
          <w:rFonts w:hint="eastAsia" w:ascii="宋体" w:hAnsi="宋体"/>
          <w:bCs/>
          <w:color w:val="auto"/>
          <w:sz w:val="24"/>
        </w:rPr>
        <w:t>17.2 响应文件正本和副本均需在规定签章处签字和盖章。响应文件副本可采用正本的复印件，</w:t>
      </w:r>
      <w:r>
        <w:rPr>
          <w:rFonts w:hint="eastAsia" w:ascii="宋体" w:hAnsi="宋体"/>
          <w:color w:val="auto"/>
          <w:sz w:val="24"/>
        </w:rPr>
        <w:t>本项目不要求提供电子文档</w:t>
      </w:r>
      <w:r>
        <w:rPr>
          <w:rFonts w:hint="eastAsia" w:ascii="宋体" w:hAnsi="宋体"/>
          <w:bCs/>
          <w:color w:val="auto"/>
          <w:sz w:val="24"/>
        </w:rPr>
        <w:t>。</w:t>
      </w:r>
    </w:p>
    <w:p>
      <w:pPr>
        <w:spacing w:line="360" w:lineRule="auto"/>
        <w:ind w:firstLine="468" w:firstLineChars="195"/>
        <w:rPr>
          <w:rFonts w:ascii="宋体" w:hAnsi="宋体"/>
          <w:bCs/>
          <w:color w:val="auto"/>
          <w:sz w:val="24"/>
        </w:rPr>
      </w:pPr>
      <w:r>
        <w:rPr>
          <w:rFonts w:hint="eastAsia" w:ascii="宋体" w:hAnsi="宋体"/>
          <w:bCs/>
          <w:color w:val="auto"/>
          <w:sz w:val="24"/>
        </w:rPr>
        <w:t>17.3响应文件的打印和书写应清楚工整，任何行间插字、涂改或增删，必须由供应商的法定代表人或其授权代表签字并盖供应商公章。</w:t>
      </w:r>
    </w:p>
    <w:p>
      <w:pPr>
        <w:spacing w:line="360" w:lineRule="auto"/>
        <w:ind w:firstLine="468" w:firstLineChars="195"/>
        <w:rPr>
          <w:rFonts w:ascii="宋体" w:hAnsi="宋体"/>
          <w:bCs/>
          <w:color w:val="auto"/>
          <w:sz w:val="24"/>
        </w:rPr>
      </w:pPr>
      <w:r>
        <w:rPr>
          <w:rFonts w:hint="eastAsia" w:ascii="宋体" w:hAnsi="宋体"/>
          <w:bCs/>
          <w:color w:val="auto"/>
          <w:sz w:val="24"/>
        </w:rPr>
        <w:t>17.4</w:t>
      </w:r>
      <w:r>
        <w:rPr>
          <w:rFonts w:hint="eastAsia" w:ascii="宋体" w:hAnsi="宋体"/>
          <w:b/>
          <w:bCs w:val="0"/>
          <w:color w:val="auto"/>
          <w:sz w:val="24"/>
        </w:rPr>
        <w:t>（实质性要求）</w:t>
      </w:r>
      <w:r>
        <w:rPr>
          <w:rFonts w:hint="eastAsia" w:ascii="宋体" w:hAnsi="宋体"/>
          <w:bCs/>
          <w:color w:val="auto"/>
          <w:sz w:val="24"/>
        </w:rPr>
        <w:t>响应文件应由供应商法定代表人/主要负责人/本人或其授权代表在响应文件要求的地方签字（或加盖私人印章），要求加盖公章的地方加盖单位公章，不得使用专用章（如经济合同章、投标专用章等）或下属单位印章代替。</w:t>
      </w:r>
    </w:p>
    <w:p>
      <w:pPr>
        <w:spacing w:line="360" w:lineRule="auto"/>
        <w:ind w:firstLine="468" w:firstLineChars="195"/>
        <w:rPr>
          <w:rFonts w:ascii="宋体" w:hAnsi="宋体"/>
          <w:bCs/>
          <w:color w:val="auto"/>
          <w:sz w:val="24"/>
        </w:rPr>
      </w:pPr>
      <w:r>
        <w:rPr>
          <w:rFonts w:hint="eastAsia" w:ascii="宋体" w:hAnsi="宋体"/>
          <w:bCs/>
          <w:color w:val="auto"/>
          <w:sz w:val="24"/>
        </w:rPr>
        <w:t>17.5响应文件正本和副本需要逐页编目编码。</w:t>
      </w:r>
    </w:p>
    <w:p>
      <w:pPr>
        <w:tabs>
          <w:tab w:val="left" w:pos="1080"/>
        </w:tabs>
        <w:spacing w:line="360" w:lineRule="auto"/>
        <w:ind w:firstLine="460" w:firstLineChars="192"/>
        <w:rPr>
          <w:rFonts w:hint="default" w:ascii="宋体" w:hAnsi="宋体" w:eastAsia="宋体"/>
          <w:color w:val="auto"/>
          <w:sz w:val="24"/>
          <w:lang w:val="en-US" w:eastAsia="zh-CN"/>
        </w:rPr>
      </w:pPr>
      <w:r>
        <w:rPr>
          <w:rFonts w:hint="eastAsia" w:ascii="宋体" w:hAnsi="宋体"/>
          <w:color w:val="auto"/>
          <w:sz w:val="24"/>
        </w:rPr>
        <w:t>17.6</w:t>
      </w:r>
      <w:r>
        <w:rPr>
          <w:rFonts w:hint="eastAsia" w:ascii="宋体" w:hAnsi="宋体"/>
          <w:b/>
          <w:color w:val="auto"/>
          <w:sz w:val="24"/>
        </w:rPr>
        <w:t>（实质性要求）</w:t>
      </w:r>
      <w:r>
        <w:rPr>
          <w:rFonts w:hint="eastAsia" w:ascii="宋体" w:hAnsi="宋体"/>
          <w:color w:val="auto"/>
          <w:sz w:val="24"/>
        </w:rPr>
        <w:t>响应文件正本和副本应当采用胶装方式装订成册，不得散装或者合页装订</w:t>
      </w:r>
      <w:r>
        <w:rPr>
          <w:rFonts w:hint="eastAsia" w:ascii="宋体" w:hAnsi="宋体"/>
          <w:color w:val="auto"/>
          <w:sz w:val="24"/>
          <w:lang w:eastAsia="zh-CN"/>
        </w:rPr>
        <w:t>，</w:t>
      </w:r>
      <w:r>
        <w:rPr>
          <w:rFonts w:hint="eastAsia" w:ascii="宋体" w:hAnsi="宋体"/>
          <w:color w:val="auto"/>
          <w:sz w:val="24"/>
        </w:rPr>
        <w:t>否则，供应商的响应文件将作为无效处理</w:t>
      </w:r>
      <w:r>
        <w:rPr>
          <w:rFonts w:hint="eastAsia" w:ascii="宋体" w:hAnsi="宋体"/>
          <w:color w:val="auto"/>
          <w:sz w:val="24"/>
          <w:lang w:val="en-US" w:eastAsia="zh-CN"/>
        </w:rPr>
        <w:t>。</w:t>
      </w:r>
    </w:p>
    <w:p>
      <w:pPr>
        <w:tabs>
          <w:tab w:val="left" w:pos="1080"/>
        </w:tabs>
        <w:spacing w:line="360" w:lineRule="auto"/>
        <w:ind w:firstLine="460" w:firstLineChars="192"/>
        <w:rPr>
          <w:rFonts w:ascii="宋体" w:hAnsi="宋体"/>
          <w:color w:val="auto"/>
          <w:sz w:val="24"/>
        </w:rPr>
      </w:pPr>
      <w:r>
        <w:rPr>
          <w:rFonts w:hint="eastAsia" w:ascii="宋体" w:hAnsi="宋体"/>
          <w:color w:val="auto"/>
          <w:sz w:val="24"/>
        </w:rPr>
        <w:t>17.7</w:t>
      </w:r>
      <w:r>
        <w:rPr>
          <w:rFonts w:hint="eastAsia" w:ascii="宋体" w:hAnsi="宋体"/>
          <w:b/>
          <w:color w:val="auto"/>
          <w:sz w:val="24"/>
        </w:rPr>
        <w:t>（实质性要求）</w:t>
      </w:r>
      <w:r>
        <w:rPr>
          <w:rFonts w:hint="eastAsia" w:ascii="宋体" w:hAnsi="宋体"/>
          <w:color w:val="auto"/>
          <w:sz w:val="24"/>
        </w:rPr>
        <w:t>响应文件应根据磋商文件的要求制作，签署、盖章。（参照《四川省政府采购评审工作规程（修订）》规范）</w:t>
      </w:r>
    </w:p>
    <w:p>
      <w:pPr>
        <w:tabs>
          <w:tab w:val="left" w:pos="1080"/>
        </w:tabs>
        <w:spacing w:line="360" w:lineRule="auto"/>
        <w:ind w:firstLine="460" w:firstLineChars="192"/>
        <w:rPr>
          <w:rFonts w:ascii="宋体" w:hAnsi="宋体"/>
          <w:color w:val="auto"/>
          <w:sz w:val="24"/>
        </w:rPr>
      </w:pPr>
      <w:r>
        <w:rPr>
          <w:rFonts w:hint="eastAsia" w:ascii="宋体" w:hAnsi="宋体"/>
          <w:color w:val="auto"/>
          <w:sz w:val="24"/>
        </w:rPr>
        <w:t>17.8响应文件统一用</w:t>
      </w:r>
      <w:r>
        <w:rPr>
          <w:rFonts w:ascii="宋体" w:hAnsi="宋体"/>
          <w:color w:val="auto"/>
          <w:sz w:val="24"/>
        </w:rPr>
        <w:t>A4</w:t>
      </w:r>
      <w:r>
        <w:rPr>
          <w:rFonts w:hint="eastAsia" w:ascii="宋体" w:hAnsi="宋体"/>
          <w:color w:val="auto"/>
          <w:sz w:val="24"/>
        </w:rPr>
        <w:t>幅面纸印制，除另有规定外。</w:t>
      </w:r>
      <w:bookmarkStart w:id="88" w:name="_Toc77400781"/>
      <w:bookmarkStart w:id="89" w:name="_Toc183682363"/>
      <w:bookmarkStart w:id="90" w:name="_Toc89075877"/>
      <w:bookmarkStart w:id="91" w:name="_Toc183582226"/>
      <w:bookmarkStart w:id="92" w:name="_Toc217446053"/>
    </w:p>
    <w:p>
      <w:pPr>
        <w:tabs>
          <w:tab w:val="left" w:pos="1080"/>
        </w:tabs>
        <w:spacing w:line="360" w:lineRule="auto"/>
        <w:ind w:firstLine="463" w:firstLineChars="192"/>
        <w:rPr>
          <w:rFonts w:ascii="宋体" w:hAnsi="宋体"/>
          <w:b/>
          <w:color w:val="auto"/>
          <w:sz w:val="24"/>
        </w:rPr>
      </w:pPr>
      <w:r>
        <w:rPr>
          <w:rFonts w:hint="eastAsia" w:ascii="宋体" w:hAnsi="宋体"/>
          <w:b/>
          <w:color w:val="auto"/>
          <w:sz w:val="24"/>
        </w:rPr>
        <w:t>18.响应文件的密封和标注（不属于本项目磋商小组评审范畴，由采购代理机构在接收响应文件时及时处理）</w:t>
      </w:r>
    </w:p>
    <w:p>
      <w:pPr>
        <w:tabs>
          <w:tab w:val="left" w:pos="1080"/>
        </w:tabs>
        <w:spacing w:line="360" w:lineRule="auto"/>
        <w:ind w:firstLine="460" w:firstLineChars="192"/>
        <w:rPr>
          <w:rFonts w:ascii="宋体" w:hAnsi="宋体"/>
          <w:color w:val="auto"/>
          <w:sz w:val="24"/>
        </w:rPr>
      </w:pPr>
      <w:r>
        <w:rPr>
          <w:rFonts w:hint="eastAsia" w:ascii="宋体" w:hAnsi="宋体"/>
          <w:color w:val="auto"/>
          <w:sz w:val="24"/>
        </w:rPr>
        <w:t>18.1 响应文件可以单独密封包装，也可以所有响应文件密封包装在一个密封袋内。</w:t>
      </w:r>
    </w:p>
    <w:p>
      <w:pPr>
        <w:tabs>
          <w:tab w:val="left" w:pos="1080"/>
        </w:tabs>
        <w:spacing w:line="360" w:lineRule="auto"/>
        <w:ind w:firstLine="460" w:firstLineChars="192"/>
        <w:rPr>
          <w:rFonts w:ascii="宋体" w:hAnsi="宋体"/>
          <w:color w:val="auto"/>
          <w:sz w:val="24"/>
        </w:rPr>
      </w:pPr>
      <w:r>
        <w:rPr>
          <w:rFonts w:hint="eastAsia" w:ascii="宋体" w:hAnsi="宋体"/>
          <w:color w:val="auto"/>
          <w:sz w:val="24"/>
        </w:rPr>
        <w:t>18.2 响应文件密封袋的最外层应清楚地标明采购项目名称、采购项目编号、包件号及名称（若有）、供应商名称。</w:t>
      </w:r>
    </w:p>
    <w:p>
      <w:pPr>
        <w:tabs>
          <w:tab w:val="left" w:pos="1080"/>
        </w:tabs>
        <w:spacing w:line="360" w:lineRule="auto"/>
        <w:ind w:firstLine="460" w:firstLineChars="192"/>
        <w:rPr>
          <w:rFonts w:ascii="宋体" w:hAnsi="宋体"/>
          <w:color w:val="auto"/>
          <w:sz w:val="24"/>
        </w:rPr>
      </w:pPr>
      <w:r>
        <w:rPr>
          <w:rFonts w:hint="eastAsia" w:ascii="宋体" w:hAnsi="宋体"/>
          <w:color w:val="auto"/>
          <w:sz w:val="24"/>
        </w:rPr>
        <w:t>18.3 所有外层密封袋的封口处应粘贴牢固。</w:t>
      </w:r>
    </w:p>
    <w:p>
      <w:pPr>
        <w:tabs>
          <w:tab w:val="left" w:pos="1080"/>
        </w:tabs>
        <w:spacing w:line="360" w:lineRule="auto"/>
        <w:ind w:firstLine="460" w:firstLineChars="192"/>
        <w:rPr>
          <w:rFonts w:ascii="宋体" w:hAnsi="宋体"/>
          <w:color w:val="auto"/>
          <w:sz w:val="24"/>
        </w:rPr>
      </w:pPr>
      <w:r>
        <w:rPr>
          <w:rFonts w:hint="eastAsia" w:ascii="宋体" w:hAnsi="宋体"/>
          <w:color w:val="auto"/>
          <w:sz w:val="24"/>
        </w:rPr>
        <w:t>18.4 未按以上要求进行密封和标注的响应文件，采购代理机构将拒收或者在时间允许的范围内，要求修改完善后接收。</w:t>
      </w:r>
    </w:p>
    <w:p>
      <w:pPr>
        <w:tabs>
          <w:tab w:val="left" w:pos="1080"/>
        </w:tabs>
        <w:spacing w:line="360" w:lineRule="auto"/>
        <w:ind w:firstLine="463" w:firstLineChars="192"/>
        <w:rPr>
          <w:rFonts w:ascii="宋体" w:hAnsi="宋体"/>
          <w:b/>
          <w:color w:val="auto"/>
          <w:sz w:val="24"/>
        </w:rPr>
      </w:pPr>
      <w:r>
        <w:rPr>
          <w:rFonts w:hint="eastAsia" w:ascii="宋体" w:hAnsi="宋体"/>
          <w:b/>
          <w:color w:val="auto"/>
          <w:sz w:val="24"/>
        </w:rPr>
        <w:t>19.响应文件的递交</w:t>
      </w:r>
    </w:p>
    <w:p>
      <w:pPr>
        <w:tabs>
          <w:tab w:val="left" w:pos="1080"/>
        </w:tabs>
        <w:spacing w:line="360" w:lineRule="auto"/>
        <w:ind w:firstLine="460" w:firstLineChars="192"/>
        <w:rPr>
          <w:rFonts w:ascii="宋体" w:hAnsi="宋体"/>
          <w:color w:val="auto"/>
          <w:sz w:val="24"/>
        </w:rPr>
      </w:pPr>
      <w:r>
        <w:rPr>
          <w:rFonts w:hint="eastAsia" w:ascii="宋体" w:hAnsi="宋体"/>
          <w:color w:val="auto"/>
          <w:sz w:val="24"/>
        </w:rPr>
        <w:t>19.1 资格性响应文件和技术、商务、服务响应文件应于递交响应文件截止时间前送达指定地点，采购代理机构拒绝接收截止时间后送达的响应文件。</w:t>
      </w:r>
    </w:p>
    <w:p>
      <w:pPr>
        <w:tabs>
          <w:tab w:val="left" w:pos="1080"/>
        </w:tabs>
        <w:spacing w:line="360" w:lineRule="auto"/>
        <w:ind w:firstLine="460" w:firstLineChars="192"/>
        <w:rPr>
          <w:rFonts w:ascii="宋体" w:hAnsi="宋体"/>
          <w:color w:val="auto"/>
          <w:sz w:val="24"/>
        </w:rPr>
      </w:pPr>
      <w:r>
        <w:rPr>
          <w:rFonts w:hint="eastAsia" w:ascii="宋体" w:hAnsi="宋体"/>
          <w:color w:val="auto"/>
          <w:sz w:val="24"/>
        </w:rPr>
        <w:t>19.2 采购代理机构将向通过资格审查的供应商发出磋商邀请；告知未通过资格审查的供应商未通过的原因。</w:t>
      </w:r>
    </w:p>
    <w:p>
      <w:pPr>
        <w:tabs>
          <w:tab w:val="left" w:pos="1080"/>
        </w:tabs>
        <w:spacing w:line="360" w:lineRule="auto"/>
        <w:ind w:firstLine="460" w:firstLineChars="192"/>
        <w:rPr>
          <w:rFonts w:ascii="宋体" w:hAnsi="宋体"/>
          <w:color w:val="auto"/>
          <w:sz w:val="24"/>
        </w:rPr>
      </w:pPr>
      <w:r>
        <w:rPr>
          <w:rFonts w:hint="eastAsia" w:ascii="宋体" w:hAnsi="宋体"/>
          <w:color w:val="auto"/>
          <w:sz w:val="24"/>
        </w:rPr>
        <w:t>19.3 报价表在磋商后，磋商小组要求供应商进行最后报价时递交。</w:t>
      </w:r>
    </w:p>
    <w:p>
      <w:pPr>
        <w:tabs>
          <w:tab w:val="left" w:pos="1080"/>
        </w:tabs>
        <w:spacing w:line="360" w:lineRule="auto"/>
        <w:ind w:firstLine="460" w:firstLineChars="192"/>
        <w:rPr>
          <w:rFonts w:ascii="宋体" w:hAnsi="宋体"/>
          <w:color w:val="auto"/>
          <w:sz w:val="24"/>
        </w:rPr>
      </w:pPr>
      <w:r>
        <w:rPr>
          <w:rFonts w:hint="eastAsia" w:ascii="宋体" w:hAnsi="宋体"/>
          <w:color w:val="auto"/>
          <w:sz w:val="24"/>
        </w:rPr>
        <w:t>19.4 本次采购不接收邮寄的响应文件。</w:t>
      </w:r>
    </w:p>
    <w:bookmarkEnd w:id="88"/>
    <w:bookmarkEnd w:id="89"/>
    <w:bookmarkEnd w:id="90"/>
    <w:bookmarkEnd w:id="91"/>
    <w:bookmarkEnd w:id="92"/>
    <w:p>
      <w:pPr>
        <w:tabs>
          <w:tab w:val="left" w:pos="1080"/>
        </w:tabs>
        <w:spacing w:line="360" w:lineRule="auto"/>
        <w:ind w:firstLine="463" w:firstLineChars="192"/>
        <w:rPr>
          <w:rFonts w:ascii="宋体" w:hAnsi="宋体"/>
          <w:b/>
          <w:color w:val="auto"/>
          <w:sz w:val="24"/>
        </w:rPr>
      </w:pPr>
      <w:bookmarkStart w:id="93" w:name="_Toc217446055"/>
      <w:bookmarkStart w:id="94" w:name="_Toc183582228"/>
      <w:bookmarkStart w:id="95" w:name="_Toc183682365"/>
      <w:r>
        <w:rPr>
          <w:rFonts w:hint="eastAsia" w:ascii="宋体" w:hAnsi="宋体"/>
          <w:b/>
          <w:color w:val="auto"/>
          <w:sz w:val="24"/>
        </w:rPr>
        <w:t>20.响应文件的修改和撤回（补充、修改响应文件的密封和标注按照本章“1</w:t>
      </w:r>
      <w:r>
        <w:rPr>
          <w:rFonts w:hint="eastAsia" w:ascii="宋体" w:hAnsi="宋体"/>
          <w:b/>
          <w:color w:val="auto"/>
          <w:sz w:val="24"/>
          <w:lang w:val="en-US" w:eastAsia="zh-CN"/>
        </w:rPr>
        <w:t>8</w:t>
      </w:r>
      <w:r>
        <w:rPr>
          <w:rFonts w:hint="eastAsia" w:ascii="宋体" w:hAnsi="宋体"/>
          <w:b/>
          <w:color w:val="auto"/>
          <w:sz w:val="24"/>
        </w:rPr>
        <w:t>.响应文件的密封和标注”规定处理）</w:t>
      </w:r>
    </w:p>
    <w:p>
      <w:pPr>
        <w:pStyle w:val="8"/>
        <w:spacing w:line="360" w:lineRule="auto"/>
        <w:ind w:firstLine="480"/>
        <w:rPr>
          <w:rFonts w:ascii="宋体" w:hAnsi="宋体"/>
          <w:color w:val="auto"/>
          <w:sz w:val="24"/>
        </w:rPr>
      </w:pPr>
      <w:r>
        <w:rPr>
          <w:rFonts w:hint="eastAsia" w:ascii="宋体" w:hAnsi="宋体"/>
          <w:color w:val="auto"/>
          <w:sz w:val="24"/>
        </w:rPr>
        <w:t>20</w:t>
      </w:r>
      <w:r>
        <w:rPr>
          <w:rFonts w:ascii="宋体" w:hAnsi="宋体"/>
          <w:color w:val="auto"/>
          <w:sz w:val="24"/>
        </w:rPr>
        <w:t>.</w:t>
      </w:r>
      <w:r>
        <w:rPr>
          <w:rFonts w:hint="eastAsia" w:ascii="宋体" w:hAnsi="宋体"/>
          <w:color w:val="auto"/>
          <w:sz w:val="24"/>
        </w:rPr>
        <w:t>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 供应商在提交响应文件截止时间前，可以对所提交的响应文件进行补充、修改或者撤回，补充、修改的内容与响应文件不一致的，以补充、修改的内容为准。</w:t>
      </w:r>
    </w:p>
    <w:p>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20</w:t>
      </w:r>
      <w:r>
        <w:rPr>
          <w:rFonts w:ascii="宋体" w:hAnsi="宋体"/>
          <w:color w:val="auto"/>
          <w:sz w:val="24"/>
        </w:rPr>
        <w:t>.</w:t>
      </w:r>
      <w:r>
        <w:rPr>
          <w:rFonts w:hint="eastAsia" w:ascii="宋体" w:hAnsi="宋体"/>
          <w:color w:val="auto"/>
          <w:sz w:val="24"/>
        </w:rPr>
        <w:t>2供应商对响应文件修改的书面材料或撤回的通知应该按规定进行编写、密封、标注和递送，并注明“修改响应文件”字样。</w:t>
      </w:r>
    </w:p>
    <w:p>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20</w:t>
      </w:r>
      <w:r>
        <w:rPr>
          <w:rFonts w:ascii="宋体" w:hAnsi="宋体"/>
          <w:color w:val="auto"/>
          <w:sz w:val="24"/>
        </w:rPr>
        <w:t>.</w:t>
      </w:r>
      <w:r>
        <w:rPr>
          <w:rFonts w:hint="eastAsia" w:ascii="宋体" w:hAnsi="宋体"/>
          <w:color w:val="auto"/>
          <w:sz w:val="24"/>
        </w:rPr>
        <w:t>3供应商不得在递交截止时间起至响应文件有效期期满前撤销其响应文件。</w:t>
      </w:r>
    </w:p>
    <w:p>
      <w:pPr>
        <w:spacing w:line="360" w:lineRule="auto"/>
        <w:ind w:firstLine="480"/>
        <w:rPr>
          <w:rFonts w:ascii="宋体" w:hAnsi="宋体"/>
          <w:color w:val="auto"/>
          <w:sz w:val="24"/>
        </w:rPr>
      </w:pPr>
      <w:r>
        <w:rPr>
          <w:rFonts w:hint="eastAsia" w:ascii="宋体" w:hAnsi="宋体"/>
          <w:color w:val="auto"/>
          <w:sz w:val="24"/>
        </w:rPr>
        <w:t>20.4 响应文件中报价如果出现下列不一致的，可按以下原则进行修改：</w:t>
      </w:r>
    </w:p>
    <w:p>
      <w:pPr>
        <w:spacing w:line="360" w:lineRule="auto"/>
        <w:ind w:firstLine="480"/>
        <w:rPr>
          <w:rFonts w:ascii="宋体" w:hAnsi="宋体"/>
          <w:color w:val="auto"/>
          <w:sz w:val="24"/>
        </w:rPr>
      </w:pPr>
      <w:r>
        <w:rPr>
          <w:rFonts w:hint="eastAsia" w:ascii="宋体" w:hAnsi="宋体"/>
          <w:color w:val="auto"/>
          <w:sz w:val="24"/>
        </w:rPr>
        <w:t>（一）</w:t>
      </w:r>
      <w:r>
        <w:rPr>
          <w:rFonts w:hint="eastAsia" w:ascii="宋体" w:hAnsi="宋体" w:cs="宋体"/>
          <w:color w:val="auto"/>
          <w:kern w:val="0"/>
          <w:sz w:val="24"/>
        </w:rPr>
        <w:t>大写金额和小写金额不一致的，以大写金额为准</w:t>
      </w:r>
      <w:r>
        <w:rPr>
          <w:rFonts w:hint="eastAsia" w:ascii="宋体" w:hAnsi="宋体"/>
          <w:color w:val="auto"/>
          <w:sz w:val="24"/>
        </w:rPr>
        <w:t>，但大写金额文字存在错误的，应当先对大写金额的文字错误进行澄清、说明或者更正，再行修正。</w:t>
      </w:r>
    </w:p>
    <w:p>
      <w:pPr>
        <w:spacing w:line="360" w:lineRule="auto"/>
        <w:ind w:firstLine="480"/>
        <w:rPr>
          <w:rFonts w:ascii="宋体" w:hAnsi="宋体"/>
          <w:color w:val="auto"/>
          <w:sz w:val="24"/>
        </w:rPr>
      </w:pPr>
      <w:r>
        <w:rPr>
          <w:rFonts w:hint="eastAsia" w:ascii="宋体" w:hAnsi="宋体"/>
          <w:color w:val="auto"/>
          <w:sz w:val="24"/>
        </w:rPr>
        <w:t>（二）</w:t>
      </w:r>
      <w:r>
        <w:rPr>
          <w:rFonts w:hint="eastAsia" w:ascii="宋体" w:hAnsi="宋体" w:cs="宋体"/>
          <w:color w:val="auto"/>
          <w:kern w:val="0"/>
          <w:sz w:val="24"/>
        </w:rPr>
        <w:t>总价金额与按单价汇总金额不一致的，以单价金额计算结果为准，</w:t>
      </w:r>
      <w:r>
        <w:rPr>
          <w:rFonts w:hint="eastAsia" w:ascii="宋体" w:hAnsi="宋体"/>
          <w:color w:val="auto"/>
          <w:sz w:val="24"/>
        </w:rPr>
        <w:t>但</w:t>
      </w:r>
      <w:r>
        <w:rPr>
          <w:rFonts w:hint="eastAsia" w:ascii="宋体" w:hAnsi="宋体" w:cs="宋体"/>
          <w:color w:val="auto"/>
          <w:kern w:val="0"/>
          <w:sz w:val="24"/>
        </w:rPr>
        <w:t>单价或者单价汇总金额存在数字或者</w:t>
      </w:r>
      <w:r>
        <w:rPr>
          <w:rFonts w:hint="eastAsia" w:ascii="宋体" w:hAnsi="宋体"/>
          <w:color w:val="auto"/>
          <w:sz w:val="24"/>
        </w:rPr>
        <w:t>文字错误的，应当先对</w:t>
      </w:r>
      <w:r>
        <w:rPr>
          <w:rFonts w:hint="eastAsia" w:ascii="宋体" w:hAnsi="宋体" w:cs="宋体"/>
          <w:color w:val="auto"/>
          <w:kern w:val="0"/>
          <w:sz w:val="24"/>
        </w:rPr>
        <w:t>数字或者</w:t>
      </w:r>
      <w:r>
        <w:rPr>
          <w:rFonts w:hint="eastAsia" w:ascii="宋体" w:hAnsi="宋体"/>
          <w:color w:val="auto"/>
          <w:sz w:val="24"/>
        </w:rPr>
        <w:t>文字错误进行澄清、说明或者更正，再行修正。</w:t>
      </w:r>
    </w:p>
    <w:p>
      <w:pPr>
        <w:spacing w:line="360" w:lineRule="auto"/>
        <w:ind w:firstLine="480"/>
        <w:rPr>
          <w:rFonts w:ascii="宋体" w:hAnsi="宋体"/>
          <w:color w:val="auto"/>
          <w:sz w:val="24"/>
        </w:rPr>
      </w:pPr>
      <w:r>
        <w:rPr>
          <w:rFonts w:hint="eastAsia" w:ascii="宋体" w:hAnsi="宋体"/>
          <w:color w:val="auto"/>
          <w:sz w:val="24"/>
        </w:rPr>
        <w:t>（三）单价金额小数点</w:t>
      </w:r>
      <w:r>
        <w:rPr>
          <w:rFonts w:hint="eastAsia" w:ascii="宋体" w:hAnsi="宋体" w:cs="宋体"/>
          <w:color w:val="auto"/>
          <w:kern w:val="0"/>
          <w:sz w:val="24"/>
        </w:rPr>
        <w:t>或者百分比有明显错位的</w:t>
      </w:r>
      <w:r>
        <w:rPr>
          <w:rFonts w:hint="eastAsia" w:ascii="宋体" w:hAnsi="宋体"/>
          <w:color w:val="auto"/>
          <w:sz w:val="24"/>
        </w:rPr>
        <w:t>，以总价为准，修正单价。</w:t>
      </w:r>
    </w:p>
    <w:p>
      <w:pPr>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pPr>
        <w:spacing w:line="360" w:lineRule="auto"/>
        <w:ind w:firstLine="480"/>
        <w:rPr>
          <w:rFonts w:ascii="宋体" w:hAnsi="宋体"/>
          <w:color w:val="auto"/>
          <w:sz w:val="24"/>
        </w:rPr>
      </w:pPr>
      <w:r>
        <w:rPr>
          <w:rFonts w:hint="eastAsia" w:ascii="宋体" w:hAnsi="宋体"/>
          <w:color w:val="auto"/>
          <w:sz w:val="24"/>
        </w:rPr>
        <w:t>20.5供应商对其提交的响应文件的真实性、合法性承担法律责任。</w:t>
      </w:r>
      <w:bookmarkEnd w:id="93"/>
      <w:bookmarkEnd w:id="94"/>
      <w:bookmarkEnd w:id="95"/>
    </w:p>
    <w:p>
      <w:pPr>
        <w:pStyle w:val="5"/>
        <w:keepNext w:val="0"/>
        <w:keepLines w:val="0"/>
        <w:spacing w:line="400" w:lineRule="exact"/>
        <w:jc w:val="center"/>
        <w:rPr>
          <w:rFonts w:ascii="宋体" w:hAnsi="宋体" w:eastAsia="宋体"/>
          <w:color w:val="auto"/>
          <w:sz w:val="30"/>
          <w:szCs w:val="30"/>
        </w:rPr>
      </w:pPr>
      <w:bookmarkStart w:id="96" w:name="_Toc17106657"/>
      <w:bookmarkStart w:id="97" w:name="_Toc19457964"/>
      <w:bookmarkStart w:id="98" w:name="_Toc77400782"/>
      <w:bookmarkStart w:id="99" w:name="_Toc217446056"/>
      <w:bookmarkStart w:id="100" w:name="_Toc183582231"/>
      <w:bookmarkStart w:id="101" w:name="_Toc89075878"/>
      <w:bookmarkStart w:id="102" w:name="_Toc183682368"/>
      <w:r>
        <w:rPr>
          <w:rFonts w:hint="eastAsia" w:ascii="宋体" w:hAnsi="宋体" w:eastAsia="宋体"/>
          <w:color w:val="auto"/>
          <w:sz w:val="30"/>
          <w:szCs w:val="30"/>
        </w:rPr>
        <w:t>五、评审</w:t>
      </w:r>
      <w:bookmarkEnd w:id="96"/>
      <w:bookmarkEnd w:id="97"/>
    </w:p>
    <w:p>
      <w:pPr>
        <w:pStyle w:val="5"/>
        <w:keepNext w:val="0"/>
        <w:keepLines w:val="0"/>
        <w:spacing w:line="360" w:lineRule="auto"/>
        <w:ind w:firstLine="482" w:firstLineChars="200"/>
        <w:rPr>
          <w:rFonts w:ascii="宋体" w:hAnsi="宋体" w:eastAsia="宋体"/>
          <w:b w:val="0"/>
          <w:color w:val="auto"/>
          <w:sz w:val="24"/>
          <w:szCs w:val="24"/>
        </w:rPr>
      </w:pPr>
      <w:bookmarkStart w:id="103" w:name="_Toc19457965"/>
      <w:bookmarkStart w:id="104" w:name="_Toc2929430"/>
      <w:bookmarkStart w:id="105" w:name="_Toc17106658"/>
      <w:r>
        <w:rPr>
          <w:rFonts w:hint="eastAsia" w:ascii="宋体" w:hAnsi="宋体" w:eastAsia="宋体"/>
          <w:color w:val="auto"/>
          <w:sz w:val="24"/>
          <w:szCs w:val="24"/>
        </w:rPr>
        <w:t>21.</w:t>
      </w:r>
      <w:r>
        <w:rPr>
          <w:rFonts w:hint="eastAsia" w:ascii="宋体" w:hAnsi="宋体" w:eastAsia="宋体"/>
          <w:b w:val="0"/>
          <w:color w:val="auto"/>
          <w:sz w:val="24"/>
          <w:szCs w:val="24"/>
        </w:rPr>
        <w:t>磋商小组的组建及其评审工作按照有关法律制度和本文件第八章的规定进行。</w:t>
      </w:r>
      <w:bookmarkEnd w:id="103"/>
      <w:bookmarkEnd w:id="104"/>
      <w:bookmarkEnd w:id="105"/>
    </w:p>
    <w:p>
      <w:pPr>
        <w:pStyle w:val="5"/>
        <w:keepNext w:val="0"/>
        <w:keepLines w:val="0"/>
        <w:spacing w:line="400" w:lineRule="exact"/>
        <w:jc w:val="center"/>
        <w:rPr>
          <w:rFonts w:ascii="宋体" w:hAnsi="宋体" w:eastAsia="宋体"/>
          <w:color w:val="auto"/>
          <w:sz w:val="30"/>
          <w:szCs w:val="30"/>
        </w:rPr>
      </w:pPr>
      <w:bookmarkStart w:id="106" w:name="_Toc19457966"/>
      <w:bookmarkStart w:id="107" w:name="_Toc17106659"/>
      <w:r>
        <w:rPr>
          <w:rFonts w:hint="eastAsia" w:ascii="宋体" w:hAnsi="宋体" w:eastAsia="宋体"/>
          <w:color w:val="auto"/>
          <w:sz w:val="30"/>
          <w:szCs w:val="30"/>
        </w:rPr>
        <w:t>六、成交事项</w:t>
      </w:r>
      <w:bookmarkEnd w:id="106"/>
      <w:bookmarkEnd w:id="107"/>
    </w:p>
    <w:p>
      <w:pPr>
        <w:pStyle w:val="5"/>
        <w:keepNext w:val="0"/>
        <w:keepLines w:val="0"/>
        <w:spacing w:after="0" w:line="360" w:lineRule="auto"/>
        <w:ind w:firstLine="482" w:firstLineChars="200"/>
        <w:rPr>
          <w:rFonts w:ascii="宋体" w:hAnsi="宋体" w:eastAsia="宋体"/>
          <w:color w:val="auto"/>
          <w:sz w:val="24"/>
          <w:szCs w:val="24"/>
        </w:rPr>
      </w:pPr>
      <w:bookmarkStart w:id="108" w:name="_Toc19457967"/>
      <w:bookmarkStart w:id="109" w:name="_Toc17106660"/>
      <w:bookmarkStart w:id="110" w:name="_Toc2929432"/>
      <w:r>
        <w:rPr>
          <w:rFonts w:hint="eastAsia" w:ascii="宋体" w:hAnsi="宋体" w:eastAsia="宋体"/>
          <w:color w:val="auto"/>
          <w:sz w:val="24"/>
          <w:szCs w:val="24"/>
        </w:rPr>
        <w:t>22.确定成交供应商</w:t>
      </w:r>
      <w:bookmarkEnd w:id="108"/>
      <w:bookmarkEnd w:id="109"/>
      <w:bookmarkEnd w:id="110"/>
    </w:p>
    <w:p>
      <w:pPr>
        <w:pStyle w:val="5"/>
        <w:keepNext w:val="0"/>
        <w:keepLines w:val="0"/>
        <w:spacing w:before="0" w:after="0" w:line="360" w:lineRule="auto"/>
        <w:ind w:firstLine="480" w:firstLineChars="200"/>
        <w:rPr>
          <w:rFonts w:hint="eastAsia" w:ascii="宋体" w:hAnsi="宋体" w:eastAsia="宋体"/>
          <w:b w:val="0"/>
          <w:color w:val="auto"/>
          <w:sz w:val="24"/>
          <w:szCs w:val="24"/>
        </w:rPr>
      </w:pPr>
      <w:bookmarkStart w:id="111" w:name="_Toc17106661"/>
      <w:bookmarkStart w:id="112" w:name="_Toc2929433"/>
      <w:bookmarkStart w:id="113" w:name="_Toc19457968"/>
      <w:r>
        <w:rPr>
          <w:rFonts w:hint="eastAsia" w:ascii="宋体" w:hAnsi="宋体" w:eastAsia="宋体"/>
          <w:b w:val="0"/>
          <w:color w:val="auto"/>
          <w:sz w:val="24"/>
          <w:szCs w:val="24"/>
        </w:rPr>
        <w:t>采购单位将按磋商小组推荐的成交候选供应商顺序确定成交供应商。</w:t>
      </w:r>
      <w:bookmarkEnd w:id="111"/>
      <w:bookmarkEnd w:id="112"/>
      <w:bookmarkEnd w:id="113"/>
      <w:bookmarkStart w:id="114" w:name="_Toc2929434"/>
      <w:bookmarkStart w:id="115" w:name="_Toc17106662"/>
      <w:bookmarkStart w:id="116" w:name="_Toc19457969"/>
    </w:p>
    <w:p>
      <w:pPr>
        <w:pStyle w:val="5"/>
        <w:keepNext w:val="0"/>
        <w:keepLines w:val="0"/>
        <w:spacing w:before="0" w:after="0" w:line="360" w:lineRule="auto"/>
        <w:ind w:firstLine="480" w:firstLineChars="200"/>
        <w:rPr>
          <w:rFonts w:ascii="宋体" w:hAnsi="宋体" w:eastAsia="宋体"/>
          <w:b w:val="0"/>
          <w:color w:val="auto"/>
          <w:sz w:val="24"/>
          <w:szCs w:val="24"/>
        </w:rPr>
      </w:pPr>
      <w:r>
        <w:rPr>
          <w:rFonts w:hint="eastAsia" w:ascii="宋体" w:hAnsi="宋体" w:eastAsia="宋体"/>
          <w:b w:val="0"/>
          <w:color w:val="auto"/>
          <w:sz w:val="24"/>
          <w:szCs w:val="24"/>
        </w:rPr>
        <w:t>22.1采购代理机构自评审结束后2个工作日内将磋商报告及有关资料送交采购单位确定成交供应商。</w:t>
      </w:r>
      <w:bookmarkEnd w:id="114"/>
      <w:bookmarkEnd w:id="115"/>
      <w:bookmarkEnd w:id="116"/>
    </w:p>
    <w:p>
      <w:pPr>
        <w:pStyle w:val="5"/>
        <w:keepNext w:val="0"/>
        <w:keepLines w:val="0"/>
        <w:spacing w:before="0" w:after="0" w:line="360" w:lineRule="auto"/>
        <w:ind w:firstLine="480" w:firstLineChars="200"/>
        <w:rPr>
          <w:rFonts w:ascii="宋体" w:hAnsi="宋体" w:eastAsia="宋体"/>
          <w:b w:val="0"/>
          <w:color w:val="auto"/>
          <w:sz w:val="24"/>
          <w:szCs w:val="24"/>
        </w:rPr>
      </w:pPr>
      <w:bookmarkStart w:id="117" w:name="_Toc17106663"/>
      <w:bookmarkStart w:id="118" w:name="_Toc2929435"/>
      <w:bookmarkStart w:id="119" w:name="_Toc19457970"/>
      <w:r>
        <w:rPr>
          <w:rFonts w:hint="eastAsia" w:ascii="宋体" w:hAnsi="宋体" w:eastAsia="宋体"/>
          <w:b w:val="0"/>
          <w:color w:val="auto"/>
          <w:sz w:val="24"/>
          <w:szCs w:val="24"/>
        </w:rPr>
        <w:t>22.2采购单位收到磋商报告及有关资料后，将在5个工作日内按照磋商报告中推荐的成交候选供应商顺序确定成交供应商。成交候选供应商并列的，采购单位自主采取公平、择优的方式选择成交供应商。采购单位逾期未确定成交供应商且不提出异议的，视为确定磋商报告提出的排序第一的供应商为成交供应商。</w:t>
      </w:r>
      <w:bookmarkEnd w:id="117"/>
      <w:bookmarkEnd w:id="118"/>
      <w:bookmarkEnd w:id="119"/>
    </w:p>
    <w:p>
      <w:pPr>
        <w:pStyle w:val="5"/>
        <w:keepNext w:val="0"/>
        <w:keepLines w:val="0"/>
        <w:spacing w:before="0" w:after="0" w:line="360" w:lineRule="auto"/>
        <w:ind w:firstLine="480" w:firstLineChars="200"/>
        <w:rPr>
          <w:rFonts w:ascii="宋体" w:hAnsi="宋体" w:eastAsia="宋体"/>
          <w:b w:val="0"/>
          <w:color w:val="auto"/>
          <w:sz w:val="24"/>
          <w:szCs w:val="24"/>
        </w:rPr>
      </w:pPr>
      <w:bookmarkStart w:id="120" w:name="_Toc2929436"/>
      <w:bookmarkStart w:id="121" w:name="_Toc17106664"/>
      <w:bookmarkStart w:id="122" w:name="_Toc19457971"/>
      <w:r>
        <w:rPr>
          <w:rFonts w:hint="eastAsia" w:ascii="宋体" w:hAnsi="宋体" w:eastAsia="宋体"/>
          <w:b w:val="0"/>
          <w:color w:val="auto"/>
          <w:sz w:val="24"/>
          <w:szCs w:val="24"/>
        </w:rPr>
        <w:t>22.3采购单位确定成交供应商过程中，发现成交候选供应商有下列情形之一的，应当不予确定其为成交供应商：</w:t>
      </w:r>
      <w:bookmarkEnd w:id="120"/>
      <w:bookmarkEnd w:id="121"/>
      <w:bookmarkEnd w:id="122"/>
    </w:p>
    <w:p>
      <w:pPr>
        <w:pStyle w:val="5"/>
        <w:keepNext w:val="0"/>
        <w:keepLines w:val="0"/>
        <w:spacing w:before="0" w:after="0" w:line="360" w:lineRule="auto"/>
        <w:ind w:firstLine="480" w:firstLineChars="200"/>
        <w:rPr>
          <w:rFonts w:ascii="宋体" w:hAnsi="宋体" w:eastAsia="宋体"/>
          <w:b w:val="0"/>
          <w:color w:val="auto"/>
          <w:sz w:val="24"/>
          <w:szCs w:val="24"/>
        </w:rPr>
      </w:pPr>
      <w:bookmarkStart w:id="123" w:name="_Toc17106665"/>
      <w:bookmarkStart w:id="124" w:name="_Toc2929437"/>
      <w:bookmarkStart w:id="125" w:name="_Toc19457972"/>
      <w:r>
        <w:rPr>
          <w:rFonts w:hint="eastAsia" w:ascii="宋体" w:hAnsi="宋体" w:eastAsia="宋体"/>
          <w:b w:val="0"/>
          <w:color w:val="auto"/>
          <w:sz w:val="24"/>
          <w:szCs w:val="24"/>
        </w:rPr>
        <w:t>（1）发现成交候选供应商存在禁止参加本项目采购活动的违法行为的；</w:t>
      </w:r>
      <w:bookmarkEnd w:id="123"/>
      <w:bookmarkEnd w:id="124"/>
      <w:bookmarkEnd w:id="125"/>
    </w:p>
    <w:p>
      <w:pPr>
        <w:pStyle w:val="5"/>
        <w:keepNext w:val="0"/>
        <w:keepLines w:val="0"/>
        <w:spacing w:before="0" w:after="0" w:line="360" w:lineRule="auto"/>
        <w:ind w:firstLine="480" w:firstLineChars="200"/>
        <w:rPr>
          <w:rFonts w:ascii="宋体" w:hAnsi="宋体" w:eastAsia="宋体"/>
          <w:b w:val="0"/>
          <w:color w:val="auto"/>
          <w:sz w:val="24"/>
          <w:szCs w:val="24"/>
        </w:rPr>
      </w:pPr>
      <w:bookmarkStart w:id="126" w:name="_Toc17106666"/>
      <w:bookmarkStart w:id="127" w:name="_Toc19457973"/>
      <w:bookmarkStart w:id="128" w:name="_Toc2929438"/>
      <w:r>
        <w:rPr>
          <w:rFonts w:hint="eastAsia" w:ascii="宋体" w:hAnsi="宋体" w:eastAsia="宋体"/>
          <w:b w:val="0"/>
          <w:color w:val="auto"/>
          <w:sz w:val="24"/>
          <w:szCs w:val="24"/>
        </w:rPr>
        <w:t>（2）成交候选供应商因不可抗力，不能继续参加本次采购活动；</w:t>
      </w:r>
      <w:bookmarkEnd w:id="126"/>
      <w:bookmarkEnd w:id="127"/>
      <w:bookmarkEnd w:id="128"/>
    </w:p>
    <w:p>
      <w:pPr>
        <w:pStyle w:val="5"/>
        <w:keepNext w:val="0"/>
        <w:keepLines w:val="0"/>
        <w:spacing w:before="0" w:after="0" w:line="360" w:lineRule="auto"/>
        <w:ind w:firstLine="480" w:firstLineChars="200"/>
        <w:rPr>
          <w:rFonts w:ascii="宋体" w:hAnsi="宋体" w:eastAsia="宋体"/>
          <w:b w:val="0"/>
          <w:color w:val="auto"/>
          <w:sz w:val="24"/>
          <w:szCs w:val="24"/>
        </w:rPr>
      </w:pPr>
      <w:bookmarkStart w:id="129" w:name="_Toc19457974"/>
      <w:bookmarkStart w:id="130" w:name="_Toc2929439"/>
      <w:bookmarkStart w:id="131" w:name="_Toc17106667"/>
      <w:r>
        <w:rPr>
          <w:rFonts w:hint="eastAsia" w:ascii="宋体" w:hAnsi="宋体" w:eastAsia="宋体"/>
          <w:b w:val="0"/>
          <w:color w:val="auto"/>
          <w:sz w:val="24"/>
          <w:szCs w:val="24"/>
        </w:rPr>
        <w:t>（3）成交候选供应商无偿赠与或者低于成本价竞争；</w:t>
      </w:r>
      <w:bookmarkEnd w:id="129"/>
      <w:bookmarkEnd w:id="130"/>
      <w:bookmarkEnd w:id="131"/>
    </w:p>
    <w:p>
      <w:pPr>
        <w:pStyle w:val="5"/>
        <w:keepNext w:val="0"/>
        <w:keepLines w:val="0"/>
        <w:spacing w:before="0" w:after="0" w:line="360" w:lineRule="auto"/>
        <w:ind w:firstLine="480" w:firstLineChars="200"/>
        <w:rPr>
          <w:rFonts w:ascii="宋体" w:hAnsi="宋体" w:eastAsia="宋体"/>
          <w:b w:val="0"/>
          <w:color w:val="auto"/>
          <w:sz w:val="24"/>
          <w:szCs w:val="24"/>
        </w:rPr>
      </w:pPr>
      <w:bookmarkStart w:id="132" w:name="_Toc19457975"/>
      <w:bookmarkStart w:id="133" w:name="_Toc17106668"/>
      <w:bookmarkStart w:id="134" w:name="_Toc2929440"/>
      <w:r>
        <w:rPr>
          <w:rFonts w:hint="eastAsia" w:ascii="宋体" w:hAnsi="宋体" w:eastAsia="宋体"/>
          <w:b w:val="0"/>
          <w:color w:val="auto"/>
          <w:sz w:val="24"/>
          <w:szCs w:val="24"/>
        </w:rPr>
        <w:t>（4）成交候选供应商提供虚假材料；</w:t>
      </w:r>
      <w:bookmarkEnd w:id="132"/>
      <w:bookmarkEnd w:id="133"/>
      <w:bookmarkEnd w:id="134"/>
    </w:p>
    <w:p>
      <w:pPr>
        <w:pStyle w:val="5"/>
        <w:keepNext w:val="0"/>
        <w:keepLines w:val="0"/>
        <w:spacing w:before="0" w:after="0" w:line="360" w:lineRule="auto"/>
        <w:ind w:firstLine="480" w:firstLineChars="200"/>
        <w:rPr>
          <w:rFonts w:ascii="宋体" w:hAnsi="宋体" w:eastAsia="宋体"/>
          <w:b w:val="0"/>
          <w:color w:val="auto"/>
          <w:sz w:val="24"/>
          <w:szCs w:val="24"/>
        </w:rPr>
      </w:pPr>
      <w:bookmarkStart w:id="135" w:name="_Toc2929441"/>
      <w:bookmarkStart w:id="136" w:name="_Toc17106669"/>
      <w:bookmarkStart w:id="137" w:name="_Toc19457976"/>
      <w:r>
        <w:rPr>
          <w:rFonts w:hint="eastAsia" w:ascii="宋体" w:hAnsi="宋体" w:eastAsia="宋体"/>
          <w:b w:val="0"/>
          <w:color w:val="auto"/>
          <w:sz w:val="24"/>
          <w:szCs w:val="24"/>
        </w:rPr>
        <w:t>（5）成交候选供应商恶意串通。</w:t>
      </w:r>
      <w:bookmarkEnd w:id="135"/>
      <w:bookmarkEnd w:id="136"/>
      <w:bookmarkEnd w:id="137"/>
    </w:p>
    <w:p>
      <w:pPr>
        <w:pStyle w:val="5"/>
        <w:keepNext w:val="0"/>
        <w:keepLines w:val="0"/>
        <w:spacing w:before="0" w:after="0" w:line="360" w:lineRule="auto"/>
        <w:ind w:firstLine="480" w:firstLineChars="200"/>
        <w:rPr>
          <w:rFonts w:ascii="宋体" w:hAnsi="宋体" w:eastAsia="宋体"/>
          <w:b w:val="0"/>
          <w:color w:val="auto"/>
          <w:sz w:val="24"/>
          <w:szCs w:val="24"/>
        </w:rPr>
      </w:pPr>
      <w:bookmarkStart w:id="138" w:name="_Toc17106670"/>
      <w:bookmarkStart w:id="139" w:name="_Toc19457977"/>
      <w:bookmarkStart w:id="140" w:name="_Toc2929442"/>
      <w:r>
        <w:rPr>
          <w:rFonts w:hint="eastAsia" w:ascii="宋体" w:hAnsi="宋体" w:eastAsia="宋体"/>
          <w:b w:val="0"/>
          <w:color w:val="auto"/>
          <w:sz w:val="24"/>
          <w:szCs w:val="24"/>
        </w:rPr>
        <w:t>成交候选供应商有本条情形之一的，采购单位可以确定后一位成交候选供应商为成交供应商，依次类推。无法确定成交供应商的，应当重新组织采购。</w:t>
      </w:r>
      <w:bookmarkEnd w:id="138"/>
      <w:bookmarkEnd w:id="139"/>
      <w:bookmarkEnd w:id="140"/>
    </w:p>
    <w:p>
      <w:pPr>
        <w:pStyle w:val="5"/>
        <w:keepNext w:val="0"/>
        <w:keepLines w:val="0"/>
        <w:spacing w:before="0" w:after="0" w:line="360" w:lineRule="auto"/>
        <w:ind w:firstLine="482" w:firstLineChars="200"/>
        <w:rPr>
          <w:rFonts w:ascii="宋体" w:hAnsi="宋体" w:eastAsia="宋体"/>
          <w:color w:val="auto"/>
          <w:sz w:val="24"/>
          <w:szCs w:val="24"/>
        </w:rPr>
      </w:pPr>
      <w:bookmarkStart w:id="141" w:name="_Toc17106671"/>
      <w:bookmarkStart w:id="142" w:name="_Toc19457978"/>
      <w:bookmarkStart w:id="143" w:name="_Toc2929443"/>
      <w:r>
        <w:rPr>
          <w:rFonts w:hint="eastAsia" w:ascii="宋体" w:hAnsi="宋体" w:eastAsia="宋体"/>
          <w:color w:val="auto"/>
          <w:sz w:val="24"/>
          <w:szCs w:val="24"/>
        </w:rPr>
        <w:t>23.行贿犯罪记录</w:t>
      </w:r>
      <w:bookmarkEnd w:id="141"/>
      <w:bookmarkEnd w:id="142"/>
      <w:bookmarkEnd w:id="143"/>
    </w:p>
    <w:p>
      <w:pPr>
        <w:pStyle w:val="5"/>
        <w:keepNext w:val="0"/>
        <w:keepLines w:val="0"/>
        <w:spacing w:before="0" w:after="0" w:line="360" w:lineRule="auto"/>
        <w:ind w:firstLine="480" w:firstLineChars="200"/>
        <w:rPr>
          <w:rFonts w:ascii="宋体" w:hAnsi="宋体" w:eastAsia="宋体"/>
          <w:b w:val="0"/>
          <w:color w:val="auto"/>
          <w:sz w:val="24"/>
          <w:szCs w:val="24"/>
        </w:rPr>
      </w:pPr>
      <w:bookmarkStart w:id="144" w:name="_Toc17106672"/>
      <w:bookmarkStart w:id="145" w:name="_Toc2929444"/>
      <w:bookmarkStart w:id="146" w:name="_Toc19457979"/>
      <w:r>
        <w:rPr>
          <w:rFonts w:hint="eastAsia" w:ascii="宋体" w:hAnsi="宋体" w:eastAsia="宋体"/>
          <w:b w:val="0"/>
          <w:color w:val="auto"/>
          <w:sz w:val="24"/>
          <w:szCs w:val="24"/>
        </w:rPr>
        <w:t>23.1供应商应在响应文件中提供无行贿犯罪记录相关承诺并保证承诺内容的真实性，如有虚假承诺视为无效响应。</w:t>
      </w:r>
      <w:bookmarkEnd w:id="144"/>
      <w:bookmarkEnd w:id="145"/>
      <w:bookmarkEnd w:id="146"/>
    </w:p>
    <w:p>
      <w:pPr>
        <w:pStyle w:val="5"/>
        <w:keepNext w:val="0"/>
        <w:keepLines w:val="0"/>
        <w:spacing w:before="0" w:after="0" w:line="360" w:lineRule="auto"/>
        <w:ind w:firstLine="482" w:firstLineChars="200"/>
        <w:rPr>
          <w:rFonts w:ascii="宋体" w:hAnsi="宋体" w:eastAsia="宋体"/>
          <w:color w:val="auto"/>
          <w:sz w:val="24"/>
          <w:szCs w:val="24"/>
        </w:rPr>
      </w:pPr>
      <w:bookmarkStart w:id="147" w:name="_Toc2929445"/>
      <w:bookmarkStart w:id="148" w:name="_Toc17106673"/>
      <w:bookmarkStart w:id="149" w:name="_Toc19457980"/>
      <w:r>
        <w:rPr>
          <w:rFonts w:hint="eastAsia" w:ascii="宋体" w:hAnsi="宋体" w:eastAsia="宋体"/>
          <w:color w:val="auto"/>
          <w:sz w:val="24"/>
          <w:szCs w:val="24"/>
        </w:rPr>
        <w:t>24.成交结果</w:t>
      </w:r>
      <w:bookmarkEnd w:id="147"/>
      <w:bookmarkEnd w:id="148"/>
      <w:bookmarkEnd w:id="149"/>
    </w:p>
    <w:p>
      <w:pPr>
        <w:pStyle w:val="5"/>
        <w:keepNext w:val="0"/>
        <w:keepLines w:val="0"/>
        <w:spacing w:before="0" w:after="0" w:line="360" w:lineRule="auto"/>
        <w:ind w:firstLine="480" w:firstLineChars="200"/>
        <w:rPr>
          <w:rFonts w:ascii="宋体" w:hAnsi="宋体" w:eastAsia="宋体"/>
          <w:b w:val="0"/>
          <w:color w:val="auto"/>
          <w:sz w:val="24"/>
          <w:szCs w:val="24"/>
        </w:rPr>
      </w:pPr>
      <w:bookmarkStart w:id="150" w:name="_Toc19457981"/>
      <w:bookmarkStart w:id="151" w:name="_Toc17106674"/>
      <w:bookmarkStart w:id="152" w:name="_Toc2929446"/>
      <w:r>
        <w:rPr>
          <w:rFonts w:hint="eastAsia" w:ascii="宋体" w:hAnsi="宋体" w:eastAsia="宋体"/>
          <w:b w:val="0"/>
          <w:color w:val="auto"/>
          <w:sz w:val="24"/>
          <w:szCs w:val="24"/>
        </w:rPr>
        <w:t>24.1采购单位确定成交供应商后，将及时书面通知采购代理机构发出成交通知书并发布成交结果公告。</w:t>
      </w:r>
      <w:bookmarkEnd w:id="150"/>
      <w:bookmarkEnd w:id="151"/>
      <w:bookmarkEnd w:id="152"/>
    </w:p>
    <w:p>
      <w:pPr>
        <w:pStyle w:val="5"/>
        <w:keepNext w:val="0"/>
        <w:keepLines w:val="0"/>
        <w:spacing w:before="0" w:after="0" w:line="360" w:lineRule="auto"/>
        <w:ind w:firstLine="480" w:firstLineChars="200"/>
        <w:rPr>
          <w:rFonts w:ascii="宋体" w:hAnsi="宋体" w:eastAsia="宋体"/>
          <w:b w:val="0"/>
          <w:color w:val="auto"/>
          <w:sz w:val="24"/>
          <w:szCs w:val="24"/>
        </w:rPr>
      </w:pPr>
      <w:bookmarkStart w:id="153" w:name="_Toc17106675"/>
      <w:bookmarkStart w:id="154" w:name="_Toc2929447"/>
      <w:bookmarkStart w:id="155" w:name="_Toc19457982"/>
      <w:r>
        <w:rPr>
          <w:rFonts w:hint="eastAsia" w:ascii="宋体" w:hAnsi="宋体" w:eastAsia="宋体"/>
          <w:b w:val="0"/>
          <w:bCs w:val="0"/>
          <w:color w:val="auto"/>
          <w:sz w:val="24"/>
        </w:rPr>
        <w:t>24.2成交供应商应当及时领取成交通知书。本项目需要交纳履约保证金的，成交供应商应当及时向采购单位交纳。</w:t>
      </w:r>
      <w:bookmarkEnd w:id="153"/>
      <w:bookmarkEnd w:id="154"/>
      <w:bookmarkEnd w:id="155"/>
    </w:p>
    <w:p>
      <w:pPr>
        <w:spacing w:line="360" w:lineRule="auto"/>
        <w:ind w:firstLine="465"/>
        <w:rPr>
          <w:rFonts w:ascii="宋体" w:hAnsi="宋体"/>
          <w:bCs/>
          <w:color w:val="auto"/>
          <w:sz w:val="24"/>
        </w:rPr>
      </w:pPr>
      <w:r>
        <w:rPr>
          <w:rFonts w:hint="eastAsia" w:ascii="宋体" w:hAnsi="宋体"/>
          <w:bCs/>
          <w:color w:val="auto"/>
          <w:sz w:val="24"/>
        </w:rPr>
        <w:t>24.3成交供应商不能及时领取成交通知书，采购代理机构应当通过邮寄、快递等方式将项目成交通知书送达成交供应商。</w:t>
      </w:r>
    </w:p>
    <w:p>
      <w:pPr>
        <w:pStyle w:val="5"/>
        <w:keepNext w:val="0"/>
        <w:keepLines w:val="0"/>
        <w:spacing w:before="0" w:after="0" w:line="360" w:lineRule="auto"/>
        <w:ind w:firstLine="482" w:firstLineChars="200"/>
        <w:rPr>
          <w:rFonts w:ascii="宋体" w:hAnsi="宋体" w:eastAsia="宋体"/>
          <w:color w:val="auto"/>
          <w:sz w:val="24"/>
          <w:szCs w:val="24"/>
        </w:rPr>
      </w:pPr>
      <w:bookmarkStart w:id="156" w:name="_Toc17106676"/>
      <w:bookmarkStart w:id="157" w:name="_Toc19457983"/>
      <w:bookmarkStart w:id="158" w:name="_Toc2929448"/>
      <w:r>
        <w:rPr>
          <w:rFonts w:hint="eastAsia" w:ascii="宋体" w:hAnsi="宋体" w:eastAsia="宋体"/>
          <w:color w:val="auto"/>
          <w:sz w:val="24"/>
          <w:szCs w:val="24"/>
        </w:rPr>
        <w:t>25.成交通知书</w:t>
      </w:r>
      <w:bookmarkEnd w:id="156"/>
      <w:bookmarkEnd w:id="157"/>
      <w:bookmarkEnd w:id="158"/>
    </w:p>
    <w:p>
      <w:pPr>
        <w:pStyle w:val="5"/>
        <w:keepNext w:val="0"/>
        <w:keepLines w:val="0"/>
        <w:spacing w:before="0" w:after="0" w:line="360" w:lineRule="auto"/>
        <w:ind w:firstLine="480" w:firstLineChars="200"/>
        <w:rPr>
          <w:rFonts w:ascii="宋体" w:hAnsi="宋体" w:eastAsia="宋体"/>
          <w:b w:val="0"/>
          <w:color w:val="auto"/>
          <w:sz w:val="24"/>
          <w:szCs w:val="24"/>
        </w:rPr>
      </w:pPr>
      <w:bookmarkStart w:id="159" w:name="_Toc17106677"/>
      <w:bookmarkStart w:id="160" w:name="_Toc2929449"/>
      <w:bookmarkStart w:id="161" w:name="_Toc19457984"/>
      <w:r>
        <w:rPr>
          <w:rFonts w:hint="eastAsia" w:ascii="宋体" w:hAnsi="宋体" w:eastAsia="宋体"/>
          <w:b w:val="0"/>
          <w:color w:val="auto"/>
          <w:sz w:val="24"/>
          <w:szCs w:val="24"/>
        </w:rPr>
        <w:t>25.1成交通知书为签订采购合同的依据之一，是合同的有效组成部分。</w:t>
      </w:r>
      <w:bookmarkEnd w:id="159"/>
      <w:bookmarkEnd w:id="160"/>
      <w:bookmarkEnd w:id="161"/>
    </w:p>
    <w:p>
      <w:pPr>
        <w:pStyle w:val="5"/>
        <w:keepNext w:val="0"/>
        <w:keepLines w:val="0"/>
        <w:spacing w:before="0" w:after="0" w:line="360" w:lineRule="auto"/>
        <w:ind w:firstLine="480" w:firstLineChars="200"/>
        <w:rPr>
          <w:rFonts w:ascii="宋体" w:hAnsi="宋体" w:eastAsia="宋体"/>
          <w:b w:val="0"/>
          <w:color w:val="auto"/>
          <w:sz w:val="24"/>
          <w:szCs w:val="24"/>
        </w:rPr>
      </w:pPr>
      <w:bookmarkStart w:id="162" w:name="_Toc17106678"/>
      <w:bookmarkStart w:id="163" w:name="_Toc2929450"/>
      <w:bookmarkStart w:id="164" w:name="_Toc19457985"/>
      <w:r>
        <w:rPr>
          <w:rFonts w:hint="eastAsia" w:ascii="宋体" w:hAnsi="宋体" w:eastAsia="宋体"/>
          <w:b w:val="0"/>
          <w:color w:val="auto"/>
          <w:sz w:val="24"/>
          <w:szCs w:val="24"/>
        </w:rPr>
        <w:t>25.2成交通知书对采购单位和成交供应商均具有法律效力。成交通知书发出后，采购单位无正当理由改变成交结果，或者成交供应商无正当理由放弃成交的，将承担相应的法律责任。</w:t>
      </w:r>
      <w:bookmarkEnd w:id="162"/>
      <w:bookmarkEnd w:id="163"/>
      <w:bookmarkEnd w:id="164"/>
    </w:p>
    <w:p>
      <w:pPr>
        <w:pStyle w:val="5"/>
        <w:keepNext w:val="0"/>
        <w:keepLines w:val="0"/>
        <w:spacing w:before="0" w:after="0" w:line="360" w:lineRule="auto"/>
        <w:ind w:firstLine="480" w:firstLineChars="200"/>
        <w:rPr>
          <w:rFonts w:ascii="宋体" w:hAnsi="宋体" w:eastAsia="宋体"/>
          <w:b w:val="0"/>
          <w:color w:val="auto"/>
          <w:sz w:val="24"/>
          <w:szCs w:val="24"/>
        </w:rPr>
      </w:pPr>
      <w:bookmarkStart w:id="165" w:name="_Toc2929451"/>
      <w:bookmarkStart w:id="166" w:name="_Toc19457986"/>
      <w:bookmarkStart w:id="167" w:name="_Toc17106679"/>
      <w:r>
        <w:rPr>
          <w:rFonts w:hint="eastAsia" w:ascii="宋体" w:hAnsi="宋体" w:eastAsia="宋体"/>
          <w:b w:val="0"/>
          <w:color w:val="auto"/>
          <w:sz w:val="24"/>
          <w:szCs w:val="24"/>
        </w:rPr>
        <w:t>25.3成交供应商的响应文件作为无效响应文件处理或者有相关采购法律法规规章制度规定的成交无效情形的，采购代理机构在取得有权主体的认定以后，有权宣布发出的成交通知书无效，并收回发出的成交通知书，依法重新确定成交供应商或者重新开展采购活动。</w:t>
      </w:r>
      <w:bookmarkEnd w:id="165"/>
      <w:bookmarkEnd w:id="166"/>
      <w:bookmarkEnd w:id="167"/>
    </w:p>
    <w:p>
      <w:pPr>
        <w:pStyle w:val="5"/>
        <w:keepNext w:val="0"/>
        <w:keepLines w:val="0"/>
        <w:spacing w:line="360" w:lineRule="auto"/>
        <w:jc w:val="center"/>
        <w:rPr>
          <w:rFonts w:ascii="宋体" w:hAnsi="宋体" w:eastAsia="宋体"/>
          <w:color w:val="auto"/>
          <w:sz w:val="30"/>
          <w:szCs w:val="30"/>
        </w:rPr>
      </w:pPr>
      <w:bookmarkStart w:id="168" w:name="_Toc19457987"/>
      <w:bookmarkStart w:id="169" w:name="_Toc17106680"/>
      <w:r>
        <w:rPr>
          <w:rFonts w:hint="eastAsia" w:ascii="宋体" w:hAnsi="宋体" w:eastAsia="宋体"/>
          <w:color w:val="auto"/>
          <w:sz w:val="30"/>
          <w:szCs w:val="30"/>
        </w:rPr>
        <w:t>七、合同事项</w:t>
      </w:r>
      <w:bookmarkEnd w:id="168"/>
      <w:bookmarkEnd w:id="169"/>
    </w:p>
    <w:p>
      <w:pPr>
        <w:pStyle w:val="5"/>
        <w:keepNext w:val="0"/>
        <w:keepLines w:val="0"/>
        <w:spacing w:before="0" w:after="0" w:line="360" w:lineRule="auto"/>
        <w:ind w:firstLine="472" w:firstLineChars="196"/>
        <w:rPr>
          <w:rFonts w:ascii="宋体" w:hAnsi="宋体" w:eastAsia="宋体"/>
          <w:color w:val="auto"/>
          <w:sz w:val="24"/>
          <w:szCs w:val="24"/>
        </w:rPr>
      </w:pPr>
      <w:bookmarkStart w:id="170" w:name="_Toc430773927"/>
      <w:bookmarkStart w:id="171" w:name="_Toc101174151"/>
      <w:bookmarkStart w:id="172" w:name="_Toc101338364"/>
      <w:bookmarkStart w:id="173" w:name="_Toc101250646"/>
      <w:bookmarkStart w:id="174" w:name="_Toc17106681"/>
      <w:bookmarkStart w:id="175" w:name="_Toc2929453"/>
      <w:bookmarkStart w:id="176" w:name="_Toc209847069"/>
      <w:bookmarkStart w:id="177" w:name="_Toc19457988"/>
      <w:r>
        <w:rPr>
          <w:rFonts w:hint="eastAsia" w:ascii="宋体" w:hAnsi="宋体" w:eastAsia="宋体"/>
          <w:color w:val="auto"/>
          <w:sz w:val="24"/>
          <w:szCs w:val="24"/>
        </w:rPr>
        <w:t>26.签订合同</w:t>
      </w:r>
      <w:bookmarkEnd w:id="170"/>
      <w:bookmarkEnd w:id="171"/>
      <w:bookmarkEnd w:id="172"/>
      <w:bookmarkEnd w:id="173"/>
      <w:bookmarkEnd w:id="174"/>
      <w:bookmarkEnd w:id="175"/>
      <w:bookmarkEnd w:id="176"/>
      <w:bookmarkEnd w:id="177"/>
    </w:p>
    <w:p>
      <w:pPr>
        <w:spacing w:line="360" w:lineRule="auto"/>
        <w:ind w:firstLine="480" w:firstLineChars="200"/>
        <w:rPr>
          <w:rFonts w:ascii="宋体" w:hAnsi="宋体"/>
          <w:color w:val="auto"/>
          <w:sz w:val="24"/>
        </w:rPr>
      </w:pPr>
      <w:r>
        <w:rPr>
          <w:rFonts w:hint="eastAsia" w:ascii="宋体" w:hAnsi="宋体"/>
          <w:color w:val="auto"/>
          <w:sz w:val="24"/>
        </w:rPr>
        <w:t>26.1 成交供应商应在成交通知书发出之日起</w:t>
      </w:r>
      <w:r>
        <w:rPr>
          <w:rFonts w:hint="eastAsia" w:ascii="宋体" w:hAnsi="宋体"/>
          <w:color w:val="auto"/>
          <w:sz w:val="24"/>
          <w:lang w:val="en-US" w:eastAsia="zh-CN"/>
        </w:rPr>
        <w:t>5个工作</w:t>
      </w:r>
      <w:r>
        <w:rPr>
          <w:rFonts w:hint="eastAsia" w:ascii="宋体" w:hAnsi="宋体"/>
          <w:color w:val="auto"/>
          <w:sz w:val="24"/>
        </w:rPr>
        <w:t>日内与采购单位签订采购合同。由于成交供应商的原因逾期未与采购单位签订采购合同的，将视为放弃成交，取消其成交资格并将按相关规定进行处理。</w:t>
      </w:r>
    </w:p>
    <w:p>
      <w:pPr>
        <w:spacing w:line="360" w:lineRule="auto"/>
        <w:ind w:firstLine="480" w:firstLineChars="200"/>
        <w:rPr>
          <w:rFonts w:ascii="宋体" w:hAnsi="宋体"/>
          <w:color w:val="auto"/>
          <w:sz w:val="24"/>
        </w:rPr>
      </w:pPr>
      <w:r>
        <w:rPr>
          <w:rFonts w:hint="eastAsia" w:ascii="宋体" w:hAnsi="宋体"/>
          <w:color w:val="auto"/>
          <w:sz w:val="24"/>
        </w:rPr>
        <w:t>26.2 磋商文件、成交供应商的响应文件及双方确认的澄清文件等，均为有法律约束力的合同组成部分。</w:t>
      </w:r>
    </w:p>
    <w:p>
      <w:pPr>
        <w:spacing w:line="360" w:lineRule="auto"/>
        <w:ind w:firstLine="480" w:firstLineChars="200"/>
        <w:rPr>
          <w:rFonts w:ascii="宋体" w:hAnsi="宋体"/>
          <w:color w:val="auto"/>
          <w:sz w:val="24"/>
        </w:rPr>
      </w:pPr>
      <w:r>
        <w:rPr>
          <w:rFonts w:hint="eastAsia" w:ascii="宋体" w:hAnsi="宋体"/>
          <w:color w:val="auto"/>
          <w:sz w:val="24"/>
        </w:rPr>
        <w:t>26.3 采购单位不得向成交供应商提出任何不合理的要求，作为签订合同的条件，不得与成交供应商私下订立背离合同实质性内容的任何协议，所签订的合同不得对磋商文件和成交供应商响应文件确定的事项进行修改。</w:t>
      </w:r>
    </w:p>
    <w:p>
      <w:pPr>
        <w:spacing w:line="360" w:lineRule="auto"/>
        <w:ind w:firstLine="480" w:firstLineChars="200"/>
        <w:rPr>
          <w:rFonts w:ascii="宋体" w:hAnsi="宋体"/>
          <w:color w:val="auto"/>
          <w:sz w:val="24"/>
        </w:rPr>
      </w:pPr>
      <w:r>
        <w:rPr>
          <w:rFonts w:hint="eastAsia" w:ascii="宋体" w:hAnsi="宋体"/>
          <w:color w:val="auto"/>
          <w:sz w:val="24"/>
        </w:rPr>
        <w:t>26.4 成交供应商因不可抗力原因不能履行采购合同或放弃成交的，采购单位可以与排在成交供应商之后第一位的成交候选人签订采购合同，以此类推。</w:t>
      </w:r>
    </w:p>
    <w:p>
      <w:pPr>
        <w:spacing w:line="360" w:lineRule="auto"/>
        <w:ind w:firstLine="480" w:firstLineChars="200"/>
        <w:rPr>
          <w:rFonts w:ascii="宋体" w:hAnsi="宋体"/>
          <w:color w:val="auto"/>
          <w:sz w:val="24"/>
        </w:rPr>
      </w:pPr>
      <w:r>
        <w:rPr>
          <w:rFonts w:hint="eastAsia" w:ascii="宋体" w:hAnsi="宋体"/>
          <w:color w:val="auto"/>
          <w:sz w:val="24"/>
        </w:rPr>
        <w:t>26.5竞争性磋商文件、成交供应商提交的响应文件、磋商中的最终报价、成交供应商承诺书、成交通知书等均称为有法律约束力的合同组成内容。</w:t>
      </w:r>
    </w:p>
    <w:p>
      <w:pPr>
        <w:spacing w:line="360" w:lineRule="auto"/>
        <w:ind w:firstLine="482" w:firstLineChars="200"/>
        <w:rPr>
          <w:rFonts w:ascii="宋体" w:hAnsi="宋体"/>
          <w:b/>
          <w:color w:val="auto"/>
          <w:sz w:val="24"/>
        </w:rPr>
      </w:pPr>
      <w:r>
        <w:rPr>
          <w:rFonts w:hint="eastAsia" w:ascii="宋体" w:hAnsi="宋体"/>
          <w:b/>
          <w:color w:val="auto"/>
          <w:sz w:val="24"/>
        </w:rPr>
        <w:t>27.合同分包（实质性要求）</w:t>
      </w:r>
    </w:p>
    <w:p>
      <w:pPr>
        <w:spacing w:line="360" w:lineRule="auto"/>
        <w:ind w:firstLine="480" w:firstLineChars="200"/>
        <w:rPr>
          <w:rFonts w:ascii="宋体" w:hAnsi="宋体"/>
          <w:color w:val="auto"/>
          <w:sz w:val="24"/>
        </w:rPr>
      </w:pPr>
      <w:r>
        <w:rPr>
          <w:rFonts w:hint="eastAsia" w:ascii="宋体" w:hAnsi="宋体"/>
          <w:color w:val="auto"/>
          <w:sz w:val="24"/>
        </w:rPr>
        <w:t>本项目禁止任何形式的合同分包。</w:t>
      </w:r>
    </w:p>
    <w:p>
      <w:pPr>
        <w:spacing w:line="360" w:lineRule="auto"/>
        <w:ind w:firstLine="482" w:firstLineChars="200"/>
        <w:rPr>
          <w:rFonts w:ascii="宋体" w:hAnsi="宋体"/>
          <w:b/>
          <w:color w:val="auto"/>
          <w:sz w:val="24"/>
        </w:rPr>
      </w:pPr>
      <w:r>
        <w:rPr>
          <w:rFonts w:hint="eastAsia" w:ascii="宋体" w:hAnsi="宋体"/>
          <w:b/>
          <w:color w:val="auto"/>
          <w:sz w:val="24"/>
        </w:rPr>
        <w:t>28.合同转包（实质性要求）</w:t>
      </w:r>
    </w:p>
    <w:p>
      <w:pPr>
        <w:spacing w:line="360" w:lineRule="auto"/>
        <w:ind w:firstLine="480" w:firstLineChars="200"/>
        <w:rPr>
          <w:rFonts w:ascii="宋体" w:hAnsi="宋体"/>
          <w:color w:val="auto"/>
          <w:sz w:val="24"/>
        </w:rPr>
      </w:pPr>
      <w:r>
        <w:rPr>
          <w:rFonts w:hint="eastAsia" w:ascii="宋体" w:hAnsi="宋体"/>
          <w:color w:val="auto"/>
          <w:sz w:val="24"/>
        </w:rPr>
        <w:t>本采购项目严禁成交供应商将任何采购合同义务转包。</w:t>
      </w:r>
    </w:p>
    <w:p>
      <w:pPr>
        <w:spacing w:line="360" w:lineRule="auto"/>
        <w:ind w:firstLine="482" w:firstLineChars="200"/>
        <w:rPr>
          <w:rFonts w:ascii="宋体" w:hAnsi="宋体"/>
          <w:b/>
          <w:color w:val="auto"/>
          <w:sz w:val="24"/>
        </w:rPr>
      </w:pPr>
      <w:r>
        <w:rPr>
          <w:rFonts w:hint="eastAsia" w:ascii="宋体" w:hAnsi="宋体"/>
          <w:b/>
          <w:color w:val="auto"/>
          <w:sz w:val="24"/>
        </w:rPr>
        <w:t>29.补充合同</w:t>
      </w:r>
    </w:p>
    <w:p>
      <w:pPr>
        <w:spacing w:line="360" w:lineRule="auto"/>
        <w:ind w:firstLine="480" w:firstLineChars="200"/>
        <w:rPr>
          <w:rFonts w:ascii="宋体" w:hAnsi="宋体"/>
          <w:color w:val="auto"/>
          <w:sz w:val="24"/>
        </w:rPr>
      </w:pPr>
      <w:r>
        <w:rPr>
          <w:rFonts w:hint="eastAsia" w:ascii="宋体" w:hAnsi="宋体"/>
          <w:color w:val="auto"/>
          <w:sz w:val="24"/>
        </w:rPr>
        <w:t xml:space="preserve">采购合同履行过程中，采购单位需要追加与合同标的相同的服务的，在不改变合同其他条款的前提下，可以与成交供应商协商签订补充合同，但所有补充合同的采购金额不得超过原合同采购金额的10%，该补充合同应当在原采购合同履行过程中，不得在原采购合同履行结束后，且采购服务的名称、价格、履约方式、验收标准等必须与原采购合同一致。 </w:t>
      </w:r>
    </w:p>
    <w:p>
      <w:pPr>
        <w:spacing w:line="360" w:lineRule="auto"/>
        <w:ind w:firstLine="482" w:firstLineChars="200"/>
        <w:rPr>
          <w:rFonts w:ascii="宋体" w:hAnsi="宋体"/>
          <w:b/>
          <w:color w:val="auto"/>
          <w:sz w:val="24"/>
        </w:rPr>
      </w:pPr>
      <w:r>
        <w:rPr>
          <w:rFonts w:hint="eastAsia" w:ascii="宋体" w:hAnsi="宋体"/>
          <w:b/>
          <w:color w:val="auto"/>
          <w:sz w:val="24"/>
        </w:rPr>
        <w:t>30.履约保证金（实质性要求）</w:t>
      </w:r>
    </w:p>
    <w:p>
      <w:pPr>
        <w:spacing w:line="360" w:lineRule="auto"/>
        <w:ind w:firstLine="480" w:firstLineChars="200"/>
        <w:rPr>
          <w:rFonts w:ascii="宋体" w:hAnsi="宋体"/>
          <w:color w:val="auto"/>
          <w:sz w:val="24"/>
        </w:rPr>
      </w:pPr>
      <w:r>
        <w:rPr>
          <w:rFonts w:hint="eastAsia" w:ascii="宋体" w:hAnsi="宋体"/>
          <w:color w:val="auto"/>
          <w:sz w:val="24"/>
        </w:rPr>
        <w:t>30.1 成交供应商应在合同签订之前交纳采购文件规定数额的履约保证金。</w:t>
      </w:r>
    </w:p>
    <w:p>
      <w:pPr>
        <w:spacing w:line="360" w:lineRule="auto"/>
        <w:ind w:firstLine="480" w:firstLineChars="200"/>
        <w:rPr>
          <w:rFonts w:ascii="宋体" w:hAnsi="宋体"/>
          <w:color w:val="auto"/>
          <w:sz w:val="24"/>
        </w:rPr>
      </w:pPr>
      <w:r>
        <w:rPr>
          <w:rFonts w:hint="eastAsia" w:ascii="宋体" w:hAnsi="宋体"/>
          <w:color w:val="auto"/>
          <w:sz w:val="24"/>
        </w:rPr>
        <w:t>30.2 如果成交供应商在规定的合同签订时间内，没有按照采购文件的规定交纳履约保证金，且又无正当理由的，将视为放弃成交。</w:t>
      </w:r>
    </w:p>
    <w:p>
      <w:pPr>
        <w:spacing w:line="360" w:lineRule="auto"/>
        <w:ind w:firstLine="482" w:firstLineChars="200"/>
        <w:rPr>
          <w:rFonts w:ascii="宋体" w:hAnsi="宋体"/>
          <w:b/>
          <w:color w:val="auto"/>
          <w:sz w:val="24"/>
        </w:rPr>
      </w:pPr>
      <w:r>
        <w:rPr>
          <w:rFonts w:hint="eastAsia" w:ascii="宋体" w:hAnsi="宋体"/>
          <w:b/>
          <w:color w:val="auto"/>
          <w:sz w:val="24"/>
        </w:rPr>
        <w:t>31.合同公告</w:t>
      </w:r>
    </w:p>
    <w:p>
      <w:pPr>
        <w:spacing w:line="360" w:lineRule="auto"/>
        <w:ind w:firstLine="480" w:firstLineChars="200"/>
        <w:rPr>
          <w:rFonts w:ascii="宋体" w:hAnsi="宋体"/>
          <w:color w:val="auto"/>
          <w:sz w:val="24"/>
        </w:rPr>
      </w:pPr>
      <w:r>
        <w:rPr>
          <w:rFonts w:hint="eastAsia" w:ascii="宋体" w:hAnsi="宋体"/>
          <w:color w:val="auto"/>
          <w:sz w:val="24"/>
        </w:rPr>
        <w:t>同供应商须知附表。</w:t>
      </w:r>
    </w:p>
    <w:p>
      <w:pPr>
        <w:spacing w:line="360" w:lineRule="auto"/>
        <w:ind w:firstLine="482" w:firstLineChars="200"/>
        <w:rPr>
          <w:rFonts w:ascii="宋体" w:hAnsi="宋体"/>
          <w:b/>
          <w:color w:val="auto"/>
          <w:sz w:val="24"/>
        </w:rPr>
      </w:pPr>
      <w:r>
        <w:rPr>
          <w:rFonts w:hint="eastAsia" w:ascii="宋体" w:hAnsi="宋体"/>
          <w:b/>
          <w:color w:val="auto"/>
          <w:sz w:val="24"/>
        </w:rPr>
        <w:t>32.合同备案</w:t>
      </w:r>
    </w:p>
    <w:p>
      <w:pPr>
        <w:spacing w:line="360" w:lineRule="auto"/>
        <w:ind w:firstLine="480" w:firstLineChars="200"/>
        <w:rPr>
          <w:rFonts w:ascii="宋体" w:hAnsi="宋体"/>
          <w:color w:val="auto"/>
          <w:sz w:val="24"/>
        </w:rPr>
      </w:pPr>
      <w:r>
        <w:rPr>
          <w:rFonts w:hint="eastAsia" w:ascii="宋体" w:hAnsi="宋体"/>
          <w:color w:val="auto"/>
          <w:sz w:val="24"/>
        </w:rPr>
        <w:t>同供应商须知附表。</w:t>
      </w:r>
    </w:p>
    <w:p>
      <w:pPr>
        <w:spacing w:line="360" w:lineRule="auto"/>
        <w:ind w:firstLine="482" w:firstLineChars="200"/>
        <w:rPr>
          <w:rFonts w:ascii="宋体" w:hAnsi="宋体"/>
          <w:b/>
          <w:color w:val="auto"/>
          <w:sz w:val="24"/>
        </w:rPr>
      </w:pPr>
      <w:r>
        <w:rPr>
          <w:rFonts w:hint="eastAsia" w:ascii="宋体" w:hAnsi="宋体"/>
          <w:b/>
          <w:color w:val="auto"/>
          <w:sz w:val="24"/>
        </w:rPr>
        <w:t>33.履行合同</w:t>
      </w:r>
    </w:p>
    <w:p>
      <w:pPr>
        <w:spacing w:line="360" w:lineRule="auto"/>
        <w:ind w:firstLine="480" w:firstLineChars="200"/>
        <w:rPr>
          <w:rFonts w:ascii="宋体" w:hAnsi="宋体"/>
          <w:color w:val="auto"/>
          <w:sz w:val="24"/>
        </w:rPr>
      </w:pPr>
      <w:r>
        <w:rPr>
          <w:rFonts w:hint="eastAsia" w:ascii="宋体" w:hAnsi="宋体"/>
          <w:color w:val="auto"/>
          <w:sz w:val="24"/>
        </w:rPr>
        <w:t>33.1 成交供应商与采购单位签订合同后，合同双方应严格执行合同条款，履行合同规定的义务，保证合同的顺利完成。</w:t>
      </w:r>
    </w:p>
    <w:p>
      <w:pPr>
        <w:spacing w:line="360" w:lineRule="auto"/>
        <w:ind w:firstLine="480" w:firstLineChars="200"/>
        <w:rPr>
          <w:rFonts w:ascii="宋体" w:hAnsi="宋体"/>
          <w:color w:val="auto"/>
          <w:sz w:val="24"/>
        </w:rPr>
      </w:pPr>
      <w:r>
        <w:rPr>
          <w:rFonts w:hint="eastAsia" w:ascii="宋体" w:hAnsi="宋体"/>
          <w:color w:val="auto"/>
          <w:sz w:val="24"/>
        </w:rPr>
        <w:t>33.2 在合同履行过程中，如发生合同纠纷，合同双方应按照《</w:t>
      </w:r>
      <w:r>
        <w:rPr>
          <w:rFonts w:hint="eastAsia" w:ascii="宋体" w:hAnsi="宋体"/>
          <w:color w:val="auto"/>
          <w:sz w:val="24"/>
          <w:lang w:eastAsia="zh-CN"/>
        </w:rPr>
        <w:t>中华人民共和国民法典</w:t>
      </w:r>
      <w:r>
        <w:rPr>
          <w:rFonts w:hint="eastAsia" w:ascii="宋体" w:hAnsi="宋体"/>
          <w:color w:val="auto"/>
          <w:sz w:val="24"/>
        </w:rPr>
        <w:t>》的有关规定进行处理。</w:t>
      </w:r>
    </w:p>
    <w:p>
      <w:pPr>
        <w:spacing w:line="360" w:lineRule="auto"/>
        <w:ind w:firstLine="482" w:firstLineChars="200"/>
        <w:rPr>
          <w:rFonts w:ascii="宋体" w:hAnsi="宋体"/>
          <w:b/>
          <w:color w:val="auto"/>
          <w:sz w:val="24"/>
        </w:rPr>
      </w:pPr>
      <w:r>
        <w:rPr>
          <w:rFonts w:hint="eastAsia" w:ascii="宋体" w:hAnsi="宋体"/>
          <w:b/>
          <w:color w:val="auto"/>
          <w:sz w:val="24"/>
        </w:rPr>
        <w:t>34.验收</w:t>
      </w:r>
    </w:p>
    <w:p>
      <w:pPr>
        <w:spacing w:line="360" w:lineRule="auto"/>
        <w:ind w:firstLine="480" w:firstLineChars="200"/>
        <w:rPr>
          <w:rFonts w:hint="default" w:ascii="宋体" w:hAnsi="宋体" w:eastAsia="宋体"/>
          <w:color w:val="auto"/>
          <w:sz w:val="24"/>
          <w:lang w:val="en-US" w:eastAsia="zh-CN"/>
        </w:rPr>
      </w:pPr>
      <w:r>
        <w:rPr>
          <w:rFonts w:hint="eastAsia" w:ascii="宋体" w:hAnsi="宋体"/>
          <w:color w:val="auto"/>
          <w:sz w:val="24"/>
        </w:rPr>
        <w:t>34.1</w:t>
      </w:r>
      <w:r>
        <w:rPr>
          <w:rFonts w:hint="eastAsia" w:ascii="宋体" w:hAnsi="宋体"/>
          <w:color w:val="auto"/>
          <w:sz w:val="24"/>
          <w:lang w:val="en-US" w:eastAsia="zh-CN"/>
        </w:rPr>
        <w:t>如有，由采购单位根据本项目竞争性磋商文件规定、成交供应商响应文件承诺、采购合同约定内容组织验收。</w:t>
      </w:r>
    </w:p>
    <w:p>
      <w:pPr>
        <w:spacing w:line="360" w:lineRule="auto"/>
        <w:ind w:firstLine="482" w:firstLineChars="200"/>
        <w:rPr>
          <w:rFonts w:ascii="宋体" w:hAnsi="宋体"/>
          <w:b/>
          <w:color w:val="auto"/>
          <w:sz w:val="24"/>
        </w:rPr>
      </w:pPr>
      <w:r>
        <w:rPr>
          <w:rFonts w:hint="eastAsia" w:ascii="宋体" w:hAnsi="宋体"/>
          <w:b/>
          <w:color w:val="auto"/>
          <w:sz w:val="24"/>
        </w:rPr>
        <w:t>35.资金支付</w:t>
      </w:r>
    </w:p>
    <w:p>
      <w:pPr>
        <w:spacing w:line="360" w:lineRule="auto"/>
        <w:ind w:firstLine="480" w:firstLineChars="200"/>
        <w:rPr>
          <w:rFonts w:ascii="宋体" w:hAnsi="宋体"/>
          <w:color w:val="auto"/>
          <w:sz w:val="24"/>
        </w:rPr>
      </w:pPr>
      <w:r>
        <w:rPr>
          <w:rFonts w:hint="eastAsia" w:ascii="宋体" w:hAnsi="宋体"/>
          <w:color w:val="auto"/>
          <w:sz w:val="24"/>
        </w:rPr>
        <w:t xml:space="preserve">采购单位将按照采购合同规定，及时向成交供应商支付采购资金。 </w:t>
      </w:r>
    </w:p>
    <w:p>
      <w:pPr>
        <w:pStyle w:val="5"/>
        <w:keepNext w:val="0"/>
        <w:keepLines w:val="0"/>
        <w:spacing w:after="0" w:line="360" w:lineRule="auto"/>
        <w:jc w:val="center"/>
        <w:rPr>
          <w:rFonts w:ascii="宋体" w:hAnsi="宋体" w:eastAsia="宋体"/>
          <w:color w:val="auto"/>
          <w:sz w:val="30"/>
          <w:szCs w:val="30"/>
        </w:rPr>
      </w:pPr>
      <w:bookmarkStart w:id="178" w:name="_Toc19457989"/>
      <w:bookmarkStart w:id="179" w:name="_Toc17106682"/>
      <w:r>
        <w:rPr>
          <w:rFonts w:hint="eastAsia" w:ascii="宋体" w:hAnsi="宋体" w:eastAsia="宋体"/>
          <w:color w:val="auto"/>
          <w:sz w:val="30"/>
          <w:szCs w:val="30"/>
        </w:rPr>
        <w:t>八、磋商纪律要求</w:t>
      </w:r>
      <w:bookmarkEnd w:id="178"/>
      <w:bookmarkEnd w:id="179"/>
    </w:p>
    <w:p>
      <w:pPr>
        <w:tabs>
          <w:tab w:val="left" w:pos="851"/>
        </w:tabs>
        <w:spacing w:line="360" w:lineRule="auto"/>
        <w:ind w:firstLine="482" w:firstLineChars="200"/>
        <w:rPr>
          <w:rFonts w:ascii="宋体" w:hAnsi="宋体"/>
          <w:b/>
          <w:color w:val="auto"/>
          <w:sz w:val="24"/>
        </w:rPr>
      </w:pPr>
      <w:r>
        <w:rPr>
          <w:rFonts w:hint="eastAsia" w:ascii="宋体" w:hAnsi="宋体"/>
          <w:b/>
          <w:color w:val="auto"/>
          <w:sz w:val="24"/>
        </w:rPr>
        <w:t>36.供应商不得具有的情形</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供应商参加本项目磋商不得有下列情形：</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（1）提供虚假材料谋取成交；</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（2）采取不正当手段诋毁、排挤其他供应商；</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（3）与采购单位、采购代理机构、或其他供应商恶意串通；</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（4）向采购单位、采购代理机构、磋商小组成员行贿或者提供其他不正当利益；</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（5）在磋商过程中与采购单位、采购代理机构进行协商；</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（6）成交后无正当理由拒不与采购单位签订采购合同；</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（7）未按照磋商文件确定的事项签订采购合同；</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（8）将采购合同转包或者违规分包；</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（9）提供虚假服务；</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（10）擅自变更、中止或者终止采购合同；</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（11）拒绝有关部门的监督检查或者向监督检查部门提供虚假情况；</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（12）法律法规规定的其他情形。</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供应商有上述情形的，按照规定追究法律责任，具备（1）-（10）条情形之一的，同时将取消被确认为成交供应商的资格或者认定成交无效。</w:t>
      </w:r>
    </w:p>
    <w:p>
      <w:pPr>
        <w:tabs>
          <w:tab w:val="left" w:pos="851"/>
        </w:tabs>
        <w:spacing w:before="240" w:line="360" w:lineRule="auto"/>
        <w:jc w:val="center"/>
        <w:rPr>
          <w:rFonts w:ascii="宋体" w:hAnsi="宋体"/>
          <w:b/>
          <w:color w:val="auto"/>
          <w:sz w:val="30"/>
          <w:szCs w:val="30"/>
        </w:rPr>
      </w:pPr>
      <w:r>
        <w:rPr>
          <w:rFonts w:hint="eastAsia" w:ascii="宋体" w:hAnsi="宋体"/>
          <w:b/>
          <w:color w:val="auto"/>
          <w:sz w:val="30"/>
          <w:szCs w:val="30"/>
        </w:rPr>
        <w:t>九、询问、质疑和投诉</w:t>
      </w:r>
    </w:p>
    <w:p>
      <w:pPr>
        <w:tabs>
          <w:tab w:val="left" w:pos="851"/>
        </w:tabs>
        <w:spacing w:line="360" w:lineRule="auto"/>
        <w:ind w:firstLine="495"/>
        <w:rPr>
          <w:rFonts w:ascii="宋体" w:hAnsi="宋体"/>
          <w:color w:val="auto"/>
          <w:sz w:val="24"/>
        </w:rPr>
      </w:pPr>
      <w:r>
        <w:rPr>
          <w:rFonts w:hint="eastAsia" w:ascii="宋体" w:hAnsi="宋体"/>
          <w:color w:val="auto"/>
          <w:sz w:val="24"/>
        </w:rPr>
        <w:t>37.询问、质疑的接收和处理</w:t>
      </w:r>
      <w:r>
        <w:rPr>
          <w:rFonts w:hint="eastAsia" w:ascii="宋体" w:hAnsi="宋体"/>
          <w:color w:val="auto"/>
          <w:sz w:val="24"/>
          <w:lang w:val="en-US" w:eastAsia="zh-CN"/>
        </w:rPr>
        <w:t>见本章《供应商须知附表》相关内容</w:t>
      </w:r>
      <w:r>
        <w:rPr>
          <w:rFonts w:hint="eastAsia" w:ascii="宋体" w:hAnsi="宋体"/>
          <w:color w:val="auto"/>
          <w:sz w:val="24"/>
        </w:rPr>
        <w:t>。</w:t>
      </w:r>
    </w:p>
    <w:p>
      <w:pPr>
        <w:tabs>
          <w:tab w:val="left" w:pos="851"/>
        </w:tabs>
        <w:spacing w:before="240" w:line="360" w:lineRule="auto"/>
        <w:jc w:val="center"/>
        <w:rPr>
          <w:rFonts w:ascii="宋体" w:hAnsi="宋体"/>
          <w:b/>
          <w:color w:val="auto"/>
          <w:sz w:val="30"/>
          <w:szCs w:val="30"/>
        </w:rPr>
      </w:pPr>
      <w:r>
        <w:rPr>
          <w:rFonts w:hint="eastAsia" w:ascii="宋体" w:hAnsi="宋体"/>
          <w:b/>
          <w:color w:val="auto"/>
          <w:sz w:val="30"/>
          <w:szCs w:val="30"/>
        </w:rPr>
        <w:t>十、其  他</w:t>
      </w:r>
    </w:p>
    <w:p>
      <w:pPr>
        <w:tabs>
          <w:tab w:val="left" w:pos="851"/>
        </w:tabs>
        <w:spacing w:line="360" w:lineRule="auto"/>
        <w:ind w:firstLine="480" w:firstLineChars="200"/>
        <w:jc w:val="left"/>
        <w:rPr>
          <w:rFonts w:ascii="宋体" w:hAnsi="宋体"/>
          <w:color w:val="auto"/>
          <w:sz w:val="24"/>
        </w:rPr>
      </w:pPr>
      <w:r>
        <w:rPr>
          <w:rFonts w:hint="eastAsia" w:ascii="宋体" w:hAnsi="宋体"/>
          <w:color w:val="auto"/>
          <w:sz w:val="24"/>
        </w:rPr>
        <w:t>38.本磋商文件中所引相关法律制度规定，在本次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磋商文件不再做调整。</w:t>
      </w:r>
    </w:p>
    <w:p>
      <w:pPr>
        <w:spacing w:line="360" w:lineRule="auto"/>
        <w:ind w:firstLine="480" w:firstLineChars="200"/>
        <w:rPr>
          <w:rFonts w:ascii="宋体" w:hAnsi="宋体"/>
          <w:color w:val="auto"/>
          <w:sz w:val="24"/>
        </w:rPr>
      </w:pPr>
      <w:r>
        <w:rPr>
          <w:rFonts w:hint="eastAsia" w:ascii="宋体" w:hAnsi="宋体"/>
          <w:color w:val="auto"/>
          <w:sz w:val="24"/>
        </w:rPr>
        <w:t>39.在本次递交磋商文件之前一周年内，供应商本次磋商中对相同</w:t>
      </w:r>
      <w:r>
        <w:rPr>
          <w:rFonts w:hint="eastAsia" w:ascii="宋体" w:hAnsi="宋体"/>
          <w:color w:val="auto"/>
          <w:sz w:val="24"/>
          <w:lang w:val="en-US" w:eastAsia="zh-CN"/>
        </w:rPr>
        <w:t>货物</w:t>
      </w:r>
      <w:r>
        <w:rPr>
          <w:rFonts w:hint="eastAsia" w:ascii="宋体" w:hAnsi="宋体"/>
          <w:color w:val="auto"/>
          <w:sz w:val="24"/>
        </w:rPr>
        <w:t>的报价与其在中国境内其他地方的最低报价相比不得高于15%。</w:t>
      </w:r>
    </w:p>
    <w:p>
      <w:pPr>
        <w:spacing w:line="360" w:lineRule="auto"/>
        <w:ind w:firstLine="480" w:firstLineChars="200"/>
        <w:jc w:val="left"/>
        <w:rPr>
          <w:rFonts w:hAnsi="宋体"/>
          <w:b/>
          <w:color w:val="auto"/>
          <w:sz w:val="24"/>
        </w:rPr>
      </w:pPr>
      <w:r>
        <w:rPr>
          <w:rFonts w:hint="eastAsia" w:ascii="宋体" w:hAnsi="宋体"/>
          <w:color w:val="auto"/>
          <w:sz w:val="24"/>
        </w:rPr>
        <w:t>40.</w:t>
      </w:r>
      <w:r>
        <w:rPr>
          <w:rFonts w:ascii="宋体" w:hAnsi="宋体"/>
          <w:color w:val="auto"/>
          <w:sz w:val="24"/>
        </w:rPr>
        <w:t>国家</w:t>
      </w:r>
      <w:r>
        <w:rPr>
          <w:rFonts w:hint="eastAsia" w:ascii="宋体" w:hAnsi="宋体"/>
          <w:color w:val="auto"/>
          <w:sz w:val="24"/>
        </w:rPr>
        <w:t>或行业主管部门</w:t>
      </w:r>
      <w:r>
        <w:rPr>
          <w:rFonts w:ascii="宋体" w:hAnsi="宋体"/>
          <w:color w:val="auto"/>
          <w:sz w:val="24"/>
        </w:rPr>
        <w:t>对</w:t>
      </w:r>
      <w:r>
        <w:rPr>
          <w:rFonts w:hint="eastAsia" w:ascii="宋体" w:hAnsi="宋体"/>
          <w:color w:val="auto"/>
          <w:sz w:val="24"/>
        </w:rPr>
        <w:t>供应商和所采购</w:t>
      </w:r>
      <w:r>
        <w:rPr>
          <w:rFonts w:hint="eastAsia" w:ascii="宋体" w:hAnsi="宋体"/>
          <w:color w:val="auto"/>
          <w:sz w:val="24"/>
          <w:lang w:val="en-US" w:eastAsia="zh-CN"/>
        </w:rPr>
        <w:t>货物</w:t>
      </w:r>
      <w:r>
        <w:rPr>
          <w:rFonts w:hint="eastAsia" w:ascii="宋体" w:hAnsi="宋体"/>
          <w:color w:val="auto"/>
          <w:sz w:val="24"/>
        </w:rPr>
        <w:t>的</w:t>
      </w:r>
      <w:r>
        <w:rPr>
          <w:rFonts w:ascii="宋体" w:hAnsi="宋体"/>
          <w:color w:val="auto"/>
          <w:sz w:val="24"/>
        </w:rPr>
        <w:t>技术</w:t>
      </w:r>
      <w:r>
        <w:rPr>
          <w:rFonts w:hint="eastAsia" w:ascii="宋体" w:hAnsi="宋体"/>
          <w:color w:val="auto"/>
          <w:sz w:val="24"/>
        </w:rPr>
        <w:t>标准、</w:t>
      </w:r>
      <w:r>
        <w:rPr>
          <w:rFonts w:ascii="宋体" w:hAnsi="宋体"/>
          <w:color w:val="auto"/>
          <w:sz w:val="24"/>
        </w:rPr>
        <w:t>质量</w:t>
      </w:r>
      <w:r>
        <w:rPr>
          <w:rFonts w:hint="eastAsia" w:ascii="宋体" w:hAnsi="宋体"/>
          <w:color w:val="auto"/>
          <w:sz w:val="24"/>
        </w:rPr>
        <w:t>标准和资格资质条件</w:t>
      </w:r>
      <w:r>
        <w:rPr>
          <w:rFonts w:ascii="宋体" w:hAnsi="宋体"/>
          <w:color w:val="auto"/>
          <w:sz w:val="24"/>
        </w:rPr>
        <w:t>等有</w:t>
      </w:r>
      <w:r>
        <w:rPr>
          <w:rFonts w:hint="eastAsia" w:ascii="宋体" w:hAnsi="宋体"/>
          <w:color w:val="auto"/>
          <w:sz w:val="24"/>
        </w:rPr>
        <w:t>强制性规定</w:t>
      </w:r>
      <w:r>
        <w:rPr>
          <w:rFonts w:ascii="宋体" w:hAnsi="宋体"/>
          <w:color w:val="auto"/>
          <w:sz w:val="24"/>
        </w:rPr>
        <w:t>的</w:t>
      </w:r>
      <w:r>
        <w:rPr>
          <w:rFonts w:hint="eastAsia" w:ascii="宋体" w:hAnsi="宋体"/>
          <w:color w:val="auto"/>
          <w:sz w:val="24"/>
        </w:rPr>
        <w:t>，必须符合其要求。</w:t>
      </w:r>
    </w:p>
    <w:p>
      <w:pPr>
        <w:rPr>
          <w:rFonts w:ascii="宋体" w:hAnsi="宋体"/>
          <w:color w:val="auto"/>
        </w:rPr>
      </w:pPr>
    </w:p>
    <w:p>
      <w:pPr>
        <w:rPr>
          <w:rFonts w:ascii="宋体" w:hAnsi="宋体"/>
          <w:color w:val="auto"/>
        </w:rPr>
      </w:pPr>
    </w:p>
    <w:p>
      <w:pPr>
        <w:rPr>
          <w:rFonts w:ascii="宋体" w:hAnsi="宋体"/>
          <w:b/>
          <w:color w:val="auto"/>
          <w:sz w:val="32"/>
          <w:szCs w:val="32"/>
        </w:rPr>
      </w:pPr>
    </w:p>
    <w:p>
      <w:pPr>
        <w:pStyle w:val="2"/>
        <w:rPr>
          <w:color w:val="auto"/>
        </w:rPr>
      </w:pPr>
    </w:p>
    <w:p>
      <w:pPr>
        <w:pStyle w:val="2"/>
        <w:rPr>
          <w:color w:val="auto"/>
        </w:rPr>
      </w:pPr>
    </w:p>
    <w:p>
      <w:pPr>
        <w:pStyle w:val="27"/>
        <w:outlineLvl w:val="9"/>
        <w:rPr>
          <w:color w:val="auto"/>
        </w:rPr>
      </w:pPr>
    </w:p>
    <w:p>
      <w:pPr>
        <w:pStyle w:val="27"/>
        <w:outlineLvl w:val="9"/>
        <w:rPr>
          <w:color w:val="auto"/>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sectPr>
          <w:footerReference r:id="rId13" w:type="first"/>
          <w:footerReference r:id="rId12" w:type="default"/>
          <w:pgSz w:w="11907" w:h="16839"/>
          <w:pgMar w:top="1440" w:right="1474" w:bottom="1440" w:left="1474" w:header="851" w:footer="992" w:gutter="0"/>
          <w:pgNumType w:fmt="decimal" w:start="1"/>
          <w:cols w:space="720" w:num="1"/>
          <w:docGrid w:linePitch="312" w:charSpace="0"/>
        </w:sectPr>
      </w:pPr>
    </w:p>
    <w:p>
      <w:pPr>
        <w:pStyle w:val="27"/>
        <w:spacing w:line="360" w:lineRule="auto"/>
        <w:outlineLvl w:val="9"/>
        <w:rPr>
          <w:color w:val="auto"/>
        </w:rPr>
      </w:pPr>
      <w:bookmarkStart w:id="180" w:name="_Toc19457990"/>
      <w:r>
        <w:rPr>
          <w:rFonts w:hint="eastAsia"/>
          <w:color w:val="auto"/>
        </w:rPr>
        <w:t>第三章  供应商资格条件要求</w:t>
      </w:r>
      <w:bookmarkEnd w:id="180"/>
    </w:p>
    <w:p>
      <w:pPr>
        <w:spacing w:line="360" w:lineRule="auto"/>
        <w:rPr>
          <w:rFonts w:ascii="宋体" w:hAnsi="宋体"/>
          <w:color w:val="auto"/>
          <w:sz w:val="24"/>
        </w:rPr>
      </w:pPr>
      <w:r>
        <w:rPr>
          <w:rFonts w:hint="eastAsia" w:ascii="宋体" w:hAnsi="宋体"/>
          <w:color w:val="auto"/>
          <w:sz w:val="24"/>
        </w:rPr>
        <w:t>一、参加磋商的供应商应具备下列资格条件：</w:t>
      </w:r>
    </w:p>
    <w:p>
      <w:pPr>
        <w:spacing w:line="360" w:lineRule="auto"/>
        <w:ind w:firstLine="540" w:firstLineChars="225"/>
        <w:rPr>
          <w:rFonts w:ascii="宋体" w:hAnsi="宋体"/>
          <w:color w:val="auto"/>
          <w:sz w:val="24"/>
        </w:rPr>
      </w:pPr>
      <w:r>
        <w:rPr>
          <w:rFonts w:hint="eastAsia" w:ascii="宋体" w:hAnsi="宋体"/>
          <w:color w:val="auto"/>
          <w:sz w:val="24"/>
        </w:rPr>
        <w:t>（一）基本条件：</w:t>
      </w:r>
    </w:p>
    <w:p>
      <w:pPr>
        <w:spacing w:line="360" w:lineRule="auto"/>
        <w:ind w:firstLine="540" w:firstLineChars="225"/>
        <w:rPr>
          <w:rFonts w:ascii="宋体" w:hAnsi="宋体"/>
          <w:color w:val="auto"/>
          <w:sz w:val="24"/>
        </w:rPr>
      </w:pPr>
      <w:r>
        <w:rPr>
          <w:rFonts w:hint="eastAsia" w:ascii="宋体" w:hAnsi="宋体"/>
          <w:color w:val="auto"/>
          <w:sz w:val="24"/>
        </w:rPr>
        <w:t>1.具有独立承担民事责任的能力。</w:t>
      </w:r>
    </w:p>
    <w:p>
      <w:pPr>
        <w:spacing w:line="360" w:lineRule="auto"/>
        <w:ind w:firstLine="540" w:firstLineChars="225"/>
        <w:rPr>
          <w:rFonts w:ascii="宋体" w:hAnsi="宋体"/>
          <w:color w:val="auto"/>
          <w:sz w:val="24"/>
        </w:rPr>
      </w:pPr>
      <w:r>
        <w:rPr>
          <w:rFonts w:hint="eastAsia" w:ascii="宋体" w:hAnsi="宋体"/>
          <w:color w:val="auto"/>
          <w:sz w:val="24"/>
        </w:rPr>
        <w:t>2.具有良好的商业信誉和健全的财务会计制度。</w:t>
      </w:r>
    </w:p>
    <w:p>
      <w:pPr>
        <w:spacing w:line="360" w:lineRule="auto"/>
        <w:ind w:firstLine="540" w:firstLineChars="225"/>
        <w:rPr>
          <w:rFonts w:ascii="宋体" w:hAnsi="宋体"/>
          <w:color w:val="auto"/>
          <w:sz w:val="24"/>
        </w:rPr>
      </w:pPr>
      <w:r>
        <w:rPr>
          <w:rFonts w:hint="eastAsia" w:ascii="宋体" w:hAnsi="宋体"/>
          <w:color w:val="auto"/>
          <w:sz w:val="24"/>
        </w:rPr>
        <w:t>3.具有履行合同所必须的设备和专业技术能力。</w:t>
      </w:r>
    </w:p>
    <w:p>
      <w:pPr>
        <w:spacing w:line="360" w:lineRule="auto"/>
        <w:ind w:firstLine="540" w:firstLineChars="225"/>
        <w:rPr>
          <w:rFonts w:ascii="宋体" w:hAnsi="宋体"/>
          <w:color w:val="auto"/>
          <w:sz w:val="24"/>
        </w:rPr>
      </w:pPr>
      <w:r>
        <w:rPr>
          <w:rFonts w:hint="eastAsia" w:ascii="宋体" w:hAnsi="宋体"/>
          <w:color w:val="auto"/>
          <w:sz w:val="24"/>
        </w:rPr>
        <w:t>4.具有依法缴纳税收和社会保障资金的良好记录。</w:t>
      </w:r>
    </w:p>
    <w:p>
      <w:pPr>
        <w:spacing w:line="360" w:lineRule="auto"/>
        <w:ind w:firstLine="540" w:firstLineChars="225"/>
        <w:rPr>
          <w:rFonts w:ascii="宋体" w:hAnsi="宋体"/>
          <w:color w:val="auto"/>
          <w:sz w:val="24"/>
        </w:rPr>
      </w:pPr>
      <w:r>
        <w:rPr>
          <w:rFonts w:hint="eastAsia" w:ascii="宋体" w:hAnsi="宋体"/>
          <w:color w:val="auto"/>
          <w:sz w:val="24"/>
        </w:rPr>
        <w:t>5.参加本次采购活动前三年内，在经营活动中没有重大违法记录。</w:t>
      </w:r>
    </w:p>
    <w:p>
      <w:pPr>
        <w:spacing w:line="360" w:lineRule="auto"/>
        <w:ind w:firstLine="540" w:firstLineChars="225"/>
        <w:rPr>
          <w:rFonts w:ascii="宋体" w:hAnsi="宋体"/>
          <w:color w:val="auto"/>
          <w:sz w:val="24"/>
        </w:rPr>
      </w:pPr>
      <w:r>
        <w:rPr>
          <w:rFonts w:hint="eastAsia" w:ascii="宋体" w:hAnsi="宋体"/>
          <w:color w:val="auto"/>
          <w:sz w:val="24"/>
        </w:rPr>
        <w:t>（二）法律、行政法规规定的其他条件：</w:t>
      </w:r>
    </w:p>
    <w:p>
      <w:pPr>
        <w:spacing w:line="360" w:lineRule="auto"/>
        <w:ind w:firstLine="540" w:firstLineChars="225"/>
        <w:rPr>
          <w:rFonts w:ascii="宋体" w:hAnsi="宋体"/>
          <w:color w:val="auto"/>
          <w:sz w:val="24"/>
        </w:rPr>
      </w:pPr>
      <w:r>
        <w:rPr>
          <w:rFonts w:hint="eastAsia" w:ascii="宋体" w:hAnsi="宋体"/>
          <w:color w:val="auto"/>
          <w:sz w:val="24"/>
        </w:rPr>
        <w:t>（1）参加本次采购活动的供应商在前三年内不得具有行贿犯罪记录。</w:t>
      </w:r>
    </w:p>
    <w:p>
      <w:pPr>
        <w:spacing w:line="360" w:lineRule="auto"/>
        <w:ind w:firstLine="540" w:firstLineChars="225"/>
        <w:rPr>
          <w:rFonts w:ascii="宋体" w:hAnsi="宋体"/>
          <w:color w:val="auto"/>
          <w:sz w:val="24"/>
        </w:rPr>
      </w:pPr>
      <w:r>
        <w:rPr>
          <w:rFonts w:hint="eastAsia" w:ascii="宋体" w:hAnsi="宋体"/>
          <w:color w:val="auto"/>
          <w:sz w:val="24"/>
        </w:rPr>
        <w:t>（2）无在有效期内的失信行为记录。</w:t>
      </w:r>
    </w:p>
    <w:p>
      <w:pPr>
        <w:spacing w:line="360" w:lineRule="auto"/>
        <w:rPr>
          <w:rFonts w:ascii="宋体" w:hAnsi="宋体"/>
          <w:color w:val="auto"/>
          <w:sz w:val="24"/>
        </w:rPr>
      </w:pPr>
      <w:r>
        <w:rPr>
          <w:rFonts w:hint="eastAsia" w:ascii="宋体" w:hAnsi="宋体"/>
          <w:color w:val="auto"/>
          <w:sz w:val="24"/>
        </w:rPr>
        <w:t>二、报价服务的资格、资质性及其他类似效力要求</w:t>
      </w:r>
    </w:p>
    <w:p>
      <w:pPr>
        <w:spacing w:line="360" w:lineRule="auto"/>
        <w:ind w:firstLine="540" w:firstLineChars="225"/>
        <w:rPr>
          <w:rFonts w:ascii="宋体" w:hAnsi="宋体"/>
          <w:color w:val="auto"/>
          <w:sz w:val="24"/>
        </w:rPr>
      </w:pPr>
      <w:r>
        <w:rPr>
          <w:rFonts w:hint="eastAsia" w:ascii="宋体" w:hAnsi="宋体"/>
          <w:color w:val="auto"/>
          <w:sz w:val="24"/>
        </w:rPr>
        <w:t>无</w:t>
      </w:r>
    </w:p>
    <w:p>
      <w:pPr>
        <w:spacing w:line="360" w:lineRule="auto"/>
        <w:ind w:firstLine="540" w:firstLineChars="225"/>
        <w:rPr>
          <w:rFonts w:ascii="宋体" w:hAnsi="宋体"/>
          <w:color w:val="auto"/>
          <w:sz w:val="24"/>
        </w:rPr>
      </w:pPr>
      <w:r>
        <w:rPr>
          <w:rFonts w:hint="eastAsia" w:ascii="宋体" w:hAnsi="宋体"/>
          <w:color w:val="auto"/>
          <w:sz w:val="24"/>
        </w:rPr>
        <w:t>注：1.本项目确定供应商重大违法记录中较大数额罚款的金额标准为：3万元。</w:t>
      </w:r>
    </w:p>
    <w:p>
      <w:pPr>
        <w:spacing w:line="360" w:lineRule="auto"/>
        <w:ind w:firstLine="540" w:firstLineChars="225"/>
        <w:rPr>
          <w:rFonts w:ascii="宋体" w:hAnsi="宋体"/>
          <w:color w:val="auto"/>
          <w:sz w:val="24"/>
        </w:rPr>
      </w:pPr>
      <w:r>
        <w:rPr>
          <w:rFonts w:hint="eastAsia" w:ascii="宋体" w:hAnsi="宋体"/>
          <w:color w:val="auto"/>
          <w:sz w:val="24"/>
        </w:rPr>
        <w:t>2.供应商在参加本次采购活动前，被纳入法院、工商行政管理部门、税务部门、银行认定的失信名单且在有效期内，或者在前三年采购合同履约过程中及其他经营活动履约过程中未依法履约被有关行政部门处罚（处理）的，本项目不认定其具有良好的商业信誉。</w:t>
      </w:r>
    </w:p>
    <w:p>
      <w:pPr>
        <w:jc w:val="center"/>
        <w:rPr>
          <w:rFonts w:ascii="宋体" w:hAnsi="宋体"/>
          <w:color w:val="auto"/>
          <w:sz w:val="24"/>
        </w:rPr>
      </w:pPr>
    </w:p>
    <w:p>
      <w:pPr>
        <w:jc w:val="center"/>
        <w:rPr>
          <w:rFonts w:ascii="宋体" w:hAnsi="宋体"/>
          <w:color w:val="auto"/>
          <w:sz w:val="24"/>
        </w:rPr>
      </w:pPr>
    </w:p>
    <w:p>
      <w:pPr>
        <w:jc w:val="center"/>
        <w:rPr>
          <w:rFonts w:ascii="宋体" w:hAnsi="宋体"/>
          <w:color w:val="auto"/>
          <w:sz w:val="24"/>
        </w:rPr>
      </w:pPr>
    </w:p>
    <w:p>
      <w:pPr>
        <w:jc w:val="center"/>
        <w:rPr>
          <w:rFonts w:ascii="宋体" w:hAnsi="宋体"/>
          <w:color w:val="auto"/>
          <w:sz w:val="24"/>
        </w:rPr>
      </w:pPr>
    </w:p>
    <w:p>
      <w:pPr>
        <w:jc w:val="center"/>
        <w:rPr>
          <w:rFonts w:ascii="宋体" w:hAnsi="宋体"/>
          <w:color w:val="auto"/>
          <w:sz w:val="24"/>
        </w:rPr>
      </w:pPr>
    </w:p>
    <w:p>
      <w:pPr>
        <w:pStyle w:val="2"/>
        <w:rPr>
          <w:color w:val="auto"/>
        </w:rPr>
      </w:pPr>
    </w:p>
    <w:p>
      <w:pPr>
        <w:rPr>
          <w:color w:val="auto"/>
        </w:rPr>
        <w:sectPr>
          <w:pgSz w:w="11907" w:h="16839"/>
          <w:pgMar w:top="1440" w:right="1474" w:bottom="1440" w:left="1474" w:header="851" w:footer="992" w:gutter="0"/>
          <w:pgNumType w:fmt="decimal"/>
          <w:cols w:space="720" w:num="1"/>
          <w:titlePg/>
          <w:docGrid w:linePitch="312" w:charSpace="0"/>
        </w:sectPr>
      </w:pPr>
    </w:p>
    <w:p>
      <w:pPr>
        <w:pStyle w:val="27"/>
        <w:spacing w:line="360" w:lineRule="auto"/>
        <w:outlineLvl w:val="9"/>
        <w:rPr>
          <w:color w:val="auto"/>
          <w:sz w:val="28"/>
          <w:szCs w:val="28"/>
        </w:rPr>
      </w:pPr>
      <w:bookmarkStart w:id="181" w:name="_Toc19457991"/>
      <w:r>
        <w:rPr>
          <w:rFonts w:hint="eastAsia"/>
          <w:color w:val="auto"/>
        </w:rPr>
        <w:t>第四章  供应商资格证明材料</w:t>
      </w:r>
      <w:bookmarkEnd w:id="181"/>
    </w:p>
    <w:p>
      <w:pPr>
        <w:spacing w:line="360" w:lineRule="auto"/>
        <w:rPr>
          <w:rFonts w:ascii="宋体" w:hAnsi="宋体"/>
          <w:b/>
          <w:color w:val="auto"/>
          <w:sz w:val="24"/>
        </w:rPr>
      </w:pPr>
      <w:r>
        <w:rPr>
          <w:rFonts w:ascii="宋体" w:hAnsi="宋体"/>
          <w:b/>
          <w:color w:val="auto"/>
          <w:sz w:val="24"/>
        </w:rPr>
        <w:t>一、供应商应提交的资格证明材料</w:t>
      </w:r>
    </w:p>
    <w:p>
      <w:pPr>
        <w:tabs>
          <w:tab w:val="left" w:pos="1365"/>
        </w:tabs>
        <w:spacing w:line="360" w:lineRule="auto"/>
        <w:ind w:firstLine="482" w:firstLineChars="200"/>
        <w:rPr>
          <w:rFonts w:ascii="宋体" w:hAnsi="宋体" w:cs="宋体"/>
          <w:b/>
          <w:bCs/>
          <w:color w:val="auto"/>
          <w:sz w:val="24"/>
        </w:rPr>
      </w:pPr>
      <w:r>
        <w:rPr>
          <w:rFonts w:hint="eastAsia" w:ascii="宋体" w:hAnsi="宋体" w:cs="宋体"/>
          <w:b/>
          <w:bCs/>
          <w:color w:val="auto"/>
          <w:sz w:val="24"/>
        </w:rPr>
        <w:t>（1）供应商</w:t>
      </w:r>
      <w:r>
        <w:rPr>
          <w:rFonts w:hint="eastAsia" w:ascii="宋体" w:hAnsi="宋体" w:cs="宋体"/>
          <w:b/>
          <w:color w:val="auto"/>
          <w:sz w:val="24"/>
        </w:rPr>
        <w:t>单位</w:t>
      </w:r>
      <w:r>
        <w:rPr>
          <w:rFonts w:hint="eastAsia" w:ascii="宋体" w:hAnsi="宋体" w:cs="宋体"/>
          <w:b/>
          <w:bCs/>
          <w:color w:val="auto"/>
          <w:sz w:val="24"/>
        </w:rPr>
        <w:t>有效营业执照副本、税务登记证副本、组织机构代码证副本（复印件），或工商更新后最新版本的三证合一营业执照副本复印件；依法设立的分</w:t>
      </w:r>
      <w:r>
        <w:rPr>
          <w:rFonts w:hint="eastAsia" w:ascii="宋体" w:hAnsi="宋体" w:cs="宋体"/>
          <w:b/>
          <w:bCs/>
          <w:color w:val="auto"/>
          <w:sz w:val="24"/>
          <w:lang w:val="en-US" w:eastAsia="zh-CN"/>
        </w:rPr>
        <w:t>子</w:t>
      </w:r>
      <w:r>
        <w:rPr>
          <w:rFonts w:hint="eastAsia" w:ascii="宋体" w:hAnsi="宋体" w:cs="宋体"/>
          <w:b/>
          <w:bCs/>
          <w:color w:val="auto"/>
          <w:sz w:val="24"/>
        </w:rPr>
        <w:t>机构视为等同于总部。</w:t>
      </w:r>
    </w:p>
    <w:p>
      <w:pPr>
        <w:spacing w:line="360" w:lineRule="auto"/>
        <w:ind w:firstLine="482" w:firstLineChars="200"/>
        <w:rPr>
          <w:rFonts w:ascii="宋体" w:hAnsi="宋体" w:cs="宋体"/>
          <w:b/>
          <w:bCs/>
          <w:color w:val="auto"/>
          <w:sz w:val="24"/>
        </w:rPr>
      </w:pPr>
      <w:r>
        <w:rPr>
          <w:rFonts w:hint="eastAsia" w:ascii="宋体" w:hAnsi="宋体" w:cs="宋体"/>
          <w:b/>
          <w:bCs/>
          <w:color w:val="auto"/>
          <w:sz w:val="24"/>
        </w:rPr>
        <w:t>（2）供应商</w:t>
      </w:r>
      <w:r>
        <w:rPr>
          <w:rFonts w:hint="eastAsia" w:ascii="宋体" w:hAnsi="宋体" w:cs="宋体"/>
          <w:b/>
          <w:color w:val="auto"/>
          <w:sz w:val="24"/>
        </w:rPr>
        <w:t>单位</w:t>
      </w:r>
      <w:r>
        <w:rPr>
          <w:rFonts w:hint="eastAsia" w:ascii="宋体" w:hAnsi="宋体" w:cs="宋体"/>
          <w:b/>
          <w:bCs/>
          <w:color w:val="auto"/>
          <w:sz w:val="24"/>
        </w:rPr>
        <w:t>法定代表人身份证明（证明其为供应商单位法定代表人，格式自拟）、法定代表人授权书（格式见第七章</w:t>
      </w:r>
      <w:r>
        <w:rPr>
          <w:rFonts w:hint="eastAsia" w:ascii="宋体" w:hAnsi="宋体" w:cs="宋体"/>
          <w:b/>
          <w:bCs/>
          <w:color w:val="auto"/>
          <w:sz w:val="24"/>
          <w:lang w:eastAsia="zh-CN"/>
        </w:rPr>
        <w:t>，</w:t>
      </w:r>
      <w:r>
        <w:rPr>
          <w:rFonts w:hint="eastAsia" w:ascii="宋体" w:hAnsi="宋体" w:cs="宋体"/>
          <w:b/>
          <w:bCs/>
          <w:color w:val="auto"/>
          <w:sz w:val="24"/>
        </w:rPr>
        <w:t>法定代表人亲自参与磋商的无需提供）；</w:t>
      </w:r>
    </w:p>
    <w:p>
      <w:pPr>
        <w:spacing w:line="360" w:lineRule="auto"/>
        <w:ind w:firstLine="482" w:firstLineChars="200"/>
        <w:rPr>
          <w:rFonts w:ascii="宋体" w:hAnsi="宋体" w:cs="宋体"/>
          <w:b/>
          <w:bCs/>
          <w:color w:val="auto"/>
          <w:sz w:val="24"/>
        </w:rPr>
      </w:pPr>
      <w:r>
        <w:rPr>
          <w:rFonts w:hint="eastAsia" w:ascii="宋体" w:hAnsi="宋体" w:cs="宋体"/>
          <w:b/>
          <w:bCs/>
          <w:color w:val="auto"/>
          <w:sz w:val="24"/>
        </w:rPr>
        <w:t>（3）供应商</w:t>
      </w:r>
      <w:r>
        <w:rPr>
          <w:rFonts w:hint="eastAsia" w:ascii="宋体" w:hAnsi="宋体" w:cs="宋体"/>
          <w:b/>
          <w:color w:val="auto"/>
          <w:sz w:val="24"/>
        </w:rPr>
        <w:t>单位</w:t>
      </w:r>
      <w:r>
        <w:rPr>
          <w:rFonts w:hint="eastAsia" w:ascii="宋体" w:hAnsi="宋体" w:cs="宋体"/>
          <w:b/>
          <w:bCs/>
          <w:color w:val="auto"/>
          <w:sz w:val="24"/>
        </w:rPr>
        <w:t>法定代表人身份证复印件</w:t>
      </w:r>
      <w:r>
        <w:rPr>
          <w:rFonts w:hint="eastAsia" w:ascii="宋体" w:hAnsi="宋体" w:cs="宋体"/>
          <w:b/>
          <w:bCs/>
          <w:color w:val="auto"/>
          <w:sz w:val="24"/>
          <w:lang w:eastAsia="zh-CN"/>
        </w:rPr>
        <w:t>、</w:t>
      </w:r>
      <w:r>
        <w:rPr>
          <w:rFonts w:hint="eastAsia" w:ascii="宋体" w:hAnsi="宋体" w:cs="宋体"/>
          <w:b/>
          <w:bCs/>
          <w:color w:val="auto"/>
          <w:sz w:val="24"/>
        </w:rPr>
        <w:t>法定代表人授权代表身份证复印件（磋商时必须携带参加磋商会议的法定代表人或法定代表人授权代表有效身份证明原件）；</w:t>
      </w:r>
    </w:p>
    <w:p>
      <w:pPr>
        <w:spacing w:line="360" w:lineRule="auto"/>
        <w:ind w:firstLine="472" w:firstLineChars="196"/>
        <w:rPr>
          <w:rFonts w:ascii="宋体" w:hAnsi="宋体" w:cs="宋体"/>
          <w:b/>
          <w:color w:val="auto"/>
          <w:sz w:val="24"/>
        </w:rPr>
      </w:pPr>
      <w:r>
        <w:rPr>
          <w:rFonts w:hint="eastAsia" w:ascii="宋体" w:hAnsi="宋体" w:cs="宋体"/>
          <w:b/>
          <w:color w:val="auto"/>
          <w:sz w:val="24"/>
        </w:rPr>
        <w:t>（4）供应商单位2020年度的财务状况报告复印件（新成立不足一年单位可提供具有良好的商业信誉和健全的财务会计制度的承诺函原件，格式自拟）；</w:t>
      </w:r>
    </w:p>
    <w:p>
      <w:pPr>
        <w:spacing w:line="360" w:lineRule="auto"/>
        <w:ind w:firstLine="472" w:firstLineChars="196"/>
        <w:rPr>
          <w:rFonts w:ascii="宋体" w:hAnsi="宋体" w:cs="宋体"/>
          <w:b/>
          <w:color w:val="auto"/>
          <w:sz w:val="24"/>
        </w:rPr>
      </w:pPr>
      <w:r>
        <w:rPr>
          <w:rFonts w:hint="eastAsia" w:ascii="宋体" w:hAnsi="宋体" w:cs="宋体"/>
          <w:b/>
          <w:color w:val="auto"/>
          <w:sz w:val="24"/>
        </w:rPr>
        <w:t>（5）供应商单位</w:t>
      </w:r>
      <w:r>
        <w:rPr>
          <w:rFonts w:hint="eastAsia" w:ascii="宋体" w:hAnsi="宋体" w:cs="宋体"/>
          <w:b/>
          <w:bCs/>
          <w:color w:val="auto"/>
          <w:sz w:val="24"/>
          <w:lang w:val="zh-CN"/>
        </w:rPr>
        <w:t>具有履行合同所必需的专业技术能力及服务能力的承诺（格式自拟）；</w:t>
      </w:r>
    </w:p>
    <w:p>
      <w:pPr>
        <w:spacing w:line="360" w:lineRule="auto"/>
        <w:ind w:firstLine="472" w:firstLineChars="196"/>
        <w:rPr>
          <w:rFonts w:ascii="宋体" w:hAnsi="宋体" w:cs="宋体"/>
          <w:b/>
          <w:color w:val="auto"/>
          <w:sz w:val="24"/>
        </w:rPr>
      </w:pPr>
      <w:r>
        <w:rPr>
          <w:rFonts w:hint="eastAsia" w:ascii="宋体" w:hAnsi="宋体" w:cs="宋体"/>
          <w:b/>
          <w:color w:val="auto"/>
          <w:sz w:val="24"/>
        </w:rPr>
        <w:t>（6）供应商单位202</w:t>
      </w:r>
      <w:r>
        <w:rPr>
          <w:rFonts w:hint="eastAsia" w:ascii="宋体" w:hAnsi="宋体" w:cs="宋体"/>
          <w:b/>
          <w:color w:val="auto"/>
          <w:sz w:val="24"/>
          <w:lang w:val="en-US" w:eastAsia="zh-CN"/>
        </w:rPr>
        <w:t>1</w:t>
      </w:r>
      <w:r>
        <w:rPr>
          <w:rFonts w:hint="eastAsia" w:ascii="宋体" w:hAnsi="宋体" w:cs="宋体"/>
          <w:b/>
          <w:color w:val="auto"/>
          <w:sz w:val="24"/>
        </w:rPr>
        <w:t>年至今任意时段</w:t>
      </w:r>
      <w:r>
        <w:rPr>
          <w:rFonts w:hint="eastAsia" w:ascii="宋体" w:hAnsi="宋体" w:cs="宋体"/>
          <w:b/>
          <w:color w:val="auto"/>
          <w:sz w:val="24"/>
          <w:lang w:eastAsia="zh-CN"/>
        </w:rPr>
        <w:t>（</w:t>
      </w:r>
      <w:r>
        <w:rPr>
          <w:rFonts w:hint="eastAsia" w:ascii="宋体" w:hAnsi="宋体" w:cs="宋体"/>
          <w:b/>
          <w:color w:val="auto"/>
          <w:sz w:val="24"/>
          <w:lang w:val="en-US" w:eastAsia="zh-CN"/>
        </w:rPr>
        <w:t>不少于三个月</w:t>
      </w:r>
      <w:r>
        <w:rPr>
          <w:rFonts w:hint="eastAsia" w:ascii="宋体" w:hAnsi="宋体" w:cs="宋体"/>
          <w:b/>
          <w:color w:val="auto"/>
          <w:sz w:val="24"/>
          <w:lang w:eastAsia="zh-CN"/>
        </w:rPr>
        <w:t>）</w:t>
      </w:r>
      <w:r>
        <w:rPr>
          <w:rFonts w:hint="eastAsia" w:ascii="宋体" w:hAnsi="宋体" w:cs="宋体"/>
          <w:b/>
          <w:color w:val="auto"/>
          <w:sz w:val="24"/>
        </w:rPr>
        <w:t>的纳税和缴纳社保资金证明资料复印件（</w:t>
      </w:r>
      <w:r>
        <w:rPr>
          <w:rFonts w:hint="eastAsia" w:ascii="宋体" w:hAnsi="宋体" w:cs="宋体"/>
          <w:b/>
          <w:color w:val="auto"/>
          <w:sz w:val="24"/>
          <w:lang w:val="en-US" w:eastAsia="zh-CN"/>
        </w:rPr>
        <w:t>或</w:t>
      </w:r>
      <w:r>
        <w:rPr>
          <w:rFonts w:hint="eastAsia" w:ascii="宋体" w:hAnsi="宋体" w:cs="宋体"/>
          <w:b/>
          <w:color w:val="auto"/>
          <w:sz w:val="24"/>
        </w:rPr>
        <w:t>提供</w:t>
      </w:r>
      <w:r>
        <w:rPr>
          <w:rFonts w:hint="eastAsia" w:ascii="宋体" w:hAnsi="宋体" w:cs="宋体"/>
          <w:b/>
          <w:bCs/>
          <w:color w:val="auto"/>
          <w:sz w:val="24"/>
          <w:lang w:val="zh-CN"/>
        </w:rPr>
        <w:t>具有依法缴纳税收和社保资金的良好记录的承诺函原件，格式自拟</w:t>
      </w:r>
      <w:r>
        <w:rPr>
          <w:rFonts w:hint="eastAsia" w:ascii="宋体" w:hAnsi="宋体" w:cs="宋体"/>
          <w:b/>
          <w:color w:val="auto"/>
          <w:sz w:val="24"/>
        </w:rPr>
        <w:t>）；</w:t>
      </w:r>
    </w:p>
    <w:p>
      <w:pPr>
        <w:spacing w:line="360" w:lineRule="auto"/>
        <w:ind w:firstLine="472" w:firstLineChars="196"/>
        <w:rPr>
          <w:rFonts w:ascii="宋体" w:hAnsi="宋体" w:cs="宋体"/>
          <w:b/>
          <w:bCs/>
          <w:color w:val="auto"/>
          <w:sz w:val="24"/>
          <w:lang w:val="zh-CN"/>
        </w:rPr>
      </w:pPr>
      <w:r>
        <w:rPr>
          <w:rFonts w:hint="eastAsia" w:ascii="宋体" w:hAnsi="宋体" w:cs="宋体"/>
          <w:b/>
          <w:color w:val="auto"/>
          <w:sz w:val="24"/>
        </w:rPr>
        <w:t>（7）供应商单位法定代表人</w:t>
      </w:r>
      <w:r>
        <w:rPr>
          <w:rFonts w:hint="eastAsia" w:ascii="宋体" w:hAnsi="宋体" w:cs="宋体"/>
          <w:b/>
          <w:bCs/>
          <w:color w:val="auto"/>
          <w:sz w:val="24"/>
          <w:lang w:val="zh-CN"/>
        </w:rPr>
        <w:t>参加本次采购活动前三年内，在经营活动中没有重大违法违规记录的承诺（格式自拟）、无行贿犯罪记录的承诺（格式自拟）；</w:t>
      </w:r>
    </w:p>
    <w:p>
      <w:pPr>
        <w:spacing w:line="360" w:lineRule="auto"/>
        <w:ind w:firstLine="472" w:firstLineChars="196"/>
        <w:rPr>
          <w:rFonts w:ascii="宋体" w:hAnsi="宋体" w:cs="宋体"/>
          <w:b/>
          <w:bCs/>
          <w:color w:val="auto"/>
          <w:sz w:val="24"/>
          <w:lang w:val="zh-CN"/>
        </w:rPr>
      </w:pPr>
      <w:r>
        <w:rPr>
          <w:rFonts w:hint="eastAsia" w:ascii="宋体" w:hAnsi="宋体" w:cs="宋体"/>
          <w:b/>
          <w:bCs/>
          <w:color w:val="auto"/>
          <w:sz w:val="24"/>
          <w:lang w:val="zh-CN"/>
        </w:rPr>
        <w:t>（8）供应商单位是否存在有效期内的失信行为记录及次数的声明（格式自拟，失信行为已受到法律、行政法规处罚的不在此列）。</w:t>
      </w:r>
    </w:p>
    <w:p>
      <w:pPr>
        <w:spacing w:line="360" w:lineRule="auto"/>
        <w:ind w:firstLine="472" w:firstLineChars="196"/>
        <w:rPr>
          <w:rFonts w:ascii="宋体" w:hAnsi="宋体" w:cs="宋体"/>
          <w:b/>
          <w:bCs/>
          <w:color w:val="auto"/>
          <w:sz w:val="24"/>
          <w:lang w:val="zh-CN"/>
        </w:rPr>
      </w:pPr>
      <w:r>
        <w:rPr>
          <w:rFonts w:ascii="宋体" w:hAnsi="宋体" w:cs="宋体"/>
          <w:b/>
          <w:bCs/>
          <w:color w:val="auto"/>
          <w:sz w:val="24"/>
          <w:lang w:val="zh-CN"/>
        </w:rPr>
        <w:t>（9）</w:t>
      </w:r>
      <w:r>
        <w:rPr>
          <w:rFonts w:hint="eastAsia" w:ascii="宋体" w:hAnsi="宋体" w:cs="宋体"/>
          <w:b/>
          <w:bCs/>
          <w:color w:val="auto"/>
          <w:sz w:val="24"/>
          <w:lang w:val="zh-CN"/>
        </w:rPr>
        <w:t>按竞争性磋商文件交纳磋商保证金凭证。</w:t>
      </w:r>
    </w:p>
    <w:p>
      <w:pPr>
        <w:spacing w:line="360" w:lineRule="auto"/>
        <w:ind w:firstLine="472" w:firstLineChars="196"/>
        <w:rPr>
          <w:rFonts w:ascii="宋体" w:hAnsi="宋体" w:cs="宋体"/>
          <w:b/>
          <w:bCs/>
          <w:color w:val="auto"/>
          <w:sz w:val="24"/>
          <w:lang w:val="zh-CN"/>
        </w:rPr>
      </w:pPr>
    </w:p>
    <w:p>
      <w:pPr>
        <w:pStyle w:val="2"/>
        <w:rPr>
          <w:color w:val="auto"/>
          <w:lang w:val="zh-CN"/>
        </w:rPr>
      </w:pPr>
    </w:p>
    <w:p>
      <w:pPr>
        <w:spacing w:line="360" w:lineRule="auto"/>
        <w:ind w:firstLine="472" w:firstLineChars="196"/>
        <w:rPr>
          <w:rFonts w:hint="default" w:ascii="宋体" w:hAnsi="宋体" w:eastAsia="宋体" w:cs="宋体"/>
          <w:b/>
          <w:bCs/>
          <w:color w:val="auto"/>
          <w:sz w:val="24"/>
          <w:lang w:val="en-US" w:eastAsia="zh-CN"/>
        </w:rPr>
      </w:pPr>
      <w:r>
        <w:rPr>
          <w:rFonts w:hint="eastAsia" w:ascii="宋体" w:hAnsi="宋体" w:cs="宋体"/>
          <w:b/>
          <w:bCs/>
          <w:color w:val="auto"/>
          <w:sz w:val="24"/>
          <w:lang w:val="zh-CN"/>
        </w:rPr>
        <w:t>注：上述所有资料</w:t>
      </w:r>
      <w:r>
        <w:rPr>
          <w:rFonts w:hint="eastAsia" w:ascii="宋体" w:hAnsi="宋体" w:cs="宋体"/>
          <w:b/>
          <w:bCs/>
          <w:color w:val="auto"/>
          <w:sz w:val="24"/>
          <w:lang w:val="en-US" w:eastAsia="zh-CN"/>
        </w:rPr>
        <w:t>及</w:t>
      </w:r>
      <w:r>
        <w:rPr>
          <w:rFonts w:hint="eastAsia" w:ascii="宋体" w:hAnsi="宋体" w:cs="宋体"/>
          <w:b/>
          <w:bCs/>
          <w:color w:val="auto"/>
          <w:sz w:val="24"/>
          <w:lang w:val="zh-CN"/>
        </w:rPr>
        <w:t>复印件须加盖公司鲜章，</w:t>
      </w:r>
      <w:r>
        <w:rPr>
          <w:rFonts w:hint="eastAsia" w:ascii="宋体" w:hAnsi="宋体" w:cs="宋体"/>
          <w:b/>
          <w:bCs/>
          <w:color w:val="auto"/>
          <w:sz w:val="24"/>
          <w:lang w:val="en-US" w:eastAsia="zh-CN"/>
        </w:rPr>
        <w:t>资料不齐视为无效处理。</w:t>
      </w:r>
    </w:p>
    <w:p>
      <w:pPr>
        <w:pStyle w:val="2"/>
        <w:rPr>
          <w:color w:val="auto"/>
        </w:rPr>
      </w:pPr>
    </w:p>
    <w:p>
      <w:pPr>
        <w:pStyle w:val="2"/>
        <w:rPr>
          <w:color w:val="auto"/>
        </w:rPr>
      </w:pPr>
    </w:p>
    <w:p>
      <w:pPr>
        <w:pStyle w:val="2"/>
        <w:rPr>
          <w:color w:val="auto"/>
        </w:rPr>
        <w:sectPr>
          <w:pgSz w:w="11907" w:h="16839"/>
          <w:pgMar w:top="1440" w:right="1474" w:bottom="1440" w:left="1474" w:header="851" w:footer="992" w:gutter="0"/>
          <w:pgNumType w:fmt="decimal"/>
          <w:cols w:space="720" w:num="1"/>
          <w:titlePg/>
          <w:docGrid w:linePitch="312" w:charSpace="0"/>
        </w:sectPr>
      </w:pPr>
    </w:p>
    <w:p>
      <w:pPr>
        <w:pStyle w:val="27"/>
        <w:spacing w:line="360" w:lineRule="auto"/>
        <w:outlineLvl w:val="9"/>
        <w:rPr>
          <w:color w:val="auto"/>
        </w:rPr>
      </w:pPr>
      <w:bookmarkStart w:id="182" w:name="_Toc19457992"/>
      <w:r>
        <w:rPr>
          <w:rFonts w:hint="eastAsia"/>
          <w:color w:val="auto"/>
        </w:rPr>
        <w:t>第五章  供应商技术、服务、商务响应文件内容</w:t>
      </w:r>
      <w:bookmarkEnd w:id="182"/>
    </w:p>
    <w:p>
      <w:pPr>
        <w:spacing w:line="480" w:lineRule="auto"/>
        <w:jc w:val="left"/>
        <w:rPr>
          <w:rFonts w:ascii="宋体" w:hAnsi="宋体"/>
          <w:color w:val="auto"/>
          <w:sz w:val="24"/>
        </w:rPr>
      </w:pPr>
      <w:r>
        <w:rPr>
          <w:rFonts w:hint="eastAsia" w:ascii="宋体" w:hAnsi="宋体"/>
          <w:color w:val="auto"/>
          <w:sz w:val="24"/>
        </w:rPr>
        <w:t xml:space="preserve">    供应商技术、商务、服务响应文件内容为对磋商文件技术、商务、服务等要求的响应，应包括以下内容：</w:t>
      </w:r>
    </w:p>
    <w:p>
      <w:pPr>
        <w:tabs>
          <w:tab w:val="left" w:pos="284"/>
        </w:tabs>
        <w:spacing w:line="480" w:lineRule="auto"/>
        <w:jc w:val="left"/>
        <w:rPr>
          <w:rFonts w:ascii="宋体" w:hAnsi="宋体"/>
          <w:color w:val="auto"/>
          <w:sz w:val="24"/>
        </w:rPr>
      </w:pPr>
      <w:r>
        <w:rPr>
          <w:rFonts w:hint="eastAsia" w:ascii="宋体" w:hAnsi="宋体"/>
          <w:color w:val="auto"/>
          <w:sz w:val="24"/>
        </w:rPr>
        <w:t xml:space="preserve">    1、供应商基本情况表（格式见第七章）</w:t>
      </w:r>
    </w:p>
    <w:p>
      <w:pPr>
        <w:tabs>
          <w:tab w:val="left" w:pos="284"/>
        </w:tabs>
        <w:spacing w:line="480" w:lineRule="auto"/>
        <w:jc w:val="left"/>
        <w:rPr>
          <w:rFonts w:ascii="宋体" w:hAnsi="宋体"/>
          <w:color w:val="auto"/>
          <w:sz w:val="24"/>
        </w:rPr>
      </w:pPr>
      <w:r>
        <w:rPr>
          <w:rFonts w:hint="eastAsia" w:ascii="宋体" w:hAnsi="宋体"/>
          <w:color w:val="auto"/>
          <w:sz w:val="24"/>
        </w:rPr>
        <w:t xml:space="preserve">    2、承诺函（格式见第七章）</w:t>
      </w:r>
    </w:p>
    <w:p>
      <w:pPr>
        <w:tabs>
          <w:tab w:val="left" w:pos="284"/>
        </w:tabs>
        <w:spacing w:line="480" w:lineRule="auto"/>
        <w:jc w:val="left"/>
        <w:rPr>
          <w:rFonts w:ascii="宋体" w:hAnsi="宋体"/>
          <w:color w:val="auto"/>
          <w:sz w:val="24"/>
        </w:rPr>
      </w:pPr>
      <w:r>
        <w:rPr>
          <w:rFonts w:hint="eastAsia" w:ascii="宋体" w:hAnsi="宋体"/>
          <w:color w:val="auto"/>
          <w:sz w:val="24"/>
        </w:rPr>
        <w:t xml:space="preserve">    3、报价函（格式见第七章）</w:t>
      </w:r>
    </w:p>
    <w:p>
      <w:pPr>
        <w:tabs>
          <w:tab w:val="left" w:pos="284"/>
        </w:tabs>
        <w:spacing w:line="480" w:lineRule="auto"/>
        <w:ind w:firstLine="480"/>
        <w:jc w:val="left"/>
        <w:rPr>
          <w:rFonts w:hint="eastAsia" w:ascii="宋体" w:hAnsi="宋体"/>
          <w:color w:val="auto"/>
          <w:sz w:val="24"/>
        </w:rPr>
      </w:pPr>
      <w:r>
        <w:rPr>
          <w:rFonts w:hint="eastAsia" w:ascii="宋体" w:hAnsi="宋体"/>
          <w:color w:val="auto"/>
          <w:sz w:val="24"/>
        </w:rPr>
        <w:t>4、初始报价表（格式见第七章）</w:t>
      </w:r>
    </w:p>
    <w:p>
      <w:pPr>
        <w:tabs>
          <w:tab w:val="left" w:pos="284"/>
        </w:tabs>
        <w:spacing w:line="480" w:lineRule="auto"/>
        <w:ind w:firstLine="480"/>
        <w:jc w:val="left"/>
        <w:rPr>
          <w:rFonts w:ascii="宋体" w:hAnsi="宋体"/>
          <w:color w:val="auto"/>
          <w:spacing w:val="6"/>
          <w:sz w:val="24"/>
        </w:rPr>
      </w:pPr>
      <w:r>
        <w:rPr>
          <w:rFonts w:hint="eastAsia" w:ascii="宋体" w:hAnsi="宋体"/>
          <w:color w:val="auto"/>
          <w:spacing w:val="6"/>
          <w:sz w:val="24"/>
          <w:lang w:val="en-US" w:eastAsia="zh-CN"/>
        </w:rPr>
        <w:t>5</w:t>
      </w:r>
      <w:r>
        <w:rPr>
          <w:rFonts w:hint="eastAsia" w:ascii="宋体" w:hAnsi="宋体"/>
          <w:color w:val="auto"/>
          <w:spacing w:val="6"/>
          <w:sz w:val="24"/>
        </w:rPr>
        <w:t>、技术应答表、商务应答表</w:t>
      </w:r>
      <w:r>
        <w:rPr>
          <w:rFonts w:hint="eastAsia" w:ascii="宋体" w:hAnsi="宋体"/>
          <w:color w:val="auto"/>
          <w:sz w:val="24"/>
        </w:rPr>
        <w:t>（格式见第七章）</w:t>
      </w:r>
    </w:p>
    <w:p>
      <w:pPr>
        <w:tabs>
          <w:tab w:val="left" w:pos="284"/>
        </w:tabs>
        <w:spacing w:line="480" w:lineRule="auto"/>
        <w:jc w:val="left"/>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6</w:t>
      </w:r>
      <w:r>
        <w:rPr>
          <w:rFonts w:hint="eastAsia" w:ascii="宋体" w:hAnsi="宋体"/>
          <w:color w:val="auto"/>
          <w:sz w:val="24"/>
        </w:rPr>
        <w:t>、</w:t>
      </w:r>
      <w:r>
        <w:rPr>
          <w:rFonts w:hint="eastAsia" w:ascii="宋体" w:hAnsi="宋体" w:cs="Arial"/>
          <w:bCs/>
          <w:color w:val="auto"/>
          <w:sz w:val="24"/>
        </w:rPr>
        <w:t>供应商类似项目业绩一览表</w:t>
      </w:r>
      <w:r>
        <w:rPr>
          <w:rFonts w:hint="eastAsia" w:ascii="宋体" w:hAnsi="宋体"/>
          <w:color w:val="auto"/>
          <w:sz w:val="24"/>
        </w:rPr>
        <w:t>（格式见第七章）</w:t>
      </w:r>
    </w:p>
    <w:p>
      <w:pPr>
        <w:tabs>
          <w:tab w:val="left" w:pos="284"/>
        </w:tabs>
        <w:spacing w:line="480" w:lineRule="auto"/>
        <w:jc w:val="left"/>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7</w:t>
      </w:r>
      <w:r>
        <w:rPr>
          <w:rFonts w:hint="eastAsia" w:ascii="宋体" w:hAnsi="宋体"/>
          <w:color w:val="auto"/>
          <w:sz w:val="24"/>
        </w:rPr>
        <w:t>、供应商本项目管理、技术、服务人员情况表（格式见第七章）</w:t>
      </w:r>
    </w:p>
    <w:p>
      <w:pPr>
        <w:tabs>
          <w:tab w:val="left" w:pos="284"/>
        </w:tabs>
        <w:spacing w:line="480" w:lineRule="auto"/>
        <w:jc w:val="left"/>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8</w:t>
      </w:r>
      <w:r>
        <w:rPr>
          <w:rFonts w:hint="eastAsia" w:ascii="宋体" w:hAnsi="宋体"/>
          <w:color w:val="auto"/>
          <w:sz w:val="24"/>
        </w:rPr>
        <w:t>、产品质量保证承诺、售后服务承诺（格式自拟）</w:t>
      </w:r>
    </w:p>
    <w:p>
      <w:pPr>
        <w:tabs>
          <w:tab w:val="left" w:pos="284"/>
        </w:tabs>
        <w:spacing w:line="480" w:lineRule="auto"/>
        <w:jc w:val="left"/>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9</w:t>
      </w:r>
      <w:r>
        <w:rPr>
          <w:rFonts w:hint="eastAsia" w:ascii="宋体" w:hAnsi="宋体"/>
          <w:color w:val="auto"/>
          <w:sz w:val="24"/>
        </w:rPr>
        <w:t>、供应商根据采购要求和评分表内容自行提供的材料（自行提供，无具体要求）</w:t>
      </w:r>
    </w:p>
    <w:p>
      <w:pPr>
        <w:spacing w:line="480" w:lineRule="auto"/>
        <w:jc w:val="left"/>
        <w:rPr>
          <w:rFonts w:ascii="宋体" w:hAnsi="宋体"/>
          <w:color w:val="auto"/>
          <w:sz w:val="24"/>
        </w:rPr>
      </w:pPr>
    </w:p>
    <w:p>
      <w:pPr>
        <w:spacing w:line="480" w:lineRule="auto"/>
        <w:jc w:val="left"/>
        <w:rPr>
          <w:rFonts w:ascii="宋体" w:hAnsi="宋体"/>
          <w:color w:val="auto"/>
          <w:sz w:val="24"/>
        </w:rPr>
      </w:pPr>
    </w:p>
    <w:p>
      <w:pPr>
        <w:spacing w:line="400" w:lineRule="exact"/>
        <w:jc w:val="center"/>
        <w:rPr>
          <w:rFonts w:ascii="宋体" w:hAnsi="宋体"/>
          <w:b/>
          <w:color w:val="auto"/>
          <w:sz w:val="32"/>
          <w:szCs w:val="32"/>
        </w:rPr>
      </w:pPr>
    </w:p>
    <w:p>
      <w:pPr>
        <w:spacing w:line="400" w:lineRule="exact"/>
        <w:jc w:val="center"/>
        <w:rPr>
          <w:rFonts w:ascii="宋体" w:hAnsi="宋体"/>
          <w:b/>
          <w:color w:val="auto"/>
          <w:sz w:val="32"/>
          <w:szCs w:val="32"/>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7"/>
        <w:spacing w:line="480" w:lineRule="auto"/>
        <w:outlineLvl w:val="9"/>
        <w:rPr>
          <w:color w:val="auto"/>
        </w:rPr>
      </w:pPr>
      <w:bookmarkStart w:id="183" w:name="_Toc19457993"/>
      <w:r>
        <w:rPr>
          <w:rFonts w:hint="eastAsia"/>
          <w:color w:val="auto"/>
        </w:rPr>
        <w:t>第六章  采购项目技术、服务及商务要求</w:t>
      </w:r>
      <w:bookmarkEnd w:id="98"/>
      <w:bookmarkEnd w:id="99"/>
      <w:bookmarkEnd w:id="100"/>
      <w:bookmarkEnd w:id="101"/>
      <w:bookmarkEnd w:id="102"/>
      <w:bookmarkEnd w:id="183"/>
      <w:bookmarkStart w:id="184" w:name="_Toc183582232"/>
      <w:bookmarkStart w:id="185" w:name="_Toc217446057"/>
      <w:bookmarkStart w:id="186" w:name="_Toc183682369"/>
    </w:p>
    <w:p>
      <w:pPr>
        <w:spacing w:line="360" w:lineRule="auto"/>
        <w:rPr>
          <w:rFonts w:hint="default" w:ascii="宋体" w:hAnsi="宋体" w:eastAsia="宋体" w:cs="黑体"/>
          <w:b/>
          <w:color w:val="auto"/>
          <w:sz w:val="28"/>
          <w:szCs w:val="28"/>
          <w:lang w:val="en-US" w:eastAsia="zh-CN"/>
        </w:rPr>
      </w:pPr>
      <w:r>
        <w:rPr>
          <w:rFonts w:hint="eastAsia" w:ascii="宋体" w:hAnsi="宋体" w:cs="黑体"/>
          <w:b/>
          <w:color w:val="auto"/>
          <w:sz w:val="28"/>
          <w:szCs w:val="28"/>
        </w:rPr>
        <w:t>一、</w:t>
      </w:r>
      <w:r>
        <w:rPr>
          <w:rFonts w:hint="eastAsia" w:ascii="宋体" w:hAnsi="宋体" w:cs="黑体"/>
          <w:b/>
          <w:color w:val="auto"/>
          <w:sz w:val="28"/>
          <w:szCs w:val="28"/>
          <w:lang w:val="en-US" w:eastAsia="zh-CN"/>
        </w:rPr>
        <w:t>采购清单及技</w:t>
      </w:r>
      <w:r>
        <w:rPr>
          <w:rFonts w:hint="eastAsia" w:ascii="宋体" w:hAnsi="宋体" w:cs="黑体"/>
          <w:b/>
          <w:bCs w:val="0"/>
          <w:color w:val="auto"/>
          <w:sz w:val="28"/>
          <w:szCs w:val="28"/>
          <w:lang w:val="en-US" w:eastAsia="zh-CN"/>
        </w:rPr>
        <w:t>术参数要求（</w:t>
      </w:r>
      <w:r>
        <w:rPr>
          <w:rFonts w:hint="eastAsia"/>
          <w:b/>
          <w:bCs w:val="0"/>
          <w:sz w:val="28"/>
          <w:szCs w:val="28"/>
        </w:rPr>
        <w:t>★</w:t>
      </w:r>
      <w:r>
        <w:rPr>
          <w:rFonts w:hint="eastAsia"/>
          <w:b/>
          <w:bCs w:val="0"/>
          <w:sz w:val="28"/>
          <w:szCs w:val="28"/>
          <w:lang w:val="en-US" w:eastAsia="zh-CN"/>
        </w:rPr>
        <w:t>项为实质性要求</w:t>
      </w:r>
      <w:r>
        <w:rPr>
          <w:rFonts w:hint="eastAsia" w:ascii="宋体" w:hAnsi="宋体" w:cs="黑体"/>
          <w:b/>
          <w:bCs w:val="0"/>
          <w:color w:val="auto"/>
          <w:sz w:val="28"/>
          <w:szCs w:val="28"/>
          <w:lang w:val="en-US" w:eastAsia="zh-CN"/>
        </w:rPr>
        <w:t>）</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066"/>
        <w:gridCol w:w="1179"/>
        <w:gridCol w:w="5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675" w:type="dxa"/>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066" w:type="dxa"/>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产品名称</w:t>
            </w:r>
          </w:p>
        </w:tc>
        <w:tc>
          <w:tcPr>
            <w:tcW w:w="1179" w:type="dxa"/>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采购数量</w:t>
            </w:r>
          </w:p>
        </w:tc>
        <w:tc>
          <w:tcPr>
            <w:tcW w:w="5935" w:type="dxa"/>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技术参数要求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066" w:type="dxa"/>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洗扫车</w:t>
            </w:r>
          </w:p>
        </w:tc>
        <w:tc>
          <w:tcPr>
            <w:tcW w:w="1179" w:type="dxa"/>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3辆</w:t>
            </w:r>
          </w:p>
        </w:tc>
        <w:tc>
          <w:tcPr>
            <w:tcW w:w="5935" w:type="dxa"/>
            <w:noWrap w:val="0"/>
            <w:vAlign w:val="center"/>
          </w:tcPr>
          <w:p>
            <w:pPr>
              <w:pStyle w:val="2"/>
              <w:keepNext w:val="0"/>
              <w:keepLines w:val="0"/>
              <w:pageBreakBefore w:val="0"/>
              <w:widowControl w:val="0"/>
              <w:numPr>
                <w:ilvl w:val="0"/>
                <w:numId w:val="4"/>
              </w:numPr>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配置要求</w:t>
            </w:r>
          </w:p>
          <w:p>
            <w:pPr>
              <w:numPr>
                <w:ilvl w:val="0"/>
                <w:numId w:val="5"/>
              </w:numPr>
              <w:ind w:left="425" w:leftChars="0" w:hanging="425" w:firstLineChars="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排放标准：国六、柴油</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en-US" w:eastAsia="zh-CN"/>
              </w:rPr>
              <w:t>底盘要求：等于或优于</w:t>
            </w:r>
            <w:r>
              <w:rPr>
                <w:rFonts w:hint="eastAsia" w:ascii="宋体" w:hAnsi="宋体" w:eastAsia="宋体" w:cs="宋体"/>
                <w:sz w:val="21"/>
                <w:szCs w:val="21"/>
              </w:rPr>
              <w:t>QL1110ANMACY</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zh-CN"/>
              </w:rPr>
              <w:t>发动机最大净功率</w:t>
            </w:r>
            <w:r>
              <w:rPr>
                <w:rFonts w:hint="eastAsia" w:ascii="宋体" w:hAnsi="宋体" w:eastAsia="宋体" w:cs="宋体"/>
                <w:sz w:val="21"/>
                <w:szCs w:val="21"/>
                <w:lang w:val="en-US" w:eastAsia="zh-CN"/>
              </w:rPr>
              <w:t>：≥138kw</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en-US" w:eastAsia="zh-CN"/>
              </w:rPr>
              <w:t>长宽高：</w:t>
            </w:r>
            <w:r>
              <w:rPr>
                <w:rFonts w:hint="eastAsia" w:ascii="宋体" w:hAnsi="宋体" w:eastAsia="宋体" w:cs="宋体"/>
                <w:sz w:val="21"/>
                <w:szCs w:val="21"/>
                <w:lang w:val="zh-CN"/>
              </w:rPr>
              <w:t>≤74</w:t>
            </w:r>
            <w:r>
              <w:rPr>
                <w:rFonts w:hint="eastAsia" w:ascii="宋体" w:hAnsi="宋体" w:eastAsia="宋体" w:cs="宋体"/>
                <w:sz w:val="21"/>
                <w:szCs w:val="21"/>
                <w:lang w:val="en-US" w:eastAsia="zh-CN"/>
              </w:rPr>
              <w:t>70</w:t>
            </w:r>
            <w:r>
              <w:rPr>
                <w:rFonts w:hint="eastAsia" w:ascii="宋体" w:hAnsi="宋体" w:eastAsia="宋体" w:cs="宋体"/>
                <w:sz w:val="21"/>
                <w:szCs w:val="21"/>
                <w:lang w:val="zh-CN"/>
              </w:rPr>
              <w:t>×2200×2640（</w:t>
            </w:r>
            <w:r>
              <w:rPr>
                <w:rFonts w:hint="eastAsia" w:ascii="宋体" w:hAnsi="宋体" w:eastAsia="宋体" w:cs="宋体"/>
                <w:sz w:val="21"/>
                <w:szCs w:val="21"/>
                <w:lang w:val="en-US" w:eastAsia="zh-CN"/>
              </w:rPr>
              <w:t>mm</w:t>
            </w:r>
            <w:r>
              <w:rPr>
                <w:rFonts w:hint="eastAsia" w:ascii="宋体" w:hAnsi="宋体" w:eastAsia="宋体" w:cs="宋体"/>
                <w:sz w:val="21"/>
                <w:szCs w:val="21"/>
                <w:lang w:val="zh-CN"/>
              </w:rPr>
              <w:t>）</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总质量</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≥10500（kg）</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▲额定载质量</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≥2630（kg）</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▲整备质量</w:t>
            </w:r>
            <w:r>
              <w:rPr>
                <w:rFonts w:hint="eastAsia" w:ascii="宋体" w:hAnsi="宋体" w:eastAsia="宋体" w:cs="宋体"/>
                <w:sz w:val="21"/>
                <w:szCs w:val="21"/>
                <w:lang w:eastAsia="zh-CN"/>
              </w:rPr>
              <w:t>：</w:t>
            </w:r>
            <w:r>
              <w:rPr>
                <w:rFonts w:hint="eastAsia" w:ascii="宋体" w:hAnsi="宋体" w:eastAsia="宋体" w:cs="宋体"/>
                <w:sz w:val="21"/>
                <w:szCs w:val="21"/>
                <w:lang w:val="zh-CN"/>
              </w:rPr>
              <w:t>≤</w:t>
            </w:r>
            <w:r>
              <w:rPr>
                <w:rFonts w:hint="eastAsia" w:ascii="宋体" w:hAnsi="宋体" w:eastAsia="宋体" w:cs="宋体"/>
                <w:sz w:val="21"/>
                <w:szCs w:val="21"/>
                <w:lang w:val="en-US" w:eastAsia="zh-CN"/>
              </w:rPr>
              <w:t>7750（kg）</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en-US" w:eastAsia="zh-CN"/>
              </w:rPr>
              <w:t>接近角离去角：≥16/19°</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en-US" w:eastAsia="zh-CN"/>
              </w:rPr>
              <w:t>前悬/后悬：</w:t>
            </w:r>
            <w:r>
              <w:rPr>
                <w:rFonts w:hint="eastAsia" w:ascii="宋体" w:hAnsi="宋体" w:eastAsia="宋体" w:cs="宋体"/>
                <w:sz w:val="21"/>
                <w:szCs w:val="21"/>
                <w:lang w:val="zh-CN"/>
              </w:rPr>
              <w:t>≤</w:t>
            </w:r>
            <w:r>
              <w:rPr>
                <w:rFonts w:hint="eastAsia" w:ascii="宋体" w:hAnsi="宋体" w:eastAsia="宋体" w:cs="宋体"/>
                <w:sz w:val="21"/>
                <w:szCs w:val="21"/>
                <w:lang w:val="en-US" w:eastAsia="zh-CN"/>
              </w:rPr>
              <w:t>1130/1900（mm）</w:t>
            </w:r>
          </w:p>
          <w:p>
            <w:pPr>
              <w:numPr>
                <w:ilvl w:val="0"/>
                <w:numId w:val="5"/>
              </w:numPr>
              <w:ind w:left="425" w:leftChars="0" w:hanging="425" w:firstLineChars="0"/>
              <w:rPr>
                <w:rFonts w:hint="eastAsia" w:ascii="宋体" w:hAnsi="宋体" w:eastAsia="宋体" w:cs="宋体"/>
                <w:sz w:val="21"/>
                <w:szCs w:val="21"/>
                <w:lang w:val="en-US"/>
              </w:rPr>
            </w:pPr>
            <w:r>
              <w:rPr>
                <w:rFonts w:hint="eastAsia" w:ascii="宋体" w:hAnsi="宋体" w:eastAsia="宋体" w:cs="宋体"/>
                <w:sz w:val="21"/>
                <w:szCs w:val="21"/>
                <w:lang w:val="en-US" w:eastAsia="zh-CN"/>
              </w:rPr>
              <w:t>轴距：≥4400（mm）</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zh-CN"/>
              </w:rPr>
              <w:t>最高车速：</w:t>
            </w:r>
            <w:r>
              <w:rPr>
                <w:rFonts w:hint="eastAsia" w:ascii="宋体" w:hAnsi="宋体" w:eastAsia="宋体" w:cs="宋体"/>
                <w:sz w:val="21"/>
                <w:szCs w:val="21"/>
                <w:lang w:val="en-US" w:eastAsia="zh-CN"/>
              </w:rPr>
              <w:t>≥115km/h</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后部防护装置离地高度：≥400（mm）</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后防护装置的材料材质：等于或优于</w:t>
            </w:r>
            <w:r>
              <w:rPr>
                <w:rFonts w:hint="eastAsia" w:ascii="宋体" w:hAnsi="宋体" w:eastAsia="宋体" w:cs="宋体"/>
                <w:sz w:val="21"/>
                <w:szCs w:val="21"/>
              </w:rPr>
              <w:t>Q355B</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▲副发动机最大净功率</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w:t>
            </w:r>
            <w:r>
              <w:rPr>
                <w:rFonts w:hint="eastAsia" w:ascii="宋体" w:hAnsi="宋体" w:eastAsia="宋体" w:cs="宋体"/>
                <w:sz w:val="21"/>
                <w:szCs w:val="21"/>
              </w:rPr>
              <w:t>67 kW /3000 r/min</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zh-CN"/>
              </w:rPr>
              <w:t>最大爬坡角：</w:t>
            </w:r>
            <w:r>
              <w:rPr>
                <w:rFonts w:hint="eastAsia" w:ascii="宋体" w:hAnsi="宋体" w:eastAsia="宋体" w:cs="宋体"/>
                <w:sz w:val="21"/>
                <w:szCs w:val="21"/>
                <w:lang w:val="en-US" w:eastAsia="zh-CN"/>
              </w:rPr>
              <w:t>≥30</w:t>
            </w:r>
            <w:r>
              <w:rPr>
                <w:rFonts w:hint="eastAsia" w:ascii="宋体" w:hAnsi="宋体" w:eastAsia="宋体" w:cs="宋体"/>
                <w:sz w:val="21"/>
                <w:szCs w:val="21"/>
                <w:lang w:val="zh-CN"/>
              </w:rPr>
              <w:t>%</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最小离地间隙</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w:t>
            </w:r>
            <w:r>
              <w:rPr>
                <w:rFonts w:hint="eastAsia" w:ascii="宋体" w:hAnsi="宋体" w:eastAsia="宋体" w:cs="宋体"/>
                <w:sz w:val="21"/>
                <w:szCs w:val="21"/>
              </w:rPr>
              <w:t>130</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zh-CN"/>
              </w:rPr>
              <w:t>最大洗扫宽度：</w:t>
            </w:r>
            <w:r>
              <w:rPr>
                <w:rFonts w:hint="eastAsia" w:ascii="宋体" w:hAnsi="宋体" w:eastAsia="宋体" w:cs="宋体"/>
                <w:sz w:val="21"/>
                <w:szCs w:val="21"/>
                <w:lang w:val="en-US" w:eastAsia="zh-CN"/>
              </w:rPr>
              <w:t>≥</w:t>
            </w:r>
            <w:r>
              <w:rPr>
                <w:rFonts w:hint="eastAsia" w:ascii="宋体" w:hAnsi="宋体" w:eastAsia="宋体" w:cs="宋体"/>
                <w:sz w:val="21"/>
                <w:szCs w:val="21"/>
                <w:lang w:val="zh-CN"/>
              </w:rPr>
              <w:t>3</w:t>
            </w:r>
            <w:r>
              <w:rPr>
                <w:rFonts w:hint="eastAsia" w:ascii="宋体" w:hAnsi="宋体" w:eastAsia="宋体" w:cs="宋体"/>
                <w:sz w:val="21"/>
                <w:szCs w:val="21"/>
                <w:lang w:val="en-US" w:eastAsia="zh-CN"/>
              </w:rPr>
              <w:t>m</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zh-CN"/>
              </w:rPr>
              <w:t>高压水泵额定压力：</w:t>
            </w:r>
            <w:r>
              <w:rPr>
                <w:rFonts w:hint="eastAsia" w:ascii="宋体" w:hAnsi="宋体" w:eastAsia="宋体" w:cs="宋体"/>
                <w:sz w:val="21"/>
                <w:szCs w:val="21"/>
                <w:lang w:val="en-US" w:eastAsia="zh-CN"/>
              </w:rPr>
              <w:t>≥</w:t>
            </w:r>
            <w:r>
              <w:rPr>
                <w:rFonts w:hint="eastAsia" w:ascii="宋体" w:hAnsi="宋体" w:eastAsia="宋体" w:cs="宋体"/>
                <w:sz w:val="21"/>
                <w:szCs w:val="21"/>
                <w:lang w:val="zh-CN"/>
              </w:rPr>
              <w:t>10MPa</w:t>
            </w:r>
          </w:p>
          <w:p>
            <w:pPr>
              <w:numPr>
                <w:ilvl w:val="0"/>
                <w:numId w:val="5"/>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zh-CN"/>
              </w:rPr>
              <w:t>清水箱总容积：</w:t>
            </w:r>
            <w:r>
              <w:rPr>
                <w:rFonts w:hint="eastAsia" w:ascii="宋体" w:hAnsi="宋体" w:eastAsia="宋体" w:cs="宋体"/>
                <w:sz w:val="21"/>
                <w:szCs w:val="21"/>
                <w:lang w:val="en-US" w:eastAsia="zh-CN"/>
              </w:rPr>
              <w:t>≥</w:t>
            </w:r>
            <w:r>
              <w:rPr>
                <w:rFonts w:hint="eastAsia" w:ascii="宋体" w:hAnsi="宋体" w:eastAsia="宋体" w:cs="宋体"/>
                <w:sz w:val="21"/>
                <w:szCs w:val="21"/>
                <w:lang w:val="zh-CN"/>
              </w:rPr>
              <w:t>6</w:t>
            </w:r>
            <w:r>
              <w:rPr>
                <w:rFonts w:hint="eastAsia" w:ascii="宋体" w:hAnsi="宋体" w:eastAsia="宋体" w:cs="宋体"/>
                <w:sz w:val="21"/>
                <w:szCs w:val="21"/>
                <w:lang w:val="en-US" w:eastAsia="zh-CN"/>
              </w:rPr>
              <w:t>.</w:t>
            </w:r>
            <w:r>
              <w:rPr>
                <w:rFonts w:hint="eastAsia" w:ascii="宋体" w:hAnsi="宋体" w:eastAsia="宋体" w:cs="宋体"/>
                <w:sz w:val="21"/>
                <w:szCs w:val="21"/>
                <w:lang w:val="zh-CN"/>
              </w:rPr>
              <w:t>2</w:t>
            </w:r>
            <w:r>
              <w:rPr>
                <w:rFonts w:hint="eastAsia" w:ascii="宋体" w:hAnsi="宋体" w:eastAsia="宋体" w:cs="宋体"/>
                <w:sz w:val="21"/>
                <w:szCs w:val="21"/>
                <w:lang w:val="en-US" w:eastAsia="zh-CN"/>
              </w:rPr>
              <w:t>m³</w:t>
            </w:r>
          </w:p>
          <w:p>
            <w:pPr>
              <w:pStyle w:val="2"/>
              <w:keepNext w:val="0"/>
              <w:keepLines w:val="0"/>
              <w:pageBreakBefore w:val="0"/>
              <w:widowControl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zh-CN"/>
              </w:rPr>
              <w:t>垃圾箱总容积：</w:t>
            </w:r>
            <w:r>
              <w:rPr>
                <w:rFonts w:hint="eastAsia" w:ascii="宋体" w:hAnsi="宋体" w:eastAsia="宋体" w:cs="宋体"/>
                <w:sz w:val="21"/>
                <w:szCs w:val="21"/>
                <w:lang w:val="en-US" w:eastAsia="zh-CN"/>
              </w:rPr>
              <w:t>≥</w:t>
            </w:r>
            <w:r>
              <w:rPr>
                <w:rFonts w:hint="eastAsia" w:ascii="宋体" w:hAnsi="宋体" w:eastAsia="宋体" w:cs="宋体"/>
                <w:sz w:val="21"/>
                <w:szCs w:val="21"/>
                <w:lang w:val="zh-CN"/>
              </w:rPr>
              <w:t>3</w:t>
            </w:r>
            <w:r>
              <w:rPr>
                <w:rFonts w:hint="eastAsia" w:ascii="宋体" w:hAnsi="宋体" w:eastAsia="宋体" w:cs="宋体"/>
                <w:sz w:val="21"/>
                <w:szCs w:val="21"/>
                <w:lang w:val="en-US" w:eastAsia="zh-CN"/>
              </w:rPr>
              <w:t xml:space="preserve">.4m³ </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二、主要性能要求</w:t>
            </w:r>
          </w:p>
          <w:p>
            <w:pPr>
              <w:numPr>
                <w:ilvl w:val="0"/>
                <w:numId w:val="6"/>
              </w:numPr>
              <w:ind w:left="425" w:leftChars="0" w:hanging="425" w:firstLineChars="0"/>
              <w:rPr>
                <w:rFonts w:hint="eastAsia" w:ascii="宋体" w:hAnsi="宋体" w:eastAsia="宋体" w:cs="宋体"/>
                <w:sz w:val="21"/>
                <w:szCs w:val="21"/>
                <w:lang w:eastAsia="zh-CN"/>
              </w:rPr>
            </w:pPr>
            <w:r>
              <w:rPr>
                <w:rFonts w:hint="eastAsia" w:ascii="宋体" w:hAnsi="宋体" w:eastAsia="宋体" w:cs="宋体"/>
                <w:sz w:val="21"/>
                <w:szCs w:val="21"/>
              </w:rPr>
              <w:t>▲采用“中置两立扫＋中置宽吸嘴内置高压水喷杆＋中置高压侧喷杆”并将左右侧喷杆与吸嘴整合在一起</w:t>
            </w:r>
            <w:r>
              <w:rPr>
                <w:rFonts w:hint="eastAsia" w:ascii="宋体" w:hAnsi="宋体" w:eastAsia="宋体" w:cs="宋体"/>
                <w:sz w:val="21"/>
                <w:szCs w:val="21"/>
                <w:lang w:eastAsia="zh-CN"/>
              </w:rPr>
              <w:t>，</w:t>
            </w:r>
            <w:r>
              <w:rPr>
                <w:rFonts w:hint="eastAsia" w:ascii="宋体" w:hAnsi="宋体" w:eastAsia="宋体" w:cs="宋体"/>
                <w:sz w:val="21"/>
                <w:szCs w:val="21"/>
              </w:rPr>
              <w:t>刷洗—冲洗—吸收污水</w:t>
            </w:r>
            <w:r>
              <w:rPr>
                <w:rFonts w:hint="eastAsia" w:ascii="宋体" w:hAnsi="宋体" w:eastAsia="宋体" w:cs="宋体"/>
                <w:sz w:val="21"/>
                <w:szCs w:val="21"/>
                <w:lang w:val="en-US" w:eastAsia="zh-CN"/>
              </w:rPr>
              <w:t>整体化作业。</w:t>
            </w:r>
          </w:p>
          <w:p>
            <w:pPr>
              <w:numPr>
                <w:ilvl w:val="0"/>
                <w:numId w:val="6"/>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垃圾箱体采用单层不锈钢瓦棱结构设计</w:t>
            </w:r>
            <w:r>
              <w:rPr>
                <w:rFonts w:hint="eastAsia" w:ascii="宋体" w:hAnsi="宋体" w:eastAsia="宋体" w:cs="宋体"/>
                <w:sz w:val="21"/>
                <w:szCs w:val="21"/>
                <w:lang w:eastAsia="zh-CN"/>
              </w:rPr>
              <w:t>，</w:t>
            </w:r>
            <w:r>
              <w:rPr>
                <w:rFonts w:hint="eastAsia" w:ascii="宋体" w:hAnsi="宋体" w:eastAsia="宋体" w:cs="宋体"/>
                <w:sz w:val="21"/>
                <w:szCs w:val="21"/>
              </w:rPr>
              <w:t>无骨架</w:t>
            </w:r>
            <w:r>
              <w:rPr>
                <w:rFonts w:hint="eastAsia" w:ascii="宋体" w:hAnsi="宋体" w:eastAsia="宋体" w:cs="宋体"/>
                <w:sz w:val="21"/>
                <w:szCs w:val="21"/>
                <w:lang w:eastAsia="zh-CN"/>
              </w:rPr>
              <w:t>，圾箱可以向后倾翻卸料，</w:t>
            </w:r>
            <w:r>
              <w:rPr>
                <w:rFonts w:hint="eastAsia" w:ascii="宋体" w:hAnsi="宋体" w:eastAsia="宋体" w:cs="宋体"/>
                <w:sz w:val="21"/>
                <w:szCs w:val="21"/>
                <w:lang w:val="en-US" w:eastAsia="zh-CN"/>
              </w:rPr>
              <w:t>卸料角≥45°</w:t>
            </w:r>
            <w:r>
              <w:rPr>
                <w:rFonts w:hint="eastAsia" w:ascii="宋体" w:hAnsi="宋体" w:eastAsia="宋体" w:cs="宋体"/>
                <w:sz w:val="21"/>
                <w:szCs w:val="21"/>
                <w:lang w:eastAsia="zh-CN"/>
              </w:rPr>
              <w:t>，污水中的沉积泥沙和垃圾可以自动卸出。垃圾箱装有防溢满报警装置。</w:t>
            </w:r>
          </w:p>
          <w:p>
            <w:pPr>
              <w:numPr>
                <w:ilvl w:val="0"/>
                <w:numId w:val="6"/>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▲垃圾箱内设置了高压喷淋清洗装置，倾倒垃圾后可对污水箱进行自动清洗</w:t>
            </w:r>
            <w:r>
              <w:rPr>
                <w:rFonts w:hint="eastAsia" w:ascii="宋体" w:hAnsi="宋体" w:eastAsia="宋体" w:cs="宋体"/>
                <w:sz w:val="21"/>
                <w:szCs w:val="21"/>
                <w:lang w:eastAsia="zh-CN"/>
              </w:rPr>
              <w:t>。</w:t>
            </w:r>
          </w:p>
          <w:p>
            <w:pPr>
              <w:numPr>
                <w:ilvl w:val="0"/>
                <w:numId w:val="6"/>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▲左右立扫盘分别采用单根油缸控制升降与摆动</w:t>
            </w:r>
            <w:r>
              <w:rPr>
                <w:rFonts w:hint="eastAsia" w:ascii="宋体" w:hAnsi="宋体" w:eastAsia="宋体" w:cs="宋体"/>
                <w:sz w:val="21"/>
                <w:szCs w:val="21"/>
                <w:lang w:eastAsia="zh-CN"/>
              </w:rPr>
              <w:t>，</w:t>
            </w:r>
            <w:r>
              <w:rPr>
                <w:rFonts w:hint="eastAsia" w:ascii="宋体" w:hAnsi="宋体" w:eastAsia="宋体" w:cs="宋体"/>
                <w:sz w:val="21"/>
                <w:szCs w:val="21"/>
              </w:rPr>
              <w:t>具备可以清扫路面，洗刷路缘石立面功能。</w:t>
            </w:r>
          </w:p>
          <w:p>
            <w:pPr>
              <w:numPr>
                <w:ilvl w:val="0"/>
                <w:numId w:val="6"/>
              </w:numPr>
              <w:ind w:left="425" w:leftChars="0" w:hanging="425" w:firstLineChars="0"/>
              <w:rPr>
                <w:rFonts w:hint="eastAsia" w:ascii="宋体" w:hAnsi="宋体" w:eastAsia="宋体" w:cs="宋体"/>
                <w:sz w:val="21"/>
                <w:szCs w:val="21"/>
              </w:rPr>
            </w:pPr>
            <w:r>
              <w:rPr>
                <w:rFonts w:hint="eastAsia" w:ascii="宋体" w:hAnsi="宋体" w:eastAsia="宋体" w:cs="宋体"/>
                <w:sz w:val="21"/>
                <w:szCs w:val="21"/>
              </w:rPr>
              <w:t>左右高压侧喷杆与吸嘴整合在一起，采用“V”型布置方式，气缸控制收放动作。可调整“V”形 角度及高压水喷嘴角度，喷嘴离地间距恒定，能汇集污水，并具有防撞和自动复位功能；左右侧高压喷杆上设置高压万向喷头，可对道路隔离墙、隔离墩进行冲洗</w:t>
            </w:r>
            <w:r>
              <w:rPr>
                <w:rFonts w:hint="eastAsia" w:ascii="宋体" w:hAnsi="宋体" w:eastAsia="宋体" w:cs="宋体"/>
                <w:sz w:val="21"/>
                <w:szCs w:val="21"/>
                <w:lang w:eastAsia="zh-CN"/>
              </w:rPr>
              <w:t>。</w:t>
            </w:r>
          </w:p>
          <w:p>
            <w:pPr>
              <w:numPr>
                <w:ilvl w:val="0"/>
                <w:numId w:val="6"/>
              </w:numPr>
              <w:ind w:left="425" w:leftChars="0" w:hanging="425" w:firstLineChars="0"/>
              <w:rPr>
                <w:rFonts w:hint="eastAsia" w:ascii="宋体" w:hAnsi="宋体" w:eastAsia="宋体" w:cs="宋体"/>
                <w:sz w:val="21"/>
                <w:szCs w:val="21"/>
              </w:rPr>
            </w:pPr>
            <w:r>
              <w:rPr>
                <w:rFonts w:hint="eastAsia" w:ascii="宋体" w:hAnsi="宋体" w:eastAsia="宋体" w:cs="宋体"/>
                <w:sz w:val="21"/>
                <w:szCs w:val="21"/>
              </w:rPr>
              <w:t>配备语音报警系统</w:t>
            </w:r>
            <w:r>
              <w:rPr>
                <w:rFonts w:hint="eastAsia" w:ascii="宋体" w:hAnsi="宋体" w:eastAsia="宋体" w:cs="宋体"/>
                <w:sz w:val="21"/>
                <w:szCs w:val="21"/>
                <w:lang w:eastAsia="zh-CN"/>
              </w:rPr>
              <w:t>，</w:t>
            </w:r>
            <w:r>
              <w:rPr>
                <w:rFonts w:hint="eastAsia" w:ascii="宋体" w:hAnsi="宋体" w:eastAsia="宋体" w:cs="宋体"/>
                <w:sz w:val="21"/>
                <w:szCs w:val="21"/>
              </w:rPr>
              <w:t>能在作业和卸车时发出多种语音报警和提示信息。</w:t>
            </w:r>
          </w:p>
          <w:p>
            <w:pPr>
              <w:numPr>
                <w:ilvl w:val="0"/>
                <w:numId w:val="6"/>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配备垃圾箱安全撑杆及撑杆安全插销</w:t>
            </w:r>
            <w:r>
              <w:rPr>
                <w:rFonts w:hint="eastAsia" w:ascii="宋体" w:hAnsi="宋体" w:eastAsia="宋体" w:cs="宋体"/>
                <w:sz w:val="21"/>
                <w:szCs w:val="21"/>
                <w:lang w:eastAsia="zh-CN"/>
              </w:rPr>
              <w:t>，</w:t>
            </w:r>
            <w:r>
              <w:rPr>
                <w:rFonts w:hint="eastAsia" w:ascii="宋体" w:hAnsi="宋体" w:eastAsia="宋体" w:cs="宋体"/>
                <w:sz w:val="21"/>
                <w:szCs w:val="21"/>
              </w:rPr>
              <w:t>能在维护作业时提供安全防护。</w:t>
            </w:r>
          </w:p>
          <w:p>
            <w:pPr>
              <w:numPr>
                <w:ilvl w:val="0"/>
                <w:numId w:val="6"/>
              </w:numPr>
              <w:ind w:left="425" w:leftChars="0" w:hanging="425" w:firstLineChars="0"/>
              <w:rPr>
                <w:rFonts w:hint="eastAsia" w:ascii="宋体" w:hAnsi="宋体" w:eastAsia="宋体" w:cs="宋体"/>
                <w:sz w:val="21"/>
                <w:szCs w:val="21"/>
                <w:lang w:eastAsia="zh-CN"/>
              </w:rPr>
            </w:pPr>
            <w:r>
              <w:rPr>
                <w:rFonts w:hint="eastAsia" w:ascii="宋体" w:hAnsi="宋体" w:eastAsia="宋体" w:cs="宋体"/>
                <w:sz w:val="21"/>
                <w:szCs w:val="21"/>
              </w:rPr>
              <w:t>具有漏油报警的液压系统。配有防漏净、油位油温自动报警装</w:t>
            </w:r>
            <w:r>
              <w:rPr>
                <w:rFonts w:hint="eastAsia" w:ascii="宋体" w:hAnsi="宋体" w:eastAsia="宋体" w:cs="宋体"/>
                <w:sz w:val="21"/>
                <w:szCs w:val="21"/>
                <w:lang w:val="en-US" w:eastAsia="zh-CN"/>
              </w:rPr>
              <w:t>置。</w:t>
            </w:r>
          </w:p>
          <w:p>
            <w:pPr>
              <w:numPr>
                <w:ilvl w:val="0"/>
                <w:numId w:val="6"/>
              </w:numPr>
              <w:ind w:left="425" w:leftChars="0" w:hanging="425" w:firstLineChars="0"/>
              <w:rPr>
                <w:rFonts w:hint="eastAsia" w:ascii="宋体" w:hAnsi="宋体" w:eastAsia="宋体" w:cs="宋体"/>
                <w:sz w:val="21"/>
                <w:szCs w:val="21"/>
              </w:rPr>
            </w:pPr>
            <w:r>
              <w:rPr>
                <w:rFonts w:hint="eastAsia" w:ascii="宋体" w:hAnsi="宋体" w:eastAsia="宋体" w:cs="宋体"/>
                <w:sz w:val="21"/>
                <w:szCs w:val="21"/>
              </w:rPr>
              <w:t>作业模式有全洗扫作业、左洗扫作业、右洗扫作业、全扫路作业、左扫路作业和右扫路作业等</w:t>
            </w:r>
            <w:r>
              <w:rPr>
                <w:rFonts w:hint="eastAsia" w:ascii="宋体" w:hAnsi="宋体" w:eastAsia="宋体" w:cs="宋体"/>
                <w:sz w:val="21"/>
                <w:szCs w:val="21"/>
                <w:lang w:eastAsia="zh-CN"/>
              </w:rPr>
              <w:t>，</w:t>
            </w:r>
            <w:r>
              <w:rPr>
                <w:rFonts w:hint="eastAsia" w:ascii="宋体" w:hAnsi="宋体" w:eastAsia="宋体" w:cs="宋体"/>
                <w:sz w:val="21"/>
                <w:szCs w:val="21"/>
              </w:rPr>
              <w:t>选定作业模式后各作业机构的启动与关停由程序自动控制，智能化一键式操作</w:t>
            </w:r>
            <w:r>
              <w:rPr>
                <w:rFonts w:hint="eastAsia" w:ascii="宋体" w:hAnsi="宋体" w:eastAsia="宋体" w:cs="宋体"/>
                <w:sz w:val="21"/>
                <w:szCs w:val="21"/>
                <w:lang w:eastAsia="zh-CN"/>
              </w:rPr>
              <w:t>。</w:t>
            </w:r>
          </w:p>
          <w:p>
            <w:pPr>
              <w:numPr>
                <w:ilvl w:val="0"/>
                <w:numId w:val="6"/>
              </w:numPr>
              <w:ind w:left="425" w:leftChars="0" w:hanging="425" w:firstLineChars="0"/>
              <w:rPr>
                <w:rFonts w:hint="eastAsia" w:ascii="宋体" w:hAnsi="宋体" w:eastAsia="宋体" w:cs="宋体"/>
                <w:sz w:val="21"/>
                <w:szCs w:val="21"/>
                <w:lang w:eastAsia="zh-CN"/>
              </w:rPr>
            </w:pPr>
            <w:r>
              <w:rPr>
                <w:rFonts w:hint="eastAsia" w:ascii="宋体" w:hAnsi="宋体" w:eastAsia="宋体" w:cs="宋体"/>
                <w:sz w:val="21"/>
                <w:szCs w:val="21"/>
              </w:rPr>
              <w:t>▲车辆采用“显示屏+控制器+CAN总线操作面板”的控制模式。作业起动和作业停止时，吸嘴升降、扫盘收放、左右喷杆收放等作业装置可由一键控制。车辆作业与维护分区</w:t>
            </w:r>
            <w:r>
              <w:rPr>
                <w:rFonts w:hint="eastAsia" w:ascii="宋体" w:hAnsi="宋体" w:eastAsia="宋体" w:cs="宋体"/>
                <w:sz w:val="21"/>
                <w:szCs w:val="21"/>
                <w:lang w:eastAsia="zh-CN"/>
              </w:rPr>
              <w:t>，</w:t>
            </w:r>
            <w:r>
              <w:rPr>
                <w:rFonts w:hint="eastAsia" w:ascii="宋体" w:hAnsi="宋体" w:eastAsia="宋体" w:cs="宋体"/>
                <w:sz w:val="21"/>
                <w:szCs w:val="21"/>
              </w:rPr>
              <w:t>正常作业时驾驶室内有显示屏触摸操作和按钮操作，维修维护保养时可在驾驶室外车辆后部右侧的操作界面操作。</w:t>
            </w:r>
          </w:p>
          <w:p>
            <w:pPr>
              <w:numPr>
                <w:ilvl w:val="0"/>
                <w:numId w:val="6"/>
              </w:numPr>
              <w:ind w:left="425" w:leftChars="0" w:hanging="425" w:firstLineChars="0"/>
              <w:rPr>
                <w:rFonts w:hint="eastAsia" w:ascii="宋体" w:hAnsi="宋体" w:eastAsia="宋体" w:cs="宋体"/>
                <w:sz w:val="21"/>
                <w:szCs w:val="21"/>
              </w:rPr>
            </w:pPr>
            <w:r>
              <w:rPr>
                <w:rFonts w:hint="eastAsia" w:ascii="宋体" w:hAnsi="宋体" w:eastAsia="宋体" w:cs="宋体"/>
                <w:sz w:val="21"/>
                <w:szCs w:val="21"/>
              </w:rPr>
              <w:t>▲采用中置双吸口整体式超宽吸嘴，吸污宽度</w:t>
            </w:r>
            <w:r>
              <w:rPr>
                <w:rFonts w:hint="eastAsia" w:ascii="宋体" w:hAnsi="宋体" w:eastAsia="宋体" w:cs="宋体"/>
                <w:sz w:val="21"/>
                <w:szCs w:val="21"/>
                <w:lang w:val="en-US" w:eastAsia="zh-CN"/>
              </w:rPr>
              <w:t>≥1600mm</w:t>
            </w:r>
            <w:r>
              <w:rPr>
                <w:rFonts w:hint="eastAsia" w:ascii="宋体" w:hAnsi="宋体" w:eastAsia="宋体" w:cs="宋体"/>
                <w:sz w:val="21"/>
                <w:szCs w:val="21"/>
                <w:lang w:eastAsia="zh-CN"/>
              </w:rPr>
              <w:t>；</w:t>
            </w:r>
            <w:r>
              <w:rPr>
                <w:rFonts w:hint="eastAsia" w:ascii="宋体" w:hAnsi="宋体" w:eastAsia="宋体" w:cs="宋体"/>
                <w:sz w:val="21"/>
                <w:szCs w:val="21"/>
              </w:rPr>
              <w:t>其内置长排喷杆设置有快拆快换机构</w:t>
            </w:r>
            <w:r>
              <w:rPr>
                <w:rFonts w:hint="eastAsia" w:ascii="宋体" w:hAnsi="宋体" w:eastAsia="宋体" w:cs="宋体"/>
                <w:sz w:val="21"/>
                <w:szCs w:val="21"/>
                <w:lang w:eastAsia="zh-CN"/>
              </w:rPr>
              <w:t>，</w:t>
            </w:r>
            <w:r>
              <w:rPr>
                <w:rFonts w:hint="eastAsia" w:ascii="宋体" w:hAnsi="宋体" w:eastAsia="宋体" w:cs="宋体"/>
                <w:sz w:val="21"/>
                <w:szCs w:val="21"/>
              </w:rPr>
              <w:t>方便维修，其水流冲击力能直接将污水送至吸口，长排喷杆设有可翻转式密封罩，防止水污飞溅。可根据路面污染情况，调整长排喷嘴对路面的冲洗角度</w:t>
            </w:r>
            <w:r>
              <w:rPr>
                <w:rFonts w:hint="eastAsia" w:ascii="宋体" w:hAnsi="宋体" w:eastAsia="宋体" w:cs="宋体"/>
                <w:sz w:val="21"/>
                <w:szCs w:val="21"/>
                <w:lang w:eastAsia="zh-CN"/>
              </w:rPr>
              <w:t>。</w:t>
            </w:r>
          </w:p>
          <w:p>
            <w:pPr>
              <w:numPr>
                <w:ilvl w:val="0"/>
                <w:numId w:val="6"/>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▲采用原装进口洗扫车专用高压水泵，额定压力</w:t>
            </w:r>
            <w:r>
              <w:rPr>
                <w:rFonts w:hint="eastAsia" w:ascii="宋体" w:hAnsi="宋体" w:eastAsia="宋体" w:cs="宋体"/>
                <w:sz w:val="21"/>
                <w:szCs w:val="21"/>
                <w:lang w:val="en-US" w:eastAsia="zh-CN"/>
              </w:rPr>
              <w:t>≥</w:t>
            </w:r>
            <w:r>
              <w:rPr>
                <w:rFonts w:hint="eastAsia" w:ascii="宋体" w:hAnsi="宋体" w:eastAsia="宋体" w:cs="宋体"/>
                <w:sz w:val="21"/>
                <w:szCs w:val="21"/>
              </w:rPr>
              <w:t>10 MPa</w:t>
            </w:r>
            <w:r>
              <w:rPr>
                <w:rFonts w:hint="eastAsia" w:ascii="宋体" w:hAnsi="宋体" w:cs="宋体"/>
                <w:sz w:val="21"/>
                <w:szCs w:val="21"/>
                <w:lang w:eastAsia="zh-CN"/>
              </w:rPr>
              <w:t>。</w:t>
            </w:r>
          </w:p>
          <w:p>
            <w:pPr>
              <w:numPr>
                <w:ilvl w:val="0"/>
                <w:numId w:val="6"/>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rPr>
              <w:t>▲在洗扫车右侧后部装有机械式自动卷绕冲洗卷盘，配20m高压软管，可用于清洗洗扫车本身和其它设备和设施, 自动卷绕</w:t>
            </w:r>
            <w:r>
              <w:rPr>
                <w:rFonts w:hint="eastAsia" w:ascii="宋体" w:hAnsi="宋体" w:eastAsia="宋体" w:cs="宋体"/>
                <w:sz w:val="21"/>
                <w:szCs w:val="21"/>
                <w:lang w:eastAsia="zh-CN"/>
              </w:rPr>
              <w:t>。</w:t>
            </w:r>
          </w:p>
          <w:p>
            <w:pPr>
              <w:numPr>
                <w:ilvl w:val="0"/>
                <w:numId w:val="6"/>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设有清水箱缺水、垃圾箱满水等自动保护装置，保护洗扫车在遇缺水满水等特定工况或误操作时不受损害。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2</w:t>
            </w:r>
          </w:p>
        </w:tc>
        <w:tc>
          <w:tcPr>
            <w:tcW w:w="1066" w:type="dxa"/>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洒水车</w:t>
            </w:r>
          </w:p>
        </w:tc>
        <w:tc>
          <w:tcPr>
            <w:tcW w:w="1179" w:type="dxa"/>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cs="宋体"/>
                <w:color w:val="auto"/>
                <w:sz w:val="21"/>
                <w:szCs w:val="21"/>
                <w:vertAlign w:val="baseline"/>
                <w:lang w:val="en-US" w:eastAsia="zh-CN"/>
              </w:rPr>
              <w:t>1辆</w:t>
            </w:r>
          </w:p>
        </w:tc>
        <w:tc>
          <w:tcPr>
            <w:tcW w:w="5935" w:type="dxa"/>
            <w:noWrap w:val="0"/>
            <w:vAlign w:val="center"/>
          </w:tcPr>
          <w:p>
            <w:pPr>
              <w:pStyle w:val="2"/>
              <w:keepNext w:val="0"/>
              <w:keepLines w:val="0"/>
              <w:pageBreakBefore w:val="0"/>
              <w:widowControl w:val="0"/>
              <w:numPr>
                <w:ilvl w:val="0"/>
                <w:numId w:val="7"/>
              </w:numPr>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配置要求</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★燃油、排放标准：柴油、国六排放</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▲底盘要求：等于或优于EQ1185LJ9CDE</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发动机额定功率：≥147kw/2300r/min</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发动机最大净功率：≥143kw/2300r/min</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长宽高：≤8000×2500×2950（mm）</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总质量：≥18000kg</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▲额定载质量：≥10400kg</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▲整备质量：≤7500kg</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▲前悬/后悬：≤1270/2200（mm）</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▲接近角/离去角：≥11/11（°）</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最高车速：≥105(km/h)</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轴距：≥4500（mm）</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▲水罐公告容积：≥10.6（m³）</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注：以上参数以国家工信部参数为准</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清洗水最大压力：≥1.1MPa</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鸭嘴前冲洗宽度：≥8m</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洒水宽度：≥14m</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中圆锥喷嘴冲洗宽度：≥24m</w:t>
            </w:r>
          </w:p>
          <w:p>
            <w:pPr>
              <w:numPr>
                <w:ilvl w:val="0"/>
                <w:numId w:val="8"/>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水枪射程：≥38m </w:t>
            </w:r>
          </w:p>
          <w:p>
            <w:pPr>
              <w:numPr>
                <w:ilvl w:val="0"/>
                <w:numId w:val="7"/>
              </w:numPr>
              <w:ind w:left="0" w:leftChars="0"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主要性能要求</w:t>
            </w:r>
          </w:p>
          <w:p>
            <w:pPr>
              <w:numPr>
                <w:ilvl w:val="0"/>
                <w:numId w:val="9"/>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适用于城市道路、广场清洗、洒水作业。</w:t>
            </w:r>
          </w:p>
          <w:p>
            <w:pPr>
              <w:numPr>
                <w:ilvl w:val="0"/>
                <w:numId w:val="9"/>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▲车辆采用“电气控制+手动操作”相结合的控制模式。前鸭嘴装置，中对冲装置，后洒水装置均由电、气控制开和关，由驾驶室里的操作盒实现</w:t>
            </w:r>
            <w:r>
              <w:rPr>
                <w:rFonts w:hint="eastAsia" w:ascii="宋体" w:hAnsi="宋体" w:cs="宋体"/>
                <w:sz w:val="21"/>
                <w:szCs w:val="21"/>
                <w:lang w:val="en-US" w:eastAsia="zh-CN"/>
              </w:rPr>
              <w:t>。</w:t>
            </w:r>
          </w:p>
          <w:p>
            <w:pPr>
              <w:numPr>
                <w:ilvl w:val="0"/>
                <w:numId w:val="9"/>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▲中对冲冲洗装置有圆锥喷嘴左右各一个，双向冲洗，均由气动切断阀控制，通过调整旋转套，可任意调节喷嘴角度，中对冲可一次冲洗6条车道</w:t>
            </w:r>
            <w:r>
              <w:rPr>
                <w:rFonts w:hint="eastAsia" w:ascii="宋体" w:hAnsi="宋体" w:cs="宋体"/>
                <w:sz w:val="21"/>
                <w:szCs w:val="21"/>
                <w:lang w:val="en-US" w:eastAsia="zh-CN"/>
              </w:rPr>
              <w:t>。</w:t>
            </w:r>
          </w:p>
          <w:p>
            <w:pPr>
              <w:numPr>
                <w:ilvl w:val="0"/>
                <w:numId w:val="9"/>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鸭嘴冲洗装置由气动切断阀控制，适用于冲洗路面及路沿，通过调整两个连接法兰角度，可以任意调节鸭嘴型喷头的冲洗方位</w:t>
            </w:r>
            <w:r>
              <w:rPr>
                <w:rFonts w:hint="eastAsia" w:ascii="宋体" w:hAnsi="宋体" w:cs="宋体"/>
                <w:sz w:val="21"/>
                <w:szCs w:val="21"/>
                <w:lang w:val="en-US" w:eastAsia="zh-CN"/>
              </w:rPr>
              <w:t>。</w:t>
            </w:r>
          </w:p>
          <w:p>
            <w:pPr>
              <w:numPr>
                <w:ilvl w:val="0"/>
                <w:numId w:val="9"/>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后洒水装置采用气动切断阀分别控制后洒水嘴的开启与关闭</w:t>
            </w:r>
            <w:r>
              <w:rPr>
                <w:rFonts w:hint="eastAsia" w:ascii="宋体" w:hAnsi="宋体" w:cs="宋体"/>
                <w:sz w:val="21"/>
                <w:szCs w:val="21"/>
                <w:lang w:val="en-US" w:eastAsia="zh-CN"/>
              </w:rPr>
              <w:t>。</w:t>
            </w:r>
          </w:p>
          <w:p>
            <w:pPr>
              <w:numPr>
                <w:ilvl w:val="0"/>
                <w:numId w:val="9"/>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配备智能音乐播放器。能在作业时播放音乐以警示，提示周围行人注意避让。配备箭头灯。能在作业起到警示作用，提示周围行人注意避让</w:t>
            </w:r>
            <w:r>
              <w:rPr>
                <w:rFonts w:hint="eastAsia" w:ascii="宋体" w:hAnsi="宋体" w:cs="宋体"/>
                <w:sz w:val="21"/>
                <w:szCs w:val="21"/>
                <w:lang w:val="en-US" w:eastAsia="zh-CN"/>
              </w:rPr>
              <w:t>。</w:t>
            </w:r>
          </w:p>
          <w:p>
            <w:pPr>
              <w:numPr>
                <w:ilvl w:val="0"/>
                <w:numId w:val="9"/>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配置多个预留接口。可以根据客户个性化需求扩展多种功能配置</w:t>
            </w:r>
            <w:r>
              <w:rPr>
                <w:rFonts w:hint="eastAsia" w:ascii="宋体" w:hAnsi="宋体" w:cs="宋体"/>
                <w:sz w:val="21"/>
                <w:szCs w:val="21"/>
                <w:lang w:val="en-US" w:eastAsia="zh-CN"/>
              </w:rPr>
              <w:t>。</w:t>
            </w:r>
          </w:p>
          <w:p>
            <w:pPr>
              <w:numPr>
                <w:ilvl w:val="0"/>
                <w:numId w:val="9"/>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▲水罐采用先进的一次性包罐成型技术，水罐内部采用环氧煤沥青漆专业防腐涂层。</w:t>
            </w:r>
          </w:p>
          <w:p>
            <w:pPr>
              <w:numPr>
                <w:ilvl w:val="0"/>
                <w:numId w:val="9"/>
              </w:numPr>
              <w:ind w:left="425" w:leftChars="0" w:hanging="425"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采用著名自吸式双级离心泵，额定转速≥1480rpm，额定工作压力≥1.1MPa，额定流量≥50 m³/h。</w:t>
            </w:r>
          </w:p>
        </w:tc>
      </w:tr>
    </w:tbl>
    <w:p>
      <w:pPr>
        <w:pStyle w:val="2"/>
        <w:numPr>
          <w:ilvl w:val="0"/>
          <w:numId w:val="0"/>
        </w:numPr>
        <w:spacing w:line="360" w:lineRule="auto"/>
        <w:rPr>
          <w:rFonts w:hint="eastAsia" w:ascii="宋体" w:hAnsi="宋体"/>
          <w:b/>
          <w:color w:val="auto"/>
          <w:sz w:val="28"/>
          <w:szCs w:val="28"/>
        </w:rPr>
      </w:pPr>
      <w:r>
        <w:rPr>
          <w:rFonts w:hint="eastAsia" w:ascii="宋体" w:hAnsi="宋体"/>
          <w:b/>
          <w:color w:val="auto"/>
          <w:sz w:val="28"/>
          <w:szCs w:val="28"/>
          <w:lang w:val="en-US" w:eastAsia="zh-CN"/>
        </w:rPr>
        <w:t>二、</w:t>
      </w:r>
      <w:r>
        <w:rPr>
          <w:rFonts w:hint="eastAsia" w:ascii="宋体" w:hAnsi="宋体"/>
          <w:b/>
          <w:color w:val="auto"/>
          <w:sz w:val="28"/>
          <w:szCs w:val="28"/>
        </w:rPr>
        <w:t>商务及其他要求</w:t>
      </w:r>
      <w:bookmarkStart w:id="187" w:name="_Toc2680"/>
      <w:bookmarkStart w:id="188" w:name="_Toc6125"/>
      <w:bookmarkStart w:id="189" w:name="_Toc28605"/>
      <w:bookmarkStart w:id="190" w:name="_Toc6984"/>
      <w:bookmarkStart w:id="191" w:name="_Toc24648"/>
    </w:p>
    <w:p>
      <w:pPr>
        <w:spacing w:line="360" w:lineRule="auto"/>
        <w:ind w:left="0" w:leftChars="0" w:firstLine="638" w:firstLineChars="266"/>
        <w:rPr>
          <w:rFonts w:hint="eastAsia" w:ascii="宋体" w:hAnsi="宋体" w:eastAsia="宋体" w:cs="宋体"/>
          <w:color w:val="auto"/>
          <w:sz w:val="24"/>
          <w:szCs w:val="24"/>
          <w:lang w:eastAsia="zh-CN"/>
        </w:rPr>
      </w:pPr>
      <w:r>
        <w:rPr>
          <w:rFonts w:hint="eastAsia" w:ascii="宋体" w:hAnsi="宋体" w:cs="宋体"/>
          <w:color w:val="auto"/>
          <w:sz w:val="24"/>
          <w:szCs w:val="24"/>
        </w:rPr>
        <w:t>1、交货时间：</w:t>
      </w:r>
      <w:r>
        <w:rPr>
          <w:rFonts w:hint="eastAsia" w:ascii="宋体" w:hAnsi="宋体" w:cs="宋体"/>
          <w:color w:val="auto"/>
          <w:sz w:val="24"/>
          <w:szCs w:val="24"/>
          <w:lang w:val="en-US" w:eastAsia="zh-CN"/>
        </w:rPr>
        <w:t>合同签订后20日内完成交货。</w:t>
      </w:r>
    </w:p>
    <w:p>
      <w:pPr>
        <w:spacing w:line="360" w:lineRule="auto"/>
        <w:ind w:left="0" w:leftChars="0" w:firstLine="638" w:firstLineChars="266"/>
        <w:rPr>
          <w:rFonts w:hint="eastAsia" w:ascii="宋体" w:hAnsi="宋体" w:eastAsia="宋体" w:cs="宋体"/>
          <w:color w:val="auto"/>
          <w:sz w:val="24"/>
          <w:szCs w:val="24"/>
          <w:lang w:eastAsia="zh-CN"/>
        </w:rPr>
      </w:pPr>
      <w:r>
        <w:rPr>
          <w:rFonts w:hint="eastAsia" w:ascii="宋体" w:hAnsi="宋体" w:cs="宋体"/>
          <w:color w:val="auto"/>
          <w:sz w:val="24"/>
          <w:szCs w:val="24"/>
        </w:rPr>
        <w:t>2、付款方式：</w:t>
      </w:r>
      <w:r>
        <w:rPr>
          <w:rFonts w:hint="eastAsia" w:ascii="宋体" w:hAnsi="宋体" w:cs="宋体"/>
          <w:color w:val="auto"/>
          <w:sz w:val="24"/>
          <w:szCs w:val="24"/>
          <w:lang w:val="en-US" w:eastAsia="zh-CN"/>
        </w:rPr>
        <w:t>以采购合同约定为准。</w:t>
      </w:r>
    </w:p>
    <w:p>
      <w:pPr>
        <w:spacing w:line="360" w:lineRule="auto"/>
        <w:ind w:left="0" w:leftChars="0" w:firstLine="638" w:firstLineChars="266"/>
        <w:rPr>
          <w:rFonts w:hint="eastAsia" w:ascii="宋体" w:hAnsi="宋体" w:eastAsia="宋体" w:cs="宋体"/>
          <w:color w:val="auto"/>
          <w:sz w:val="24"/>
          <w:szCs w:val="24"/>
          <w:lang w:eastAsia="zh-CN"/>
        </w:rPr>
      </w:pPr>
      <w:r>
        <w:rPr>
          <w:rFonts w:hint="eastAsia" w:ascii="宋体" w:hAnsi="宋体" w:cs="宋体"/>
          <w:color w:val="auto"/>
          <w:sz w:val="24"/>
          <w:szCs w:val="24"/>
        </w:rPr>
        <w:t>3、质保期：整车质保壹年</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成本设备质保叁年</w:t>
      </w:r>
      <w:r>
        <w:rPr>
          <w:rFonts w:hint="eastAsia" w:ascii="宋体" w:hAnsi="宋体" w:cs="宋体"/>
          <w:color w:val="auto"/>
          <w:sz w:val="24"/>
          <w:szCs w:val="24"/>
          <w:lang w:eastAsia="zh-CN"/>
        </w:rPr>
        <w:t>。</w:t>
      </w:r>
    </w:p>
    <w:p>
      <w:pPr>
        <w:spacing w:line="360" w:lineRule="auto"/>
        <w:ind w:left="0" w:leftChars="0" w:firstLine="638" w:firstLineChars="266"/>
        <w:rPr>
          <w:rFonts w:hint="eastAsia" w:ascii="宋体" w:hAnsi="宋体" w:cs="宋体"/>
          <w:color w:val="auto"/>
          <w:sz w:val="24"/>
          <w:szCs w:val="24"/>
          <w:lang w:eastAsia="zh-CN"/>
        </w:rPr>
      </w:pPr>
      <w:r>
        <w:rPr>
          <w:rFonts w:hint="eastAsia" w:ascii="宋体" w:hAnsi="宋体" w:cs="宋体"/>
          <w:color w:val="auto"/>
          <w:sz w:val="24"/>
          <w:szCs w:val="24"/>
        </w:rPr>
        <w:t>4、成交单位承担本次采购车辆的</w:t>
      </w:r>
      <w:r>
        <w:rPr>
          <w:rFonts w:hint="eastAsia" w:ascii="宋体" w:hAnsi="宋体" w:cs="宋体"/>
          <w:color w:val="auto"/>
          <w:sz w:val="24"/>
          <w:szCs w:val="24"/>
          <w:lang w:val="en-US" w:eastAsia="zh-CN"/>
        </w:rPr>
        <w:t>所有</w:t>
      </w:r>
      <w:r>
        <w:rPr>
          <w:rFonts w:hint="eastAsia" w:ascii="宋体" w:hAnsi="宋体" w:cs="宋体"/>
          <w:color w:val="auto"/>
          <w:sz w:val="24"/>
          <w:szCs w:val="24"/>
        </w:rPr>
        <w:t>费用</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包含但不限于保险</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含车辆交强险和商业险费，第三者责任险保额不低于200万元</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上牌上户、购置税等</w:t>
      </w:r>
      <w:r>
        <w:rPr>
          <w:rFonts w:hint="eastAsia" w:ascii="宋体" w:hAnsi="宋体" w:cs="宋体"/>
          <w:color w:val="auto"/>
          <w:sz w:val="24"/>
          <w:szCs w:val="24"/>
        </w:rPr>
        <w:t>，采购单位负责提供</w:t>
      </w:r>
      <w:r>
        <w:rPr>
          <w:rFonts w:hint="eastAsia" w:ascii="宋体" w:hAnsi="宋体" w:cs="宋体"/>
          <w:color w:val="auto"/>
          <w:sz w:val="24"/>
          <w:szCs w:val="24"/>
          <w:lang w:val="en-US" w:eastAsia="zh-CN"/>
        </w:rPr>
        <w:t>相应</w:t>
      </w:r>
      <w:r>
        <w:rPr>
          <w:rFonts w:hint="eastAsia" w:ascii="宋体" w:hAnsi="宋体" w:cs="宋体"/>
          <w:color w:val="auto"/>
          <w:sz w:val="24"/>
          <w:szCs w:val="24"/>
        </w:rPr>
        <w:t>所需的</w:t>
      </w:r>
      <w:r>
        <w:rPr>
          <w:rFonts w:hint="eastAsia" w:ascii="宋体" w:hAnsi="宋体" w:cs="宋体"/>
          <w:color w:val="auto"/>
          <w:sz w:val="24"/>
          <w:szCs w:val="24"/>
          <w:lang w:val="en-US" w:eastAsia="zh-CN"/>
        </w:rPr>
        <w:t>本</w:t>
      </w:r>
      <w:r>
        <w:rPr>
          <w:rFonts w:hint="eastAsia" w:ascii="宋体" w:hAnsi="宋体" w:cs="宋体"/>
          <w:color w:val="auto"/>
          <w:sz w:val="24"/>
          <w:szCs w:val="24"/>
        </w:rPr>
        <w:t>单位资料</w:t>
      </w:r>
      <w:r>
        <w:rPr>
          <w:rFonts w:hint="eastAsia" w:ascii="宋体" w:hAnsi="宋体" w:cs="宋体"/>
          <w:color w:val="auto"/>
          <w:sz w:val="24"/>
          <w:szCs w:val="24"/>
          <w:lang w:eastAsia="zh-CN"/>
        </w:rPr>
        <w:t>。</w:t>
      </w:r>
    </w:p>
    <w:p>
      <w:pPr>
        <w:spacing w:line="360" w:lineRule="auto"/>
        <w:ind w:left="0" w:leftChars="0" w:firstLine="638" w:firstLineChars="266"/>
        <w:rPr>
          <w:rFonts w:hint="default" w:eastAsia="宋体"/>
          <w:lang w:val="en-US" w:eastAsia="zh-CN"/>
        </w:rPr>
      </w:pPr>
      <w:r>
        <w:rPr>
          <w:rFonts w:hint="eastAsia" w:ascii="宋体" w:hAnsi="宋体" w:cs="宋体"/>
          <w:color w:val="auto"/>
          <w:sz w:val="24"/>
          <w:szCs w:val="24"/>
          <w:lang w:val="en-US" w:eastAsia="zh-CN"/>
        </w:rPr>
        <w:t>5、验收方法、标准：见第九章合同要求。</w:t>
      </w:r>
    </w:p>
    <w:p>
      <w:pPr>
        <w:pStyle w:val="2"/>
        <w:ind w:left="0" w:leftChars="0" w:firstLine="638" w:firstLineChars="266"/>
        <w:rPr>
          <w:rFonts w:hint="default" w:eastAsia="宋体"/>
          <w:color w:val="auto"/>
          <w:lang w:val="en-US" w:eastAsia="zh-CN"/>
        </w:rPr>
      </w:pPr>
      <w:r>
        <w:rPr>
          <w:rFonts w:hint="eastAsia" w:ascii="宋体" w:hAnsi="宋体" w:cs="宋体"/>
          <w:color w:val="auto"/>
          <w:sz w:val="24"/>
          <w:szCs w:val="24"/>
          <w:lang w:val="en-US" w:eastAsia="zh-CN"/>
        </w:rPr>
        <w:t>6、未尽事宜，合同双方约定为准。</w:t>
      </w:r>
    </w:p>
    <w:p>
      <w:pPr>
        <w:pStyle w:val="2"/>
        <w:rPr>
          <w:rFonts w:hint="eastAsia" w:ascii="宋体" w:hAnsi="宋体" w:cs="宋体"/>
          <w:color w:val="auto"/>
          <w:sz w:val="24"/>
          <w:szCs w:val="24"/>
        </w:rPr>
      </w:pPr>
    </w:p>
    <w:p>
      <w:pPr>
        <w:pStyle w:val="3"/>
        <w:rPr>
          <w:rFonts w:hint="eastAsia" w:ascii="宋体" w:hAnsi="宋体" w:cs="宋体"/>
          <w:color w:val="auto"/>
          <w:sz w:val="24"/>
          <w:szCs w:val="24"/>
        </w:rPr>
      </w:pPr>
    </w:p>
    <w:p>
      <w:pPr>
        <w:rPr>
          <w:rFonts w:hint="eastAsia" w:ascii="宋体" w:hAnsi="宋体" w:cs="宋体"/>
          <w:color w:val="auto"/>
          <w:sz w:val="24"/>
          <w:szCs w:val="24"/>
        </w:rPr>
      </w:pPr>
    </w:p>
    <w:p>
      <w:pPr>
        <w:pStyle w:val="2"/>
        <w:rPr>
          <w:rFonts w:hint="eastAsia" w:ascii="宋体" w:hAnsi="宋体" w:cs="宋体"/>
          <w:color w:val="auto"/>
          <w:sz w:val="24"/>
          <w:szCs w:val="24"/>
        </w:rPr>
      </w:pPr>
    </w:p>
    <w:p>
      <w:pPr>
        <w:pStyle w:val="3"/>
        <w:rPr>
          <w:rFonts w:hint="eastAsia" w:ascii="宋体" w:hAnsi="宋体" w:cs="宋体"/>
          <w:color w:val="auto"/>
          <w:sz w:val="24"/>
          <w:szCs w:val="24"/>
        </w:rPr>
      </w:pPr>
    </w:p>
    <w:p>
      <w:pPr>
        <w:rPr>
          <w:rFonts w:hint="eastAsia" w:ascii="宋体" w:hAnsi="宋体" w:cs="宋体"/>
          <w:color w:val="auto"/>
          <w:sz w:val="24"/>
          <w:szCs w:val="24"/>
        </w:rPr>
      </w:pPr>
    </w:p>
    <w:p>
      <w:pPr>
        <w:pStyle w:val="2"/>
        <w:rPr>
          <w:rFonts w:hint="eastAsia" w:ascii="宋体" w:hAnsi="宋体" w:cs="宋体"/>
          <w:color w:val="auto"/>
          <w:sz w:val="24"/>
          <w:szCs w:val="24"/>
        </w:rPr>
      </w:pPr>
    </w:p>
    <w:p>
      <w:pPr>
        <w:pStyle w:val="3"/>
        <w:rPr>
          <w:rFonts w:hint="eastAsia" w:ascii="宋体" w:hAnsi="宋体" w:cs="宋体"/>
          <w:color w:val="auto"/>
          <w:sz w:val="24"/>
          <w:szCs w:val="24"/>
        </w:rPr>
      </w:pPr>
    </w:p>
    <w:p>
      <w:pPr>
        <w:rPr>
          <w:rFonts w:hint="eastAsia" w:ascii="宋体" w:hAnsi="宋体" w:cs="宋体"/>
          <w:color w:val="auto"/>
          <w:sz w:val="24"/>
          <w:szCs w:val="24"/>
        </w:rPr>
      </w:pPr>
    </w:p>
    <w:p>
      <w:pPr>
        <w:pStyle w:val="2"/>
        <w:rPr>
          <w:rFonts w:hint="eastAsia" w:ascii="宋体" w:hAnsi="宋体" w:cs="宋体"/>
          <w:color w:val="auto"/>
          <w:sz w:val="24"/>
          <w:szCs w:val="24"/>
        </w:rPr>
      </w:pPr>
    </w:p>
    <w:p>
      <w:pPr>
        <w:pStyle w:val="3"/>
        <w:rPr>
          <w:rFonts w:hint="eastAsia"/>
        </w:rPr>
      </w:pPr>
    </w:p>
    <w:p>
      <w:pPr>
        <w:pStyle w:val="2"/>
        <w:rPr>
          <w:rFonts w:hint="eastAsia" w:ascii="宋体" w:hAnsi="宋体" w:cs="宋体"/>
          <w:color w:val="auto"/>
          <w:sz w:val="24"/>
          <w:szCs w:val="24"/>
        </w:rPr>
      </w:pPr>
    </w:p>
    <w:p>
      <w:pPr>
        <w:pStyle w:val="2"/>
        <w:rPr>
          <w:rFonts w:hint="eastAsia" w:ascii="宋体" w:hAnsi="宋体" w:cs="宋体"/>
          <w:color w:val="auto"/>
          <w:sz w:val="24"/>
          <w:szCs w:val="24"/>
        </w:rPr>
      </w:pPr>
    </w:p>
    <w:p>
      <w:pPr>
        <w:pStyle w:val="2"/>
        <w:rPr>
          <w:rFonts w:hint="eastAsia" w:ascii="宋体" w:hAnsi="宋体" w:cs="宋体"/>
          <w:color w:val="auto"/>
          <w:sz w:val="24"/>
          <w:szCs w:val="24"/>
        </w:rPr>
      </w:pPr>
    </w:p>
    <w:bookmarkEnd w:id="187"/>
    <w:bookmarkEnd w:id="188"/>
    <w:bookmarkEnd w:id="189"/>
    <w:bookmarkEnd w:id="190"/>
    <w:bookmarkEnd w:id="191"/>
    <w:p>
      <w:pPr>
        <w:pStyle w:val="27"/>
        <w:outlineLvl w:val="9"/>
        <w:rPr>
          <w:color w:val="auto"/>
        </w:rPr>
      </w:pPr>
      <w:bookmarkStart w:id="192" w:name="_Toc19457994"/>
      <w:r>
        <w:rPr>
          <w:rFonts w:hint="eastAsia"/>
          <w:color w:val="auto"/>
        </w:rPr>
        <w:t>第七章  响应文件格式</w:t>
      </w:r>
      <w:bookmarkEnd w:id="192"/>
    </w:p>
    <w:p>
      <w:pPr>
        <w:jc w:val="left"/>
        <w:rPr>
          <w:rFonts w:ascii="宋体" w:hAnsi="宋体"/>
          <w:b/>
          <w:color w:val="auto"/>
          <w:sz w:val="32"/>
          <w:szCs w:val="32"/>
        </w:rPr>
      </w:pPr>
    </w:p>
    <w:p>
      <w:pPr>
        <w:spacing w:line="360" w:lineRule="auto"/>
        <w:jc w:val="left"/>
        <w:rPr>
          <w:rFonts w:ascii="宋体" w:hAnsi="宋体"/>
          <w:color w:val="auto"/>
          <w:sz w:val="24"/>
        </w:rPr>
      </w:pPr>
      <w:r>
        <w:rPr>
          <w:rFonts w:hint="eastAsia" w:ascii="宋体" w:hAnsi="宋体"/>
          <w:color w:val="auto"/>
          <w:sz w:val="24"/>
        </w:rPr>
        <w:t xml:space="preserve">    一、本章所制响应文件格式，除格式中明确将该格式作为实质性要求的，一律不具有强制性，但是，供应商响应文件应尽量和磋商文件要求的格式一致，以免影响响应文件的符合性审查。</w:t>
      </w:r>
    </w:p>
    <w:p>
      <w:pPr>
        <w:spacing w:line="360" w:lineRule="auto"/>
        <w:jc w:val="left"/>
        <w:rPr>
          <w:rFonts w:ascii="宋体" w:hAnsi="宋体"/>
          <w:color w:val="auto"/>
          <w:sz w:val="24"/>
        </w:rPr>
      </w:pPr>
      <w:r>
        <w:rPr>
          <w:rFonts w:hint="eastAsia" w:ascii="宋体" w:hAnsi="宋体"/>
          <w:color w:val="auto"/>
          <w:sz w:val="24"/>
        </w:rPr>
        <w:t xml:space="preserve">    二、本章所制响应文件格式有关表格中的备注栏，由供应商根据自身响应情况作解释性说明，不作为必填项。</w:t>
      </w:r>
    </w:p>
    <w:p>
      <w:pPr>
        <w:spacing w:line="360" w:lineRule="auto"/>
        <w:ind w:firstLine="480" w:firstLineChars="200"/>
        <w:rPr>
          <w:rFonts w:ascii="宋体" w:hAnsi="宋体"/>
          <w:color w:val="auto"/>
          <w:sz w:val="24"/>
        </w:rPr>
      </w:pPr>
      <w:r>
        <w:rPr>
          <w:rFonts w:hint="eastAsia" w:ascii="宋体" w:hAnsi="宋体"/>
          <w:color w:val="auto"/>
          <w:sz w:val="24"/>
        </w:rPr>
        <w:t>三、本章所制响应文件格式中需要填写的相关内容事项，可能会与本采购项目无关，在不改变响应文件原义、不影响本项目采购需求的情况下，供应商可以不予填写，但应当注明。</w:t>
      </w:r>
    </w:p>
    <w:p>
      <w:pPr>
        <w:spacing w:line="360" w:lineRule="auto"/>
        <w:ind w:firstLine="480" w:firstLineChars="200"/>
        <w:rPr>
          <w:rFonts w:ascii="宋体" w:hAnsi="宋体"/>
          <w:color w:val="auto"/>
          <w:sz w:val="24"/>
        </w:rPr>
      </w:pPr>
    </w:p>
    <w:p>
      <w:pPr>
        <w:spacing w:line="360" w:lineRule="auto"/>
        <w:jc w:val="center"/>
        <w:rPr>
          <w:rFonts w:ascii="宋体" w:hAnsi="宋体"/>
          <w:b/>
          <w:color w:val="auto"/>
          <w:sz w:val="30"/>
          <w:szCs w:val="30"/>
        </w:rPr>
      </w:pPr>
      <w:r>
        <w:rPr>
          <w:rFonts w:hint="eastAsia" w:ascii="宋体" w:hAnsi="宋体"/>
          <w:b/>
          <w:color w:val="auto"/>
          <w:sz w:val="30"/>
          <w:szCs w:val="30"/>
        </w:rPr>
        <w:t>一、法定代表人授权书</w:t>
      </w:r>
    </w:p>
    <w:p>
      <w:pPr>
        <w:spacing w:line="360" w:lineRule="auto"/>
        <w:rPr>
          <w:rFonts w:ascii="宋体" w:hAnsi="宋体"/>
          <w:color w:val="auto"/>
          <w:sz w:val="24"/>
        </w:rPr>
      </w:pPr>
    </w:p>
    <w:p>
      <w:pPr>
        <w:spacing w:line="360" w:lineRule="auto"/>
        <w:rPr>
          <w:rFonts w:ascii="宋体" w:hAnsi="宋体"/>
          <w:color w:val="auto"/>
          <w:sz w:val="24"/>
        </w:rPr>
      </w:pPr>
      <w:r>
        <w:rPr>
          <w:rFonts w:hint="eastAsia" w:ascii="宋体" w:hAnsi="宋体"/>
          <w:color w:val="auto"/>
          <w:sz w:val="24"/>
        </w:rPr>
        <w:t>四川玖久公信招标代理有限公司：</w:t>
      </w:r>
    </w:p>
    <w:p>
      <w:pPr>
        <w:spacing w:line="360" w:lineRule="auto"/>
        <w:ind w:firstLine="480" w:firstLineChars="200"/>
        <w:rPr>
          <w:rFonts w:ascii="宋体" w:hAnsi="宋体"/>
          <w:color w:val="auto"/>
          <w:sz w:val="24"/>
        </w:rPr>
      </w:pPr>
      <w:r>
        <w:rPr>
          <w:rFonts w:hint="eastAsia" w:ascii="宋体" w:hAnsi="宋体"/>
          <w:color w:val="auto"/>
          <w:sz w:val="24"/>
        </w:rPr>
        <w:t>本授权声明：XXX（单位名称）,XXX（法定代表人姓名、职务）授权XXX（被授权人姓名、职务）为我方参加“</w:t>
      </w:r>
      <w:r>
        <w:rPr>
          <w:rFonts w:hint="eastAsia" w:ascii="宋体" w:hAnsi="宋体"/>
          <w:color w:val="auto"/>
          <w:sz w:val="24"/>
          <w:u w:val="single"/>
          <w:lang w:val="en-US" w:eastAsia="zh-CN"/>
        </w:rPr>
        <w:t>采购</w:t>
      </w:r>
      <w:r>
        <w:rPr>
          <w:rFonts w:hint="eastAsia" w:ascii="宋体" w:hAnsi="宋体"/>
          <w:color w:val="auto"/>
          <w:sz w:val="24"/>
          <w:u w:val="single"/>
          <w:lang w:eastAsia="zh-CN"/>
        </w:rPr>
        <w:t>洗扫车、洒水车</w:t>
      </w:r>
      <w:r>
        <w:rPr>
          <w:rFonts w:hint="eastAsia" w:ascii="宋体" w:hAnsi="宋体"/>
          <w:color w:val="auto"/>
          <w:sz w:val="24"/>
          <w:u w:val="single"/>
          <w:lang w:val="en-US" w:eastAsia="zh-CN"/>
        </w:rPr>
        <w:t>一批</w:t>
      </w:r>
      <w:r>
        <w:rPr>
          <w:rFonts w:hint="eastAsia" w:ascii="宋体" w:hAnsi="宋体"/>
          <w:color w:val="auto"/>
          <w:sz w:val="24"/>
        </w:rPr>
        <w:t>”项目【项目编号：</w:t>
      </w:r>
      <w:r>
        <w:rPr>
          <w:rFonts w:hint="eastAsia" w:ascii="宋体" w:hAnsi="宋体"/>
          <w:color w:val="auto"/>
          <w:sz w:val="24"/>
          <w:lang w:eastAsia="zh-CN"/>
        </w:rPr>
        <w:t>四川玖久公信绵高新市政磋（2022）1号</w:t>
      </w:r>
      <w:r>
        <w:rPr>
          <w:rFonts w:hint="eastAsia" w:ascii="宋体" w:hAnsi="宋体"/>
          <w:color w:val="auto"/>
          <w:sz w:val="24"/>
        </w:rPr>
        <w:t>】磋商采购活动的合法代表，以我方名义全权处理该项目有关磋商、报价、签订合同以及执行合同等一切事宜。</w:t>
      </w:r>
    </w:p>
    <w:p>
      <w:pPr>
        <w:spacing w:line="360" w:lineRule="auto"/>
        <w:ind w:firstLine="480" w:firstLineChars="200"/>
        <w:rPr>
          <w:rFonts w:ascii="宋体" w:hAnsi="宋体"/>
          <w:color w:val="auto"/>
          <w:sz w:val="24"/>
        </w:rPr>
      </w:pPr>
      <w:r>
        <w:rPr>
          <w:rFonts w:hint="eastAsia" w:ascii="宋体" w:hAnsi="宋体"/>
          <w:color w:val="auto"/>
          <w:sz w:val="24"/>
        </w:rPr>
        <w:t>特此声明。</w:t>
      </w:r>
    </w:p>
    <w:p>
      <w:pPr>
        <w:spacing w:line="360" w:lineRule="auto"/>
        <w:ind w:firstLine="480" w:firstLineChars="200"/>
        <w:rPr>
          <w:rFonts w:ascii="宋体" w:hAnsi="宋体"/>
          <w:color w:val="auto"/>
          <w:sz w:val="24"/>
        </w:rPr>
      </w:pPr>
    </w:p>
    <w:p>
      <w:pPr>
        <w:spacing w:line="360" w:lineRule="auto"/>
        <w:ind w:firstLine="480" w:firstLineChars="200"/>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供应商名称：XXX（盖单位公章）</w:t>
      </w:r>
    </w:p>
    <w:p>
      <w:pPr>
        <w:spacing w:line="360" w:lineRule="auto"/>
        <w:ind w:firstLine="480" w:firstLineChars="200"/>
        <w:rPr>
          <w:rFonts w:ascii="宋体" w:hAnsi="宋体"/>
          <w:color w:val="auto"/>
          <w:sz w:val="24"/>
        </w:rPr>
      </w:pPr>
      <w:r>
        <w:rPr>
          <w:rFonts w:hint="eastAsia" w:ascii="宋体" w:hAnsi="宋体"/>
          <w:color w:val="auto"/>
          <w:sz w:val="24"/>
        </w:rPr>
        <w:t>法定代表人（签字或盖章）：XXX</w:t>
      </w:r>
    </w:p>
    <w:p>
      <w:pPr>
        <w:spacing w:line="360" w:lineRule="auto"/>
        <w:ind w:firstLine="480" w:firstLineChars="200"/>
        <w:rPr>
          <w:rFonts w:ascii="宋体" w:hAnsi="宋体"/>
          <w:color w:val="auto"/>
          <w:sz w:val="24"/>
        </w:rPr>
      </w:pPr>
      <w:r>
        <w:rPr>
          <w:rFonts w:hint="eastAsia" w:ascii="宋体" w:hAnsi="宋体"/>
          <w:color w:val="auto"/>
          <w:sz w:val="24"/>
        </w:rPr>
        <w:t>职    务：XXX</w:t>
      </w:r>
    </w:p>
    <w:p>
      <w:pPr>
        <w:spacing w:line="360" w:lineRule="auto"/>
        <w:ind w:firstLine="480" w:firstLineChars="200"/>
        <w:rPr>
          <w:rFonts w:ascii="宋体" w:hAnsi="宋体"/>
          <w:color w:val="auto"/>
          <w:sz w:val="24"/>
        </w:rPr>
      </w:pPr>
      <w:r>
        <w:rPr>
          <w:rFonts w:hint="eastAsia" w:ascii="宋体" w:hAnsi="宋体"/>
          <w:color w:val="auto"/>
          <w:sz w:val="24"/>
        </w:rPr>
        <w:t>被授权人签字：XXX</w:t>
      </w:r>
    </w:p>
    <w:p>
      <w:pPr>
        <w:spacing w:line="360" w:lineRule="auto"/>
        <w:ind w:firstLine="480" w:firstLineChars="200"/>
        <w:rPr>
          <w:rFonts w:ascii="宋体" w:hAnsi="宋体"/>
          <w:color w:val="auto"/>
          <w:sz w:val="24"/>
        </w:rPr>
      </w:pPr>
      <w:r>
        <w:rPr>
          <w:rFonts w:hint="eastAsia" w:ascii="宋体" w:hAnsi="宋体"/>
          <w:color w:val="auto"/>
          <w:sz w:val="24"/>
        </w:rPr>
        <w:t>职    务：XXX</w:t>
      </w:r>
    </w:p>
    <w:p>
      <w:pPr>
        <w:spacing w:line="360" w:lineRule="auto"/>
        <w:ind w:firstLine="480" w:firstLineChars="200"/>
        <w:rPr>
          <w:rFonts w:ascii="宋体" w:hAnsi="宋体"/>
          <w:color w:val="auto"/>
          <w:sz w:val="24"/>
        </w:rPr>
      </w:pPr>
      <w:r>
        <w:rPr>
          <w:rFonts w:hint="eastAsia" w:ascii="宋体" w:hAnsi="宋体"/>
          <w:color w:val="auto"/>
          <w:sz w:val="24"/>
        </w:rPr>
        <w:t>日    期：XXX年XXX月XXX日</w:t>
      </w:r>
    </w:p>
    <w:p>
      <w:pPr>
        <w:jc w:val="center"/>
        <w:rPr>
          <w:rFonts w:ascii="宋体" w:hAnsi="宋体" w:cs="Arial"/>
          <w:b/>
          <w:bCs/>
          <w:color w:val="auto"/>
          <w:sz w:val="32"/>
          <w:szCs w:val="32"/>
        </w:rPr>
      </w:pPr>
    </w:p>
    <w:p>
      <w:pPr>
        <w:pStyle w:val="2"/>
        <w:rPr>
          <w:rFonts w:ascii="宋体" w:hAnsi="宋体" w:cs="Arial"/>
          <w:b/>
          <w:bCs/>
          <w:color w:val="auto"/>
          <w:sz w:val="32"/>
          <w:szCs w:val="32"/>
        </w:rPr>
      </w:pPr>
    </w:p>
    <w:p>
      <w:pPr>
        <w:jc w:val="center"/>
        <w:rPr>
          <w:rFonts w:ascii="宋体" w:hAnsi="宋体" w:cs="Arial"/>
          <w:b/>
          <w:bCs/>
          <w:color w:val="auto"/>
          <w:sz w:val="30"/>
          <w:szCs w:val="30"/>
        </w:rPr>
      </w:pPr>
      <w:r>
        <w:rPr>
          <w:rFonts w:hint="eastAsia" w:ascii="宋体" w:hAnsi="宋体" w:cs="Arial"/>
          <w:b/>
          <w:bCs/>
          <w:color w:val="auto"/>
          <w:sz w:val="30"/>
          <w:szCs w:val="30"/>
        </w:rPr>
        <w:t>二、供应商基本情况表</w:t>
      </w:r>
    </w:p>
    <w:p>
      <w:pPr>
        <w:ind w:left="-2" w:leftChars="-1"/>
        <w:jc w:val="left"/>
        <w:rPr>
          <w:rFonts w:ascii="宋体" w:hAnsi="宋体"/>
          <w:color w:val="auto"/>
          <w:sz w:val="24"/>
        </w:rPr>
      </w:pPr>
    </w:p>
    <w:p>
      <w:pPr>
        <w:ind w:left="-2" w:leftChars="-1"/>
        <w:jc w:val="left"/>
        <w:rPr>
          <w:rFonts w:hint="eastAsia" w:ascii="宋体" w:hAnsi="宋体" w:eastAsia="宋体" w:cs="Arial"/>
          <w:b/>
          <w:bCs/>
          <w:color w:val="auto"/>
          <w:sz w:val="32"/>
          <w:szCs w:val="32"/>
          <w:lang w:eastAsia="zh-CN"/>
        </w:rPr>
      </w:pPr>
      <w:r>
        <w:rPr>
          <w:rFonts w:hint="eastAsia" w:ascii="宋体" w:hAnsi="宋体"/>
          <w:color w:val="auto"/>
          <w:sz w:val="24"/>
        </w:rPr>
        <w:t>项目编号：</w:t>
      </w:r>
      <w:r>
        <w:rPr>
          <w:rFonts w:hint="eastAsia" w:ascii="宋体" w:hAnsi="宋体"/>
          <w:color w:val="auto"/>
          <w:sz w:val="24"/>
          <w:lang w:eastAsia="zh-CN"/>
        </w:rPr>
        <w:t>四川玖久公信绵高新市政磋（2022）1号</w:t>
      </w:r>
    </w:p>
    <w:p>
      <w:pPr>
        <w:ind w:left="-2" w:leftChars="-1"/>
        <w:rPr>
          <w:rFonts w:hint="eastAsia" w:ascii="宋体" w:hAnsi="宋体" w:eastAsia="宋体"/>
          <w:color w:val="auto"/>
          <w:sz w:val="24"/>
          <w:lang w:eastAsia="zh-CN"/>
        </w:rPr>
      </w:pPr>
      <w:r>
        <w:rPr>
          <w:rFonts w:hint="eastAsia" w:ascii="宋体" w:hAnsi="宋体"/>
          <w:color w:val="auto"/>
          <w:sz w:val="24"/>
        </w:rPr>
        <w:t>项目名称：</w:t>
      </w:r>
      <w:r>
        <w:rPr>
          <w:rFonts w:hint="eastAsia" w:ascii="宋体" w:hAnsi="宋体"/>
          <w:color w:val="auto"/>
          <w:sz w:val="24"/>
          <w:u w:val="none"/>
          <w:lang w:val="en-US" w:eastAsia="zh-CN"/>
        </w:rPr>
        <w:t>采购</w:t>
      </w:r>
      <w:r>
        <w:rPr>
          <w:rFonts w:hint="eastAsia" w:ascii="宋体" w:hAnsi="宋体"/>
          <w:color w:val="auto"/>
          <w:sz w:val="24"/>
          <w:u w:val="none"/>
          <w:lang w:eastAsia="zh-CN"/>
        </w:rPr>
        <w:t>洗扫车、洒水车</w:t>
      </w:r>
      <w:r>
        <w:rPr>
          <w:rFonts w:hint="eastAsia" w:ascii="宋体" w:hAnsi="宋体"/>
          <w:color w:val="auto"/>
          <w:sz w:val="24"/>
          <w:u w:val="none"/>
          <w:lang w:val="en-US" w:eastAsia="zh-CN"/>
        </w:rPr>
        <w:t>一批</w:t>
      </w:r>
    </w:p>
    <w:tbl>
      <w:tblPr>
        <w:tblStyle w:val="29"/>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1"/>
        <w:gridCol w:w="1080"/>
        <w:gridCol w:w="180"/>
        <w:gridCol w:w="1260"/>
        <w:gridCol w:w="1260"/>
        <w:gridCol w:w="420"/>
        <w:gridCol w:w="480"/>
        <w:gridCol w:w="360"/>
        <w:gridCol w:w="840"/>
        <w:gridCol w:w="60"/>
        <w:gridCol w:w="3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供应商名称</w:t>
            </w:r>
          </w:p>
        </w:tc>
        <w:tc>
          <w:tcPr>
            <w:tcW w:w="7560" w:type="dxa"/>
            <w:gridSpan w:val="11"/>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注册地址</w:t>
            </w:r>
          </w:p>
        </w:tc>
        <w:tc>
          <w:tcPr>
            <w:tcW w:w="4680" w:type="dxa"/>
            <w:gridSpan w:val="6"/>
            <w:noWrap w:val="0"/>
            <w:vAlign w:val="center"/>
          </w:tcPr>
          <w:p>
            <w:pPr>
              <w:jc w:val="center"/>
              <w:rPr>
                <w:rFonts w:ascii="宋体" w:hAnsi="宋体" w:cs="Arial"/>
                <w:bCs/>
                <w:color w:val="auto"/>
                <w:szCs w:val="21"/>
              </w:rPr>
            </w:pPr>
          </w:p>
        </w:tc>
        <w:tc>
          <w:tcPr>
            <w:tcW w:w="1260" w:type="dxa"/>
            <w:gridSpan w:val="3"/>
            <w:noWrap w:val="0"/>
            <w:vAlign w:val="center"/>
          </w:tcPr>
          <w:p>
            <w:pPr>
              <w:jc w:val="center"/>
              <w:rPr>
                <w:rFonts w:ascii="宋体" w:hAnsi="宋体" w:cs="Arial"/>
                <w:bCs/>
                <w:color w:val="auto"/>
                <w:szCs w:val="21"/>
              </w:rPr>
            </w:pPr>
            <w:r>
              <w:rPr>
                <w:rFonts w:hint="eastAsia" w:ascii="宋体" w:hAnsi="宋体" w:cs="Arial"/>
                <w:bCs/>
                <w:color w:val="auto"/>
                <w:szCs w:val="21"/>
              </w:rPr>
              <w:t>邮政编码</w:t>
            </w:r>
          </w:p>
        </w:tc>
        <w:tc>
          <w:tcPr>
            <w:tcW w:w="1620" w:type="dxa"/>
            <w:gridSpan w:val="2"/>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291" w:type="dxa"/>
            <w:vMerge w:val="restart"/>
            <w:noWrap w:val="0"/>
            <w:vAlign w:val="center"/>
          </w:tcPr>
          <w:p>
            <w:pPr>
              <w:jc w:val="center"/>
              <w:rPr>
                <w:rFonts w:ascii="宋体" w:hAnsi="宋体" w:cs="Arial"/>
                <w:bCs/>
                <w:color w:val="auto"/>
                <w:szCs w:val="21"/>
              </w:rPr>
            </w:pPr>
            <w:r>
              <w:rPr>
                <w:rFonts w:hint="eastAsia" w:ascii="宋体" w:hAnsi="宋体" w:cs="Arial"/>
                <w:bCs/>
                <w:color w:val="auto"/>
                <w:szCs w:val="21"/>
              </w:rPr>
              <w:t>联系方式</w:t>
            </w:r>
          </w:p>
        </w:tc>
        <w:tc>
          <w:tcPr>
            <w:tcW w:w="1080" w:type="dxa"/>
            <w:noWrap w:val="0"/>
            <w:vAlign w:val="center"/>
          </w:tcPr>
          <w:p>
            <w:pPr>
              <w:jc w:val="center"/>
              <w:rPr>
                <w:rFonts w:ascii="宋体" w:hAnsi="宋体" w:cs="Arial"/>
                <w:bCs/>
                <w:color w:val="auto"/>
                <w:szCs w:val="21"/>
              </w:rPr>
            </w:pPr>
            <w:r>
              <w:rPr>
                <w:rFonts w:hint="eastAsia" w:ascii="宋体" w:hAnsi="宋体" w:cs="Arial"/>
                <w:bCs/>
                <w:color w:val="auto"/>
                <w:szCs w:val="21"/>
              </w:rPr>
              <w:t>联系人</w:t>
            </w:r>
          </w:p>
        </w:tc>
        <w:tc>
          <w:tcPr>
            <w:tcW w:w="3600" w:type="dxa"/>
            <w:gridSpan w:val="5"/>
            <w:noWrap w:val="0"/>
            <w:vAlign w:val="center"/>
          </w:tcPr>
          <w:p>
            <w:pPr>
              <w:jc w:val="center"/>
              <w:rPr>
                <w:rFonts w:ascii="宋体" w:hAnsi="宋体" w:cs="Arial"/>
                <w:bCs/>
                <w:color w:val="auto"/>
                <w:szCs w:val="21"/>
              </w:rPr>
            </w:pPr>
          </w:p>
        </w:tc>
        <w:tc>
          <w:tcPr>
            <w:tcW w:w="1260" w:type="dxa"/>
            <w:gridSpan w:val="3"/>
            <w:noWrap w:val="0"/>
            <w:vAlign w:val="center"/>
          </w:tcPr>
          <w:p>
            <w:pPr>
              <w:jc w:val="center"/>
              <w:rPr>
                <w:rFonts w:ascii="宋体" w:hAnsi="宋体" w:cs="Arial"/>
                <w:bCs/>
                <w:color w:val="auto"/>
                <w:szCs w:val="21"/>
              </w:rPr>
            </w:pPr>
            <w:r>
              <w:rPr>
                <w:rFonts w:hint="eastAsia" w:ascii="宋体" w:hAnsi="宋体" w:cs="Arial"/>
                <w:bCs/>
                <w:color w:val="auto"/>
                <w:szCs w:val="21"/>
              </w:rPr>
              <w:t>联系电话</w:t>
            </w:r>
          </w:p>
        </w:tc>
        <w:tc>
          <w:tcPr>
            <w:tcW w:w="1620" w:type="dxa"/>
            <w:gridSpan w:val="2"/>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291" w:type="dxa"/>
            <w:vMerge w:val="continue"/>
            <w:noWrap w:val="0"/>
            <w:vAlign w:val="center"/>
          </w:tcPr>
          <w:p>
            <w:pPr>
              <w:jc w:val="center"/>
              <w:rPr>
                <w:rFonts w:ascii="宋体" w:hAnsi="宋体" w:cs="Arial"/>
                <w:bCs/>
                <w:color w:val="auto"/>
                <w:szCs w:val="21"/>
              </w:rPr>
            </w:pPr>
          </w:p>
        </w:tc>
        <w:tc>
          <w:tcPr>
            <w:tcW w:w="1080" w:type="dxa"/>
            <w:noWrap w:val="0"/>
            <w:vAlign w:val="center"/>
          </w:tcPr>
          <w:p>
            <w:pPr>
              <w:jc w:val="center"/>
              <w:rPr>
                <w:rFonts w:ascii="宋体" w:hAnsi="宋体" w:cs="Arial"/>
                <w:bCs/>
                <w:color w:val="auto"/>
                <w:szCs w:val="21"/>
              </w:rPr>
            </w:pPr>
            <w:r>
              <w:rPr>
                <w:rFonts w:hint="eastAsia" w:ascii="宋体" w:hAnsi="宋体" w:cs="Arial"/>
                <w:bCs/>
                <w:color w:val="auto"/>
                <w:szCs w:val="21"/>
              </w:rPr>
              <w:t>传真</w:t>
            </w:r>
          </w:p>
        </w:tc>
        <w:tc>
          <w:tcPr>
            <w:tcW w:w="3600" w:type="dxa"/>
            <w:gridSpan w:val="5"/>
            <w:noWrap w:val="0"/>
            <w:vAlign w:val="center"/>
          </w:tcPr>
          <w:p>
            <w:pPr>
              <w:jc w:val="center"/>
              <w:rPr>
                <w:rFonts w:ascii="宋体" w:hAnsi="宋体" w:cs="Arial"/>
                <w:bCs/>
                <w:color w:val="auto"/>
                <w:szCs w:val="21"/>
              </w:rPr>
            </w:pPr>
          </w:p>
        </w:tc>
        <w:tc>
          <w:tcPr>
            <w:tcW w:w="1260" w:type="dxa"/>
            <w:gridSpan w:val="3"/>
            <w:noWrap w:val="0"/>
            <w:vAlign w:val="center"/>
          </w:tcPr>
          <w:p>
            <w:pPr>
              <w:jc w:val="center"/>
              <w:rPr>
                <w:rFonts w:ascii="宋体" w:hAnsi="宋体" w:cs="Arial"/>
                <w:bCs/>
                <w:color w:val="auto"/>
                <w:szCs w:val="21"/>
              </w:rPr>
            </w:pPr>
            <w:r>
              <w:rPr>
                <w:rFonts w:hint="eastAsia" w:ascii="宋体" w:hAnsi="宋体" w:cs="Arial"/>
                <w:bCs/>
                <w:color w:val="auto"/>
                <w:szCs w:val="21"/>
              </w:rPr>
              <w:t>网址</w:t>
            </w:r>
          </w:p>
        </w:tc>
        <w:tc>
          <w:tcPr>
            <w:tcW w:w="1620" w:type="dxa"/>
            <w:gridSpan w:val="2"/>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组织结构</w:t>
            </w:r>
          </w:p>
        </w:tc>
        <w:tc>
          <w:tcPr>
            <w:tcW w:w="7560" w:type="dxa"/>
            <w:gridSpan w:val="11"/>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法定代表人</w:t>
            </w:r>
          </w:p>
        </w:tc>
        <w:tc>
          <w:tcPr>
            <w:tcW w:w="1260" w:type="dxa"/>
            <w:gridSpan w:val="2"/>
            <w:noWrap w:val="0"/>
            <w:vAlign w:val="center"/>
          </w:tcPr>
          <w:p>
            <w:pPr>
              <w:jc w:val="center"/>
              <w:rPr>
                <w:rFonts w:ascii="宋体" w:hAnsi="宋体" w:cs="Arial"/>
                <w:bCs/>
                <w:color w:val="auto"/>
                <w:szCs w:val="21"/>
              </w:rPr>
            </w:pPr>
            <w:r>
              <w:rPr>
                <w:rFonts w:hint="eastAsia" w:ascii="宋体" w:hAnsi="宋体" w:cs="Arial"/>
                <w:bCs/>
                <w:color w:val="auto"/>
                <w:szCs w:val="21"/>
              </w:rPr>
              <w:t>姓名</w:t>
            </w:r>
          </w:p>
        </w:tc>
        <w:tc>
          <w:tcPr>
            <w:tcW w:w="1260" w:type="dxa"/>
            <w:noWrap w:val="0"/>
            <w:vAlign w:val="center"/>
          </w:tcPr>
          <w:p>
            <w:pPr>
              <w:jc w:val="center"/>
              <w:rPr>
                <w:rFonts w:ascii="宋体" w:hAnsi="宋体" w:cs="Arial"/>
                <w:bCs/>
                <w:color w:val="auto"/>
                <w:szCs w:val="21"/>
              </w:rPr>
            </w:pPr>
          </w:p>
        </w:tc>
        <w:tc>
          <w:tcPr>
            <w:tcW w:w="1260" w:type="dxa"/>
            <w:noWrap w:val="0"/>
            <w:vAlign w:val="center"/>
          </w:tcPr>
          <w:p>
            <w:pPr>
              <w:jc w:val="center"/>
              <w:rPr>
                <w:rFonts w:ascii="宋体" w:hAnsi="宋体" w:cs="Arial"/>
                <w:bCs/>
                <w:color w:val="auto"/>
                <w:szCs w:val="21"/>
              </w:rPr>
            </w:pPr>
            <w:r>
              <w:rPr>
                <w:rFonts w:hint="eastAsia" w:ascii="宋体" w:hAnsi="宋体" w:cs="Arial"/>
                <w:bCs/>
                <w:color w:val="auto"/>
                <w:szCs w:val="21"/>
              </w:rPr>
              <w:t>技术职称</w:t>
            </w:r>
          </w:p>
        </w:tc>
        <w:tc>
          <w:tcPr>
            <w:tcW w:w="1260" w:type="dxa"/>
            <w:gridSpan w:val="3"/>
            <w:noWrap w:val="0"/>
            <w:vAlign w:val="center"/>
          </w:tcPr>
          <w:p>
            <w:pPr>
              <w:jc w:val="center"/>
              <w:rPr>
                <w:rFonts w:ascii="宋体" w:hAnsi="宋体" w:cs="Arial"/>
                <w:bCs/>
                <w:color w:val="auto"/>
                <w:szCs w:val="21"/>
              </w:rPr>
            </w:pPr>
          </w:p>
        </w:tc>
        <w:tc>
          <w:tcPr>
            <w:tcW w:w="1260" w:type="dxa"/>
            <w:gridSpan w:val="3"/>
            <w:noWrap w:val="0"/>
            <w:vAlign w:val="center"/>
          </w:tcPr>
          <w:p>
            <w:pPr>
              <w:jc w:val="center"/>
              <w:rPr>
                <w:rFonts w:ascii="宋体" w:hAnsi="宋体" w:cs="Arial"/>
                <w:bCs/>
                <w:color w:val="auto"/>
                <w:szCs w:val="21"/>
              </w:rPr>
            </w:pPr>
            <w:r>
              <w:rPr>
                <w:rFonts w:hint="eastAsia" w:ascii="宋体" w:hAnsi="宋体" w:cs="Arial"/>
                <w:bCs/>
                <w:color w:val="auto"/>
                <w:szCs w:val="21"/>
              </w:rPr>
              <w:t>联系电话</w:t>
            </w:r>
          </w:p>
        </w:tc>
        <w:tc>
          <w:tcPr>
            <w:tcW w:w="1260" w:type="dxa"/>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技术负责人</w:t>
            </w:r>
          </w:p>
        </w:tc>
        <w:tc>
          <w:tcPr>
            <w:tcW w:w="1260" w:type="dxa"/>
            <w:gridSpan w:val="2"/>
            <w:noWrap w:val="0"/>
            <w:vAlign w:val="center"/>
          </w:tcPr>
          <w:p>
            <w:pPr>
              <w:jc w:val="center"/>
              <w:rPr>
                <w:rFonts w:ascii="宋体" w:hAnsi="宋体" w:cs="Arial"/>
                <w:bCs/>
                <w:color w:val="auto"/>
                <w:szCs w:val="21"/>
              </w:rPr>
            </w:pPr>
            <w:r>
              <w:rPr>
                <w:rFonts w:hint="eastAsia" w:ascii="宋体" w:hAnsi="宋体" w:cs="Arial"/>
                <w:bCs/>
                <w:color w:val="auto"/>
                <w:szCs w:val="21"/>
              </w:rPr>
              <w:t>姓名</w:t>
            </w:r>
          </w:p>
        </w:tc>
        <w:tc>
          <w:tcPr>
            <w:tcW w:w="1260" w:type="dxa"/>
            <w:noWrap w:val="0"/>
            <w:vAlign w:val="center"/>
          </w:tcPr>
          <w:p>
            <w:pPr>
              <w:jc w:val="center"/>
              <w:rPr>
                <w:rFonts w:ascii="宋体" w:hAnsi="宋体" w:cs="Arial"/>
                <w:bCs/>
                <w:color w:val="auto"/>
                <w:szCs w:val="21"/>
              </w:rPr>
            </w:pPr>
          </w:p>
        </w:tc>
        <w:tc>
          <w:tcPr>
            <w:tcW w:w="1260" w:type="dxa"/>
            <w:noWrap w:val="0"/>
            <w:vAlign w:val="center"/>
          </w:tcPr>
          <w:p>
            <w:pPr>
              <w:jc w:val="center"/>
              <w:rPr>
                <w:rFonts w:ascii="宋体" w:hAnsi="宋体" w:cs="Arial"/>
                <w:bCs/>
                <w:color w:val="auto"/>
                <w:szCs w:val="21"/>
              </w:rPr>
            </w:pPr>
            <w:r>
              <w:rPr>
                <w:rFonts w:hint="eastAsia" w:ascii="宋体" w:hAnsi="宋体" w:cs="Arial"/>
                <w:bCs/>
                <w:color w:val="auto"/>
                <w:szCs w:val="21"/>
              </w:rPr>
              <w:t>技术职称</w:t>
            </w:r>
          </w:p>
        </w:tc>
        <w:tc>
          <w:tcPr>
            <w:tcW w:w="1260" w:type="dxa"/>
            <w:gridSpan w:val="3"/>
            <w:noWrap w:val="0"/>
            <w:vAlign w:val="center"/>
          </w:tcPr>
          <w:p>
            <w:pPr>
              <w:jc w:val="center"/>
              <w:rPr>
                <w:rFonts w:ascii="宋体" w:hAnsi="宋体" w:cs="Arial"/>
                <w:bCs/>
                <w:color w:val="auto"/>
                <w:szCs w:val="21"/>
              </w:rPr>
            </w:pPr>
          </w:p>
        </w:tc>
        <w:tc>
          <w:tcPr>
            <w:tcW w:w="1260" w:type="dxa"/>
            <w:gridSpan w:val="3"/>
            <w:noWrap w:val="0"/>
            <w:vAlign w:val="center"/>
          </w:tcPr>
          <w:p>
            <w:pPr>
              <w:jc w:val="center"/>
              <w:rPr>
                <w:rFonts w:ascii="宋体" w:hAnsi="宋体" w:cs="Arial"/>
                <w:bCs/>
                <w:color w:val="auto"/>
                <w:szCs w:val="21"/>
              </w:rPr>
            </w:pPr>
            <w:r>
              <w:rPr>
                <w:rFonts w:hint="eastAsia" w:ascii="宋体" w:hAnsi="宋体" w:cs="Arial"/>
                <w:bCs/>
                <w:color w:val="auto"/>
                <w:szCs w:val="21"/>
              </w:rPr>
              <w:t>联系电话</w:t>
            </w:r>
          </w:p>
        </w:tc>
        <w:tc>
          <w:tcPr>
            <w:tcW w:w="1260" w:type="dxa"/>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成立时间</w:t>
            </w:r>
          </w:p>
        </w:tc>
        <w:tc>
          <w:tcPr>
            <w:tcW w:w="2520" w:type="dxa"/>
            <w:gridSpan w:val="3"/>
            <w:noWrap w:val="0"/>
            <w:vAlign w:val="center"/>
          </w:tcPr>
          <w:p>
            <w:pPr>
              <w:jc w:val="center"/>
              <w:rPr>
                <w:rFonts w:ascii="宋体" w:hAnsi="宋体" w:cs="Arial"/>
                <w:bCs/>
                <w:color w:val="auto"/>
                <w:szCs w:val="21"/>
              </w:rPr>
            </w:pPr>
          </w:p>
        </w:tc>
        <w:tc>
          <w:tcPr>
            <w:tcW w:w="5040" w:type="dxa"/>
            <w:gridSpan w:val="8"/>
            <w:noWrap w:val="0"/>
            <w:vAlign w:val="center"/>
          </w:tcPr>
          <w:p>
            <w:pPr>
              <w:jc w:val="center"/>
              <w:rPr>
                <w:rFonts w:ascii="宋体" w:hAnsi="宋体" w:cs="Arial"/>
                <w:bCs/>
                <w:color w:val="auto"/>
                <w:szCs w:val="21"/>
              </w:rPr>
            </w:pPr>
            <w:r>
              <w:rPr>
                <w:rFonts w:hint="eastAsia" w:ascii="宋体" w:hAnsi="宋体" w:cs="Arial"/>
                <w:bCs/>
                <w:color w:val="auto"/>
                <w:szCs w:val="21"/>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企业资质等级</w:t>
            </w:r>
          </w:p>
        </w:tc>
        <w:tc>
          <w:tcPr>
            <w:tcW w:w="2520" w:type="dxa"/>
            <w:gridSpan w:val="3"/>
            <w:noWrap w:val="0"/>
            <w:vAlign w:val="center"/>
          </w:tcPr>
          <w:p>
            <w:pPr>
              <w:jc w:val="center"/>
              <w:rPr>
                <w:rFonts w:ascii="宋体" w:hAnsi="宋体" w:cs="Arial"/>
                <w:bCs/>
                <w:color w:val="auto"/>
                <w:szCs w:val="21"/>
              </w:rPr>
            </w:pPr>
          </w:p>
        </w:tc>
        <w:tc>
          <w:tcPr>
            <w:tcW w:w="1680" w:type="dxa"/>
            <w:gridSpan w:val="2"/>
            <w:vMerge w:val="restart"/>
            <w:noWrap w:val="0"/>
            <w:vAlign w:val="center"/>
          </w:tcPr>
          <w:p>
            <w:pPr>
              <w:jc w:val="center"/>
              <w:rPr>
                <w:rFonts w:ascii="宋体" w:hAnsi="宋体" w:cs="Arial"/>
                <w:bCs/>
                <w:color w:val="auto"/>
                <w:szCs w:val="21"/>
              </w:rPr>
            </w:pPr>
            <w:r>
              <w:rPr>
                <w:rFonts w:hint="eastAsia" w:ascii="宋体" w:hAnsi="宋体" w:cs="Arial"/>
                <w:bCs/>
                <w:color w:val="auto"/>
                <w:szCs w:val="21"/>
              </w:rPr>
              <w:t>其中（如有）</w:t>
            </w:r>
          </w:p>
        </w:tc>
        <w:tc>
          <w:tcPr>
            <w:tcW w:w="1680" w:type="dxa"/>
            <w:gridSpan w:val="3"/>
            <w:noWrap w:val="0"/>
            <w:vAlign w:val="center"/>
          </w:tcPr>
          <w:p>
            <w:pPr>
              <w:jc w:val="center"/>
              <w:rPr>
                <w:rFonts w:ascii="宋体" w:hAnsi="宋体" w:cs="Arial"/>
                <w:bCs/>
                <w:color w:val="auto"/>
                <w:szCs w:val="21"/>
              </w:rPr>
            </w:pPr>
            <w:r>
              <w:rPr>
                <w:rFonts w:hint="eastAsia" w:ascii="宋体" w:hAnsi="宋体" w:cs="Arial"/>
                <w:bCs/>
                <w:color w:val="auto"/>
                <w:szCs w:val="21"/>
              </w:rPr>
              <w:t>项目经理</w:t>
            </w:r>
          </w:p>
        </w:tc>
        <w:tc>
          <w:tcPr>
            <w:tcW w:w="1680" w:type="dxa"/>
            <w:gridSpan w:val="3"/>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营业执照</w:t>
            </w:r>
            <w:r>
              <w:rPr>
                <w:rFonts w:hint="eastAsia" w:ascii="宋体" w:hAnsi="宋体"/>
                <w:color w:val="auto"/>
                <w:szCs w:val="21"/>
              </w:rPr>
              <w:t>号</w:t>
            </w:r>
          </w:p>
        </w:tc>
        <w:tc>
          <w:tcPr>
            <w:tcW w:w="2520" w:type="dxa"/>
            <w:gridSpan w:val="3"/>
            <w:noWrap w:val="0"/>
            <w:vAlign w:val="center"/>
          </w:tcPr>
          <w:p>
            <w:pPr>
              <w:jc w:val="center"/>
              <w:rPr>
                <w:rFonts w:ascii="宋体" w:hAnsi="宋体" w:cs="Arial"/>
                <w:bCs/>
                <w:color w:val="auto"/>
                <w:szCs w:val="21"/>
              </w:rPr>
            </w:pPr>
          </w:p>
        </w:tc>
        <w:tc>
          <w:tcPr>
            <w:tcW w:w="1680" w:type="dxa"/>
            <w:gridSpan w:val="2"/>
            <w:vMerge w:val="continue"/>
            <w:noWrap w:val="0"/>
            <w:vAlign w:val="center"/>
          </w:tcPr>
          <w:p>
            <w:pPr>
              <w:jc w:val="center"/>
              <w:rPr>
                <w:rFonts w:ascii="宋体" w:hAnsi="宋体" w:cs="Arial"/>
                <w:bCs/>
                <w:color w:val="auto"/>
                <w:szCs w:val="21"/>
              </w:rPr>
            </w:pPr>
          </w:p>
        </w:tc>
        <w:tc>
          <w:tcPr>
            <w:tcW w:w="1680" w:type="dxa"/>
            <w:gridSpan w:val="3"/>
            <w:noWrap w:val="0"/>
            <w:vAlign w:val="center"/>
          </w:tcPr>
          <w:p>
            <w:pPr>
              <w:jc w:val="center"/>
              <w:rPr>
                <w:rFonts w:ascii="宋体" w:hAnsi="宋体" w:cs="Arial"/>
                <w:bCs/>
                <w:color w:val="auto"/>
                <w:szCs w:val="21"/>
              </w:rPr>
            </w:pPr>
            <w:r>
              <w:rPr>
                <w:rFonts w:hint="eastAsia" w:ascii="宋体" w:hAnsi="宋体" w:cs="Arial"/>
                <w:bCs/>
                <w:color w:val="auto"/>
                <w:szCs w:val="21"/>
              </w:rPr>
              <w:t>高级职称人员</w:t>
            </w:r>
          </w:p>
        </w:tc>
        <w:tc>
          <w:tcPr>
            <w:tcW w:w="1680" w:type="dxa"/>
            <w:gridSpan w:val="3"/>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注册资金</w:t>
            </w:r>
          </w:p>
        </w:tc>
        <w:tc>
          <w:tcPr>
            <w:tcW w:w="2520" w:type="dxa"/>
            <w:gridSpan w:val="3"/>
            <w:noWrap w:val="0"/>
            <w:vAlign w:val="center"/>
          </w:tcPr>
          <w:p>
            <w:pPr>
              <w:jc w:val="center"/>
              <w:rPr>
                <w:rFonts w:ascii="宋体" w:hAnsi="宋体" w:cs="Arial"/>
                <w:bCs/>
                <w:color w:val="auto"/>
                <w:szCs w:val="21"/>
              </w:rPr>
            </w:pPr>
          </w:p>
        </w:tc>
        <w:tc>
          <w:tcPr>
            <w:tcW w:w="1680" w:type="dxa"/>
            <w:gridSpan w:val="2"/>
            <w:vMerge w:val="continue"/>
            <w:noWrap w:val="0"/>
            <w:vAlign w:val="center"/>
          </w:tcPr>
          <w:p>
            <w:pPr>
              <w:jc w:val="center"/>
              <w:rPr>
                <w:rFonts w:ascii="宋体" w:hAnsi="宋体" w:cs="Arial"/>
                <w:bCs/>
                <w:color w:val="auto"/>
                <w:szCs w:val="21"/>
              </w:rPr>
            </w:pPr>
          </w:p>
        </w:tc>
        <w:tc>
          <w:tcPr>
            <w:tcW w:w="1680" w:type="dxa"/>
            <w:gridSpan w:val="3"/>
            <w:noWrap w:val="0"/>
            <w:vAlign w:val="center"/>
          </w:tcPr>
          <w:p>
            <w:pPr>
              <w:jc w:val="center"/>
              <w:rPr>
                <w:rFonts w:ascii="宋体" w:hAnsi="宋体" w:cs="Arial"/>
                <w:bCs/>
                <w:color w:val="auto"/>
                <w:szCs w:val="21"/>
              </w:rPr>
            </w:pPr>
            <w:r>
              <w:rPr>
                <w:rFonts w:hint="eastAsia" w:ascii="宋体" w:hAnsi="宋体" w:cs="Arial"/>
                <w:bCs/>
                <w:color w:val="auto"/>
                <w:szCs w:val="21"/>
              </w:rPr>
              <w:t>中级职称人员</w:t>
            </w:r>
          </w:p>
        </w:tc>
        <w:tc>
          <w:tcPr>
            <w:tcW w:w="1680" w:type="dxa"/>
            <w:gridSpan w:val="3"/>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开户银行</w:t>
            </w:r>
          </w:p>
        </w:tc>
        <w:tc>
          <w:tcPr>
            <w:tcW w:w="2520" w:type="dxa"/>
            <w:gridSpan w:val="3"/>
            <w:noWrap w:val="0"/>
            <w:vAlign w:val="center"/>
          </w:tcPr>
          <w:p>
            <w:pPr>
              <w:jc w:val="center"/>
              <w:rPr>
                <w:rFonts w:ascii="宋体" w:hAnsi="宋体" w:cs="Arial"/>
                <w:bCs/>
                <w:color w:val="auto"/>
                <w:szCs w:val="21"/>
              </w:rPr>
            </w:pPr>
          </w:p>
        </w:tc>
        <w:tc>
          <w:tcPr>
            <w:tcW w:w="1680" w:type="dxa"/>
            <w:gridSpan w:val="2"/>
            <w:vMerge w:val="continue"/>
            <w:noWrap w:val="0"/>
            <w:vAlign w:val="center"/>
          </w:tcPr>
          <w:p>
            <w:pPr>
              <w:jc w:val="center"/>
              <w:rPr>
                <w:rFonts w:ascii="宋体" w:hAnsi="宋体" w:cs="Arial"/>
                <w:bCs/>
                <w:color w:val="auto"/>
                <w:szCs w:val="21"/>
              </w:rPr>
            </w:pPr>
          </w:p>
        </w:tc>
        <w:tc>
          <w:tcPr>
            <w:tcW w:w="1680" w:type="dxa"/>
            <w:gridSpan w:val="3"/>
            <w:noWrap w:val="0"/>
            <w:vAlign w:val="center"/>
          </w:tcPr>
          <w:p>
            <w:pPr>
              <w:jc w:val="center"/>
              <w:rPr>
                <w:rFonts w:ascii="宋体" w:hAnsi="宋体" w:cs="Arial"/>
                <w:bCs/>
                <w:color w:val="auto"/>
                <w:szCs w:val="21"/>
              </w:rPr>
            </w:pPr>
            <w:r>
              <w:rPr>
                <w:rFonts w:hint="eastAsia" w:ascii="宋体" w:hAnsi="宋体" w:cs="Arial"/>
                <w:bCs/>
                <w:color w:val="auto"/>
                <w:szCs w:val="21"/>
              </w:rPr>
              <w:t>初级职称人员</w:t>
            </w:r>
          </w:p>
        </w:tc>
        <w:tc>
          <w:tcPr>
            <w:tcW w:w="1680" w:type="dxa"/>
            <w:gridSpan w:val="3"/>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账号</w:t>
            </w:r>
          </w:p>
        </w:tc>
        <w:tc>
          <w:tcPr>
            <w:tcW w:w="2520" w:type="dxa"/>
            <w:gridSpan w:val="3"/>
            <w:noWrap w:val="0"/>
            <w:vAlign w:val="center"/>
          </w:tcPr>
          <w:p>
            <w:pPr>
              <w:jc w:val="center"/>
              <w:rPr>
                <w:rFonts w:ascii="宋体" w:hAnsi="宋体" w:cs="Arial"/>
                <w:bCs/>
                <w:color w:val="auto"/>
                <w:szCs w:val="21"/>
              </w:rPr>
            </w:pPr>
          </w:p>
        </w:tc>
        <w:tc>
          <w:tcPr>
            <w:tcW w:w="1680" w:type="dxa"/>
            <w:gridSpan w:val="2"/>
            <w:vMerge w:val="continue"/>
            <w:noWrap w:val="0"/>
            <w:vAlign w:val="center"/>
          </w:tcPr>
          <w:p>
            <w:pPr>
              <w:jc w:val="center"/>
              <w:rPr>
                <w:rFonts w:ascii="宋体" w:hAnsi="宋体" w:cs="Arial"/>
                <w:bCs/>
                <w:color w:val="auto"/>
                <w:szCs w:val="21"/>
              </w:rPr>
            </w:pPr>
          </w:p>
        </w:tc>
        <w:tc>
          <w:tcPr>
            <w:tcW w:w="1680" w:type="dxa"/>
            <w:gridSpan w:val="3"/>
            <w:noWrap w:val="0"/>
            <w:vAlign w:val="center"/>
          </w:tcPr>
          <w:p>
            <w:pPr>
              <w:jc w:val="center"/>
              <w:rPr>
                <w:rFonts w:ascii="宋体" w:hAnsi="宋体" w:cs="Arial"/>
                <w:bCs/>
                <w:color w:val="auto"/>
                <w:szCs w:val="21"/>
              </w:rPr>
            </w:pPr>
            <w:r>
              <w:rPr>
                <w:rFonts w:hint="eastAsia" w:ascii="宋体" w:hAnsi="宋体" w:cs="Arial"/>
                <w:bCs/>
                <w:color w:val="auto"/>
                <w:szCs w:val="21"/>
              </w:rPr>
              <w:t>技工</w:t>
            </w:r>
          </w:p>
        </w:tc>
        <w:tc>
          <w:tcPr>
            <w:tcW w:w="1680" w:type="dxa"/>
            <w:gridSpan w:val="3"/>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经营范围</w:t>
            </w:r>
          </w:p>
        </w:tc>
        <w:tc>
          <w:tcPr>
            <w:tcW w:w="7560" w:type="dxa"/>
            <w:gridSpan w:val="11"/>
            <w:noWrap w:val="0"/>
            <w:vAlign w:val="center"/>
          </w:tcPr>
          <w:p>
            <w:pPr>
              <w:jc w:val="center"/>
              <w:rPr>
                <w:rFonts w:ascii="宋体" w:hAnsi="宋体" w:cs="Arial"/>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291" w:type="dxa"/>
            <w:noWrap w:val="0"/>
            <w:vAlign w:val="center"/>
          </w:tcPr>
          <w:p>
            <w:pPr>
              <w:jc w:val="center"/>
              <w:rPr>
                <w:rFonts w:ascii="宋体" w:hAnsi="宋体" w:cs="Arial"/>
                <w:bCs/>
                <w:color w:val="auto"/>
                <w:szCs w:val="21"/>
              </w:rPr>
            </w:pPr>
            <w:r>
              <w:rPr>
                <w:rFonts w:hint="eastAsia" w:ascii="宋体" w:hAnsi="宋体" w:cs="Arial"/>
                <w:bCs/>
                <w:color w:val="auto"/>
                <w:szCs w:val="21"/>
              </w:rPr>
              <w:t>备注</w:t>
            </w:r>
          </w:p>
        </w:tc>
        <w:tc>
          <w:tcPr>
            <w:tcW w:w="7560" w:type="dxa"/>
            <w:gridSpan w:val="11"/>
            <w:noWrap w:val="0"/>
            <w:vAlign w:val="center"/>
          </w:tcPr>
          <w:p>
            <w:pPr>
              <w:jc w:val="center"/>
              <w:rPr>
                <w:rFonts w:ascii="宋体" w:hAnsi="宋体" w:cs="Arial"/>
                <w:bCs/>
                <w:color w:val="auto"/>
                <w:szCs w:val="21"/>
              </w:rPr>
            </w:pPr>
          </w:p>
        </w:tc>
      </w:tr>
    </w:tbl>
    <w:p>
      <w:pPr>
        <w:adjustRightInd w:val="0"/>
        <w:spacing w:line="400" w:lineRule="exact"/>
        <w:jc w:val="left"/>
        <w:rPr>
          <w:rFonts w:ascii="宋体" w:hAnsi="宋体"/>
          <w:color w:val="auto"/>
          <w:sz w:val="24"/>
        </w:rPr>
      </w:pPr>
    </w:p>
    <w:p>
      <w:pPr>
        <w:adjustRightInd w:val="0"/>
        <w:spacing w:line="360" w:lineRule="auto"/>
        <w:jc w:val="left"/>
        <w:rPr>
          <w:rFonts w:ascii="宋体" w:hAnsi="宋体"/>
          <w:color w:val="auto"/>
          <w:sz w:val="24"/>
        </w:rPr>
      </w:pPr>
      <w:r>
        <w:rPr>
          <w:rFonts w:hint="eastAsia" w:ascii="宋体" w:hAnsi="宋体"/>
          <w:color w:val="auto"/>
          <w:sz w:val="24"/>
        </w:rPr>
        <w:t>供应商名称：XXX（盖单位公章）</w:t>
      </w:r>
    </w:p>
    <w:p>
      <w:pPr>
        <w:adjustRightInd w:val="0"/>
        <w:spacing w:line="360" w:lineRule="auto"/>
        <w:jc w:val="left"/>
        <w:rPr>
          <w:rFonts w:ascii="宋体" w:hAnsi="宋体"/>
          <w:bCs/>
          <w:color w:val="auto"/>
          <w:sz w:val="24"/>
        </w:rPr>
      </w:pPr>
      <w:r>
        <w:rPr>
          <w:rFonts w:hint="eastAsia" w:ascii="宋体" w:hAnsi="宋体"/>
          <w:bCs/>
          <w:color w:val="auto"/>
          <w:sz w:val="24"/>
        </w:rPr>
        <w:t>法定代表人或授权代表（签字或盖章）：XXX</w:t>
      </w:r>
    </w:p>
    <w:p>
      <w:pPr>
        <w:adjustRightInd w:val="0"/>
        <w:spacing w:line="360" w:lineRule="auto"/>
        <w:jc w:val="left"/>
        <w:rPr>
          <w:rFonts w:ascii="宋体" w:hAnsi="宋体"/>
          <w:bCs/>
          <w:color w:val="auto"/>
          <w:sz w:val="24"/>
        </w:rPr>
      </w:pPr>
      <w:r>
        <w:rPr>
          <w:rFonts w:hint="eastAsia" w:ascii="宋体" w:hAnsi="宋体"/>
          <w:bCs/>
          <w:color w:val="auto"/>
          <w:sz w:val="24"/>
        </w:rPr>
        <w:t>日  期：XXX年XXX月XXX日</w:t>
      </w:r>
    </w:p>
    <w:p>
      <w:pPr>
        <w:spacing w:line="400" w:lineRule="exact"/>
        <w:ind w:firstLine="562" w:firstLineChars="200"/>
        <w:jc w:val="center"/>
        <w:rPr>
          <w:rFonts w:ascii="宋体" w:hAnsi="宋体"/>
          <w:b/>
          <w:color w:val="auto"/>
          <w:sz w:val="28"/>
          <w:szCs w:val="28"/>
        </w:rPr>
      </w:pPr>
    </w:p>
    <w:p>
      <w:pPr>
        <w:spacing w:line="400" w:lineRule="exact"/>
        <w:jc w:val="both"/>
        <w:rPr>
          <w:rFonts w:hint="eastAsia" w:ascii="宋体" w:hAnsi="宋体" w:eastAsia="宋体"/>
          <w:b/>
          <w:color w:val="auto"/>
          <w:sz w:val="28"/>
          <w:szCs w:val="28"/>
          <w:lang w:val="en-US" w:eastAsia="zh-CN"/>
        </w:rPr>
      </w:pPr>
    </w:p>
    <w:p>
      <w:pPr>
        <w:pStyle w:val="2"/>
        <w:rPr>
          <w:rFonts w:hint="eastAsia"/>
          <w:lang w:val="en-US" w:eastAsia="zh-CN"/>
        </w:rPr>
      </w:pPr>
    </w:p>
    <w:p>
      <w:pPr>
        <w:spacing w:line="400" w:lineRule="exact"/>
        <w:jc w:val="center"/>
        <w:rPr>
          <w:rFonts w:ascii="宋体" w:hAnsi="宋体"/>
          <w:b/>
          <w:color w:val="auto"/>
          <w:sz w:val="30"/>
          <w:szCs w:val="30"/>
        </w:rPr>
      </w:pPr>
      <w:r>
        <w:rPr>
          <w:rFonts w:hint="eastAsia" w:ascii="宋体" w:hAnsi="宋体"/>
          <w:b/>
          <w:color w:val="auto"/>
          <w:sz w:val="30"/>
          <w:szCs w:val="30"/>
        </w:rPr>
        <w:t>三、承诺函</w:t>
      </w:r>
    </w:p>
    <w:p>
      <w:pPr>
        <w:spacing w:line="400" w:lineRule="exact"/>
        <w:ind w:firstLine="562" w:firstLineChars="200"/>
        <w:jc w:val="center"/>
        <w:rPr>
          <w:rFonts w:ascii="宋体" w:hAnsi="宋体"/>
          <w:b/>
          <w:color w:val="auto"/>
          <w:sz w:val="28"/>
          <w:szCs w:val="28"/>
        </w:rPr>
      </w:pPr>
    </w:p>
    <w:p>
      <w:pPr>
        <w:spacing w:line="360" w:lineRule="auto"/>
        <w:rPr>
          <w:rFonts w:ascii="宋体" w:hAnsi="宋体"/>
          <w:color w:val="auto"/>
          <w:sz w:val="24"/>
        </w:rPr>
      </w:pPr>
      <w:r>
        <w:rPr>
          <w:rFonts w:hint="eastAsia" w:ascii="宋体" w:hAnsi="宋体"/>
          <w:color w:val="auto"/>
          <w:sz w:val="24"/>
        </w:rPr>
        <w:t>四川玖久公信招标代理有限公司：</w:t>
      </w:r>
    </w:p>
    <w:p>
      <w:pPr>
        <w:spacing w:line="360" w:lineRule="auto"/>
        <w:ind w:firstLine="480" w:firstLineChars="200"/>
        <w:rPr>
          <w:rFonts w:ascii="宋体" w:hAnsi="宋体"/>
          <w:color w:val="auto"/>
          <w:sz w:val="24"/>
        </w:rPr>
      </w:pPr>
      <w:r>
        <w:rPr>
          <w:rFonts w:hint="eastAsia" w:ascii="宋体" w:hAnsi="宋体"/>
          <w:color w:val="auto"/>
          <w:sz w:val="24"/>
        </w:rPr>
        <w:t>我公司作为本次采购项目的供应商，根据磋商文件要求，现郑重承诺如下：</w:t>
      </w:r>
    </w:p>
    <w:p>
      <w:pPr>
        <w:spacing w:line="360" w:lineRule="auto"/>
        <w:ind w:firstLine="480" w:firstLineChars="200"/>
        <w:rPr>
          <w:rFonts w:ascii="宋体" w:hAnsi="宋体"/>
          <w:color w:val="auto"/>
          <w:sz w:val="24"/>
        </w:rPr>
      </w:pPr>
      <w:r>
        <w:rPr>
          <w:rFonts w:hint="eastAsia" w:ascii="宋体" w:hAnsi="宋体"/>
          <w:color w:val="auto"/>
          <w:sz w:val="24"/>
        </w:rPr>
        <w:t>一、具备以下基本条件：</w:t>
      </w:r>
    </w:p>
    <w:p>
      <w:pPr>
        <w:spacing w:line="360" w:lineRule="auto"/>
        <w:ind w:firstLine="480" w:firstLineChars="200"/>
        <w:rPr>
          <w:rFonts w:ascii="宋体" w:hAnsi="宋体"/>
          <w:color w:val="auto"/>
          <w:sz w:val="24"/>
        </w:rPr>
      </w:pPr>
      <w:r>
        <w:rPr>
          <w:rFonts w:hint="eastAsia" w:ascii="宋体" w:hAnsi="宋体"/>
          <w:color w:val="auto"/>
          <w:sz w:val="24"/>
        </w:rPr>
        <w:t>（一）具有独立承担民事责任的能力；</w:t>
      </w:r>
    </w:p>
    <w:p>
      <w:pPr>
        <w:spacing w:line="360" w:lineRule="auto"/>
        <w:ind w:firstLine="480" w:firstLineChars="200"/>
        <w:rPr>
          <w:rFonts w:ascii="宋体" w:hAnsi="宋体"/>
          <w:color w:val="auto"/>
          <w:sz w:val="24"/>
        </w:rPr>
      </w:pPr>
      <w:r>
        <w:rPr>
          <w:rFonts w:hint="eastAsia" w:ascii="宋体" w:hAnsi="宋体"/>
          <w:color w:val="auto"/>
          <w:sz w:val="24"/>
        </w:rPr>
        <w:t>（二）具有良好的商业信誉和健全的财务会计制度；</w:t>
      </w:r>
    </w:p>
    <w:p>
      <w:pPr>
        <w:spacing w:line="360" w:lineRule="auto"/>
        <w:ind w:firstLine="480" w:firstLineChars="200"/>
        <w:rPr>
          <w:rFonts w:ascii="宋体" w:hAnsi="宋体"/>
          <w:color w:val="auto"/>
          <w:sz w:val="24"/>
        </w:rPr>
      </w:pPr>
      <w:r>
        <w:rPr>
          <w:rFonts w:hint="eastAsia" w:ascii="宋体" w:hAnsi="宋体"/>
          <w:color w:val="auto"/>
          <w:sz w:val="24"/>
        </w:rPr>
        <w:t>（三）具有履行合同所必需的设备和专业技术能力；</w:t>
      </w:r>
    </w:p>
    <w:p>
      <w:pPr>
        <w:spacing w:line="360" w:lineRule="auto"/>
        <w:ind w:firstLine="480" w:firstLineChars="200"/>
        <w:rPr>
          <w:rFonts w:ascii="宋体" w:hAnsi="宋体"/>
          <w:color w:val="auto"/>
          <w:sz w:val="24"/>
        </w:rPr>
      </w:pPr>
      <w:r>
        <w:rPr>
          <w:rFonts w:hint="eastAsia" w:ascii="宋体" w:hAnsi="宋体"/>
          <w:color w:val="auto"/>
          <w:sz w:val="24"/>
        </w:rPr>
        <w:t>（四）有依法缴纳税收和社会保障资金的良好记录；</w:t>
      </w:r>
    </w:p>
    <w:p>
      <w:pPr>
        <w:spacing w:line="360" w:lineRule="auto"/>
        <w:ind w:firstLine="480" w:firstLineChars="200"/>
        <w:rPr>
          <w:rFonts w:ascii="宋体" w:hAnsi="宋体"/>
          <w:color w:val="auto"/>
          <w:sz w:val="24"/>
        </w:rPr>
      </w:pPr>
      <w:r>
        <w:rPr>
          <w:rFonts w:hint="eastAsia" w:ascii="宋体" w:hAnsi="宋体"/>
          <w:color w:val="auto"/>
          <w:sz w:val="24"/>
        </w:rPr>
        <w:t>（五）参加本次采购活动前三年内，在经营活动中没有重大违法记录；</w:t>
      </w:r>
    </w:p>
    <w:p>
      <w:pPr>
        <w:spacing w:line="360" w:lineRule="auto"/>
        <w:ind w:firstLine="480" w:firstLineChars="200"/>
        <w:rPr>
          <w:rFonts w:ascii="宋体" w:hAnsi="宋体"/>
          <w:color w:val="auto"/>
          <w:sz w:val="24"/>
        </w:rPr>
      </w:pPr>
      <w:r>
        <w:rPr>
          <w:rFonts w:hint="eastAsia" w:ascii="宋体" w:hAnsi="宋体"/>
          <w:color w:val="auto"/>
          <w:sz w:val="24"/>
        </w:rPr>
        <w:t>并具备法律、行政法规规定的其他条件。</w:t>
      </w:r>
    </w:p>
    <w:p>
      <w:pPr>
        <w:spacing w:line="360" w:lineRule="auto"/>
        <w:ind w:firstLine="480" w:firstLineChars="200"/>
        <w:rPr>
          <w:rFonts w:ascii="宋体" w:hAnsi="宋体"/>
          <w:color w:val="auto"/>
          <w:sz w:val="24"/>
        </w:rPr>
      </w:pPr>
      <w:r>
        <w:rPr>
          <w:rFonts w:hint="eastAsia" w:ascii="宋体" w:hAnsi="宋体"/>
          <w:color w:val="auto"/>
          <w:sz w:val="24"/>
        </w:rPr>
        <w:t>二、完全接受和满足本项目磋商文件中规定的实质性要求，如对磋商文件有异议，已经在递交响应文件截止时间届满前依法进行维权救济，不存在对磋商文件有异议的同时又参加磋商以求侥幸成交或者为实现其他非法目的的行为。</w:t>
      </w:r>
    </w:p>
    <w:p>
      <w:pPr>
        <w:spacing w:line="360" w:lineRule="auto"/>
        <w:ind w:firstLine="480" w:firstLineChars="200"/>
        <w:rPr>
          <w:rFonts w:ascii="宋体" w:hAnsi="宋体"/>
          <w:color w:val="auto"/>
          <w:sz w:val="24"/>
        </w:rPr>
      </w:pPr>
      <w:r>
        <w:rPr>
          <w:rFonts w:hint="eastAsia" w:ascii="宋体" w:hAnsi="宋体"/>
          <w:color w:val="auto"/>
          <w:sz w:val="24"/>
        </w:rPr>
        <w:t>三、在参加本次采购活动中，不存在与单位负责人为同一人或者存在直接控股、管理关系的其他供应商参与同一合同项下的采购活动的行为。</w:t>
      </w:r>
    </w:p>
    <w:p>
      <w:pPr>
        <w:spacing w:line="360" w:lineRule="auto"/>
        <w:ind w:firstLine="480" w:firstLineChars="200"/>
        <w:rPr>
          <w:rFonts w:ascii="宋体" w:hAnsi="宋体"/>
          <w:color w:val="auto"/>
          <w:sz w:val="24"/>
        </w:rPr>
      </w:pPr>
      <w:r>
        <w:rPr>
          <w:rFonts w:hint="eastAsia" w:ascii="宋体" w:hAnsi="宋体"/>
          <w:color w:val="auto"/>
          <w:sz w:val="24"/>
        </w:rPr>
        <w:t>四、在参加本次采购活动中，不存在和其他供应商在同一合同项下的采购项目中，同时委托同一个自然人、同一家庭的人员、同一单位的人员作为代理人的行为。</w:t>
      </w:r>
    </w:p>
    <w:p>
      <w:pPr>
        <w:spacing w:line="360" w:lineRule="auto"/>
        <w:ind w:firstLine="480" w:firstLineChars="200"/>
        <w:rPr>
          <w:rFonts w:ascii="宋体" w:hAnsi="宋体"/>
          <w:color w:val="auto"/>
          <w:sz w:val="24"/>
        </w:rPr>
      </w:pPr>
      <w:r>
        <w:rPr>
          <w:rFonts w:hint="eastAsia" w:ascii="宋体" w:hAnsi="宋体"/>
          <w:color w:val="auto"/>
          <w:sz w:val="24"/>
        </w:rPr>
        <w:t>五、如果有记入诚信档案的失信行为，将在响应文件中全面如实反映。</w:t>
      </w:r>
    </w:p>
    <w:p>
      <w:pPr>
        <w:spacing w:line="360" w:lineRule="auto"/>
        <w:ind w:firstLine="480" w:firstLineChars="200"/>
        <w:rPr>
          <w:rFonts w:ascii="宋体" w:hAnsi="宋体"/>
          <w:color w:val="auto"/>
          <w:sz w:val="24"/>
        </w:rPr>
      </w:pPr>
      <w:r>
        <w:rPr>
          <w:rFonts w:hint="eastAsia" w:ascii="宋体" w:hAnsi="宋体"/>
          <w:color w:val="auto"/>
          <w:sz w:val="24"/>
        </w:rPr>
        <w:t>六、响应文件中提供的任何资料和技术、服务、商务等响应承诺情况都是真实的、有效的、合法的。</w:t>
      </w:r>
    </w:p>
    <w:p>
      <w:pPr>
        <w:spacing w:line="360" w:lineRule="auto"/>
        <w:ind w:firstLine="480" w:firstLineChars="200"/>
        <w:rPr>
          <w:rFonts w:ascii="宋体" w:hAnsi="宋体"/>
          <w:color w:val="auto"/>
          <w:sz w:val="24"/>
        </w:rPr>
      </w:pPr>
      <w:r>
        <w:rPr>
          <w:rFonts w:hint="eastAsia" w:ascii="宋体" w:hAnsi="宋体"/>
          <w:color w:val="auto"/>
          <w:sz w:val="24"/>
        </w:rPr>
        <w:t>本公司对上述承诺的内容事项真实性负责。如经查实上述承诺的内容事项存在虚假，我公司愿意接受以提供虚假材料谋取成交的法律责任。</w:t>
      </w:r>
    </w:p>
    <w:p>
      <w:pPr>
        <w:spacing w:line="360" w:lineRule="auto"/>
        <w:rPr>
          <w:rFonts w:ascii="宋体" w:hAnsi="宋体"/>
          <w:color w:val="auto"/>
          <w:sz w:val="24"/>
        </w:rPr>
      </w:pP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法定代表人签字或者加盖个人私章：XXXX</w:t>
      </w:r>
    </w:p>
    <w:p>
      <w:pPr>
        <w:spacing w:line="360" w:lineRule="auto"/>
        <w:ind w:firstLine="480" w:firstLineChars="200"/>
        <w:rPr>
          <w:rFonts w:ascii="宋体" w:hAnsi="宋体"/>
          <w:color w:val="auto"/>
          <w:sz w:val="24"/>
        </w:rPr>
      </w:pPr>
      <w:r>
        <w:rPr>
          <w:rFonts w:hint="eastAsia" w:ascii="宋体" w:hAnsi="宋体"/>
          <w:color w:val="auto"/>
          <w:sz w:val="24"/>
        </w:rPr>
        <w:t>授权代表签字：XXXX</w:t>
      </w:r>
    </w:p>
    <w:p>
      <w:pPr>
        <w:spacing w:line="360" w:lineRule="auto"/>
        <w:ind w:firstLine="480" w:firstLineChars="200"/>
        <w:rPr>
          <w:rFonts w:ascii="宋体" w:hAnsi="宋体"/>
          <w:color w:val="auto"/>
          <w:sz w:val="24"/>
        </w:rPr>
      </w:pPr>
      <w:r>
        <w:rPr>
          <w:rFonts w:hint="eastAsia" w:ascii="宋体" w:hAnsi="宋体"/>
          <w:color w:val="auto"/>
          <w:sz w:val="24"/>
        </w:rPr>
        <w:t>供应商名称：XXXX（盖章）</w:t>
      </w:r>
    </w:p>
    <w:p>
      <w:pPr>
        <w:spacing w:line="360" w:lineRule="auto"/>
        <w:ind w:firstLine="480" w:firstLineChars="200"/>
        <w:rPr>
          <w:rFonts w:hint="eastAsia" w:ascii="宋体" w:hAnsi="宋体"/>
          <w:color w:val="auto"/>
          <w:sz w:val="24"/>
        </w:rPr>
      </w:pPr>
      <w:r>
        <w:rPr>
          <w:rFonts w:hint="eastAsia" w:ascii="宋体" w:hAnsi="宋体"/>
          <w:color w:val="auto"/>
          <w:sz w:val="24"/>
        </w:rPr>
        <w:t>日    期：XXX年XXX月XXX日</w:t>
      </w:r>
    </w:p>
    <w:p>
      <w:pPr>
        <w:pStyle w:val="2"/>
      </w:pPr>
    </w:p>
    <w:p>
      <w:pPr>
        <w:pStyle w:val="2"/>
        <w:rPr>
          <w:color w:val="auto"/>
        </w:rPr>
      </w:pPr>
    </w:p>
    <w:p>
      <w:pPr>
        <w:jc w:val="center"/>
        <w:rPr>
          <w:rFonts w:ascii="宋体" w:hAnsi="宋体"/>
          <w:b/>
          <w:color w:val="auto"/>
          <w:sz w:val="30"/>
          <w:szCs w:val="30"/>
        </w:rPr>
      </w:pPr>
      <w:r>
        <w:rPr>
          <w:rFonts w:hint="eastAsia" w:ascii="宋体" w:hAnsi="宋体"/>
          <w:b/>
          <w:color w:val="auto"/>
          <w:sz w:val="30"/>
          <w:szCs w:val="30"/>
        </w:rPr>
        <w:t>四、报价函</w:t>
      </w:r>
    </w:p>
    <w:p>
      <w:pPr>
        <w:spacing w:line="360" w:lineRule="auto"/>
        <w:rPr>
          <w:rFonts w:ascii="宋体" w:hAnsi="宋体"/>
          <w:color w:val="auto"/>
          <w:sz w:val="24"/>
        </w:rPr>
      </w:pPr>
    </w:p>
    <w:p>
      <w:pPr>
        <w:spacing w:line="360" w:lineRule="auto"/>
        <w:rPr>
          <w:rFonts w:ascii="宋体" w:hAnsi="宋体"/>
          <w:color w:val="auto"/>
          <w:sz w:val="24"/>
        </w:rPr>
      </w:pPr>
      <w:r>
        <w:rPr>
          <w:rFonts w:hint="eastAsia" w:ascii="宋体" w:hAnsi="宋体"/>
          <w:color w:val="auto"/>
          <w:sz w:val="24"/>
        </w:rPr>
        <w:t>四川玖久公信招标代理有限公司：</w:t>
      </w:r>
    </w:p>
    <w:p>
      <w:pPr>
        <w:spacing w:line="360" w:lineRule="auto"/>
        <w:ind w:firstLine="480" w:firstLineChars="200"/>
        <w:jc w:val="left"/>
        <w:rPr>
          <w:rFonts w:ascii="宋体" w:hAnsi="宋体"/>
          <w:color w:val="auto"/>
          <w:sz w:val="24"/>
        </w:rPr>
      </w:pPr>
      <w:r>
        <w:rPr>
          <w:rFonts w:hint="eastAsia" w:ascii="宋体" w:hAnsi="宋体"/>
          <w:color w:val="auto"/>
          <w:sz w:val="24"/>
        </w:rPr>
        <w:t>1.我方全面研究了“</w:t>
      </w:r>
      <w:r>
        <w:rPr>
          <w:rFonts w:hint="eastAsia" w:ascii="宋体" w:hAnsi="宋体"/>
          <w:color w:val="auto"/>
          <w:sz w:val="24"/>
          <w:u w:val="none"/>
          <w:lang w:val="en-US" w:eastAsia="zh-CN"/>
        </w:rPr>
        <w:t>采购</w:t>
      </w:r>
      <w:r>
        <w:rPr>
          <w:rFonts w:hint="eastAsia" w:ascii="宋体" w:hAnsi="宋体"/>
          <w:color w:val="auto"/>
          <w:sz w:val="24"/>
          <w:u w:val="none"/>
          <w:lang w:eastAsia="zh-CN"/>
        </w:rPr>
        <w:t>洗扫车、洒水车</w:t>
      </w:r>
      <w:r>
        <w:rPr>
          <w:rFonts w:hint="eastAsia" w:ascii="宋体" w:hAnsi="宋体"/>
          <w:color w:val="auto"/>
          <w:sz w:val="24"/>
          <w:u w:val="none"/>
          <w:lang w:val="en-US" w:eastAsia="zh-CN"/>
        </w:rPr>
        <w:t>一批</w:t>
      </w:r>
      <w:r>
        <w:rPr>
          <w:rFonts w:hint="eastAsia" w:ascii="宋体" w:hAnsi="宋体"/>
          <w:color w:val="auto"/>
          <w:sz w:val="24"/>
        </w:rPr>
        <w:t>”项目磋商文件【项目编号：</w:t>
      </w:r>
      <w:r>
        <w:rPr>
          <w:rFonts w:hint="eastAsia" w:ascii="宋体" w:hAnsi="宋体"/>
          <w:color w:val="auto"/>
          <w:sz w:val="24"/>
          <w:lang w:eastAsia="zh-CN"/>
        </w:rPr>
        <w:t>四川玖久公信绵高新市政磋（2022）1号</w:t>
      </w:r>
      <w:r>
        <w:rPr>
          <w:rFonts w:hint="eastAsia" w:ascii="宋体" w:hAnsi="宋体"/>
          <w:color w:val="auto"/>
          <w:sz w:val="24"/>
        </w:rPr>
        <w:t>】，决定参加贵单位组织的本项目磋商采购。</w:t>
      </w:r>
    </w:p>
    <w:p>
      <w:pPr>
        <w:spacing w:line="360" w:lineRule="auto"/>
        <w:ind w:firstLine="480" w:firstLineChars="200"/>
        <w:jc w:val="left"/>
        <w:rPr>
          <w:rFonts w:ascii="宋体" w:hAnsi="宋体"/>
          <w:color w:val="auto"/>
          <w:sz w:val="24"/>
        </w:rPr>
      </w:pPr>
      <w:r>
        <w:rPr>
          <w:rFonts w:hint="eastAsia" w:ascii="宋体" w:hAnsi="宋体"/>
          <w:color w:val="auto"/>
          <w:sz w:val="24"/>
        </w:rPr>
        <w:t>2.我方自愿按照磋商文件规定的各项要求向采购单位提供所需</w:t>
      </w:r>
      <w:r>
        <w:rPr>
          <w:rFonts w:hint="eastAsia" w:ascii="宋体" w:hAnsi="宋体"/>
          <w:color w:val="auto"/>
          <w:sz w:val="24"/>
          <w:lang w:val="en-US" w:eastAsia="zh-CN"/>
        </w:rPr>
        <w:t>货物或</w:t>
      </w:r>
      <w:r>
        <w:rPr>
          <w:rFonts w:hint="eastAsia" w:ascii="宋体" w:hAnsi="宋体"/>
          <w:color w:val="auto"/>
          <w:sz w:val="24"/>
        </w:rPr>
        <w:t xml:space="preserve">服务，首次报价以初始报价表金额为准。 </w:t>
      </w:r>
    </w:p>
    <w:p>
      <w:pPr>
        <w:spacing w:line="360" w:lineRule="auto"/>
        <w:ind w:firstLine="480" w:firstLineChars="200"/>
        <w:jc w:val="left"/>
        <w:rPr>
          <w:rFonts w:ascii="宋体" w:hAnsi="宋体"/>
          <w:color w:val="auto"/>
          <w:sz w:val="24"/>
        </w:rPr>
      </w:pPr>
      <w:r>
        <w:rPr>
          <w:rFonts w:hint="eastAsia" w:ascii="宋体" w:hAnsi="宋体"/>
          <w:color w:val="auto"/>
          <w:sz w:val="24"/>
        </w:rPr>
        <w:t>3.一旦我方成交，我方将严格履行采购合同规定的责任和义务。</w:t>
      </w:r>
    </w:p>
    <w:p>
      <w:pPr>
        <w:spacing w:line="360" w:lineRule="auto"/>
        <w:ind w:firstLine="480" w:firstLineChars="200"/>
        <w:jc w:val="left"/>
        <w:rPr>
          <w:rFonts w:ascii="宋体" w:hAnsi="宋体"/>
          <w:color w:val="auto"/>
          <w:sz w:val="24"/>
        </w:rPr>
      </w:pPr>
      <w:r>
        <w:rPr>
          <w:rFonts w:hint="eastAsia" w:ascii="宋体" w:hAnsi="宋体"/>
          <w:color w:val="auto"/>
          <w:sz w:val="24"/>
        </w:rPr>
        <w:t>4.我方同意本磋商文件规定对我方可能存在的失信行为进行惩戒。</w:t>
      </w:r>
    </w:p>
    <w:p>
      <w:pPr>
        <w:spacing w:line="360" w:lineRule="auto"/>
        <w:ind w:firstLine="480" w:firstLineChars="200"/>
        <w:jc w:val="left"/>
        <w:rPr>
          <w:rFonts w:ascii="宋体" w:hAnsi="宋体"/>
          <w:color w:val="auto"/>
          <w:sz w:val="24"/>
        </w:rPr>
      </w:pPr>
      <w:r>
        <w:rPr>
          <w:rFonts w:hint="eastAsia" w:ascii="宋体" w:hAnsi="宋体"/>
          <w:color w:val="auto"/>
          <w:sz w:val="24"/>
        </w:rPr>
        <w:t>5.我方为本项目提交的响应文件正本1份，副本2份，用于磋商报价。</w:t>
      </w:r>
    </w:p>
    <w:p>
      <w:pPr>
        <w:spacing w:line="360" w:lineRule="auto"/>
        <w:ind w:firstLine="480" w:firstLineChars="200"/>
        <w:jc w:val="left"/>
        <w:rPr>
          <w:rFonts w:ascii="宋体" w:hAnsi="宋体"/>
          <w:color w:val="auto"/>
          <w:sz w:val="24"/>
        </w:rPr>
      </w:pPr>
      <w:r>
        <w:rPr>
          <w:rFonts w:hint="eastAsia" w:ascii="宋体" w:hAnsi="宋体"/>
          <w:color w:val="auto"/>
          <w:sz w:val="24"/>
        </w:rPr>
        <w:t>6.我方愿意提供贵单位可能另外要求的，与磋商报价有关的文件资料，并保证我方已提供和将要提供的文件资料是真实、准确的。</w:t>
      </w:r>
    </w:p>
    <w:p>
      <w:pPr>
        <w:spacing w:line="360" w:lineRule="auto"/>
        <w:ind w:firstLine="480" w:firstLineChars="200"/>
        <w:jc w:val="left"/>
        <w:rPr>
          <w:rFonts w:ascii="宋体" w:hAnsi="宋体"/>
          <w:color w:val="auto"/>
          <w:sz w:val="24"/>
        </w:rPr>
      </w:pPr>
      <w:r>
        <w:rPr>
          <w:rFonts w:hint="eastAsia" w:ascii="宋体" w:hAnsi="宋体"/>
          <w:color w:val="auto"/>
          <w:sz w:val="24"/>
        </w:rPr>
        <w:t>7.本次磋商，我方递交的响应文件有效期为磋商文件规定起算之日起60天。</w:t>
      </w:r>
    </w:p>
    <w:p>
      <w:pPr>
        <w:adjustRightInd w:val="0"/>
        <w:spacing w:line="400" w:lineRule="exact"/>
        <w:ind w:firstLine="480" w:firstLineChars="200"/>
        <w:jc w:val="left"/>
        <w:rPr>
          <w:rFonts w:ascii="宋体" w:hAnsi="宋体"/>
          <w:color w:val="auto"/>
          <w:sz w:val="24"/>
        </w:rPr>
      </w:pPr>
    </w:p>
    <w:p>
      <w:pPr>
        <w:adjustRightInd w:val="0"/>
        <w:spacing w:line="400" w:lineRule="exact"/>
        <w:ind w:firstLine="480" w:firstLineChars="200"/>
        <w:jc w:val="left"/>
        <w:rPr>
          <w:rFonts w:ascii="宋体" w:hAnsi="宋体"/>
          <w:color w:val="auto"/>
          <w:sz w:val="24"/>
        </w:rPr>
      </w:pPr>
    </w:p>
    <w:p>
      <w:pPr>
        <w:adjustRightInd w:val="0"/>
        <w:spacing w:line="400" w:lineRule="exact"/>
        <w:ind w:firstLine="480" w:firstLineChars="200"/>
        <w:jc w:val="left"/>
        <w:rPr>
          <w:rFonts w:ascii="宋体" w:hAnsi="宋体"/>
          <w:color w:val="auto"/>
          <w:sz w:val="24"/>
        </w:rPr>
      </w:pPr>
      <w:r>
        <w:rPr>
          <w:rFonts w:hint="eastAsia" w:ascii="宋体" w:hAnsi="宋体"/>
          <w:color w:val="auto"/>
          <w:sz w:val="24"/>
        </w:rPr>
        <w:t>供应商名称：XXX（盖单位公章）</w:t>
      </w:r>
    </w:p>
    <w:p>
      <w:pPr>
        <w:spacing w:line="400" w:lineRule="exact"/>
        <w:ind w:firstLine="470" w:firstLineChars="196"/>
        <w:rPr>
          <w:rFonts w:ascii="宋体" w:hAnsi="宋体"/>
          <w:color w:val="auto"/>
          <w:sz w:val="24"/>
        </w:rPr>
      </w:pPr>
      <w:r>
        <w:rPr>
          <w:rFonts w:hint="eastAsia" w:ascii="宋体" w:hAnsi="宋体"/>
          <w:color w:val="auto"/>
          <w:sz w:val="24"/>
        </w:rPr>
        <w:t>法定代表人或授权代表（签字或盖章）：XXX</w:t>
      </w:r>
    </w:p>
    <w:p>
      <w:pPr>
        <w:spacing w:line="400" w:lineRule="exact"/>
        <w:ind w:firstLine="470" w:firstLineChars="196"/>
        <w:rPr>
          <w:rFonts w:ascii="宋体" w:hAnsi="宋体"/>
          <w:color w:val="auto"/>
          <w:sz w:val="24"/>
        </w:rPr>
      </w:pPr>
      <w:r>
        <w:rPr>
          <w:rFonts w:hint="eastAsia" w:ascii="宋体" w:hAnsi="宋体"/>
          <w:color w:val="auto"/>
          <w:sz w:val="24"/>
        </w:rPr>
        <w:t>通讯地址：XXX</w:t>
      </w:r>
    </w:p>
    <w:p>
      <w:pPr>
        <w:spacing w:line="400" w:lineRule="exact"/>
        <w:ind w:firstLine="470" w:firstLineChars="196"/>
        <w:rPr>
          <w:rFonts w:ascii="宋体" w:hAnsi="宋体"/>
          <w:color w:val="auto"/>
          <w:sz w:val="24"/>
        </w:rPr>
      </w:pPr>
      <w:r>
        <w:rPr>
          <w:rFonts w:hint="eastAsia" w:ascii="宋体" w:hAnsi="宋体"/>
          <w:color w:val="auto"/>
          <w:sz w:val="24"/>
        </w:rPr>
        <w:t>邮政编码：XXX</w:t>
      </w:r>
    </w:p>
    <w:p>
      <w:pPr>
        <w:spacing w:line="400" w:lineRule="exact"/>
        <w:ind w:firstLine="470" w:firstLineChars="196"/>
        <w:rPr>
          <w:rFonts w:ascii="宋体" w:hAnsi="宋体"/>
          <w:color w:val="auto"/>
          <w:sz w:val="24"/>
        </w:rPr>
      </w:pPr>
      <w:r>
        <w:rPr>
          <w:rFonts w:hint="eastAsia" w:ascii="宋体" w:hAnsi="宋体"/>
          <w:color w:val="auto"/>
          <w:sz w:val="24"/>
        </w:rPr>
        <w:t>联系电话：XXX</w:t>
      </w:r>
    </w:p>
    <w:p>
      <w:pPr>
        <w:spacing w:line="400" w:lineRule="exact"/>
        <w:ind w:firstLine="470" w:firstLineChars="196"/>
        <w:rPr>
          <w:rFonts w:ascii="宋体" w:hAnsi="宋体"/>
          <w:color w:val="auto"/>
          <w:sz w:val="24"/>
        </w:rPr>
      </w:pPr>
      <w:r>
        <w:rPr>
          <w:rFonts w:hint="eastAsia" w:ascii="宋体" w:hAnsi="宋体"/>
          <w:color w:val="auto"/>
          <w:sz w:val="24"/>
        </w:rPr>
        <w:t>传    真：XXX</w:t>
      </w:r>
    </w:p>
    <w:p>
      <w:pPr>
        <w:spacing w:line="400" w:lineRule="exact"/>
        <w:ind w:firstLine="470" w:firstLineChars="196"/>
        <w:rPr>
          <w:rFonts w:ascii="宋体" w:hAnsi="宋体"/>
          <w:color w:val="auto"/>
          <w:sz w:val="24"/>
        </w:rPr>
      </w:pPr>
      <w:r>
        <w:rPr>
          <w:rFonts w:hint="eastAsia" w:ascii="宋体" w:hAnsi="宋体"/>
          <w:color w:val="auto"/>
          <w:sz w:val="24"/>
        </w:rPr>
        <w:t>日    期：XXX年XXX月XXX日</w:t>
      </w:r>
    </w:p>
    <w:p>
      <w:pPr>
        <w:jc w:val="center"/>
        <w:rPr>
          <w:rFonts w:ascii="宋体" w:hAnsi="宋体"/>
          <w:color w:val="auto"/>
          <w:sz w:val="24"/>
        </w:rPr>
      </w:pPr>
    </w:p>
    <w:p>
      <w:pPr>
        <w:rPr>
          <w:rFonts w:ascii="宋体" w:hAnsi="宋体"/>
          <w:color w:val="auto"/>
          <w:sz w:val="36"/>
          <w:szCs w:val="36"/>
        </w:rPr>
        <w:sectPr>
          <w:pgSz w:w="11907" w:h="16839"/>
          <w:pgMar w:top="1440" w:right="1474" w:bottom="1440" w:left="1474" w:header="851" w:footer="992" w:gutter="0"/>
          <w:pgNumType w:fmt="decimal"/>
          <w:cols w:space="720" w:num="1"/>
          <w:titlePg/>
          <w:docGrid w:linePitch="312" w:charSpace="0"/>
        </w:sectPr>
      </w:pPr>
    </w:p>
    <w:p>
      <w:pPr>
        <w:jc w:val="center"/>
        <w:rPr>
          <w:rFonts w:ascii="宋体" w:hAnsi="宋体"/>
          <w:b/>
          <w:color w:val="auto"/>
          <w:sz w:val="32"/>
          <w:szCs w:val="32"/>
        </w:rPr>
      </w:pPr>
    </w:p>
    <w:p>
      <w:pPr>
        <w:jc w:val="center"/>
        <w:rPr>
          <w:rFonts w:ascii="宋体" w:hAnsi="宋体"/>
          <w:b/>
          <w:color w:val="auto"/>
          <w:sz w:val="32"/>
          <w:szCs w:val="32"/>
        </w:rPr>
      </w:pPr>
    </w:p>
    <w:p>
      <w:pPr>
        <w:jc w:val="center"/>
        <w:rPr>
          <w:rFonts w:ascii="宋体" w:hAnsi="宋体"/>
          <w:b/>
          <w:color w:val="auto"/>
          <w:sz w:val="32"/>
          <w:szCs w:val="32"/>
        </w:rPr>
      </w:pPr>
    </w:p>
    <w:p>
      <w:pPr>
        <w:jc w:val="center"/>
        <w:rPr>
          <w:rFonts w:ascii="宋体" w:hAnsi="宋体"/>
          <w:b/>
          <w:color w:val="auto"/>
          <w:sz w:val="32"/>
          <w:szCs w:val="32"/>
        </w:rPr>
      </w:pPr>
    </w:p>
    <w:p>
      <w:pPr>
        <w:jc w:val="center"/>
        <w:rPr>
          <w:rFonts w:ascii="宋体" w:hAnsi="宋体"/>
          <w:b/>
          <w:color w:val="auto"/>
          <w:sz w:val="32"/>
          <w:szCs w:val="32"/>
        </w:rPr>
      </w:pPr>
    </w:p>
    <w:p>
      <w:pPr>
        <w:jc w:val="center"/>
        <w:rPr>
          <w:rFonts w:ascii="宋体" w:hAnsi="宋体"/>
          <w:b/>
          <w:color w:val="auto"/>
          <w:sz w:val="32"/>
          <w:szCs w:val="32"/>
        </w:rPr>
      </w:pPr>
    </w:p>
    <w:p>
      <w:pPr>
        <w:pStyle w:val="2"/>
        <w:rPr>
          <w:rFonts w:ascii="宋体" w:hAnsi="宋体"/>
          <w:b/>
          <w:color w:val="auto"/>
          <w:sz w:val="32"/>
          <w:szCs w:val="32"/>
        </w:rPr>
      </w:pPr>
    </w:p>
    <w:p>
      <w:pPr>
        <w:pStyle w:val="2"/>
        <w:rPr>
          <w:color w:val="auto"/>
        </w:rPr>
      </w:pPr>
    </w:p>
    <w:p>
      <w:pPr>
        <w:jc w:val="center"/>
        <w:rPr>
          <w:rFonts w:ascii="宋体" w:hAnsi="宋体"/>
          <w:b/>
          <w:color w:val="auto"/>
          <w:sz w:val="30"/>
          <w:szCs w:val="30"/>
        </w:rPr>
      </w:pPr>
      <w:r>
        <w:rPr>
          <w:rFonts w:hint="eastAsia" w:ascii="宋体" w:hAnsi="宋体"/>
          <w:b/>
          <w:color w:val="auto"/>
          <w:sz w:val="30"/>
          <w:szCs w:val="30"/>
        </w:rPr>
        <w:t>五、初始报价表</w:t>
      </w:r>
    </w:p>
    <w:p>
      <w:pPr>
        <w:ind w:firstLine="560" w:firstLineChars="200"/>
        <w:rPr>
          <w:rFonts w:ascii="宋体" w:hAnsi="宋体"/>
          <w:color w:val="auto"/>
          <w:sz w:val="28"/>
          <w:szCs w:val="28"/>
        </w:rPr>
      </w:pPr>
    </w:p>
    <w:p>
      <w:pPr>
        <w:spacing w:line="360" w:lineRule="auto"/>
        <w:rPr>
          <w:rFonts w:hint="eastAsia" w:ascii="宋体" w:hAnsi="宋体" w:eastAsia="宋体"/>
          <w:color w:val="auto"/>
          <w:sz w:val="24"/>
          <w:lang w:eastAsia="zh-CN"/>
        </w:rPr>
      </w:pPr>
      <w:r>
        <w:rPr>
          <w:rFonts w:hint="eastAsia" w:ascii="宋体" w:hAnsi="宋体"/>
          <w:color w:val="auto"/>
          <w:sz w:val="24"/>
        </w:rPr>
        <w:t>项目编号：</w:t>
      </w:r>
      <w:r>
        <w:rPr>
          <w:rFonts w:hint="eastAsia" w:ascii="宋体" w:hAnsi="宋体"/>
          <w:color w:val="auto"/>
          <w:sz w:val="24"/>
          <w:lang w:eastAsia="zh-CN"/>
        </w:rPr>
        <w:t>四川玖久公信绵高新市政磋（2022）1号</w:t>
      </w:r>
    </w:p>
    <w:p>
      <w:pPr>
        <w:spacing w:line="360" w:lineRule="auto"/>
        <w:rPr>
          <w:rFonts w:hint="eastAsia" w:ascii="宋体" w:hAnsi="宋体" w:eastAsia="宋体"/>
          <w:color w:val="auto"/>
          <w:sz w:val="24"/>
          <w:lang w:eastAsia="zh-CN"/>
        </w:rPr>
      </w:pPr>
      <w:r>
        <w:rPr>
          <w:rFonts w:hint="eastAsia" w:ascii="宋体" w:hAnsi="宋体"/>
          <w:color w:val="auto"/>
          <w:sz w:val="24"/>
        </w:rPr>
        <w:t>项目名称：</w:t>
      </w:r>
      <w:r>
        <w:rPr>
          <w:rFonts w:hint="eastAsia" w:ascii="宋体" w:hAnsi="宋体"/>
          <w:color w:val="auto"/>
          <w:sz w:val="24"/>
          <w:u w:val="none"/>
          <w:lang w:val="en-US" w:eastAsia="zh-CN"/>
        </w:rPr>
        <w:t>采购</w:t>
      </w:r>
      <w:r>
        <w:rPr>
          <w:rFonts w:hint="eastAsia" w:ascii="宋体" w:hAnsi="宋体"/>
          <w:color w:val="auto"/>
          <w:sz w:val="24"/>
          <w:u w:val="none"/>
          <w:lang w:eastAsia="zh-CN"/>
        </w:rPr>
        <w:t>洗扫车、洒水车</w:t>
      </w:r>
      <w:r>
        <w:rPr>
          <w:rFonts w:hint="eastAsia" w:ascii="宋体" w:hAnsi="宋体"/>
          <w:color w:val="auto"/>
          <w:sz w:val="24"/>
          <w:u w:val="none"/>
          <w:lang w:val="en-US" w:eastAsia="zh-CN"/>
        </w:rPr>
        <w:t>一批</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1102"/>
        <w:gridCol w:w="683"/>
        <w:gridCol w:w="1813"/>
        <w:gridCol w:w="1161"/>
        <w:gridCol w:w="1160"/>
        <w:gridCol w:w="1144"/>
        <w:gridCol w:w="1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noWrap w:val="0"/>
            <w:vAlign w:val="center"/>
          </w:tcPr>
          <w:p>
            <w:pPr>
              <w:pStyle w:val="2"/>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序号</w:t>
            </w:r>
          </w:p>
        </w:tc>
        <w:tc>
          <w:tcPr>
            <w:tcW w:w="1116" w:type="dxa"/>
            <w:noWrap w:val="0"/>
            <w:vAlign w:val="center"/>
          </w:tcPr>
          <w:p>
            <w:pPr>
              <w:pStyle w:val="2"/>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产品名称</w:t>
            </w:r>
          </w:p>
        </w:tc>
        <w:tc>
          <w:tcPr>
            <w:tcW w:w="688" w:type="dxa"/>
            <w:noWrap w:val="0"/>
            <w:vAlign w:val="center"/>
          </w:tcPr>
          <w:p>
            <w:pPr>
              <w:pStyle w:val="2"/>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数量</w:t>
            </w:r>
          </w:p>
        </w:tc>
        <w:tc>
          <w:tcPr>
            <w:tcW w:w="1837" w:type="dxa"/>
            <w:noWrap w:val="0"/>
            <w:vAlign w:val="center"/>
          </w:tcPr>
          <w:p>
            <w:pPr>
              <w:pStyle w:val="2"/>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所投产品生产厂家、品牌、型号等</w:t>
            </w:r>
          </w:p>
        </w:tc>
        <w:tc>
          <w:tcPr>
            <w:tcW w:w="1075" w:type="dxa"/>
            <w:noWrap w:val="0"/>
            <w:vAlign w:val="center"/>
          </w:tcPr>
          <w:p>
            <w:pPr>
              <w:pStyle w:val="2"/>
              <w:spacing w:line="36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单价限价（元/辆）</w:t>
            </w:r>
          </w:p>
        </w:tc>
        <w:tc>
          <w:tcPr>
            <w:tcW w:w="1171" w:type="dxa"/>
            <w:noWrap w:val="0"/>
            <w:vAlign w:val="center"/>
          </w:tcPr>
          <w:p>
            <w:pPr>
              <w:pStyle w:val="2"/>
              <w:spacing w:line="360"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单价</w:t>
            </w:r>
            <w:r>
              <w:rPr>
                <w:rFonts w:hint="eastAsia" w:ascii="宋体" w:hAnsi="宋体" w:cs="宋体"/>
                <w:color w:val="auto"/>
                <w:sz w:val="21"/>
                <w:szCs w:val="21"/>
                <w:lang w:val="en-US" w:eastAsia="zh-CN"/>
              </w:rPr>
              <w:t>报价</w:t>
            </w:r>
            <w:r>
              <w:rPr>
                <w:rFonts w:hint="eastAsia" w:ascii="宋体" w:hAnsi="宋体" w:eastAsia="宋体" w:cs="宋体"/>
                <w:color w:val="auto"/>
                <w:sz w:val="21"/>
                <w:szCs w:val="21"/>
                <w:lang w:val="en-US" w:eastAsia="zh-CN"/>
              </w:rPr>
              <w:t>（元</w:t>
            </w:r>
            <w:r>
              <w:rPr>
                <w:rFonts w:hint="eastAsia" w:ascii="宋体" w:hAnsi="宋体" w:cs="宋体"/>
                <w:color w:val="auto"/>
                <w:sz w:val="21"/>
                <w:szCs w:val="21"/>
                <w:lang w:val="en-US" w:eastAsia="zh-CN"/>
              </w:rPr>
              <w:t>/辆</w:t>
            </w:r>
            <w:r>
              <w:rPr>
                <w:rFonts w:hint="eastAsia" w:ascii="宋体" w:hAnsi="宋体" w:eastAsia="宋体" w:cs="宋体"/>
                <w:color w:val="auto"/>
                <w:sz w:val="21"/>
                <w:szCs w:val="21"/>
                <w:lang w:val="en-US" w:eastAsia="zh-CN"/>
              </w:rPr>
              <w:t>）</w:t>
            </w:r>
          </w:p>
        </w:tc>
        <w:tc>
          <w:tcPr>
            <w:tcW w:w="1150" w:type="dxa"/>
            <w:noWrap w:val="0"/>
            <w:vAlign w:val="center"/>
          </w:tcPr>
          <w:p>
            <w:pPr>
              <w:pStyle w:val="2"/>
              <w:spacing w:line="360" w:lineRule="auto"/>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单项合计</w:t>
            </w:r>
            <w:r>
              <w:rPr>
                <w:rFonts w:hint="eastAsia" w:ascii="宋体" w:hAnsi="宋体" w:eastAsia="宋体" w:cs="宋体"/>
                <w:color w:val="auto"/>
                <w:sz w:val="21"/>
                <w:szCs w:val="21"/>
                <w:lang w:val="en-US" w:eastAsia="zh-CN"/>
              </w:rPr>
              <w:t>（元）</w:t>
            </w:r>
          </w:p>
        </w:tc>
        <w:tc>
          <w:tcPr>
            <w:tcW w:w="1410" w:type="dxa"/>
            <w:noWrap w:val="0"/>
            <w:vAlign w:val="center"/>
          </w:tcPr>
          <w:p>
            <w:pPr>
              <w:pStyle w:val="2"/>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noWrap w:val="0"/>
            <w:vAlign w:val="center"/>
          </w:tcPr>
          <w:p>
            <w:pPr>
              <w:pStyle w:val="2"/>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116" w:type="dxa"/>
            <w:noWrap w:val="0"/>
            <w:vAlign w:val="center"/>
          </w:tcPr>
          <w:p>
            <w:pPr>
              <w:spacing w:line="360" w:lineRule="auto"/>
              <w:jc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洗扫车</w:t>
            </w:r>
          </w:p>
        </w:tc>
        <w:tc>
          <w:tcPr>
            <w:tcW w:w="688" w:type="dxa"/>
            <w:noWrap w:val="0"/>
            <w:vAlign w:val="center"/>
          </w:tcPr>
          <w:p>
            <w:pPr>
              <w:spacing w:line="36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3辆</w:t>
            </w:r>
          </w:p>
        </w:tc>
        <w:tc>
          <w:tcPr>
            <w:tcW w:w="1837" w:type="dxa"/>
            <w:noWrap w:val="0"/>
            <w:vAlign w:val="center"/>
          </w:tcPr>
          <w:p>
            <w:pPr>
              <w:spacing w:line="360" w:lineRule="auto"/>
              <w:jc w:val="center"/>
              <w:rPr>
                <w:rFonts w:hint="eastAsia" w:ascii="宋体" w:hAnsi="宋体" w:eastAsia="宋体" w:cs="宋体"/>
                <w:color w:val="auto"/>
                <w:sz w:val="21"/>
                <w:szCs w:val="21"/>
                <w:lang w:val="en-US" w:eastAsia="zh-CN"/>
              </w:rPr>
            </w:pPr>
          </w:p>
        </w:tc>
        <w:tc>
          <w:tcPr>
            <w:tcW w:w="1075" w:type="dxa"/>
            <w:noWrap w:val="0"/>
            <w:vAlign w:val="center"/>
          </w:tcPr>
          <w:p>
            <w:pPr>
              <w:spacing w:line="360" w:lineRule="auto"/>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528000.00</w:t>
            </w:r>
          </w:p>
        </w:tc>
        <w:tc>
          <w:tcPr>
            <w:tcW w:w="1171" w:type="dxa"/>
            <w:noWrap w:val="0"/>
            <w:vAlign w:val="center"/>
          </w:tcPr>
          <w:p>
            <w:pPr>
              <w:spacing w:line="360" w:lineRule="auto"/>
              <w:jc w:val="center"/>
              <w:rPr>
                <w:rFonts w:hint="default" w:ascii="宋体" w:hAnsi="宋体" w:eastAsia="宋体" w:cs="宋体"/>
                <w:color w:val="auto"/>
                <w:sz w:val="21"/>
                <w:szCs w:val="21"/>
                <w:lang w:val="en-US" w:eastAsia="zh-CN"/>
              </w:rPr>
            </w:pPr>
          </w:p>
        </w:tc>
        <w:tc>
          <w:tcPr>
            <w:tcW w:w="1150" w:type="dxa"/>
            <w:noWrap w:val="0"/>
            <w:vAlign w:val="center"/>
          </w:tcPr>
          <w:p>
            <w:pPr>
              <w:pStyle w:val="2"/>
              <w:spacing w:line="360" w:lineRule="auto"/>
              <w:jc w:val="center"/>
              <w:rPr>
                <w:rFonts w:hint="eastAsia" w:ascii="宋体" w:hAnsi="宋体" w:eastAsia="宋体" w:cs="宋体"/>
                <w:color w:val="auto"/>
                <w:sz w:val="21"/>
                <w:szCs w:val="21"/>
                <w:lang w:val="en-US" w:eastAsia="zh-CN"/>
              </w:rPr>
            </w:pPr>
          </w:p>
        </w:tc>
        <w:tc>
          <w:tcPr>
            <w:tcW w:w="1410" w:type="dxa"/>
            <w:vMerge w:val="restart"/>
            <w:noWrap w:val="0"/>
            <w:vAlign w:val="center"/>
          </w:tcPr>
          <w:p>
            <w:pPr>
              <w:pStyle w:val="2"/>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完全响应磋商文件要求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8" w:type="dxa"/>
            <w:noWrap w:val="0"/>
            <w:vAlign w:val="center"/>
          </w:tcPr>
          <w:p>
            <w:pPr>
              <w:pStyle w:val="2"/>
              <w:spacing w:line="36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p>
        </w:tc>
        <w:tc>
          <w:tcPr>
            <w:tcW w:w="1116" w:type="dxa"/>
            <w:noWrap w:val="0"/>
            <w:vAlign w:val="center"/>
          </w:tcPr>
          <w:p>
            <w:pPr>
              <w:spacing w:line="360" w:lineRule="auto"/>
              <w:jc w:val="center"/>
              <w:rPr>
                <w:rFonts w:hint="eastAsia" w:ascii="宋体" w:hAnsi="宋体" w:cs="宋体"/>
                <w:color w:val="auto"/>
                <w:sz w:val="21"/>
                <w:szCs w:val="21"/>
                <w:lang w:eastAsia="zh-CN"/>
              </w:rPr>
            </w:pPr>
            <w:r>
              <w:rPr>
                <w:rFonts w:hint="eastAsia" w:ascii="宋体" w:hAnsi="宋体" w:cs="宋体"/>
                <w:color w:val="auto"/>
                <w:sz w:val="21"/>
                <w:szCs w:val="21"/>
                <w:lang w:eastAsia="zh-CN"/>
              </w:rPr>
              <w:t>洒水车</w:t>
            </w:r>
          </w:p>
        </w:tc>
        <w:tc>
          <w:tcPr>
            <w:tcW w:w="688" w:type="dxa"/>
            <w:noWrap w:val="0"/>
            <w:vAlign w:val="center"/>
          </w:tcPr>
          <w:p>
            <w:pPr>
              <w:spacing w:line="36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1辆</w:t>
            </w:r>
          </w:p>
        </w:tc>
        <w:tc>
          <w:tcPr>
            <w:tcW w:w="1837" w:type="dxa"/>
            <w:noWrap w:val="0"/>
            <w:vAlign w:val="center"/>
          </w:tcPr>
          <w:p>
            <w:pPr>
              <w:spacing w:line="360" w:lineRule="auto"/>
              <w:jc w:val="center"/>
              <w:rPr>
                <w:rFonts w:hint="eastAsia" w:ascii="宋体" w:hAnsi="宋体" w:eastAsia="宋体" w:cs="宋体"/>
                <w:color w:val="auto"/>
                <w:sz w:val="21"/>
                <w:szCs w:val="21"/>
                <w:lang w:val="en-US" w:eastAsia="zh-CN"/>
              </w:rPr>
            </w:pPr>
          </w:p>
        </w:tc>
        <w:tc>
          <w:tcPr>
            <w:tcW w:w="1075" w:type="dxa"/>
            <w:noWrap w:val="0"/>
            <w:vAlign w:val="center"/>
          </w:tcPr>
          <w:p>
            <w:pPr>
              <w:spacing w:line="360" w:lineRule="auto"/>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290000.00</w:t>
            </w:r>
          </w:p>
        </w:tc>
        <w:tc>
          <w:tcPr>
            <w:tcW w:w="1171" w:type="dxa"/>
            <w:noWrap w:val="0"/>
            <w:vAlign w:val="center"/>
          </w:tcPr>
          <w:p>
            <w:pPr>
              <w:spacing w:line="360" w:lineRule="auto"/>
              <w:jc w:val="center"/>
              <w:rPr>
                <w:rFonts w:hint="default" w:ascii="宋体" w:hAnsi="宋体" w:eastAsia="宋体" w:cs="宋体"/>
                <w:color w:val="auto"/>
                <w:sz w:val="21"/>
                <w:szCs w:val="21"/>
                <w:lang w:val="en-US" w:eastAsia="zh-CN"/>
              </w:rPr>
            </w:pPr>
          </w:p>
        </w:tc>
        <w:tc>
          <w:tcPr>
            <w:tcW w:w="1150" w:type="dxa"/>
            <w:noWrap w:val="0"/>
            <w:vAlign w:val="center"/>
          </w:tcPr>
          <w:p>
            <w:pPr>
              <w:pStyle w:val="2"/>
              <w:spacing w:line="360" w:lineRule="auto"/>
              <w:jc w:val="center"/>
              <w:rPr>
                <w:rFonts w:hint="eastAsia" w:ascii="宋体" w:hAnsi="宋体" w:eastAsia="宋体" w:cs="宋体"/>
                <w:color w:val="auto"/>
                <w:sz w:val="21"/>
                <w:szCs w:val="21"/>
                <w:lang w:val="en-US" w:eastAsia="zh-CN"/>
              </w:rPr>
            </w:pPr>
          </w:p>
        </w:tc>
        <w:tc>
          <w:tcPr>
            <w:tcW w:w="1410" w:type="dxa"/>
            <w:vMerge w:val="continue"/>
            <w:noWrap w:val="0"/>
            <w:vAlign w:val="center"/>
          </w:tcPr>
          <w:p>
            <w:pPr>
              <w:pStyle w:val="2"/>
              <w:spacing w:line="360" w:lineRule="auto"/>
              <w:jc w:val="center"/>
              <w:rPr>
                <w:rFonts w:hint="eastAsia" w:ascii="宋体" w:hAnsi="宋体" w:eastAsia="宋体" w:cs="宋体"/>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9175" w:type="dxa"/>
            <w:gridSpan w:val="8"/>
            <w:noWrap w:val="0"/>
            <w:vAlign w:val="center"/>
          </w:tcPr>
          <w:p>
            <w:pPr>
              <w:pStyle w:val="2"/>
              <w:spacing w:line="360" w:lineRule="auto"/>
              <w:jc w:val="center"/>
              <w:rPr>
                <w:rFonts w:hint="eastAsia" w:ascii="宋体" w:hAnsi="宋体" w:cs="宋体"/>
                <w:b/>
                <w:color w:val="auto"/>
                <w:sz w:val="21"/>
                <w:szCs w:val="21"/>
                <w:lang w:val="en-US" w:eastAsia="zh-CN"/>
              </w:rPr>
            </w:pPr>
            <w:r>
              <w:rPr>
                <w:rFonts w:hint="eastAsia" w:ascii="宋体" w:hAnsi="宋体" w:cs="宋体"/>
                <w:b/>
                <w:color w:val="auto"/>
                <w:sz w:val="21"/>
                <w:szCs w:val="21"/>
                <w:lang w:val="en-US" w:eastAsia="zh-CN"/>
              </w:rPr>
              <w:t>总价</w:t>
            </w:r>
            <w:r>
              <w:rPr>
                <w:rFonts w:hint="eastAsia" w:ascii="宋体" w:hAnsi="宋体" w:eastAsia="宋体" w:cs="宋体"/>
                <w:b/>
                <w:color w:val="auto"/>
                <w:sz w:val="21"/>
                <w:szCs w:val="21"/>
                <w:lang w:val="en-US" w:eastAsia="zh-CN"/>
              </w:rPr>
              <w:t xml:space="preserve">：        元（大写：    ）  </w:t>
            </w:r>
            <w:r>
              <w:rPr>
                <w:rFonts w:hint="eastAsia" w:ascii="宋体" w:hAnsi="宋体" w:eastAsia="宋体" w:cs="宋体"/>
                <w:b/>
                <w:color w:val="auto"/>
                <w:sz w:val="21"/>
                <w:szCs w:val="21"/>
                <w:lang w:val="zh-CN" w:eastAsia="zh-CN"/>
              </w:rPr>
              <w:t>最高</w:t>
            </w:r>
            <w:r>
              <w:rPr>
                <w:rFonts w:hint="eastAsia" w:ascii="宋体" w:hAnsi="宋体" w:cs="宋体"/>
                <w:b/>
                <w:color w:val="auto"/>
                <w:sz w:val="21"/>
                <w:szCs w:val="21"/>
                <w:lang w:val="en-US" w:eastAsia="zh-CN"/>
              </w:rPr>
              <w:t>总</w:t>
            </w:r>
            <w:r>
              <w:rPr>
                <w:rFonts w:hint="eastAsia" w:ascii="宋体" w:hAnsi="宋体" w:eastAsia="宋体" w:cs="宋体"/>
                <w:b/>
                <w:color w:val="auto"/>
                <w:sz w:val="21"/>
                <w:szCs w:val="21"/>
                <w:lang w:val="zh-CN" w:eastAsia="zh-CN"/>
              </w:rPr>
              <w:t>限价：</w:t>
            </w:r>
            <w:r>
              <w:rPr>
                <w:rFonts w:hint="eastAsia" w:ascii="宋体" w:hAnsi="宋体" w:cs="宋体"/>
                <w:b/>
                <w:color w:val="auto"/>
                <w:spacing w:val="-4"/>
                <w:sz w:val="21"/>
                <w:szCs w:val="21"/>
                <w:lang w:val="en-US" w:eastAsia="zh-CN"/>
              </w:rPr>
              <w:t>1874000.00元</w:t>
            </w:r>
          </w:p>
        </w:tc>
      </w:tr>
    </w:tbl>
    <w:p>
      <w:pPr>
        <w:spacing w:line="360" w:lineRule="auto"/>
        <w:ind w:firstLine="480" w:firstLineChars="200"/>
        <w:rPr>
          <w:rFonts w:ascii="宋体" w:hAnsi="宋体"/>
          <w:color w:val="auto"/>
          <w:sz w:val="24"/>
        </w:rPr>
      </w:pPr>
      <w:r>
        <w:rPr>
          <w:rFonts w:hint="eastAsia" w:ascii="宋体" w:hAnsi="宋体"/>
          <w:color w:val="auto"/>
          <w:sz w:val="24"/>
        </w:rPr>
        <w:t xml:space="preserve">注: </w:t>
      </w:r>
      <w:r>
        <w:rPr>
          <w:rFonts w:hint="eastAsia" w:ascii="宋体" w:hAnsi="宋体"/>
          <w:color w:val="auto"/>
          <w:spacing w:val="-4"/>
          <w:sz w:val="24"/>
        </w:rPr>
        <w:t>供应商</w:t>
      </w:r>
      <w:r>
        <w:rPr>
          <w:rFonts w:hint="eastAsia" w:ascii="宋体" w:hAnsi="宋体"/>
          <w:color w:val="auto"/>
          <w:sz w:val="24"/>
        </w:rPr>
        <w:t>所报价格是交付地的验收价格，其总价即为履行本项目合同的固定价格。</w:t>
      </w:r>
      <w:r>
        <w:rPr>
          <w:rFonts w:hint="eastAsia" w:ascii="宋体" w:hAnsi="宋体"/>
          <w:color w:val="auto"/>
          <w:sz w:val="24"/>
          <w:lang w:val="en-US" w:eastAsia="zh-CN"/>
        </w:rPr>
        <w:t>其中</w:t>
      </w:r>
      <w:r>
        <w:rPr>
          <w:rFonts w:hint="eastAsia" w:ascii="宋体" w:hAnsi="宋体"/>
          <w:color w:val="auto"/>
          <w:sz w:val="24"/>
        </w:rPr>
        <w:t>运输、安装、调试、检验、培训、税金</w:t>
      </w:r>
      <w:r>
        <w:rPr>
          <w:rFonts w:hint="eastAsia" w:ascii="宋体" w:hAnsi="宋体"/>
          <w:color w:val="auto"/>
          <w:sz w:val="24"/>
          <w:lang w:eastAsia="zh-CN"/>
        </w:rPr>
        <w:t>（</w:t>
      </w:r>
      <w:r>
        <w:rPr>
          <w:rFonts w:hint="eastAsia" w:ascii="宋体" w:hAnsi="宋体"/>
          <w:color w:val="auto"/>
          <w:sz w:val="24"/>
          <w:lang w:val="en-US" w:eastAsia="zh-CN"/>
        </w:rPr>
        <w:t>包含增值税、购置税</w:t>
      </w:r>
      <w:r>
        <w:rPr>
          <w:rFonts w:hint="eastAsia" w:ascii="宋体" w:hAnsi="宋体"/>
          <w:color w:val="auto"/>
          <w:sz w:val="24"/>
          <w:lang w:eastAsia="zh-CN"/>
        </w:rPr>
        <w:t>）</w:t>
      </w:r>
      <w:r>
        <w:rPr>
          <w:rFonts w:hint="eastAsia" w:ascii="宋体" w:hAnsi="宋体"/>
          <w:color w:val="auto"/>
          <w:sz w:val="24"/>
        </w:rPr>
        <w:t>和保险</w:t>
      </w:r>
      <w:r>
        <w:rPr>
          <w:rFonts w:hint="eastAsia" w:ascii="宋体" w:hAnsi="宋体"/>
          <w:color w:val="auto"/>
          <w:sz w:val="24"/>
          <w:lang w:eastAsia="zh-CN"/>
        </w:rPr>
        <w:t>、</w:t>
      </w:r>
      <w:r>
        <w:rPr>
          <w:rFonts w:hint="eastAsia" w:ascii="宋体" w:hAnsi="宋体"/>
          <w:color w:val="auto"/>
          <w:sz w:val="24"/>
          <w:lang w:val="en-US" w:eastAsia="zh-CN"/>
        </w:rPr>
        <w:t>上牌上户</w:t>
      </w:r>
      <w:r>
        <w:rPr>
          <w:rFonts w:hint="eastAsia" w:ascii="宋体" w:hAnsi="宋体"/>
          <w:color w:val="auto"/>
          <w:sz w:val="24"/>
        </w:rPr>
        <w:t>等费用（如有）以及采购文件规定的其他费用均应包含在报价中。</w:t>
      </w:r>
    </w:p>
    <w:p>
      <w:pPr>
        <w:spacing w:line="360" w:lineRule="auto"/>
        <w:rPr>
          <w:rFonts w:ascii="宋体" w:hAnsi="宋体"/>
          <w:color w:val="auto"/>
          <w:sz w:val="32"/>
        </w:rPr>
      </w:pPr>
    </w:p>
    <w:p>
      <w:pPr>
        <w:adjustRightInd w:val="0"/>
        <w:spacing w:line="360" w:lineRule="auto"/>
        <w:ind w:firstLine="600" w:firstLineChars="250"/>
        <w:jc w:val="left"/>
        <w:rPr>
          <w:rFonts w:ascii="宋体" w:hAnsi="宋体"/>
          <w:color w:val="auto"/>
          <w:sz w:val="24"/>
        </w:rPr>
      </w:pPr>
      <w:r>
        <w:rPr>
          <w:rFonts w:hint="eastAsia" w:ascii="宋体" w:hAnsi="宋体"/>
          <w:color w:val="auto"/>
          <w:sz w:val="24"/>
        </w:rPr>
        <w:t>供应商名称：XXX（盖单位公章）</w:t>
      </w:r>
    </w:p>
    <w:p>
      <w:pPr>
        <w:spacing w:line="360" w:lineRule="auto"/>
        <w:ind w:firstLine="616" w:firstLineChars="257"/>
        <w:rPr>
          <w:rFonts w:ascii="宋体" w:hAnsi="宋体"/>
          <w:color w:val="auto"/>
          <w:sz w:val="24"/>
        </w:rPr>
      </w:pPr>
      <w:r>
        <w:rPr>
          <w:rFonts w:hint="eastAsia" w:ascii="宋体" w:hAnsi="宋体"/>
          <w:color w:val="auto"/>
          <w:sz w:val="24"/>
        </w:rPr>
        <w:t>法定代表人或授权代表（签字或盖章）：XXX</w:t>
      </w:r>
    </w:p>
    <w:p>
      <w:pPr>
        <w:spacing w:line="360" w:lineRule="auto"/>
        <w:ind w:firstLine="616" w:firstLineChars="257"/>
        <w:rPr>
          <w:rFonts w:hint="eastAsia" w:ascii="宋体" w:hAnsi="宋体"/>
          <w:color w:val="auto"/>
          <w:sz w:val="24"/>
        </w:rPr>
      </w:pPr>
      <w:r>
        <w:rPr>
          <w:rFonts w:hint="eastAsia" w:ascii="宋体" w:hAnsi="宋体"/>
          <w:color w:val="auto"/>
          <w:sz w:val="24"/>
        </w:rPr>
        <w:t>日      期：XXX年XXX月XXX日</w:t>
      </w:r>
    </w:p>
    <w:p>
      <w:pPr>
        <w:pStyle w:val="2"/>
        <w:rPr>
          <w:rFonts w:hint="eastAsia" w:ascii="宋体" w:hAnsi="宋体"/>
          <w:color w:val="auto"/>
          <w:sz w:val="24"/>
        </w:rPr>
      </w:pPr>
    </w:p>
    <w:p>
      <w:pPr>
        <w:pStyle w:val="2"/>
        <w:rPr>
          <w:rFonts w:hint="eastAsia" w:ascii="宋体" w:hAnsi="宋体"/>
          <w:color w:val="auto"/>
          <w:sz w:val="24"/>
        </w:rPr>
      </w:pPr>
    </w:p>
    <w:p>
      <w:pPr>
        <w:rPr>
          <w:rFonts w:ascii="宋体" w:hAnsi="宋体"/>
          <w:b/>
          <w:color w:val="auto"/>
          <w:sz w:val="24"/>
        </w:rPr>
      </w:pPr>
      <w:r>
        <w:rPr>
          <w:rFonts w:hint="eastAsia" w:ascii="宋体" w:hAnsi="宋体"/>
          <w:b/>
          <w:color w:val="auto"/>
          <w:sz w:val="24"/>
        </w:rPr>
        <w:t>附：最后报价和承诺</w:t>
      </w:r>
    </w:p>
    <w:p>
      <w:pPr>
        <w:spacing w:line="360" w:lineRule="auto"/>
        <w:rPr>
          <w:rFonts w:ascii="宋体" w:hAnsi="宋体"/>
          <w:b/>
          <w:color w:val="auto"/>
          <w:sz w:val="24"/>
        </w:rPr>
      </w:pPr>
      <w:r>
        <w:rPr>
          <w:rFonts w:hint="eastAsia" w:ascii="宋体" w:hAnsi="宋体"/>
          <w:b/>
          <w:color w:val="auto"/>
          <w:sz w:val="24"/>
        </w:rPr>
        <w:t>（评审小组现场提供，由通过资格性/符合性审核的供应商磋商后现场填写，以最后报价进行报价评分。供应商最后报价和初始报价金额有浮动的，可按下列情况调整</w:t>
      </w:r>
      <w:r>
        <w:rPr>
          <w:rFonts w:hint="eastAsia" w:ascii="宋体" w:hAnsi="宋体"/>
          <w:b/>
          <w:color w:val="auto"/>
          <w:sz w:val="24"/>
          <w:lang w:val="en-US" w:eastAsia="zh-CN"/>
        </w:rPr>
        <w:t>单价</w:t>
      </w:r>
      <w:r>
        <w:rPr>
          <w:rFonts w:hint="eastAsia" w:ascii="宋体" w:hAnsi="宋体"/>
          <w:b/>
          <w:color w:val="auto"/>
          <w:sz w:val="24"/>
        </w:rPr>
        <w:t>：1、根据浮动比例确定各分项单价。2、按合同双方的约定调整各分项单价。</w:t>
      </w:r>
      <w:r>
        <w:rPr>
          <w:rFonts w:hint="eastAsia" w:ascii="宋体" w:hAnsi="宋体"/>
          <w:b/>
          <w:color w:val="auto"/>
          <w:sz w:val="24"/>
          <w:lang w:val="en-US" w:eastAsia="zh-CN"/>
        </w:rPr>
        <w:t>3、成交供应商根据首次报价自行调整。</w:t>
      </w:r>
      <w:r>
        <w:rPr>
          <w:rFonts w:hint="eastAsia" w:ascii="宋体" w:hAnsi="宋体"/>
          <w:b/>
          <w:color w:val="auto"/>
          <w:sz w:val="24"/>
        </w:rPr>
        <w:t>）</w:t>
      </w: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rFonts w:hint="eastAsia" w:ascii="宋体" w:hAnsi="宋体"/>
          <w:color w:val="auto"/>
          <w:sz w:val="24"/>
        </w:rPr>
        <w:sectPr>
          <w:footerReference r:id="rId14" w:type="default"/>
          <w:type w:val="continuous"/>
          <w:pgSz w:w="11907" w:h="16839"/>
          <w:pgMar w:top="1474" w:right="1474" w:bottom="1474" w:left="1474" w:header="720" w:footer="720" w:gutter="0"/>
          <w:pgNumType w:fmt="decimal"/>
          <w:cols w:space="720" w:num="1"/>
          <w:docGrid w:linePitch="312" w:charSpace="0"/>
        </w:sectPr>
      </w:pPr>
    </w:p>
    <w:p>
      <w:pPr>
        <w:pStyle w:val="2"/>
        <w:rPr>
          <w:color w:val="auto"/>
        </w:rPr>
      </w:pPr>
    </w:p>
    <w:p>
      <w:pPr>
        <w:jc w:val="center"/>
        <w:rPr>
          <w:rFonts w:ascii="宋体" w:hAnsi="宋体"/>
          <w:b/>
          <w:bCs/>
          <w:color w:val="auto"/>
          <w:sz w:val="30"/>
          <w:szCs w:val="30"/>
        </w:rPr>
      </w:pPr>
      <w:r>
        <w:rPr>
          <w:rFonts w:hint="eastAsia" w:ascii="宋体" w:hAnsi="宋体"/>
          <w:b/>
          <w:bCs/>
          <w:color w:val="auto"/>
          <w:sz w:val="30"/>
          <w:szCs w:val="30"/>
          <w:lang w:val="en-US" w:eastAsia="zh-CN"/>
        </w:rPr>
        <w:t>六</w:t>
      </w:r>
      <w:r>
        <w:rPr>
          <w:rFonts w:hint="eastAsia" w:ascii="宋体" w:hAnsi="宋体"/>
          <w:b/>
          <w:bCs/>
          <w:color w:val="auto"/>
          <w:sz w:val="30"/>
          <w:szCs w:val="30"/>
        </w:rPr>
        <w:t>、技术应答表</w:t>
      </w:r>
    </w:p>
    <w:p>
      <w:pPr>
        <w:pStyle w:val="19"/>
        <w:pBdr>
          <w:bottom w:val="none" w:color="auto" w:sz="0" w:space="0"/>
        </w:pBdr>
        <w:tabs>
          <w:tab w:val="clear" w:pos="4153"/>
          <w:tab w:val="clear" w:pos="8306"/>
        </w:tabs>
        <w:snapToGrid/>
        <w:jc w:val="both"/>
        <w:rPr>
          <w:rFonts w:ascii="宋体" w:hAnsi="宋体"/>
          <w:color w:val="auto"/>
          <w:sz w:val="24"/>
          <w:szCs w:val="24"/>
        </w:rPr>
      </w:pPr>
    </w:p>
    <w:p>
      <w:pPr>
        <w:spacing w:line="360" w:lineRule="auto"/>
        <w:rPr>
          <w:rFonts w:hint="eastAsia" w:ascii="宋体" w:hAnsi="宋体" w:eastAsia="宋体"/>
          <w:color w:val="auto"/>
          <w:sz w:val="24"/>
          <w:lang w:eastAsia="zh-CN"/>
        </w:rPr>
      </w:pPr>
      <w:r>
        <w:rPr>
          <w:rFonts w:hint="eastAsia" w:ascii="宋体" w:hAnsi="宋体"/>
          <w:color w:val="auto"/>
          <w:sz w:val="24"/>
        </w:rPr>
        <w:t>项目编号：</w:t>
      </w:r>
      <w:r>
        <w:rPr>
          <w:rFonts w:hint="eastAsia" w:ascii="宋体" w:hAnsi="宋体"/>
          <w:color w:val="auto"/>
          <w:sz w:val="24"/>
          <w:lang w:eastAsia="zh-CN"/>
        </w:rPr>
        <w:t>四川玖久公信绵高新市政磋（2022）1号</w:t>
      </w:r>
    </w:p>
    <w:p>
      <w:pPr>
        <w:spacing w:line="360" w:lineRule="auto"/>
        <w:rPr>
          <w:rFonts w:hint="eastAsia" w:ascii="宋体" w:hAnsi="宋体" w:eastAsia="宋体"/>
          <w:color w:val="auto"/>
          <w:sz w:val="24"/>
          <w:lang w:eastAsia="zh-CN"/>
        </w:rPr>
      </w:pPr>
      <w:r>
        <w:rPr>
          <w:rFonts w:hint="eastAsia" w:ascii="宋体" w:hAnsi="宋体"/>
          <w:color w:val="auto"/>
          <w:sz w:val="24"/>
        </w:rPr>
        <w:t>项目名称：</w:t>
      </w:r>
      <w:r>
        <w:rPr>
          <w:rFonts w:hint="eastAsia" w:ascii="宋体" w:hAnsi="宋体"/>
          <w:color w:val="auto"/>
          <w:sz w:val="24"/>
          <w:u w:val="none"/>
          <w:lang w:val="en-US" w:eastAsia="zh-CN"/>
        </w:rPr>
        <w:t>采购</w:t>
      </w:r>
      <w:r>
        <w:rPr>
          <w:rFonts w:hint="eastAsia" w:ascii="宋体" w:hAnsi="宋体"/>
          <w:color w:val="auto"/>
          <w:sz w:val="24"/>
          <w:u w:val="none"/>
          <w:lang w:eastAsia="zh-CN"/>
        </w:rPr>
        <w:t>洗扫车、洒水车</w:t>
      </w:r>
      <w:r>
        <w:rPr>
          <w:rFonts w:hint="eastAsia" w:ascii="宋体" w:hAnsi="宋体"/>
          <w:color w:val="auto"/>
          <w:sz w:val="24"/>
          <w:u w:val="none"/>
          <w:lang w:val="en-US" w:eastAsia="zh-CN"/>
        </w:rPr>
        <w:t>一批</w:t>
      </w:r>
    </w:p>
    <w:tbl>
      <w:tblPr>
        <w:tblStyle w:val="29"/>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914"/>
        <w:gridCol w:w="2551"/>
        <w:gridCol w:w="3023"/>
        <w:gridCol w:w="18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noWrap w:val="0"/>
            <w:vAlign w:val="center"/>
          </w:tcPr>
          <w:p>
            <w:pPr>
              <w:jc w:val="center"/>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产品名称</w:t>
            </w:r>
          </w:p>
        </w:tc>
        <w:tc>
          <w:tcPr>
            <w:tcW w:w="914" w:type="dxa"/>
            <w:noWrap w:val="0"/>
            <w:vAlign w:val="center"/>
          </w:tcPr>
          <w:p>
            <w:pPr>
              <w:jc w:val="center"/>
              <w:rPr>
                <w:rFonts w:ascii="宋体" w:hAnsi="宋体"/>
                <w:color w:val="auto"/>
                <w:sz w:val="21"/>
                <w:szCs w:val="21"/>
              </w:rPr>
            </w:pPr>
            <w:r>
              <w:rPr>
                <w:rFonts w:hint="eastAsia" w:ascii="宋体" w:hAnsi="宋体"/>
                <w:color w:val="auto"/>
                <w:sz w:val="21"/>
                <w:szCs w:val="21"/>
              </w:rPr>
              <w:t>序号</w:t>
            </w:r>
          </w:p>
        </w:tc>
        <w:tc>
          <w:tcPr>
            <w:tcW w:w="2551" w:type="dxa"/>
            <w:noWrap w:val="0"/>
            <w:vAlign w:val="center"/>
          </w:tcPr>
          <w:p>
            <w:pPr>
              <w:jc w:val="center"/>
              <w:rPr>
                <w:rFonts w:ascii="宋体" w:hAnsi="宋体"/>
                <w:color w:val="auto"/>
                <w:sz w:val="21"/>
                <w:szCs w:val="21"/>
              </w:rPr>
            </w:pPr>
            <w:r>
              <w:rPr>
                <w:rFonts w:hint="eastAsia" w:ascii="宋体" w:hAnsi="宋体"/>
                <w:color w:val="auto"/>
                <w:sz w:val="21"/>
                <w:szCs w:val="21"/>
              </w:rPr>
              <w:t>采购文件要求</w:t>
            </w:r>
          </w:p>
        </w:tc>
        <w:tc>
          <w:tcPr>
            <w:tcW w:w="3023" w:type="dxa"/>
            <w:noWrap w:val="0"/>
            <w:vAlign w:val="center"/>
          </w:tcPr>
          <w:p>
            <w:pPr>
              <w:jc w:val="center"/>
              <w:rPr>
                <w:rFonts w:ascii="宋体" w:hAnsi="宋体"/>
                <w:color w:val="auto"/>
                <w:sz w:val="21"/>
                <w:szCs w:val="21"/>
              </w:rPr>
            </w:pPr>
            <w:r>
              <w:rPr>
                <w:rFonts w:hint="eastAsia" w:ascii="宋体" w:hAnsi="宋体"/>
                <w:color w:val="auto"/>
                <w:sz w:val="21"/>
                <w:szCs w:val="21"/>
              </w:rPr>
              <w:t>响应情况</w:t>
            </w:r>
          </w:p>
        </w:tc>
        <w:tc>
          <w:tcPr>
            <w:tcW w:w="1868" w:type="dxa"/>
            <w:noWrap w:val="0"/>
            <w:vAlign w:val="center"/>
          </w:tcPr>
          <w:p>
            <w:pPr>
              <w:jc w:val="center"/>
              <w:rPr>
                <w:rFonts w:ascii="宋体" w:hAnsi="宋体"/>
                <w:color w:val="auto"/>
                <w:sz w:val="21"/>
                <w:szCs w:val="21"/>
              </w:rPr>
            </w:pPr>
            <w:r>
              <w:rPr>
                <w:rFonts w:hint="eastAsia" w:ascii="宋体" w:hAnsi="宋体"/>
                <w:color w:val="auto"/>
                <w:sz w:val="21"/>
                <w:szCs w:val="21"/>
              </w:rPr>
              <w:t>偏离情况及说明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Merge w:val="restart"/>
            <w:noWrap w:val="0"/>
            <w:vAlign w:val="center"/>
          </w:tcPr>
          <w:p>
            <w:pPr>
              <w:jc w:val="center"/>
              <w:rPr>
                <w:rFonts w:hint="eastAsia" w:ascii="宋体" w:hAnsi="宋体"/>
                <w:color w:val="auto"/>
                <w:sz w:val="21"/>
                <w:szCs w:val="21"/>
              </w:rPr>
            </w:pPr>
            <w:r>
              <w:rPr>
                <w:rFonts w:hint="eastAsia" w:ascii="宋体" w:hAnsi="宋体"/>
                <w:color w:val="auto"/>
                <w:sz w:val="21"/>
                <w:szCs w:val="21"/>
                <w:lang w:eastAsia="zh-CN"/>
              </w:rPr>
              <w:t>洗扫车</w:t>
            </w:r>
          </w:p>
        </w:tc>
        <w:tc>
          <w:tcPr>
            <w:tcW w:w="914" w:type="dxa"/>
            <w:noWrap w:val="0"/>
            <w:vAlign w:val="center"/>
          </w:tcPr>
          <w:p>
            <w:pPr>
              <w:jc w:val="center"/>
              <w:rPr>
                <w:rFonts w:ascii="宋体" w:hAnsi="宋体"/>
                <w:color w:val="auto"/>
                <w:sz w:val="21"/>
                <w:szCs w:val="21"/>
              </w:rPr>
            </w:pPr>
            <w:r>
              <w:rPr>
                <w:rFonts w:hint="eastAsia" w:ascii="宋体" w:hAnsi="宋体"/>
                <w:color w:val="auto"/>
                <w:sz w:val="21"/>
                <w:szCs w:val="21"/>
              </w:rPr>
              <w:t>1</w:t>
            </w:r>
          </w:p>
        </w:tc>
        <w:tc>
          <w:tcPr>
            <w:tcW w:w="2551" w:type="dxa"/>
            <w:noWrap w:val="0"/>
            <w:vAlign w:val="center"/>
          </w:tcPr>
          <w:p>
            <w:pPr>
              <w:jc w:val="center"/>
              <w:rPr>
                <w:rFonts w:ascii="宋体" w:hAnsi="宋体"/>
                <w:color w:val="auto"/>
                <w:sz w:val="21"/>
                <w:szCs w:val="21"/>
              </w:rPr>
            </w:pPr>
          </w:p>
        </w:tc>
        <w:tc>
          <w:tcPr>
            <w:tcW w:w="3023" w:type="dxa"/>
            <w:noWrap w:val="0"/>
            <w:vAlign w:val="center"/>
          </w:tcPr>
          <w:p>
            <w:pPr>
              <w:jc w:val="center"/>
              <w:rPr>
                <w:rFonts w:ascii="宋体" w:hAnsi="宋体"/>
                <w:color w:val="auto"/>
                <w:sz w:val="21"/>
                <w:szCs w:val="21"/>
              </w:rPr>
            </w:pPr>
          </w:p>
        </w:tc>
        <w:tc>
          <w:tcPr>
            <w:tcW w:w="1868" w:type="dxa"/>
            <w:noWrap w:val="0"/>
            <w:vAlign w:val="center"/>
          </w:tcPr>
          <w:p>
            <w:pPr>
              <w:jc w:val="center"/>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Merge w:val="continue"/>
            <w:noWrap w:val="0"/>
            <w:vAlign w:val="center"/>
          </w:tcPr>
          <w:p>
            <w:pPr>
              <w:jc w:val="center"/>
              <w:rPr>
                <w:rFonts w:hint="eastAsia" w:ascii="宋体" w:hAnsi="宋体"/>
                <w:color w:val="auto"/>
                <w:sz w:val="21"/>
                <w:szCs w:val="21"/>
                <w:lang w:val="en-US" w:eastAsia="zh-CN"/>
              </w:rPr>
            </w:pPr>
          </w:p>
        </w:tc>
        <w:tc>
          <w:tcPr>
            <w:tcW w:w="914" w:type="dxa"/>
            <w:noWrap w:val="0"/>
            <w:vAlign w:val="center"/>
          </w:tcPr>
          <w:p>
            <w:pPr>
              <w:jc w:val="center"/>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2</w:t>
            </w:r>
          </w:p>
        </w:tc>
        <w:tc>
          <w:tcPr>
            <w:tcW w:w="2551" w:type="dxa"/>
            <w:noWrap w:val="0"/>
            <w:vAlign w:val="center"/>
          </w:tcPr>
          <w:p>
            <w:pPr>
              <w:jc w:val="center"/>
              <w:rPr>
                <w:rFonts w:ascii="宋体" w:hAnsi="宋体"/>
                <w:color w:val="auto"/>
                <w:sz w:val="21"/>
                <w:szCs w:val="21"/>
              </w:rPr>
            </w:pPr>
          </w:p>
        </w:tc>
        <w:tc>
          <w:tcPr>
            <w:tcW w:w="3023" w:type="dxa"/>
            <w:noWrap w:val="0"/>
            <w:vAlign w:val="center"/>
          </w:tcPr>
          <w:p>
            <w:pPr>
              <w:jc w:val="center"/>
              <w:rPr>
                <w:rFonts w:ascii="宋体" w:hAnsi="宋体"/>
                <w:color w:val="auto"/>
                <w:sz w:val="21"/>
                <w:szCs w:val="21"/>
              </w:rPr>
            </w:pPr>
          </w:p>
        </w:tc>
        <w:tc>
          <w:tcPr>
            <w:tcW w:w="1868" w:type="dxa"/>
            <w:noWrap w:val="0"/>
            <w:vAlign w:val="center"/>
          </w:tcPr>
          <w:p>
            <w:pPr>
              <w:jc w:val="center"/>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Merge w:val="continue"/>
            <w:noWrap w:val="0"/>
            <w:vAlign w:val="center"/>
          </w:tcPr>
          <w:p>
            <w:pPr>
              <w:jc w:val="center"/>
              <w:rPr>
                <w:rFonts w:hint="eastAsia" w:ascii="宋体" w:hAnsi="宋体"/>
                <w:color w:val="auto"/>
                <w:sz w:val="21"/>
                <w:szCs w:val="21"/>
                <w:lang w:val="en-US" w:eastAsia="zh-CN"/>
              </w:rPr>
            </w:pPr>
          </w:p>
        </w:tc>
        <w:tc>
          <w:tcPr>
            <w:tcW w:w="914" w:type="dxa"/>
            <w:noWrap w:val="0"/>
            <w:vAlign w:val="center"/>
          </w:tcPr>
          <w:p>
            <w:pPr>
              <w:jc w:val="center"/>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3</w:t>
            </w:r>
          </w:p>
        </w:tc>
        <w:tc>
          <w:tcPr>
            <w:tcW w:w="2551" w:type="dxa"/>
            <w:noWrap w:val="0"/>
            <w:vAlign w:val="center"/>
          </w:tcPr>
          <w:p>
            <w:pPr>
              <w:jc w:val="center"/>
              <w:rPr>
                <w:rFonts w:ascii="宋体" w:hAnsi="宋体"/>
                <w:color w:val="auto"/>
                <w:sz w:val="21"/>
                <w:szCs w:val="21"/>
              </w:rPr>
            </w:pPr>
          </w:p>
        </w:tc>
        <w:tc>
          <w:tcPr>
            <w:tcW w:w="3023" w:type="dxa"/>
            <w:noWrap w:val="0"/>
            <w:vAlign w:val="center"/>
          </w:tcPr>
          <w:p>
            <w:pPr>
              <w:jc w:val="center"/>
              <w:rPr>
                <w:rFonts w:ascii="宋体" w:hAnsi="宋体"/>
                <w:color w:val="auto"/>
                <w:sz w:val="21"/>
                <w:szCs w:val="21"/>
              </w:rPr>
            </w:pPr>
          </w:p>
        </w:tc>
        <w:tc>
          <w:tcPr>
            <w:tcW w:w="1868" w:type="dxa"/>
            <w:noWrap w:val="0"/>
            <w:vAlign w:val="center"/>
          </w:tcPr>
          <w:p>
            <w:pPr>
              <w:jc w:val="center"/>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Merge w:val="continue"/>
            <w:noWrap w:val="0"/>
            <w:vAlign w:val="center"/>
          </w:tcPr>
          <w:p>
            <w:pPr>
              <w:jc w:val="center"/>
              <w:rPr>
                <w:rFonts w:hint="eastAsia" w:ascii="宋体" w:hAnsi="宋体"/>
                <w:color w:val="auto"/>
                <w:sz w:val="21"/>
                <w:szCs w:val="21"/>
                <w:lang w:eastAsia="zh-CN"/>
              </w:rPr>
            </w:pPr>
          </w:p>
        </w:tc>
        <w:tc>
          <w:tcPr>
            <w:tcW w:w="914" w:type="dxa"/>
            <w:noWrap w:val="0"/>
            <w:vAlign w:val="center"/>
          </w:tcPr>
          <w:p>
            <w:pPr>
              <w:jc w:val="center"/>
              <w:rPr>
                <w:rFonts w:hint="eastAsia" w:ascii="宋体" w:hAnsi="宋体" w:eastAsia="宋体"/>
                <w:color w:val="auto"/>
                <w:sz w:val="21"/>
                <w:szCs w:val="21"/>
                <w:lang w:eastAsia="zh-CN"/>
              </w:rPr>
            </w:pPr>
            <w:r>
              <w:rPr>
                <w:rFonts w:hint="eastAsia" w:ascii="宋体" w:hAnsi="宋体"/>
                <w:color w:val="auto"/>
                <w:sz w:val="21"/>
                <w:szCs w:val="21"/>
                <w:lang w:eastAsia="zh-CN"/>
              </w:rPr>
              <w:t>……</w:t>
            </w:r>
          </w:p>
        </w:tc>
        <w:tc>
          <w:tcPr>
            <w:tcW w:w="2551" w:type="dxa"/>
            <w:noWrap w:val="0"/>
            <w:vAlign w:val="center"/>
          </w:tcPr>
          <w:p>
            <w:pPr>
              <w:jc w:val="center"/>
              <w:rPr>
                <w:rFonts w:ascii="宋体" w:hAnsi="宋体"/>
                <w:color w:val="auto"/>
                <w:sz w:val="21"/>
                <w:szCs w:val="21"/>
              </w:rPr>
            </w:pPr>
          </w:p>
        </w:tc>
        <w:tc>
          <w:tcPr>
            <w:tcW w:w="3023" w:type="dxa"/>
            <w:noWrap w:val="0"/>
            <w:vAlign w:val="center"/>
          </w:tcPr>
          <w:p>
            <w:pPr>
              <w:jc w:val="center"/>
              <w:rPr>
                <w:rFonts w:ascii="宋体" w:hAnsi="宋体"/>
                <w:color w:val="auto"/>
                <w:sz w:val="21"/>
                <w:szCs w:val="21"/>
              </w:rPr>
            </w:pPr>
          </w:p>
        </w:tc>
        <w:tc>
          <w:tcPr>
            <w:tcW w:w="1868" w:type="dxa"/>
            <w:noWrap w:val="0"/>
            <w:vAlign w:val="center"/>
          </w:tcPr>
          <w:p>
            <w:pPr>
              <w:jc w:val="center"/>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Merge w:val="restart"/>
            <w:noWrap w:val="0"/>
            <w:vAlign w:val="center"/>
          </w:tcPr>
          <w:p>
            <w:pPr>
              <w:jc w:val="center"/>
              <w:rPr>
                <w:rFonts w:hint="eastAsia" w:ascii="宋体" w:hAnsi="宋体"/>
                <w:color w:val="auto"/>
                <w:sz w:val="21"/>
                <w:szCs w:val="21"/>
                <w:lang w:val="en-US" w:eastAsia="zh-CN"/>
              </w:rPr>
            </w:pPr>
            <w:r>
              <w:rPr>
                <w:rFonts w:hint="eastAsia" w:ascii="宋体" w:hAnsi="宋体"/>
                <w:color w:val="auto"/>
                <w:sz w:val="21"/>
                <w:szCs w:val="21"/>
                <w:lang w:eastAsia="zh-CN"/>
              </w:rPr>
              <w:t>洒水车</w:t>
            </w:r>
          </w:p>
        </w:tc>
        <w:tc>
          <w:tcPr>
            <w:tcW w:w="914" w:type="dxa"/>
            <w:noWrap w:val="0"/>
            <w:vAlign w:val="center"/>
          </w:tcPr>
          <w:p>
            <w:pPr>
              <w:jc w:val="center"/>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1</w:t>
            </w:r>
          </w:p>
        </w:tc>
        <w:tc>
          <w:tcPr>
            <w:tcW w:w="2551" w:type="dxa"/>
            <w:noWrap w:val="0"/>
            <w:vAlign w:val="center"/>
          </w:tcPr>
          <w:p>
            <w:pPr>
              <w:jc w:val="center"/>
              <w:rPr>
                <w:rFonts w:ascii="宋体" w:hAnsi="宋体"/>
                <w:color w:val="auto"/>
                <w:sz w:val="21"/>
                <w:szCs w:val="21"/>
              </w:rPr>
            </w:pPr>
          </w:p>
        </w:tc>
        <w:tc>
          <w:tcPr>
            <w:tcW w:w="3023" w:type="dxa"/>
            <w:noWrap w:val="0"/>
            <w:vAlign w:val="center"/>
          </w:tcPr>
          <w:p>
            <w:pPr>
              <w:jc w:val="center"/>
              <w:rPr>
                <w:rFonts w:ascii="宋体" w:hAnsi="宋体"/>
                <w:color w:val="auto"/>
                <w:sz w:val="21"/>
                <w:szCs w:val="21"/>
              </w:rPr>
            </w:pPr>
          </w:p>
        </w:tc>
        <w:tc>
          <w:tcPr>
            <w:tcW w:w="1868" w:type="dxa"/>
            <w:noWrap w:val="0"/>
            <w:vAlign w:val="center"/>
          </w:tcPr>
          <w:p>
            <w:pPr>
              <w:jc w:val="center"/>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Merge w:val="continue"/>
            <w:noWrap w:val="0"/>
            <w:vAlign w:val="center"/>
          </w:tcPr>
          <w:p>
            <w:pPr>
              <w:jc w:val="center"/>
              <w:rPr>
                <w:rFonts w:hint="eastAsia" w:ascii="宋体" w:hAnsi="宋体"/>
                <w:color w:val="auto"/>
                <w:sz w:val="21"/>
                <w:szCs w:val="21"/>
                <w:lang w:val="en-US" w:eastAsia="zh-CN"/>
              </w:rPr>
            </w:pPr>
          </w:p>
        </w:tc>
        <w:tc>
          <w:tcPr>
            <w:tcW w:w="914" w:type="dxa"/>
            <w:noWrap w:val="0"/>
            <w:vAlign w:val="center"/>
          </w:tcPr>
          <w:p>
            <w:pPr>
              <w:jc w:val="center"/>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2</w:t>
            </w:r>
          </w:p>
        </w:tc>
        <w:tc>
          <w:tcPr>
            <w:tcW w:w="2551" w:type="dxa"/>
            <w:noWrap w:val="0"/>
            <w:vAlign w:val="center"/>
          </w:tcPr>
          <w:p>
            <w:pPr>
              <w:jc w:val="center"/>
              <w:rPr>
                <w:rFonts w:ascii="宋体" w:hAnsi="宋体"/>
                <w:color w:val="auto"/>
                <w:sz w:val="21"/>
                <w:szCs w:val="21"/>
              </w:rPr>
            </w:pPr>
          </w:p>
        </w:tc>
        <w:tc>
          <w:tcPr>
            <w:tcW w:w="3023" w:type="dxa"/>
            <w:noWrap w:val="0"/>
            <w:vAlign w:val="center"/>
          </w:tcPr>
          <w:p>
            <w:pPr>
              <w:jc w:val="center"/>
              <w:rPr>
                <w:rFonts w:ascii="宋体" w:hAnsi="宋体"/>
                <w:color w:val="auto"/>
                <w:sz w:val="21"/>
                <w:szCs w:val="21"/>
              </w:rPr>
            </w:pPr>
          </w:p>
        </w:tc>
        <w:tc>
          <w:tcPr>
            <w:tcW w:w="1868" w:type="dxa"/>
            <w:noWrap w:val="0"/>
            <w:vAlign w:val="center"/>
          </w:tcPr>
          <w:p>
            <w:pPr>
              <w:jc w:val="center"/>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Merge w:val="continue"/>
            <w:noWrap w:val="0"/>
            <w:vAlign w:val="center"/>
          </w:tcPr>
          <w:p>
            <w:pPr>
              <w:jc w:val="center"/>
              <w:rPr>
                <w:rFonts w:hint="eastAsia" w:ascii="宋体" w:hAnsi="宋体"/>
                <w:color w:val="auto"/>
                <w:sz w:val="21"/>
                <w:szCs w:val="21"/>
                <w:lang w:val="en-US" w:eastAsia="zh-CN"/>
              </w:rPr>
            </w:pPr>
          </w:p>
        </w:tc>
        <w:tc>
          <w:tcPr>
            <w:tcW w:w="914" w:type="dxa"/>
            <w:noWrap w:val="0"/>
            <w:vAlign w:val="center"/>
          </w:tcPr>
          <w:p>
            <w:pPr>
              <w:jc w:val="center"/>
              <w:rPr>
                <w:rFonts w:hint="eastAsia" w:ascii="宋体" w:hAnsi="宋体" w:eastAsia="宋体"/>
                <w:color w:val="auto"/>
                <w:sz w:val="21"/>
                <w:szCs w:val="21"/>
                <w:lang w:val="en-US" w:eastAsia="zh-CN"/>
              </w:rPr>
            </w:pPr>
            <w:r>
              <w:rPr>
                <w:rFonts w:hint="eastAsia" w:ascii="宋体" w:hAnsi="宋体"/>
                <w:color w:val="auto"/>
                <w:sz w:val="21"/>
                <w:szCs w:val="21"/>
                <w:lang w:val="en-US" w:eastAsia="zh-CN"/>
              </w:rPr>
              <w:t>3</w:t>
            </w:r>
          </w:p>
        </w:tc>
        <w:tc>
          <w:tcPr>
            <w:tcW w:w="2551" w:type="dxa"/>
            <w:noWrap w:val="0"/>
            <w:vAlign w:val="center"/>
          </w:tcPr>
          <w:p>
            <w:pPr>
              <w:jc w:val="center"/>
              <w:rPr>
                <w:rFonts w:ascii="宋体" w:hAnsi="宋体"/>
                <w:color w:val="auto"/>
                <w:sz w:val="21"/>
                <w:szCs w:val="21"/>
              </w:rPr>
            </w:pPr>
          </w:p>
        </w:tc>
        <w:tc>
          <w:tcPr>
            <w:tcW w:w="3023" w:type="dxa"/>
            <w:noWrap w:val="0"/>
            <w:vAlign w:val="center"/>
          </w:tcPr>
          <w:p>
            <w:pPr>
              <w:jc w:val="center"/>
              <w:rPr>
                <w:rFonts w:ascii="宋体" w:hAnsi="宋体"/>
                <w:color w:val="auto"/>
                <w:sz w:val="21"/>
                <w:szCs w:val="21"/>
              </w:rPr>
            </w:pPr>
          </w:p>
        </w:tc>
        <w:tc>
          <w:tcPr>
            <w:tcW w:w="1868" w:type="dxa"/>
            <w:noWrap w:val="0"/>
            <w:vAlign w:val="center"/>
          </w:tcPr>
          <w:p>
            <w:pPr>
              <w:jc w:val="center"/>
              <w:rPr>
                <w:rFonts w:ascii="宋体" w:hAnsi="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4" w:type="dxa"/>
            <w:vMerge w:val="continue"/>
            <w:noWrap w:val="0"/>
            <w:vAlign w:val="center"/>
          </w:tcPr>
          <w:p>
            <w:pPr>
              <w:jc w:val="center"/>
              <w:rPr>
                <w:rFonts w:hint="eastAsia" w:ascii="宋体" w:hAnsi="宋体"/>
                <w:color w:val="auto"/>
                <w:sz w:val="21"/>
                <w:szCs w:val="21"/>
                <w:lang w:val="en-US" w:eastAsia="zh-CN"/>
              </w:rPr>
            </w:pPr>
          </w:p>
        </w:tc>
        <w:tc>
          <w:tcPr>
            <w:tcW w:w="914" w:type="dxa"/>
            <w:noWrap w:val="0"/>
            <w:vAlign w:val="center"/>
          </w:tcPr>
          <w:p>
            <w:pPr>
              <w:jc w:val="center"/>
              <w:rPr>
                <w:rFonts w:hint="eastAsia" w:ascii="宋体" w:hAnsi="宋体"/>
                <w:color w:val="auto"/>
                <w:sz w:val="21"/>
                <w:szCs w:val="21"/>
                <w:lang w:val="en-US" w:eastAsia="zh-CN"/>
              </w:rPr>
            </w:pPr>
            <w:r>
              <w:rPr>
                <w:rFonts w:hint="eastAsia" w:ascii="宋体" w:hAnsi="宋体"/>
                <w:color w:val="auto"/>
                <w:sz w:val="21"/>
                <w:szCs w:val="21"/>
                <w:lang w:val="en-US" w:eastAsia="zh-CN"/>
              </w:rPr>
              <w:t>……</w:t>
            </w:r>
          </w:p>
        </w:tc>
        <w:tc>
          <w:tcPr>
            <w:tcW w:w="2551" w:type="dxa"/>
            <w:noWrap w:val="0"/>
            <w:vAlign w:val="center"/>
          </w:tcPr>
          <w:p>
            <w:pPr>
              <w:jc w:val="center"/>
              <w:rPr>
                <w:rFonts w:ascii="宋体" w:hAnsi="宋体"/>
                <w:color w:val="auto"/>
                <w:sz w:val="21"/>
                <w:szCs w:val="21"/>
              </w:rPr>
            </w:pPr>
          </w:p>
        </w:tc>
        <w:tc>
          <w:tcPr>
            <w:tcW w:w="3023" w:type="dxa"/>
            <w:noWrap w:val="0"/>
            <w:vAlign w:val="center"/>
          </w:tcPr>
          <w:p>
            <w:pPr>
              <w:jc w:val="center"/>
              <w:rPr>
                <w:rFonts w:ascii="宋体" w:hAnsi="宋体"/>
                <w:color w:val="auto"/>
                <w:sz w:val="21"/>
                <w:szCs w:val="21"/>
              </w:rPr>
            </w:pPr>
          </w:p>
        </w:tc>
        <w:tc>
          <w:tcPr>
            <w:tcW w:w="1868" w:type="dxa"/>
            <w:noWrap w:val="0"/>
            <w:vAlign w:val="center"/>
          </w:tcPr>
          <w:p>
            <w:pPr>
              <w:jc w:val="center"/>
              <w:rPr>
                <w:rFonts w:ascii="宋体" w:hAnsi="宋体"/>
                <w:color w:val="auto"/>
                <w:sz w:val="21"/>
                <w:szCs w:val="21"/>
              </w:rPr>
            </w:pPr>
          </w:p>
        </w:tc>
      </w:tr>
    </w:tbl>
    <w:p>
      <w:pPr>
        <w:spacing w:line="360" w:lineRule="auto"/>
        <w:ind w:firstLine="470" w:firstLineChars="196"/>
        <w:rPr>
          <w:rFonts w:ascii="宋体" w:hAnsi="宋体"/>
          <w:b/>
          <w:color w:val="auto"/>
          <w:sz w:val="24"/>
        </w:rPr>
      </w:pPr>
      <w:r>
        <w:rPr>
          <w:rFonts w:hint="eastAsia" w:ascii="宋体" w:hAnsi="宋体"/>
          <w:color w:val="auto"/>
          <w:sz w:val="24"/>
        </w:rPr>
        <w:t>注：供应商必须根据磋商文件第六章“</w:t>
      </w:r>
      <w:r>
        <w:rPr>
          <w:rFonts w:hint="eastAsia" w:ascii="宋体" w:hAnsi="宋体"/>
          <w:color w:val="auto"/>
          <w:sz w:val="24"/>
          <w:lang w:val="en-US" w:eastAsia="zh-CN"/>
        </w:rPr>
        <w:t>技术参数要求</w:t>
      </w:r>
      <w:r>
        <w:rPr>
          <w:rFonts w:hint="eastAsia" w:ascii="宋体" w:hAnsi="宋体"/>
          <w:color w:val="auto"/>
          <w:sz w:val="24"/>
        </w:rPr>
        <w:t>”内容据实逐条填写，不得虚假响应，虚假响应的，其响应文件无效并按规定追究其相关责任。响应无负偏离视为供应商已完全接受本项目要求并书面承诺。</w:t>
      </w:r>
    </w:p>
    <w:p>
      <w:pPr>
        <w:adjustRightInd w:val="0"/>
        <w:spacing w:line="400" w:lineRule="exact"/>
        <w:ind w:firstLine="480" w:firstLineChars="200"/>
        <w:jc w:val="left"/>
        <w:rPr>
          <w:rFonts w:ascii="宋体" w:hAnsi="宋体"/>
          <w:color w:val="auto"/>
          <w:sz w:val="24"/>
        </w:rPr>
      </w:pPr>
    </w:p>
    <w:p>
      <w:pPr>
        <w:adjustRightInd w:val="0"/>
        <w:spacing w:line="360" w:lineRule="auto"/>
        <w:ind w:firstLine="480" w:firstLineChars="200"/>
        <w:jc w:val="left"/>
        <w:rPr>
          <w:rFonts w:ascii="宋体" w:hAnsi="宋体"/>
          <w:color w:val="auto"/>
          <w:sz w:val="24"/>
        </w:rPr>
      </w:pPr>
      <w:r>
        <w:rPr>
          <w:rFonts w:hint="eastAsia" w:ascii="宋体" w:hAnsi="宋体"/>
          <w:color w:val="auto"/>
          <w:sz w:val="24"/>
        </w:rPr>
        <w:t>供应商名称：XXX（盖单位公章）</w:t>
      </w:r>
    </w:p>
    <w:p>
      <w:pPr>
        <w:adjustRightInd w:val="0"/>
        <w:spacing w:line="360" w:lineRule="auto"/>
        <w:ind w:firstLine="480" w:firstLineChars="200"/>
        <w:jc w:val="left"/>
        <w:rPr>
          <w:rFonts w:ascii="宋体" w:hAnsi="宋体"/>
          <w:bCs/>
          <w:color w:val="auto"/>
          <w:sz w:val="24"/>
        </w:rPr>
      </w:pPr>
      <w:r>
        <w:rPr>
          <w:rFonts w:hint="eastAsia" w:ascii="宋体" w:hAnsi="宋体"/>
          <w:bCs/>
          <w:color w:val="auto"/>
          <w:sz w:val="24"/>
        </w:rPr>
        <w:t>法定代表人或授权代表（签字或盖章）：XXX</w:t>
      </w:r>
    </w:p>
    <w:p>
      <w:pPr>
        <w:adjustRightInd w:val="0"/>
        <w:spacing w:line="360" w:lineRule="auto"/>
        <w:ind w:firstLine="465"/>
        <w:jc w:val="left"/>
        <w:rPr>
          <w:rFonts w:hint="eastAsia" w:ascii="宋体" w:hAnsi="宋体"/>
          <w:bCs/>
          <w:color w:val="auto"/>
          <w:sz w:val="24"/>
        </w:rPr>
      </w:pPr>
      <w:r>
        <w:rPr>
          <w:rFonts w:hint="eastAsia" w:ascii="宋体" w:hAnsi="宋体"/>
          <w:bCs/>
          <w:color w:val="auto"/>
          <w:sz w:val="24"/>
        </w:rPr>
        <w:t>日期</w:t>
      </w:r>
      <w:r>
        <w:rPr>
          <w:rFonts w:hint="eastAsia" w:ascii="宋体" w:hAnsi="宋体"/>
          <w:color w:val="auto"/>
          <w:sz w:val="24"/>
        </w:rPr>
        <w:t>：</w:t>
      </w:r>
      <w:r>
        <w:rPr>
          <w:rFonts w:hint="eastAsia" w:ascii="宋体" w:hAnsi="宋体"/>
          <w:bCs/>
          <w:color w:val="auto"/>
          <w:sz w:val="24"/>
        </w:rPr>
        <w:t>XXX年XXX月XXX日</w:t>
      </w:r>
    </w:p>
    <w:p>
      <w:pPr>
        <w:pStyle w:val="2"/>
        <w:rPr>
          <w:rFonts w:hint="eastAsia" w:ascii="宋体" w:hAnsi="宋体"/>
          <w:bCs/>
          <w:color w:val="auto"/>
          <w:sz w:val="24"/>
        </w:rPr>
      </w:pPr>
    </w:p>
    <w:p>
      <w:pPr>
        <w:pStyle w:val="2"/>
        <w:rPr>
          <w:rFonts w:hint="eastAsia" w:ascii="宋体" w:hAnsi="宋体"/>
          <w:bCs/>
          <w:color w:val="auto"/>
          <w:sz w:val="24"/>
        </w:rPr>
      </w:pPr>
    </w:p>
    <w:p>
      <w:pPr>
        <w:pStyle w:val="2"/>
        <w:rPr>
          <w:rFonts w:hint="eastAsia" w:ascii="宋体" w:hAnsi="宋体"/>
          <w:bCs/>
          <w:color w:val="auto"/>
          <w:sz w:val="24"/>
        </w:rPr>
      </w:pPr>
    </w:p>
    <w:p>
      <w:pPr>
        <w:pStyle w:val="2"/>
        <w:rPr>
          <w:rFonts w:hint="eastAsia" w:ascii="宋体" w:hAnsi="宋体"/>
          <w:bCs/>
          <w:color w:val="auto"/>
          <w:sz w:val="24"/>
        </w:rPr>
      </w:pPr>
    </w:p>
    <w:p>
      <w:pPr>
        <w:pStyle w:val="2"/>
        <w:rPr>
          <w:rFonts w:hint="eastAsia" w:ascii="宋体" w:hAnsi="宋体"/>
          <w:bCs/>
          <w:color w:val="auto"/>
          <w:sz w:val="24"/>
        </w:rPr>
      </w:pPr>
    </w:p>
    <w:p>
      <w:pPr>
        <w:pStyle w:val="2"/>
        <w:rPr>
          <w:rFonts w:hint="eastAsia" w:ascii="宋体" w:hAnsi="宋体"/>
          <w:bCs/>
          <w:color w:val="auto"/>
          <w:sz w:val="24"/>
        </w:rPr>
      </w:pPr>
    </w:p>
    <w:p>
      <w:pPr>
        <w:pStyle w:val="2"/>
        <w:rPr>
          <w:rFonts w:hint="eastAsia" w:ascii="宋体" w:hAnsi="宋体"/>
          <w:bCs/>
          <w:color w:val="auto"/>
          <w:sz w:val="24"/>
        </w:rPr>
      </w:pPr>
    </w:p>
    <w:p>
      <w:pPr>
        <w:pStyle w:val="3"/>
        <w:rPr>
          <w:rFonts w:hint="eastAsia"/>
        </w:rPr>
      </w:pPr>
    </w:p>
    <w:p>
      <w:pPr>
        <w:pStyle w:val="2"/>
        <w:rPr>
          <w:color w:val="auto"/>
        </w:rPr>
        <w:sectPr>
          <w:type w:val="continuous"/>
          <w:pgSz w:w="11907" w:h="16839"/>
          <w:pgMar w:top="1474" w:right="1474" w:bottom="1474" w:left="1474" w:header="851" w:footer="992" w:gutter="0"/>
          <w:pgNumType w:fmt="decimal"/>
          <w:cols w:space="720" w:num="1"/>
          <w:docGrid w:linePitch="312" w:charSpace="0"/>
        </w:sectPr>
      </w:pPr>
    </w:p>
    <w:p>
      <w:pPr>
        <w:jc w:val="center"/>
        <w:rPr>
          <w:rFonts w:ascii="宋体" w:hAnsi="宋体"/>
          <w:b/>
          <w:bCs/>
          <w:color w:val="auto"/>
          <w:sz w:val="30"/>
          <w:szCs w:val="30"/>
        </w:rPr>
      </w:pPr>
      <w:r>
        <w:rPr>
          <w:rFonts w:hint="eastAsia" w:ascii="宋体" w:hAnsi="宋体"/>
          <w:b/>
          <w:bCs/>
          <w:color w:val="auto"/>
          <w:sz w:val="30"/>
          <w:szCs w:val="30"/>
          <w:lang w:val="en-US" w:eastAsia="zh-CN"/>
        </w:rPr>
        <w:t>七</w:t>
      </w:r>
      <w:r>
        <w:rPr>
          <w:rFonts w:hint="eastAsia" w:ascii="宋体" w:hAnsi="宋体"/>
          <w:b/>
          <w:bCs/>
          <w:color w:val="auto"/>
          <w:sz w:val="30"/>
          <w:szCs w:val="30"/>
        </w:rPr>
        <w:t>、商务应答表</w:t>
      </w:r>
    </w:p>
    <w:p>
      <w:pPr>
        <w:pStyle w:val="19"/>
        <w:pBdr>
          <w:bottom w:val="none" w:color="auto" w:sz="0" w:space="0"/>
        </w:pBdr>
        <w:tabs>
          <w:tab w:val="clear" w:pos="4153"/>
          <w:tab w:val="clear" w:pos="8306"/>
        </w:tabs>
        <w:snapToGrid/>
        <w:jc w:val="both"/>
        <w:rPr>
          <w:rFonts w:ascii="宋体" w:hAnsi="宋体"/>
          <w:color w:val="auto"/>
          <w:sz w:val="24"/>
          <w:szCs w:val="24"/>
        </w:rPr>
      </w:pPr>
    </w:p>
    <w:p>
      <w:pPr>
        <w:spacing w:line="360" w:lineRule="auto"/>
        <w:rPr>
          <w:rFonts w:hint="eastAsia" w:ascii="宋体" w:hAnsi="宋体" w:eastAsia="宋体"/>
          <w:color w:val="auto"/>
          <w:sz w:val="24"/>
          <w:lang w:eastAsia="zh-CN"/>
        </w:rPr>
      </w:pPr>
      <w:r>
        <w:rPr>
          <w:rFonts w:hint="eastAsia" w:ascii="宋体" w:hAnsi="宋体"/>
          <w:color w:val="auto"/>
          <w:sz w:val="24"/>
        </w:rPr>
        <w:t>项目编号：</w:t>
      </w:r>
      <w:r>
        <w:rPr>
          <w:rFonts w:hint="eastAsia" w:ascii="宋体" w:hAnsi="宋体"/>
          <w:color w:val="auto"/>
          <w:sz w:val="24"/>
          <w:lang w:eastAsia="zh-CN"/>
        </w:rPr>
        <w:t>四川玖久公信绵高新市政磋（2022）1号</w:t>
      </w:r>
    </w:p>
    <w:p>
      <w:pPr>
        <w:spacing w:line="360" w:lineRule="auto"/>
        <w:rPr>
          <w:rFonts w:hint="eastAsia" w:ascii="宋体" w:hAnsi="宋体" w:eastAsia="宋体"/>
          <w:color w:val="auto"/>
          <w:sz w:val="24"/>
          <w:lang w:eastAsia="zh-CN"/>
        </w:rPr>
      </w:pPr>
      <w:r>
        <w:rPr>
          <w:rFonts w:hint="eastAsia" w:ascii="宋体" w:hAnsi="宋体"/>
          <w:color w:val="auto"/>
          <w:sz w:val="24"/>
        </w:rPr>
        <w:t>项目名称：</w:t>
      </w:r>
      <w:r>
        <w:rPr>
          <w:rFonts w:hint="eastAsia" w:ascii="宋体" w:hAnsi="宋体"/>
          <w:color w:val="auto"/>
          <w:sz w:val="24"/>
          <w:u w:val="none"/>
          <w:lang w:val="en-US" w:eastAsia="zh-CN"/>
        </w:rPr>
        <w:t>采购</w:t>
      </w:r>
      <w:r>
        <w:rPr>
          <w:rFonts w:hint="eastAsia" w:ascii="宋体" w:hAnsi="宋体"/>
          <w:color w:val="auto"/>
          <w:sz w:val="24"/>
          <w:u w:val="none"/>
          <w:lang w:eastAsia="zh-CN"/>
        </w:rPr>
        <w:t>洗扫车、洒水车</w:t>
      </w:r>
      <w:r>
        <w:rPr>
          <w:rFonts w:hint="eastAsia" w:ascii="宋体" w:hAnsi="宋体"/>
          <w:color w:val="auto"/>
          <w:sz w:val="24"/>
          <w:u w:val="none"/>
          <w:lang w:val="en-US" w:eastAsia="zh-CN"/>
        </w:rPr>
        <w:t>一批</w:t>
      </w:r>
    </w:p>
    <w:tbl>
      <w:tblPr>
        <w:tblStyle w:val="29"/>
        <w:tblW w:w="88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
        <w:gridCol w:w="2551"/>
        <w:gridCol w:w="3023"/>
        <w:gridCol w:w="23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4" w:type="dxa"/>
            <w:noWrap w:val="0"/>
            <w:vAlign w:val="center"/>
          </w:tcPr>
          <w:p>
            <w:pPr>
              <w:jc w:val="center"/>
              <w:rPr>
                <w:rFonts w:ascii="宋体" w:hAnsi="宋体"/>
                <w:color w:val="auto"/>
                <w:szCs w:val="21"/>
              </w:rPr>
            </w:pPr>
            <w:r>
              <w:rPr>
                <w:rFonts w:hint="eastAsia" w:ascii="宋体" w:hAnsi="宋体"/>
                <w:color w:val="auto"/>
                <w:szCs w:val="21"/>
              </w:rPr>
              <w:t>序号</w:t>
            </w:r>
          </w:p>
        </w:tc>
        <w:tc>
          <w:tcPr>
            <w:tcW w:w="2551" w:type="dxa"/>
            <w:noWrap w:val="0"/>
            <w:vAlign w:val="center"/>
          </w:tcPr>
          <w:p>
            <w:pPr>
              <w:jc w:val="center"/>
              <w:rPr>
                <w:rFonts w:ascii="宋体" w:hAnsi="宋体"/>
                <w:color w:val="auto"/>
                <w:szCs w:val="21"/>
              </w:rPr>
            </w:pPr>
            <w:r>
              <w:rPr>
                <w:rFonts w:hint="eastAsia" w:ascii="宋体" w:hAnsi="宋体"/>
                <w:color w:val="auto"/>
                <w:szCs w:val="21"/>
              </w:rPr>
              <w:t>采购文件要求</w:t>
            </w:r>
          </w:p>
        </w:tc>
        <w:tc>
          <w:tcPr>
            <w:tcW w:w="3023" w:type="dxa"/>
            <w:noWrap w:val="0"/>
            <w:vAlign w:val="center"/>
          </w:tcPr>
          <w:p>
            <w:pPr>
              <w:jc w:val="center"/>
              <w:rPr>
                <w:rFonts w:ascii="宋体" w:hAnsi="宋体"/>
                <w:color w:val="auto"/>
                <w:szCs w:val="21"/>
              </w:rPr>
            </w:pPr>
            <w:r>
              <w:rPr>
                <w:rFonts w:hint="eastAsia" w:ascii="宋体" w:hAnsi="宋体"/>
                <w:color w:val="auto"/>
                <w:szCs w:val="21"/>
              </w:rPr>
              <w:t>响应情况</w:t>
            </w:r>
          </w:p>
        </w:tc>
        <w:tc>
          <w:tcPr>
            <w:tcW w:w="2313" w:type="dxa"/>
            <w:noWrap w:val="0"/>
            <w:vAlign w:val="center"/>
          </w:tcPr>
          <w:p>
            <w:pPr>
              <w:jc w:val="center"/>
              <w:rPr>
                <w:rFonts w:ascii="宋体" w:hAnsi="宋体"/>
                <w:color w:val="auto"/>
                <w:szCs w:val="21"/>
              </w:rPr>
            </w:pPr>
            <w:r>
              <w:rPr>
                <w:rFonts w:hint="eastAsia" w:ascii="宋体" w:hAnsi="宋体"/>
                <w:color w:val="auto"/>
                <w:szCs w:val="21"/>
              </w:rPr>
              <w:t>偏离情况及说明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4" w:type="dxa"/>
            <w:noWrap w:val="0"/>
            <w:vAlign w:val="center"/>
          </w:tcPr>
          <w:p>
            <w:pPr>
              <w:jc w:val="center"/>
              <w:rPr>
                <w:rFonts w:ascii="宋体" w:hAnsi="宋体"/>
                <w:color w:val="auto"/>
                <w:szCs w:val="21"/>
              </w:rPr>
            </w:pPr>
            <w:r>
              <w:rPr>
                <w:rFonts w:hint="eastAsia" w:ascii="宋体" w:hAnsi="宋体"/>
                <w:color w:val="auto"/>
                <w:szCs w:val="21"/>
              </w:rPr>
              <w:t>1</w:t>
            </w:r>
          </w:p>
        </w:tc>
        <w:tc>
          <w:tcPr>
            <w:tcW w:w="2551" w:type="dxa"/>
            <w:noWrap w:val="0"/>
            <w:vAlign w:val="center"/>
          </w:tcPr>
          <w:p>
            <w:pPr>
              <w:jc w:val="center"/>
              <w:rPr>
                <w:rFonts w:ascii="宋体" w:hAnsi="宋体"/>
                <w:color w:val="auto"/>
                <w:szCs w:val="21"/>
              </w:rPr>
            </w:pPr>
          </w:p>
        </w:tc>
        <w:tc>
          <w:tcPr>
            <w:tcW w:w="3023" w:type="dxa"/>
            <w:noWrap w:val="0"/>
            <w:vAlign w:val="center"/>
          </w:tcPr>
          <w:p>
            <w:pPr>
              <w:jc w:val="center"/>
              <w:rPr>
                <w:rFonts w:ascii="宋体" w:hAnsi="宋体"/>
                <w:color w:val="auto"/>
                <w:szCs w:val="21"/>
              </w:rPr>
            </w:pPr>
          </w:p>
        </w:tc>
        <w:tc>
          <w:tcPr>
            <w:tcW w:w="2313" w:type="dxa"/>
            <w:noWrap w:val="0"/>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4" w:type="dxa"/>
            <w:noWrap w:val="0"/>
            <w:vAlign w:val="center"/>
          </w:tcPr>
          <w:p>
            <w:pPr>
              <w:jc w:val="center"/>
              <w:rPr>
                <w:rFonts w:ascii="宋体" w:hAnsi="宋体"/>
                <w:color w:val="auto"/>
                <w:szCs w:val="21"/>
              </w:rPr>
            </w:pPr>
            <w:r>
              <w:rPr>
                <w:rFonts w:hint="eastAsia" w:ascii="宋体" w:hAnsi="宋体"/>
                <w:color w:val="auto"/>
                <w:szCs w:val="21"/>
              </w:rPr>
              <w:t>2</w:t>
            </w:r>
          </w:p>
        </w:tc>
        <w:tc>
          <w:tcPr>
            <w:tcW w:w="2551" w:type="dxa"/>
            <w:noWrap w:val="0"/>
            <w:vAlign w:val="center"/>
          </w:tcPr>
          <w:p>
            <w:pPr>
              <w:jc w:val="center"/>
              <w:rPr>
                <w:rFonts w:ascii="宋体" w:hAnsi="宋体"/>
                <w:color w:val="auto"/>
                <w:szCs w:val="21"/>
              </w:rPr>
            </w:pPr>
          </w:p>
        </w:tc>
        <w:tc>
          <w:tcPr>
            <w:tcW w:w="3023" w:type="dxa"/>
            <w:noWrap w:val="0"/>
            <w:vAlign w:val="center"/>
          </w:tcPr>
          <w:p>
            <w:pPr>
              <w:jc w:val="center"/>
              <w:rPr>
                <w:rFonts w:ascii="宋体" w:hAnsi="宋体"/>
                <w:color w:val="auto"/>
                <w:szCs w:val="21"/>
              </w:rPr>
            </w:pPr>
          </w:p>
        </w:tc>
        <w:tc>
          <w:tcPr>
            <w:tcW w:w="2313" w:type="dxa"/>
            <w:noWrap w:val="0"/>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4" w:type="dxa"/>
            <w:noWrap w:val="0"/>
            <w:vAlign w:val="center"/>
          </w:tcPr>
          <w:p>
            <w:pPr>
              <w:jc w:val="center"/>
              <w:rPr>
                <w:rFonts w:ascii="宋体" w:hAnsi="宋体"/>
                <w:color w:val="auto"/>
                <w:szCs w:val="21"/>
              </w:rPr>
            </w:pPr>
            <w:r>
              <w:rPr>
                <w:rFonts w:hint="eastAsia" w:ascii="宋体" w:hAnsi="宋体"/>
                <w:color w:val="auto"/>
                <w:szCs w:val="21"/>
              </w:rPr>
              <w:t>3</w:t>
            </w:r>
          </w:p>
        </w:tc>
        <w:tc>
          <w:tcPr>
            <w:tcW w:w="2551" w:type="dxa"/>
            <w:noWrap w:val="0"/>
            <w:vAlign w:val="center"/>
          </w:tcPr>
          <w:p>
            <w:pPr>
              <w:jc w:val="center"/>
              <w:rPr>
                <w:rFonts w:ascii="宋体" w:hAnsi="宋体"/>
                <w:color w:val="auto"/>
                <w:szCs w:val="21"/>
              </w:rPr>
            </w:pPr>
          </w:p>
        </w:tc>
        <w:tc>
          <w:tcPr>
            <w:tcW w:w="3023" w:type="dxa"/>
            <w:noWrap w:val="0"/>
            <w:vAlign w:val="center"/>
          </w:tcPr>
          <w:p>
            <w:pPr>
              <w:jc w:val="center"/>
              <w:rPr>
                <w:rFonts w:ascii="宋体" w:hAnsi="宋体"/>
                <w:color w:val="auto"/>
                <w:szCs w:val="21"/>
              </w:rPr>
            </w:pPr>
          </w:p>
        </w:tc>
        <w:tc>
          <w:tcPr>
            <w:tcW w:w="2313" w:type="dxa"/>
            <w:noWrap w:val="0"/>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4" w:type="dxa"/>
            <w:noWrap w:val="0"/>
            <w:vAlign w:val="center"/>
          </w:tcPr>
          <w:p>
            <w:pPr>
              <w:jc w:val="center"/>
              <w:rPr>
                <w:rFonts w:ascii="宋体" w:hAnsi="宋体"/>
                <w:color w:val="auto"/>
                <w:szCs w:val="21"/>
              </w:rPr>
            </w:pPr>
            <w:r>
              <w:rPr>
                <w:rFonts w:hint="eastAsia" w:ascii="宋体" w:hAnsi="宋体"/>
                <w:color w:val="auto"/>
                <w:szCs w:val="21"/>
              </w:rPr>
              <w:t>……</w:t>
            </w:r>
          </w:p>
        </w:tc>
        <w:tc>
          <w:tcPr>
            <w:tcW w:w="2551" w:type="dxa"/>
            <w:noWrap w:val="0"/>
            <w:vAlign w:val="center"/>
          </w:tcPr>
          <w:p>
            <w:pPr>
              <w:jc w:val="center"/>
              <w:rPr>
                <w:rFonts w:ascii="宋体" w:hAnsi="宋体"/>
                <w:color w:val="auto"/>
                <w:szCs w:val="21"/>
              </w:rPr>
            </w:pPr>
          </w:p>
        </w:tc>
        <w:tc>
          <w:tcPr>
            <w:tcW w:w="3023" w:type="dxa"/>
            <w:noWrap w:val="0"/>
            <w:vAlign w:val="center"/>
          </w:tcPr>
          <w:p>
            <w:pPr>
              <w:jc w:val="center"/>
              <w:rPr>
                <w:rFonts w:ascii="宋体" w:hAnsi="宋体"/>
                <w:color w:val="auto"/>
                <w:szCs w:val="21"/>
              </w:rPr>
            </w:pPr>
          </w:p>
        </w:tc>
        <w:tc>
          <w:tcPr>
            <w:tcW w:w="2313" w:type="dxa"/>
            <w:noWrap w:val="0"/>
            <w:vAlign w:val="center"/>
          </w:tcPr>
          <w:p>
            <w:pPr>
              <w:jc w:val="center"/>
              <w:rPr>
                <w:rFonts w:ascii="宋体" w:hAnsi="宋体"/>
                <w:color w:val="auto"/>
                <w:szCs w:val="21"/>
              </w:rPr>
            </w:pPr>
          </w:p>
        </w:tc>
      </w:tr>
    </w:tbl>
    <w:p>
      <w:pPr>
        <w:spacing w:line="360" w:lineRule="auto"/>
        <w:ind w:firstLine="470" w:firstLineChars="196"/>
        <w:rPr>
          <w:rFonts w:ascii="宋体" w:hAnsi="宋体"/>
          <w:b/>
          <w:color w:val="auto"/>
          <w:sz w:val="24"/>
        </w:rPr>
      </w:pPr>
      <w:r>
        <w:rPr>
          <w:rFonts w:hint="eastAsia" w:ascii="宋体" w:hAnsi="宋体"/>
          <w:color w:val="auto"/>
          <w:sz w:val="24"/>
        </w:rPr>
        <w:t>注：供应商必须根据磋商文件第六章“商务及其他要求”内容据实逐条填写，不得虚假响应，虚假响应的，其响应文件无效并按规定追究其相关责任。响应无负偏离视为供应商已完全接受本项目要求并书面承诺。</w:t>
      </w:r>
    </w:p>
    <w:p>
      <w:pPr>
        <w:adjustRightInd w:val="0"/>
        <w:spacing w:line="400" w:lineRule="exact"/>
        <w:ind w:firstLine="480" w:firstLineChars="200"/>
        <w:jc w:val="left"/>
        <w:rPr>
          <w:rFonts w:ascii="宋体" w:hAnsi="宋体"/>
          <w:color w:val="auto"/>
          <w:sz w:val="24"/>
        </w:rPr>
      </w:pPr>
    </w:p>
    <w:p>
      <w:pPr>
        <w:adjustRightInd w:val="0"/>
        <w:spacing w:line="360" w:lineRule="auto"/>
        <w:ind w:firstLine="480" w:firstLineChars="200"/>
        <w:jc w:val="left"/>
        <w:rPr>
          <w:rFonts w:ascii="宋体" w:hAnsi="宋体"/>
          <w:color w:val="auto"/>
          <w:sz w:val="24"/>
        </w:rPr>
      </w:pPr>
      <w:r>
        <w:rPr>
          <w:rFonts w:hint="eastAsia" w:ascii="宋体" w:hAnsi="宋体"/>
          <w:color w:val="auto"/>
          <w:sz w:val="24"/>
        </w:rPr>
        <w:t>供应商名称：XXX（盖单位公章）</w:t>
      </w:r>
    </w:p>
    <w:p>
      <w:pPr>
        <w:adjustRightInd w:val="0"/>
        <w:spacing w:line="360" w:lineRule="auto"/>
        <w:ind w:firstLine="480" w:firstLineChars="200"/>
        <w:jc w:val="left"/>
        <w:rPr>
          <w:rFonts w:ascii="宋体" w:hAnsi="宋体"/>
          <w:bCs/>
          <w:color w:val="auto"/>
          <w:sz w:val="24"/>
        </w:rPr>
      </w:pPr>
      <w:r>
        <w:rPr>
          <w:rFonts w:hint="eastAsia" w:ascii="宋体" w:hAnsi="宋体"/>
          <w:bCs/>
          <w:color w:val="auto"/>
          <w:sz w:val="24"/>
        </w:rPr>
        <w:t>法定代表人或授权代表（签字或盖章）：XXX</w:t>
      </w:r>
    </w:p>
    <w:p>
      <w:pPr>
        <w:adjustRightInd w:val="0"/>
        <w:spacing w:line="360" w:lineRule="auto"/>
        <w:ind w:firstLine="465"/>
        <w:jc w:val="left"/>
        <w:rPr>
          <w:rFonts w:ascii="宋体" w:hAnsi="宋体"/>
          <w:bCs/>
          <w:color w:val="auto"/>
          <w:sz w:val="24"/>
        </w:rPr>
      </w:pPr>
      <w:r>
        <w:rPr>
          <w:rFonts w:hint="eastAsia" w:ascii="宋体" w:hAnsi="宋体"/>
          <w:bCs/>
          <w:color w:val="auto"/>
          <w:sz w:val="24"/>
        </w:rPr>
        <w:t>日期</w:t>
      </w:r>
      <w:r>
        <w:rPr>
          <w:rFonts w:hint="eastAsia" w:ascii="宋体" w:hAnsi="宋体"/>
          <w:color w:val="auto"/>
          <w:sz w:val="24"/>
        </w:rPr>
        <w:t>：</w:t>
      </w:r>
      <w:r>
        <w:rPr>
          <w:rFonts w:hint="eastAsia" w:ascii="宋体" w:hAnsi="宋体"/>
          <w:bCs/>
          <w:color w:val="auto"/>
          <w:sz w:val="24"/>
        </w:rPr>
        <w:t>XXX年XXX月XXX日</w:t>
      </w:r>
    </w:p>
    <w:p>
      <w:pPr>
        <w:jc w:val="center"/>
        <w:rPr>
          <w:rFonts w:ascii="宋体" w:hAnsi="宋体" w:cs="Arial"/>
          <w:b/>
          <w:bCs/>
          <w:color w:val="auto"/>
          <w:sz w:val="30"/>
          <w:szCs w:val="30"/>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3"/>
      </w:pPr>
    </w:p>
    <w:p>
      <w:pPr>
        <w:pStyle w:val="2"/>
        <w:rPr>
          <w:color w:val="auto"/>
        </w:rPr>
      </w:pPr>
    </w:p>
    <w:p>
      <w:pPr>
        <w:pStyle w:val="2"/>
        <w:rPr>
          <w:color w:val="auto"/>
        </w:rPr>
      </w:pPr>
    </w:p>
    <w:p>
      <w:pPr>
        <w:jc w:val="center"/>
        <w:rPr>
          <w:rFonts w:ascii="宋体" w:hAnsi="宋体" w:cs="Arial"/>
          <w:b/>
          <w:bCs/>
          <w:color w:val="auto"/>
          <w:sz w:val="30"/>
          <w:szCs w:val="30"/>
        </w:rPr>
      </w:pPr>
      <w:r>
        <w:rPr>
          <w:rFonts w:hint="eastAsia" w:ascii="宋体" w:hAnsi="宋体" w:cs="Arial"/>
          <w:b/>
          <w:bCs/>
          <w:color w:val="auto"/>
          <w:sz w:val="30"/>
          <w:szCs w:val="30"/>
          <w:lang w:val="en-US" w:eastAsia="zh-CN"/>
        </w:rPr>
        <w:t>八</w:t>
      </w:r>
      <w:r>
        <w:rPr>
          <w:rFonts w:hint="eastAsia" w:ascii="宋体" w:hAnsi="宋体" w:cs="Arial"/>
          <w:b/>
          <w:bCs/>
          <w:color w:val="auto"/>
          <w:sz w:val="30"/>
          <w:szCs w:val="30"/>
        </w:rPr>
        <w:t>、供应商类似项目业绩一览表</w:t>
      </w:r>
    </w:p>
    <w:p>
      <w:pPr>
        <w:jc w:val="center"/>
        <w:rPr>
          <w:rFonts w:ascii="宋体" w:hAnsi="宋体" w:cs="Arial"/>
          <w:b/>
          <w:bCs/>
          <w:color w:val="auto"/>
          <w:sz w:val="30"/>
          <w:szCs w:val="30"/>
        </w:rPr>
      </w:pPr>
    </w:p>
    <w:p>
      <w:pPr>
        <w:spacing w:line="360" w:lineRule="auto"/>
        <w:rPr>
          <w:rFonts w:hint="eastAsia" w:ascii="宋体" w:hAnsi="宋体" w:eastAsia="宋体"/>
          <w:color w:val="auto"/>
          <w:sz w:val="24"/>
          <w:lang w:eastAsia="zh-CN"/>
        </w:rPr>
      </w:pPr>
      <w:r>
        <w:rPr>
          <w:rFonts w:hint="eastAsia" w:ascii="宋体" w:hAnsi="宋体"/>
          <w:color w:val="auto"/>
          <w:sz w:val="24"/>
        </w:rPr>
        <w:t>项目编号：</w:t>
      </w:r>
      <w:r>
        <w:rPr>
          <w:rFonts w:hint="eastAsia" w:ascii="宋体" w:hAnsi="宋体"/>
          <w:color w:val="auto"/>
          <w:sz w:val="24"/>
          <w:lang w:eastAsia="zh-CN"/>
        </w:rPr>
        <w:t>四川玖久公信绵高新市政磋（2022）1号</w:t>
      </w:r>
    </w:p>
    <w:p>
      <w:pPr>
        <w:spacing w:line="360" w:lineRule="auto"/>
        <w:rPr>
          <w:rFonts w:hint="eastAsia" w:ascii="宋体" w:hAnsi="宋体" w:eastAsia="宋体"/>
          <w:color w:val="auto"/>
          <w:sz w:val="24"/>
          <w:lang w:eastAsia="zh-CN"/>
        </w:rPr>
      </w:pPr>
      <w:r>
        <w:rPr>
          <w:rFonts w:hint="eastAsia" w:ascii="宋体" w:hAnsi="宋体"/>
          <w:color w:val="auto"/>
          <w:sz w:val="24"/>
        </w:rPr>
        <w:t>项目名称：</w:t>
      </w:r>
      <w:r>
        <w:rPr>
          <w:rFonts w:hint="eastAsia" w:ascii="宋体" w:hAnsi="宋体"/>
          <w:color w:val="auto"/>
          <w:sz w:val="24"/>
          <w:u w:val="none"/>
          <w:lang w:val="en-US" w:eastAsia="zh-CN"/>
        </w:rPr>
        <w:t>采购</w:t>
      </w:r>
      <w:r>
        <w:rPr>
          <w:rFonts w:hint="eastAsia" w:ascii="宋体" w:hAnsi="宋体"/>
          <w:color w:val="auto"/>
          <w:sz w:val="24"/>
          <w:u w:val="none"/>
          <w:lang w:eastAsia="zh-CN"/>
        </w:rPr>
        <w:t>洗扫车、洒水车</w:t>
      </w:r>
      <w:r>
        <w:rPr>
          <w:rFonts w:hint="eastAsia" w:ascii="宋体" w:hAnsi="宋体"/>
          <w:color w:val="auto"/>
          <w:sz w:val="24"/>
          <w:u w:val="none"/>
          <w:lang w:val="en-US" w:eastAsia="zh-CN"/>
        </w:rPr>
        <w:t>一批</w:t>
      </w:r>
    </w:p>
    <w:tbl>
      <w:tblPr>
        <w:tblStyle w:val="29"/>
        <w:tblW w:w="8955"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943"/>
        <w:gridCol w:w="1193"/>
        <w:gridCol w:w="1319"/>
        <w:gridCol w:w="1160"/>
        <w:gridCol w:w="1415"/>
        <w:gridCol w:w="6"/>
        <w:gridCol w:w="1599"/>
        <w:gridCol w:w="15"/>
        <w:gridCol w:w="1305"/>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43" w:type="dxa"/>
            <w:tcBorders>
              <w:top w:val="single" w:color="auto" w:sz="4" w:space="0"/>
            </w:tcBorders>
            <w:noWrap w:val="0"/>
            <w:vAlign w:val="center"/>
          </w:tcPr>
          <w:p>
            <w:pPr>
              <w:spacing w:line="400" w:lineRule="exact"/>
              <w:ind w:firstLine="105" w:firstLineChars="50"/>
              <w:jc w:val="center"/>
              <w:rPr>
                <w:rFonts w:ascii="宋体" w:hAnsi="宋体" w:cs="Arial"/>
                <w:b/>
                <w:color w:val="auto"/>
              </w:rPr>
            </w:pPr>
            <w:r>
              <w:rPr>
                <w:rFonts w:hint="eastAsia" w:ascii="宋体" w:hAnsi="宋体" w:cs="Arial"/>
                <w:b/>
                <w:color w:val="auto"/>
              </w:rPr>
              <w:t>年份</w:t>
            </w:r>
          </w:p>
        </w:tc>
        <w:tc>
          <w:tcPr>
            <w:tcW w:w="1193" w:type="dxa"/>
            <w:noWrap w:val="0"/>
            <w:vAlign w:val="center"/>
          </w:tcPr>
          <w:p>
            <w:pPr>
              <w:spacing w:line="400" w:lineRule="exact"/>
              <w:jc w:val="center"/>
              <w:rPr>
                <w:rFonts w:ascii="宋体" w:hAnsi="宋体" w:cs="Arial"/>
                <w:b/>
                <w:color w:val="auto"/>
              </w:rPr>
            </w:pPr>
            <w:r>
              <w:rPr>
                <w:rFonts w:hint="eastAsia" w:ascii="宋体" w:hAnsi="宋体" w:cs="Arial"/>
                <w:b/>
                <w:color w:val="auto"/>
              </w:rPr>
              <w:t>用户名称</w:t>
            </w:r>
          </w:p>
        </w:tc>
        <w:tc>
          <w:tcPr>
            <w:tcW w:w="1319" w:type="dxa"/>
            <w:noWrap w:val="0"/>
            <w:vAlign w:val="center"/>
          </w:tcPr>
          <w:p>
            <w:pPr>
              <w:spacing w:line="400" w:lineRule="exact"/>
              <w:jc w:val="center"/>
              <w:rPr>
                <w:rFonts w:ascii="宋体" w:hAnsi="宋体" w:cs="Arial"/>
                <w:b/>
                <w:color w:val="auto"/>
              </w:rPr>
            </w:pPr>
            <w:r>
              <w:rPr>
                <w:rFonts w:ascii="宋体" w:hAnsi="宋体" w:cs="Arial"/>
                <w:b/>
                <w:color w:val="auto"/>
              </w:rPr>
              <w:t>项目名称</w:t>
            </w:r>
          </w:p>
        </w:tc>
        <w:tc>
          <w:tcPr>
            <w:tcW w:w="1160" w:type="dxa"/>
            <w:noWrap w:val="0"/>
            <w:vAlign w:val="center"/>
          </w:tcPr>
          <w:p>
            <w:pPr>
              <w:spacing w:line="400" w:lineRule="exact"/>
              <w:jc w:val="center"/>
              <w:rPr>
                <w:rFonts w:ascii="宋体" w:hAnsi="宋体" w:cs="Arial"/>
                <w:b/>
                <w:color w:val="auto"/>
              </w:rPr>
            </w:pPr>
            <w:r>
              <w:rPr>
                <w:rFonts w:ascii="宋体" w:hAnsi="宋体" w:cs="Arial"/>
                <w:b/>
                <w:color w:val="auto"/>
              </w:rPr>
              <w:t>完成时间</w:t>
            </w:r>
          </w:p>
        </w:tc>
        <w:tc>
          <w:tcPr>
            <w:tcW w:w="1421" w:type="dxa"/>
            <w:gridSpan w:val="2"/>
            <w:noWrap w:val="0"/>
            <w:vAlign w:val="center"/>
          </w:tcPr>
          <w:p>
            <w:pPr>
              <w:spacing w:line="400" w:lineRule="exact"/>
              <w:ind w:firstLine="105" w:firstLineChars="50"/>
              <w:jc w:val="center"/>
              <w:rPr>
                <w:rFonts w:ascii="宋体" w:hAnsi="宋体" w:cs="Arial"/>
                <w:b/>
                <w:color w:val="auto"/>
              </w:rPr>
            </w:pPr>
            <w:r>
              <w:rPr>
                <w:rFonts w:ascii="宋体" w:hAnsi="宋体" w:cs="Arial"/>
                <w:b/>
                <w:color w:val="auto"/>
              </w:rPr>
              <w:t>合同金额</w:t>
            </w:r>
          </w:p>
        </w:tc>
        <w:tc>
          <w:tcPr>
            <w:tcW w:w="1614" w:type="dxa"/>
            <w:gridSpan w:val="2"/>
            <w:tcBorders>
              <w:right w:val="single" w:color="auto" w:sz="4" w:space="0"/>
            </w:tcBorders>
            <w:noWrap w:val="0"/>
            <w:vAlign w:val="center"/>
          </w:tcPr>
          <w:p>
            <w:pPr>
              <w:spacing w:line="400" w:lineRule="exact"/>
              <w:jc w:val="center"/>
              <w:rPr>
                <w:rFonts w:ascii="宋体" w:hAnsi="宋体" w:cs="Arial"/>
                <w:b/>
                <w:color w:val="auto"/>
              </w:rPr>
            </w:pPr>
            <w:r>
              <w:rPr>
                <w:rFonts w:hint="eastAsia" w:ascii="宋体" w:hAnsi="宋体" w:cs="Arial"/>
                <w:b/>
                <w:color w:val="auto"/>
              </w:rPr>
              <w:t>是否通过验收</w:t>
            </w:r>
          </w:p>
        </w:tc>
        <w:tc>
          <w:tcPr>
            <w:tcW w:w="1305" w:type="dxa"/>
            <w:tcBorders>
              <w:left w:val="single" w:color="auto" w:sz="4" w:space="0"/>
            </w:tcBorders>
            <w:noWrap w:val="0"/>
            <w:vAlign w:val="center"/>
          </w:tcPr>
          <w:p>
            <w:pPr>
              <w:spacing w:line="400" w:lineRule="exact"/>
              <w:jc w:val="center"/>
              <w:rPr>
                <w:rFonts w:ascii="宋体" w:hAnsi="宋体" w:cs="Arial"/>
                <w:b/>
                <w:color w:val="auto"/>
              </w:rPr>
            </w:pPr>
            <w:r>
              <w:rPr>
                <w:rFonts w:hint="eastAsia" w:ascii="宋体" w:hAnsi="宋体" w:cs="Arial"/>
                <w:b/>
                <w:color w:val="auto"/>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43" w:type="dxa"/>
            <w:noWrap w:val="0"/>
            <w:vAlign w:val="center"/>
          </w:tcPr>
          <w:p>
            <w:pPr>
              <w:spacing w:line="400" w:lineRule="exact"/>
              <w:jc w:val="center"/>
              <w:rPr>
                <w:rFonts w:ascii="宋体" w:hAnsi="宋体" w:cs="Arial"/>
                <w:color w:val="auto"/>
              </w:rPr>
            </w:pPr>
          </w:p>
        </w:tc>
        <w:tc>
          <w:tcPr>
            <w:tcW w:w="1193" w:type="dxa"/>
            <w:noWrap w:val="0"/>
            <w:vAlign w:val="center"/>
          </w:tcPr>
          <w:p>
            <w:pPr>
              <w:spacing w:line="400" w:lineRule="exact"/>
              <w:jc w:val="center"/>
              <w:rPr>
                <w:rFonts w:ascii="宋体" w:hAnsi="宋体" w:cs="Arial"/>
                <w:color w:val="auto"/>
              </w:rPr>
            </w:pPr>
          </w:p>
        </w:tc>
        <w:tc>
          <w:tcPr>
            <w:tcW w:w="1319" w:type="dxa"/>
            <w:noWrap w:val="0"/>
            <w:vAlign w:val="center"/>
          </w:tcPr>
          <w:p>
            <w:pPr>
              <w:spacing w:line="400" w:lineRule="exact"/>
              <w:jc w:val="center"/>
              <w:rPr>
                <w:rFonts w:ascii="宋体" w:hAnsi="宋体" w:cs="Arial"/>
                <w:color w:val="auto"/>
              </w:rPr>
            </w:pPr>
          </w:p>
        </w:tc>
        <w:tc>
          <w:tcPr>
            <w:tcW w:w="1160" w:type="dxa"/>
            <w:noWrap w:val="0"/>
            <w:vAlign w:val="center"/>
          </w:tcPr>
          <w:p>
            <w:pPr>
              <w:spacing w:line="400" w:lineRule="exact"/>
              <w:jc w:val="center"/>
              <w:rPr>
                <w:rFonts w:ascii="宋体" w:hAnsi="宋体" w:cs="Arial"/>
                <w:color w:val="auto"/>
              </w:rPr>
            </w:pPr>
          </w:p>
        </w:tc>
        <w:tc>
          <w:tcPr>
            <w:tcW w:w="1421" w:type="dxa"/>
            <w:gridSpan w:val="2"/>
            <w:noWrap w:val="0"/>
            <w:vAlign w:val="center"/>
          </w:tcPr>
          <w:p>
            <w:pPr>
              <w:spacing w:line="400" w:lineRule="exact"/>
              <w:jc w:val="center"/>
              <w:rPr>
                <w:rFonts w:ascii="宋体" w:hAnsi="宋体" w:cs="Arial"/>
                <w:color w:val="auto"/>
              </w:rPr>
            </w:pPr>
          </w:p>
        </w:tc>
        <w:tc>
          <w:tcPr>
            <w:tcW w:w="1614" w:type="dxa"/>
            <w:gridSpan w:val="2"/>
            <w:tcBorders>
              <w:right w:val="single" w:color="auto" w:sz="4" w:space="0"/>
            </w:tcBorders>
            <w:noWrap w:val="0"/>
            <w:vAlign w:val="center"/>
          </w:tcPr>
          <w:p>
            <w:pPr>
              <w:spacing w:line="400" w:lineRule="exact"/>
              <w:jc w:val="center"/>
              <w:rPr>
                <w:rFonts w:ascii="宋体" w:hAnsi="宋体" w:cs="Arial"/>
                <w:color w:val="auto"/>
              </w:rPr>
            </w:pPr>
          </w:p>
        </w:tc>
        <w:tc>
          <w:tcPr>
            <w:tcW w:w="1305" w:type="dxa"/>
            <w:tcBorders>
              <w:left w:val="single" w:color="auto" w:sz="4" w:space="0"/>
            </w:tcBorders>
            <w:noWrap w:val="0"/>
            <w:vAlign w:val="center"/>
          </w:tcPr>
          <w:p>
            <w:pPr>
              <w:spacing w:line="400" w:lineRule="exact"/>
              <w:jc w:val="center"/>
              <w:rPr>
                <w:rFonts w:ascii="宋体" w:hAnsi="宋体" w:cs="Arial"/>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43" w:type="dxa"/>
            <w:noWrap w:val="0"/>
            <w:vAlign w:val="center"/>
          </w:tcPr>
          <w:p>
            <w:pPr>
              <w:spacing w:line="400" w:lineRule="exact"/>
              <w:jc w:val="center"/>
              <w:rPr>
                <w:rFonts w:ascii="宋体" w:hAnsi="宋体" w:cs="Arial"/>
                <w:color w:val="auto"/>
              </w:rPr>
            </w:pPr>
          </w:p>
        </w:tc>
        <w:tc>
          <w:tcPr>
            <w:tcW w:w="1193" w:type="dxa"/>
            <w:noWrap w:val="0"/>
            <w:vAlign w:val="center"/>
          </w:tcPr>
          <w:p>
            <w:pPr>
              <w:spacing w:line="400" w:lineRule="exact"/>
              <w:jc w:val="center"/>
              <w:rPr>
                <w:rFonts w:ascii="宋体" w:hAnsi="宋体" w:cs="Arial"/>
                <w:color w:val="auto"/>
              </w:rPr>
            </w:pPr>
          </w:p>
        </w:tc>
        <w:tc>
          <w:tcPr>
            <w:tcW w:w="1319" w:type="dxa"/>
            <w:noWrap w:val="0"/>
            <w:vAlign w:val="center"/>
          </w:tcPr>
          <w:p>
            <w:pPr>
              <w:spacing w:line="400" w:lineRule="exact"/>
              <w:jc w:val="center"/>
              <w:rPr>
                <w:rFonts w:ascii="宋体" w:hAnsi="宋体" w:cs="Arial"/>
                <w:color w:val="auto"/>
              </w:rPr>
            </w:pPr>
          </w:p>
        </w:tc>
        <w:tc>
          <w:tcPr>
            <w:tcW w:w="1160" w:type="dxa"/>
            <w:noWrap w:val="0"/>
            <w:vAlign w:val="center"/>
          </w:tcPr>
          <w:p>
            <w:pPr>
              <w:spacing w:line="400" w:lineRule="exact"/>
              <w:jc w:val="center"/>
              <w:rPr>
                <w:rFonts w:ascii="宋体" w:hAnsi="宋体" w:cs="Arial"/>
                <w:color w:val="auto"/>
              </w:rPr>
            </w:pPr>
          </w:p>
        </w:tc>
        <w:tc>
          <w:tcPr>
            <w:tcW w:w="1421" w:type="dxa"/>
            <w:gridSpan w:val="2"/>
            <w:noWrap w:val="0"/>
            <w:vAlign w:val="center"/>
          </w:tcPr>
          <w:p>
            <w:pPr>
              <w:spacing w:line="400" w:lineRule="exact"/>
              <w:jc w:val="center"/>
              <w:rPr>
                <w:rFonts w:ascii="宋体" w:hAnsi="宋体" w:cs="Arial"/>
                <w:color w:val="auto"/>
              </w:rPr>
            </w:pPr>
          </w:p>
        </w:tc>
        <w:tc>
          <w:tcPr>
            <w:tcW w:w="1614" w:type="dxa"/>
            <w:gridSpan w:val="2"/>
            <w:tcBorders>
              <w:right w:val="single" w:color="auto" w:sz="4" w:space="0"/>
            </w:tcBorders>
            <w:noWrap w:val="0"/>
            <w:vAlign w:val="center"/>
          </w:tcPr>
          <w:p>
            <w:pPr>
              <w:spacing w:line="400" w:lineRule="exact"/>
              <w:jc w:val="center"/>
              <w:rPr>
                <w:rFonts w:ascii="宋体" w:hAnsi="宋体" w:cs="Arial"/>
                <w:color w:val="auto"/>
              </w:rPr>
            </w:pPr>
          </w:p>
        </w:tc>
        <w:tc>
          <w:tcPr>
            <w:tcW w:w="1305" w:type="dxa"/>
            <w:tcBorders>
              <w:left w:val="single" w:color="auto" w:sz="4" w:space="0"/>
            </w:tcBorders>
            <w:noWrap w:val="0"/>
            <w:vAlign w:val="center"/>
          </w:tcPr>
          <w:p>
            <w:pPr>
              <w:spacing w:line="400" w:lineRule="exact"/>
              <w:jc w:val="center"/>
              <w:rPr>
                <w:rFonts w:ascii="宋体" w:hAnsi="宋体" w:cs="Arial"/>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43" w:type="dxa"/>
            <w:noWrap w:val="0"/>
            <w:vAlign w:val="center"/>
          </w:tcPr>
          <w:p>
            <w:pPr>
              <w:spacing w:line="400" w:lineRule="exact"/>
              <w:jc w:val="center"/>
              <w:rPr>
                <w:rFonts w:ascii="宋体" w:hAnsi="宋体" w:cs="Arial"/>
                <w:color w:val="auto"/>
              </w:rPr>
            </w:pPr>
          </w:p>
        </w:tc>
        <w:tc>
          <w:tcPr>
            <w:tcW w:w="1193" w:type="dxa"/>
            <w:noWrap w:val="0"/>
            <w:vAlign w:val="center"/>
          </w:tcPr>
          <w:p>
            <w:pPr>
              <w:spacing w:line="400" w:lineRule="exact"/>
              <w:jc w:val="center"/>
              <w:rPr>
                <w:rFonts w:ascii="宋体" w:hAnsi="宋体" w:cs="Arial"/>
                <w:color w:val="auto"/>
              </w:rPr>
            </w:pPr>
          </w:p>
        </w:tc>
        <w:tc>
          <w:tcPr>
            <w:tcW w:w="1319" w:type="dxa"/>
            <w:noWrap w:val="0"/>
            <w:vAlign w:val="center"/>
          </w:tcPr>
          <w:p>
            <w:pPr>
              <w:spacing w:line="400" w:lineRule="exact"/>
              <w:jc w:val="center"/>
              <w:rPr>
                <w:rFonts w:ascii="宋体" w:hAnsi="宋体" w:cs="Arial"/>
                <w:color w:val="auto"/>
              </w:rPr>
            </w:pPr>
          </w:p>
        </w:tc>
        <w:tc>
          <w:tcPr>
            <w:tcW w:w="1160" w:type="dxa"/>
            <w:noWrap w:val="0"/>
            <w:vAlign w:val="center"/>
          </w:tcPr>
          <w:p>
            <w:pPr>
              <w:spacing w:line="400" w:lineRule="exact"/>
              <w:jc w:val="center"/>
              <w:rPr>
                <w:rFonts w:ascii="宋体" w:hAnsi="宋体" w:cs="Arial"/>
                <w:color w:val="auto"/>
              </w:rPr>
            </w:pPr>
          </w:p>
        </w:tc>
        <w:tc>
          <w:tcPr>
            <w:tcW w:w="1421" w:type="dxa"/>
            <w:gridSpan w:val="2"/>
            <w:noWrap w:val="0"/>
            <w:vAlign w:val="center"/>
          </w:tcPr>
          <w:p>
            <w:pPr>
              <w:spacing w:line="400" w:lineRule="exact"/>
              <w:jc w:val="center"/>
              <w:rPr>
                <w:rFonts w:ascii="宋体" w:hAnsi="宋体" w:cs="Arial"/>
                <w:color w:val="auto"/>
              </w:rPr>
            </w:pPr>
          </w:p>
        </w:tc>
        <w:tc>
          <w:tcPr>
            <w:tcW w:w="1614" w:type="dxa"/>
            <w:gridSpan w:val="2"/>
            <w:tcBorders>
              <w:right w:val="single" w:color="auto" w:sz="4" w:space="0"/>
            </w:tcBorders>
            <w:noWrap w:val="0"/>
            <w:vAlign w:val="center"/>
          </w:tcPr>
          <w:p>
            <w:pPr>
              <w:spacing w:line="400" w:lineRule="exact"/>
              <w:jc w:val="center"/>
              <w:rPr>
                <w:rFonts w:ascii="宋体" w:hAnsi="宋体" w:cs="Arial"/>
                <w:color w:val="auto"/>
              </w:rPr>
            </w:pPr>
          </w:p>
        </w:tc>
        <w:tc>
          <w:tcPr>
            <w:tcW w:w="1305" w:type="dxa"/>
            <w:tcBorders>
              <w:left w:val="single" w:color="auto" w:sz="4" w:space="0"/>
            </w:tcBorders>
            <w:noWrap w:val="0"/>
            <w:vAlign w:val="center"/>
          </w:tcPr>
          <w:p>
            <w:pPr>
              <w:spacing w:line="400" w:lineRule="exact"/>
              <w:jc w:val="center"/>
              <w:rPr>
                <w:rFonts w:ascii="宋体" w:hAnsi="宋体" w:cs="Arial"/>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43" w:type="dxa"/>
            <w:noWrap w:val="0"/>
            <w:vAlign w:val="center"/>
          </w:tcPr>
          <w:p>
            <w:pPr>
              <w:spacing w:line="400" w:lineRule="exact"/>
              <w:jc w:val="center"/>
              <w:rPr>
                <w:rFonts w:ascii="宋体" w:hAnsi="宋体" w:cs="Arial"/>
                <w:color w:val="auto"/>
              </w:rPr>
            </w:pPr>
          </w:p>
        </w:tc>
        <w:tc>
          <w:tcPr>
            <w:tcW w:w="1193" w:type="dxa"/>
            <w:tcBorders>
              <w:right w:val="single" w:color="auto" w:sz="4" w:space="0"/>
            </w:tcBorders>
            <w:noWrap w:val="0"/>
            <w:vAlign w:val="center"/>
          </w:tcPr>
          <w:p>
            <w:pPr>
              <w:spacing w:line="400" w:lineRule="exact"/>
              <w:jc w:val="center"/>
              <w:rPr>
                <w:rFonts w:ascii="宋体" w:hAnsi="宋体" w:cs="Arial"/>
                <w:color w:val="auto"/>
              </w:rPr>
            </w:pPr>
          </w:p>
        </w:tc>
        <w:tc>
          <w:tcPr>
            <w:tcW w:w="1319" w:type="dxa"/>
            <w:tcBorders>
              <w:left w:val="single" w:color="auto" w:sz="4" w:space="0"/>
            </w:tcBorders>
            <w:noWrap w:val="0"/>
            <w:vAlign w:val="center"/>
          </w:tcPr>
          <w:p>
            <w:pPr>
              <w:spacing w:line="400" w:lineRule="exact"/>
              <w:jc w:val="center"/>
              <w:rPr>
                <w:rFonts w:ascii="宋体" w:hAnsi="宋体" w:cs="Arial"/>
                <w:color w:val="auto"/>
              </w:rPr>
            </w:pPr>
          </w:p>
        </w:tc>
        <w:tc>
          <w:tcPr>
            <w:tcW w:w="1160" w:type="dxa"/>
            <w:noWrap w:val="0"/>
            <w:vAlign w:val="center"/>
          </w:tcPr>
          <w:p>
            <w:pPr>
              <w:spacing w:line="400" w:lineRule="exact"/>
              <w:jc w:val="center"/>
              <w:rPr>
                <w:rFonts w:ascii="宋体" w:hAnsi="宋体" w:cs="Arial"/>
                <w:color w:val="auto"/>
              </w:rPr>
            </w:pPr>
          </w:p>
        </w:tc>
        <w:tc>
          <w:tcPr>
            <w:tcW w:w="1421" w:type="dxa"/>
            <w:gridSpan w:val="2"/>
            <w:noWrap w:val="0"/>
            <w:vAlign w:val="center"/>
          </w:tcPr>
          <w:p>
            <w:pPr>
              <w:spacing w:line="400" w:lineRule="exact"/>
              <w:jc w:val="center"/>
              <w:rPr>
                <w:rFonts w:ascii="宋体" w:hAnsi="宋体" w:cs="Arial"/>
                <w:color w:val="auto"/>
              </w:rPr>
            </w:pPr>
          </w:p>
        </w:tc>
        <w:tc>
          <w:tcPr>
            <w:tcW w:w="1614" w:type="dxa"/>
            <w:gridSpan w:val="2"/>
            <w:tcBorders>
              <w:right w:val="single" w:color="auto" w:sz="4" w:space="0"/>
            </w:tcBorders>
            <w:noWrap w:val="0"/>
            <w:vAlign w:val="center"/>
          </w:tcPr>
          <w:p>
            <w:pPr>
              <w:spacing w:line="400" w:lineRule="exact"/>
              <w:jc w:val="center"/>
              <w:rPr>
                <w:rFonts w:ascii="宋体" w:hAnsi="宋体" w:cs="Arial"/>
                <w:color w:val="auto"/>
              </w:rPr>
            </w:pPr>
          </w:p>
        </w:tc>
        <w:tc>
          <w:tcPr>
            <w:tcW w:w="1305" w:type="dxa"/>
            <w:tcBorders>
              <w:left w:val="single" w:color="auto" w:sz="4" w:space="0"/>
            </w:tcBorders>
            <w:noWrap w:val="0"/>
            <w:vAlign w:val="center"/>
          </w:tcPr>
          <w:p>
            <w:pPr>
              <w:spacing w:line="400" w:lineRule="exact"/>
              <w:jc w:val="center"/>
              <w:rPr>
                <w:rFonts w:ascii="宋体" w:hAnsi="宋体" w:cs="Arial"/>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43" w:type="dxa"/>
            <w:tcBorders>
              <w:right w:val="single" w:color="auto" w:sz="4" w:space="0"/>
            </w:tcBorders>
            <w:noWrap w:val="0"/>
            <w:vAlign w:val="center"/>
          </w:tcPr>
          <w:p>
            <w:pPr>
              <w:spacing w:line="400" w:lineRule="exact"/>
              <w:rPr>
                <w:rFonts w:ascii="宋体" w:hAnsi="宋体" w:cs="Arial"/>
                <w:color w:val="auto"/>
              </w:rPr>
            </w:pPr>
          </w:p>
        </w:tc>
        <w:tc>
          <w:tcPr>
            <w:tcW w:w="1193" w:type="dxa"/>
            <w:tcBorders>
              <w:left w:val="single" w:color="auto" w:sz="4" w:space="0"/>
              <w:right w:val="single" w:color="auto" w:sz="4" w:space="0"/>
            </w:tcBorders>
            <w:noWrap w:val="0"/>
            <w:vAlign w:val="center"/>
          </w:tcPr>
          <w:p>
            <w:pPr>
              <w:spacing w:line="400" w:lineRule="exact"/>
              <w:rPr>
                <w:rFonts w:ascii="宋体" w:hAnsi="宋体" w:cs="Arial"/>
                <w:color w:val="auto"/>
              </w:rPr>
            </w:pPr>
          </w:p>
        </w:tc>
        <w:tc>
          <w:tcPr>
            <w:tcW w:w="1319" w:type="dxa"/>
            <w:tcBorders>
              <w:left w:val="single" w:color="auto" w:sz="4" w:space="0"/>
              <w:right w:val="single" w:color="auto" w:sz="4" w:space="0"/>
            </w:tcBorders>
            <w:noWrap w:val="0"/>
            <w:vAlign w:val="center"/>
          </w:tcPr>
          <w:p>
            <w:pPr>
              <w:spacing w:line="400" w:lineRule="exact"/>
              <w:rPr>
                <w:rFonts w:ascii="宋体" w:hAnsi="宋体" w:cs="Arial"/>
                <w:color w:val="auto"/>
              </w:rPr>
            </w:pPr>
          </w:p>
        </w:tc>
        <w:tc>
          <w:tcPr>
            <w:tcW w:w="1160" w:type="dxa"/>
            <w:tcBorders>
              <w:left w:val="single" w:color="auto" w:sz="4" w:space="0"/>
              <w:right w:val="single" w:color="auto" w:sz="4" w:space="0"/>
            </w:tcBorders>
            <w:noWrap w:val="0"/>
            <w:vAlign w:val="center"/>
          </w:tcPr>
          <w:p>
            <w:pPr>
              <w:spacing w:line="400" w:lineRule="exact"/>
              <w:rPr>
                <w:rFonts w:ascii="宋体" w:hAnsi="宋体" w:cs="Arial"/>
                <w:color w:val="auto"/>
              </w:rPr>
            </w:pPr>
          </w:p>
        </w:tc>
        <w:tc>
          <w:tcPr>
            <w:tcW w:w="1415" w:type="dxa"/>
            <w:tcBorders>
              <w:left w:val="single" w:color="auto" w:sz="4" w:space="0"/>
              <w:right w:val="single" w:color="auto" w:sz="4" w:space="0"/>
            </w:tcBorders>
            <w:noWrap w:val="0"/>
            <w:vAlign w:val="center"/>
          </w:tcPr>
          <w:p>
            <w:pPr>
              <w:spacing w:line="400" w:lineRule="exact"/>
              <w:rPr>
                <w:rFonts w:ascii="宋体" w:hAnsi="宋体" w:cs="Arial"/>
                <w:color w:val="auto"/>
              </w:rPr>
            </w:pPr>
          </w:p>
        </w:tc>
        <w:tc>
          <w:tcPr>
            <w:tcW w:w="1605" w:type="dxa"/>
            <w:gridSpan w:val="2"/>
            <w:tcBorders>
              <w:left w:val="single" w:color="auto" w:sz="4" w:space="0"/>
              <w:right w:val="single" w:color="auto" w:sz="4" w:space="0"/>
            </w:tcBorders>
            <w:noWrap w:val="0"/>
            <w:vAlign w:val="center"/>
          </w:tcPr>
          <w:p>
            <w:pPr>
              <w:spacing w:line="400" w:lineRule="exact"/>
              <w:rPr>
                <w:rFonts w:ascii="宋体" w:hAnsi="宋体" w:cs="Arial"/>
                <w:color w:val="auto"/>
              </w:rPr>
            </w:pPr>
          </w:p>
        </w:tc>
        <w:tc>
          <w:tcPr>
            <w:tcW w:w="1320" w:type="dxa"/>
            <w:gridSpan w:val="2"/>
            <w:tcBorders>
              <w:left w:val="single" w:color="auto" w:sz="4" w:space="0"/>
            </w:tcBorders>
            <w:noWrap w:val="0"/>
            <w:vAlign w:val="center"/>
          </w:tcPr>
          <w:p>
            <w:pPr>
              <w:spacing w:line="400" w:lineRule="exact"/>
              <w:rPr>
                <w:rFonts w:ascii="宋体" w:hAnsi="宋体" w:cs="Arial"/>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43" w:type="dxa"/>
            <w:noWrap w:val="0"/>
            <w:vAlign w:val="center"/>
          </w:tcPr>
          <w:p>
            <w:pPr>
              <w:spacing w:line="400" w:lineRule="exact"/>
              <w:rPr>
                <w:rFonts w:ascii="宋体" w:hAnsi="宋体" w:cs="Arial"/>
                <w:color w:val="auto"/>
              </w:rPr>
            </w:pPr>
          </w:p>
        </w:tc>
        <w:tc>
          <w:tcPr>
            <w:tcW w:w="1193" w:type="dxa"/>
            <w:noWrap w:val="0"/>
            <w:vAlign w:val="center"/>
          </w:tcPr>
          <w:p>
            <w:pPr>
              <w:spacing w:line="400" w:lineRule="exact"/>
              <w:rPr>
                <w:rFonts w:ascii="宋体" w:hAnsi="宋体" w:cs="Arial"/>
                <w:color w:val="auto"/>
              </w:rPr>
            </w:pPr>
          </w:p>
        </w:tc>
        <w:tc>
          <w:tcPr>
            <w:tcW w:w="1319" w:type="dxa"/>
            <w:noWrap w:val="0"/>
            <w:vAlign w:val="center"/>
          </w:tcPr>
          <w:p>
            <w:pPr>
              <w:spacing w:line="400" w:lineRule="exact"/>
              <w:rPr>
                <w:rFonts w:ascii="宋体" w:hAnsi="宋体" w:cs="Arial"/>
                <w:color w:val="auto"/>
              </w:rPr>
            </w:pPr>
          </w:p>
        </w:tc>
        <w:tc>
          <w:tcPr>
            <w:tcW w:w="1160" w:type="dxa"/>
            <w:noWrap w:val="0"/>
            <w:vAlign w:val="center"/>
          </w:tcPr>
          <w:p>
            <w:pPr>
              <w:spacing w:line="400" w:lineRule="exact"/>
              <w:rPr>
                <w:rFonts w:ascii="宋体" w:hAnsi="宋体" w:cs="Arial"/>
                <w:color w:val="auto"/>
              </w:rPr>
            </w:pPr>
          </w:p>
        </w:tc>
        <w:tc>
          <w:tcPr>
            <w:tcW w:w="1421" w:type="dxa"/>
            <w:gridSpan w:val="2"/>
            <w:tcBorders>
              <w:right w:val="single" w:color="auto" w:sz="4" w:space="0"/>
            </w:tcBorders>
            <w:noWrap w:val="0"/>
            <w:vAlign w:val="center"/>
          </w:tcPr>
          <w:p>
            <w:pPr>
              <w:spacing w:line="400" w:lineRule="exact"/>
              <w:rPr>
                <w:rFonts w:ascii="宋体" w:hAnsi="宋体" w:cs="Arial"/>
                <w:color w:val="auto"/>
              </w:rPr>
            </w:pPr>
          </w:p>
        </w:tc>
        <w:tc>
          <w:tcPr>
            <w:tcW w:w="1614" w:type="dxa"/>
            <w:gridSpan w:val="2"/>
            <w:tcBorders>
              <w:left w:val="single" w:color="auto" w:sz="4" w:space="0"/>
              <w:right w:val="single" w:color="auto" w:sz="4" w:space="0"/>
            </w:tcBorders>
            <w:noWrap w:val="0"/>
            <w:vAlign w:val="center"/>
          </w:tcPr>
          <w:p>
            <w:pPr>
              <w:spacing w:line="400" w:lineRule="exact"/>
              <w:rPr>
                <w:rFonts w:ascii="宋体" w:hAnsi="宋体" w:cs="Arial"/>
                <w:color w:val="auto"/>
              </w:rPr>
            </w:pPr>
          </w:p>
        </w:tc>
        <w:tc>
          <w:tcPr>
            <w:tcW w:w="1305" w:type="dxa"/>
            <w:tcBorders>
              <w:left w:val="single" w:color="auto" w:sz="4" w:space="0"/>
            </w:tcBorders>
            <w:noWrap w:val="0"/>
            <w:vAlign w:val="center"/>
          </w:tcPr>
          <w:p>
            <w:pPr>
              <w:spacing w:line="400" w:lineRule="exact"/>
              <w:rPr>
                <w:rFonts w:ascii="宋体" w:hAnsi="宋体" w:cs="Arial"/>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43" w:type="dxa"/>
            <w:noWrap w:val="0"/>
            <w:vAlign w:val="center"/>
          </w:tcPr>
          <w:p>
            <w:pPr>
              <w:spacing w:line="400" w:lineRule="exact"/>
              <w:jc w:val="center"/>
              <w:rPr>
                <w:rFonts w:ascii="宋体" w:hAnsi="宋体" w:cs="Arial"/>
                <w:color w:val="auto"/>
              </w:rPr>
            </w:pPr>
          </w:p>
        </w:tc>
        <w:tc>
          <w:tcPr>
            <w:tcW w:w="1193" w:type="dxa"/>
            <w:noWrap w:val="0"/>
            <w:vAlign w:val="center"/>
          </w:tcPr>
          <w:p>
            <w:pPr>
              <w:spacing w:line="400" w:lineRule="exact"/>
              <w:jc w:val="center"/>
              <w:rPr>
                <w:rFonts w:ascii="宋体" w:hAnsi="宋体" w:cs="Arial"/>
                <w:color w:val="auto"/>
              </w:rPr>
            </w:pPr>
          </w:p>
        </w:tc>
        <w:tc>
          <w:tcPr>
            <w:tcW w:w="1319" w:type="dxa"/>
            <w:noWrap w:val="0"/>
            <w:vAlign w:val="center"/>
          </w:tcPr>
          <w:p>
            <w:pPr>
              <w:spacing w:line="400" w:lineRule="exact"/>
              <w:jc w:val="center"/>
              <w:rPr>
                <w:rFonts w:ascii="宋体" w:hAnsi="宋体" w:cs="Arial"/>
                <w:color w:val="auto"/>
              </w:rPr>
            </w:pPr>
          </w:p>
        </w:tc>
        <w:tc>
          <w:tcPr>
            <w:tcW w:w="1160" w:type="dxa"/>
            <w:noWrap w:val="0"/>
            <w:vAlign w:val="center"/>
          </w:tcPr>
          <w:p>
            <w:pPr>
              <w:spacing w:line="400" w:lineRule="exact"/>
              <w:jc w:val="center"/>
              <w:rPr>
                <w:rFonts w:ascii="宋体" w:hAnsi="宋体" w:cs="Arial"/>
                <w:color w:val="auto"/>
              </w:rPr>
            </w:pPr>
          </w:p>
        </w:tc>
        <w:tc>
          <w:tcPr>
            <w:tcW w:w="1421" w:type="dxa"/>
            <w:gridSpan w:val="2"/>
            <w:tcBorders>
              <w:right w:val="single" w:color="auto" w:sz="4" w:space="0"/>
            </w:tcBorders>
            <w:noWrap w:val="0"/>
            <w:vAlign w:val="center"/>
          </w:tcPr>
          <w:p>
            <w:pPr>
              <w:spacing w:line="400" w:lineRule="exact"/>
              <w:jc w:val="center"/>
              <w:rPr>
                <w:rFonts w:ascii="宋体" w:hAnsi="宋体" w:cs="Arial"/>
                <w:color w:val="auto"/>
              </w:rPr>
            </w:pPr>
          </w:p>
        </w:tc>
        <w:tc>
          <w:tcPr>
            <w:tcW w:w="1614" w:type="dxa"/>
            <w:gridSpan w:val="2"/>
            <w:tcBorders>
              <w:left w:val="single" w:color="auto" w:sz="4" w:space="0"/>
              <w:right w:val="single" w:color="auto" w:sz="4" w:space="0"/>
            </w:tcBorders>
            <w:noWrap w:val="0"/>
            <w:vAlign w:val="center"/>
          </w:tcPr>
          <w:p>
            <w:pPr>
              <w:spacing w:line="400" w:lineRule="exact"/>
              <w:jc w:val="center"/>
              <w:rPr>
                <w:rFonts w:ascii="宋体" w:hAnsi="宋体" w:cs="Arial"/>
                <w:color w:val="auto"/>
              </w:rPr>
            </w:pPr>
          </w:p>
        </w:tc>
        <w:tc>
          <w:tcPr>
            <w:tcW w:w="1305" w:type="dxa"/>
            <w:tcBorders>
              <w:left w:val="single" w:color="auto" w:sz="4" w:space="0"/>
            </w:tcBorders>
            <w:noWrap w:val="0"/>
            <w:vAlign w:val="center"/>
          </w:tcPr>
          <w:p>
            <w:pPr>
              <w:spacing w:line="400" w:lineRule="exact"/>
              <w:jc w:val="center"/>
              <w:rPr>
                <w:rFonts w:ascii="宋体" w:hAnsi="宋体" w:cs="Arial"/>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43" w:type="dxa"/>
            <w:noWrap w:val="0"/>
            <w:vAlign w:val="center"/>
          </w:tcPr>
          <w:p>
            <w:pPr>
              <w:spacing w:line="400" w:lineRule="exact"/>
              <w:jc w:val="center"/>
              <w:rPr>
                <w:rFonts w:ascii="宋体" w:hAnsi="宋体" w:cs="Arial"/>
                <w:color w:val="auto"/>
              </w:rPr>
            </w:pPr>
          </w:p>
        </w:tc>
        <w:tc>
          <w:tcPr>
            <w:tcW w:w="1193" w:type="dxa"/>
            <w:noWrap w:val="0"/>
            <w:vAlign w:val="center"/>
          </w:tcPr>
          <w:p>
            <w:pPr>
              <w:spacing w:line="400" w:lineRule="exact"/>
              <w:jc w:val="center"/>
              <w:rPr>
                <w:rFonts w:ascii="宋体" w:hAnsi="宋体" w:cs="Arial"/>
                <w:color w:val="auto"/>
              </w:rPr>
            </w:pPr>
          </w:p>
        </w:tc>
        <w:tc>
          <w:tcPr>
            <w:tcW w:w="1319" w:type="dxa"/>
            <w:noWrap w:val="0"/>
            <w:vAlign w:val="center"/>
          </w:tcPr>
          <w:p>
            <w:pPr>
              <w:spacing w:line="400" w:lineRule="exact"/>
              <w:jc w:val="center"/>
              <w:rPr>
                <w:rFonts w:ascii="宋体" w:hAnsi="宋体" w:cs="Arial"/>
                <w:color w:val="auto"/>
              </w:rPr>
            </w:pPr>
          </w:p>
        </w:tc>
        <w:tc>
          <w:tcPr>
            <w:tcW w:w="1160" w:type="dxa"/>
            <w:noWrap w:val="0"/>
            <w:vAlign w:val="center"/>
          </w:tcPr>
          <w:p>
            <w:pPr>
              <w:spacing w:line="400" w:lineRule="exact"/>
              <w:jc w:val="center"/>
              <w:rPr>
                <w:rFonts w:ascii="宋体" w:hAnsi="宋体" w:cs="Arial"/>
                <w:color w:val="auto"/>
              </w:rPr>
            </w:pPr>
          </w:p>
        </w:tc>
        <w:tc>
          <w:tcPr>
            <w:tcW w:w="1421" w:type="dxa"/>
            <w:gridSpan w:val="2"/>
            <w:tcBorders>
              <w:right w:val="single" w:color="auto" w:sz="4" w:space="0"/>
            </w:tcBorders>
            <w:noWrap w:val="0"/>
            <w:vAlign w:val="center"/>
          </w:tcPr>
          <w:p>
            <w:pPr>
              <w:spacing w:line="400" w:lineRule="exact"/>
              <w:jc w:val="center"/>
              <w:rPr>
                <w:rFonts w:ascii="宋体" w:hAnsi="宋体" w:cs="Arial"/>
                <w:color w:val="auto"/>
              </w:rPr>
            </w:pPr>
          </w:p>
        </w:tc>
        <w:tc>
          <w:tcPr>
            <w:tcW w:w="1614" w:type="dxa"/>
            <w:gridSpan w:val="2"/>
            <w:tcBorders>
              <w:left w:val="single" w:color="auto" w:sz="4" w:space="0"/>
              <w:right w:val="single" w:color="auto" w:sz="4" w:space="0"/>
            </w:tcBorders>
            <w:noWrap w:val="0"/>
            <w:vAlign w:val="center"/>
          </w:tcPr>
          <w:p>
            <w:pPr>
              <w:spacing w:line="400" w:lineRule="exact"/>
              <w:jc w:val="center"/>
              <w:rPr>
                <w:rFonts w:ascii="宋体" w:hAnsi="宋体" w:cs="Arial"/>
                <w:color w:val="auto"/>
              </w:rPr>
            </w:pPr>
          </w:p>
        </w:tc>
        <w:tc>
          <w:tcPr>
            <w:tcW w:w="1305" w:type="dxa"/>
            <w:tcBorders>
              <w:left w:val="single" w:color="auto" w:sz="4" w:space="0"/>
            </w:tcBorders>
            <w:noWrap w:val="0"/>
            <w:vAlign w:val="center"/>
          </w:tcPr>
          <w:p>
            <w:pPr>
              <w:spacing w:line="400" w:lineRule="exact"/>
              <w:jc w:val="center"/>
              <w:rPr>
                <w:rFonts w:ascii="宋体" w:hAnsi="宋体" w:cs="Arial"/>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943" w:type="dxa"/>
            <w:tcBorders>
              <w:bottom w:val="single" w:color="auto" w:sz="4" w:space="0"/>
            </w:tcBorders>
            <w:noWrap w:val="0"/>
            <w:vAlign w:val="center"/>
          </w:tcPr>
          <w:p>
            <w:pPr>
              <w:spacing w:line="400" w:lineRule="exact"/>
              <w:jc w:val="center"/>
              <w:rPr>
                <w:rFonts w:ascii="宋体" w:hAnsi="宋体" w:cs="Arial"/>
                <w:color w:val="auto"/>
              </w:rPr>
            </w:pPr>
          </w:p>
        </w:tc>
        <w:tc>
          <w:tcPr>
            <w:tcW w:w="1193" w:type="dxa"/>
            <w:tcBorders>
              <w:bottom w:val="single" w:color="auto" w:sz="4" w:space="0"/>
            </w:tcBorders>
            <w:noWrap w:val="0"/>
            <w:vAlign w:val="center"/>
          </w:tcPr>
          <w:p>
            <w:pPr>
              <w:spacing w:line="400" w:lineRule="exact"/>
              <w:jc w:val="center"/>
              <w:rPr>
                <w:rFonts w:ascii="宋体" w:hAnsi="宋体" w:cs="Arial"/>
                <w:color w:val="auto"/>
              </w:rPr>
            </w:pPr>
          </w:p>
        </w:tc>
        <w:tc>
          <w:tcPr>
            <w:tcW w:w="1319" w:type="dxa"/>
            <w:tcBorders>
              <w:bottom w:val="single" w:color="auto" w:sz="4" w:space="0"/>
            </w:tcBorders>
            <w:noWrap w:val="0"/>
            <w:vAlign w:val="center"/>
          </w:tcPr>
          <w:p>
            <w:pPr>
              <w:spacing w:line="400" w:lineRule="exact"/>
              <w:jc w:val="center"/>
              <w:rPr>
                <w:rFonts w:ascii="宋体" w:hAnsi="宋体" w:cs="Arial"/>
                <w:color w:val="auto"/>
              </w:rPr>
            </w:pPr>
          </w:p>
        </w:tc>
        <w:tc>
          <w:tcPr>
            <w:tcW w:w="1160" w:type="dxa"/>
            <w:tcBorders>
              <w:bottom w:val="single" w:color="auto" w:sz="4" w:space="0"/>
            </w:tcBorders>
            <w:noWrap w:val="0"/>
            <w:vAlign w:val="center"/>
          </w:tcPr>
          <w:p>
            <w:pPr>
              <w:spacing w:line="400" w:lineRule="exact"/>
              <w:jc w:val="center"/>
              <w:rPr>
                <w:rFonts w:ascii="宋体" w:hAnsi="宋体" w:cs="Arial"/>
                <w:color w:val="auto"/>
              </w:rPr>
            </w:pPr>
          </w:p>
        </w:tc>
        <w:tc>
          <w:tcPr>
            <w:tcW w:w="1421" w:type="dxa"/>
            <w:gridSpan w:val="2"/>
            <w:tcBorders>
              <w:bottom w:val="single" w:color="auto" w:sz="4" w:space="0"/>
              <w:right w:val="single" w:color="auto" w:sz="4" w:space="0"/>
            </w:tcBorders>
            <w:noWrap w:val="0"/>
            <w:vAlign w:val="center"/>
          </w:tcPr>
          <w:p>
            <w:pPr>
              <w:spacing w:line="400" w:lineRule="exact"/>
              <w:jc w:val="center"/>
              <w:rPr>
                <w:rFonts w:ascii="宋体" w:hAnsi="宋体" w:cs="Arial"/>
                <w:color w:val="auto"/>
              </w:rPr>
            </w:pPr>
          </w:p>
        </w:tc>
        <w:tc>
          <w:tcPr>
            <w:tcW w:w="1614" w:type="dxa"/>
            <w:gridSpan w:val="2"/>
            <w:tcBorders>
              <w:left w:val="single" w:color="auto" w:sz="4" w:space="0"/>
              <w:bottom w:val="single" w:color="auto" w:sz="4" w:space="0"/>
              <w:right w:val="single" w:color="auto" w:sz="4" w:space="0"/>
            </w:tcBorders>
            <w:noWrap w:val="0"/>
            <w:vAlign w:val="center"/>
          </w:tcPr>
          <w:p>
            <w:pPr>
              <w:spacing w:line="400" w:lineRule="exact"/>
              <w:jc w:val="center"/>
              <w:rPr>
                <w:rFonts w:ascii="宋体" w:hAnsi="宋体" w:cs="Arial"/>
                <w:color w:val="auto"/>
              </w:rPr>
            </w:pPr>
          </w:p>
        </w:tc>
        <w:tc>
          <w:tcPr>
            <w:tcW w:w="1305" w:type="dxa"/>
            <w:tcBorders>
              <w:left w:val="single" w:color="auto" w:sz="4" w:space="0"/>
              <w:bottom w:val="single" w:color="auto" w:sz="4" w:space="0"/>
            </w:tcBorders>
            <w:noWrap w:val="0"/>
            <w:vAlign w:val="center"/>
          </w:tcPr>
          <w:p>
            <w:pPr>
              <w:spacing w:line="400" w:lineRule="exact"/>
              <w:jc w:val="center"/>
              <w:rPr>
                <w:rFonts w:ascii="宋体" w:hAnsi="宋体" w:cs="Arial"/>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943" w:type="dxa"/>
            <w:tcBorders>
              <w:top w:val="single" w:color="auto" w:sz="4" w:space="0"/>
              <w:bottom w:val="single" w:color="auto" w:sz="4" w:space="0"/>
            </w:tcBorders>
            <w:noWrap w:val="0"/>
            <w:vAlign w:val="center"/>
          </w:tcPr>
          <w:p>
            <w:pPr>
              <w:spacing w:line="400" w:lineRule="exact"/>
              <w:jc w:val="center"/>
              <w:rPr>
                <w:rFonts w:ascii="宋体" w:hAnsi="宋体" w:cs="Arial"/>
                <w:color w:val="auto"/>
              </w:rPr>
            </w:pPr>
          </w:p>
        </w:tc>
        <w:tc>
          <w:tcPr>
            <w:tcW w:w="1193" w:type="dxa"/>
            <w:tcBorders>
              <w:top w:val="single" w:color="auto" w:sz="4" w:space="0"/>
              <w:bottom w:val="single" w:color="auto" w:sz="4" w:space="0"/>
            </w:tcBorders>
            <w:noWrap w:val="0"/>
            <w:vAlign w:val="center"/>
          </w:tcPr>
          <w:p>
            <w:pPr>
              <w:spacing w:line="400" w:lineRule="exact"/>
              <w:jc w:val="center"/>
              <w:rPr>
                <w:rFonts w:ascii="宋体" w:hAnsi="宋体" w:cs="Arial"/>
                <w:color w:val="auto"/>
              </w:rPr>
            </w:pPr>
          </w:p>
        </w:tc>
        <w:tc>
          <w:tcPr>
            <w:tcW w:w="1319" w:type="dxa"/>
            <w:tcBorders>
              <w:top w:val="single" w:color="auto" w:sz="4" w:space="0"/>
              <w:bottom w:val="single" w:color="auto" w:sz="4" w:space="0"/>
            </w:tcBorders>
            <w:noWrap w:val="0"/>
            <w:vAlign w:val="center"/>
          </w:tcPr>
          <w:p>
            <w:pPr>
              <w:spacing w:line="400" w:lineRule="exact"/>
              <w:jc w:val="center"/>
              <w:rPr>
                <w:rFonts w:ascii="宋体" w:hAnsi="宋体" w:cs="Arial"/>
                <w:color w:val="auto"/>
              </w:rPr>
            </w:pPr>
          </w:p>
        </w:tc>
        <w:tc>
          <w:tcPr>
            <w:tcW w:w="1160" w:type="dxa"/>
            <w:tcBorders>
              <w:top w:val="single" w:color="auto" w:sz="4" w:space="0"/>
              <w:bottom w:val="single" w:color="auto" w:sz="4" w:space="0"/>
            </w:tcBorders>
            <w:noWrap w:val="0"/>
            <w:vAlign w:val="center"/>
          </w:tcPr>
          <w:p>
            <w:pPr>
              <w:spacing w:line="400" w:lineRule="exact"/>
              <w:jc w:val="center"/>
              <w:rPr>
                <w:rFonts w:ascii="宋体" w:hAnsi="宋体" w:cs="Arial"/>
                <w:color w:val="auto"/>
              </w:rPr>
            </w:pPr>
          </w:p>
        </w:tc>
        <w:tc>
          <w:tcPr>
            <w:tcW w:w="1421" w:type="dxa"/>
            <w:gridSpan w:val="2"/>
            <w:tcBorders>
              <w:top w:val="single" w:color="auto" w:sz="4" w:space="0"/>
              <w:bottom w:val="single" w:color="auto" w:sz="4" w:space="0"/>
              <w:right w:val="single" w:color="auto" w:sz="4" w:space="0"/>
            </w:tcBorders>
            <w:noWrap w:val="0"/>
            <w:vAlign w:val="center"/>
          </w:tcPr>
          <w:p>
            <w:pPr>
              <w:spacing w:line="400" w:lineRule="exact"/>
              <w:jc w:val="center"/>
              <w:rPr>
                <w:rFonts w:ascii="宋体" w:hAnsi="宋体" w:cs="Arial"/>
                <w:color w:val="auto"/>
              </w:rPr>
            </w:pPr>
          </w:p>
        </w:tc>
        <w:tc>
          <w:tcPr>
            <w:tcW w:w="1614"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cs="Arial"/>
                <w:color w:val="auto"/>
              </w:rPr>
            </w:pPr>
          </w:p>
        </w:tc>
        <w:tc>
          <w:tcPr>
            <w:tcW w:w="1305" w:type="dxa"/>
            <w:tcBorders>
              <w:top w:val="single" w:color="auto" w:sz="4" w:space="0"/>
              <w:left w:val="single" w:color="auto" w:sz="4" w:space="0"/>
              <w:bottom w:val="single" w:color="auto" w:sz="4" w:space="0"/>
            </w:tcBorders>
            <w:noWrap w:val="0"/>
            <w:vAlign w:val="center"/>
          </w:tcPr>
          <w:p>
            <w:pPr>
              <w:spacing w:line="400" w:lineRule="exact"/>
              <w:jc w:val="center"/>
              <w:rPr>
                <w:rFonts w:ascii="宋体" w:hAnsi="宋体" w:cs="Arial"/>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943" w:type="dxa"/>
            <w:tcBorders>
              <w:top w:val="single" w:color="auto" w:sz="4" w:space="0"/>
              <w:bottom w:val="single" w:color="auto" w:sz="4" w:space="0"/>
            </w:tcBorders>
            <w:noWrap w:val="0"/>
            <w:vAlign w:val="center"/>
          </w:tcPr>
          <w:p>
            <w:pPr>
              <w:spacing w:line="400" w:lineRule="exact"/>
              <w:jc w:val="center"/>
              <w:rPr>
                <w:rFonts w:ascii="宋体" w:hAnsi="宋体" w:cs="Arial"/>
                <w:color w:val="auto"/>
              </w:rPr>
            </w:pPr>
          </w:p>
        </w:tc>
        <w:tc>
          <w:tcPr>
            <w:tcW w:w="1193" w:type="dxa"/>
            <w:tcBorders>
              <w:top w:val="single" w:color="auto" w:sz="4" w:space="0"/>
              <w:bottom w:val="single" w:color="auto" w:sz="4" w:space="0"/>
            </w:tcBorders>
            <w:noWrap w:val="0"/>
            <w:vAlign w:val="center"/>
          </w:tcPr>
          <w:p>
            <w:pPr>
              <w:spacing w:line="400" w:lineRule="exact"/>
              <w:jc w:val="center"/>
              <w:rPr>
                <w:rFonts w:ascii="宋体" w:hAnsi="宋体" w:cs="Arial"/>
                <w:color w:val="auto"/>
              </w:rPr>
            </w:pPr>
          </w:p>
        </w:tc>
        <w:tc>
          <w:tcPr>
            <w:tcW w:w="1319" w:type="dxa"/>
            <w:tcBorders>
              <w:top w:val="single" w:color="auto" w:sz="4" w:space="0"/>
              <w:bottom w:val="single" w:color="auto" w:sz="4" w:space="0"/>
            </w:tcBorders>
            <w:noWrap w:val="0"/>
            <w:vAlign w:val="center"/>
          </w:tcPr>
          <w:p>
            <w:pPr>
              <w:spacing w:line="400" w:lineRule="exact"/>
              <w:jc w:val="center"/>
              <w:rPr>
                <w:rFonts w:ascii="宋体" w:hAnsi="宋体" w:cs="Arial"/>
                <w:color w:val="auto"/>
              </w:rPr>
            </w:pPr>
          </w:p>
        </w:tc>
        <w:tc>
          <w:tcPr>
            <w:tcW w:w="1160" w:type="dxa"/>
            <w:tcBorders>
              <w:top w:val="single" w:color="auto" w:sz="4" w:space="0"/>
              <w:bottom w:val="single" w:color="auto" w:sz="4" w:space="0"/>
            </w:tcBorders>
            <w:noWrap w:val="0"/>
            <w:vAlign w:val="center"/>
          </w:tcPr>
          <w:p>
            <w:pPr>
              <w:spacing w:line="400" w:lineRule="exact"/>
              <w:jc w:val="center"/>
              <w:rPr>
                <w:rFonts w:ascii="宋体" w:hAnsi="宋体" w:cs="Arial"/>
                <w:color w:val="auto"/>
              </w:rPr>
            </w:pPr>
          </w:p>
        </w:tc>
        <w:tc>
          <w:tcPr>
            <w:tcW w:w="1421" w:type="dxa"/>
            <w:gridSpan w:val="2"/>
            <w:tcBorders>
              <w:top w:val="single" w:color="auto" w:sz="4" w:space="0"/>
              <w:bottom w:val="single" w:color="auto" w:sz="4" w:space="0"/>
              <w:right w:val="single" w:color="auto" w:sz="4" w:space="0"/>
            </w:tcBorders>
            <w:noWrap w:val="0"/>
            <w:vAlign w:val="center"/>
          </w:tcPr>
          <w:p>
            <w:pPr>
              <w:spacing w:line="400" w:lineRule="exact"/>
              <w:jc w:val="center"/>
              <w:rPr>
                <w:rFonts w:ascii="宋体" w:hAnsi="宋体" w:cs="Arial"/>
                <w:color w:val="auto"/>
              </w:rPr>
            </w:pPr>
          </w:p>
        </w:tc>
        <w:tc>
          <w:tcPr>
            <w:tcW w:w="1614" w:type="dxa"/>
            <w:gridSpan w:val="2"/>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ascii="宋体" w:hAnsi="宋体" w:cs="Arial"/>
                <w:color w:val="auto"/>
              </w:rPr>
            </w:pPr>
          </w:p>
        </w:tc>
        <w:tc>
          <w:tcPr>
            <w:tcW w:w="1305" w:type="dxa"/>
            <w:tcBorders>
              <w:top w:val="single" w:color="auto" w:sz="4" w:space="0"/>
              <w:left w:val="single" w:color="auto" w:sz="4" w:space="0"/>
              <w:bottom w:val="single" w:color="auto" w:sz="4" w:space="0"/>
            </w:tcBorders>
            <w:noWrap w:val="0"/>
            <w:vAlign w:val="center"/>
          </w:tcPr>
          <w:p>
            <w:pPr>
              <w:spacing w:line="400" w:lineRule="exact"/>
              <w:jc w:val="center"/>
              <w:rPr>
                <w:rFonts w:ascii="宋体" w:hAnsi="宋体" w:cs="Arial"/>
                <w:color w:val="auto"/>
              </w:rPr>
            </w:pPr>
          </w:p>
        </w:tc>
      </w:tr>
    </w:tbl>
    <w:p>
      <w:pPr>
        <w:tabs>
          <w:tab w:val="left" w:pos="555"/>
          <w:tab w:val="left" w:pos="2214"/>
          <w:tab w:val="left" w:pos="3774"/>
          <w:tab w:val="left" w:pos="4854"/>
          <w:tab w:val="left" w:pos="5934"/>
          <w:tab w:val="left" w:pos="7014"/>
          <w:tab w:val="left" w:pos="8214"/>
          <w:tab w:val="left" w:pos="10134"/>
          <w:tab w:val="left" w:pos="11124"/>
        </w:tabs>
        <w:spacing w:line="400" w:lineRule="exact"/>
        <w:ind w:firstLine="480" w:firstLineChars="200"/>
        <w:rPr>
          <w:rFonts w:ascii="宋体" w:hAnsi="宋体" w:cs="Arial"/>
          <w:color w:val="auto"/>
          <w:sz w:val="24"/>
        </w:rPr>
      </w:pPr>
      <w:r>
        <w:rPr>
          <w:rFonts w:hint="eastAsia" w:ascii="宋体" w:hAnsi="宋体" w:cs="Arial"/>
          <w:color w:val="auto"/>
          <w:sz w:val="24"/>
        </w:rPr>
        <w:t>注：1、供应商（仅限于供应商自己的）以上业绩需提供有关书面证明材料。“合同金额”需提供合同复印件。</w:t>
      </w:r>
    </w:p>
    <w:p>
      <w:pPr>
        <w:tabs>
          <w:tab w:val="left" w:pos="555"/>
          <w:tab w:val="left" w:pos="2214"/>
          <w:tab w:val="left" w:pos="3774"/>
          <w:tab w:val="left" w:pos="4854"/>
          <w:tab w:val="left" w:pos="5934"/>
          <w:tab w:val="left" w:pos="7014"/>
          <w:tab w:val="left" w:pos="8214"/>
          <w:tab w:val="left" w:pos="10134"/>
          <w:tab w:val="left" w:pos="11124"/>
        </w:tabs>
        <w:spacing w:line="400" w:lineRule="exact"/>
        <w:ind w:firstLine="480" w:firstLineChars="200"/>
        <w:rPr>
          <w:rFonts w:ascii="宋体" w:hAnsi="宋体" w:cs="Arial"/>
          <w:color w:val="auto"/>
          <w:sz w:val="24"/>
        </w:rPr>
      </w:pPr>
      <w:r>
        <w:rPr>
          <w:rFonts w:hint="eastAsia" w:ascii="宋体" w:hAnsi="宋体" w:cs="Arial"/>
          <w:color w:val="auto"/>
          <w:sz w:val="24"/>
        </w:rPr>
        <w:t>2、可根据“综合评分表”的业绩要求提供。</w:t>
      </w:r>
    </w:p>
    <w:p>
      <w:pPr>
        <w:spacing w:line="360" w:lineRule="auto"/>
        <w:jc w:val="left"/>
        <w:rPr>
          <w:rFonts w:ascii="宋体" w:hAnsi="宋体" w:cs="Arial"/>
          <w:color w:val="auto"/>
          <w:sz w:val="24"/>
        </w:rPr>
      </w:pPr>
    </w:p>
    <w:p>
      <w:pPr>
        <w:spacing w:line="360" w:lineRule="auto"/>
        <w:jc w:val="left"/>
        <w:rPr>
          <w:rFonts w:ascii="宋体" w:hAnsi="宋体"/>
          <w:color w:val="auto"/>
          <w:sz w:val="24"/>
        </w:rPr>
      </w:pPr>
      <w:r>
        <w:rPr>
          <w:rFonts w:hint="eastAsia" w:ascii="宋体" w:hAnsi="宋体"/>
          <w:color w:val="auto"/>
          <w:sz w:val="24"/>
        </w:rPr>
        <w:t xml:space="preserve">    供应商名称：XXXX（盖单位公章）</w:t>
      </w:r>
    </w:p>
    <w:p>
      <w:pPr>
        <w:spacing w:line="360" w:lineRule="auto"/>
        <w:jc w:val="left"/>
        <w:rPr>
          <w:rFonts w:ascii="宋体" w:hAnsi="宋体"/>
          <w:color w:val="auto"/>
          <w:sz w:val="24"/>
        </w:rPr>
      </w:pPr>
      <w:r>
        <w:rPr>
          <w:rFonts w:hint="eastAsia" w:ascii="宋体" w:hAnsi="宋体"/>
          <w:color w:val="auto"/>
          <w:sz w:val="24"/>
        </w:rPr>
        <w:t xml:space="preserve">    法定代表人或授权代表（签字）：XXXX</w:t>
      </w:r>
    </w:p>
    <w:p>
      <w:pPr>
        <w:spacing w:line="360" w:lineRule="auto"/>
        <w:jc w:val="left"/>
        <w:rPr>
          <w:rFonts w:ascii="宋体" w:hAnsi="宋体"/>
          <w:color w:val="auto"/>
          <w:sz w:val="24"/>
        </w:rPr>
      </w:pPr>
      <w:r>
        <w:rPr>
          <w:rFonts w:hint="eastAsia" w:ascii="宋体" w:hAnsi="宋体"/>
          <w:color w:val="auto"/>
          <w:sz w:val="24"/>
        </w:rPr>
        <w:t xml:space="preserve">    日期: XXXX</w:t>
      </w:r>
    </w:p>
    <w:p>
      <w:pPr>
        <w:rPr>
          <w:rFonts w:ascii="宋体" w:hAnsi="宋体"/>
          <w:color w:val="auto"/>
          <w:sz w:val="32"/>
          <w:szCs w:val="32"/>
        </w:rPr>
      </w:pPr>
    </w:p>
    <w:p>
      <w:pPr>
        <w:pStyle w:val="2"/>
        <w:rPr>
          <w:color w:val="auto"/>
        </w:rPr>
      </w:pPr>
    </w:p>
    <w:p>
      <w:pPr>
        <w:jc w:val="center"/>
        <w:rPr>
          <w:rFonts w:ascii="宋体" w:hAnsi="宋体"/>
          <w:b/>
          <w:color w:val="auto"/>
          <w:sz w:val="30"/>
          <w:szCs w:val="30"/>
        </w:rPr>
      </w:pPr>
    </w:p>
    <w:p>
      <w:pPr>
        <w:jc w:val="both"/>
        <w:rPr>
          <w:rFonts w:ascii="宋体" w:hAnsi="宋体"/>
          <w:b/>
          <w:color w:val="auto"/>
          <w:sz w:val="30"/>
          <w:szCs w:val="30"/>
        </w:rPr>
      </w:pPr>
    </w:p>
    <w:p>
      <w:pPr>
        <w:jc w:val="center"/>
        <w:rPr>
          <w:rFonts w:ascii="宋体" w:hAnsi="宋体"/>
          <w:b/>
          <w:color w:val="auto"/>
          <w:sz w:val="30"/>
          <w:szCs w:val="30"/>
        </w:rPr>
      </w:pPr>
      <w:r>
        <w:rPr>
          <w:rFonts w:hint="eastAsia" w:ascii="宋体" w:hAnsi="宋体"/>
          <w:b/>
          <w:color w:val="auto"/>
          <w:sz w:val="30"/>
          <w:szCs w:val="30"/>
          <w:lang w:val="en-US" w:eastAsia="zh-CN"/>
        </w:rPr>
        <w:t>九</w:t>
      </w:r>
      <w:r>
        <w:rPr>
          <w:rFonts w:hint="eastAsia" w:ascii="宋体" w:hAnsi="宋体"/>
          <w:b/>
          <w:color w:val="auto"/>
          <w:sz w:val="30"/>
          <w:szCs w:val="30"/>
        </w:rPr>
        <w:t>、供应商本项目管理、技术、服务人员情况表</w:t>
      </w:r>
    </w:p>
    <w:p>
      <w:pPr>
        <w:jc w:val="center"/>
        <w:rPr>
          <w:rFonts w:ascii="宋体" w:hAnsi="宋体"/>
          <w:b/>
          <w:color w:val="auto"/>
          <w:sz w:val="30"/>
          <w:szCs w:val="30"/>
        </w:rPr>
      </w:pPr>
    </w:p>
    <w:p>
      <w:pPr>
        <w:spacing w:line="360" w:lineRule="auto"/>
        <w:rPr>
          <w:rFonts w:hint="eastAsia" w:ascii="宋体" w:hAnsi="宋体" w:eastAsia="宋体"/>
          <w:color w:val="auto"/>
          <w:sz w:val="24"/>
          <w:lang w:eastAsia="zh-CN"/>
        </w:rPr>
      </w:pPr>
      <w:r>
        <w:rPr>
          <w:rFonts w:hint="eastAsia" w:ascii="宋体" w:hAnsi="宋体"/>
          <w:color w:val="auto"/>
          <w:sz w:val="24"/>
        </w:rPr>
        <w:t>项目编号：</w:t>
      </w:r>
      <w:r>
        <w:rPr>
          <w:rFonts w:hint="eastAsia" w:ascii="宋体" w:hAnsi="宋体"/>
          <w:color w:val="auto"/>
          <w:sz w:val="24"/>
          <w:lang w:eastAsia="zh-CN"/>
        </w:rPr>
        <w:t>四川玖久公信绵高新市政磋（2022）1号</w:t>
      </w:r>
    </w:p>
    <w:p>
      <w:pPr>
        <w:spacing w:line="360" w:lineRule="auto"/>
        <w:rPr>
          <w:rFonts w:hint="eastAsia" w:ascii="宋体" w:hAnsi="宋体" w:eastAsia="宋体"/>
          <w:color w:val="auto"/>
          <w:sz w:val="24"/>
          <w:lang w:eastAsia="zh-CN"/>
        </w:rPr>
      </w:pPr>
      <w:r>
        <w:rPr>
          <w:rFonts w:hint="eastAsia" w:ascii="宋体" w:hAnsi="宋体"/>
          <w:color w:val="auto"/>
          <w:sz w:val="24"/>
        </w:rPr>
        <w:t>项目名称：</w:t>
      </w:r>
      <w:r>
        <w:rPr>
          <w:rFonts w:hint="eastAsia" w:ascii="宋体" w:hAnsi="宋体"/>
          <w:color w:val="auto"/>
          <w:sz w:val="24"/>
          <w:u w:val="none"/>
          <w:lang w:val="en-US" w:eastAsia="zh-CN"/>
        </w:rPr>
        <w:t>采购</w:t>
      </w:r>
      <w:r>
        <w:rPr>
          <w:rFonts w:hint="eastAsia" w:ascii="宋体" w:hAnsi="宋体"/>
          <w:color w:val="auto"/>
          <w:sz w:val="24"/>
          <w:u w:val="none"/>
          <w:lang w:eastAsia="zh-CN"/>
        </w:rPr>
        <w:t>洗扫车、洒水车</w:t>
      </w:r>
      <w:r>
        <w:rPr>
          <w:rFonts w:hint="eastAsia" w:ascii="宋体" w:hAnsi="宋体"/>
          <w:color w:val="auto"/>
          <w:sz w:val="24"/>
          <w:u w:val="none"/>
          <w:lang w:val="en-US" w:eastAsia="zh-CN"/>
        </w:rPr>
        <w:t>一批</w:t>
      </w:r>
    </w:p>
    <w:tbl>
      <w:tblPr>
        <w:tblStyle w:val="29"/>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4"/>
        <w:gridCol w:w="1169"/>
        <w:gridCol w:w="943"/>
        <w:gridCol w:w="943"/>
        <w:gridCol w:w="942"/>
        <w:gridCol w:w="942"/>
        <w:gridCol w:w="942"/>
        <w:gridCol w:w="942"/>
        <w:gridCol w:w="9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4" w:type="dxa"/>
            <w:vMerge w:val="restart"/>
            <w:noWrap w:val="0"/>
            <w:vAlign w:val="center"/>
          </w:tcPr>
          <w:p>
            <w:pPr>
              <w:jc w:val="center"/>
              <w:rPr>
                <w:rFonts w:ascii="宋体" w:hAnsi="宋体"/>
                <w:color w:val="auto"/>
                <w:szCs w:val="21"/>
              </w:rPr>
            </w:pPr>
            <w:r>
              <w:rPr>
                <w:rFonts w:hint="eastAsia" w:ascii="宋体" w:hAnsi="宋体"/>
                <w:color w:val="auto"/>
                <w:szCs w:val="21"/>
              </w:rPr>
              <w:t>类别</w:t>
            </w:r>
          </w:p>
        </w:tc>
        <w:tc>
          <w:tcPr>
            <w:tcW w:w="1169" w:type="dxa"/>
            <w:vMerge w:val="restart"/>
            <w:noWrap w:val="0"/>
            <w:vAlign w:val="center"/>
          </w:tcPr>
          <w:p>
            <w:pPr>
              <w:jc w:val="center"/>
              <w:rPr>
                <w:rFonts w:ascii="宋体" w:hAnsi="宋体"/>
                <w:color w:val="auto"/>
                <w:szCs w:val="21"/>
              </w:rPr>
            </w:pPr>
            <w:r>
              <w:rPr>
                <w:rFonts w:hint="eastAsia" w:ascii="宋体" w:hAnsi="宋体"/>
                <w:color w:val="auto"/>
                <w:szCs w:val="21"/>
              </w:rPr>
              <w:t>职务</w:t>
            </w:r>
          </w:p>
        </w:tc>
        <w:tc>
          <w:tcPr>
            <w:tcW w:w="943" w:type="dxa"/>
            <w:vMerge w:val="restart"/>
            <w:noWrap w:val="0"/>
            <w:vAlign w:val="center"/>
          </w:tcPr>
          <w:p>
            <w:pPr>
              <w:jc w:val="center"/>
              <w:rPr>
                <w:rFonts w:ascii="宋体" w:hAnsi="宋体"/>
                <w:color w:val="auto"/>
                <w:szCs w:val="21"/>
              </w:rPr>
            </w:pPr>
            <w:r>
              <w:rPr>
                <w:rFonts w:hint="eastAsia" w:ascii="宋体" w:hAnsi="宋体"/>
                <w:color w:val="auto"/>
                <w:szCs w:val="21"/>
              </w:rPr>
              <w:t>姓名</w:t>
            </w:r>
          </w:p>
        </w:tc>
        <w:tc>
          <w:tcPr>
            <w:tcW w:w="943" w:type="dxa"/>
            <w:vMerge w:val="restart"/>
            <w:noWrap w:val="0"/>
            <w:vAlign w:val="center"/>
          </w:tcPr>
          <w:p>
            <w:pPr>
              <w:jc w:val="center"/>
              <w:rPr>
                <w:rFonts w:ascii="宋体" w:hAnsi="宋体"/>
                <w:color w:val="auto"/>
                <w:szCs w:val="21"/>
              </w:rPr>
            </w:pPr>
            <w:r>
              <w:rPr>
                <w:rFonts w:hint="eastAsia" w:ascii="宋体" w:hAnsi="宋体"/>
                <w:color w:val="auto"/>
                <w:szCs w:val="21"/>
              </w:rPr>
              <w:t>职称</w:t>
            </w:r>
          </w:p>
        </w:tc>
        <w:tc>
          <w:tcPr>
            <w:tcW w:w="942" w:type="dxa"/>
            <w:vMerge w:val="restart"/>
            <w:noWrap w:val="0"/>
            <w:vAlign w:val="center"/>
          </w:tcPr>
          <w:p>
            <w:pPr>
              <w:jc w:val="center"/>
              <w:rPr>
                <w:rFonts w:ascii="宋体" w:hAnsi="宋体"/>
                <w:color w:val="auto"/>
                <w:szCs w:val="21"/>
              </w:rPr>
            </w:pPr>
            <w:r>
              <w:rPr>
                <w:rFonts w:hint="eastAsia" w:ascii="宋体" w:hAnsi="宋体"/>
                <w:color w:val="auto"/>
                <w:szCs w:val="21"/>
              </w:rPr>
              <w:t>常住地</w:t>
            </w:r>
          </w:p>
        </w:tc>
        <w:tc>
          <w:tcPr>
            <w:tcW w:w="3768" w:type="dxa"/>
            <w:gridSpan w:val="4"/>
            <w:noWrap w:val="0"/>
            <w:vAlign w:val="center"/>
          </w:tcPr>
          <w:p>
            <w:pPr>
              <w:jc w:val="center"/>
              <w:rPr>
                <w:rFonts w:ascii="宋体" w:hAnsi="宋体"/>
                <w:color w:val="auto"/>
                <w:szCs w:val="21"/>
              </w:rPr>
            </w:pPr>
            <w:r>
              <w:rPr>
                <w:rFonts w:hint="eastAsia" w:ascii="宋体" w:hAnsi="宋体"/>
                <w:color w:val="auto"/>
                <w:szCs w:val="21"/>
              </w:rPr>
              <w:t>资格证明（如有，附复印件）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4" w:type="dxa"/>
            <w:vMerge w:val="continue"/>
            <w:noWrap w:val="0"/>
            <w:vAlign w:val="center"/>
          </w:tcPr>
          <w:p>
            <w:pPr>
              <w:jc w:val="center"/>
              <w:rPr>
                <w:rFonts w:ascii="宋体" w:hAnsi="宋体"/>
                <w:color w:val="auto"/>
                <w:szCs w:val="21"/>
              </w:rPr>
            </w:pPr>
          </w:p>
        </w:tc>
        <w:tc>
          <w:tcPr>
            <w:tcW w:w="1169" w:type="dxa"/>
            <w:vMerge w:val="continue"/>
            <w:noWrap w:val="0"/>
            <w:vAlign w:val="center"/>
          </w:tcPr>
          <w:p>
            <w:pPr>
              <w:jc w:val="center"/>
              <w:rPr>
                <w:rFonts w:ascii="宋体" w:hAnsi="宋体"/>
                <w:color w:val="auto"/>
                <w:szCs w:val="21"/>
              </w:rPr>
            </w:pPr>
          </w:p>
        </w:tc>
        <w:tc>
          <w:tcPr>
            <w:tcW w:w="943" w:type="dxa"/>
            <w:vMerge w:val="continue"/>
            <w:noWrap w:val="0"/>
            <w:vAlign w:val="center"/>
          </w:tcPr>
          <w:p>
            <w:pPr>
              <w:jc w:val="center"/>
              <w:rPr>
                <w:rFonts w:ascii="宋体" w:hAnsi="宋体"/>
                <w:color w:val="auto"/>
                <w:szCs w:val="21"/>
              </w:rPr>
            </w:pPr>
          </w:p>
        </w:tc>
        <w:tc>
          <w:tcPr>
            <w:tcW w:w="943" w:type="dxa"/>
            <w:vMerge w:val="continue"/>
            <w:noWrap w:val="0"/>
            <w:vAlign w:val="center"/>
          </w:tcPr>
          <w:p>
            <w:pPr>
              <w:jc w:val="center"/>
              <w:rPr>
                <w:rFonts w:ascii="宋体" w:hAnsi="宋体"/>
                <w:color w:val="auto"/>
                <w:szCs w:val="21"/>
              </w:rPr>
            </w:pPr>
          </w:p>
        </w:tc>
        <w:tc>
          <w:tcPr>
            <w:tcW w:w="942" w:type="dxa"/>
            <w:vMerge w:val="continue"/>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r>
              <w:rPr>
                <w:rFonts w:hint="eastAsia" w:ascii="宋体" w:hAnsi="宋体"/>
                <w:color w:val="auto"/>
                <w:szCs w:val="21"/>
              </w:rPr>
              <w:t>证书</w:t>
            </w:r>
          </w:p>
          <w:p>
            <w:pPr>
              <w:jc w:val="center"/>
              <w:rPr>
                <w:rFonts w:ascii="宋体" w:hAnsi="宋体"/>
                <w:color w:val="auto"/>
                <w:szCs w:val="21"/>
              </w:rPr>
            </w:pPr>
            <w:r>
              <w:rPr>
                <w:rFonts w:hint="eastAsia" w:ascii="宋体" w:hAnsi="宋体"/>
                <w:color w:val="auto"/>
                <w:szCs w:val="21"/>
              </w:rPr>
              <w:t>名称</w:t>
            </w:r>
          </w:p>
        </w:tc>
        <w:tc>
          <w:tcPr>
            <w:tcW w:w="942" w:type="dxa"/>
            <w:noWrap w:val="0"/>
            <w:vAlign w:val="center"/>
          </w:tcPr>
          <w:p>
            <w:pPr>
              <w:jc w:val="center"/>
              <w:rPr>
                <w:rFonts w:ascii="宋体" w:hAnsi="宋体"/>
                <w:color w:val="auto"/>
                <w:szCs w:val="21"/>
              </w:rPr>
            </w:pPr>
            <w:r>
              <w:rPr>
                <w:rFonts w:hint="eastAsia" w:ascii="宋体" w:hAnsi="宋体"/>
                <w:color w:val="auto"/>
                <w:szCs w:val="21"/>
              </w:rPr>
              <w:t>级别</w:t>
            </w:r>
          </w:p>
        </w:tc>
        <w:tc>
          <w:tcPr>
            <w:tcW w:w="942" w:type="dxa"/>
            <w:noWrap w:val="0"/>
            <w:vAlign w:val="center"/>
          </w:tcPr>
          <w:p>
            <w:pPr>
              <w:jc w:val="center"/>
              <w:rPr>
                <w:rFonts w:ascii="宋体" w:hAnsi="宋体"/>
                <w:color w:val="auto"/>
                <w:szCs w:val="21"/>
              </w:rPr>
            </w:pPr>
            <w:r>
              <w:rPr>
                <w:rFonts w:hint="eastAsia" w:ascii="宋体" w:hAnsi="宋体"/>
                <w:color w:val="auto"/>
                <w:szCs w:val="21"/>
              </w:rPr>
              <w:t>证号</w:t>
            </w:r>
          </w:p>
        </w:tc>
        <w:tc>
          <w:tcPr>
            <w:tcW w:w="942" w:type="dxa"/>
            <w:noWrap w:val="0"/>
            <w:vAlign w:val="center"/>
          </w:tcPr>
          <w:p>
            <w:pPr>
              <w:jc w:val="center"/>
              <w:rPr>
                <w:rFonts w:ascii="宋体" w:hAnsi="宋体"/>
                <w:color w:val="auto"/>
                <w:szCs w:val="21"/>
              </w:rPr>
            </w:pPr>
            <w:r>
              <w:rPr>
                <w:rFonts w:hint="eastAsia" w:ascii="宋体" w:hAnsi="宋体"/>
                <w:color w:val="auto"/>
                <w:szCs w:val="21"/>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4" w:type="dxa"/>
            <w:vMerge w:val="restart"/>
            <w:noWrap w:val="0"/>
            <w:vAlign w:val="center"/>
          </w:tcPr>
          <w:p>
            <w:pPr>
              <w:jc w:val="center"/>
              <w:rPr>
                <w:rFonts w:ascii="宋体" w:hAnsi="宋体"/>
                <w:color w:val="auto"/>
                <w:szCs w:val="21"/>
              </w:rPr>
            </w:pPr>
            <w:r>
              <w:rPr>
                <w:rFonts w:hint="eastAsia" w:ascii="宋体" w:hAnsi="宋体"/>
                <w:color w:val="auto"/>
                <w:szCs w:val="21"/>
              </w:rPr>
              <w:t>管理</w:t>
            </w:r>
          </w:p>
          <w:p>
            <w:pPr>
              <w:jc w:val="center"/>
              <w:rPr>
                <w:rFonts w:ascii="宋体" w:hAnsi="宋体"/>
                <w:color w:val="auto"/>
                <w:szCs w:val="21"/>
              </w:rPr>
            </w:pPr>
            <w:r>
              <w:rPr>
                <w:rFonts w:hint="eastAsia" w:ascii="宋体" w:hAnsi="宋体"/>
                <w:color w:val="auto"/>
                <w:szCs w:val="21"/>
              </w:rPr>
              <w:t>人员</w:t>
            </w:r>
          </w:p>
        </w:tc>
        <w:tc>
          <w:tcPr>
            <w:tcW w:w="1169"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4" w:type="dxa"/>
            <w:vMerge w:val="continue"/>
            <w:noWrap w:val="0"/>
            <w:vAlign w:val="center"/>
          </w:tcPr>
          <w:p>
            <w:pPr>
              <w:jc w:val="center"/>
              <w:rPr>
                <w:rFonts w:ascii="宋体" w:hAnsi="宋体"/>
                <w:color w:val="auto"/>
                <w:szCs w:val="21"/>
              </w:rPr>
            </w:pPr>
          </w:p>
        </w:tc>
        <w:tc>
          <w:tcPr>
            <w:tcW w:w="1169"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4" w:type="dxa"/>
            <w:vMerge w:val="continue"/>
            <w:noWrap w:val="0"/>
            <w:vAlign w:val="center"/>
          </w:tcPr>
          <w:p>
            <w:pPr>
              <w:jc w:val="center"/>
              <w:rPr>
                <w:rFonts w:ascii="宋体" w:hAnsi="宋体"/>
                <w:color w:val="auto"/>
                <w:szCs w:val="21"/>
              </w:rPr>
            </w:pPr>
          </w:p>
        </w:tc>
        <w:tc>
          <w:tcPr>
            <w:tcW w:w="1169"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4" w:type="dxa"/>
            <w:vMerge w:val="restart"/>
            <w:noWrap w:val="0"/>
            <w:vAlign w:val="center"/>
          </w:tcPr>
          <w:p>
            <w:pPr>
              <w:jc w:val="center"/>
              <w:rPr>
                <w:rFonts w:ascii="宋体" w:hAnsi="宋体"/>
                <w:color w:val="auto"/>
                <w:szCs w:val="21"/>
              </w:rPr>
            </w:pPr>
            <w:r>
              <w:rPr>
                <w:rFonts w:hint="eastAsia" w:ascii="宋体" w:hAnsi="宋体"/>
                <w:color w:val="auto"/>
                <w:szCs w:val="21"/>
              </w:rPr>
              <w:t>技术</w:t>
            </w:r>
          </w:p>
          <w:p>
            <w:pPr>
              <w:jc w:val="center"/>
              <w:rPr>
                <w:rFonts w:ascii="宋体" w:hAnsi="宋体"/>
                <w:color w:val="auto"/>
                <w:szCs w:val="21"/>
              </w:rPr>
            </w:pPr>
            <w:r>
              <w:rPr>
                <w:rFonts w:hint="eastAsia" w:ascii="宋体" w:hAnsi="宋体"/>
                <w:color w:val="auto"/>
                <w:szCs w:val="21"/>
              </w:rPr>
              <w:t>人员</w:t>
            </w:r>
          </w:p>
        </w:tc>
        <w:tc>
          <w:tcPr>
            <w:tcW w:w="1169"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4" w:type="dxa"/>
            <w:vMerge w:val="continue"/>
            <w:noWrap w:val="0"/>
            <w:vAlign w:val="center"/>
          </w:tcPr>
          <w:p>
            <w:pPr>
              <w:jc w:val="center"/>
              <w:rPr>
                <w:rFonts w:ascii="宋体" w:hAnsi="宋体"/>
                <w:color w:val="auto"/>
                <w:szCs w:val="21"/>
              </w:rPr>
            </w:pPr>
          </w:p>
        </w:tc>
        <w:tc>
          <w:tcPr>
            <w:tcW w:w="1169"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4" w:type="dxa"/>
            <w:vMerge w:val="continue"/>
            <w:noWrap w:val="0"/>
            <w:vAlign w:val="center"/>
          </w:tcPr>
          <w:p>
            <w:pPr>
              <w:jc w:val="center"/>
              <w:rPr>
                <w:rFonts w:ascii="宋体" w:hAnsi="宋体"/>
                <w:color w:val="auto"/>
                <w:szCs w:val="21"/>
              </w:rPr>
            </w:pPr>
          </w:p>
        </w:tc>
        <w:tc>
          <w:tcPr>
            <w:tcW w:w="1169"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4" w:type="dxa"/>
            <w:vMerge w:val="restart"/>
            <w:noWrap w:val="0"/>
            <w:vAlign w:val="center"/>
          </w:tcPr>
          <w:p>
            <w:pPr>
              <w:jc w:val="center"/>
              <w:rPr>
                <w:rFonts w:ascii="宋体" w:hAnsi="宋体"/>
                <w:color w:val="auto"/>
                <w:szCs w:val="21"/>
              </w:rPr>
            </w:pPr>
            <w:r>
              <w:rPr>
                <w:rFonts w:hint="eastAsia" w:ascii="宋体" w:hAnsi="宋体"/>
                <w:color w:val="auto"/>
                <w:szCs w:val="21"/>
              </w:rPr>
              <w:t>售后服务人员</w:t>
            </w:r>
          </w:p>
        </w:tc>
        <w:tc>
          <w:tcPr>
            <w:tcW w:w="1169"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4" w:type="dxa"/>
            <w:vMerge w:val="continue"/>
            <w:noWrap w:val="0"/>
            <w:vAlign w:val="center"/>
          </w:tcPr>
          <w:p>
            <w:pPr>
              <w:jc w:val="center"/>
              <w:rPr>
                <w:rFonts w:ascii="宋体" w:hAnsi="宋体"/>
                <w:color w:val="auto"/>
                <w:szCs w:val="21"/>
              </w:rPr>
            </w:pPr>
          </w:p>
        </w:tc>
        <w:tc>
          <w:tcPr>
            <w:tcW w:w="1169"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74" w:type="dxa"/>
            <w:vMerge w:val="continue"/>
            <w:noWrap w:val="0"/>
            <w:vAlign w:val="center"/>
          </w:tcPr>
          <w:p>
            <w:pPr>
              <w:jc w:val="center"/>
              <w:rPr>
                <w:rFonts w:ascii="宋体" w:hAnsi="宋体"/>
                <w:color w:val="auto"/>
                <w:szCs w:val="21"/>
              </w:rPr>
            </w:pPr>
          </w:p>
        </w:tc>
        <w:tc>
          <w:tcPr>
            <w:tcW w:w="1169"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3"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c>
          <w:tcPr>
            <w:tcW w:w="942" w:type="dxa"/>
            <w:noWrap w:val="0"/>
            <w:vAlign w:val="center"/>
          </w:tcPr>
          <w:p>
            <w:pPr>
              <w:jc w:val="center"/>
              <w:rPr>
                <w:rFonts w:ascii="宋体" w:hAnsi="宋体"/>
                <w:color w:val="auto"/>
                <w:szCs w:val="21"/>
              </w:rPr>
            </w:pPr>
          </w:p>
        </w:tc>
      </w:tr>
    </w:tbl>
    <w:p>
      <w:pPr>
        <w:rPr>
          <w:rFonts w:ascii="宋体" w:hAnsi="宋体"/>
          <w:color w:val="auto"/>
          <w:sz w:val="24"/>
        </w:rPr>
      </w:pPr>
    </w:p>
    <w:p>
      <w:pPr>
        <w:spacing w:line="360" w:lineRule="auto"/>
        <w:rPr>
          <w:rFonts w:ascii="宋体" w:hAnsi="宋体"/>
          <w:color w:val="auto"/>
          <w:sz w:val="24"/>
        </w:rPr>
      </w:pPr>
      <w:r>
        <w:rPr>
          <w:rFonts w:hint="eastAsia" w:ascii="宋体" w:hAnsi="宋体"/>
          <w:color w:val="auto"/>
          <w:sz w:val="24"/>
        </w:rPr>
        <w:t>供应商名称：XXX（盖单位公章）</w:t>
      </w:r>
    </w:p>
    <w:p>
      <w:pPr>
        <w:spacing w:line="360" w:lineRule="auto"/>
        <w:rPr>
          <w:rFonts w:ascii="宋体" w:hAnsi="宋体"/>
          <w:color w:val="auto"/>
          <w:sz w:val="24"/>
        </w:rPr>
      </w:pPr>
      <w:r>
        <w:rPr>
          <w:rFonts w:hint="eastAsia" w:ascii="宋体" w:hAnsi="宋体"/>
          <w:color w:val="auto"/>
          <w:sz w:val="24"/>
        </w:rPr>
        <w:t>法定代表人或授权代表（签字）：XXX</w:t>
      </w:r>
    </w:p>
    <w:p>
      <w:pPr>
        <w:spacing w:line="360" w:lineRule="auto"/>
        <w:rPr>
          <w:rFonts w:hint="eastAsia" w:ascii="宋体" w:hAnsi="宋体"/>
          <w:color w:val="auto"/>
          <w:sz w:val="24"/>
        </w:rPr>
      </w:pPr>
      <w:r>
        <w:rPr>
          <w:rFonts w:hint="eastAsia" w:ascii="宋体" w:hAnsi="宋体"/>
          <w:color w:val="auto"/>
          <w:sz w:val="24"/>
        </w:rPr>
        <w:t>日期：XXX</w:t>
      </w:r>
    </w:p>
    <w:p>
      <w:pPr>
        <w:pStyle w:val="2"/>
      </w:pPr>
    </w:p>
    <w:p>
      <w:pPr>
        <w:rPr>
          <w:rFonts w:ascii="宋体" w:hAnsi="宋体"/>
          <w:color w:val="auto"/>
          <w:sz w:val="32"/>
          <w:szCs w:val="32"/>
        </w:rPr>
      </w:pPr>
    </w:p>
    <w:p>
      <w:pPr>
        <w:spacing w:line="360" w:lineRule="auto"/>
        <w:jc w:val="center"/>
        <w:rPr>
          <w:rFonts w:ascii="宋体" w:hAnsi="宋体"/>
          <w:b/>
          <w:color w:val="auto"/>
          <w:sz w:val="30"/>
          <w:szCs w:val="30"/>
        </w:rPr>
      </w:pPr>
      <w:r>
        <w:rPr>
          <w:rFonts w:hint="eastAsia" w:ascii="宋体" w:hAnsi="宋体"/>
          <w:b/>
          <w:color w:val="auto"/>
          <w:sz w:val="30"/>
          <w:szCs w:val="30"/>
        </w:rPr>
        <w:t>十、产品质量保证承诺、售后服务承诺</w:t>
      </w:r>
    </w:p>
    <w:p>
      <w:pPr>
        <w:spacing w:line="360" w:lineRule="auto"/>
        <w:jc w:val="center"/>
        <w:rPr>
          <w:rFonts w:ascii="宋体" w:hAnsi="宋体"/>
          <w:b/>
          <w:color w:val="auto"/>
          <w:sz w:val="24"/>
        </w:rPr>
      </w:pPr>
      <w:r>
        <w:rPr>
          <w:rFonts w:hint="eastAsia" w:ascii="宋体" w:hAnsi="宋体"/>
          <w:b/>
          <w:color w:val="auto"/>
          <w:sz w:val="24"/>
        </w:rPr>
        <w:t>（根据采购内容自行编写）</w:t>
      </w:r>
    </w:p>
    <w:p>
      <w:pPr>
        <w:jc w:val="center"/>
        <w:rPr>
          <w:rFonts w:ascii="宋体" w:hAnsi="宋体"/>
          <w:b/>
          <w:color w:val="auto"/>
          <w:sz w:val="32"/>
          <w:szCs w:val="32"/>
        </w:rPr>
      </w:pPr>
    </w:p>
    <w:p>
      <w:pPr>
        <w:pStyle w:val="2"/>
        <w:rPr>
          <w:color w:val="auto"/>
        </w:rPr>
      </w:pPr>
    </w:p>
    <w:p>
      <w:pPr>
        <w:spacing w:line="360" w:lineRule="auto"/>
        <w:jc w:val="center"/>
        <w:rPr>
          <w:rFonts w:ascii="宋体" w:hAnsi="宋体"/>
          <w:b/>
          <w:color w:val="auto"/>
          <w:sz w:val="30"/>
          <w:szCs w:val="30"/>
        </w:rPr>
      </w:pPr>
      <w:r>
        <w:rPr>
          <w:rFonts w:hint="eastAsia" w:ascii="宋体" w:hAnsi="宋体"/>
          <w:b/>
          <w:color w:val="auto"/>
          <w:sz w:val="30"/>
          <w:szCs w:val="30"/>
        </w:rPr>
        <w:t>十</w:t>
      </w:r>
      <w:r>
        <w:rPr>
          <w:rFonts w:hint="eastAsia" w:ascii="宋体" w:hAnsi="宋体"/>
          <w:b/>
          <w:color w:val="auto"/>
          <w:sz w:val="30"/>
          <w:szCs w:val="30"/>
          <w:lang w:val="en-US" w:eastAsia="zh-CN"/>
        </w:rPr>
        <w:t>一</w:t>
      </w:r>
      <w:r>
        <w:rPr>
          <w:rFonts w:hint="eastAsia" w:ascii="宋体" w:hAnsi="宋体"/>
          <w:b/>
          <w:color w:val="auto"/>
          <w:sz w:val="30"/>
          <w:szCs w:val="30"/>
        </w:rPr>
        <w:t>、供应商根据采购要求和评分表内容自行提供的材料</w:t>
      </w:r>
    </w:p>
    <w:p>
      <w:pPr>
        <w:spacing w:line="360" w:lineRule="auto"/>
        <w:jc w:val="center"/>
        <w:rPr>
          <w:rFonts w:hint="eastAsia" w:ascii="宋体" w:hAnsi="宋体"/>
          <w:b/>
          <w:color w:val="auto"/>
          <w:sz w:val="24"/>
        </w:rPr>
      </w:pPr>
      <w:r>
        <w:rPr>
          <w:rFonts w:hint="eastAsia" w:ascii="宋体" w:hAnsi="宋体"/>
          <w:b/>
          <w:color w:val="auto"/>
          <w:sz w:val="24"/>
        </w:rPr>
        <w:t>（无具体要求，自行提供）</w:t>
      </w:r>
    </w:p>
    <w:p>
      <w:pPr>
        <w:pStyle w:val="2"/>
        <w:rPr>
          <w:rFonts w:hint="eastAsia" w:ascii="宋体" w:hAnsi="宋体"/>
          <w:b/>
          <w:color w:val="auto"/>
          <w:sz w:val="24"/>
        </w:rPr>
      </w:pPr>
    </w:p>
    <w:p>
      <w:pPr>
        <w:pStyle w:val="3"/>
        <w:rPr>
          <w:rFonts w:hint="eastAsia" w:ascii="宋体" w:hAnsi="宋体"/>
          <w:b/>
          <w:color w:val="auto"/>
          <w:sz w:val="24"/>
        </w:rPr>
      </w:pPr>
    </w:p>
    <w:p>
      <w:pPr>
        <w:rPr>
          <w:rFonts w:hint="eastAsia" w:ascii="宋体" w:hAnsi="宋体"/>
          <w:b/>
          <w:color w:val="auto"/>
          <w:sz w:val="24"/>
        </w:rPr>
      </w:pPr>
    </w:p>
    <w:p>
      <w:pPr>
        <w:pStyle w:val="2"/>
        <w:sectPr>
          <w:footerReference r:id="rId15" w:type="default"/>
          <w:pgSz w:w="11907" w:h="16839"/>
          <w:pgMar w:top="935" w:right="1474" w:bottom="1440" w:left="1474" w:header="851" w:footer="992" w:gutter="0"/>
          <w:pgNumType w:fmt="decimal"/>
          <w:cols w:space="720" w:num="1"/>
          <w:docGrid w:linePitch="312" w:charSpace="0"/>
        </w:sectPr>
      </w:pPr>
    </w:p>
    <w:p>
      <w:pPr>
        <w:pStyle w:val="27"/>
        <w:jc w:val="center"/>
        <w:outlineLvl w:val="9"/>
        <w:rPr>
          <w:color w:val="auto"/>
        </w:rPr>
      </w:pPr>
      <w:bookmarkStart w:id="193" w:name="_Toc19457995"/>
      <w:r>
        <w:rPr>
          <w:rFonts w:hint="eastAsia"/>
          <w:color w:val="auto"/>
        </w:rPr>
        <w:t>第八章  评审方法</w:t>
      </w:r>
      <w:bookmarkEnd w:id="193"/>
      <w:bookmarkStart w:id="194" w:name="_Toc101174146"/>
      <w:bookmarkStart w:id="195" w:name="_Toc101250640"/>
      <w:bookmarkStart w:id="196" w:name="_Toc209847065"/>
      <w:bookmarkStart w:id="197" w:name="_Toc101338358"/>
      <w:bookmarkStart w:id="198" w:name="_Toc430773924"/>
    </w:p>
    <w:p>
      <w:pPr>
        <w:pStyle w:val="5"/>
        <w:keepNext w:val="0"/>
        <w:keepLines w:val="0"/>
        <w:spacing w:before="0" w:after="0" w:line="400" w:lineRule="exact"/>
        <w:ind w:firstLine="472" w:firstLineChars="196"/>
        <w:rPr>
          <w:rFonts w:ascii="宋体" w:hAnsi="宋体" w:eastAsia="宋体"/>
          <w:color w:val="auto"/>
          <w:sz w:val="24"/>
          <w:szCs w:val="24"/>
        </w:rPr>
      </w:pPr>
      <w:bookmarkStart w:id="199" w:name="_Toc17106689"/>
      <w:bookmarkStart w:id="200" w:name="_Toc19457996"/>
      <w:bookmarkStart w:id="201" w:name="_Toc2929461"/>
      <w:r>
        <w:rPr>
          <w:rFonts w:hint="eastAsia" w:ascii="宋体" w:hAnsi="宋体" w:eastAsia="宋体"/>
          <w:color w:val="auto"/>
          <w:sz w:val="24"/>
          <w:szCs w:val="24"/>
        </w:rPr>
        <w:t>1.总则</w:t>
      </w:r>
      <w:bookmarkEnd w:id="199"/>
      <w:bookmarkEnd w:id="200"/>
      <w:bookmarkEnd w:id="201"/>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02" w:name="_Toc17106690"/>
      <w:bookmarkStart w:id="203" w:name="_Toc19457997"/>
      <w:bookmarkStart w:id="204" w:name="_Toc2929462"/>
      <w:r>
        <w:rPr>
          <w:rFonts w:hint="eastAsia" w:ascii="宋体" w:hAnsi="宋体" w:eastAsia="宋体"/>
          <w:b w:val="0"/>
          <w:color w:val="auto"/>
          <w:sz w:val="24"/>
          <w:szCs w:val="24"/>
        </w:rPr>
        <w:t>1.1 根据并参照《中华人民共和国招标投标法》、《中华人民共和国政府采购法》、《中华人民共和国政府采购法实施条例》、《政府采购竞争性磋商采购方式管理暂行办法》等法律制度，结合本采购项目特点制定本磋商方法。</w:t>
      </w:r>
      <w:bookmarkEnd w:id="202"/>
      <w:bookmarkEnd w:id="203"/>
      <w:bookmarkEnd w:id="204"/>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05" w:name="_Toc19457998"/>
      <w:bookmarkStart w:id="206" w:name="_Toc2929463"/>
      <w:bookmarkStart w:id="207" w:name="_Toc17106691"/>
      <w:r>
        <w:rPr>
          <w:rFonts w:hint="eastAsia" w:ascii="宋体" w:hAnsi="宋体" w:eastAsia="宋体"/>
          <w:b w:val="0"/>
          <w:color w:val="auto"/>
          <w:sz w:val="24"/>
          <w:szCs w:val="24"/>
        </w:rPr>
        <w:t>1.2 磋商工作由采购代理机构负责组织，具体磋商由采购单位</w:t>
      </w:r>
      <w:r>
        <w:rPr>
          <w:rFonts w:hint="eastAsia" w:ascii="宋体" w:hAnsi="宋体" w:eastAsia="宋体"/>
          <w:b w:val="0"/>
          <w:color w:val="auto"/>
          <w:sz w:val="24"/>
          <w:szCs w:val="24"/>
          <w:lang w:val="en-US" w:eastAsia="zh-CN"/>
        </w:rPr>
        <w:t>委托</w:t>
      </w:r>
      <w:r>
        <w:rPr>
          <w:rFonts w:hint="eastAsia" w:ascii="宋体" w:hAnsi="宋体" w:eastAsia="宋体"/>
          <w:b w:val="0"/>
          <w:color w:val="auto"/>
          <w:sz w:val="24"/>
          <w:szCs w:val="24"/>
        </w:rPr>
        <w:t>采购代理机构依法组建的磋商小组负责。</w:t>
      </w:r>
      <w:bookmarkEnd w:id="205"/>
      <w:bookmarkEnd w:id="206"/>
      <w:bookmarkEnd w:id="207"/>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08" w:name="_Toc17106692"/>
      <w:bookmarkStart w:id="209" w:name="_Toc2929464"/>
      <w:bookmarkStart w:id="210" w:name="_Toc19457999"/>
      <w:r>
        <w:rPr>
          <w:rFonts w:hint="eastAsia" w:ascii="宋体" w:hAnsi="宋体" w:eastAsia="宋体"/>
          <w:b w:val="0"/>
          <w:color w:val="auto"/>
          <w:sz w:val="24"/>
          <w:szCs w:val="24"/>
        </w:rPr>
        <w:t>1.3 磋商工作应遵循公平、公正、科学及择优的原则，并以相同的磋商程序和标准对待所有的供应商。</w:t>
      </w:r>
      <w:bookmarkEnd w:id="208"/>
      <w:bookmarkEnd w:id="209"/>
      <w:bookmarkEnd w:id="210"/>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11" w:name="_Toc19458000"/>
      <w:bookmarkStart w:id="212" w:name="_Toc2929465"/>
      <w:bookmarkStart w:id="213" w:name="_Toc17106693"/>
      <w:r>
        <w:rPr>
          <w:rFonts w:hint="eastAsia" w:ascii="宋体" w:hAnsi="宋体" w:eastAsia="宋体"/>
          <w:b w:val="0"/>
          <w:color w:val="auto"/>
          <w:sz w:val="24"/>
          <w:szCs w:val="24"/>
        </w:rPr>
        <w:t>1.4 磋商小组按照磋商文件规定的磋商程序、评分方法和标准进行评审，并独立履行下列职责：</w:t>
      </w:r>
      <w:bookmarkEnd w:id="211"/>
      <w:bookmarkEnd w:id="212"/>
      <w:bookmarkEnd w:id="213"/>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14" w:name="_Toc17106694"/>
      <w:bookmarkStart w:id="215" w:name="_Toc19458001"/>
      <w:bookmarkStart w:id="216" w:name="_Toc2929466"/>
      <w:r>
        <w:rPr>
          <w:rFonts w:hint="eastAsia" w:ascii="宋体" w:hAnsi="宋体" w:eastAsia="宋体"/>
          <w:b w:val="0"/>
          <w:color w:val="auto"/>
          <w:sz w:val="24"/>
          <w:szCs w:val="24"/>
        </w:rPr>
        <w:t>（一）熟悉和理解磋商文件，确定磋商文件内容是否违反国家有关强制性规定或者磋商文件存在歧义、重大缺陷，根据需要书面要求采购代理机构对磋商文件作出解释；</w:t>
      </w:r>
      <w:bookmarkEnd w:id="214"/>
      <w:bookmarkEnd w:id="215"/>
      <w:bookmarkEnd w:id="216"/>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17" w:name="_Toc2929467"/>
      <w:bookmarkStart w:id="218" w:name="_Toc17106695"/>
      <w:bookmarkStart w:id="219" w:name="_Toc19458002"/>
      <w:r>
        <w:rPr>
          <w:rFonts w:hint="eastAsia" w:ascii="宋体" w:hAnsi="宋体" w:eastAsia="宋体"/>
          <w:b w:val="0"/>
          <w:color w:val="auto"/>
          <w:sz w:val="24"/>
          <w:szCs w:val="24"/>
        </w:rPr>
        <w:t>（二）审查供应商响应文件是否满足磋商文件要求，并作出公正评价；</w:t>
      </w:r>
      <w:bookmarkEnd w:id="217"/>
      <w:bookmarkEnd w:id="218"/>
      <w:bookmarkEnd w:id="219"/>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20" w:name="_Toc17106696"/>
      <w:bookmarkStart w:id="221" w:name="_Toc2929468"/>
      <w:bookmarkStart w:id="222" w:name="_Toc19458003"/>
      <w:r>
        <w:rPr>
          <w:rFonts w:hint="eastAsia" w:ascii="宋体" w:hAnsi="宋体" w:eastAsia="宋体"/>
          <w:b w:val="0"/>
          <w:color w:val="auto"/>
          <w:sz w:val="24"/>
          <w:szCs w:val="24"/>
        </w:rPr>
        <w:t>（三）根据需要要求供应商对响应文件中含义不明确、同类问题表述不一致或者有明显文字和计算错误的内容等作出必要的澄清、说明或者更正；</w:t>
      </w:r>
      <w:bookmarkEnd w:id="220"/>
      <w:bookmarkEnd w:id="221"/>
      <w:bookmarkEnd w:id="222"/>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23" w:name="_Toc17106697"/>
      <w:bookmarkStart w:id="224" w:name="_Toc2929469"/>
      <w:bookmarkStart w:id="225" w:name="_Toc19458004"/>
      <w:r>
        <w:rPr>
          <w:rFonts w:hint="eastAsia" w:ascii="宋体" w:hAnsi="宋体" w:eastAsia="宋体"/>
          <w:b w:val="0"/>
          <w:color w:val="auto"/>
          <w:sz w:val="24"/>
          <w:szCs w:val="24"/>
        </w:rPr>
        <w:t>（四）推荐成交供应商；</w:t>
      </w:r>
      <w:bookmarkEnd w:id="223"/>
      <w:bookmarkEnd w:id="224"/>
      <w:bookmarkEnd w:id="225"/>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26" w:name="_Toc2929470"/>
      <w:bookmarkStart w:id="227" w:name="_Toc17106698"/>
      <w:bookmarkStart w:id="228" w:name="_Toc19458005"/>
      <w:r>
        <w:rPr>
          <w:rFonts w:hint="eastAsia" w:ascii="宋体" w:hAnsi="宋体" w:eastAsia="宋体"/>
          <w:b w:val="0"/>
          <w:color w:val="auto"/>
          <w:sz w:val="24"/>
          <w:szCs w:val="24"/>
        </w:rPr>
        <w:t>（五）起草评审报告并进行签署；</w:t>
      </w:r>
      <w:bookmarkEnd w:id="226"/>
      <w:bookmarkEnd w:id="227"/>
      <w:bookmarkEnd w:id="228"/>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29" w:name="_Toc2929471"/>
      <w:bookmarkStart w:id="230" w:name="_Toc17106699"/>
      <w:bookmarkStart w:id="231" w:name="_Toc19458006"/>
      <w:r>
        <w:rPr>
          <w:rFonts w:hint="eastAsia" w:ascii="宋体" w:hAnsi="宋体" w:eastAsia="宋体"/>
          <w:b w:val="0"/>
          <w:color w:val="auto"/>
          <w:sz w:val="24"/>
          <w:szCs w:val="24"/>
        </w:rPr>
        <w:t>（六）向采购单位</w:t>
      </w:r>
      <w:r>
        <w:rPr>
          <w:rFonts w:hint="eastAsia" w:ascii="宋体" w:hAnsi="宋体" w:eastAsia="宋体"/>
          <w:b w:val="0"/>
          <w:color w:val="auto"/>
          <w:sz w:val="24"/>
          <w:szCs w:val="24"/>
          <w:lang w:eastAsia="zh-CN"/>
        </w:rPr>
        <w:t>、</w:t>
      </w:r>
      <w:r>
        <w:rPr>
          <w:rFonts w:hint="eastAsia" w:ascii="宋体" w:hAnsi="宋体" w:eastAsia="宋体"/>
          <w:b w:val="0"/>
          <w:color w:val="auto"/>
          <w:sz w:val="24"/>
          <w:szCs w:val="24"/>
        </w:rPr>
        <w:t>采购代理机构、主管部门或者其他监督部门报告非法干预评审工作的行为；</w:t>
      </w:r>
      <w:bookmarkEnd w:id="229"/>
      <w:bookmarkEnd w:id="230"/>
      <w:bookmarkEnd w:id="231"/>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32" w:name="_Toc2929472"/>
      <w:bookmarkStart w:id="233" w:name="_Toc19458007"/>
      <w:bookmarkStart w:id="234" w:name="_Toc17106700"/>
      <w:r>
        <w:rPr>
          <w:rFonts w:hint="eastAsia" w:ascii="宋体" w:hAnsi="宋体" w:eastAsia="宋体"/>
          <w:b w:val="0"/>
          <w:color w:val="auto"/>
          <w:sz w:val="24"/>
          <w:szCs w:val="24"/>
        </w:rPr>
        <w:t>（七）法律、法规和规章规定的其他职责。</w:t>
      </w:r>
      <w:bookmarkEnd w:id="232"/>
      <w:bookmarkEnd w:id="233"/>
      <w:bookmarkEnd w:id="234"/>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35" w:name="_Toc17106701"/>
      <w:bookmarkStart w:id="236" w:name="_Toc19458008"/>
      <w:bookmarkStart w:id="237" w:name="_Toc2929473"/>
      <w:r>
        <w:rPr>
          <w:rFonts w:hint="eastAsia" w:ascii="宋体" w:hAnsi="宋体" w:eastAsia="宋体"/>
          <w:b w:val="0"/>
          <w:color w:val="auto"/>
          <w:sz w:val="24"/>
          <w:szCs w:val="24"/>
        </w:rPr>
        <w:t>1.5 （实质性要求）磋商过程独立、保密。供应商非法干预磋商过程的，其响应文件作无效处理。</w:t>
      </w:r>
      <w:bookmarkEnd w:id="235"/>
      <w:bookmarkEnd w:id="236"/>
      <w:bookmarkEnd w:id="237"/>
    </w:p>
    <w:p>
      <w:pPr>
        <w:pStyle w:val="5"/>
        <w:keepNext w:val="0"/>
        <w:keepLines w:val="0"/>
        <w:spacing w:before="0" w:after="0" w:line="400" w:lineRule="exact"/>
        <w:ind w:firstLine="472" w:firstLineChars="196"/>
        <w:rPr>
          <w:rFonts w:ascii="宋体" w:hAnsi="宋体" w:eastAsia="宋体"/>
          <w:color w:val="auto"/>
          <w:sz w:val="24"/>
          <w:szCs w:val="24"/>
        </w:rPr>
      </w:pPr>
      <w:bookmarkStart w:id="238" w:name="_Toc19458009"/>
      <w:bookmarkStart w:id="239" w:name="_Toc17106702"/>
      <w:bookmarkStart w:id="240" w:name="_Toc2929474"/>
      <w:r>
        <w:rPr>
          <w:rFonts w:hint="eastAsia" w:ascii="宋体" w:hAnsi="宋体" w:eastAsia="宋体"/>
          <w:color w:val="auto"/>
          <w:sz w:val="24"/>
          <w:szCs w:val="24"/>
        </w:rPr>
        <w:t>2.磋商程序</w:t>
      </w:r>
      <w:bookmarkEnd w:id="238"/>
      <w:bookmarkEnd w:id="239"/>
      <w:bookmarkEnd w:id="240"/>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41" w:name="_Toc19458010"/>
      <w:bookmarkStart w:id="242" w:name="_Toc17106703"/>
      <w:bookmarkStart w:id="243" w:name="_Toc2929475"/>
      <w:r>
        <w:rPr>
          <w:rFonts w:hint="eastAsia" w:ascii="宋体" w:hAnsi="宋体" w:eastAsia="宋体"/>
          <w:b w:val="0"/>
          <w:color w:val="auto"/>
          <w:sz w:val="24"/>
          <w:szCs w:val="24"/>
        </w:rPr>
        <w:t>2.1审查磋商文件和停止评审。</w:t>
      </w:r>
      <w:bookmarkEnd w:id="241"/>
      <w:bookmarkEnd w:id="242"/>
      <w:bookmarkEnd w:id="243"/>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44" w:name="_Toc19458011"/>
      <w:bookmarkStart w:id="245" w:name="_Toc2929476"/>
      <w:bookmarkStart w:id="246" w:name="_Toc17106704"/>
      <w:r>
        <w:rPr>
          <w:rFonts w:hint="eastAsia" w:ascii="宋体" w:hAnsi="宋体" w:eastAsia="宋体"/>
          <w:b w:val="0"/>
          <w:color w:val="auto"/>
          <w:sz w:val="24"/>
          <w:szCs w:val="24"/>
        </w:rPr>
        <w:t>2.1.1 磋商小组正式评审前，应当对磋商文件进行熟悉和理解，内容主要包括磋商文件中供应商资格条件要求、采购项目技术、服务和商务要求、磋商办法和标准、相关招标采购政策要求以及采购合同主要条款等。</w:t>
      </w:r>
      <w:bookmarkEnd w:id="244"/>
      <w:bookmarkEnd w:id="245"/>
      <w:bookmarkEnd w:id="246"/>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47" w:name="_Toc2929477"/>
      <w:bookmarkStart w:id="248" w:name="_Toc19458012"/>
      <w:bookmarkStart w:id="249" w:name="_Toc17106705"/>
      <w:r>
        <w:rPr>
          <w:rFonts w:hint="eastAsia" w:ascii="宋体" w:hAnsi="宋体" w:eastAsia="宋体"/>
          <w:b w:val="0"/>
          <w:color w:val="auto"/>
          <w:sz w:val="24"/>
          <w:szCs w:val="24"/>
        </w:rPr>
        <w:t>2.1.2 本磋商文件有下列情形之一的，磋商小组应当停止评审：</w:t>
      </w:r>
      <w:bookmarkEnd w:id="247"/>
      <w:bookmarkEnd w:id="248"/>
      <w:bookmarkEnd w:id="249"/>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50" w:name="_Toc2929478"/>
      <w:bookmarkStart w:id="251" w:name="_Toc19458013"/>
      <w:bookmarkStart w:id="252" w:name="_Toc17106706"/>
      <w:r>
        <w:rPr>
          <w:rFonts w:hint="eastAsia" w:ascii="宋体" w:hAnsi="宋体" w:eastAsia="宋体"/>
          <w:b w:val="0"/>
          <w:color w:val="auto"/>
          <w:sz w:val="24"/>
          <w:szCs w:val="24"/>
        </w:rPr>
        <w:t>（1）磋商文件的规定存在歧义、重大缺陷的；</w:t>
      </w:r>
      <w:bookmarkEnd w:id="250"/>
      <w:bookmarkEnd w:id="251"/>
      <w:bookmarkEnd w:id="252"/>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53" w:name="_Toc2929479"/>
      <w:bookmarkStart w:id="254" w:name="_Toc17106707"/>
      <w:bookmarkStart w:id="255" w:name="_Toc19458014"/>
      <w:r>
        <w:rPr>
          <w:rFonts w:hint="eastAsia" w:ascii="宋体" w:hAnsi="宋体" w:eastAsia="宋体"/>
          <w:b w:val="0"/>
          <w:color w:val="auto"/>
          <w:sz w:val="24"/>
          <w:szCs w:val="24"/>
        </w:rPr>
        <w:t>（2）磋商文件明显以不合理条件对供应商实行差别待遇或者歧视待遇的；</w:t>
      </w:r>
      <w:bookmarkEnd w:id="253"/>
      <w:bookmarkEnd w:id="254"/>
      <w:bookmarkEnd w:id="255"/>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56" w:name="_Toc17106708"/>
      <w:bookmarkStart w:id="257" w:name="_Toc2929480"/>
      <w:bookmarkStart w:id="258" w:name="_Toc19458015"/>
      <w:r>
        <w:rPr>
          <w:rFonts w:hint="eastAsia" w:ascii="宋体" w:hAnsi="宋体" w:eastAsia="宋体"/>
          <w:b w:val="0"/>
          <w:color w:val="auto"/>
          <w:sz w:val="24"/>
          <w:szCs w:val="24"/>
        </w:rPr>
        <w:t>（3）采购项目属于国家规定的优先、强制采购范围，但是磋商文件未依法体现优先、强制采购相关规定的；</w:t>
      </w:r>
      <w:bookmarkEnd w:id="256"/>
      <w:bookmarkEnd w:id="257"/>
      <w:bookmarkEnd w:id="258"/>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59" w:name="_Toc19458016"/>
      <w:bookmarkStart w:id="260" w:name="_Toc17106709"/>
      <w:bookmarkStart w:id="261" w:name="_Toc2929481"/>
      <w:r>
        <w:rPr>
          <w:rFonts w:hint="eastAsia" w:ascii="宋体" w:hAnsi="宋体" w:eastAsia="宋体"/>
          <w:b w:val="0"/>
          <w:color w:val="auto"/>
          <w:sz w:val="24"/>
          <w:szCs w:val="24"/>
        </w:rPr>
        <w:t>（4）采购项目属于可促进中小企业发展的范围，但是磋商文件未依法体现促进中小企业发展相关规定的；</w:t>
      </w:r>
      <w:bookmarkEnd w:id="259"/>
      <w:bookmarkEnd w:id="260"/>
      <w:bookmarkEnd w:id="261"/>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62" w:name="_Toc19458017"/>
      <w:bookmarkStart w:id="263" w:name="_Toc17106710"/>
      <w:bookmarkStart w:id="264" w:name="_Toc2929482"/>
      <w:r>
        <w:rPr>
          <w:rFonts w:hint="eastAsia" w:ascii="宋体" w:hAnsi="宋体" w:eastAsia="宋体"/>
          <w:b w:val="0"/>
          <w:color w:val="auto"/>
          <w:sz w:val="24"/>
          <w:szCs w:val="24"/>
        </w:rPr>
        <w:t>（5）磋商文件将供应商的资格条件列为评分因素的；</w:t>
      </w:r>
      <w:bookmarkEnd w:id="262"/>
      <w:bookmarkEnd w:id="263"/>
      <w:bookmarkEnd w:id="264"/>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65" w:name="_Toc2929483"/>
      <w:bookmarkStart w:id="266" w:name="_Toc19458018"/>
      <w:bookmarkStart w:id="267" w:name="_Toc17106711"/>
      <w:r>
        <w:rPr>
          <w:rFonts w:hint="eastAsia" w:ascii="宋体" w:hAnsi="宋体" w:eastAsia="宋体"/>
          <w:b w:val="0"/>
          <w:color w:val="auto"/>
          <w:sz w:val="24"/>
          <w:szCs w:val="24"/>
        </w:rPr>
        <w:t>（6）磋商文件载明的成交原则不合法的；</w:t>
      </w:r>
      <w:bookmarkEnd w:id="265"/>
      <w:bookmarkEnd w:id="266"/>
      <w:bookmarkEnd w:id="267"/>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68" w:name="_Toc17106712"/>
      <w:bookmarkStart w:id="269" w:name="_Toc2929484"/>
      <w:bookmarkStart w:id="270" w:name="_Toc19458019"/>
      <w:r>
        <w:rPr>
          <w:rFonts w:hint="eastAsia" w:ascii="宋体" w:hAnsi="宋体" w:eastAsia="宋体"/>
          <w:b w:val="0"/>
          <w:color w:val="auto"/>
          <w:sz w:val="24"/>
          <w:szCs w:val="24"/>
        </w:rPr>
        <w:t>（7）磋商文件有违反国家其他有关强制性规定的情形。</w:t>
      </w:r>
      <w:bookmarkEnd w:id="268"/>
      <w:bookmarkEnd w:id="269"/>
      <w:bookmarkEnd w:id="270"/>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71" w:name="_Toc2929485"/>
      <w:bookmarkStart w:id="272" w:name="_Toc17106713"/>
      <w:bookmarkStart w:id="273" w:name="_Toc19458020"/>
      <w:r>
        <w:rPr>
          <w:rFonts w:hint="eastAsia" w:ascii="宋体" w:hAnsi="宋体" w:eastAsia="宋体"/>
          <w:b w:val="0"/>
          <w:color w:val="auto"/>
          <w:sz w:val="24"/>
          <w:szCs w:val="24"/>
        </w:rPr>
        <w:t>2.1.3 出现本条2.1.2规定应当停止评审情形的，磋商小组应当向采购单位</w:t>
      </w:r>
      <w:r>
        <w:rPr>
          <w:rFonts w:hint="eastAsia" w:ascii="宋体" w:hAnsi="宋体" w:eastAsia="宋体"/>
          <w:b w:val="0"/>
          <w:color w:val="auto"/>
          <w:sz w:val="24"/>
          <w:szCs w:val="24"/>
          <w:lang w:eastAsia="zh-CN"/>
        </w:rPr>
        <w:t>、</w:t>
      </w:r>
      <w:r>
        <w:rPr>
          <w:rFonts w:hint="eastAsia" w:ascii="宋体" w:hAnsi="宋体" w:eastAsia="宋体"/>
          <w:b w:val="0"/>
          <w:color w:val="auto"/>
          <w:sz w:val="24"/>
          <w:szCs w:val="24"/>
        </w:rPr>
        <w:t>采购代理机构书面说明情况。除本条规定的情形外，磋商小组不得以任何方式和理由停止评审。</w:t>
      </w:r>
      <w:bookmarkEnd w:id="271"/>
      <w:bookmarkEnd w:id="272"/>
      <w:bookmarkEnd w:id="273"/>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74" w:name="_Toc2929486"/>
      <w:bookmarkStart w:id="275" w:name="_Toc17106714"/>
      <w:bookmarkStart w:id="276" w:name="_Toc19458021"/>
      <w:r>
        <w:rPr>
          <w:rFonts w:hint="eastAsia" w:ascii="宋体" w:hAnsi="宋体" w:eastAsia="宋体"/>
          <w:b w:val="0"/>
          <w:color w:val="auto"/>
          <w:sz w:val="24"/>
          <w:szCs w:val="24"/>
        </w:rPr>
        <w:t>2.2资格性审查。</w:t>
      </w:r>
      <w:bookmarkEnd w:id="274"/>
      <w:bookmarkEnd w:id="275"/>
      <w:bookmarkEnd w:id="276"/>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77" w:name="_Toc17106715"/>
      <w:bookmarkStart w:id="278" w:name="_Toc2929487"/>
      <w:bookmarkStart w:id="279" w:name="_Toc19458022"/>
      <w:r>
        <w:rPr>
          <w:rFonts w:hint="eastAsia" w:ascii="宋体" w:hAnsi="宋体" w:eastAsia="宋体"/>
          <w:b w:val="0"/>
          <w:color w:val="auto"/>
          <w:sz w:val="24"/>
          <w:szCs w:val="24"/>
        </w:rPr>
        <w:t>2.2.1本项目需要磋商小组进行资格性检查。磋商小组应依据法律法规和磋商文件的规定，对响应文件是否按照规定要求提供资格性证明材料、是否属于禁止参加磋商的供应商等进行审查，以确定供应商是否具备磋商资格。</w:t>
      </w:r>
      <w:bookmarkEnd w:id="277"/>
      <w:bookmarkEnd w:id="278"/>
      <w:bookmarkEnd w:id="279"/>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80" w:name="_Toc2929488"/>
      <w:bookmarkStart w:id="281" w:name="_Toc17106716"/>
      <w:bookmarkStart w:id="282" w:name="_Toc19458023"/>
      <w:r>
        <w:rPr>
          <w:rFonts w:hint="eastAsia" w:ascii="宋体" w:hAnsi="宋体" w:eastAsia="宋体"/>
          <w:b w:val="0"/>
          <w:color w:val="auto"/>
          <w:sz w:val="24"/>
          <w:szCs w:val="24"/>
        </w:rPr>
        <w:t>2.2.2资格性审查结束后，磋商小组应当出具资格性审查报告，没有通过资格审查的供应商，磋商小组应当在资格审查报告中说明原因。</w:t>
      </w:r>
      <w:bookmarkEnd w:id="280"/>
      <w:bookmarkEnd w:id="281"/>
      <w:bookmarkEnd w:id="282"/>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83" w:name="_Toc17106717"/>
      <w:bookmarkStart w:id="284" w:name="_Toc2929489"/>
      <w:bookmarkStart w:id="285" w:name="_Toc19458024"/>
      <w:r>
        <w:rPr>
          <w:rFonts w:hint="eastAsia" w:ascii="宋体" w:hAnsi="宋体" w:eastAsia="宋体"/>
          <w:b w:val="0"/>
          <w:color w:val="auto"/>
          <w:sz w:val="24"/>
          <w:szCs w:val="24"/>
        </w:rPr>
        <w:t>2.2.3磋商小组应依据磋商文件规定的实质性要求，对符合资格的响应文件进行有效性、完整性和响应程度审查，以确定参加磋商的供应商名单。</w:t>
      </w:r>
      <w:bookmarkEnd w:id="283"/>
      <w:bookmarkEnd w:id="284"/>
      <w:bookmarkEnd w:id="285"/>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86" w:name="_Toc17106718"/>
      <w:bookmarkStart w:id="287" w:name="_Toc2929490"/>
      <w:bookmarkStart w:id="288" w:name="_Toc19458025"/>
      <w:r>
        <w:rPr>
          <w:rFonts w:hint="eastAsia" w:ascii="宋体" w:hAnsi="宋体" w:eastAsia="宋体"/>
          <w:b w:val="0"/>
          <w:color w:val="auto"/>
          <w:sz w:val="24"/>
          <w:szCs w:val="24"/>
        </w:rPr>
        <w:t>2.2.4采购代理机构宣布未通过资格性审查的供应商名单时，应当告知供应商未通过审查的原因。</w:t>
      </w:r>
      <w:bookmarkEnd w:id="286"/>
      <w:bookmarkEnd w:id="287"/>
      <w:bookmarkEnd w:id="288"/>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89" w:name="_Toc19458026"/>
      <w:bookmarkStart w:id="290" w:name="_Toc2929491"/>
      <w:bookmarkStart w:id="291" w:name="_Toc17106719"/>
      <w:r>
        <w:rPr>
          <w:rFonts w:hint="eastAsia" w:ascii="宋体" w:hAnsi="宋体" w:eastAsia="宋体"/>
          <w:b w:val="0"/>
          <w:color w:val="auto"/>
          <w:sz w:val="24"/>
          <w:szCs w:val="24"/>
        </w:rPr>
        <w:t>2.3 通过资格性审查的供应商不足3家的，终止本次采购活动，并发布终止采购活动公告。</w:t>
      </w:r>
      <w:bookmarkEnd w:id="289"/>
      <w:bookmarkEnd w:id="290"/>
      <w:bookmarkEnd w:id="291"/>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92" w:name="_Toc2929493"/>
      <w:bookmarkStart w:id="293" w:name="_Toc17106721"/>
      <w:bookmarkStart w:id="294" w:name="_Toc19458028"/>
      <w:r>
        <w:rPr>
          <w:rFonts w:hint="eastAsia" w:ascii="宋体" w:hAnsi="宋体" w:eastAsia="宋体"/>
          <w:b w:val="0"/>
          <w:color w:val="auto"/>
          <w:sz w:val="24"/>
          <w:szCs w:val="24"/>
        </w:rPr>
        <w:t>2.4磋商。</w:t>
      </w:r>
      <w:bookmarkEnd w:id="292"/>
      <w:bookmarkEnd w:id="293"/>
      <w:bookmarkEnd w:id="294"/>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95" w:name="_Toc19458029"/>
      <w:bookmarkStart w:id="296" w:name="_Toc2929494"/>
      <w:bookmarkStart w:id="297" w:name="_Toc17106722"/>
      <w:r>
        <w:rPr>
          <w:rFonts w:hint="eastAsia" w:ascii="宋体" w:hAnsi="宋体" w:eastAsia="宋体"/>
          <w:b w:val="0"/>
          <w:color w:val="auto"/>
          <w:sz w:val="24"/>
          <w:szCs w:val="24"/>
        </w:rPr>
        <w:t>2.4.1磋商小组所有成员集中与单一供应商分别进行一轮或多轮磋商，并给予所有参加磋商的供应商平等的磋商机会。磋商顺序以现场抽签的方式确定。磋商过程中，磋商小组可以根据磋商情况调整磋商轮次。</w:t>
      </w:r>
      <w:bookmarkEnd w:id="295"/>
      <w:bookmarkEnd w:id="296"/>
      <w:bookmarkEnd w:id="297"/>
    </w:p>
    <w:p>
      <w:pPr>
        <w:pStyle w:val="5"/>
        <w:keepNext w:val="0"/>
        <w:keepLines w:val="0"/>
        <w:spacing w:before="0" w:after="0" w:line="400" w:lineRule="exact"/>
        <w:ind w:firstLine="470" w:firstLineChars="196"/>
        <w:rPr>
          <w:rFonts w:ascii="宋体" w:hAnsi="宋体" w:eastAsia="宋体"/>
          <w:b w:val="0"/>
          <w:color w:val="auto"/>
          <w:sz w:val="24"/>
          <w:szCs w:val="24"/>
        </w:rPr>
      </w:pPr>
      <w:bookmarkStart w:id="298" w:name="_Toc17106723"/>
      <w:bookmarkStart w:id="299" w:name="_Toc19458030"/>
      <w:bookmarkStart w:id="300" w:name="_Toc2929495"/>
      <w:r>
        <w:rPr>
          <w:rFonts w:hint="eastAsia" w:ascii="宋体" w:hAnsi="宋体" w:eastAsia="宋体"/>
          <w:b w:val="0"/>
          <w:color w:val="auto"/>
          <w:sz w:val="24"/>
          <w:szCs w:val="24"/>
        </w:rPr>
        <w:t>2.4.2每轮磋商开始前，磋商小组应根据磋商文件的规定，并结合各供应商的响应文件拟定磋商内容。</w:t>
      </w:r>
      <w:bookmarkEnd w:id="298"/>
      <w:bookmarkEnd w:id="299"/>
      <w:bookmarkEnd w:id="300"/>
    </w:p>
    <w:p>
      <w:pPr>
        <w:pStyle w:val="5"/>
        <w:keepNext w:val="0"/>
        <w:keepLines w:val="0"/>
        <w:spacing w:before="0" w:after="0" w:line="400" w:lineRule="exact"/>
        <w:ind w:firstLine="470" w:firstLineChars="196"/>
        <w:rPr>
          <w:rFonts w:ascii="宋体" w:hAnsi="宋体" w:eastAsia="宋体"/>
          <w:b w:val="0"/>
          <w:color w:val="auto"/>
          <w:sz w:val="24"/>
          <w:szCs w:val="24"/>
        </w:rPr>
      </w:pPr>
      <w:bookmarkStart w:id="301" w:name="_Toc19458031"/>
      <w:bookmarkStart w:id="302" w:name="_Toc2929496"/>
      <w:bookmarkStart w:id="303" w:name="_Toc17106724"/>
      <w:r>
        <w:rPr>
          <w:rFonts w:hint="eastAsia" w:ascii="宋体" w:hAnsi="宋体" w:eastAsia="宋体"/>
          <w:b w:val="0"/>
          <w:color w:val="auto"/>
          <w:sz w:val="24"/>
          <w:szCs w:val="24"/>
        </w:rPr>
        <w:t>2.4.3在磋商过程中，磋商小组可以根据磋商文件和磋商情况实质性变动磋商文件的技术、服务要求以及合同草案条款，但不得变动磋商文件中的其他内容。实质性变动的内容，须经采购单位代表书面确认。</w:t>
      </w:r>
      <w:bookmarkEnd w:id="301"/>
      <w:bookmarkEnd w:id="302"/>
      <w:bookmarkEnd w:id="303"/>
    </w:p>
    <w:p>
      <w:pPr>
        <w:pStyle w:val="5"/>
        <w:keepNext w:val="0"/>
        <w:keepLines w:val="0"/>
        <w:spacing w:before="0" w:after="0" w:line="400" w:lineRule="exact"/>
        <w:ind w:firstLine="470" w:firstLineChars="196"/>
        <w:rPr>
          <w:rFonts w:ascii="宋体" w:hAnsi="宋体" w:eastAsia="宋体"/>
          <w:b w:val="0"/>
          <w:color w:val="auto"/>
          <w:sz w:val="24"/>
          <w:szCs w:val="24"/>
        </w:rPr>
      </w:pPr>
      <w:bookmarkStart w:id="304" w:name="_Toc19458032"/>
      <w:bookmarkStart w:id="305" w:name="_Toc2929497"/>
      <w:bookmarkStart w:id="306" w:name="_Toc17106725"/>
      <w:r>
        <w:rPr>
          <w:rFonts w:hint="eastAsia" w:ascii="宋体" w:hAnsi="宋体" w:eastAsia="宋体"/>
          <w:b w:val="0"/>
          <w:color w:val="auto"/>
          <w:sz w:val="24"/>
          <w:szCs w:val="24"/>
        </w:rPr>
        <w:t>2.4.4对磋商文件作出的实质性变动是磋商文件的有效组成部分，磋商小组应当及时以书面形式同时通知所有参加磋商的供应商。</w:t>
      </w:r>
      <w:bookmarkEnd w:id="304"/>
      <w:bookmarkEnd w:id="305"/>
      <w:bookmarkEnd w:id="306"/>
    </w:p>
    <w:p>
      <w:pPr>
        <w:pStyle w:val="5"/>
        <w:keepNext w:val="0"/>
        <w:keepLines w:val="0"/>
        <w:spacing w:before="0" w:after="0" w:line="400" w:lineRule="exact"/>
        <w:ind w:firstLine="470" w:firstLineChars="196"/>
        <w:rPr>
          <w:rFonts w:ascii="宋体" w:hAnsi="宋体" w:eastAsia="宋体"/>
          <w:b w:val="0"/>
          <w:color w:val="auto"/>
          <w:sz w:val="24"/>
          <w:szCs w:val="24"/>
        </w:rPr>
      </w:pPr>
      <w:bookmarkStart w:id="307" w:name="_Toc17106726"/>
      <w:bookmarkStart w:id="308" w:name="_Toc2929498"/>
      <w:bookmarkStart w:id="309" w:name="_Toc19458033"/>
      <w:r>
        <w:rPr>
          <w:rFonts w:hint="eastAsia" w:ascii="宋体" w:hAnsi="宋体" w:eastAsia="宋体"/>
          <w:b w:val="0"/>
          <w:color w:val="auto"/>
          <w:sz w:val="24"/>
          <w:szCs w:val="24"/>
        </w:rPr>
        <w:t>2.4.5磋商过程中，磋商文件变动的，供应商应当按照磋商文件的变动情况和磋商小组的要求重新提交响应文件，并由其法定代表人/主要负责人/本人或其授权代表签字或者加盖公章。磋商过程中，供应商根据磋商情况自行决定变更其响应文件的，磋商小组不得拒绝，并应当给予供应商必要的时间，但是供应商变更其响应文件，应当以有利于满足磋商文件要求为原则，不得变更为不利于满足磋商文件规定，否则，其响应文件作为无效处理。</w:t>
      </w:r>
      <w:bookmarkEnd w:id="307"/>
      <w:bookmarkEnd w:id="308"/>
      <w:bookmarkEnd w:id="309"/>
    </w:p>
    <w:p>
      <w:pPr>
        <w:pStyle w:val="5"/>
        <w:keepNext w:val="0"/>
        <w:keepLines w:val="0"/>
        <w:spacing w:before="0" w:after="0" w:line="400" w:lineRule="exact"/>
        <w:ind w:firstLine="470" w:firstLineChars="196"/>
        <w:rPr>
          <w:rFonts w:ascii="宋体" w:hAnsi="宋体" w:eastAsia="宋体"/>
          <w:b w:val="0"/>
          <w:color w:val="auto"/>
          <w:sz w:val="24"/>
          <w:szCs w:val="24"/>
        </w:rPr>
      </w:pPr>
      <w:bookmarkStart w:id="310" w:name="_Toc2929499"/>
      <w:bookmarkStart w:id="311" w:name="_Toc17106727"/>
      <w:bookmarkStart w:id="312" w:name="_Toc19458034"/>
      <w:r>
        <w:rPr>
          <w:rFonts w:hint="eastAsia" w:ascii="宋体" w:hAnsi="宋体" w:eastAsia="宋体"/>
          <w:b w:val="0"/>
          <w:color w:val="auto"/>
          <w:sz w:val="24"/>
          <w:szCs w:val="24"/>
        </w:rPr>
        <w:t>2.4.6磋商过程中，磋商的任何一方不得透露与磋商有关的其他供应商的技术资料、价格和其他信息。</w:t>
      </w:r>
      <w:bookmarkEnd w:id="310"/>
      <w:bookmarkEnd w:id="311"/>
      <w:bookmarkEnd w:id="312"/>
    </w:p>
    <w:p>
      <w:pPr>
        <w:pStyle w:val="5"/>
        <w:keepNext w:val="0"/>
        <w:keepLines w:val="0"/>
        <w:spacing w:before="0" w:after="0" w:line="400" w:lineRule="exact"/>
        <w:ind w:firstLine="470" w:firstLineChars="196"/>
        <w:rPr>
          <w:rFonts w:ascii="宋体" w:hAnsi="宋体" w:eastAsia="宋体"/>
          <w:b w:val="0"/>
          <w:color w:val="auto"/>
          <w:sz w:val="24"/>
          <w:szCs w:val="24"/>
        </w:rPr>
      </w:pPr>
      <w:bookmarkStart w:id="313" w:name="_Toc19458035"/>
      <w:bookmarkStart w:id="314" w:name="_Toc2929500"/>
      <w:bookmarkStart w:id="315" w:name="_Toc17106728"/>
      <w:r>
        <w:rPr>
          <w:rFonts w:hint="eastAsia" w:ascii="宋体" w:hAnsi="宋体" w:eastAsia="宋体"/>
          <w:b w:val="0"/>
          <w:color w:val="auto"/>
          <w:sz w:val="24"/>
          <w:szCs w:val="24"/>
        </w:rPr>
        <w:t>2.4.7磋商过程中，磋商小组发现或者知晓供应商存在违法、违纪行为的，磋商小组应当将该供应商响应文件作无效处理，不允许其提交最后报价。</w:t>
      </w:r>
      <w:bookmarkEnd w:id="313"/>
      <w:bookmarkEnd w:id="314"/>
      <w:bookmarkEnd w:id="315"/>
    </w:p>
    <w:p>
      <w:pPr>
        <w:pStyle w:val="5"/>
        <w:keepNext w:val="0"/>
        <w:keepLines w:val="0"/>
        <w:spacing w:before="0" w:after="0" w:line="400" w:lineRule="exact"/>
        <w:ind w:firstLine="470" w:firstLineChars="196"/>
        <w:rPr>
          <w:rFonts w:ascii="宋体" w:hAnsi="宋体" w:eastAsia="宋体"/>
          <w:b w:val="0"/>
          <w:color w:val="auto"/>
          <w:sz w:val="24"/>
          <w:szCs w:val="24"/>
        </w:rPr>
      </w:pPr>
      <w:bookmarkStart w:id="316" w:name="_Toc17106729"/>
      <w:bookmarkStart w:id="317" w:name="_Toc2929501"/>
      <w:bookmarkStart w:id="318" w:name="_Toc19458036"/>
      <w:r>
        <w:rPr>
          <w:rFonts w:hint="eastAsia" w:ascii="宋体" w:hAnsi="宋体" w:eastAsia="宋体"/>
          <w:b w:val="0"/>
          <w:color w:val="auto"/>
          <w:sz w:val="24"/>
          <w:szCs w:val="24"/>
        </w:rPr>
        <w:t>2.4.8磋商完成后，磋商小组应出具磋商情况记录表，磋商情况记录表需包含磋商内容、磋商意见、实质性变动内容等。</w:t>
      </w:r>
      <w:bookmarkEnd w:id="316"/>
      <w:bookmarkEnd w:id="317"/>
      <w:bookmarkEnd w:id="318"/>
    </w:p>
    <w:p>
      <w:pPr>
        <w:spacing w:line="400" w:lineRule="exact"/>
        <w:ind w:firstLine="480" w:firstLineChars="200"/>
        <w:rPr>
          <w:rFonts w:ascii="宋体" w:hAnsi="宋体"/>
          <w:color w:val="auto"/>
          <w:sz w:val="24"/>
        </w:rPr>
      </w:pPr>
      <w:r>
        <w:rPr>
          <w:rFonts w:hint="eastAsia" w:ascii="宋体" w:hAnsi="宋体"/>
          <w:color w:val="auto"/>
          <w:sz w:val="24"/>
        </w:rPr>
        <w:t>2.5最后报价。</w:t>
      </w:r>
    </w:p>
    <w:p>
      <w:pPr>
        <w:spacing w:line="400" w:lineRule="exact"/>
        <w:ind w:firstLine="480" w:firstLineChars="200"/>
        <w:rPr>
          <w:rFonts w:ascii="宋体" w:hAnsi="宋体"/>
          <w:color w:val="auto"/>
          <w:sz w:val="24"/>
        </w:rPr>
      </w:pPr>
      <w:r>
        <w:rPr>
          <w:rFonts w:hint="eastAsia" w:ascii="宋体" w:hAnsi="宋体"/>
          <w:color w:val="auto"/>
          <w:sz w:val="24"/>
        </w:rPr>
        <w:t>2.5.1磋商文件能够详细列明采购标的的技术、服务要求的，磋商结束后，磋商小组应当要求所有实质性响应的供应商在规定时间内提交最后报价，提交最后报价的供应商不得少</w:t>
      </w:r>
      <w:r>
        <w:rPr>
          <w:rFonts w:hint="eastAsia" w:ascii="宋体" w:hAnsi="宋体"/>
          <w:b w:val="0"/>
          <w:bCs w:val="0"/>
          <w:color w:val="auto"/>
          <w:sz w:val="24"/>
        </w:rPr>
        <w:t>于3家</w:t>
      </w:r>
      <w:r>
        <w:rPr>
          <w:rFonts w:hint="eastAsia" w:ascii="宋体" w:hAnsi="宋体"/>
          <w:color w:val="auto"/>
          <w:sz w:val="24"/>
        </w:rPr>
        <w:t>。</w:t>
      </w:r>
    </w:p>
    <w:p>
      <w:pPr>
        <w:spacing w:line="400" w:lineRule="exact"/>
        <w:ind w:firstLine="480" w:firstLineChars="200"/>
        <w:rPr>
          <w:rFonts w:ascii="宋体" w:hAnsi="宋体"/>
          <w:color w:val="auto"/>
          <w:sz w:val="24"/>
        </w:rPr>
      </w:pPr>
      <w:r>
        <w:rPr>
          <w:rFonts w:hint="eastAsia" w:ascii="宋体" w:hAnsi="宋体"/>
          <w:color w:val="auto"/>
          <w:sz w:val="24"/>
        </w:rPr>
        <w:t>2.5.2磋商结束后，磋商小组应当要求所有实质性响应的供应商在规定时间内提交最后报价。两轮（若有）以上报价的，供应商在未提高响应文件中承诺其服务质量的情况下，其最后报价不得高于对该项目之前的报价，否则，磋商小组应当对其响应文件按无效处理，不允许进入综合评分，并书面告知供应商，说明理由。</w:t>
      </w:r>
    </w:p>
    <w:p>
      <w:pPr>
        <w:spacing w:line="400" w:lineRule="exact"/>
        <w:ind w:firstLine="480" w:firstLineChars="200"/>
        <w:rPr>
          <w:rFonts w:ascii="宋体" w:hAnsi="宋体"/>
          <w:color w:val="auto"/>
          <w:sz w:val="24"/>
        </w:rPr>
      </w:pPr>
      <w:r>
        <w:rPr>
          <w:rFonts w:hint="eastAsia" w:ascii="宋体" w:hAnsi="宋体"/>
          <w:color w:val="auto"/>
          <w:sz w:val="24"/>
        </w:rPr>
        <w:t>2.5.3供应商最后报价应当由法定代表人/主要负责人/本人或其授权代表签字确认或加盖公章。最后报价是供应商响应文件的有效组成部分。</w:t>
      </w:r>
    </w:p>
    <w:p>
      <w:pPr>
        <w:spacing w:line="400" w:lineRule="exact"/>
        <w:ind w:firstLine="480" w:firstLineChars="200"/>
        <w:rPr>
          <w:rFonts w:ascii="宋体" w:hAnsi="宋体"/>
          <w:color w:val="auto"/>
          <w:sz w:val="24"/>
        </w:rPr>
      </w:pPr>
      <w:r>
        <w:rPr>
          <w:rFonts w:hint="eastAsia" w:ascii="宋体" w:hAnsi="宋体"/>
          <w:color w:val="auto"/>
          <w:sz w:val="24"/>
        </w:rPr>
        <w:t>2.5.4最后报价中的算术错误将按以下方法修正：响应文件的大写金额和小写金额不一致的，以大写金额为准；总价金额与按单价汇总金额不一致的，以单价金额计算结果为准；单价金额小数点有明显错位的，应以总价为准，并修改单价。如果小写、大写金额和单价、总价金额出现明显文字错误，应当按照澄清、说明或者更正程序先纠正错误后，再行修正，不得不经过澄清、说明或者更正，直接将供应商响应文件作为无效处理。对不同文字文本响应文件的解释发生异议的，以中文文本为准。</w:t>
      </w:r>
    </w:p>
    <w:p>
      <w:pPr>
        <w:spacing w:line="400" w:lineRule="exact"/>
        <w:ind w:firstLine="480" w:firstLineChars="200"/>
        <w:rPr>
          <w:rFonts w:ascii="宋体" w:hAnsi="宋体"/>
          <w:color w:val="auto"/>
          <w:sz w:val="24"/>
        </w:rPr>
      </w:pPr>
      <w:r>
        <w:rPr>
          <w:rFonts w:hint="eastAsia" w:ascii="宋体" w:hAnsi="宋体"/>
          <w:color w:val="auto"/>
          <w:sz w:val="24"/>
        </w:rPr>
        <w:t>2.6比较与评价。由磋商小组采用综合评分法对提交最后报价的供应商的响应文件和最后报价进行综合评分，具体要求详见本章综合评分部分。</w:t>
      </w:r>
    </w:p>
    <w:p>
      <w:pPr>
        <w:spacing w:line="400" w:lineRule="exact"/>
        <w:ind w:firstLine="480" w:firstLineChars="200"/>
        <w:rPr>
          <w:rFonts w:ascii="宋体" w:hAnsi="宋体"/>
          <w:color w:val="auto"/>
          <w:sz w:val="24"/>
        </w:rPr>
      </w:pPr>
      <w:r>
        <w:rPr>
          <w:rFonts w:hint="eastAsia" w:ascii="宋体" w:hAnsi="宋体"/>
          <w:color w:val="auto"/>
          <w:sz w:val="24"/>
        </w:rPr>
        <w:t>2.7推荐成交候选供应商。磋商小组应当根据综合评分情况，按照评审得分由高到低顺序推荐3家以上成交候选供应商，并编写磋商报告。评审得分相同的，按照最后报价由低到高的顺序推荐。评审得分且最后报价相同的，按照技术指标优劣顺序推荐。评审得分且最后报价且技术指标分项得分均相同的，成交候选供应商并列。</w:t>
      </w:r>
    </w:p>
    <w:p>
      <w:pPr>
        <w:spacing w:line="400" w:lineRule="exact"/>
        <w:ind w:firstLine="480" w:firstLineChars="200"/>
        <w:rPr>
          <w:rFonts w:ascii="宋体" w:hAnsi="宋体"/>
          <w:color w:val="auto"/>
          <w:sz w:val="24"/>
        </w:rPr>
      </w:pPr>
      <w:r>
        <w:rPr>
          <w:rFonts w:hint="eastAsia" w:ascii="宋体" w:hAnsi="宋体"/>
          <w:color w:val="auto"/>
          <w:sz w:val="24"/>
        </w:rPr>
        <w:t>2.8磋商小组复核。磋商小组评分汇总结束后，磋商小组应当进行评审复核，对拟推荐为成交候选供应商的、报价最低的、供应商资格审查未通过的、供应商响应文件作无效处理的重点复核。</w:t>
      </w:r>
    </w:p>
    <w:p>
      <w:pPr>
        <w:spacing w:line="400" w:lineRule="exact"/>
        <w:ind w:firstLine="480" w:firstLineChars="200"/>
        <w:rPr>
          <w:rFonts w:ascii="宋体" w:hAnsi="宋体"/>
          <w:color w:val="auto"/>
          <w:sz w:val="24"/>
        </w:rPr>
      </w:pPr>
      <w:r>
        <w:rPr>
          <w:rFonts w:hint="eastAsia" w:ascii="宋体" w:hAnsi="宋体"/>
          <w:color w:val="auto"/>
          <w:sz w:val="24"/>
        </w:rPr>
        <w:t>2.9现场复核评审结果。</w:t>
      </w:r>
    </w:p>
    <w:p>
      <w:pPr>
        <w:spacing w:line="400" w:lineRule="exact"/>
        <w:ind w:firstLine="480" w:firstLineChars="200"/>
        <w:rPr>
          <w:rFonts w:ascii="宋体" w:hAnsi="宋体"/>
          <w:color w:val="auto"/>
          <w:sz w:val="24"/>
        </w:rPr>
      </w:pPr>
      <w:r>
        <w:rPr>
          <w:rFonts w:hint="eastAsia" w:ascii="宋体" w:hAnsi="宋体"/>
          <w:color w:val="auto"/>
          <w:sz w:val="24"/>
        </w:rPr>
        <w:t>2.9.1评审结果汇总完成后，磋商小组拟出具磋商评审报告前，采购代理机构应当组织2名以上的本单位工作人员，在现场监督人员的监督之下，依据有关的法律制度和磋商文件对评审结果进行复核，出具复核报告，存在下列情形之一的，采购代理机构应当根据情况书面建议磋商小组现场修改评审结果：</w:t>
      </w:r>
    </w:p>
    <w:p>
      <w:pPr>
        <w:spacing w:line="400" w:lineRule="exact"/>
        <w:ind w:firstLine="480" w:firstLineChars="200"/>
        <w:rPr>
          <w:rFonts w:ascii="宋体" w:hAnsi="宋体"/>
          <w:color w:val="auto"/>
          <w:sz w:val="24"/>
        </w:rPr>
      </w:pPr>
      <w:r>
        <w:rPr>
          <w:rFonts w:hint="eastAsia" w:ascii="宋体" w:hAnsi="宋体"/>
          <w:color w:val="auto"/>
          <w:sz w:val="24"/>
        </w:rPr>
        <w:t>（1）资格性审查认定错误的；</w:t>
      </w:r>
    </w:p>
    <w:p>
      <w:pPr>
        <w:spacing w:line="400" w:lineRule="exact"/>
        <w:ind w:firstLine="480" w:firstLineChars="200"/>
        <w:rPr>
          <w:rFonts w:ascii="宋体" w:hAnsi="宋体"/>
          <w:color w:val="auto"/>
          <w:sz w:val="24"/>
        </w:rPr>
      </w:pPr>
      <w:r>
        <w:rPr>
          <w:rFonts w:hint="eastAsia" w:ascii="宋体" w:hAnsi="宋体"/>
          <w:color w:val="auto"/>
          <w:sz w:val="24"/>
        </w:rPr>
        <w:t>（2）分值汇总计算错误的；</w:t>
      </w:r>
    </w:p>
    <w:p>
      <w:pPr>
        <w:spacing w:line="400" w:lineRule="exact"/>
        <w:ind w:firstLine="480" w:firstLineChars="200"/>
        <w:rPr>
          <w:rFonts w:ascii="宋体" w:hAnsi="宋体"/>
          <w:color w:val="auto"/>
          <w:sz w:val="24"/>
        </w:rPr>
      </w:pPr>
      <w:r>
        <w:rPr>
          <w:rFonts w:hint="eastAsia" w:ascii="宋体" w:hAnsi="宋体"/>
          <w:color w:val="auto"/>
          <w:sz w:val="24"/>
        </w:rPr>
        <w:t>（3）分项评分超出评分标准范围的；</w:t>
      </w:r>
    </w:p>
    <w:p>
      <w:pPr>
        <w:spacing w:line="400" w:lineRule="exact"/>
        <w:ind w:firstLine="480" w:firstLineChars="200"/>
        <w:rPr>
          <w:rFonts w:ascii="宋体" w:hAnsi="宋体"/>
          <w:color w:val="auto"/>
          <w:sz w:val="24"/>
        </w:rPr>
      </w:pPr>
      <w:r>
        <w:rPr>
          <w:rFonts w:hint="eastAsia" w:ascii="宋体" w:hAnsi="宋体"/>
          <w:color w:val="auto"/>
          <w:sz w:val="24"/>
        </w:rPr>
        <w:t>（4）客观评分不一致的。</w:t>
      </w:r>
    </w:p>
    <w:p>
      <w:pPr>
        <w:spacing w:line="400" w:lineRule="exact"/>
        <w:ind w:firstLine="480" w:firstLineChars="200"/>
        <w:rPr>
          <w:rFonts w:ascii="宋体" w:hAnsi="宋体"/>
          <w:color w:val="auto"/>
          <w:sz w:val="24"/>
        </w:rPr>
      </w:pPr>
      <w:r>
        <w:rPr>
          <w:rFonts w:hint="eastAsia" w:ascii="宋体" w:hAnsi="宋体"/>
          <w:color w:val="auto"/>
          <w:sz w:val="24"/>
        </w:rPr>
        <w:t>存在本条上述情形的，由磋商小组自主决定是否采纳采购代理机构的书面建议，并承担独立评审责任。磋商小组采纳采购代理机构书面建议的，应当按照规定现场修改评审结果或者重新评审，并在磋商报告中详细记载有关事宜；不采纳采购代理机构书面建议的，应当书面说明理由。采购代理机构书面建议未被磋商小组采纳的，应当接照规定程序要求继续组织实施采购活动，不得擅自中止采购活动。采购代理机构认为磋商小组评审结果不合法的，应当书面报告</w:t>
      </w:r>
      <w:r>
        <w:rPr>
          <w:rFonts w:hint="eastAsia" w:ascii="宋体" w:hAnsi="宋体"/>
          <w:color w:val="auto"/>
          <w:sz w:val="24"/>
          <w:lang w:val="en-US" w:eastAsia="zh-CN"/>
        </w:rPr>
        <w:t>现场监督人员</w:t>
      </w:r>
      <w:r>
        <w:rPr>
          <w:rFonts w:hint="eastAsia" w:ascii="宋体" w:hAnsi="宋体"/>
          <w:color w:val="auto"/>
          <w:sz w:val="24"/>
        </w:rPr>
        <w:t>。</w:t>
      </w:r>
    </w:p>
    <w:p>
      <w:pPr>
        <w:spacing w:line="400" w:lineRule="exact"/>
        <w:ind w:firstLine="480" w:firstLineChars="200"/>
        <w:rPr>
          <w:rFonts w:ascii="宋体" w:hAnsi="宋体"/>
          <w:color w:val="auto"/>
          <w:sz w:val="24"/>
        </w:rPr>
      </w:pPr>
      <w:r>
        <w:rPr>
          <w:rFonts w:hint="eastAsia" w:ascii="宋体" w:hAnsi="宋体"/>
          <w:color w:val="auto"/>
          <w:sz w:val="24"/>
        </w:rPr>
        <w:t>采购代理机构复核过程中，磋商小组成员不得离开评审现场。</w:t>
      </w:r>
    </w:p>
    <w:p>
      <w:pPr>
        <w:spacing w:line="400" w:lineRule="exact"/>
        <w:ind w:firstLine="480" w:firstLineChars="200"/>
        <w:rPr>
          <w:rFonts w:ascii="宋体" w:hAnsi="宋体"/>
          <w:color w:val="auto"/>
          <w:sz w:val="24"/>
        </w:rPr>
      </w:pPr>
      <w:r>
        <w:rPr>
          <w:rFonts w:hint="eastAsia" w:ascii="宋体" w:hAnsi="宋体"/>
          <w:color w:val="auto"/>
          <w:sz w:val="24"/>
        </w:rPr>
        <w:t>2.9.2有下列情形之一的，不得现场修改评审结果：</w:t>
      </w:r>
    </w:p>
    <w:p>
      <w:pPr>
        <w:spacing w:line="400" w:lineRule="exact"/>
        <w:ind w:firstLine="480" w:firstLineChars="200"/>
        <w:rPr>
          <w:rFonts w:ascii="宋体" w:hAnsi="宋体"/>
          <w:color w:val="auto"/>
          <w:sz w:val="24"/>
        </w:rPr>
      </w:pPr>
      <w:r>
        <w:rPr>
          <w:rFonts w:hint="eastAsia" w:ascii="宋体" w:hAnsi="宋体"/>
          <w:color w:val="auto"/>
          <w:sz w:val="24"/>
        </w:rPr>
        <w:t>（1）磋商小组已经出具磋商报告并且离开评审现场的；</w:t>
      </w:r>
    </w:p>
    <w:p>
      <w:pPr>
        <w:spacing w:line="400" w:lineRule="exact"/>
        <w:ind w:firstLine="480" w:firstLineChars="200"/>
        <w:rPr>
          <w:rFonts w:ascii="宋体" w:hAnsi="宋体"/>
          <w:color w:val="auto"/>
          <w:sz w:val="24"/>
        </w:rPr>
      </w:pPr>
      <w:r>
        <w:rPr>
          <w:rFonts w:hint="eastAsia" w:ascii="宋体" w:hAnsi="宋体"/>
          <w:color w:val="auto"/>
          <w:sz w:val="24"/>
        </w:rPr>
        <w:t>（2）采购代理机构现场复核时，复核工作人员数量不足的；</w:t>
      </w:r>
    </w:p>
    <w:p>
      <w:pPr>
        <w:spacing w:line="400" w:lineRule="exact"/>
        <w:ind w:firstLine="480" w:firstLineChars="200"/>
        <w:rPr>
          <w:rFonts w:ascii="宋体" w:hAnsi="宋体"/>
          <w:color w:val="auto"/>
          <w:sz w:val="24"/>
        </w:rPr>
      </w:pPr>
      <w:r>
        <w:rPr>
          <w:rFonts w:hint="eastAsia" w:ascii="宋体" w:hAnsi="宋体"/>
          <w:color w:val="auto"/>
          <w:sz w:val="24"/>
        </w:rPr>
        <w:t>（3）采购代理机构现场复核时，没有采购监督人员现场监督的；</w:t>
      </w:r>
    </w:p>
    <w:p>
      <w:pPr>
        <w:spacing w:line="400" w:lineRule="exact"/>
        <w:ind w:firstLine="480" w:firstLineChars="200"/>
        <w:rPr>
          <w:rFonts w:ascii="宋体" w:hAnsi="宋体"/>
          <w:color w:val="auto"/>
          <w:sz w:val="24"/>
        </w:rPr>
      </w:pPr>
      <w:r>
        <w:rPr>
          <w:rFonts w:hint="eastAsia" w:ascii="宋体" w:hAnsi="宋体"/>
          <w:color w:val="auto"/>
          <w:sz w:val="24"/>
        </w:rPr>
        <w:t>（4）采购代理机构现场复核内容超出规定范围的；</w:t>
      </w:r>
    </w:p>
    <w:p>
      <w:pPr>
        <w:spacing w:line="400" w:lineRule="exact"/>
        <w:ind w:firstLine="480" w:firstLineChars="200"/>
        <w:rPr>
          <w:rFonts w:ascii="宋体" w:hAnsi="宋体"/>
          <w:color w:val="auto"/>
          <w:sz w:val="24"/>
        </w:rPr>
      </w:pPr>
      <w:r>
        <w:rPr>
          <w:rFonts w:hint="eastAsia" w:ascii="宋体" w:hAnsi="宋体"/>
          <w:color w:val="auto"/>
          <w:sz w:val="24"/>
        </w:rPr>
        <w:t>（5）采购代理机构未提供书面建议的。</w:t>
      </w:r>
    </w:p>
    <w:p>
      <w:pPr>
        <w:spacing w:line="400" w:lineRule="exact"/>
        <w:ind w:firstLine="480" w:firstLineChars="200"/>
        <w:rPr>
          <w:rFonts w:ascii="宋体" w:hAnsi="宋体"/>
          <w:color w:val="auto"/>
          <w:sz w:val="24"/>
        </w:rPr>
      </w:pPr>
      <w:r>
        <w:rPr>
          <w:rFonts w:hint="eastAsia" w:ascii="宋体" w:hAnsi="宋体"/>
          <w:color w:val="auto"/>
          <w:sz w:val="24"/>
        </w:rPr>
        <w:t>2.10编写磋商报告。磋商小组推荐成交候选供应商后，应向采购代理机构出具磋商报告。磋商报告应当包括以下主要内容：</w:t>
      </w:r>
    </w:p>
    <w:p>
      <w:pPr>
        <w:spacing w:line="400" w:lineRule="exact"/>
        <w:ind w:firstLine="480" w:firstLineChars="200"/>
        <w:rPr>
          <w:rFonts w:ascii="宋体" w:hAnsi="宋体"/>
          <w:color w:val="auto"/>
          <w:sz w:val="24"/>
        </w:rPr>
      </w:pPr>
      <w:r>
        <w:rPr>
          <w:rFonts w:hint="eastAsia" w:ascii="宋体" w:hAnsi="宋体"/>
          <w:color w:val="auto"/>
          <w:sz w:val="24"/>
        </w:rPr>
        <w:t>（1）邀请供应商参加采购活动的具体方式和相关情况；</w:t>
      </w:r>
    </w:p>
    <w:p>
      <w:pPr>
        <w:spacing w:line="400" w:lineRule="exact"/>
        <w:ind w:firstLine="480" w:firstLineChars="200"/>
        <w:rPr>
          <w:rFonts w:ascii="宋体" w:hAnsi="宋体"/>
          <w:color w:val="auto"/>
          <w:sz w:val="24"/>
        </w:rPr>
      </w:pPr>
      <w:r>
        <w:rPr>
          <w:rFonts w:hint="eastAsia" w:ascii="宋体" w:hAnsi="宋体"/>
          <w:color w:val="auto"/>
          <w:sz w:val="24"/>
        </w:rPr>
        <w:t>（2）响应文件开启日期和地点；</w:t>
      </w:r>
    </w:p>
    <w:p>
      <w:pPr>
        <w:spacing w:line="400" w:lineRule="exact"/>
        <w:ind w:firstLine="480" w:firstLineChars="200"/>
        <w:rPr>
          <w:rFonts w:ascii="宋体" w:hAnsi="宋体"/>
          <w:color w:val="auto"/>
          <w:sz w:val="24"/>
        </w:rPr>
      </w:pPr>
      <w:r>
        <w:rPr>
          <w:rFonts w:hint="eastAsia" w:ascii="宋体" w:hAnsi="宋体"/>
          <w:color w:val="auto"/>
          <w:sz w:val="24"/>
        </w:rPr>
        <w:t>（3）获取磋商文件的供应商名单和磋商小组成员名单；</w:t>
      </w:r>
    </w:p>
    <w:p>
      <w:pPr>
        <w:spacing w:line="400" w:lineRule="exact"/>
        <w:ind w:firstLine="480" w:firstLineChars="200"/>
        <w:rPr>
          <w:rFonts w:ascii="宋体" w:hAnsi="宋体"/>
          <w:color w:val="auto"/>
          <w:sz w:val="24"/>
        </w:rPr>
      </w:pPr>
      <w:r>
        <w:rPr>
          <w:rFonts w:hint="eastAsia" w:ascii="宋体" w:hAnsi="宋体"/>
          <w:color w:val="auto"/>
          <w:sz w:val="24"/>
        </w:rPr>
        <w:t>（4）评审情况记录和说明，包括对供应商的资格审查情况、供应商响应文件审查情况、磋商情况、报价情况等；</w:t>
      </w:r>
    </w:p>
    <w:p>
      <w:pPr>
        <w:spacing w:line="400" w:lineRule="exact"/>
        <w:ind w:firstLine="480" w:firstLineChars="200"/>
        <w:rPr>
          <w:rFonts w:ascii="宋体" w:hAnsi="宋体"/>
          <w:color w:val="auto"/>
          <w:sz w:val="24"/>
        </w:rPr>
      </w:pPr>
      <w:r>
        <w:rPr>
          <w:rFonts w:hint="eastAsia" w:ascii="宋体" w:hAnsi="宋体"/>
          <w:color w:val="auto"/>
          <w:sz w:val="24"/>
        </w:rPr>
        <w:t>（5）提出的成交候选供应商的排序名单及理由。</w:t>
      </w:r>
    </w:p>
    <w:p>
      <w:pPr>
        <w:spacing w:line="400" w:lineRule="exact"/>
        <w:ind w:firstLine="480" w:firstLineChars="200"/>
        <w:rPr>
          <w:rFonts w:ascii="宋体" w:hAnsi="宋体"/>
          <w:color w:val="auto"/>
          <w:sz w:val="24"/>
        </w:rPr>
      </w:pPr>
      <w:r>
        <w:rPr>
          <w:rFonts w:hint="eastAsia" w:ascii="宋体" w:hAnsi="宋体"/>
          <w:color w:val="auto"/>
          <w:sz w:val="24"/>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pPr>
        <w:spacing w:line="400" w:lineRule="exact"/>
        <w:ind w:firstLine="480" w:firstLineChars="200"/>
        <w:rPr>
          <w:rFonts w:ascii="宋体" w:hAnsi="宋体"/>
          <w:color w:val="auto"/>
          <w:sz w:val="24"/>
        </w:rPr>
      </w:pPr>
      <w:r>
        <w:rPr>
          <w:rFonts w:hint="eastAsia" w:ascii="宋体" w:hAnsi="宋体"/>
          <w:color w:val="auto"/>
          <w:sz w:val="24"/>
        </w:rPr>
        <w:t>2.11磋商异议处理规则。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pPr>
        <w:spacing w:line="400" w:lineRule="exact"/>
        <w:ind w:firstLine="480" w:firstLineChars="200"/>
        <w:rPr>
          <w:rFonts w:ascii="宋体" w:hAnsi="宋体"/>
          <w:color w:val="auto"/>
          <w:sz w:val="24"/>
        </w:rPr>
      </w:pPr>
      <w:r>
        <w:rPr>
          <w:rFonts w:hint="eastAsia" w:ascii="宋体" w:hAnsi="宋体"/>
          <w:color w:val="auto"/>
          <w:sz w:val="24"/>
        </w:rPr>
        <w:t>2.12供应商澄清、说明</w:t>
      </w:r>
    </w:p>
    <w:p>
      <w:pPr>
        <w:spacing w:line="400" w:lineRule="exact"/>
        <w:ind w:firstLine="480" w:firstLineChars="200"/>
        <w:rPr>
          <w:rFonts w:ascii="宋体" w:hAnsi="宋体"/>
          <w:color w:val="auto"/>
          <w:sz w:val="24"/>
        </w:rPr>
      </w:pPr>
      <w:r>
        <w:rPr>
          <w:rFonts w:hint="eastAsia" w:ascii="宋体" w:hAnsi="宋体"/>
          <w:color w:val="auto"/>
          <w:sz w:val="24"/>
        </w:rPr>
        <w:t>2.12.1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400" w:lineRule="exact"/>
        <w:ind w:firstLine="480" w:firstLineChars="200"/>
        <w:rPr>
          <w:rFonts w:ascii="宋体" w:hAnsi="宋体"/>
          <w:color w:val="auto"/>
          <w:sz w:val="24"/>
        </w:rPr>
      </w:pPr>
      <w:r>
        <w:rPr>
          <w:rFonts w:hint="eastAsia" w:ascii="宋体" w:hAnsi="宋体"/>
          <w:color w:val="auto"/>
          <w:sz w:val="24"/>
        </w:rPr>
        <w:t>2.12.2磋商小组要求供应商澄清、说明或者更正响应文件应当以书面形式作出。供应商的澄清、说明或者更正应当由法定代表人/主要负责人/本人或其授权代表签字或者加盖公章。</w:t>
      </w:r>
    </w:p>
    <w:p>
      <w:pPr>
        <w:spacing w:line="400" w:lineRule="exact"/>
        <w:ind w:firstLine="480" w:firstLineChars="200"/>
        <w:rPr>
          <w:rFonts w:ascii="宋体" w:hAnsi="宋体"/>
          <w:color w:val="auto"/>
          <w:sz w:val="24"/>
        </w:rPr>
      </w:pPr>
      <w:r>
        <w:rPr>
          <w:rFonts w:hint="eastAsia" w:ascii="宋体" w:hAnsi="宋体"/>
          <w:color w:val="auto"/>
          <w:sz w:val="24"/>
        </w:rPr>
        <w:t>2.13终止磋商采购活动。</w:t>
      </w:r>
    </w:p>
    <w:p>
      <w:pPr>
        <w:spacing w:line="400" w:lineRule="exact"/>
        <w:ind w:firstLine="480" w:firstLineChars="200"/>
        <w:rPr>
          <w:rFonts w:ascii="宋体" w:hAnsi="宋体"/>
          <w:color w:val="auto"/>
          <w:sz w:val="24"/>
        </w:rPr>
      </w:pPr>
      <w:r>
        <w:rPr>
          <w:rFonts w:hint="eastAsia" w:ascii="宋体" w:hAnsi="宋体"/>
          <w:color w:val="auto"/>
          <w:sz w:val="24"/>
        </w:rPr>
        <w:t>出现下列情形之一的，采购单位或者采购代理机构应当终止竞争性磋商采购活动，发布项目终止公告并说明原因，重新开展采购活动：</w:t>
      </w:r>
    </w:p>
    <w:p>
      <w:pPr>
        <w:spacing w:line="400" w:lineRule="exact"/>
        <w:ind w:firstLine="480" w:firstLineChars="200"/>
        <w:rPr>
          <w:rFonts w:ascii="宋体" w:hAnsi="宋体"/>
          <w:color w:val="auto"/>
          <w:sz w:val="24"/>
        </w:rPr>
      </w:pPr>
      <w:r>
        <w:rPr>
          <w:rFonts w:hint="eastAsia" w:ascii="宋体" w:hAnsi="宋体"/>
          <w:color w:val="auto"/>
          <w:sz w:val="24"/>
        </w:rPr>
        <w:t>（1）因情况变化，不再符合规定的竞争性磋商采购方式适用情形的；</w:t>
      </w:r>
    </w:p>
    <w:p>
      <w:pPr>
        <w:spacing w:line="400" w:lineRule="exact"/>
        <w:ind w:firstLine="480" w:firstLineChars="200"/>
        <w:rPr>
          <w:rFonts w:ascii="宋体" w:hAnsi="宋体"/>
          <w:color w:val="auto"/>
          <w:sz w:val="24"/>
        </w:rPr>
      </w:pPr>
      <w:r>
        <w:rPr>
          <w:rFonts w:hint="eastAsia" w:ascii="宋体" w:hAnsi="宋体"/>
          <w:color w:val="auto"/>
          <w:sz w:val="24"/>
        </w:rPr>
        <w:t>（2）出现影响采购公正的违法、违规行为的；</w:t>
      </w:r>
    </w:p>
    <w:p>
      <w:pPr>
        <w:spacing w:line="400" w:lineRule="exact"/>
        <w:ind w:firstLine="480" w:firstLineChars="200"/>
        <w:rPr>
          <w:rFonts w:ascii="宋体" w:hAnsi="宋体"/>
          <w:color w:val="auto"/>
          <w:sz w:val="24"/>
        </w:rPr>
      </w:pPr>
      <w:r>
        <w:rPr>
          <w:rFonts w:hint="eastAsia" w:ascii="宋体" w:hAnsi="宋体"/>
          <w:color w:val="auto"/>
          <w:sz w:val="24"/>
        </w:rPr>
        <w:t>（3）在采购过程中符合要求的供应商或者报价未超过采购预算的供应商不足</w:t>
      </w:r>
      <w:r>
        <w:rPr>
          <w:rFonts w:hint="eastAsia" w:ascii="宋体" w:hAnsi="宋体"/>
          <w:b/>
          <w:color w:val="auto"/>
          <w:sz w:val="24"/>
        </w:rPr>
        <w:t>2</w:t>
      </w:r>
      <w:r>
        <w:rPr>
          <w:rFonts w:hint="eastAsia" w:ascii="宋体" w:hAnsi="宋体"/>
          <w:color w:val="auto"/>
          <w:sz w:val="24"/>
        </w:rPr>
        <w:t>家的。</w:t>
      </w:r>
    </w:p>
    <w:p>
      <w:pPr>
        <w:spacing w:line="400" w:lineRule="exact"/>
        <w:ind w:firstLine="482" w:firstLineChars="200"/>
        <w:rPr>
          <w:rFonts w:ascii="宋体" w:hAnsi="宋体"/>
          <w:b/>
          <w:color w:val="auto"/>
          <w:sz w:val="24"/>
        </w:rPr>
      </w:pPr>
      <w:r>
        <w:rPr>
          <w:rFonts w:hint="eastAsia" w:ascii="宋体" w:hAnsi="宋体"/>
          <w:b/>
          <w:color w:val="auto"/>
          <w:sz w:val="24"/>
        </w:rPr>
        <w:t>3.综合评分</w:t>
      </w:r>
    </w:p>
    <w:p>
      <w:pPr>
        <w:spacing w:line="400" w:lineRule="exact"/>
        <w:ind w:firstLine="480" w:firstLineChars="200"/>
        <w:rPr>
          <w:rFonts w:ascii="宋体" w:hAnsi="宋体"/>
          <w:color w:val="auto"/>
          <w:sz w:val="24"/>
        </w:rPr>
      </w:pPr>
      <w:r>
        <w:rPr>
          <w:rFonts w:hint="eastAsia" w:ascii="宋体" w:hAnsi="宋体"/>
          <w:color w:val="auto"/>
          <w:sz w:val="24"/>
        </w:rPr>
        <w:t>3.1本次综合评分的因素是：（见综合评分明细表。）</w:t>
      </w:r>
    </w:p>
    <w:p>
      <w:pPr>
        <w:spacing w:line="400" w:lineRule="exact"/>
        <w:ind w:firstLine="480" w:firstLineChars="200"/>
        <w:rPr>
          <w:rFonts w:ascii="宋体" w:hAnsi="宋体"/>
          <w:color w:val="auto"/>
          <w:sz w:val="24"/>
        </w:rPr>
      </w:pPr>
      <w:r>
        <w:rPr>
          <w:rFonts w:hint="eastAsia" w:ascii="宋体" w:hAnsi="宋体"/>
          <w:color w:val="auto"/>
          <w:sz w:val="24"/>
        </w:rPr>
        <w:t>3.2 除价格因素外，磋商小组成员应当根据自身专业情况独立对每个有效供应商的响应文件进行评价、打分。技术、与技术有关的服务及其他技术类评分因素由抽取的技术方面磋商小组成员独立评分。财务状况及其他经济类评分因素由抽取的经济方面磋商小组成员独立评分。相关招标采购政策功能、采购合同主要条款及其他政策合同类的评分因素由抽取的法律方面磋商小组成员独立评分。采购单位代表对技术、与技术有关的服务及其他技术类评分因素独立评分。价格及其他不能明确区分的评分因素由磋商小组成员共同评分。</w:t>
      </w:r>
    </w:p>
    <w:p>
      <w:pPr>
        <w:pStyle w:val="11"/>
        <w:tabs>
          <w:tab w:val="left" w:pos="600"/>
        </w:tabs>
        <w:spacing w:line="400" w:lineRule="exact"/>
        <w:ind w:firstLine="480" w:firstLineChars="200"/>
        <w:rPr>
          <w:rFonts w:ascii="宋体" w:hAnsi="宋体"/>
          <w:color w:val="auto"/>
          <w:sz w:val="24"/>
          <w:szCs w:val="24"/>
        </w:rPr>
      </w:pPr>
      <w:r>
        <w:rPr>
          <w:rFonts w:hint="eastAsia" w:ascii="宋体" w:hAnsi="宋体"/>
          <w:color w:val="auto"/>
          <w:sz w:val="24"/>
          <w:szCs w:val="24"/>
        </w:rPr>
        <w:t>3.3综合评分明细表</w:t>
      </w:r>
    </w:p>
    <w:p>
      <w:pPr>
        <w:pStyle w:val="11"/>
        <w:tabs>
          <w:tab w:val="left" w:pos="600"/>
        </w:tabs>
        <w:spacing w:line="400" w:lineRule="exact"/>
        <w:ind w:firstLine="480" w:firstLineChars="200"/>
        <w:rPr>
          <w:rFonts w:ascii="宋体" w:hAnsi="宋体"/>
          <w:color w:val="auto"/>
          <w:sz w:val="24"/>
          <w:szCs w:val="24"/>
        </w:rPr>
      </w:pPr>
      <w:r>
        <w:rPr>
          <w:rFonts w:hint="eastAsia" w:ascii="宋体" w:hAnsi="宋体"/>
          <w:color w:val="auto"/>
          <w:sz w:val="24"/>
          <w:szCs w:val="24"/>
        </w:rPr>
        <w:t>3.3.1综合评分明细表的制定以科学合理、降低评委会自由裁量权为原则。</w:t>
      </w:r>
    </w:p>
    <w:p>
      <w:pPr>
        <w:pStyle w:val="5"/>
        <w:keepNext w:val="0"/>
        <w:keepLines w:val="0"/>
        <w:spacing w:before="0" w:after="0" w:line="400" w:lineRule="exact"/>
        <w:ind w:firstLine="470" w:firstLineChars="196"/>
        <w:rPr>
          <w:rFonts w:ascii="宋体" w:hAnsi="宋体" w:eastAsia="宋体"/>
          <w:b w:val="0"/>
          <w:color w:val="auto"/>
          <w:sz w:val="24"/>
          <w:szCs w:val="24"/>
        </w:rPr>
      </w:pPr>
      <w:bookmarkStart w:id="319" w:name="_Toc17106730"/>
      <w:bookmarkStart w:id="320" w:name="_Toc19458037"/>
      <w:bookmarkStart w:id="321" w:name="_Toc2929502"/>
      <w:r>
        <w:rPr>
          <w:rFonts w:hint="eastAsia" w:ascii="宋体" w:hAnsi="宋体" w:eastAsia="宋体"/>
          <w:b w:val="0"/>
          <w:color w:val="auto"/>
          <w:sz w:val="24"/>
          <w:szCs w:val="24"/>
        </w:rPr>
        <w:t>3.3.2综合评分明细表</w:t>
      </w:r>
      <w:bookmarkEnd w:id="319"/>
      <w:bookmarkEnd w:id="320"/>
      <w:bookmarkEnd w:id="321"/>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068"/>
        <w:gridCol w:w="726"/>
        <w:gridCol w:w="3669"/>
        <w:gridCol w:w="27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106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1"/>
                <w:szCs w:val="21"/>
              </w:rPr>
            </w:pPr>
            <w:r>
              <w:rPr>
                <w:rFonts w:hint="eastAsia" w:ascii="宋体" w:hAnsi="宋体" w:eastAsia="宋体" w:cs="宋体"/>
                <w:sz w:val="21"/>
                <w:szCs w:val="21"/>
              </w:rPr>
              <w:t>评分因素</w:t>
            </w:r>
          </w:p>
          <w:p>
            <w:pPr>
              <w:jc w:val="center"/>
              <w:rPr>
                <w:rFonts w:hint="eastAsia" w:ascii="宋体" w:hAnsi="宋体" w:eastAsia="宋体" w:cs="宋体"/>
                <w:sz w:val="21"/>
                <w:szCs w:val="21"/>
              </w:rPr>
            </w:pPr>
            <w:r>
              <w:rPr>
                <w:rFonts w:hint="eastAsia" w:ascii="宋体" w:hAnsi="宋体" w:eastAsia="宋体" w:cs="宋体"/>
                <w:sz w:val="21"/>
                <w:szCs w:val="21"/>
              </w:rPr>
              <w:t>及权重</w:t>
            </w:r>
          </w:p>
        </w:tc>
        <w:tc>
          <w:tcPr>
            <w:tcW w:w="72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1"/>
                <w:szCs w:val="21"/>
              </w:rPr>
            </w:pPr>
            <w:r>
              <w:rPr>
                <w:rFonts w:hint="eastAsia" w:ascii="宋体" w:hAnsi="宋体" w:eastAsia="宋体" w:cs="宋体"/>
                <w:sz w:val="21"/>
                <w:szCs w:val="21"/>
              </w:rPr>
              <w:t>分值</w:t>
            </w:r>
          </w:p>
        </w:tc>
        <w:tc>
          <w:tcPr>
            <w:tcW w:w="3669"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1"/>
                <w:szCs w:val="21"/>
              </w:rPr>
            </w:pPr>
            <w:r>
              <w:rPr>
                <w:rFonts w:hint="eastAsia" w:ascii="宋体" w:hAnsi="宋体" w:eastAsia="宋体" w:cs="宋体"/>
                <w:sz w:val="21"/>
                <w:szCs w:val="21"/>
              </w:rPr>
              <w:t>评分标准</w:t>
            </w:r>
          </w:p>
        </w:tc>
        <w:tc>
          <w:tcPr>
            <w:tcW w:w="272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1"/>
                <w:szCs w:val="21"/>
              </w:rPr>
            </w:pPr>
            <w:r>
              <w:rPr>
                <w:rFonts w:hint="eastAsia" w:ascii="宋体" w:hAnsi="宋体" w:eastAsia="宋体" w:cs="宋体"/>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1</w:t>
            </w:r>
          </w:p>
        </w:tc>
        <w:tc>
          <w:tcPr>
            <w:tcW w:w="1068"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sz w:val="21"/>
                <w:szCs w:val="21"/>
              </w:rPr>
            </w:pPr>
            <w:r>
              <w:rPr>
                <w:rFonts w:hint="eastAsia" w:ascii="宋体" w:hAnsi="宋体" w:eastAsia="宋体" w:cs="宋体"/>
                <w:b/>
                <w:sz w:val="21"/>
                <w:szCs w:val="21"/>
              </w:rPr>
              <w:t>报价3</w:t>
            </w:r>
            <w:r>
              <w:rPr>
                <w:rFonts w:hint="eastAsia" w:ascii="宋体" w:hAnsi="宋体" w:eastAsia="宋体" w:cs="宋体"/>
                <w:b/>
                <w:sz w:val="21"/>
                <w:szCs w:val="21"/>
                <w:lang w:val="en-US" w:eastAsia="zh-CN"/>
              </w:rPr>
              <w:t>5</w:t>
            </w:r>
            <w:r>
              <w:rPr>
                <w:rFonts w:hint="eastAsia" w:ascii="宋体" w:hAnsi="宋体" w:eastAsia="宋体" w:cs="宋体"/>
                <w:b/>
                <w:sz w:val="21"/>
                <w:szCs w:val="21"/>
              </w:rPr>
              <w:t>%</w:t>
            </w:r>
          </w:p>
        </w:tc>
        <w:tc>
          <w:tcPr>
            <w:tcW w:w="726"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sz w:val="21"/>
                <w:szCs w:val="21"/>
              </w:rPr>
            </w:pPr>
            <w:r>
              <w:rPr>
                <w:rFonts w:hint="eastAsia" w:ascii="宋体" w:hAnsi="宋体" w:eastAsia="宋体" w:cs="宋体"/>
                <w:b/>
                <w:sz w:val="21"/>
                <w:szCs w:val="21"/>
              </w:rPr>
              <w:t>3</w:t>
            </w:r>
            <w:r>
              <w:rPr>
                <w:rFonts w:hint="eastAsia" w:ascii="宋体" w:hAnsi="宋体" w:eastAsia="宋体" w:cs="宋体"/>
                <w:b/>
                <w:sz w:val="21"/>
                <w:szCs w:val="21"/>
                <w:lang w:val="en-US" w:eastAsia="zh-CN"/>
              </w:rPr>
              <w:t>5</w:t>
            </w:r>
            <w:r>
              <w:rPr>
                <w:rFonts w:hint="eastAsia" w:ascii="宋体" w:hAnsi="宋体" w:eastAsia="宋体" w:cs="宋体"/>
                <w:b/>
                <w:sz w:val="21"/>
                <w:szCs w:val="21"/>
              </w:rPr>
              <w:t>分</w:t>
            </w:r>
          </w:p>
        </w:tc>
        <w:tc>
          <w:tcPr>
            <w:tcW w:w="366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满足竞争性磋商文件要求且最低的有效报价为评审基准价，其价格分为满分。其他供应商的价格分统一按照下列公式计算：投标报价得分=(评审基准价／投标报价)*3</w:t>
            </w:r>
            <w:r>
              <w:rPr>
                <w:rFonts w:hint="eastAsia" w:ascii="宋体" w:hAnsi="宋体" w:eastAsia="宋体" w:cs="宋体"/>
                <w:sz w:val="21"/>
                <w:szCs w:val="21"/>
                <w:lang w:val="en-US" w:eastAsia="zh-CN"/>
              </w:rPr>
              <w:t>5</w:t>
            </w:r>
            <w:r>
              <w:rPr>
                <w:rFonts w:hint="eastAsia" w:ascii="宋体" w:hAnsi="宋体" w:eastAsia="宋体" w:cs="宋体"/>
                <w:sz w:val="21"/>
                <w:szCs w:val="21"/>
              </w:rPr>
              <w:t>%*100。</w:t>
            </w:r>
            <w:r>
              <w:rPr>
                <w:rFonts w:hint="eastAsia" w:ascii="宋体" w:hAnsi="宋体" w:eastAsia="宋体" w:cs="宋体"/>
                <w:sz w:val="21"/>
                <w:szCs w:val="21"/>
                <w:lang w:val="en-US" w:eastAsia="zh-CN"/>
              </w:rPr>
              <w:t>保留两位小数。</w:t>
            </w:r>
          </w:p>
        </w:tc>
        <w:tc>
          <w:tcPr>
            <w:tcW w:w="2721"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对小型和微型企业产品的价格给予</w:t>
            </w:r>
            <w:r>
              <w:rPr>
                <w:rFonts w:hint="eastAsia" w:ascii="宋体" w:hAnsi="宋体" w:eastAsia="宋体" w:cs="宋体"/>
                <w:sz w:val="21"/>
                <w:szCs w:val="21"/>
                <w:lang w:val="en-US" w:eastAsia="zh-CN"/>
              </w:rPr>
              <w:t>10</w:t>
            </w:r>
            <w:r>
              <w:rPr>
                <w:rFonts w:hint="eastAsia" w:ascii="宋体" w:hAnsi="宋体" w:eastAsia="宋体" w:cs="宋体"/>
                <w:sz w:val="21"/>
                <w:szCs w:val="21"/>
              </w:rPr>
              <w:t>%的扣除，用扣除后的价格参与评审（提供中小企业声明函</w:t>
            </w:r>
            <w:r>
              <w:rPr>
                <w:rFonts w:hint="eastAsia" w:ascii="宋体" w:hAnsi="宋体" w:cs="宋体"/>
                <w:sz w:val="21"/>
                <w:szCs w:val="21"/>
                <w:lang w:eastAsia="zh-CN"/>
              </w:rPr>
              <w:t>，</w:t>
            </w:r>
            <w:r>
              <w:rPr>
                <w:rFonts w:hint="eastAsia" w:ascii="宋体" w:hAnsi="宋体" w:cs="宋体"/>
                <w:sz w:val="21"/>
                <w:szCs w:val="21"/>
                <w:lang w:val="en-US" w:eastAsia="zh-CN"/>
              </w:rPr>
              <w:t>格式自拟</w:t>
            </w:r>
            <w:r>
              <w:rPr>
                <w:rFonts w:hint="eastAsia" w:ascii="宋体" w:hAnsi="宋体" w:eastAsia="宋体" w:cs="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2</w:t>
            </w:r>
          </w:p>
        </w:tc>
        <w:tc>
          <w:tcPr>
            <w:tcW w:w="1068"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sz w:val="21"/>
                <w:szCs w:val="21"/>
              </w:rPr>
            </w:pPr>
            <w:r>
              <w:rPr>
                <w:rFonts w:hint="eastAsia" w:ascii="宋体" w:hAnsi="宋体" w:eastAsia="宋体" w:cs="宋体"/>
                <w:b/>
                <w:sz w:val="21"/>
                <w:szCs w:val="21"/>
              </w:rPr>
              <w:t>技术、商务要求的响应</w:t>
            </w:r>
            <w:r>
              <w:rPr>
                <w:rFonts w:hint="eastAsia" w:ascii="宋体" w:hAnsi="宋体" w:eastAsia="宋体" w:cs="宋体"/>
                <w:b/>
                <w:sz w:val="21"/>
                <w:szCs w:val="21"/>
                <w:lang w:val="en-US" w:eastAsia="zh-CN"/>
              </w:rPr>
              <w:t>35</w:t>
            </w:r>
            <w:r>
              <w:rPr>
                <w:rFonts w:hint="eastAsia" w:ascii="宋体" w:hAnsi="宋体" w:eastAsia="宋体" w:cs="宋体"/>
                <w:b/>
                <w:sz w:val="21"/>
                <w:szCs w:val="21"/>
              </w:rPr>
              <w:t>%</w:t>
            </w:r>
          </w:p>
        </w:tc>
        <w:tc>
          <w:tcPr>
            <w:tcW w:w="726"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sz w:val="21"/>
                <w:szCs w:val="21"/>
              </w:rPr>
            </w:pPr>
            <w:r>
              <w:rPr>
                <w:rFonts w:hint="eastAsia" w:ascii="宋体" w:hAnsi="宋体" w:eastAsia="宋体" w:cs="宋体"/>
                <w:b/>
                <w:sz w:val="21"/>
                <w:szCs w:val="21"/>
                <w:lang w:val="en-US" w:eastAsia="zh-CN"/>
              </w:rPr>
              <w:t>35</w:t>
            </w:r>
            <w:r>
              <w:rPr>
                <w:rFonts w:hint="eastAsia" w:ascii="宋体" w:hAnsi="宋体" w:eastAsia="宋体" w:cs="宋体"/>
                <w:b/>
                <w:sz w:val="21"/>
                <w:szCs w:val="21"/>
              </w:rPr>
              <w:t>分</w:t>
            </w:r>
          </w:p>
        </w:tc>
        <w:tc>
          <w:tcPr>
            <w:tcW w:w="366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所投产品技术指标配置和商务要求响应完全符合竞争性磋商文件要求没有负偏离的得</w:t>
            </w:r>
            <w:r>
              <w:rPr>
                <w:rFonts w:hint="eastAsia" w:ascii="宋体" w:hAnsi="宋体" w:eastAsia="宋体" w:cs="宋体"/>
                <w:sz w:val="21"/>
                <w:szCs w:val="21"/>
                <w:lang w:val="en-US" w:eastAsia="zh-CN"/>
              </w:rPr>
              <w:t>35</w:t>
            </w:r>
            <w:r>
              <w:rPr>
                <w:rFonts w:hint="eastAsia" w:ascii="宋体" w:hAnsi="宋体" w:eastAsia="宋体" w:cs="宋体"/>
                <w:sz w:val="21"/>
                <w:szCs w:val="21"/>
              </w:rPr>
              <w:t>分。</w:t>
            </w:r>
          </w:p>
          <w:p>
            <w:pPr>
              <w:rPr>
                <w:rFonts w:hint="eastAsia" w:ascii="宋体" w:hAnsi="宋体" w:eastAsia="宋体" w:cs="宋体"/>
                <w:sz w:val="21"/>
                <w:szCs w:val="21"/>
              </w:rPr>
            </w:pPr>
            <w:r>
              <w:rPr>
                <w:rFonts w:hint="eastAsia" w:ascii="宋体" w:hAnsi="宋体" w:eastAsia="宋体" w:cs="宋体"/>
                <w:sz w:val="21"/>
                <w:szCs w:val="21"/>
              </w:rPr>
              <w:t>重要参数（▲项）负偏离一项扣</w:t>
            </w:r>
            <w:r>
              <w:rPr>
                <w:rFonts w:hint="eastAsia" w:ascii="宋体" w:hAnsi="宋体" w:eastAsia="宋体" w:cs="宋体"/>
                <w:sz w:val="21"/>
                <w:szCs w:val="21"/>
                <w:lang w:val="en-US" w:eastAsia="zh-CN"/>
              </w:rPr>
              <w:t>5</w:t>
            </w:r>
            <w:r>
              <w:rPr>
                <w:rFonts w:hint="eastAsia" w:ascii="宋体" w:hAnsi="宋体" w:eastAsia="宋体" w:cs="宋体"/>
                <w:sz w:val="21"/>
                <w:szCs w:val="21"/>
              </w:rPr>
              <w:t>分，非重要性条款负偏离一项扣</w:t>
            </w:r>
            <w:r>
              <w:rPr>
                <w:rFonts w:hint="eastAsia" w:ascii="宋体" w:hAnsi="宋体" w:cs="宋体"/>
                <w:sz w:val="21"/>
                <w:szCs w:val="21"/>
                <w:lang w:val="en-US" w:eastAsia="zh-CN"/>
              </w:rPr>
              <w:t>3</w:t>
            </w:r>
            <w:r>
              <w:rPr>
                <w:rFonts w:hint="eastAsia" w:ascii="宋体" w:hAnsi="宋体" w:eastAsia="宋体" w:cs="宋体"/>
                <w:sz w:val="21"/>
                <w:szCs w:val="21"/>
              </w:rPr>
              <w:t>分，扣完为止。</w:t>
            </w:r>
          </w:p>
        </w:tc>
        <w:tc>
          <w:tcPr>
            <w:tcW w:w="2721"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1、★项参数为必须满足的实质性要求，不用于评分。</w:t>
            </w:r>
          </w:p>
          <w:p>
            <w:pPr>
              <w:rPr>
                <w:rFonts w:hint="eastAsia" w:ascii="宋体" w:hAnsi="宋体" w:eastAsia="宋体" w:cs="宋体"/>
                <w:sz w:val="21"/>
                <w:szCs w:val="21"/>
              </w:rPr>
            </w:pPr>
            <w:r>
              <w:rPr>
                <w:rFonts w:hint="eastAsia" w:ascii="宋体" w:hAnsi="宋体" w:eastAsia="宋体" w:cs="宋体"/>
                <w:sz w:val="21"/>
                <w:szCs w:val="21"/>
              </w:rPr>
              <w:t>2、技术参数响应须附</w:t>
            </w:r>
            <w:r>
              <w:rPr>
                <w:rFonts w:hint="eastAsia" w:ascii="宋体" w:hAnsi="宋体" w:cs="宋体"/>
                <w:sz w:val="21"/>
                <w:szCs w:val="21"/>
                <w:lang w:val="en-US" w:eastAsia="zh-CN"/>
              </w:rPr>
              <w:t>官方</w:t>
            </w:r>
            <w:r>
              <w:rPr>
                <w:rFonts w:hint="eastAsia" w:ascii="宋体" w:hAnsi="宋体" w:eastAsia="宋体" w:cs="宋体"/>
                <w:sz w:val="21"/>
                <w:szCs w:val="21"/>
              </w:rPr>
              <w:t>技术资料（原厂产品说明书、原厂技术白皮书、有资质机构出具的检验检测报告、官网信息截图、工信部公告截图等任意一种或多种方式）佐证，未提供或提供资料与实际响应不符视为负偏离。</w:t>
            </w:r>
          </w:p>
          <w:p>
            <w:pPr>
              <w:pStyle w:val="2"/>
              <w:rPr>
                <w:rFonts w:hint="eastAsia" w:ascii="宋体" w:hAnsi="宋体" w:eastAsia="宋体" w:cs="宋体"/>
                <w:sz w:val="21"/>
                <w:szCs w:val="21"/>
              </w:rPr>
            </w:pPr>
            <w:r>
              <w:rPr>
                <w:rFonts w:hint="eastAsia" w:ascii="宋体" w:hAnsi="宋体" w:eastAsia="宋体" w:cs="宋体"/>
                <w:sz w:val="21"/>
                <w:szCs w:val="21"/>
              </w:rPr>
              <w:t>3、商务要求响应以商务应答表内容为准。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3</w:t>
            </w:r>
          </w:p>
        </w:tc>
        <w:tc>
          <w:tcPr>
            <w:tcW w:w="1068"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sz w:val="21"/>
                <w:szCs w:val="21"/>
              </w:rPr>
            </w:pPr>
            <w:r>
              <w:rPr>
                <w:rFonts w:hint="eastAsia" w:ascii="宋体" w:hAnsi="宋体" w:eastAsia="宋体" w:cs="宋体"/>
                <w:b/>
                <w:sz w:val="21"/>
                <w:szCs w:val="21"/>
              </w:rPr>
              <w:t>企业信誉9%</w:t>
            </w:r>
          </w:p>
        </w:tc>
        <w:tc>
          <w:tcPr>
            <w:tcW w:w="726"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sz w:val="21"/>
                <w:szCs w:val="21"/>
              </w:rPr>
            </w:pPr>
            <w:r>
              <w:rPr>
                <w:rFonts w:hint="eastAsia" w:ascii="宋体" w:hAnsi="宋体" w:eastAsia="宋体" w:cs="宋体"/>
                <w:b/>
                <w:sz w:val="21"/>
                <w:szCs w:val="21"/>
              </w:rPr>
              <w:t>9分</w:t>
            </w:r>
          </w:p>
        </w:tc>
        <w:tc>
          <w:tcPr>
            <w:tcW w:w="366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1、供应商或所投产品制造厂商取得质量管理体系认证证书、环境管理体系认证证书、职业健康安全管理体系认证证书的得3分，少一项扣1分，没有不得分。</w:t>
            </w:r>
          </w:p>
          <w:p>
            <w:pPr>
              <w:rPr>
                <w:rFonts w:hint="eastAsia" w:ascii="宋体" w:hAnsi="宋体" w:eastAsia="宋体" w:cs="宋体"/>
                <w:sz w:val="21"/>
                <w:szCs w:val="21"/>
              </w:rPr>
            </w:pPr>
            <w:r>
              <w:rPr>
                <w:rFonts w:hint="eastAsia" w:ascii="宋体" w:hAnsi="宋体" w:eastAsia="宋体" w:cs="宋体"/>
                <w:sz w:val="21"/>
                <w:szCs w:val="21"/>
              </w:rPr>
              <w:t>2、供应商或所投产品制造厂商通过知识产权管理体系认证得 1 分。</w:t>
            </w:r>
          </w:p>
          <w:p>
            <w:pPr>
              <w:rPr>
                <w:rFonts w:hint="eastAsia" w:ascii="宋体" w:hAnsi="宋体" w:eastAsia="宋体" w:cs="宋体"/>
                <w:sz w:val="21"/>
                <w:szCs w:val="21"/>
              </w:rPr>
            </w:pPr>
            <w:r>
              <w:rPr>
                <w:rFonts w:hint="eastAsia" w:ascii="宋体" w:hAnsi="宋体" w:eastAsia="宋体" w:cs="宋体"/>
                <w:sz w:val="21"/>
                <w:szCs w:val="21"/>
              </w:rPr>
              <w:t>3、供应商或所投产品制造厂商获得七星级售后服务体系完善程度认证证书得1 分。</w:t>
            </w:r>
          </w:p>
          <w:p>
            <w:pPr>
              <w:rPr>
                <w:rFonts w:hint="eastAsia" w:ascii="宋体" w:hAnsi="宋体" w:eastAsia="宋体" w:cs="宋体"/>
                <w:sz w:val="21"/>
                <w:szCs w:val="21"/>
              </w:rPr>
            </w:pPr>
            <w:r>
              <w:rPr>
                <w:rFonts w:hint="eastAsia" w:ascii="宋体" w:hAnsi="宋体" w:eastAsia="宋体" w:cs="宋体"/>
                <w:sz w:val="21"/>
                <w:szCs w:val="21"/>
              </w:rPr>
              <w:t>4、供应商或所投产品制造厂商具有五星级服务认证证书的得1分，没有或不提供的不得分。</w:t>
            </w:r>
          </w:p>
          <w:p>
            <w:pPr>
              <w:rPr>
                <w:rFonts w:hint="eastAsia" w:ascii="宋体" w:hAnsi="宋体" w:eastAsia="宋体" w:cs="宋体"/>
                <w:sz w:val="21"/>
                <w:szCs w:val="21"/>
              </w:rPr>
            </w:pPr>
            <w:r>
              <w:rPr>
                <w:rFonts w:hint="eastAsia" w:ascii="宋体" w:hAnsi="宋体" w:eastAsia="宋体" w:cs="宋体"/>
                <w:sz w:val="21"/>
                <w:szCs w:val="21"/>
              </w:rPr>
              <w:t>5、供应商或所投产品制造厂商</w:t>
            </w:r>
            <w:r>
              <w:rPr>
                <w:rFonts w:hint="eastAsia" w:ascii="宋体" w:hAnsi="宋体" w:eastAsia="宋体" w:cs="宋体"/>
                <w:sz w:val="21"/>
                <w:szCs w:val="21"/>
                <w:lang w:val="en-US" w:eastAsia="zh-CN"/>
              </w:rPr>
              <w:t>获得十星级品牌认证证书</w:t>
            </w:r>
            <w:r>
              <w:rPr>
                <w:rFonts w:hint="eastAsia" w:ascii="宋体" w:hAnsi="宋体" w:eastAsia="宋体" w:cs="宋体"/>
                <w:sz w:val="21"/>
                <w:szCs w:val="21"/>
              </w:rPr>
              <w:t>的得1分，没有不得分。</w:t>
            </w:r>
          </w:p>
          <w:p>
            <w:pPr>
              <w:rPr>
                <w:rFonts w:hint="eastAsia" w:ascii="宋体" w:hAnsi="宋体" w:eastAsia="宋体" w:cs="宋体"/>
                <w:sz w:val="21"/>
                <w:szCs w:val="21"/>
              </w:rPr>
            </w:pPr>
            <w:r>
              <w:rPr>
                <w:rFonts w:hint="eastAsia" w:ascii="宋体" w:hAnsi="宋体" w:eastAsia="宋体" w:cs="宋体"/>
                <w:sz w:val="21"/>
                <w:szCs w:val="21"/>
              </w:rPr>
              <w:t>6、供应商或所投产品制造厂商具有省级或国家级高新技术企业的得1分，没有不得分。</w:t>
            </w:r>
          </w:p>
          <w:p>
            <w:pPr>
              <w:rPr>
                <w:rFonts w:hint="eastAsia" w:ascii="宋体" w:hAnsi="宋体" w:eastAsia="宋体" w:cs="宋体"/>
                <w:sz w:val="21"/>
                <w:szCs w:val="21"/>
              </w:rPr>
            </w:pPr>
            <w:r>
              <w:rPr>
                <w:rFonts w:hint="eastAsia" w:ascii="宋体" w:hAnsi="宋体" w:eastAsia="宋体" w:cs="宋体"/>
                <w:sz w:val="21"/>
                <w:szCs w:val="21"/>
              </w:rPr>
              <w:t>7、供应商或所投产品制造厂商具有AAA信用等级认证证书的得1分，没有不得分。</w:t>
            </w:r>
          </w:p>
        </w:tc>
        <w:tc>
          <w:tcPr>
            <w:tcW w:w="2721"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提供相关证书证明材料，未提供不得分。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4</w:t>
            </w:r>
          </w:p>
        </w:tc>
        <w:tc>
          <w:tcPr>
            <w:tcW w:w="1068"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sz w:val="21"/>
                <w:szCs w:val="21"/>
              </w:rPr>
            </w:pPr>
            <w:r>
              <w:rPr>
                <w:rFonts w:hint="eastAsia" w:ascii="宋体" w:hAnsi="宋体" w:eastAsia="宋体" w:cs="宋体"/>
                <w:b/>
                <w:sz w:val="21"/>
                <w:szCs w:val="21"/>
              </w:rPr>
              <w:t>业绩</w:t>
            </w:r>
            <w:r>
              <w:rPr>
                <w:rFonts w:hint="eastAsia" w:ascii="宋体" w:hAnsi="宋体" w:eastAsia="宋体" w:cs="宋体"/>
                <w:b/>
                <w:sz w:val="21"/>
                <w:szCs w:val="21"/>
                <w:lang w:val="en-US" w:eastAsia="zh-CN"/>
              </w:rPr>
              <w:t>6</w:t>
            </w:r>
            <w:r>
              <w:rPr>
                <w:rFonts w:hint="eastAsia" w:ascii="宋体" w:hAnsi="宋体" w:eastAsia="宋体" w:cs="宋体"/>
                <w:b/>
                <w:sz w:val="21"/>
                <w:szCs w:val="21"/>
              </w:rPr>
              <w:t>%</w:t>
            </w:r>
          </w:p>
        </w:tc>
        <w:tc>
          <w:tcPr>
            <w:tcW w:w="726"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sz w:val="21"/>
                <w:szCs w:val="21"/>
              </w:rPr>
            </w:pPr>
            <w:r>
              <w:rPr>
                <w:rFonts w:hint="eastAsia" w:ascii="宋体" w:hAnsi="宋体" w:eastAsia="宋体" w:cs="宋体"/>
                <w:b/>
                <w:sz w:val="21"/>
                <w:szCs w:val="21"/>
                <w:lang w:val="en-US" w:eastAsia="zh-CN"/>
              </w:rPr>
              <w:t>6</w:t>
            </w:r>
            <w:r>
              <w:rPr>
                <w:rFonts w:hint="eastAsia" w:ascii="宋体" w:hAnsi="宋体" w:eastAsia="宋体" w:cs="宋体"/>
                <w:b/>
                <w:sz w:val="21"/>
                <w:szCs w:val="21"/>
              </w:rPr>
              <w:t>分</w:t>
            </w:r>
          </w:p>
        </w:tc>
        <w:tc>
          <w:tcPr>
            <w:tcW w:w="366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供应商或所投产品制造厂商近三年（201</w:t>
            </w:r>
            <w:r>
              <w:rPr>
                <w:rFonts w:hint="eastAsia" w:ascii="宋体" w:hAnsi="宋体" w:cs="宋体"/>
                <w:sz w:val="21"/>
                <w:szCs w:val="21"/>
                <w:lang w:val="en-US" w:eastAsia="zh-CN"/>
              </w:rPr>
              <w:t>9</w:t>
            </w:r>
            <w:r>
              <w:rPr>
                <w:rFonts w:hint="eastAsia" w:ascii="宋体" w:hAnsi="宋体" w:eastAsia="宋体" w:cs="宋体"/>
                <w:sz w:val="21"/>
                <w:szCs w:val="21"/>
              </w:rPr>
              <w:t>年起）类似项目业绩每提供一分得2分，最高6分。没有不得分。</w:t>
            </w:r>
          </w:p>
        </w:tc>
        <w:tc>
          <w:tcPr>
            <w:tcW w:w="2721"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提供业绩合同证明或中标、成交通知书证明。未提供不得分。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r>
              <w:rPr>
                <w:rFonts w:hint="eastAsia" w:ascii="宋体" w:hAnsi="宋体" w:eastAsia="宋体" w:cs="宋体"/>
                <w:sz w:val="21"/>
                <w:szCs w:val="21"/>
              </w:rPr>
              <w:t>5</w:t>
            </w:r>
          </w:p>
        </w:tc>
        <w:tc>
          <w:tcPr>
            <w:tcW w:w="1068"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sz w:val="21"/>
                <w:szCs w:val="21"/>
              </w:rPr>
            </w:pPr>
            <w:r>
              <w:rPr>
                <w:rFonts w:hint="eastAsia" w:ascii="宋体" w:hAnsi="宋体" w:eastAsia="宋体" w:cs="宋体"/>
                <w:b/>
                <w:sz w:val="21"/>
                <w:szCs w:val="21"/>
              </w:rPr>
              <w:t>售后服务1</w:t>
            </w:r>
            <w:r>
              <w:rPr>
                <w:rFonts w:hint="eastAsia" w:ascii="宋体" w:hAnsi="宋体" w:cs="宋体"/>
                <w:b/>
                <w:sz w:val="21"/>
                <w:szCs w:val="21"/>
                <w:lang w:val="en-US" w:eastAsia="zh-CN"/>
              </w:rPr>
              <w:t>5</w:t>
            </w:r>
            <w:r>
              <w:rPr>
                <w:rFonts w:hint="eastAsia" w:ascii="宋体" w:hAnsi="宋体" w:eastAsia="宋体" w:cs="宋体"/>
                <w:b/>
                <w:sz w:val="21"/>
                <w:szCs w:val="21"/>
              </w:rPr>
              <w:t>％</w:t>
            </w:r>
          </w:p>
        </w:tc>
        <w:tc>
          <w:tcPr>
            <w:tcW w:w="726"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b/>
                <w:sz w:val="21"/>
                <w:szCs w:val="21"/>
              </w:rPr>
            </w:pPr>
            <w:r>
              <w:rPr>
                <w:rFonts w:hint="eastAsia" w:ascii="宋体" w:hAnsi="宋体" w:eastAsia="宋体" w:cs="宋体"/>
                <w:b/>
                <w:sz w:val="21"/>
                <w:szCs w:val="21"/>
              </w:rPr>
              <w:t>1</w:t>
            </w:r>
            <w:r>
              <w:rPr>
                <w:rFonts w:hint="eastAsia" w:ascii="宋体" w:hAnsi="宋体" w:eastAsia="宋体" w:cs="宋体"/>
                <w:b/>
                <w:sz w:val="21"/>
                <w:szCs w:val="21"/>
                <w:lang w:val="en-US" w:eastAsia="zh-CN"/>
              </w:rPr>
              <w:t>5</w:t>
            </w:r>
            <w:r>
              <w:rPr>
                <w:rFonts w:hint="eastAsia" w:ascii="宋体" w:hAnsi="宋体" w:eastAsia="宋体" w:cs="宋体"/>
                <w:b/>
                <w:sz w:val="21"/>
                <w:szCs w:val="21"/>
              </w:rPr>
              <w:t>分</w:t>
            </w:r>
          </w:p>
        </w:tc>
        <w:tc>
          <w:tcPr>
            <w:tcW w:w="3669" w:type="dxa"/>
            <w:tcBorders>
              <w:top w:val="single" w:color="auto" w:sz="4" w:space="0"/>
              <w:left w:val="single" w:color="auto" w:sz="4" w:space="0"/>
              <w:bottom w:val="single" w:color="auto" w:sz="4" w:space="0"/>
              <w:right w:val="single" w:color="auto" w:sz="4" w:space="0"/>
            </w:tcBorders>
            <w:vAlign w:val="center"/>
          </w:tcPr>
          <w:p>
            <w:pPr>
              <w:pStyle w:val="68"/>
              <w:kinsoku w:val="0"/>
              <w:overflowPunct w:val="0"/>
              <w:spacing w:before="42"/>
              <w:ind w:left="20"/>
              <w:rPr>
                <w:rFonts w:hint="eastAsia" w:ascii="宋体" w:hAnsi="宋体" w:eastAsia="宋体" w:cs="宋体"/>
                <w:sz w:val="21"/>
                <w:szCs w:val="21"/>
              </w:rPr>
            </w:pPr>
            <w:r>
              <w:rPr>
                <w:rFonts w:hint="eastAsia" w:ascii="宋体" w:hAnsi="宋体" w:eastAsia="宋体" w:cs="宋体"/>
                <w:sz w:val="21"/>
                <w:szCs w:val="21"/>
              </w:rPr>
              <w:t>1、供应商或所投产品制造厂商在四川省内设有办事处及售后服务机构得</w:t>
            </w:r>
            <w:r>
              <w:rPr>
                <w:rFonts w:hint="eastAsia" w:ascii="宋体" w:hAnsi="宋体" w:eastAsia="宋体" w:cs="宋体"/>
                <w:sz w:val="21"/>
                <w:szCs w:val="21"/>
                <w:lang w:val="en-US" w:eastAsia="zh-CN"/>
              </w:rPr>
              <w:t>4</w:t>
            </w:r>
            <w:r>
              <w:rPr>
                <w:rFonts w:hint="eastAsia" w:ascii="宋体" w:hAnsi="宋体" w:eastAsia="宋体" w:cs="宋体"/>
                <w:sz w:val="21"/>
                <w:szCs w:val="21"/>
              </w:rPr>
              <w:t>分。（注：办事处需提供房屋租赁合同、售后服务机构</w:t>
            </w:r>
            <w:r>
              <w:rPr>
                <w:rFonts w:hint="eastAsia" w:ascii="宋体" w:hAnsi="宋体" w:eastAsia="宋体" w:cs="宋体"/>
                <w:sz w:val="21"/>
                <w:szCs w:val="21"/>
                <w:lang w:val="en-US" w:eastAsia="zh-CN"/>
              </w:rPr>
              <w:t>的</w:t>
            </w:r>
            <w:r>
              <w:rPr>
                <w:rFonts w:hint="eastAsia" w:ascii="宋体" w:hAnsi="宋体" w:eastAsia="宋体" w:cs="宋体"/>
                <w:sz w:val="21"/>
                <w:szCs w:val="21"/>
              </w:rPr>
              <w:t>相关证明材料，以上材料缺一项的不得分)</w:t>
            </w:r>
          </w:p>
          <w:p>
            <w:pPr>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、售后服务方案（1</w:t>
            </w:r>
            <w:r>
              <w:rPr>
                <w:rFonts w:hint="eastAsia" w:ascii="宋体" w:hAnsi="宋体" w:eastAsia="宋体" w:cs="宋体"/>
                <w:sz w:val="21"/>
                <w:szCs w:val="21"/>
                <w:lang w:val="en-US" w:eastAsia="zh-CN"/>
              </w:rPr>
              <w:t>1</w:t>
            </w:r>
            <w:r>
              <w:rPr>
                <w:rFonts w:hint="eastAsia" w:ascii="宋体" w:hAnsi="宋体" w:eastAsia="宋体" w:cs="宋体"/>
                <w:sz w:val="21"/>
                <w:szCs w:val="21"/>
              </w:rPr>
              <w:t>分）：</w:t>
            </w:r>
          </w:p>
          <w:p>
            <w:pPr>
              <w:rPr>
                <w:rFonts w:hint="eastAsia" w:ascii="宋体" w:hAnsi="宋体" w:eastAsia="宋体" w:cs="宋体"/>
                <w:sz w:val="21"/>
                <w:szCs w:val="21"/>
              </w:rPr>
            </w:pPr>
            <w:r>
              <w:rPr>
                <w:rFonts w:hint="eastAsia" w:ascii="宋体" w:hAnsi="宋体" w:eastAsia="宋体" w:cs="宋体"/>
                <w:sz w:val="21"/>
                <w:szCs w:val="21"/>
              </w:rPr>
              <w:t>根据供应商提供的售后服务方案，包括但不限于（1）服务保障措施；（2）售后服务响应时间以及现场服务支持能力；（3）售后跟踪管理；（4）售后服务水平；（5）培训措施，进行综合评比，每缺少一项内容或每有一项内容不完整扣2分，方案中每有一处不切实可行或有逻辑性错误或不具有针对性的扣1分。</w:t>
            </w:r>
          </w:p>
        </w:tc>
        <w:tc>
          <w:tcPr>
            <w:tcW w:w="2721"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sz w:val="21"/>
                <w:szCs w:val="21"/>
              </w:rPr>
            </w:pPr>
          </w:p>
        </w:tc>
      </w:tr>
    </w:tbl>
    <w:p>
      <w:pPr>
        <w:rPr>
          <w:color w:val="auto"/>
        </w:rPr>
      </w:pPr>
    </w:p>
    <w:p>
      <w:pPr>
        <w:spacing w:line="360" w:lineRule="auto"/>
        <w:rPr>
          <w:rFonts w:ascii="宋体" w:hAnsi="宋体"/>
          <w:color w:val="auto"/>
          <w:sz w:val="24"/>
        </w:rPr>
      </w:pPr>
      <w:r>
        <w:rPr>
          <w:rFonts w:hint="eastAsia" w:ascii="宋体" w:hAnsi="宋体"/>
          <w:color w:val="auto"/>
          <w:sz w:val="24"/>
        </w:rPr>
        <w:t xml:space="preserve">    注：评分的取值按四舍五入法，保留小数点后两位。</w:t>
      </w:r>
      <w:bookmarkEnd w:id="194"/>
      <w:bookmarkEnd w:id="195"/>
      <w:bookmarkEnd w:id="196"/>
      <w:bookmarkEnd w:id="197"/>
    </w:p>
    <w:p>
      <w:pPr>
        <w:tabs>
          <w:tab w:val="left" w:pos="851"/>
        </w:tabs>
        <w:spacing w:line="360" w:lineRule="auto"/>
        <w:ind w:firstLine="482" w:firstLineChars="200"/>
        <w:rPr>
          <w:rFonts w:ascii="宋体" w:hAnsi="宋体"/>
          <w:b/>
          <w:color w:val="auto"/>
          <w:sz w:val="24"/>
        </w:rPr>
      </w:pPr>
      <w:r>
        <w:rPr>
          <w:rFonts w:hint="eastAsia" w:ascii="宋体" w:hAnsi="宋体"/>
          <w:b/>
          <w:color w:val="auto"/>
          <w:sz w:val="24"/>
        </w:rPr>
        <w:t>4.磋商纪律及注意事项</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4.1磋商小组内部讨论的情况和意见必须保密，任何人不得以任何形式透露给供应商或与供应商有关的单位或个人。</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4.2在磋商过程中，供应商不得以任何形式对磋商小组成员进行旨在影响磋商结果的私下接触，否则将取消其参与磋商的资格。</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4.3对各供应商的商业秘密，磋商小组成员应予以保密，不得泄露给其他供应商。</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4.4 磋商小组独立评判，推荐成交候选人，并写出书面报告。</w:t>
      </w:r>
    </w:p>
    <w:p>
      <w:pPr>
        <w:tabs>
          <w:tab w:val="left" w:pos="851"/>
        </w:tabs>
        <w:spacing w:line="360" w:lineRule="auto"/>
        <w:ind w:firstLine="480" w:firstLineChars="200"/>
        <w:rPr>
          <w:rFonts w:ascii="宋体" w:hAnsi="宋体"/>
          <w:color w:val="auto"/>
          <w:sz w:val="24"/>
        </w:rPr>
      </w:pPr>
      <w:r>
        <w:rPr>
          <w:rFonts w:hint="eastAsia" w:ascii="宋体" w:hAnsi="宋体"/>
          <w:color w:val="auto"/>
          <w:sz w:val="24"/>
        </w:rPr>
        <w:t>4.5 磋商小组可根据需要对供应商进行实地考察。</w:t>
      </w:r>
    </w:p>
    <w:p>
      <w:pPr>
        <w:tabs>
          <w:tab w:val="left" w:pos="7665"/>
        </w:tabs>
        <w:spacing w:line="360" w:lineRule="auto"/>
        <w:ind w:firstLine="482" w:firstLineChars="200"/>
        <w:rPr>
          <w:rFonts w:ascii="宋体" w:hAnsi="宋体"/>
          <w:b/>
          <w:bCs/>
          <w:color w:val="auto"/>
          <w:sz w:val="24"/>
        </w:rPr>
      </w:pPr>
      <w:r>
        <w:rPr>
          <w:rFonts w:hint="eastAsia" w:ascii="宋体" w:hAnsi="宋体"/>
          <w:b/>
          <w:bCs/>
          <w:color w:val="auto"/>
          <w:sz w:val="24"/>
        </w:rPr>
        <w:t>5.</w:t>
      </w:r>
      <w:bookmarkEnd w:id="198"/>
      <w:r>
        <w:rPr>
          <w:rFonts w:hint="eastAsia" w:ascii="宋体" w:hAnsi="宋体"/>
          <w:b/>
          <w:bCs/>
          <w:color w:val="auto"/>
          <w:sz w:val="24"/>
        </w:rPr>
        <w:t>磋商小组在本次采购活动中承担以下义务：</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（一）遵守评审工作纪律；</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（二）按照客观、公正、审慎的原则，根据磋商文件规定的评审程序、评审方法和评审标准进行独立评审；</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（三）不得泄露评审文件、评审情况和在评审过程中获悉的商业秘密；</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（四）及时向采购主管部门报告评审过程中发现的采购单位、采购代理机构向评审专家做倾向性、误导性的解释或者说明，以及供应商行贿、提供虚假材料或者串通等违法行为；</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（五）发现磋商文件内容违反国家有关强制性规定或者磋商文件存在歧义、重大缺陷导致评审工作无法进行时，停止评审并向采购单位</w:t>
      </w:r>
      <w:r>
        <w:rPr>
          <w:rFonts w:hint="eastAsia" w:ascii="宋体" w:hAnsi="宋体"/>
          <w:color w:val="auto"/>
          <w:sz w:val="24"/>
          <w:lang w:eastAsia="zh-CN"/>
        </w:rPr>
        <w:t>、</w:t>
      </w:r>
      <w:r>
        <w:rPr>
          <w:rFonts w:hint="eastAsia" w:ascii="宋体" w:hAnsi="宋体"/>
          <w:color w:val="auto"/>
          <w:sz w:val="24"/>
        </w:rPr>
        <w:t>采购代理机构书面说明情况；</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（六）及时向采购主管、监察等部门举报在评审过程中受到非法干预的情况；</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（七）配合答复处理供应商的询问、质疑和投诉等事项；</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（八）法律、法规和规章规定的其他义务。</w:t>
      </w:r>
    </w:p>
    <w:p>
      <w:pPr>
        <w:tabs>
          <w:tab w:val="left" w:pos="7665"/>
        </w:tabs>
        <w:spacing w:line="360" w:lineRule="auto"/>
        <w:ind w:firstLine="482" w:firstLineChars="200"/>
        <w:rPr>
          <w:rFonts w:ascii="宋体" w:hAnsi="宋体"/>
          <w:b/>
          <w:color w:val="auto"/>
          <w:sz w:val="24"/>
        </w:rPr>
      </w:pPr>
      <w:r>
        <w:rPr>
          <w:rFonts w:hint="eastAsia" w:ascii="宋体" w:hAnsi="宋体"/>
          <w:b/>
          <w:color w:val="auto"/>
          <w:sz w:val="24"/>
        </w:rPr>
        <w:t>6.评审专家在本次采购活动中应当遵守以下工作纪律：</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（一）不得参加与自己有利害关系的采购项目的</w:t>
      </w:r>
      <w:r>
        <w:rPr>
          <w:rFonts w:hint="eastAsia" w:ascii="宋体" w:hAnsi="宋体"/>
          <w:color w:val="auto"/>
          <w:sz w:val="24"/>
          <w:lang w:eastAsia="zh-CN"/>
        </w:rPr>
        <w:t>评审</w:t>
      </w:r>
      <w:r>
        <w:rPr>
          <w:rFonts w:hint="eastAsia" w:ascii="宋体" w:hAnsi="宋体"/>
          <w:color w:val="auto"/>
          <w:sz w:val="24"/>
        </w:rPr>
        <w:t>活动。发现参加了与自己有利害关系的评审活动，须主动提出回避，退出评审；</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（二）评审前，应当将通讯工具或者相关电子设备交由采购代理机构统一保管；</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（三）评审过程中，不得与外界联系，因发生不可预见情况，确实需要与外界联系的，应当在监督人员监督之下办理；</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四）评审过程中，不得发表影响评审公正的倾向性、歧视性言论，不得征询或者接受采购单位的倾向性意见，不得明示或暗示供应商在澄清时表达与其响应文件原义不同的意见，不得以磋商文件没有规定的评审方法和标准作为评审的依据，不得修改或者细化评审程序、评审方法、评审因素和评审标准，不得违规撰写评审意见，不得拒绝对自己的评审意见签字确认；</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（五）在评审过程中和评审结束后，不得记录、复制或带走任何评审资料，不得向外界透露评审内容；</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（六）评审现场服从采购代理机构工作人员的管理，接受现场监督人员的合法监督；</w:t>
      </w:r>
    </w:p>
    <w:p>
      <w:pPr>
        <w:tabs>
          <w:tab w:val="left" w:pos="7665"/>
        </w:tabs>
        <w:spacing w:line="360" w:lineRule="auto"/>
        <w:ind w:firstLine="480" w:firstLineChars="200"/>
        <w:rPr>
          <w:rFonts w:ascii="宋体" w:hAnsi="宋体"/>
          <w:color w:val="auto"/>
          <w:sz w:val="24"/>
        </w:rPr>
      </w:pPr>
      <w:r>
        <w:rPr>
          <w:rFonts w:hint="eastAsia" w:ascii="宋体" w:hAnsi="宋体"/>
          <w:color w:val="auto"/>
          <w:sz w:val="24"/>
        </w:rPr>
        <w:t>（七）遵守有关廉洁自律规定，不得私下接触供应商，不得收受供应商及有关业务单位和个人的财物或好处，不得接受采购代理机构的请托。</w:t>
      </w: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sectPr>
          <w:footerReference r:id="rId16" w:type="default"/>
          <w:type w:val="continuous"/>
          <w:pgSz w:w="11907" w:h="16839"/>
          <w:pgMar w:top="1440" w:right="1474" w:bottom="1440" w:left="1474" w:header="851" w:footer="992" w:gutter="0"/>
          <w:pgNumType w:fmt="decimal"/>
          <w:cols w:space="720" w:num="1"/>
          <w:docGrid w:linePitch="312" w:charSpace="0"/>
        </w:sectPr>
      </w:pPr>
    </w:p>
    <w:p>
      <w:pPr>
        <w:pStyle w:val="2"/>
        <w:rPr>
          <w:color w:val="auto"/>
        </w:rPr>
      </w:pPr>
    </w:p>
    <w:p>
      <w:pPr>
        <w:pStyle w:val="27"/>
        <w:numPr>
          <w:ilvl w:val="0"/>
          <w:numId w:val="10"/>
        </w:numPr>
        <w:spacing w:line="360" w:lineRule="auto"/>
        <w:outlineLvl w:val="9"/>
        <w:rPr>
          <w:color w:val="auto"/>
        </w:rPr>
      </w:pPr>
      <w:bookmarkStart w:id="322" w:name="_Toc19458038"/>
      <w:r>
        <w:rPr>
          <w:rFonts w:hint="eastAsia"/>
          <w:color w:val="auto"/>
        </w:rPr>
        <w:t>采购合同</w:t>
      </w:r>
      <w:bookmarkEnd w:id="322"/>
    </w:p>
    <w:bookmarkEnd w:id="184"/>
    <w:bookmarkEnd w:id="185"/>
    <w:bookmarkEnd w:id="186"/>
    <w:p>
      <w:pPr>
        <w:pStyle w:val="27"/>
        <w:outlineLvl w:val="9"/>
        <w:rPr>
          <w:color w:val="auto"/>
          <w:sz w:val="30"/>
          <w:szCs w:val="30"/>
        </w:rPr>
      </w:pPr>
      <w:r>
        <w:rPr>
          <w:rFonts w:hint="eastAsia"/>
          <w:color w:val="auto"/>
          <w:sz w:val="30"/>
          <w:szCs w:val="30"/>
          <w:lang w:eastAsia="zh-CN"/>
        </w:rPr>
        <w:t>洗扫车、洒水车</w:t>
      </w:r>
      <w:r>
        <w:rPr>
          <w:rFonts w:hint="eastAsia"/>
          <w:color w:val="auto"/>
          <w:sz w:val="30"/>
          <w:szCs w:val="30"/>
        </w:rPr>
        <w:t>采购合同</w:t>
      </w:r>
    </w:p>
    <w:p>
      <w:pPr>
        <w:wordWrap w:val="0"/>
        <w:adjustRightInd w:val="0"/>
        <w:snapToGrid w:val="0"/>
        <w:spacing w:line="360" w:lineRule="auto"/>
        <w:ind w:firstLine="470" w:firstLineChars="196"/>
        <w:jc w:val="center"/>
        <w:rPr>
          <w:rFonts w:hint="eastAsia" w:ascii="宋体" w:hAnsi="宋体" w:eastAsia="宋体" w:cs="宋体"/>
          <w:b/>
          <w:color w:val="auto"/>
          <w:sz w:val="24"/>
          <w:lang w:val="en-US" w:eastAsia="zh-CN"/>
        </w:rPr>
      </w:pPr>
      <w:r>
        <w:rPr>
          <w:rFonts w:hint="eastAsia" w:ascii="宋体" w:hAnsi="宋体"/>
          <w:bCs/>
          <w:color w:val="auto"/>
          <w:sz w:val="24"/>
          <w:lang w:val="en-US" w:eastAsia="zh-CN"/>
        </w:rPr>
        <w:t xml:space="preserve">                               </w:t>
      </w:r>
      <w:r>
        <w:rPr>
          <w:rFonts w:hint="eastAsia" w:ascii="宋体" w:hAnsi="宋体"/>
          <w:bCs/>
          <w:color w:val="auto"/>
          <w:sz w:val="24"/>
        </w:rPr>
        <w:t>合同编号：</w:t>
      </w:r>
    </w:p>
    <w:p>
      <w:pPr>
        <w:spacing w:line="276" w:lineRule="auto"/>
        <w:rPr>
          <w:rFonts w:ascii="宋体" w:hAnsi="宋体"/>
          <w:bCs/>
          <w:color w:val="auto"/>
          <w:sz w:val="24"/>
        </w:rPr>
      </w:pPr>
      <w:r>
        <w:rPr>
          <w:rFonts w:hint="eastAsia"/>
          <w:color w:val="auto"/>
          <w:sz w:val="24"/>
        </w:rPr>
        <w:t xml:space="preserve">    甲方：</w:t>
      </w:r>
      <w:r>
        <w:rPr>
          <w:rFonts w:hint="eastAsia" w:ascii="宋体" w:hAnsi="宋体"/>
          <w:bCs/>
          <w:color w:val="auto"/>
          <w:sz w:val="24"/>
        </w:rPr>
        <w:t>绵阳高新市政建设有限责任公司</w:t>
      </w:r>
    </w:p>
    <w:p>
      <w:pPr>
        <w:spacing w:line="276" w:lineRule="auto"/>
        <w:rPr>
          <w:rFonts w:ascii="宋体" w:hAnsi="宋体"/>
          <w:bCs/>
          <w:color w:val="auto"/>
          <w:sz w:val="24"/>
        </w:rPr>
      </w:pPr>
      <w:r>
        <w:rPr>
          <w:rFonts w:hint="eastAsia" w:ascii="宋体" w:hAnsi="宋体"/>
          <w:bCs/>
          <w:color w:val="auto"/>
          <w:sz w:val="24"/>
        </w:rPr>
        <w:t xml:space="preserve">    地址：绵阳市高新区普明北路西段25号</w:t>
      </w:r>
    </w:p>
    <w:p>
      <w:pPr>
        <w:spacing w:line="276" w:lineRule="auto"/>
        <w:rPr>
          <w:rFonts w:ascii="宋体" w:hAnsi="宋体"/>
          <w:bCs/>
          <w:color w:val="auto"/>
          <w:sz w:val="24"/>
        </w:rPr>
      </w:pPr>
      <w:r>
        <w:rPr>
          <w:rFonts w:hint="eastAsia" w:ascii="宋体" w:hAnsi="宋体"/>
          <w:bCs/>
          <w:color w:val="auto"/>
          <w:sz w:val="24"/>
        </w:rPr>
        <w:t xml:space="preserve">    统一社会信用代码：91510700560704647D。</w:t>
      </w:r>
    </w:p>
    <w:p>
      <w:pPr>
        <w:spacing w:line="276" w:lineRule="auto"/>
        <w:rPr>
          <w:rFonts w:ascii="宋体" w:hAnsi="宋体"/>
          <w:bCs/>
          <w:color w:val="auto"/>
          <w:sz w:val="24"/>
        </w:rPr>
      </w:pPr>
      <w:r>
        <w:rPr>
          <w:rFonts w:hint="eastAsia" w:ascii="宋体" w:hAnsi="宋体"/>
          <w:bCs/>
          <w:color w:val="auto"/>
          <w:sz w:val="24"/>
        </w:rPr>
        <w:t xml:space="preserve">    法定代表人：</w:t>
      </w:r>
      <w:r>
        <w:rPr>
          <w:rFonts w:hint="eastAsia" w:ascii="宋体" w:hAnsi="宋体"/>
          <w:bCs/>
          <w:color w:val="auto"/>
          <w:sz w:val="24"/>
          <w:lang w:val="en-US" w:eastAsia="zh-CN"/>
        </w:rPr>
        <w:t>何波</w:t>
      </w:r>
      <w:r>
        <w:rPr>
          <w:rFonts w:hint="eastAsia" w:ascii="宋体" w:hAnsi="宋体"/>
          <w:bCs/>
          <w:color w:val="auto"/>
          <w:sz w:val="24"/>
        </w:rPr>
        <w:t xml:space="preserve">，该公司执行董事          </w:t>
      </w:r>
    </w:p>
    <w:p>
      <w:pPr>
        <w:spacing w:line="276" w:lineRule="auto"/>
        <w:ind w:firstLine="480"/>
        <w:rPr>
          <w:rFonts w:ascii="宋体" w:hAnsi="宋体" w:cs="宋体"/>
          <w:bCs/>
          <w:color w:val="auto"/>
          <w:sz w:val="24"/>
        </w:rPr>
      </w:pPr>
      <w:r>
        <w:rPr>
          <w:rFonts w:hint="eastAsia"/>
          <w:color w:val="auto"/>
          <w:sz w:val="24"/>
        </w:rPr>
        <w:t>乙方：</w:t>
      </w:r>
      <w:r>
        <w:rPr>
          <w:rFonts w:hint="eastAsia" w:ascii="宋体" w:hAnsi="宋体" w:cs="宋体"/>
          <w:bCs/>
          <w:color w:val="auto"/>
          <w:sz w:val="24"/>
        </w:rPr>
        <w:t xml:space="preserve"> </w:t>
      </w:r>
    </w:p>
    <w:p>
      <w:pPr>
        <w:spacing w:line="276" w:lineRule="auto"/>
        <w:ind w:firstLine="480"/>
        <w:rPr>
          <w:rFonts w:ascii="宋体" w:hAnsi="宋体" w:cs="宋体"/>
          <w:bCs/>
          <w:color w:val="auto"/>
          <w:sz w:val="24"/>
        </w:rPr>
      </w:pPr>
      <w:r>
        <w:rPr>
          <w:rFonts w:hint="eastAsia" w:ascii="宋体" w:hAnsi="宋体" w:cs="宋体"/>
          <w:bCs/>
          <w:color w:val="auto"/>
          <w:sz w:val="24"/>
        </w:rPr>
        <w:t>地址：</w:t>
      </w:r>
      <w:r>
        <w:rPr>
          <w:rFonts w:ascii="宋体" w:hAnsi="宋体" w:cs="宋体"/>
          <w:bCs/>
          <w:color w:val="auto"/>
          <w:sz w:val="24"/>
        </w:rPr>
        <w:t xml:space="preserve"> </w:t>
      </w:r>
      <w:r>
        <w:rPr>
          <w:rFonts w:hint="eastAsia" w:ascii="宋体" w:hAnsi="宋体" w:cs="宋体"/>
          <w:bCs/>
          <w:color w:val="auto"/>
          <w:sz w:val="24"/>
        </w:rPr>
        <w:t xml:space="preserve"> </w:t>
      </w:r>
    </w:p>
    <w:p>
      <w:pPr>
        <w:spacing w:line="276" w:lineRule="auto"/>
        <w:rPr>
          <w:rFonts w:ascii="宋体" w:hAnsi="宋体" w:cs="宋体"/>
          <w:bCs/>
          <w:color w:val="auto"/>
          <w:sz w:val="24"/>
        </w:rPr>
      </w:pPr>
      <w:r>
        <w:rPr>
          <w:rFonts w:hint="eastAsia" w:ascii="宋体" w:hAnsi="宋体"/>
          <w:bCs/>
          <w:color w:val="auto"/>
          <w:sz w:val="24"/>
        </w:rPr>
        <w:t xml:space="preserve">    统一社会信用代码：</w:t>
      </w:r>
      <w:r>
        <w:rPr>
          <w:rFonts w:hint="eastAsia" w:ascii="宋体" w:hAnsi="宋体" w:cs="宋体"/>
          <w:bCs/>
          <w:color w:val="auto"/>
          <w:sz w:val="24"/>
        </w:rPr>
        <w:t xml:space="preserve"> </w:t>
      </w:r>
    </w:p>
    <w:p>
      <w:pPr>
        <w:spacing w:line="276" w:lineRule="auto"/>
        <w:rPr>
          <w:rFonts w:ascii="宋体" w:hAnsi="宋体"/>
          <w:bCs/>
          <w:color w:val="auto"/>
          <w:sz w:val="24"/>
        </w:rPr>
      </w:pPr>
      <w:r>
        <w:rPr>
          <w:rFonts w:hint="eastAsia" w:ascii="宋体" w:hAnsi="宋体"/>
          <w:bCs/>
          <w:color w:val="auto"/>
          <w:sz w:val="24"/>
        </w:rPr>
        <w:t xml:space="preserve">    法定代表人： </w:t>
      </w:r>
    </w:p>
    <w:p>
      <w:pPr>
        <w:adjustRightInd w:val="0"/>
        <w:snapToGrid w:val="0"/>
        <w:spacing w:line="360" w:lineRule="auto"/>
        <w:ind w:firstLine="480" w:firstLineChars="200"/>
        <w:rPr>
          <w:rFonts w:ascii="宋体" w:hAnsi="宋体"/>
          <w:bCs/>
          <w:color w:val="auto"/>
          <w:sz w:val="24"/>
        </w:rPr>
      </w:pPr>
    </w:p>
    <w:p>
      <w:pPr>
        <w:adjustRightInd w:val="0"/>
        <w:snapToGrid w:val="0"/>
        <w:spacing w:line="276" w:lineRule="auto"/>
        <w:ind w:firstLine="480" w:firstLineChars="200"/>
        <w:rPr>
          <w:rFonts w:ascii="宋体" w:hAnsi="宋体"/>
          <w:bCs/>
          <w:color w:val="auto"/>
          <w:sz w:val="24"/>
        </w:rPr>
      </w:pPr>
      <w:r>
        <w:rPr>
          <w:rFonts w:hint="eastAsia"/>
          <w:color w:val="auto"/>
          <w:sz w:val="24"/>
        </w:rPr>
        <w:t>甲乙双方依据《中华人民共和国民法典》有关法律法规，针对甲方所需</w:t>
      </w:r>
      <w:r>
        <w:rPr>
          <w:rFonts w:hint="eastAsia"/>
          <w:color w:val="auto"/>
          <w:sz w:val="24"/>
          <w:lang w:eastAsia="zh-CN"/>
        </w:rPr>
        <w:t>洗扫车、洒水车</w:t>
      </w:r>
      <w:r>
        <w:rPr>
          <w:rFonts w:hint="eastAsia"/>
          <w:color w:val="auto"/>
          <w:sz w:val="24"/>
        </w:rPr>
        <w:t>事宜，双方本着“诚实信用、互惠互利”的原则，经友好协商达成一致，为明确双方权利及义务，特订立此合同，以兹共同遵守。</w:t>
      </w:r>
    </w:p>
    <w:p>
      <w:pPr>
        <w:numPr>
          <w:ilvl w:val="0"/>
          <w:numId w:val="11"/>
        </w:numPr>
        <w:tabs>
          <w:tab w:val="left" w:pos="360"/>
          <w:tab w:val="left" w:pos="540"/>
          <w:tab w:val="clear" w:pos="420"/>
        </w:tabs>
        <w:spacing w:line="276" w:lineRule="auto"/>
        <w:rPr>
          <w:rFonts w:ascii="宋体" w:hAnsi="宋体" w:cs="宋体"/>
          <w:b/>
          <w:color w:val="auto"/>
          <w:sz w:val="24"/>
        </w:rPr>
      </w:pPr>
      <w:r>
        <w:rPr>
          <w:rFonts w:hint="eastAsia" w:ascii="宋体" w:hAnsi="宋体" w:cs="宋体"/>
          <w:b/>
          <w:color w:val="auto"/>
          <w:sz w:val="24"/>
        </w:rPr>
        <w:t>产品名称、型号、厂家、数量、金额、交货时间</w:t>
      </w:r>
    </w:p>
    <w:tbl>
      <w:tblPr>
        <w:tblStyle w:val="29"/>
        <w:tblW w:w="8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7"/>
        <w:gridCol w:w="1701"/>
        <w:gridCol w:w="992"/>
        <w:gridCol w:w="1418"/>
        <w:gridCol w:w="1276"/>
        <w:gridCol w:w="1275"/>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467" w:type="dxa"/>
            <w:vAlign w:val="center"/>
          </w:tcPr>
          <w:p>
            <w:pPr>
              <w:pStyle w:val="19"/>
              <w:pBdr>
                <w:bottom w:val="none" w:color="auto" w:sz="0" w:space="0"/>
              </w:pBdr>
              <w:tabs>
                <w:tab w:val="clear" w:pos="4153"/>
                <w:tab w:val="clear" w:pos="8306"/>
              </w:tabs>
              <w:snapToGrid/>
              <w:spacing w:line="276" w:lineRule="auto"/>
              <w:rPr>
                <w:rFonts w:ascii="宋体" w:hAnsi="宋体" w:cs="宋体"/>
                <w:bCs/>
                <w:color w:val="auto"/>
                <w:sz w:val="24"/>
                <w:szCs w:val="24"/>
              </w:rPr>
            </w:pPr>
            <w:r>
              <w:rPr>
                <w:rFonts w:hint="eastAsia" w:ascii="宋体" w:hAnsi="宋体" w:cs="宋体"/>
                <w:bCs/>
                <w:color w:val="auto"/>
                <w:sz w:val="24"/>
                <w:szCs w:val="24"/>
              </w:rPr>
              <w:t>产品名称</w:t>
            </w:r>
          </w:p>
        </w:tc>
        <w:tc>
          <w:tcPr>
            <w:tcW w:w="1701" w:type="dxa"/>
            <w:vAlign w:val="center"/>
          </w:tcPr>
          <w:p>
            <w:pPr>
              <w:spacing w:line="276" w:lineRule="auto"/>
              <w:jc w:val="center"/>
              <w:rPr>
                <w:rFonts w:ascii="宋体" w:hAnsi="宋体" w:cs="宋体"/>
                <w:bCs/>
                <w:color w:val="auto"/>
                <w:sz w:val="24"/>
              </w:rPr>
            </w:pPr>
            <w:r>
              <w:rPr>
                <w:rFonts w:hint="eastAsia" w:ascii="宋体" w:hAnsi="宋体" w:cs="宋体"/>
                <w:bCs/>
                <w:color w:val="auto"/>
                <w:sz w:val="24"/>
              </w:rPr>
              <w:t>型号规格</w:t>
            </w:r>
          </w:p>
        </w:tc>
        <w:tc>
          <w:tcPr>
            <w:tcW w:w="992" w:type="dxa"/>
            <w:vAlign w:val="center"/>
          </w:tcPr>
          <w:p>
            <w:pPr>
              <w:spacing w:line="276" w:lineRule="auto"/>
              <w:jc w:val="center"/>
              <w:rPr>
                <w:rFonts w:ascii="宋体" w:hAnsi="宋体" w:cs="宋体"/>
                <w:bCs/>
                <w:color w:val="auto"/>
                <w:sz w:val="24"/>
              </w:rPr>
            </w:pPr>
            <w:r>
              <w:rPr>
                <w:rFonts w:hint="eastAsia" w:ascii="宋体" w:hAnsi="宋体" w:cs="宋体"/>
                <w:bCs/>
                <w:color w:val="auto"/>
                <w:sz w:val="24"/>
              </w:rPr>
              <w:t>数量</w:t>
            </w:r>
          </w:p>
          <w:p>
            <w:pPr>
              <w:spacing w:line="276" w:lineRule="auto"/>
              <w:jc w:val="center"/>
              <w:rPr>
                <w:rFonts w:ascii="宋体" w:hAnsi="宋体" w:cs="宋体"/>
                <w:bCs/>
                <w:color w:val="auto"/>
                <w:sz w:val="24"/>
              </w:rPr>
            </w:pPr>
            <w:r>
              <w:rPr>
                <w:rFonts w:hint="eastAsia" w:ascii="宋体" w:hAnsi="宋体" w:cs="宋体"/>
                <w:bCs/>
                <w:color w:val="auto"/>
                <w:sz w:val="24"/>
              </w:rPr>
              <w:t>（辆）</w:t>
            </w:r>
          </w:p>
        </w:tc>
        <w:tc>
          <w:tcPr>
            <w:tcW w:w="1418" w:type="dxa"/>
            <w:vAlign w:val="center"/>
          </w:tcPr>
          <w:p>
            <w:pPr>
              <w:spacing w:line="276" w:lineRule="auto"/>
              <w:jc w:val="center"/>
              <w:rPr>
                <w:rFonts w:ascii="宋体" w:hAnsi="宋体" w:cs="宋体"/>
                <w:bCs/>
                <w:color w:val="auto"/>
                <w:sz w:val="24"/>
              </w:rPr>
            </w:pPr>
            <w:r>
              <w:rPr>
                <w:rFonts w:hint="eastAsia" w:ascii="宋体" w:hAnsi="宋体" w:cs="宋体"/>
                <w:bCs/>
                <w:color w:val="auto"/>
                <w:sz w:val="24"/>
              </w:rPr>
              <w:t>单价</w:t>
            </w:r>
          </w:p>
          <w:p>
            <w:pPr>
              <w:spacing w:line="276" w:lineRule="auto"/>
              <w:jc w:val="center"/>
              <w:rPr>
                <w:rFonts w:ascii="宋体" w:hAnsi="宋体" w:cs="宋体"/>
                <w:bCs/>
                <w:color w:val="auto"/>
                <w:sz w:val="24"/>
              </w:rPr>
            </w:pPr>
            <w:r>
              <w:rPr>
                <w:rFonts w:hint="eastAsia" w:ascii="宋体" w:hAnsi="宋体" w:cs="宋体"/>
                <w:bCs/>
                <w:color w:val="auto"/>
                <w:sz w:val="24"/>
              </w:rPr>
              <w:t>（万元）</w:t>
            </w:r>
          </w:p>
        </w:tc>
        <w:tc>
          <w:tcPr>
            <w:tcW w:w="1276" w:type="dxa"/>
            <w:vAlign w:val="center"/>
          </w:tcPr>
          <w:p>
            <w:pPr>
              <w:spacing w:line="276" w:lineRule="auto"/>
              <w:jc w:val="center"/>
              <w:rPr>
                <w:rFonts w:ascii="宋体" w:hAnsi="宋体" w:cs="宋体"/>
                <w:bCs/>
                <w:color w:val="auto"/>
                <w:sz w:val="24"/>
              </w:rPr>
            </w:pPr>
            <w:r>
              <w:rPr>
                <w:rFonts w:hint="eastAsia" w:ascii="宋体" w:hAnsi="宋体" w:cs="宋体"/>
                <w:bCs/>
                <w:color w:val="auto"/>
                <w:sz w:val="24"/>
                <w:lang w:val="en-US" w:eastAsia="zh-CN"/>
              </w:rPr>
              <w:t>单项</w:t>
            </w:r>
            <w:r>
              <w:rPr>
                <w:rFonts w:hint="eastAsia" w:ascii="宋体" w:hAnsi="宋体" w:cs="宋体"/>
                <w:bCs/>
                <w:color w:val="auto"/>
                <w:sz w:val="24"/>
              </w:rPr>
              <w:t>金额</w:t>
            </w:r>
          </w:p>
          <w:p>
            <w:pPr>
              <w:spacing w:line="276" w:lineRule="auto"/>
              <w:jc w:val="center"/>
              <w:rPr>
                <w:rFonts w:ascii="宋体" w:hAnsi="宋体" w:cs="宋体"/>
                <w:bCs/>
                <w:color w:val="auto"/>
                <w:sz w:val="24"/>
              </w:rPr>
            </w:pPr>
            <w:r>
              <w:rPr>
                <w:rFonts w:hint="eastAsia" w:ascii="宋体" w:hAnsi="宋体" w:cs="宋体"/>
                <w:bCs/>
                <w:color w:val="auto"/>
                <w:sz w:val="24"/>
              </w:rPr>
              <w:t>（万元）</w:t>
            </w:r>
          </w:p>
        </w:tc>
        <w:tc>
          <w:tcPr>
            <w:tcW w:w="1275" w:type="dxa"/>
            <w:vAlign w:val="center"/>
          </w:tcPr>
          <w:p>
            <w:pPr>
              <w:spacing w:line="276" w:lineRule="auto"/>
              <w:jc w:val="center"/>
              <w:rPr>
                <w:rFonts w:ascii="宋体" w:hAnsi="宋体" w:cs="宋体"/>
                <w:bCs/>
                <w:color w:val="auto"/>
                <w:sz w:val="24"/>
              </w:rPr>
            </w:pPr>
            <w:r>
              <w:rPr>
                <w:rFonts w:hint="eastAsia" w:ascii="宋体" w:hAnsi="宋体" w:cs="宋体"/>
                <w:bCs/>
                <w:color w:val="auto"/>
                <w:sz w:val="24"/>
              </w:rPr>
              <w:t>交货日期</w:t>
            </w:r>
          </w:p>
        </w:tc>
        <w:tc>
          <w:tcPr>
            <w:tcW w:w="851" w:type="dxa"/>
            <w:vAlign w:val="center"/>
          </w:tcPr>
          <w:p>
            <w:pPr>
              <w:spacing w:line="276" w:lineRule="auto"/>
              <w:jc w:val="center"/>
              <w:rPr>
                <w:rFonts w:ascii="宋体" w:hAnsi="宋体" w:cs="宋体"/>
                <w:bCs/>
                <w:color w:val="auto"/>
                <w:sz w:val="24"/>
              </w:rPr>
            </w:pPr>
            <w:r>
              <w:rPr>
                <w:rFonts w:hint="eastAsia" w:ascii="宋体" w:hAnsi="宋体" w:cs="宋体"/>
                <w:bCs/>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467" w:type="dxa"/>
            <w:vAlign w:val="center"/>
          </w:tcPr>
          <w:p>
            <w:pPr>
              <w:pStyle w:val="19"/>
              <w:pBdr>
                <w:bottom w:val="none" w:color="auto" w:sz="0" w:space="0"/>
              </w:pBdr>
              <w:tabs>
                <w:tab w:val="clear" w:pos="4153"/>
                <w:tab w:val="clear" w:pos="8306"/>
              </w:tabs>
              <w:snapToGrid/>
              <w:spacing w:line="276" w:lineRule="auto"/>
              <w:rPr>
                <w:rFonts w:ascii="宋体" w:hAnsi="宋体" w:cs="宋体"/>
                <w:bCs/>
                <w:color w:val="auto"/>
                <w:sz w:val="24"/>
                <w:szCs w:val="24"/>
              </w:rPr>
            </w:pPr>
            <w:r>
              <w:rPr>
                <w:rFonts w:hint="eastAsia" w:ascii="宋体" w:hAnsi="宋体" w:cs="宋体"/>
                <w:bCs/>
                <w:color w:val="auto"/>
                <w:sz w:val="24"/>
                <w:szCs w:val="24"/>
                <w:lang w:eastAsia="zh-CN"/>
              </w:rPr>
              <w:t>洗扫车</w:t>
            </w:r>
          </w:p>
        </w:tc>
        <w:tc>
          <w:tcPr>
            <w:tcW w:w="1701" w:type="dxa"/>
            <w:vAlign w:val="center"/>
          </w:tcPr>
          <w:p>
            <w:pPr>
              <w:pStyle w:val="19"/>
              <w:pBdr>
                <w:bottom w:val="none" w:color="auto" w:sz="0" w:space="0"/>
              </w:pBdr>
              <w:tabs>
                <w:tab w:val="clear" w:pos="4153"/>
                <w:tab w:val="clear" w:pos="8306"/>
              </w:tabs>
              <w:snapToGrid/>
              <w:spacing w:line="276" w:lineRule="auto"/>
              <w:rPr>
                <w:rFonts w:ascii="宋体" w:hAnsi="宋体" w:cs="宋体"/>
                <w:bCs/>
                <w:color w:val="auto"/>
                <w:sz w:val="24"/>
                <w:szCs w:val="24"/>
              </w:rPr>
            </w:pPr>
            <w:r>
              <w:rPr>
                <w:rFonts w:hint="eastAsia" w:ascii="宋体" w:hAnsi="宋体" w:cs="宋体"/>
                <w:bCs/>
                <w:color w:val="auto"/>
                <w:sz w:val="24"/>
                <w:szCs w:val="24"/>
              </w:rPr>
              <w:t xml:space="preserve">  </w:t>
            </w:r>
          </w:p>
        </w:tc>
        <w:tc>
          <w:tcPr>
            <w:tcW w:w="992" w:type="dxa"/>
            <w:vAlign w:val="center"/>
          </w:tcPr>
          <w:p>
            <w:pPr>
              <w:pStyle w:val="19"/>
              <w:pBdr>
                <w:bottom w:val="none" w:color="auto" w:sz="0" w:space="0"/>
              </w:pBdr>
              <w:tabs>
                <w:tab w:val="clear" w:pos="4153"/>
                <w:tab w:val="clear" w:pos="8306"/>
              </w:tabs>
              <w:snapToGrid/>
              <w:spacing w:line="276" w:lineRule="auto"/>
              <w:rPr>
                <w:rFonts w:ascii="宋体" w:hAnsi="宋体" w:cs="宋体"/>
                <w:bCs/>
                <w:color w:val="auto"/>
                <w:sz w:val="24"/>
                <w:szCs w:val="24"/>
              </w:rPr>
            </w:pPr>
            <w:r>
              <w:rPr>
                <w:rFonts w:hint="eastAsia" w:ascii="宋体" w:hAnsi="宋体" w:cs="宋体"/>
                <w:bCs/>
                <w:color w:val="auto"/>
                <w:sz w:val="24"/>
                <w:szCs w:val="24"/>
              </w:rPr>
              <w:t xml:space="preserve"> </w:t>
            </w:r>
          </w:p>
        </w:tc>
        <w:tc>
          <w:tcPr>
            <w:tcW w:w="1418" w:type="dxa"/>
            <w:vAlign w:val="center"/>
          </w:tcPr>
          <w:p>
            <w:pPr>
              <w:pStyle w:val="19"/>
              <w:pBdr>
                <w:bottom w:val="none" w:color="auto" w:sz="0" w:space="0"/>
              </w:pBdr>
              <w:tabs>
                <w:tab w:val="clear" w:pos="4153"/>
                <w:tab w:val="clear" w:pos="8306"/>
              </w:tabs>
              <w:snapToGrid/>
              <w:spacing w:line="276" w:lineRule="auto"/>
              <w:rPr>
                <w:rFonts w:ascii="宋体" w:hAnsi="宋体" w:cs="宋体"/>
                <w:bCs/>
                <w:color w:val="auto"/>
                <w:sz w:val="24"/>
                <w:szCs w:val="24"/>
              </w:rPr>
            </w:pPr>
            <w:r>
              <w:rPr>
                <w:rFonts w:hint="eastAsia" w:ascii="宋体" w:hAnsi="宋体" w:cs="宋体"/>
                <w:bCs/>
                <w:color w:val="auto"/>
                <w:sz w:val="24"/>
                <w:szCs w:val="24"/>
              </w:rPr>
              <w:t xml:space="preserve"> </w:t>
            </w:r>
          </w:p>
        </w:tc>
        <w:tc>
          <w:tcPr>
            <w:tcW w:w="1276" w:type="dxa"/>
            <w:vAlign w:val="center"/>
          </w:tcPr>
          <w:p>
            <w:pPr>
              <w:pStyle w:val="19"/>
              <w:pBdr>
                <w:bottom w:val="none" w:color="auto" w:sz="0" w:space="0"/>
              </w:pBdr>
              <w:tabs>
                <w:tab w:val="clear" w:pos="4153"/>
                <w:tab w:val="clear" w:pos="8306"/>
              </w:tabs>
              <w:snapToGrid/>
              <w:spacing w:line="276" w:lineRule="auto"/>
              <w:rPr>
                <w:rFonts w:ascii="宋体" w:hAnsi="宋体" w:cs="宋体"/>
                <w:bCs/>
                <w:color w:val="auto"/>
                <w:sz w:val="24"/>
                <w:szCs w:val="24"/>
              </w:rPr>
            </w:pPr>
            <w:r>
              <w:rPr>
                <w:rFonts w:hint="eastAsia" w:ascii="宋体" w:hAnsi="宋体" w:cs="宋体"/>
                <w:bCs/>
                <w:color w:val="auto"/>
                <w:sz w:val="24"/>
                <w:szCs w:val="24"/>
              </w:rPr>
              <w:t xml:space="preserve"> </w:t>
            </w:r>
          </w:p>
        </w:tc>
        <w:tc>
          <w:tcPr>
            <w:tcW w:w="1275" w:type="dxa"/>
            <w:vAlign w:val="center"/>
          </w:tcPr>
          <w:p>
            <w:pPr>
              <w:pStyle w:val="19"/>
              <w:pBdr>
                <w:bottom w:val="none" w:color="auto" w:sz="0" w:space="0"/>
              </w:pBdr>
              <w:tabs>
                <w:tab w:val="clear" w:pos="4153"/>
                <w:tab w:val="clear" w:pos="8306"/>
              </w:tabs>
              <w:snapToGrid/>
              <w:spacing w:line="276" w:lineRule="auto"/>
              <w:rPr>
                <w:rFonts w:ascii="宋体" w:hAnsi="宋体" w:cs="宋体"/>
                <w:bCs/>
                <w:color w:val="auto"/>
                <w:sz w:val="24"/>
                <w:szCs w:val="24"/>
              </w:rPr>
            </w:pPr>
            <w:r>
              <w:rPr>
                <w:rFonts w:hint="eastAsia" w:ascii="宋体" w:hAnsi="宋体" w:cs="宋体"/>
                <w:bCs/>
                <w:color w:val="auto"/>
                <w:sz w:val="24"/>
                <w:szCs w:val="24"/>
              </w:rPr>
              <w:t xml:space="preserve"> </w:t>
            </w:r>
          </w:p>
        </w:tc>
        <w:tc>
          <w:tcPr>
            <w:tcW w:w="851" w:type="dxa"/>
            <w:vAlign w:val="center"/>
          </w:tcPr>
          <w:p>
            <w:pPr>
              <w:spacing w:line="276" w:lineRule="auto"/>
              <w:jc w:val="center"/>
              <w:rPr>
                <w:rFonts w:ascii="宋体" w:hAnsi="宋体" w:cs="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467" w:type="dxa"/>
            <w:vAlign w:val="center"/>
          </w:tcPr>
          <w:p>
            <w:pPr>
              <w:pStyle w:val="19"/>
              <w:pBdr>
                <w:bottom w:val="none" w:color="auto" w:sz="0" w:space="0"/>
              </w:pBdr>
              <w:tabs>
                <w:tab w:val="clear" w:pos="4153"/>
                <w:tab w:val="clear" w:pos="8306"/>
              </w:tabs>
              <w:snapToGrid/>
              <w:spacing w:line="276"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洒水车</w:t>
            </w:r>
          </w:p>
        </w:tc>
        <w:tc>
          <w:tcPr>
            <w:tcW w:w="1701" w:type="dxa"/>
            <w:vAlign w:val="center"/>
          </w:tcPr>
          <w:p>
            <w:pPr>
              <w:pStyle w:val="19"/>
              <w:pBdr>
                <w:bottom w:val="none" w:color="auto" w:sz="0" w:space="0"/>
              </w:pBdr>
              <w:tabs>
                <w:tab w:val="clear" w:pos="4153"/>
                <w:tab w:val="clear" w:pos="8306"/>
              </w:tabs>
              <w:snapToGrid/>
              <w:spacing w:line="276" w:lineRule="auto"/>
              <w:rPr>
                <w:rFonts w:hint="eastAsia" w:ascii="宋体" w:hAnsi="宋体" w:cs="宋体"/>
                <w:bCs/>
                <w:color w:val="auto"/>
                <w:sz w:val="24"/>
                <w:szCs w:val="24"/>
              </w:rPr>
            </w:pPr>
          </w:p>
        </w:tc>
        <w:tc>
          <w:tcPr>
            <w:tcW w:w="992" w:type="dxa"/>
            <w:vAlign w:val="center"/>
          </w:tcPr>
          <w:p>
            <w:pPr>
              <w:pStyle w:val="19"/>
              <w:pBdr>
                <w:bottom w:val="none" w:color="auto" w:sz="0" w:space="0"/>
              </w:pBdr>
              <w:tabs>
                <w:tab w:val="clear" w:pos="4153"/>
                <w:tab w:val="clear" w:pos="8306"/>
              </w:tabs>
              <w:snapToGrid/>
              <w:spacing w:line="276" w:lineRule="auto"/>
              <w:rPr>
                <w:rFonts w:hint="eastAsia" w:ascii="宋体" w:hAnsi="宋体" w:cs="宋体"/>
                <w:bCs/>
                <w:color w:val="auto"/>
                <w:sz w:val="24"/>
                <w:szCs w:val="24"/>
              </w:rPr>
            </w:pPr>
          </w:p>
        </w:tc>
        <w:tc>
          <w:tcPr>
            <w:tcW w:w="1418" w:type="dxa"/>
            <w:vAlign w:val="center"/>
          </w:tcPr>
          <w:p>
            <w:pPr>
              <w:pStyle w:val="19"/>
              <w:pBdr>
                <w:bottom w:val="none" w:color="auto" w:sz="0" w:space="0"/>
              </w:pBdr>
              <w:tabs>
                <w:tab w:val="clear" w:pos="4153"/>
                <w:tab w:val="clear" w:pos="8306"/>
              </w:tabs>
              <w:snapToGrid/>
              <w:spacing w:line="276" w:lineRule="auto"/>
              <w:rPr>
                <w:rFonts w:hint="eastAsia" w:ascii="宋体" w:hAnsi="宋体" w:cs="宋体"/>
                <w:bCs/>
                <w:color w:val="auto"/>
                <w:sz w:val="24"/>
                <w:szCs w:val="24"/>
              </w:rPr>
            </w:pPr>
          </w:p>
        </w:tc>
        <w:tc>
          <w:tcPr>
            <w:tcW w:w="1276" w:type="dxa"/>
            <w:vAlign w:val="center"/>
          </w:tcPr>
          <w:p>
            <w:pPr>
              <w:pStyle w:val="19"/>
              <w:pBdr>
                <w:bottom w:val="none" w:color="auto" w:sz="0" w:space="0"/>
              </w:pBdr>
              <w:tabs>
                <w:tab w:val="clear" w:pos="4153"/>
                <w:tab w:val="clear" w:pos="8306"/>
              </w:tabs>
              <w:snapToGrid/>
              <w:spacing w:line="276" w:lineRule="auto"/>
              <w:rPr>
                <w:rFonts w:hint="eastAsia" w:ascii="宋体" w:hAnsi="宋体" w:cs="宋体"/>
                <w:bCs/>
                <w:color w:val="auto"/>
                <w:sz w:val="24"/>
                <w:szCs w:val="24"/>
              </w:rPr>
            </w:pPr>
          </w:p>
        </w:tc>
        <w:tc>
          <w:tcPr>
            <w:tcW w:w="1275" w:type="dxa"/>
            <w:vAlign w:val="center"/>
          </w:tcPr>
          <w:p>
            <w:pPr>
              <w:pStyle w:val="19"/>
              <w:pBdr>
                <w:bottom w:val="none" w:color="auto" w:sz="0" w:space="0"/>
              </w:pBdr>
              <w:tabs>
                <w:tab w:val="clear" w:pos="4153"/>
                <w:tab w:val="clear" w:pos="8306"/>
              </w:tabs>
              <w:snapToGrid/>
              <w:spacing w:line="276" w:lineRule="auto"/>
              <w:rPr>
                <w:rFonts w:hint="eastAsia" w:ascii="宋体" w:hAnsi="宋体" w:cs="宋体"/>
                <w:bCs/>
                <w:color w:val="auto"/>
                <w:sz w:val="24"/>
                <w:szCs w:val="24"/>
              </w:rPr>
            </w:pPr>
          </w:p>
        </w:tc>
        <w:tc>
          <w:tcPr>
            <w:tcW w:w="851" w:type="dxa"/>
            <w:vAlign w:val="center"/>
          </w:tcPr>
          <w:p>
            <w:pPr>
              <w:spacing w:line="276" w:lineRule="auto"/>
              <w:jc w:val="center"/>
              <w:rPr>
                <w:rFonts w:ascii="宋体" w:hAnsi="宋体" w:cs="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1467" w:type="dxa"/>
            <w:vAlign w:val="center"/>
          </w:tcPr>
          <w:p>
            <w:pPr>
              <w:spacing w:line="276" w:lineRule="auto"/>
              <w:jc w:val="center"/>
              <w:rPr>
                <w:rFonts w:ascii="宋体" w:hAnsi="宋体" w:cs="宋体"/>
                <w:bCs/>
                <w:color w:val="auto"/>
                <w:sz w:val="24"/>
              </w:rPr>
            </w:pPr>
            <w:r>
              <w:rPr>
                <w:rFonts w:hint="eastAsia" w:ascii="宋体" w:hAnsi="宋体" w:cs="宋体"/>
                <w:bCs/>
                <w:color w:val="auto"/>
                <w:sz w:val="24"/>
              </w:rPr>
              <w:t>特殊要求及</w:t>
            </w:r>
          </w:p>
          <w:p>
            <w:pPr>
              <w:spacing w:line="276" w:lineRule="auto"/>
              <w:jc w:val="center"/>
              <w:rPr>
                <w:rFonts w:ascii="宋体" w:hAnsi="宋体" w:cs="宋体"/>
                <w:bCs/>
                <w:color w:val="auto"/>
                <w:sz w:val="24"/>
              </w:rPr>
            </w:pPr>
            <w:r>
              <w:rPr>
                <w:rFonts w:hint="eastAsia" w:ascii="宋体" w:hAnsi="宋体" w:cs="宋体"/>
                <w:bCs/>
                <w:color w:val="auto"/>
                <w:sz w:val="24"/>
              </w:rPr>
              <w:t>附加装置说明</w:t>
            </w:r>
          </w:p>
        </w:tc>
        <w:tc>
          <w:tcPr>
            <w:tcW w:w="7513" w:type="dxa"/>
            <w:gridSpan w:val="6"/>
            <w:vAlign w:val="center"/>
          </w:tcPr>
          <w:p>
            <w:pPr>
              <w:spacing w:line="276" w:lineRule="auto"/>
              <w:jc w:val="left"/>
              <w:rPr>
                <w:rFonts w:ascii="宋体" w:hAnsi="宋体" w:cs="宋体"/>
                <w:color w:val="auto"/>
                <w:sz w:val="24"/>
              </w:rPr>
            </w:pPr>
            <w:r>
              <w:rPr>
                <w:rFonts w:ascii="宋体" w:hAnsi="宋体" w:cs="宋体"/>
                <w:color w:val="auto"/>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8980" w:type="dxa"/>
            <w:gridSpan w:val="7"/>
            <w:vAlign w:val="center"/>
          </w:tcPr>
          <w:p>
            <w:pPr>
              <w:pStyle w:val="17"/>
              <w:spacing w:line="276" w:lineRule="auto"/>
              <w:jc w:val="center"/>
              <w:rPr>
                <w:rFonts w:ascii="宋体" w:hAnsi="宋体" w:cs="宋体"/>
                <w:b/>
                <w:bCs/>
                <w:color w:val="auto"/>
                <w:sz w:val="24"/>
                <w:szCs w:val="24"/>
              </w:rPr>
            </w:pPr>
            <w:r>
              <w:rPr>
                <w:rFonts w:hint="eastAsia" w:ascii="宋体" w:hAnsi="宋体" w:cs="宋体"/>
                <w:b/>
                <w:color w:val="auto"/>
                <w:sz w:val="24"/>
                <w:szCs w:val="24"/>
              </w:rPr>
              <w:t xml:space="preserve">合计人民币总金额（大写）： </w:t>
            </w:r>
            <w:r>
              <w:rPr>
                <w:rFonts w:hint="eastAsia" w:ascii="宋体" w:hAnsi="宋体" w:cs="宋体"/>
                <w:b/>
                <w:color w:val="auto"/>
                <w:sz w:val="24"/>
                <w:szCs w:val="24"/>
                <w:u w:val="single"/>
              </w:rPr>
              <w:t xml:space="preserve">  </w:t>
            </w:r>
            <w:r>
              <w:rPr>
                <w:rFonts w:hint="eastAsia" w:ascii="宋体" w:hAnsi="宋体" w:cs="宋体"/>
                <w:b/>
                <w:bCs/>
                <w:color w:val="auto"/>
                <w:sz w:val="24"/>
                <w:szCs w:val="24"/>
              </w:rPr>
              <w:t>元整（￥</w:t>
            </w:r>
            <w:r>
              <w:rPr>
                <w:rFonts w:hint="eastAsia" w:ascii="宋体" w:hAnsi="宋体" w:cs="宋体"/>
                <w:b/>
                <w:bCs/>
                <w:color w:val="auto"/>
                <w:sz w:val="24"/>
                <w:szCs w:val="24"/>
                <w:u w:val="single"/>
              </w:rPr>
              <w:t xml:space="preserve"> 元</w:t>
            </w:r>
            <w:r>
              <w:rPr>
                <w:rFonts w:hint="eastAsia" w:ascii="宋体" w:hAnsi="宋体" w:cs="宋体"/>
                <w:b/>
                <w:bCs/>
                <w:color w:val="auto"/>
                <w:sz w:val="24"/>
                <w:szCs w:val="24"/>
              </w:rPr>
              <w:t>）</w:t>
            </w:r>
          </w:p>
          <w:p>
            <w:pPr>
              <w:pStyle w:val="17"/>
              <w:spacing w:line="276" w:lineRule="auto"/>
              <w:jc w:val="center"/>
              <w:rPr>
                <w:rFonts w:ascii="宋体" w:hAnsi="宋体" w:cs="宋体"/>
                <w:b/>
                <w:bCs/>
                <w:color w:val="auto"/>
                <w:sz w:val="24"/>
                <w:szCs w:val="24"/>
              </w:rPr>
            </w:pPr>
            <w:r>
              <w:rPr>
                <w:rFonts w:hint="eastAsia" w:ascii="宋体" w:hAnsi="宋体" w:cs="宋体"/>
                <w:b/>
                <w:bCs/>
                <w:color w:val="auto"/>
                <w:sz w:val="24"/>
                <w:szCs w:val="24"/>
              </w:rPr>
              <w:t>其中不含税金额为  元，增值税税额为 元。</w:t>
            </w:r>
          </w:p>
        </w:tc>
      </w:tr>
    </w:tbl>
    <w:p>
      <w:pPr>
        <w:adjustRightInd w:val="0"/>
        <w:snapToGrid w:val="0"/>
        <w:spacing w:line="276" w:lineRule="auto"/>
        <w:ind w:firstLine="480" w:firstLineChars="200"/>
        <w:rPr>
          <w:rFonts w:ascii="宋体" w:hAnsi="宋体" w:cs="宋体"/>
          <w:color w:val="auto"/>
          <w:sz w:val="24"/>
        </w:rPr>
      </w:pPr>
      <w:r>
        <w:rPr>
          <w:rFonts w:hint="eastAsia" w:ascii="宋体" w:hAnsi="宋体" w:cs="宋体"/>
          <w:color w:val="auto"/>
          <w:sz w:val="24"/>
        </w:rPr>
        <w:t>注：以上单价含车辆制作费、包装费、运输费、装卸费、安装调试费、税费</w:t>
      </w:r>
      <w:r>
        <w:rPr>
          <w:rFonts w:hint="eastAsia" w:ascii="宋体" w:hAnsi="宋体" w:cs="宋体"/>
          <w:color w:val="auto"/>
          <w:sz w:val="24"/>
          <w:lang w:eastAsia="zh-CN"/>
        </w:rPr>
        <w:t>（</w:t>
      </w:r>
      <w:r>
        <w:rPr>
          <w:rFonts w:hint="eastAsia" w:ascii="宋体" w:hAnsi="宋体" w:cs="宋体"/>
          <w:color w:val="auto"/>
          <w:sz w:val="24"/>
          <w:lang w:val="en-US" w:eastAsia="zh-CN"/>
        </w:rPr>
        <w:t>包含购置税</w:t>
      </w:r>
      <w:r>
        <w:rPr>
          <w:rFonts w:hint="eastAsia" w:ascii="宋体" w:hAnsi="宋体" w:cs="宋体"/>
          <w:color w:val="auto"/>
          <w:sz w:val="24"/>
          <w:lang w:eastAsia="zh-CN"/>
        </w:rPr>
        <w:t>）</w:t>
      </w:r>
      <w:r>
        <w:rPr>
          <w:rFonts w:hint="eastAsia" w:ascii="宋体" w:hAnsi="宋体" w:cs="宋体"/>
          <w:color w:val="auto"/>
          <w:sz w:val="24"/>
        </w:rPr>
        <w:t>、</w:t>
      </w:r>
      <w:r>
        <w:rPr>
          <w:rFonts w:hint="eastAsia" w:ascii="宋体" w:hAnsi="宋体" w:cs="宋体"/>
          <w:color w:val="auto"/>
          <w:sz w:val="24"/>
          <w:lang w:val="en-US" w:eastAsia="zh-CN"/>
        </w:rPr>
        <w:t>保险、上牌上户、</w:t>
      </w:r>
      <w:r>
        <w:rPr>
          <w:rFonts w:hint="eastAsia" w:ascii="宋体" w:hAnsi="宋体"/>
          <w:color w:val="auto"/>
          <w:kern w:val="0"/>
          <w:sz w:val="24"/>
        </w:rPr>
        <w:t>验收合格交付使用之前及保修期内保修服务与备用物件等所有其他有关各项费用</w:t>
      </w:r>
      <w:r>
        <w:rPr>
          <w:rFonts w:hint="eastAsia" w:ascii="宋体" w:hAnsi="宋体" w:cs="宋体"/>
          <w:color w:val="auto"/>
          <w:sz w:val="24"/>
        </w:rPr>
        <w:t>，乙方不得再向甲方收取其他任何费用。</w:t>
      </w:r>
    </w:p>
    <w:p>
      <w:pPr>
        <w:spacing w:line="276" w:lineRule="auto"/>
        <w:ind w:right="231" w:rightChars="110"/>
        <w:rPr>
          <w:rFonts w:ascii="宋体" w:hAnsi="宋体" w:cs="宋体"/>
          <w:color w:val="auto"/>
          <w:sz w:val="24"/>
        </w:rPr>
      </w:pPr>
    </w:p>
    <w:p>
      <w:pPr>
        <w:spacing w:line="276" w:lineRule="auto"/>
        <w:rPr>
          <w:color w:val="auto"/>
          <w:sz w:val="24"/>
        </w:rPr>
      </w:pPr>
      <w:r>
        <w:rPr>
          <w:rFonts w:hint="eastAsia"/>
          <w:color w:val="auto"/>
          <w:sz w:val="24"/>
        </w:rPr>
        <w:t>备注：（一）合同发票开具要求：</w:t>
      </w:r>
    </w:p>
    <w:p>
      <w:pPr>
        <w:spacing w:line="276" w:lineRule="auto"/>
        <w:ind w:firstLine="480" w:firstLineChars="200"/>
        <w:rPr>
          <w:color w:val="auto"/>
          <w:sz w:val="24"/>
        </w:rPr>
      </w:pPr>
      <w:r>
        <w:rPr>
          <w:rFonts w:hint="eastAsia"/>
          <w:color w:val="auto"/>
          <w:sz w:val="24"/>
        </w:rPr>
        <w:t>本合同所指“合同金额”或“价格”，如无特殊说明，均指含税价格，包含:不含税价款、增值税税款及其他所有相关税费。</w:t>
      </w:r>
    </w:p>
    <w:p>
      <w:pPr>
        <w:spacing w:line="276" w:lineRule="auto"/>
        <w:ind w:firstLine="480" w:firstLineChars="200"/>
        <w:rPr>
          <w:color w:val="auto"/>
          <w:sz w:val="24"/>
        </w:rPr>
      </w:pPr>
      <w:r>
        <w:rPr>
          <w:rFonts w:hint="eastAsia"/>
          <w:color w:val="auto"/>
          <w:sz w:val="24"/>
        </w:rPr>
        <w:t>1、乙方在供货完毕，经甲方验收合格后，应向甲方按结算金额开具合法有效发票</w:t>
      </w:r>
    </w:p>
    <w:p>
      <w:pPr>
        <w:spacing w:line="276" w:lineRule="auto"/>
        <w:ind w:firstLine="482" w:firstLineChars="200"/>
        <w:rPr>
          <w:color w:val="auto"/>
          <w:sz w:val="24"/>
        </w:rPr>
      </w:pPr>
      <w:r>
        <w:rPr>
          <w:rFonts w:ascii="宋体" w:hAnsi="宋体" w:cs="宋体"/>
          <w:b/>
          <w:color w:val="auto"/>
          <w:kern w:val="0"/>
          <w:sz w:val="24"/>
        </w:rPr>
        <w:fldChar w:fldCharType="begin"/>
      </w:r>
      <w:r>
        <w:rPr>
          <w:rFonts w:hint="eastAsia" w:ascii="宋体" w:hAnsi="宋体" w:cs="宋体"/>
          <w:b/>
          <w:color w:val="auto"/>
          <w:kern w:val="0"/>
          <w:sz w:val="24"/>
        </w:rPr>
        <w:instrText xml:space="preserve">eq \o\ac(□,</w:instrText>
      </w:r>
      <w:r>
        <w:rPr>
          <w:rFonts w:hint="eastAsia" w:ascii="宋体" w:hAnsi="宋体" w:cs="宋体"/>
          <w:b/>
          <w:color w:val="auto"/>
          <w:kern w:val="0"/>
          <w:position w:val="2"/>
          <w:sz w:val="24"/>
        </w:rPr>
        <w:instrText xml:space="preserve">√</w:instrText>
      </w:r>
      <w:r>
        <w:rPr>
          <w:rFonts w:hint="eastAsia" w:ascii="宋体" w:hAnsi="宋体" w:cs="宋体"/>
          <w:b/>
          <w:color w:val="auto"/>
          <w:kern w:val="0"/>
          <w:sz w:val="24"/>
        </w:rPr>
        <w:instrText xml:space="preserve">)</w:instrText>
      </w:r>
      <w:r>
        <w:rPr>
          <w:rFonts w:ascii="宋体" w:hAnsi="宋体" w:cs="宋体"/>
          <w:b/>
          <w:color w:val="auto"/>
          <w:kern w:val="0"/>
          <w:sz w:val="24"/>
        </w:rPr>
        <w:fldChar w:fldCharType="end"/>
      </w:r>
      <w:r>
        <w:rPr>
          <w:rFonts w:hint="eastAsia"/>
          <w:color w:val="auto"/>
          <w:sz w:val="24"/>
        </w:rPr>
        <w:t>机动车销售统一发票　　□增值税专用发票     税率：13%</w:t>
      </w:r>
    </w:p>
    <w:p>
      <w:pPr>
        <w:spacing w:line="276" w:lineRule="auto"/>
        <w:ind w:firstLine="480" w:firstLineChars="200"/>
        <w:rPr>
          <w:color w:val="auto"/>
          <w:sz w:val="24"/>
        </w:rPr>
      </w:pPr>
      <w:r>
        <w:rPr>
          <w:rFonts w:hint="eastAsia"/>
          <w:color w:val="auto"/>
          <w:sz w:val="24"/>
        </w:rPr>
        <w:t>甲方支付第一次款项时乙方应开具包含质保金且与合同总金额一致的发票，否则甲方有权拒绝支付款项。</w:t>
      </w:r>
    </w:p>
    <w:p>
      <w:pPr>
        <w:spacing w:line="276" w:lineRule="auto"/>
        <w:ind w:firstLine="480" w:firstLineChars="200"/>
        <w:rPr>
          <w:color w:val="auto"/>
          <w:sz w:val="24"/>
        </w:rPr>
      </w:pPr>
      <w:r>
        <w:rPr>
          <w:rFonts w:hint="eastAsia"/>
          <w:color w:val="auto"/>
          <w:sz w:val="24"/>
        </w:rPr>
        <w:t>2、发票开具要求：发票开具时需注明货物品名，如货物品种多需提供税控系统出具的销售货物与提供劳务的清单，发票与清单均需加盖发票专用章。发票需按项目分别开具，</w:t>
      </w:r>
      <w:r>
        <w:rPr>
          <w:rFonts w:hint="eastAsia" w:ascii="新宋体" w:hAnsi="新宋体" w:eastAsia="新宋体" w:cs="宋体"/>
          <w:color w:val="auto"/>
          <w:kern w:val="0"/>
          <w:sz w:val="24"/>
        </w:rPr>
        <w:t>发票备注栏中必须注明具体项目名称及项目地址；同时</w:t>
      </w:r>
      <w:r>
        <w:rPr>
          <w:rFonts w:hint="eastAsia"/>
          <w:color w:val="auto"/>
          <w:sz w:val="24"/>
        </w:rPr>
        <w:t>乙方开具发票后应在30个工作日内将发票交与甲方。</w:t>
      </w:r>
    </w:p>
    <w:p>
      <w:pPr>
        <w:spacing w:line="276" w:lineRule="auto"/>
        <w:ind w:firstLine="480" w:firstLineChars="200"/>
        <w:rPr>
          <w:color w:val="auto"/>
          <w:sz w:val="24"/>
        </w:rPr>
      </w:pPr>
      <w:r>
        <w:rPr>
          <w:rFonts w:hint="eastAsia"/>
          <w:color w:val="auto"/>
          <w:sz w:val="24"/>
        </w:rPr>
        <w:t>3、乙方应当对其开具发票的合法性、合规性负责，如乙方开具的发票不合规导致甲方无法通过认证并抵扣，甲方有权要求将发票退回乙方重新开具。如因乙方开具的发票不合法导致甲方无法税前列支或遭受其他损失的，乙方应承担全部经济与法律责任，且甲方有权要求乙方重新开具合法有效的发票。</w:t>
      </w:r>
    </w:p>
    <w:p>
      <w:pPr>
        <w:spacing w:line="276" w:lineRule="auto"/>
        <w:ind w:firstLine="480" w:firstLineChars="200"/>
        <w:rPr>
          <w:color w:val="auto"/>
          <w:sz w:val="24"/>
        </w:rPr>
      </w:pPr>
      <w:r>
        <w:rPr>
          <w:rFonts w:hint="eastAsia"/>
          <w:color w:val="auto"/>
          <w:sz w:val="24"/>
        </w:rPr>
        <w:t>4、如因经营活动产生的价外费用乙方应将价外费用合并到价款中一并向甲方开具合法有效的发票，否则甲方有权拒绝支付。</w:t>
      </w:r>
    </w:p>
    <w:p>
      <w:pPr>
        <w:spacing w:line="276" w:lineRule="auto"/>
        <w:ind w:firstLine="480" w:firstLineChars="200"/>
        <w:rPr>
          <w:color w:val="auto"/>
          <w:sz w:val="24"/>
        </w:rPr>
      </w:pPr>
      <w:r>
        <w:rPr>
          <w:rFonts w:hint="eastAsia"/>
          <w:color w:val="auto"/>
          <w:sz w:val="24"/>
        </w:rPr>
        <w:t>5、合同签定后乙方不能以不在营业执照经营范围内为由不开具合法有效的发票，乙方应自行到主管税务机关代开发票，或办理开具发票的相关手续，否则甲方有权不予付款。</w:t>
      </w:r>
    </w:p>
    <w:p>
      <w:pPr>
        <w:spacing w:line="276" w:lineRule="auto"/>
        <w:ind w:firstLine="480" w:firstLineChars="200"/>
        <w:rPr>
          <w:color w:val="auto"/>
          <w:sz w:val="24"/>
        </w:rPr>
      </w:pPr>
      <w:r>
        <w:rPr>
          <w:rFonts w:hint="eastAsia"/>
          <w:color w:val="auto"/>
          <w:sz w:val="24"/>
        </w:rPr>
        <w:t>6、发票遗失：甲方遗失发票，乙方需配合甲方获得其他可抵扣凭证，乙方负责按税法规定向甲方提供丢失发票的存根联复印件及所在地主管税务机关开具的“增值税一般纳税人丢失防伪税控开具增值税专用发票已抄报税证明单”；乙方遗失发票，乙方需重新开具发票。</w:t>
      </w:r>
    </w:p>
    <w:p>
      <w:pPr>
        <w:spacing w:line="276" w:lineRule="auto"/>
        <w:ind w:firstLine="480" w:firstLineChars="200"/>
        <w:rPr>
          <w:color w:val="auto"/>
          <w:sz w:val="24"/>
        </w:rPr>
      </w:pPr>
      <w:r>
        <w:rPr>
          <w:rFonts w:hint="eastAsia"/>
          <w:color w:val="auto"/>
          <w:sz w:val="24"/>
        </w:rPr>
        <w:t>7、乙方纳税人主体身份发生变化，应及时通知甲方。</w:t>
      </w:r>
    </w:p>
    <w:p>
      <w:pPr>
        <w:spacing w:line="276" w:lineRule="auto"/>
        <w:ind w:firstLine="480" w:firstLineChars="200"/>
        <w:rPr>
          <w:color w:val="auto"/>
          <w:sz w:val="24"/>
        </w:rPr>
      </w:pPr>
      <w:r>
        <w:rPr>
          <w:rFonts w:hint="eastAsia"/>
          <w:color w:val="auto"/>
          <w:sz w:val="24"/>
        </w:rPr>
        <w:t>（二）甲乙双方合同主体信息如下：</w:t>
      </w:r>
    </w:p>
    <w:p>
      <w:pPr>
        <w:spacing w:line="276" w:lineRule="auto"/>
        <w:ind w:firstLine="480" w:firstLineChars="200"/>
        <w:rPr>
          <w:color w:val="auto"/>
          <w:sz w:val="24"/>
        </w:rPr>
      </w:pPr>
      <w:r>
        <w:rPr>
          <w:rFonts w:hint="eastAsia"/>
          <w:color w:val="auto"/>
          <w:sz w:val="24"/>
        </w:rPr>
        <w:t>1、甲方信息：一般纳税人</w:t>
      </w:r>
    </w:p>
    <w:p>
      <w:pPr>
        <w:spacing w:line="276" w:lineRule="auto"/>
        <w:ind w:firstLine="480" w:firstLineChars="200"/>
        <w:rPr>
          <w:color w:val="auto"/>
          <w:sz w:val="24"/>
        </w:rPr>
      </w:pPr>
      <w:r>
        <w:rPr>
          <w:rFonts w:hint="eastAsia"/>
          <w:color w:val="auto"/>
          <w:sz w:val="24"/>
        </w:rPr>
        <w:t>单位名称：绵阳高新市政建设有限责任公司</w:t>
      </w:r>
    </w:p>
    <w:p>
      <w:pPr>
        <w:spacing w:line="276" w:lineRule="auto"/>
        <w:ind w:firstLine="480" w:firstLineChars="200"/>
        <w:rPr>
          <w:color w:val="auto"/>
          <w:sz w:val="24"/>
        </w:rPr>
      </w:pPr>
      <w:r>
        <w:rPr>
          <w:rFonts w:hint="eastAsia"/>
          <w:color w:val="auto"/>
          <w:sz w:val="24"/>
        </w:rPr>
        <w:t>营业执照号码：91510700560704647D</w:t>
      </w:r>
    </w:p>
    <w:p>
      <w:pPr>
        <w:spacing w:line="276" w:lineRule="auto"/>
        <w:ind w:firstLine="480" w:firstLineChars="200"/>
        <w:rPr>
          <w:color w:val="auto"/>
          <w:sz w:val="24"/>
        </w:rPr>
      </w:pPr>
      <w:r>
        <w:rPr>
          <w:rFonts w:hint="eastAsia"/>
          <w:color w:val="auto"/>
          <w:sz w:val="24"/>
        </w:rPr>
        <w:t>银行账号：5100-1657-9370-5900-0261</w:t>
      </w:r>
    </w:p>
    <w:p>
      <w:pPr>
        <w:spacing w:line="276" w:lineRule="auto"/>
        <w:ind w:firstLine="480" w:firstLineChars="200"/>
        <w:rPr>
          <w:color w:val="auto"/>
          <w:sz w:val="24"/>
        </w:rPr>
      </w:pPr>
      <w:r>
        <w:rPr>
          <w:rFonts w:hint="eastAsia"/>
          <w:color w:val="auto"/>
          <w:sz w:val="24"/>
        </w:rPr>
        <w:t>开户行：建行绵阳高新支行</w:t>
      </w:r>
    </w:p>
    <w:p>
      <w:pPr>
        <w:spacing w:line="276" w:lineRule="auto"/>
        <w:ind w:firstLine="480" w:firstLineChars="200"/>
        <w:rPr>
          <w:color w:val="auto"/>
          <w:sz w:val="24"/>
        </w:rPr>
      </w:pPr>
      <w:r>
        <w:rPr>
          <w:rFonts w:hint="eastAsia"/>
          <w:color w:val="auto"/>
          <w:sz w:val="24"/>
        </w:rPr>
        <w:t>地址：绵阳高新区普明北路西段25号</w:t>
      </w:r>
    </w:p>
    <w:p>
      <w:pPr>
        <w:spacing w:line="276" w:lineRule="auto"/>
        <w:ind w:firstLine="480" w:firstLineChars="200"/>
        <w:rPr>
          <w:color w:val="auto"/>
          <w:sz w:val="24"/>
        </w:rPr>
      </w:pPr>
      <w:r>
        <w:rPr>
          <w:rFonts w:hint="eastAsia"/>
          <w:color w:val="auto"/>
          <w:sz w:val="24"/>
        </w:rPr>
        <w:t>电话号码：0816-2533046</w:t>
      </w:r>
    </w:p>
    <w:p>
      <w:pPr>
        <w:spacing w:line="276" w:lineRule="auto"/>
        <w:ind w:firstLine="480" w:firstLineChars="200"/>
        <w:rPr>
          <w:color w:val="auto"/>
          <w:sz w:val="24"/>
        </w:rPr>
      </w:pPr>
      <w:r>
        <w:rPr>
          <w:rFonts w:hint="eastAsia"/>
          <w:color w:val="auto"/>
          <w:sz w:val="24"/>
        </w:rPr>
        <w:t>2、乙方信息：</w:t>
      </w:r>
      <w:r>
        <w:rPr>
          <w:rFonts w:ascii="宋体" w:hAnsi="宋体" w:cs="宋体"/>
          <w:b/>
          <w:color w:val="auto"/>
          <w:kern w:val="0"/>
          <w:sz w:val="24"/>
        </w:rPr>
        <w:fldChar w:fldCharType="begin"/>
      </w:r>
      <w:r>
        <w:rPr>
          <w:rFonts w:hint="eastAsia" w:ascii="宋体" w:hAnsi="宋体" w:cs="宋体"/>
          <w:b/>
          <w:color w:val="auto"/>
          <w:kern w:val="0"/>
          <w:sz w:val="24"/>
        </w:rPr>
        <w:instrText xml:space="preserve">eq \o\ac(□</w:instrText>
      </w:r>
      <w:r>
        <w:rPr>
          <w:rFonts w:hint="eastAsia" w:ascii="宋体" w:hAnsi="宋体" w:cs="宋体"/>
          <w:b/>
          <w:color w:val="auto"/>
          <w:kern w:val="0"/>
          <w:sz w:val="24"/>
          <w:lang w:eastAsia="zh-CN"/>
        </w:rPr>
        <w:instrText xml:space="preserve">,</w:instrText>
      </w:r>
      <w:r>
        <w:rPr>
          <w:rFonts w:hint="eastAsia" w:ascii="宋体" w:hAnsi="宋体" w:cs="宋体"/>
          <w:b/>
          <w:color w:val="auto"/>
          <w:kern w:val="0"/>
          <w:position w:val="2"/>
          <w:sz w:val="16"/>
          <w:lang w:eastAsia="zh-CN"/>
        </w:rPr>
        <w:instrText xml:space="preserve">√</w:instrText>
      </w:r>
      <w:r>
        <w:rPr>
          <w:rFonts w:hint="eastAsia" w:ascii="宋体" w:hAnsi="宋体" w:cs="宋体"/>
          <w:b/>
          <w:color w:val="auto"/>
          <w:kern w:val="0"/>
          <w:sz w:val="24"/>
        </w:rPr>
        <w:instrText xml:space="preserve">)</w:instrText>
      </w:r>
      <w:r>
        <w:rPr>
          <w:rFonts w:ascii="宋体" w:hAnsi="宋体" w:cs="宋体"/>
          <w:b/>
          <w:color w:val="auto"/>
          <w:kern w:val="0"/>
          <w:sz w:val="24"/>
        </w:rPr>
        <w:fldChar w:fldCharType="end"/>
      </w:r>
      <w:r>
        <w:rPr>
          <w:rFonts w:hint="eastAsia"/>
          <w:color w:val="auto"/>
          <w:sz w:val="24"/>
        </w:rPr>
        <w:t>一般纳税人　　□小规模纳税人</w:t>
      </w:r>
    </w:p>
    <w:p>
      <w:pPr>
        <w:adjustRightInd w:val="0"/>
        <w:snapToGrid w:val="0"/>
        <w:spacing w:line="276" w:lineRule="auto"/>
        <w:ind w:firstLine="480" w:firstLineChars="200"/>
        <w:rPr>
          <w:rFonts w:ascii="宋体" w:hAnsi="宋体" w:cs="宋体"/>
          <w:bCs/>
          <w:color w:val="auto"/>
          <w:sz w:val="24"/>
        </w:rPr>
      </w:pPr>
      <w:r>
        <w:rPr>
          <w:rFonts w:hint="eastAsia"/>
          <w:color w:val="auto"/>
          <w:sz w:val="24"/>
        </w:rPr>
        <w:t>单位名称：</w:t>
      </w:r>
      <w:r>
        <w:rPr>
          <w:rFonts w:hint="eastAsia" w:ascii="宋体" w:hAnsi="宋体" w:cs="宋体"/>
          <w:bCs/>
          <w:color w:val="auto"/>
          <w:sz w:val="24"/>
        </w:rPr>
        <w:t xml:space="preserve"> </w:t>
      </w:r>
    </w:p>
    <w:p>
      <w:pPr>
        <w:adjustRightInd w:val="0"/>
        <w:snapToGrid w:val="0"/>
        <w:spacing w:line="276" w:lineRule="auto"/>
        <w:ind w:firstLine="480" w:firstLineChars="200"/>
        <w:rPr>
          <w:rFonts w:ascii="宋体" w:hAnsi="宋体" w:cs="宋体"/>
          <w:bCs/>
          <w:color w:val="auto"/>
          <w:sz w:val="24"/>
        </w:rPr>
      </w:pPr>
      <w:r>
        <w:rPr>
          <w:rFonts w:hint="eastAsia"/>
          <w:color w:val="auto"/>
          <w:sz w:val="24"/>
        </w:rPr>
        <w:t>营业执照号码：</w:t>
      </w:r>
      <w:r>
        <w:rPr>
          <w:rFonts w:hint="eastAsia" w:ascii="宋体" w:hAnsi="宋体" w:cs="宋体"/>
          <w:bCs/>
          <w:color w:val="auto"/>
          <w:sz w:val="24"/>
        </w:rPr>
        <w:t xml:space="preserve"> </w:t>
      </w:r>
    </w:p>
    <w:p>
      <w:pPr>
        <w:adjustRightInd w:val="0"/>
        <w:snapToGrid w:val="0"/>
        <w:spacing w:line="276" w:lineRule="auto"/>
        <w:ind w:firstLine="480" w:firstLineChars="200"/>
        <w:rPr>
          <w:color w:val="auto"/>
          <w:sz w:val="24"/>
        </w:rPr>
      </w:pPr>
      <w:r>
        <w:rPr>
          <w:rFonts w:hint="eastAsia"/>
          <w:color w:val="auto"/>
          <w:sz w:val="24"/>
        </w:rPr>
        <w:t>银行账号：</w:t>
      </w:r>
      <w:r>
        <w:rPr>
          <w:rFonts w:hint="eastAsia" w:ascii="宋体" w:hAnsi="宋体" w:cs="宋体"/>
          <w:bCs/>
          <w:color w:val="auto"/>
          <w:sz w:val="24"/>
        </w:rPr>
        <w:t xml:space="preserve"> </w:t>
      </w:r>
    </w:p>
    <w:p>
      <w:pPr>
        <w:spacing w:line="276" w:lineRule="auto"/>
        <w:ind w:firstLine="480" w:firstLineChars="200"/>
        <w:rPr>
          <w:rFonts w:ascii="宋体" w:hAnsi="宋体" w:cs="宋体"/>
          <w:color w:val="auto"/>
          <w:kern w:val="0"/>
          <w:sz w:val="24"/>
        </w:rPr>
      </w:pPr>
      <w:r>
        <w:rPr>
          <w:rFonts w:hint="eastAsia"/>
          <w:color w:val="auto"/>
          <w:sz w:val="24"/>
        </w:rPr>
        <w:t>开户行：</w:t>
      </w:r>
      <w:r>
        <w:rPr>
          <w:rFonts w:hint="eastAsia" w:ascii="宋体" w:hAnsi="宋体" w:cs="宋体"/>
          <w:color w:val="auto"/>
          <w:kern w:val="0"/>
          <w:sz w:val="24"/>
        </w:rPr>
        <w:t xml:space="preserve"> </w:t>
      </w:r>
    </w:p>
    <w:p>
      <w:pPr>
        <w:spacing w:line="276" w:lineRule="auto"/>
        <w:ind w:firstLine="480" w:firstLineChars="200"/>
        <w:rPr>
          <w:rFonts w:ascii="宋体" w:hAnsi="宋体" w:cs="宋体"/>
          <w:bCs/>
          <w:color w:val="auto"/>
          <w:sz w:val="24"/>
        </w:rPr>
      </w:pPr>
      <w:r>
        <w:rPr>
          <w:rFonts w:hint="eastAsia"/>
          <w:color w:val="auto"/>
          <w:sz w:val="24"/>
        </w:rPr>
        <w:t>地址：</w:t>
      </w:r>
      <w:r>
        <w:rPr>
          <w:rFonts w:hint="eastAsia" w:ascii="宋体" w:hAnsi="宋体" w:cs="宋体"/>
          <w:bCs/>
          <w:color w:val="auto"/>
          <w:sz w:val="24"/>
        </w:rPr>
        <w:t xml:space="preserve"> </w:t>
      </w:r>
    </w:p>
    <w:p>
      <w:pPr>
        <w:spacing w:line="276" w:lineRule="auto"/>
        <w:ind w:firstLine="480" w:firstLineChars="200"/>
        <w:rPr>
          <w:rFonts w:ascii="宋体" w:hAnsi="宋体" w:cs="宋体"/>
          <w:b/>
          <w:color w:val="auto"/>
          <w:sz w:val="24"/>
          <w:u w:val="single"/>
        </w:rPr>
      </w:pPr>
      <w:r>
        <w:rPr>
          <w:rFonts w:hint="eastAsia"/>
          <w:color w:val="auto"/>
          <w:sz w:val="24"/>
        </w:rPr>
        <w:t xml:space="preserve">经营范围： </w:t>
      </w:r>
    </w:p>
    <w:p>
      <w:pPr>
        <w:numPr>
          <w:ilvl w:val="0"/>
          <w:numId w:val="11"/>
        </w:numPr>
        <w:tabs>
          <w:tab w:val="left" w:pos="360"/>
          <w:tab w:val="left" w:pos="540"/>
        </w:tabs>
        <w:spacing w:line="276" w:lineRule="auto"/>
        <w:ind w:right="231" w:rightChars="110"/>
        <w:rPr>
          <w:rFonts w:ascii="宋体" w:hAnsi="宋体" w:cs="宋体"/>
          <w:b/>
          <w:color w:val="auto"/>
          <w:sz w:val="24"/>
          <w:u w:val="single"/>
        </w:rPr>
      </w:pPr>
      <w:r>
        <w:rPr>
          <w:rFonts w:hint="eastAsia" w:ascii="宋体" w:hAnsi="宋体" w:cs="宋体"/>
          <w:b/>
          <w:color w:val="auto"/>
          <w:sz w:val="24"/>
        </w:rPr>
        <w:t>质量要求、技术标准，乙方对质量负责的条件及期限：</w:t>
      </w:r>
    </w:p>
    <w:p>
      <w:pPr>
        <w:spacing w:line="276" w:lineRule="auto"/>
        <w:ind w:firstLine="480" w:firstLineChars="200"/>
        <w:rPr>
          <w:color w:val="auto"/>
        </w:rPr>
      </w:pPr>
      <w:r>
        <w:rPr>
          <w:rFonts w:hint="eastAsia" w:ascii="宋体" w:hAnsi="宋体" w:cs="宋体"/>
          <w:bCs/>
          <w:color w:val="auto"/>
          <w:sz w:val="24"/>
        </w:rPr>
        <w:t>1.按国家车辆公告标准，结合海外先进技术，乙方组织生产和检验。车辆所使用的</w:t>
      </w:r>
      <w:r>
        <w:rPr>
          <w:rFonts w:ascii="宋体" w:hAnsi="宋体" w:cs="微软雅黑"/>
          <w:color w:val="auto"/>
          <w:sz w:val="24"/>
          <w:shd w:val="clear" w:color="auto" w:fill="FFFFFF"/>
        </w:rPr>
        <w:t>材料及零部件均为全新未用过的，且符合本合同附件中规定</w:t>
      </w:r>
      <w:r>
        <w:rPr>
          <w:rFonts w:hint="eastAsia" w:ascii="宋体" w:hAnsi="宋体" w:cs="微软雅黑"/>
          <w:color w:val="auto"/>
          <w:sz w:val="24"/>
          <w:shd w:val="clear" w:color="auto" w:fill="FFFFFF"/>
        </w:rPr>
        <w:t>，</w:t>
      </w:r>
      <w:r>
        <w:rPr>
          <w:rFonts w:ascii="宋体" w:hAnsi="宋体" w:cs="微软雅黑"/>
          <w:color w:val="auto"/>
          <w:sz w:val="24"/>
          <w:shd w:val="clear" w:color="auto" w:fill="FFFFFF"/>
        </w:rPr>
        <w:t>以确保产品质量。</w:t>
      </w:r>
      <w:r>
        <w:rPr>
          <w:rFonts w:hint="eastAsia" w:ascii="宋体" w:hAnsi="宋体" w:cs="微软雅黑"/>
          <w:color w:val="auto"/>
          <w:sz w:val="24"/>
          <w:shd w:val="clear" w:color="auto" w:fill="FFFFFF"/>
        </w:rPr>
        <w:t>车辆</w:t>
      </w:r>
      <w:r>
        <w:rPr>
          <w:rFonts w:ascii="宋体" w:hAnsi="宋体" w:cs="微软雅黑"/>
          <w:color w:val="auto"/>
          <w:sz w:val="24"/>
          <w:shd w:val="clear" w:color="auto" w:fill="FFFFFF"/>
        </w:rPr>
        <w:t>须经技术检验，符合国家相关标准才能出厂</w:t>
      </w:r>
      <w:r>
        <w:rPr>
          <w:rFonts w:hint="eastAsia" w:ascii="宋体" w:hAnsi="宋体" w:cs="微软雅黑"/>
          <w:color w:val="auto"/>
          <w:sz w:val="24"/>
          <w:shd w:val="clear" w:color="auto" w:fill="FFFFFF"/>
        </w:rPr>
        <w:t>。</w:t>
      </w:r>
      <w:r>
        <w:rPr>
          <w:rFonts w:hint="eastAsia" w:ascii="宋体" w:hAnsi="宋体" w:cs="宋体"/>
          <w:bCs/>
          <w:color w:val="auto"/>
          <w:sz w:val="24"/>
        </w:rPr>
        <w:t>在非人为损坏前提下，除易损件外，自车辆验收合格交付之日起12个月内乙方负责免费保修；产品超过保修期后，依据乙方售后服务承诺，乙方派人到甲方处进行维修，甲方需承担维修工时费、及所更换的零配件等费用，</w:t>
      </w:r>
      <w:r>
        <w:rPr>
          <w:rFonts w:hint="eastAsia"/>
          <w:color w:val="auto"/>
          <w:sz w:val="24"/>
        </w:rPr>
        <w:t>但乙方承诺给予甲方最低市场优惠价。如因操作失误而出现故障，乙方仍然给予检修，费用由甲方承担，乙方承诺给予甲方最低市场优惠价。质保期内，如机器正常运转时发生故障损坏车辆由乙方负责赔偿。</w:t>
      </w:r>
    </w:p>
    <w:p>
      <w:pPr>
        <w:tabs>
          <w:tab w:val="left" w:pos="360"/>
          <w:tab w:val="left" w:pos="540"/>
        </w:tabs>
        <w:spacing w:line="276" w:lineRule="auto"/>
        <w:ind w:right="231" w:rightChars="110" w:firstLine="480" w:firstLineChars="200"/>
        <w:rPr>
          <w:color w:val="auto"/>
          <w:sz w:val="24"/>
        </w:rPr>
      </w:pPr>
      <w:r>
        <w:rPr>
          <w:rFonts w:hint="eastAsia"/>
          <w:color w:val="auto"/>
          <w:sz w:val="24"/>
        </w:rPr>
        <w:t>2.乙方提供的</w:t>
      </w:r>
      <w:r>
        <w:rPr>
          <w:rFonts w:hint="eastAsia" w:ascii="宋体" w:hAnsi="宋体" w:cs="宋体"/>
          <w:bCs/>
          <w:color w:val="auto"/>
          <w:sz w:val="24"/>
          <w:lang w:eastAsia="zh-CN"/>
        </w:rPr>
        <w:t>洗扫车、洒水车</w:t>
      </w:r>
      <w:r>
        <w:rPr>
          <w:rFonts w:hint="eastAsia"/>
          <w:color w:val="auto"/>
          <w:sz w:val="24"/>
        </w:rPr>
        <w:t>，售后服务按厂方随车《质量保修手册》中相关规定执行，同时参照《中华人民共和国产品质量法》《中华人民共和国民法典》《中华人民共和国消费者权益保护法》的相关条款。</w:t>
      </w:r>
    </w:p>
    <w:p>
      <w:pPr>
        <w:spacing w:line="276" w:lineRule="auto"/>
        <w:ind w:firstLine="480" w:firstLineChars="200"/>
        <w:rPr>
          <w:bCs/>
          <w:color w:val="auto"/>
          <w:sz w:val="24"/>
        </w:rPr>
      </w:pPr>
      <w:r>
        <w:rPr>
          <w:rFonts w:hint="eastAsia"/>
          <w:color w:val="auto"/>
          <w:sz w:val="24"/>
        </w:rPr>
        <w:t>3.</w:t>
      </w:r>
      <w:r>
        <w:rPr>
          <w:rFonts w:hint="eastAsia"/>
          <w:bCs/>
          <w:color w:val="auto"/>
          <w:sz w:val="24"/>
        </w:rPr>
        <w:t>合同签订后，乙方应对甲方操作人员进行设备的使用及简单的维修保养方法的免费培训，并向培训人员提供使用说明书。</w:t>
      </w:r>
    </w:p>
    <w:p>
      <w:pPr>
        <w:spacing w:line="276" w:lineRule="auto"/>
        <w:ind w:firstLine="480" w:firstLineChars="200"/>
        <w:rPr>
          <w:rFonts w:ascii="宋体" w:hAnsi="宋体"/>
          <w:bCs/>
          <w:color w:val="auto"/>
          <w:sz w:val="24"/>
        </w:rPr>
      </w:pPr>
      <w:r>
        <w:rPr>
          <w:rFonts w:hint="eastAsia"/>
          <w:bCs/>
          <w:color w:val="auto"/>
          <w:sz w:val="24"/>
        </w:rPr>
        <w:t>4.如因乙方所供</w:t>
      </w:r>
      <w:r>
        <w:rPr>
          <w:rFonts w:hint="eastAsia" w:ascii="宋体" w:hAnsi="宋体" w:cs="宋体"/>
          <w:bCs/>
          <w:color w:val="auto"/>
          <w:sz w:val="24"/>
          <w:lang w:eastAsia="zh-CN"/>
        </w:rPr>
        <w:t>洗扫车、洒水车</w:t>
      </w:r>
      <w:r>
        <w:rPr>
          <w:rFonts w:hint="eastAsia" w:ascii="宋体" w:hAnsi="宋体" w:cs="宋体"/>
          <w:bCs/>
          <w:color w:val="auto"/>
          <w:sz w:val="24"/>
        </w:rPr>
        <w:t>的质量原因导致无法正常使用，</w:t>
      </w:r>
      <w:r>
        <w:rPr>
          <w:rFonts w:hint="eastAsia"/>
          <w:color w:val="auto"/>
          <w:sz w:val="24"/>
        </w:rPr>
        <w:t>甲方有权要求免费更换或者解除本合同并要求退货，乙方应在甲方提出退换后5个工作日内更换或全额退还甲方所交定金及合同货款</w:t>
      </w:r>
      <w:r>
        <w:rPr>
          <w:rFonts w:hint="eastAsia" w:ascii="宋体" w:hAnsi="宋体"/>
          <w:bCs/>
          <w:color w:val="auto"/>
          <w:sz w:val="24"/>
        </w:rPr>
        <w:t>，</w:t>
      </w:r>
      <w:r>
        <w:rPr>
          <w:rFonts w:hint="eastAsia"/>
          <w:bCs/>
          <w:color w:val="auto"/>
          <w:sz w:val="24"/>
        </w:rPr>
        <w:t>乙方除</w:t>
      </w:r>
      <w:r>
        <w:rPr>
          <w:rFonts w:hint="eastAsia"/>
          <w:color w:val="auto"/>
          <w:sz w:val="24"/>
        </w:rPr>
        <w:t>赔付甲方合同总货款20%的违约金外，</w:t>
      </w:r>
      <w:r>
        <w:rPr>
          <w:rFonts w:hint="eastAsia"/>
          <w:bCs/>
          <w:color w:val="auto"/>
          <w:sz w:val="24"/>
        </w:rPr>
        <w:t>还应</w:t>
      </w:r>
      <w:r>
        <w:rPr>
          <w:rFonts w:hint="eastAsia" w:ascii="宋体" w:hAnsi="宋体"/>
          <w:bCs/>
          <w:color w:val="auto"/>
          <w:sz w:val="24"/>
        </w:rPr>
        <w:t>赔偿甲方因此受到的全部损失（包</w:t>
      </w:r>
      <w:r>
        <w:rPr>
          <w:rFonts w:hint="eastAsia"/>
          <w:bCs/>
          <w:color w:val="auto"/>
          <w:sz w:val="24"/>
        </w:rPr>
        <w:t>括</w:t>
      </w:r>
      <w:r>
        <w:rPr>
          <w:rFonts w:hint="eastAsia" w:ascii="宋体" w:hAnsi="宋体"/>
          <w:bCs/>
          <w:color w:val="auto"/>
          <w:sz w:val="24"/>
        </w:rPr>
        <w:t>但不限于债务本金、利息、赔偿金以及诉讼费、律师费等）。</w:t>
      </w:r>
    </w:p>
    <w:p>
      <w:pPr>
        <w:adjustRightInd w:val="0"/>
        <w:snapToGrid w:val="0"/>
        <w:spacing w:line="276" w:lineRule="auto"/>
        <w:ind w:firstLine="480" w:firstLineChars="200"/>
        <w:rPr>
          <w:rFonts w:hint="default" w:eastAsia="宋体"/>
          <w:color w:val="auto"/>
          <w:sz w:val="24"/>
          <w:lang w:val="en-US" w:eastAsia="zh-CN"/>
        </w:rPr>
      </w:pPr>
      <w:r>
        <w:rPr>
          <w:rFonts w:hint="eastAsia" w:ascii="宋体" w:hAnsi="宋体"/>
          <w:bCs/>
          <w:color w:val="auto"/>
          <w:sz w:val="24"/>
        </w:rPr>
        <w:t>5.</w:t>
      </w:r>
      <w:r>
        <w:rPr>
          <w:rFonts w:hint="eastAsia"/>
          <w:color w:val="auto"/>
          <w:sz w:val="24"/>
        </w:rPr>
        <w:t>乙方所供</w:t>
      </w:r>
      <w:r>
        <w:rPr>
          <w:rFonts w:hint="eastAsia" w:ascii="宋体" w:hAnsi="宋体" w:cs="宋体"/>
          <w:bCs/>
          <w:color w:val="auto"/>
          <w:sz w:val="24"/>
          <w:lang w:eastAsia="zh-CN"/>
        </w:rPr>
        <w:t>洗扫车、洒水车</w:t>
      </w:r>
      <w:r>
        <w:rPr>
          <w:rFonts w:hint="eastAsia"/>
          <w:color w:val="auto"/>
          <w:sz w:val="24"/>
        </w:rPr>
        <w:t>到达甲方指定地点经乙方安装调试完毕后，甲方进行现场验收设备，甲方如发现乙方所提供货品的规格型号以及技术条件不符合本合同的约定或存在商品质量问题，乙方负责免费更换，更换货物产生的全部费用由乙方承担；若因更换车辆导致实际交付时间超出本合同约定期限的，每逾期一日，乙方应当按合同总价款的</w:t>
      </w:r>
      <w:r>
        <w:rPr>
          <w:rFonts w:hint="eastAsia"/>
          <w:color w:val="auto"/>
          <w:sz w:val="24"/>
          <w:lang w:val="en-US" w:eastAsia="zh-CN"/>
        </w:rPr>
        <w:t>万</w:t>
      </w:r>
      <w:r>
        <w:rPr>
          <w:rFonts w:hint="eastAsia"/>
          <w:color w:val="auto"/>
          <w:sz w:val="24"/>
        </w:rPr>
        <w:t>分之</w:t>
      </w:r>
      <w:r>
        <w:rPr>
          <w:rFonts w:hint="eastAsia"/>
          <w:color w:val="auto"/>
          <w:sz w:val="24"/>
          <w:lang w:val="en-US" w:eastAsia="zh-CN"/>
        </w:rPr>
        <w:t>八</w:t>
      </w:r>
      <w:r>
        <w:rPr>
          <w:rFonts w:hint="eastAsia"/>
          <w:color w:val="auto"/>
          <w:sz w:val="24"/>
        </w:rPr>
        <w:t>向甲方支付违约金，且应赔偿</w:t>
      </w:r>
      <w:r>
        <w:rPr>
          <w:rFonts w:hint="eastAsia" w:ascii="宋体" w:hAnsi="宋体"/>
          <w:bCs/>
          <w:color w:val="auto"/>
          <w:sz w:val="24"/>
        </w:rPr>
        <w:t>乙方因此受到的全部损失（包</w:t>
      </w:r>
      <w:r>
        <w:rPr>
          <w:rFonts w:hint="eastAsia"/>
          <w:bCs/>
          <w:color w:val="auto"/>
          <w:sz w:val="24"/>
        </w:rPr>
        <w:t>括</w:t>
      </w:r>
      <w:r>
        <w:rPr>
          <w:rFonts w:hint="eastAsia" w:ascii="宋体" w:hAnsi="宋体"/>
          <w:bCs/>
          <w:color w:val="auto"/>
          <w:sz w:val="24"/>
        </w:rPr>
        <w:t>但不限于债务本金、利息、赔偿金以及诉讼费、律师费等），逾期超过</w:t>
      </w:r>
      <w:r>
        <w:rPr>
          <w:rFonts w:hint="eastAsia" w:ascii="宋体" w:hAnsi="宋体"/>
          <w:bCs/>
          <w:color w:val="auto"/>
          <w:sz w:val="24"/>
          <w:lang w:eastAsia="zh-CN"/>
        </w:rPr>
        <w:t>三</w:t>
      </w:r>
      <w:r>
        <w:rPr>
          <w:rFonts w:hint="eastAsia" w:ascii="宋体" w:hAnsi="宋体"/>
          <w:bCs/>
          <w:color w:val="auto"/>
          <w:sz w:val="24"/>
          <w:highlight w:val="none"/>
          <w:lang w:eastAsia="zh-CN"/>
        </w:rPr>
        <w:t>十</w:t>
      </w:r>
      <w:r>
        <w:rPr>
          <w:rFonts w:hint="eastAsia" w:ascii="宋体" w:hAnsi="宋体"/>
          <w:bCs/>
          <w:color w:val="auto"/>
          <w:sz w:val="24"/>
          <w:highlight w:val="none"/>
        </w:rPr>
        <w:t>日的，甲方</w:t>
      </w:r>
      <w:r>
        <w:rPr>
          <w:rFonts w:hint="eastAsia" w:ascii="宋体" w:hAnsi="宋体"/>
          <w:bCs/>
          <w:color w:val="auto"/>
          <w:sz w:val="24"/>
        </w:rPr>
        <w:t>有权单方解除合同，并要求乙方赔偿损失</w:t>
      </w:r>
      <w:r>
        <w:rPr>
          <w:rFonts w:hint="eastAsia" w:ascii="宋体" w:hAnsi="宋体"/>
          <w:bCs/>
          <w:color w:val="auto"/>
          <w:sz w:val="24"/>
          <w:lang w:eastAsia="zh-CN"/>
        </w:rPr>
        <w:t>，</w:t>
      </w:r>
      <w:r>
        <w:rPr>
          <w:rFonts w:hint="eastAsia" w:ascii="宋体" w:hAnsi="宋体"/>
          <w:bCs/>
          <w:color w:val="auto"/>
          <w:sz w:val="24"/>
          <w:lang w:val="en-US" w:eastAsia="zh-CN"/>
        </w:rPr>
        <w:t>承担合同总价款百分之二十的违约金。</w:t>
      </w:r>
    </w:p>
    <w:p>
      <w:pPr>
        <w:adjustRightInd w:val="0"/>
        <w:snapToGrid w:val="0"/>
        <w:spacing w:line="276" w:lineRule="auto"/>
        <w:ind w:firstLine="480" w:firstLineChars="200"/>
        <w:rPr>
          <w:rFonts w:ascii="宋体" w:hAnsi="宋体"/>
          <w:color w:val="auto"/>
          <w:kern w:val="0"/>
          <w:sz w:val="24"/>
        </w:rPr>
      </w:pPr>
      <w:r>
        <w:rPr>
          <w:rFonts w:hint="eastAsia"/>
          <w:color w:val="auto"/>
          <w:sz w:val="24"/>
        </w:rPr>
        <w:t>6.</w:t>
      </w:r>
      <w:r>
        <w:rPr>
          <w:rFonts w:hint="eastAsia" w:ascii="宋体" w:hAnsi="宋体"/>
          <w:color w:val="auto"/>
          <w:kern w:val="0"/>
          <w:sz w:val="24"/>
        </w:rPr>
        <w:t>乙方须提供全新的货物（含零部件、配件等），表面无划伤、无碰撞痕迹，且权属清楚，不得侵害他人的知识产权和任何其他权利。</w:t>
      </w:r>
    </w:p>
    <w:p>
      <w:pPr>
        <w:adjustRightInd w:val="0"/>
        <w:snapToGrid w:val="0"/>
        <w:spacing w:line="276" w:lineRule="auto"/>
        <w:ind w:firstLine="480" w:firstLineChars="200"/>
        <w:rPr>
          <w:rFonts w:ascii="宋体" w:hAnsi="宋体" w:cs="宋体"/>
          <w:color w:val="auto"/>
          <w:kern w:val="0"/>
          <w:sz w:val="24"/>
        </w:rPr>
      </w:pPr>
      <w:r>
        <w:rPr>
          <w:rFonts w:hint="eastAsia" w:ascii="宋体" w:hAnsi="宋体"/>
          <w:color w:val="auto"/>
          <w:kern w:val="0"/>
          <w:sz w:val="24"/>
        </w:rPr>
        <w:t>7.</w:t>
      </w:r>
      <w:r>
        <w:rPr>
          <w:rFonts w:hint="eastAsia" w:ascii="宋体" w:hAnsi="宋体" w:cs="宋体"/>
          <w:color w:val="auto"/>
          <w:kern w:val="0"/>
          <w:sz w:val="24"/>
        </w:rPr>
        <w:t>货物必须符合或优于国家（行业）标准，以及本项目</w:t>
      </w:r>
      <w:r>
        <w:rPr>
          <w:rFonts w:hint="eastAsia" w:ascii="宋体" w:hAnsi="宋体" w:cs="宋体"/>
          <w:color w:val="auto"/>
          <w:kern w:val="0"/>
          <w:sz w:val="24"/>
          <w:lang w:eastAsia="zh-CN"/>
        </w:rPr>
        <w:t>竞争性磋商文件</w:t>
      </w:r>
      <w:r>
        <w:rPr>
          <w:rFonts w:hint="eastAsia" w:ascii="宋体" w:hAnsi="宋体" w:cs="宋体"/>
          <w:color w:val="auto"/>
          <w:kern w:val="0"/>
          <w:sz w:val="24"/>
        </w:rPr>
        <w:t>的质量要求和技术指标与出厂标准。</w:t>
      </w:r>
    </w:p>
    <w:p>
      <w:pPr>
        <w:adjustRightInd w:val="0"/>
        <w:snapToGrid w:val="0"/>
        <w:spacing w:line="276" w:lineRule="auto"/>
        <w:ind w:firstLine="480" w:firstLineChars="200"/>
        <w:rPr>
          <w:rFonts w:ascii="宋体" w:hAnsi="宋体"/>
          <w:color w:val="auto"/>
          <w:kern w:val="0"/>
          <w:sz w:val="24"/>
        </w:rPr>
      </w:pPr>
      <w:r>
        <w:rPr>
          <w:rFonts w:hint="eastAsia" w:ascii="宋体" w:hAnsi="宋体" w:cs="宋体"/>
          <w:color w:val="auto"/>
          <w:kern w:val="0"/>
          <w:sz w:val="24"/>
        </w:rPr>
        <w:t>8.</w:t>
      </w:r>
      <w:r>
        <w:rPr>
          <w:rFonts w:hint="eastAsia" w:ascii="宋体" w:hAnsi="宋体"/>
          <w:color w:val="auto"/>
          <w:kern w:val="0"/>
          <w:sz w:val="24"/>
        </w:rPr>
        <w:t>货物制造质量出现问题，乙方应负责三包（包修、包换、包退），费用由乙方负担，甲方有权到乙方生产场地检查货物质量和生产进度。</w:t>
      </w:r>
    </w:p>
    <w:p>
      <w:pPr>
        <w:adjustRightInd w:val="0"/>
        <w:snapToGrid w:val="0"/>
        <w:spacing w:line="276" w:lineRule="auto"/>
        <w:ind w:firstLine="480" w:firstLineChars="200"/>
        <w:rPr>
          <w:rFonts w:ascii="宋体" w:hAnsi="宋体" w:cs="宋体"/>
          <w:bCs/>
          <w:color w:val="auto"/>
          <w:sz w:val="24"/>
        </w:rPr>
      </w:pPr>
      <w:r>
        <w:rPr>
          <w:rFonts w:hint="eastAsia" w:ascii="宋体" w:hAnsi="宋体"/>
          <w:color w:val="auto"/>
          <w:kern w:val="0"/>
          <w:sz w:val="24"/>
        </w:rPr>
        <w:t>9.</w:t>
      </w:r>
      <w:r>
        <w:rPr>
          <w:rFonts w:hint="eastAsia" w:ascii="宋体" w:hAnsi="宋体" w:cs="宋体"/>
          <w:color w:val="auto"/>
          <w:sz w:val="24"/>
          <w:shd w:val="clear" w:color="auto" w:fill="FFFFFF"/>
        </w:rPr>
        <w:t>乙方所供车辆质量必须符合国家颁布的汽车质量标准和汽车行业标准，如汽车制造商的企业标准高于国家标准和行业标准的，则必须达到企业标准。乙方所供车辆应与随车提供的产品说明书或车辆使用书的质量状况一致。</w:t>
      </w:r>
    </w:p>
    <w:p>
      <w:pPr>
        <w:widowControl/>
        <w:spacing w:line="276" w:lineRule="auto"/>
        <w:ind w:firstLine="509"/>
        <w:rPr>
          <w:rFonts w:ascii="宋体" w:hAnsi="宋体" w:cs="宋体"/>
          <w:color w:val="auto"/>
          <w:sz w:val="24"/>
        </w:rPr>
      </w:pPr>
      <w:r>
        <w:rPr>
          <w:rFonts w:hint="eastAsia" w:ascii="宋体" w:hAnsi="宋体" w:cs="宋体"/>
          <w:bCs/>
          <w:color w:val="auto"/>
          <w:sz w:val="24"/>
        </w:rPr>
        <w:t>10.</w:t>
      </w:r>
      <w:r>
        <w:rPr>
          <w:rFonts w:hint="eastAsia" w:ascii="宋体" w:hAnsi="宋体" w:cs="宋体"/>
          <w:color w:val="auto"/>
          <w:sz w:val="24"/>
          <w:shd w:val="clear" w:color="auto" w:fill="FFFFFF"/>
        </w:rPr>
        <w:t>乙方向甲方提交车辆的同时，需向甲方真实、准确、完整的介绍所供车辆的基本情况，并提醒甲方注意有关车辆的非缺陷性的瑕疵状况，不得作虚假陈述或隐瞒车辆的真实状况。</w:t>
      </w:r>
    </w:p>
    <w:p>
      <w:pPr>
        <w:numPr>
          <w:ilvl w:val="0"/>
          <w:numId w:val="11"/>
        </w:numPr>
        <w:tabs>
          <w:tab w:val="left" w:pos="360"/>
          <w:tab w:val="left" w:pos="540"/>
          <w:tab w:val="clear" w:pos="420"/>
        </w:tabs>
        <w:spacing w:line="276" w:lineRule="auto"/>
        <w:ind w:right="231" w:rightChars="110"/>
        <w:rPr>
          <w:rFonts w:ascii="宋体" w:hAnsi="宋体" w:cs="宋体"/>
          <w:bCs/>
          <w:color w:val="auto"/>
          <w:sz w:val="24"/>
        </w:rPr>
      </w:pPr>
      <w:r>
        <w:rPr>
          <w:rFonts w:hint="eastAsia" w:ascii="宋体" w:hAnsi="宋体" w:cs="宋体"/>
          <w:b/>
          <w:color w:val="auto"/>
          <w:sz w:val="24"/>
        </w:rPr>
        <w:t>运输方式：</w:t>
      </w:r>
    </w:p>
    <w:p>
      <w:pPr>
        <w:tabs>
          <w:tab w:val="left" w:pos="360"/>
          <w:tab w:val="left" w:pos="540"/>
        </w:tabs>
        <w:spacing w:line="276" w:lineRule="auto"/>
        <w:ind w:right="231" w:rightChars="110" w:firstLine="480" w:firstLineChars="200"/>
        <w:rPr>
          <w:rFonts w:ascii="宋体" w:hAnsi="宋体" w:cs="宋体"/>
          <w:bCs/>
          <w:color w:val="auto"/>
          <w:sz w:val="24"/>
        </w:rPr>
      </w:pPr>
      <w:r>
        <w:rPr>
          <w:rFonts w:hint="eastAsia" w:ascii="宋体" w:hAnsi="宋体" w:cs="宋体"/>
          <w:color w:val="auto"/>
          <w:sz w:val="24"/>
          <w:u w:val="single"/>
        </w:rPr>
        <w:t xml:space="preserve"> 乙方负责运送到甲方指定地点 </w:t>
      </w:r>
      <w:r>
        <w:rPr>
          <w:rFonts w:hint="eastAsia" w:ascii="宋体" w:hAnsi="宋体" w:cs="宋体"/>
          <w:color w:val="auto"/>
          <w:sz w:val="24"/>
        </w:rPr>
        <w:t>。乙方所提供</w:t>
      </w:r>
      <w:r>
        <w:rPr>
          <w:rFonts w:hint="eastAsia" w:ascii="宋体" w:hAnsi="宋体" w:cs="宋体"/>
          <w:bCs/>
          <w:color w:val="auto"/>
          <w:sz w:val="24"/>
        </w:rPr>
        <w:t>车辆必需采用坚固包装，以适合长途运输、防潮、防湿、防震、防锈，并确保车辆设备不至因上述原因受损，使之安全完好到达甲方指定地点，由于包装不当所致任何损失均由乙方承担。包装、运费由乙方承担。</w:t>
      </w:r>
    </w:p>
    <w:p>
      <w:pPr>
        <w:spacing w:line="276" w:lineRule="auto"/>
        <w:ind w:left="439" w:leftChars="-9" w:right="231" w:rightChars="110" w:hanging="458" w:hangingChars="190"/>
        <w:rPr>
          <w:rFonts w:ascii="宋体" w:hAnsi="宋体" w:cs="宋体"/>
          <w:b/>
          <w:color w:val="auto"/>
          <w:sz w:val="24"/>
        </w:rPr>
      </w:pPr>
      <w:r>
        <w:rPr>
          <w:rFonts w:hint="eastAsia" w:ascii="宋体" w:hAnsi="宋体" w:cs="宋体"/>
          <w:b/>
          <w:color w:val="auto"/>
          <w:sz w:val="24"/>
        </w:rPr>
        <w:t>四、交货地点：</w:t>
      </w:r>
      <w:r>
        <w:rPr>
          <w:rFonts w:hint="eastAsia" w:ascii="宋体" w:hAnsi="宋体" w:cs="宋体"/>
          <w:color w:val="auto"/>
          <w:sz w:val="24"/>
          <w:u w:val="single"/>
        </w:rPr>
        <w:t>四川省绵阳市高新区甲方指定地点</w:t>
      </w:r>
      <w:r>
        <w:rPr>
          <w:rFonts w:hint="eastAsia" w:ascii="宋体" w:hAnsi="宋体" w:cs="宋体"/>
          <w:color w:val="auto"/>
          <w:sz w:val="24"/>
        </w:rPr>
        <w:t>。</w:t>
      </w:r>
    </w:p>
    <w:p>
      <w:pPr>
        <w:spacing w:line="276" w:lineRule="auto"/>
        <w:ind w:left="439" w:leftChars="-9" w:right="231" w:rightChars="110" w:hanging="458" w:hangingChars="190"/>
        <w:rPr>
          <w:rFonts w:ascii="宋体" w:hAnsi="宋体" w:cs="宋体"/>
          <w:bCs/>
          <w:color w:val="auto"/>
          <w:sz w:val="24"/>
        </w:rPr>
      </w:pPr>
      <w:r>
        <w:rPr>
          <w:rFonts w:hint="eastAsia" w:ascii="宋体" w:hAnsi="宋体" w:cs="宋体"/>
          <w:b/>
          <w:color w:val="auto"/>
          <w:sz w:val="24"/>
        </w:rPr>
        <w:t>五、验收标准及方法</w:t>
      </w:r>
      <w:r>
        <w:rPr>
          <w:rFonts w:hint="eastAsia" w:ascii="宋体" w:hAnsi="宋体" w:cs="宋体"/>
          <w:bCs/>
          <w:color w:val="auto"/>
          <w:sz w:val="24"/>
        </w:rPr>
        <w:t>：</w:t>
      </w:r>
    </w:p>
    <w:p>
      <w:pPr>
        <w:spacing w:line="276" w:lineRule="auto"/>
        <w:ind w:right="231" w:rightChars="110" w:firstLine="480" w:firstLineChars="200"/>
        <w:rPr>
          <w:rFonts w:ascii="宋体" w:hAnsi="宋体" w:cs="宋体"/>
          <w:bCs/>
          <w:color w:val="auto"/>
          <w:sz w:val="24"/>
        </w:rPr>
      </w:pPr>
      <w:r>
        <w:rPr>
          <w:rFonts w:hint="eastAsia" w:ascii="宋体" w:hAnsi="宋体" w:cs="宋体"/>
          <w:bCs/>
          <w:color w:val="auto"/>
          <w:sz w:val="24"/>
        </w:rPr>
        <w:t>甲方按照乙方“产品发运单”验收，验收完毕，甲方在“客户签收”处签字或盖章，并视为该车辆及随车配件、发票、说明书等资料已交付给甲方。如有异议，甲方需及时提出并记录在“产品发运单”上。甲方承担因特殊要求及附加装置导致车辆超出公告等法规标准的相关责任。</w:t>
      </w:r>
    </w:p>
    <w:p>
      <w:pPr>
        <w:widowControl/>
        <w:spacing w:line="276" w:lineRule="auto"/>
        <w:ind w:firstLine="509"/>
        <w:rPr>
          <w:rFonts w:ascii="宋体" w:hAnsi="宋体"/>
          <w:color w:val="auto"/>
          <w:kern w:val="0"/>
          <w:sz w:val="24"/>
        </w:rPr>
      </w:pPr>
      <w:r>
        <w:rPr>
          <w:rFonts w:hint="eastAsia" w:ascii="宋体" w:hAnsi="宋体"/>
          <w:color w:val="auto"/>
          <w:kern w:val="0"/>
          <w:sz w:val="24"/>
        </w:rPr>
        <w:t>采购人组织验收，成交方负责提交验收所需文件。</w:t>
      </w:r>
    </w:p>
    <w:p>
      <w:pPr>
        <w:widowControl/>
        <w:spacing w:line="276" w:lineRule="auto"/>
        <w:ind w:firstLine="509"/>
        <w:rPr>
          <w:rFonts w:ascii="宋体" w:hAnsi="宋体"/>
          <w:color w:val="auto"/>
          <w:kern w:val="0"/>
          <w:sz w:val="24"/>
        </w:rPr>
      </w:pPr>
      <w:r>
        <w:rPr>
          <w:rFonts w:hint="eastAsia" w:ascii="宋体" w:hAnsi="宋体"/>
          <w:color w:val="auto"/>
          <w:kern w:val="0"/>
          <w:sz w:val="24"/>
        </w:rPr>
        <w:t>1、采购人应按照国家有关标准、采购文件及投标的技术要求进行验收；</w:t>
      </w:r>
      <w:r>
        <w:rPr>
          <w:rFonts w:hint="eastAsia"/>
          <w:color w:val="auto"/>
          <w:sz w:val="24"/>
        </w:rPr>
        <w:t>车辆运输、装卸及安装调试过程中发生费用及风险责任均由供方自行承担。车辆移交甲方前所发生费用由供方承担。</w:t>
      </w:r>
    </w:p>
    <w:p>
      <w:pPr>
        <w:widowControl/>
        <w:spacing w:line="276" w:lineRule="auto"/>
        <w:ind w:firstLine="509"/>
        <w:rPr>
          <w:rFonts w:ascii="宋体" w:hAnsi="宋体"/>
          <w:color w:val="auto"/>
          <w:kern w:val="0"/>
          <w:sz w:val="24"/>
        </w:rPr>
      </w:pPr>
      <w:r>
        <w:rPr>
          <w:rFonts w:hint="eastAsia" w:ascii="宋体" w:hAnsi="宋体"/>
          <w:color w:val="auto"/>
          <w:kern w:val="0"/>
          <w:sz w:val="24"/>
        </w:rPr>
        <w:t>2、成交方提供的货物不符合质量要求致使货物未达到采购人要求的使用性能，采购人可拒收货物；采购人拒收货物，标的物毁损、丢失及产生一切费用的风险由成交方承担；</w:t>
      </w:r>
    </w:p>
    <w:p>
      <w:pPr>
        <w:widowControl/>
        <w:spacing w:line="276" w:lineRule="auto"/>
        <w:ind w:firstLine="509"/>
        <w:rPr>
          <w:rFonts w:ascii="宋体" w:hAnsi="宋体"/>
          <w:color w:val="auto"/>
          <w:kern w:val="0"/>
          <w:sz w:val="24"/>
        </w:rPr>
      </w:pPr>
      <w:r>
        <w:rPr>
          <w:rFonts w:hint="eastAsia" w:ascii="宋体" w:hAnsi="宋体"/>
          <w:color w:val="auto"/>
          <w:kern w:val="0"/>
          <w:sz w:val="24"/>
        </w:rPr>
        <w:t xml:space="preserve">3、设备安装调试完成后，成交方提供设备质保书、保修证明等资料，并按我国国家标准要求检测验收； </w:t>
      </w:r>
    </w:p>
    <w:p>
      <w:pPr>
        <w:widowControl/>
        <w:spacing w:line="276" w:lineRule="auto"/>
        <w:ind w:firstLine="509"/>
        <w:rPr>
          <w:rFonts w:ascii="宋体" w:hAnsi="宋体"/>
          <w:color w:val="auto"/>
          <w:kern w:val="0"/>
          <w:sz w:val="24"/>
        </w:rPr>
      </w:pPr>
      <w:r>
        <w:rPr>
          <w:rFonts w:hint="eastAsia" w:ascii="宋体" w:hAnsi="宋体"/>
          <w:color w:val="auto"/>
          <w:kern w:val="0"/>
          <w:sz w:val="24"/>
        </w:rPr>
        <w:t>4、测试及验收工作由采购人和成交方协商进行，验收合格后，在《采购验收单》上双方签署验收意见并加盖公章；</w:t>
      </w:r>
    </w:p>
    <w:p>
      <w:pPr>
        <w:widowControl/>
        <w:spacing w:line="276" w:lineRule="auto"/>
        <w:ind w:firstLine="509"/>
        <w:rPr>
          <w:rFonts w:ascii="宋体" w:hAnsi="宋体"/>
          <w:color w:val="auto"/>
          <w:kern w:val="0"/>
          <w:sz w:val="24"/>
        </w:rPr>
      </w:pPr>
      <w:r>
        <w:rPr>
          <w:rFonts w:hint="eastAsia" w:ascii="宋体" w:hAnsi="宋体"/>
          <w:color w:val="auto"/>
          <w:kern w:val="0"/>
          <w:sz w:val="24"/>
        </w:rPr>
        <w:t>5、验收费用由成交供应商承担。</w:t>
      </w:r>
    </w:p>
    <w:p>
      <w:pPr>
        <w:widowControl/>
        <w:spacing w:line="276" w:lineRule="auto"/>
        <w:ind w:firstLine="509"/>
        <w:rPr>
          <w:rFonts w:ascii="宋体" w:hAnsi="宋体"/>
          <w:color w:val="auto"/>
          <w:spacing w:val="-4"/>
          <w:kern w:val="0"/>
          <w:sz w:val="24"/>
        </w:rPr>
      </w:pPr>
      <w:r>
        <w:rPr>
          <w:rFonts w:hint="eastAsia" w:ascii="宋体" w:hAnsi="宋体"/>
          <w:color w:val="auto"/>
          <w:spacing w:val="-4"/>
          <w:kern w:val="0"/>
          <w:sz w:val="24"/>
        </w:rPr>
        <w:t>乙方交货期限为合同签订生效后的</w:t>
      </w:r>
      <w:r>
        <w:rPr>
          <w:rFonts w:hint="eastAsia" w:ascii="宋体" w:hAnsi="宋体"/>
          <w:color w:val="auto"/>
          <w:spacing w:val="-4"/>
          <w:kern w:val="0"/>
          <w:sz w:val="24"/>
          <w:lang w:val="en-US" w:eastAsia="zh-CN"/>
        </w:rPr>
        <w:t>20</w:t>
      </w:r>
      <w:r>
        <w:rPr>
          <w:rFonts w:hint="eastAsia" w:ascii="宋体" w:hAnsi="宋体"/>
          <w:color w:val="auto"/>
          <w:spacing w:val="-4"/>
          <w:kern w:val="0"/>
          <w:sz w:val="24"/>
        </w:rPr>
        <w:t>个工作日内，在合同签订生效之日起</w:t>
      </w:r>
      <w:r>
        <w:rPr>
          <w:rFonts w:hint="eastAsia" w:ascii="宋体" w:hAnsi="宋体"/>
          <w:color w:val="auto"/>
          <w:spacing w:val="-4"/>
          <w:kern w:val="0"/>
          <w:sz w:val="24"/>
          <w:lang w:val="en-US" w:eastAsia="zh-CN"/>
        </w:rPr>
        <w:t>20</w:t>
      </w:r>
      <w:r>
        <w:rPr>
          <w:rFonts w:hint="eastAsia" w:ascii="宋体" w:hAnsi="宋体"/>
          <w:color w:val="auto"/>
          <w:spacing w:val="-4"/>
          <w:kern w:val="0"/>
          <w:sz w:val="24"/>
        </w:rPr>
        <w:t>个工作日内交货到甲方指定地点，即在</w:t>
      </w:r>
      <w:r>
        <w:rPr>
          <w:rFonts w:hint="eastAsia" w:ascii="宋体" w:hAnsi="宋体"/>
          <w:color w:val="auto"/>
          <w:spacing w:val="-4"/>
          <w:kern w:val="0"/>
          <w:sz w:val="24"/>
          <w:lang w:val="en-US" w:eastAsia="zh-CN"/>
        </w:rPr>
        <w:t>20</w:t>
      </w:r>
      <w:r>
        <w:rPr>
          <w:rFonts w:hint="eastAsia" w:ascii="宋体" w:hAnsi="宋体"/>
          <w:color w:val="auto"/>
          <w:spacing w:val="-4"/>
          <w:kern w:val="0"/>
          <w:sz w:val="24"/>
        </w:rPr>
        <w:t>个工作日内全部完成安装调试经甲方相关部门验收合格交付使用，并且最迟应在202</w:t>
      </w:r>
      <w:r>
        <w:rPr>
          <w:rFonts w:hint="eastAsia" w:ascii="宋体" w:hAnsi="宋体"/>
          <w:color w:val="auto"/>
          <w:spacing w:val="-4"/>
          <w:kern w:val="0"/>
          <w:sz w:val="24"/>
          <w:lang w:val="en-US" w:eastAsia="zh-CN"/>
        </w:rPr>
        <w:t>2</w:t>
      </w:r>
      <w:r>
        <w:rPr>
          <w:rFonts w:hint="eastAsia" w:ascii="宋体" w:hAnsi="宋体"/>
          <w:color w:val="auto"/>
          <w:spacing w:val="-4"/>
          <w:kern w:val="0"/>
          <w:sz w:val="24"/>
        </w:rPr>
        <w:t>年</w:t>
      </w:r>
      <w:r>
        <w:rPr>
          <w:rFonts w:hint="eastAsia" w:ascii="宋体" w:hAnsi="宋体"/>
          <w:color w:val="auto"/>
          <w:spacing w:val="-4"/>
          <w:kern w:val="0"/>
          <w:sz w:val="24"/>
          <w:lang w:val="en-US" w:eastAsia="zh-CN"/>
        </w:rPr>
        <w:t>*</w:t>
      </w:r>
      <w:r>
        <w:rPr>
          <w:rFonts w:hint="eastAsia" w:ascii="宋体" w:hAnsi="宋体"/>
          <w:color w:val="auto"/>
          <w:spacing w:val="-4"/>
          <w:kern w:val="0"/>
          <w:sz w:val="24"/>
        </w:rPr>
        <w:t>月</w:t>
      </w:r>
      <w:r>
        <w:rPr>
          <w:rFonts w:hint="eastAsia" w:ascii="宋体" w:hAnsi="宋体"/>
          <w:color w:val="auto"/>
          <w:spacing w:val="-4"/>
          <w:kern w:val="0"/>
          <w:sz w:val="24"/>
          <w:lang w:val="en-US" w:eastAsia="zh-CN"/>
        </w:rPr>
        <w:t>*</w:t>
      </w:r>
      <w:r>
        <w:rPr>
          <w:rFonts w:hint="eastAsia" w:ascii="宋体" w:hAnsi="宋体"/>
          <w:color w:val="auto"/>
          <w:spacing w:val="-4"/>
          <w:kern w:val="0"/>
          <w:sz w:val="24"/>
        </w:rPr>
        <w:t>日前全部完成安装调试并经甲方相关部门验收合格交付使用(如由于采购人的原因造成合同延迟签订或验收的，时间相应顺延)。交货验收时须提供产品质检部门从同类产品中抽样检查合格的检测报告。</w:t>
      </w:r>
    </w:p>
    <w:p>
      <w:pPr>
        <w:widowControl/>
        <w:spacing w:line="276" w:lineRule="auto"/>
        <w:ind w:firstLine="509"/>
        <w:rPr>
          <w:rFonts w:ascii="宋体" w:hAnsi="宋体"/>
          <w:color w:val="auto"/>
          <w:kern w:val="0"/>
          <w:sz w:val="24"/>
        </w:rPr>
      </w:pPr>
      <w:r>
        <w:rPr>
          <w:rFonts w:hint="eastAsia" w:ascii="宋体" w:hAnsi="宋体"/>
          <w:color w:val="auto"/>
          <w:kern w:val="0"/>
          <w:sz w:val="24"/>
        </w:rPr>
        <w:t>6、验收由甲方组织，乙方配合进行：</w:t>
      </w:r>
    </w:p>
    <w:p>
      <w:pPr>
        <w:widowControl/>
        <w:spacing w:line="276" w:lineRule="auto"/>
        <w:ind w:firstLine="509"/>
        <w:rPr>
          <w:rFonts w:ascii="宋体" w:hAnsi="宋体"/>
          <w:color w:val="auto"/>
          <w:kern w:val="0"/>
          <w:sz w:val="24"/>
        </w:rPr>
      </w:pPr>
      <w:r>
        <w:rPr>
          <w:rFonts w:hint="eastAsia" w:ascii="宋体" w:hAnsi="宋体"/>
          <w:color w:val="auto"/>
          <w:kern w:val="0"/>
          <w:sz w:val="24"/>
        </w:rPr>
        <w:t>(1) 货物在乙方通知安装调试完毕后3日内初步验收。初步验收合格后，进入试用期，为期一个月；试用期间发生重大质量问题，修复后试用相应顺延；试用期结束后3日内完成最终验收；</w:t>
      </w:r>
    </w:p>
    <w:p>
      <w:pPr>
        <w:widowControl/>
        <w:spacing w:line="276" w:lineRule="auto"/>
        <w:ind w:firstLine="509"/>
        <w:rPr>
          <w:rFonts w:ascii="宋体" w:hAnsi="宋体"/>
          <w:color w:val="auto"/>
          <w:kern w:val="0"/>
          <w:sz w:val="24"/>
        </w:rPr>
      </w:pPr>
      <w:r>
        <w:rPr>
          <w:rFonts w:hint="eastAsia" w:ascii="宋体" w:hAnsi="宋体"/>
          <w:color w:val="auto"/>
          <w:kern w:val="0"/>
          <w:sz w:val="24"/>
        </w:rPr>
        <w:t>(2) 验收标准：按国家有关规定以及甲方</w:t>
      </w:r>
      <w:r>
        <w:rPr>
          <w:rFonts w:hint="eastAsia" w:ascii="宋体" w:hAnsi="宋体"/>
          <w:color w:val="auto"/>
          <w:kern w:val="0"/>
          <w:sz w:val="24"/>
          <w:lang w:eastAsia="zh-CN"/>
        </w:rPr>
        <w:t>竞争性磋商文件</w:t>
      </w:r>
      <w:r>
        <w:rPr>
          <w:rFonts w:hint="eastAsia" w:ascii="宋体" w:hAnsi="宋体"/>
          <w:color w:val="auto"/>
          <w:kern w:val="0"/>
          <w:sz w:val="24"/>
        </w:rPr>
        <w:t>的质量要求和技术指标、乙方的投标文件及承诺与本合同约定标准进行验收；甲乙双方如对质量要求和技术指标的约定标准有相互抵触或异议的事项，由甲方在招标与投标文件中按质量要求和技术指标比较优胜的原则确定该项的约定标准进行验收；</w:t>
      </w:r>
    </w:p>
    <w:p>
      <w:pPr>
        <w:widowControl/>
        <w:spacing w:line="276" w:lineRule="auto"/>
        <w:ind w:firstLine="509"/>
        <w:rPr>
          <w:rFonts w:ascii="宋体" w:hAnsi="宋体"/>
          <w:color w:val="auto"/>
          <w:kern w:val="0"/>
          <w:sz w:val="24"/>
        </w:rPr>
      </w:pPr>
      <w:r>
        <w:rPr>
          <w:rFonts w:hint="eastAsia" w:ascii="宋体" w:hAnsi="宋体"/>
          <w:color w:val="auto"/>
          <w:kern w:val="0"/>
          <w:sz w:val="24"/>
        </w:rPr>
        <w:t>(3) 验收时如发现所交付的货物有短装、次品、损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pPr>
        <w:widowControl/>
        <w:spacing w:line="276" w:lineRule="auto"/>
        <w:ind w:firstLine="509"/>
        <w:rPr>
          <w:rFonts w:ascii="宋体" w:hAnsi="宋体"/>
          <w:color w:val="auto"/>
          <w:kern w:val="0"/>
          <w:sz w:val="24"/>
        </w:rPr>
      </w:pPr>
      <w:r>
        <w:rPr>
          <w:rFonts w:hint="eastAsia" w:ascii="宋体" w:hAnsi="宋体"/>
          <w:color w:val="auto"/>
          <w:kern w:val="0"/>
          <w:sz w:val="24"/>
        </w:rPr>
        <w:t>(4) 如质量验收合格，双方签署质量验收报告。</w:t>
      </w:r>
    </w:p>
    <w:p>
      <w:pPr>
        <w:widowControl/>
        <w:spacing w:line="276" w:lineRule="auto"/>
        <w:ind w:firstLine="509"/>
        <w:rPr>
          <w:rFonts w:ascii="宋体" w:hAnsi="宋体"/>
          <w:color w:val="auto"/>
          <w:kern w:val="0"/>
          <w:sz w:val="24"/>
        </w:rPr>
      </w:pPr>
      <w:r>
        <w:rPr>
          <w:rFonts w:hint="eastAsia" w:ascii="宋体" w:hAnsi="宋体"/>
          <w:color w:val="auto"/>
          <w:kern w:val="0"/>
          <w:sz w:val="24"/>
        </w:rPr>
        <w:t>7、货物安装完成后3日内，甲方无故不进行验收工作并已使用货物的，视同已安装调试完成并验收合格。</w:t>
      </w:r>
    </w:p>
    <w:p>
      <w:pPr>
        <w:widowControl/>
        <w:spacing w:line="276" w:lineRule="auto"/>
        <w:ind w:firstLine="509"/>
        <w:rPr>
          <w:rFonts w:ascii="宋体" w:hAnsi="宋体"/>
          <w:color w:val="auto"/>
          <w:kern w:val="0"/>
          <w:sz w:val="24"/>
        </w:rPr>
      </w:pPr>
      <w:r>
        <w:rPr>
          <w:rFonts w:hint="eastAsia" w:ascii="宋体" w:hAnsi="宋体"/>
          <w:color w:val="auto"/>
          <w:kern w:val="0"/>
          <w:sz w:val="24"/>
        </w:rPr>
        <w:t>8、乙方应将所提供货物的装箱清单、配件、随机工具、用户使用手册、原厂保修卡等资料交付给甲方；乙方不能完整交付货物及本款规定的单证和工具的，必须负责补齐，否则视为未按合同约定交货。</w:t>
      </w:r>
    </w:p>
    <w:p>
      <w:pPr>
        <w:widowControl/>
        <w:spacing w:line="276" w:lineRule="auto"/>
        <w:ind w:firstLine="509"/>
        <w:rPr>
          <w:rFonts w:ascii="宋体" w:hAnsi="宋体"/>
          <w:color w:val="auto"/>
          <w:kern w:val="0"/>
          <w:sz w:val="24"/>
        </w:rPr>
      </w:pPr>
      <w:r>
        <w:rPr>
          <w:rFonts w:hint="eastAsia" w:ascii="宋体" w:hAnsi="宋体"/>
          <w:color w:val="auto"/>
          <w:kern w:val="0"/>
          <w:sz w:val="24"/>
        </w:rPr>
        <w:t>9、如货物经乙</w:t>
      </w:r>
      <w:r>
        <w:rPr>
          <w:rFonts w:hint="eastAsia" w:ascii="宋体" w:hAnsi="宋体"/>
          <w:color w:val="auto"/>
          <w:kern w:val="0"/>
          <w:sz w:val="24"/>
          <w:highlight w:val="none"/>
        </w:rPr>
        <w:t>方</w:t>
      </w:r>
      <w:r>
        <w:rPr>
          <w:rFonts w:hint="eastAsia" w:ascii="宋体" w:hAnsi="宋体"/>
          <w:color w:val="auto"/>
          <w:kern w:val="0"/>
          <w:sz w:val="24"/>
          <w:highlight w:val="none"/>
          <w:lang w:eastAsia="zh-CN"/>
        </w:rPr>
        <w:t>二</w:t>
      </w:r>
      <w:r>
        <w:rPr>
          <w:rFonts w:hint="eastAsia" w:ascii="宋体" w:hAnsi="宋体"/>
          <w:color w:val="auto"/>
          <w:kern w:val="0"/>
          <w:sz w:val="24"/>
          <w:highlight w:val="none"/>
        </w:rPr>
        <w:t>次维修仍不</w:t>
      </w:r>
      <w:r>
        <w:rPr>
          <w:rFonts w:hint="eastAsia" w:ascii="宋体" w:hAnsi="宋体"/>
          <w:color w:val="auto"/>
          <w:kern w:val="0"/>
          <w:sz w:val="24"/>
        </w:rPr>
        <w:t xml:space="preserve">能达到合同约定的质量标准，甲方有权退货，并视作乙方不能交付货物而须支付违约赔偿金给甲方，甲方还可依前述约定追究乙方的违约责任。 </w:t>
      </w:r>
    </w:p>
    <w:p>
      <w:pPr>
        <w:widowControl/>
        <w:spacing w:line="276" w:lineRule="auto"/>
        <w:ind w:firstLine="509"/>
        <w:rPr>
          <w:rFonts w:ascii="宋体" w:hAnsi="宋体" w:cs="宋体"/>
          <w:bCs/>
          <w:color w:val="auto"/>
          <w:sz w:val="24"/>
        </w:rPr>
      </w:pPr>
      <w:r>
        <w:rPr>
          <w:rFonts w:hint="eastAsia" w:ascii="宋体" w:hAnsi="宋体"/>
          <w:color w:val="auto"/>
          <w:kern w:val="0"/>
          <w:sz w:val="24"/>
        </w:rPr>
        <w:t>10、其他未尽事宜应严格按照《省财政厅关于加强政府采购项目履约验收工作的通知》（川财采〔2009〕30号）的要求进行。</w:t>
      </w:r>
    </w:p>
    <w:p>
      <w:pPr>
        <w:pStyle w:val="2"/>
        <w:spacing w:line="276" w:lineRule="auto"/>
        <w:rPr>
          <w:rFonts w:ascii="宋体" w:hAnsi="宋体" w:cs="宋体"/>
          <w:b/>
          <w:color w:val="auto"/>
          <w:sz w:val="24"/>
        </w:rPr>
      </w:pPr>
      <w:r>
        <w:rPr>
          <w:rFonts w:hint="eastAsia" w:ascii="宋体" w:hAnsi="宋体" w:cs="宋体"/>
          <w:b/>
          <w:color w:val="auto"/>
          <w:sz w:val="24"/>
        </w:rPr>
        <w:t>六、随机备品、配件工具数量：</w:t>
      </w:r>
    </w:p>
    <w:p>
      <w:pPr>
        <w:pStyle w:val="2"/>
        <w:spacing w:line="276" w:lineRule="auto"/>
        <w:ind w:firstLine="482" w:firstLineChars="200"/>
        <w:rPr>
          <w:rFonts w:ascii="宋体" w:hAnsi="宋体" w:cs="宋体"/>
          <w:color w:val="auto"/>
          <w:sz w:val="24"/>
        </w:rPr>
      </w:pPr>
      <w:r>
        <w:rPr>
          <w:rFonts w:hint="eastAsia" w:ascii="宋体" w:hAnsi="宋体" w:cs="宋体"/>
          <w:b/>
          <w:color w:val="auto"/>
          <w:sz w:val="24"/>
        </w:rPr>
        <w:t>1.</w:t>
      </w:r>
      <w:r>
        <w:rPr>
          <w:rFonts w:hint="eastAsia" w:ascii="宋体" w:hAnsi="宋体" w:cs="宋体"/>
          <w:color w:val="auto"/>
          <w:sz w:val="24"/>
        </w:rPr>
        <w:t>合格证、说明书等资料齐全，随车免费赠送一套配件。</w:t>
      </w:r>
    </w:p>
    <w:p>
      <w:pPr>
        <w:pStyle w:val="2"/>
        <w:spacing w:line="276" w:lineRule="auto"/>
        <w:ind w:firstLine="480" w:firstLineChars="200"/>
        <w:rPr>
          <w:rFonts w:ascii="宋体" w:hAnsi="宋体" w:cs="宋体"/>
          <w:b/>
          <w:color w:val="auto"/>
          <w:sz w:val="24"/>
        </w:rPr>
      </w:pPr>
      <w:r>
        <w:rPr>
          <w:rFonts w:hint="eastAsia" w:ascii="宋体" w:hAnsi="宋体" w:cs="宋体"/>
          <w:color w:val="auto"/>
          <w:sz w:val="24"/>
        </w:rPr>
        <w:t>2.随车文件用资料袋包装，随车工具用工具箱包装，随车附件、备品、配件用通用物包装，包装物不回收。</w:t>
      </w:r>
    </w:p>
    <w:p>
      <w:pPr>
        <w:spacing w:line="276" w:lineRule="auto"/>
        <w:ind w:left="472" w:right="231" w:rightChars="110" w:hanging="472" w:hangingChars="196"/>
        <w:rPr>
          <w:rFonts w:ascii="宋体" w:hAnsi="宋体" w:cs="宋体"/>
          <w:bCs/>
          <w:color w:val="auto"/>
          <w:sz w:val="24"/>
        </w:rPr>
      </w:pPr>
      <w:r>
        <w:rPr>
          <w:rFonts w:hint="eastAsia" w:ascii="宋体" w:hAnsi="宋体" w:cs="宋体"/>
          <w:b/>
          <w:color w:val="auto"/>
          <w:sz w:val="24"/>
        </w:rPr>
        <w:t>七、货款结算方式及期限</w:t>
      </w:r>
      <w:r>
        <w:rPr>
          <w:rFonts w:hint="eastAsia" w:ascii="宋体" w:hAnsi="宋体" w:cs="宋体"/>
          <w:bCs/>
          <w:color w:val="auto"/>
          <w:sz w:val="24"/>
        </w:rPr>
        <w:t>：</w:t>
      </w:r>
    </w:p>
    <w:p>
      <w:pPr>
        <w:spacing w:line="276" w:lineRule="auto"/>
        <w:ind w:right="231" w:rightChars="110" w:firstLine="487" w:firstLineChars="203"/>
        <w:rPr>
          <w:rFonts w:ascii="宋体" w:hAnsi="宋体" w:cs="宋体"/>
          <w:color w:val="auto"/>
          <w:sz w:val="24"/>
        </w:rPr>
      </w:pPr>
      <w:r>
        <w:rPr>
          <w:rFonts w:hint="eastAsia" w:ascii="宋体" w:hAnsi="宋体" w:cs="宋体"/>
          <w:bCs/>
          <w:color w:val="auto"/>
          <w:sz w:val="24"/>
        </w:rPr>
        <w:t>1.</w:t>
      </w:r>
      <w:r>
        <w:rPr>
          <w:rFonts w:hint="eastAsia" w:ascii="宋体" w:hAnsi="宋体" w:cs="宋体"/>
          <w:color w:val="auto"/>
          <w:sz w:val="24"/>
        </w:rPr>
        <w:t>乙方将货物运送至甲方指定地点，乙方负责安装、调试完毕，经甲方验收合格移交甲方并配合甲方完成车辆上户后，甲方凭《商品验收单》、有效发票支付乙方总货款的60%，</w:t>
      </w:r>
      <w:r>
        <w:rPr>
          <w:rFonts w:hint="eastAsia" w:ascii="宋体" w:hAnsi="宋体" w:cs="宋体"/>
          <w:color w:val="auto"/>
          <w:sz w:val="24"/>
          <w:lang w:eastAsia="zh-CN"/>
        </w:rPr>
        <w:t>在车辆</w:t>
      </w:r>
      <w:r>
        <w:rPr>
          <w:rFonts w:hint="eastAsia" w:ascii="宋体" w:hAnsi="宋体" w:cs="宋体"/>
          <w:color w:val="auto"/>
          <w:sz w:val="24"/>
        </w:rPr>
        <w:t>验收合格移交甲方并配合甲方完成车辆上户</w:t>
      </w:r>
      <w:r>
        <w:rPr>
          <w:rFonts w:hint="eastAsia" w:ascii="宋体" w:hAnsi="宋体" w:cs="宋体"/>
          <w:color w:val="auto"/>
          <w:sz w:val="24"/>
          <w:lang w:eastAsia="zh-CN"/>
        </w:rPr>
        <w:t>并经甲方相关人员确认车辆无任何质量问题后，</w:t>
      </w:r>
      <w:r>
        <w:rPr>
          <w:rFonts w:hint="eastAsia" w:ascii="宋体" w:hAnsi="宋体" w:cs="宋体"/>
          <w:color w:val="auto"/>
          <w:sz w:val="24"/>
        </w:rPr>
        <w:t>甲方凭《商品验收单》</w:t>
      </w:r>
      <w:r>
        <w:rPr>
          <w:rFonts w:hint="eastAsia" w:ascii="宋体" w:hAnsi="宋体" w:cs="宋体"/>
          <w:color w:val="auto"/>
          <w:sz w:val="24"/>
          <w:lang w:val="en-US" w:eastAsia="zh-CN"/>
        </w:rPr>
        <w:t>及</w:t>
      </w:r>
      <w:r>
        <w:rPr>
          <w:rFonts w:hint="eastAsia" w:ascii="宋体" w:hAnsi="宋体" w:cs="宋体"/>
          <w:color w:val="auto"/>
          <w:sz w:val="24"/>
        </w:rPr>
        <w:t>有效发票</w:t>
      </w:r>
      <w:r>
        <w:rPr>
          <w:rFonts w:hint="eastAsia" w:ascii="宋体" w:hAnsi="宋体" w:cs="宋体"/>
          <w:color w:val="auto"/>
          <w:sz w:val="24"/>
          <w:lang w:eastAsia="zh-CN"/>
        </w:rPr>
        <w:t>，</w:t>
      </w:r>
      <w:r>
        <w:rPr>
          <w:rFonts w:hint="eastAsia" w:ascii="宋体" w:hAnsi="宋体"/>
          <w:color w:val="auto"/>
          <w:kern w:val="0"/>
          <w:sz w:val="24"/>
        </w:rPr>
        <w:t>于</w:t>
      </w:r>
      <w:r>
        <w:rPr>
          <w:rFonts w:hint="eastAsia" w:ascii="宋体" w:hAnsi="宋体" w:cs="宋体"/>
          <w:color w:val="auto"/>
          <w:sz w:val="24"/>
        </w:rPr>
        <w:t>车辆验收合格一年经相关部门确认车辆无质量问题后一次性付清</w:t>
      </w:r>
      <w:r>
        <w:rPr>
          <w:rFonts w:hint="eastAsia" w:ascii="宋体" w:hAnsi="宋体"/>
          <w:color w:val="auto"/>
          <w:kern w:val="0"/>
          <w:sz w:val="24"/>
        </w:rPr>
        <w:t>剩余尾款</w:t>
      </w:r>
      <w:r>
        <w:rPr>
          <w:rFonts w:hint="eastAsia" w:ascii="宋体" w:hAnsi="宋体" w:cs="宋体"/>
          <w:color w:val="auto"/>
          <w:sz w:val="24"/>
        </w:rPr>
        <w:t>，剩余款项不计利息。</w:t>
      </w:r>
    </w:p>
    <w:p>
      <w:pPr>
        <w:pStyle w:val="82"/>
        <w:spacing w:line="276" w:lineRule="auto"/>
        <w:ind w:firstLine="480"/>
        <w:rPr>
          <w:rFonts w:ascii="宋体" w:hAnsi="宋体"/>
          <w:color w:val="auto"/>
        </w:rPr>
      </w:pPr>
      <w:r>
        <w:rPr>
          <w:rFonts w:hint="eastAsia" w:ascii="宋体" w:hAnsi="宋体"/>
          <w:color w:val="auto"/>
        </w:rPr>
        <w:t>2.</w:t>
      </w:r>
      <w:r>
        <w:rPr>
          <w:rFonts w:cs="Times New Roman"/>
          <w:color w:val="auto"/>
        </w:rPr>
        <w:t>履约保证金退还：</w:t>
      </w:r>
      <w:r>
        <w:rPr>
          <w:rFonts w:hint="eastAsia" w:cs="Times New Roman"/>
          <w:color w:val="auto"/>
        </w:rPr>
        <w:t>本合同履约保证金为合同总价的</w:t>
      </w:r>
      <w:r>
        <w:rPr>
          <w:rFonts w:hint="eastAsia" w:cs="Times New Roman"/>
          <w:color w:val="auto"/>
          <w:lang w:val="en-US" w:eastAsia="zh-CN"/>
        </w:rPr>
        <w:t>10</w:t>
      </w:r>
      <w:r>
        <w:rPr>
          <w:rFonts w:hint="eastAsia" w:cs="Times New Roman"/>
          <w:color w:val="auto"/>
        </w:rPr>
        <w:t>%，即  元（大写：  ）</w:t>
      </w:r>
      <w:r>
        <w:rPr>
          <w:rFonts w:cs="Times New Roman"/>
          <w:color w:val="auto"/>
        </w:rPr>
        <w:t>在货物验收合格</w:t>
      </w:r>
      <w:r>
        <w:rPr>
          <w:rFonts w:hint="eastAsia" w:cs="Times New Roman"/>
          <w:color w:val="auto"/>
        </w:rPr>
        <w:t>移交甲方</w:t>
      </w:r>
      <w:r>
        <w:rPr>
          <w:rFonts w:hint="eastAsia" w:ascii="宋体" w:hAnsi="宋体"/>
          <w:color w:val="auto"/>
        </w:rPr>
        <w:t>并配合甲方完成车辆上户</w:t>
      </w:r>
      <w:r>
        <w:rPr>
          <w:rFonts w:cs="Times New Roman"/>
          <w:color w:val="auto"/>
        </w:rPr>
        <w:t>后，甲方接到乙方通知和支付凭证资料文件，以及由甲方确认本合同货物质量与服务等约定事项已经履行完毕的正式书面文件，递交</w:t>
      </w:r>
      <w:r>
        <w:rPr>
          <w:rFonts w:hint="eastAsia" w:cs="Times New Roman"/>
          <w:color w:val="auto"/>
        </w:rPr>
        <w:t>相关</w:t>
      </w:r>
      <w:r>
        <w:rPr>
          <w:rFonts w:cs="Times New Roman"/>
          <w:color w:val="auto"/>
        </w:rPr>
        <w:t>凭证资料后</w:t>
      </w:r>
      <w:r>
        <w:rPr>
          <w:rFonts w:hint="eastAsia" w:cs="Times New Roman"/>
          <w:color w:val="auto"/>
          <w:lang w:eastAsia="zh-CN"/>
        </w:rPr>
        <w:t>无息</w:t>
      </w:r>
      <w:r>
        <w:rPr>
          <w:rFonts w:cs="Times New Roman"/>
          <w:color w:val="auto"/>
        </w:rPr>
        <w:t>退还；乙方履约不合格的，履约保证金不予退还。</w:t>
      </w:r>
    </w:p>
    <w:p>
      <w:pPr>
        <w:widowControl/>
        <w:spacing w:line="276" w:lineRule="auto"/>
        <w:ind w:firstLine="509"/>
        <w:rPr>
          <w:rFonts w:ascii="宋体" w:hAnsi="宋体" w:cs="宋体"/>
          <w:color w:val="auto"/>
          <w:sz w:val="24"/>
        </w:rPr>
      </w:pPr>
      <w:r>
        <w:rPr>
          <w:rFonts w:hint="eastAsia" w:ascii="宋体" w:hAnsi="宋体"/>
          <w:color w:val="auto"/>
          <w:kern w:val="0"/>
          <w:sz w:val="24"/>
        </w:rPr>
        <w:t>3</w:t>
      </w:r>
      <w:r>
        <w:rPr>
          <w:rFonts w:hint="eastAsia" w:ascii="宋体" w:hAnsi="宋体"/>
          <w:color w:val="auto"/>
          <w:kern w:val="0"/>
          <w:sz w:val="24"/>
          <w:lang w:val="en-US" w:eastAsia="zh-CN"/>
        </w:rPr>
        <w:t>.</w:t>
      </w:r>
      <w:r>
        <w:rPr>
          <w:rFonts w:hint="eastAsia" w:ascii="宋体" w:hAnsi="宋体"/>
          <w:color w:val="auto"/>
          <w:kern w:val="0"/>
          <w:sz w:val="24"/>
        </w:rPr>
        <w:t>付款前乙方须向甲方出具合法有效完整的完税发票及凭证资料。</w:t>
      </w:r>
    </w:p>
    <w:p>
      <w:pPr>
        <w:spacing w:line="276" w:lineRule="auto"/>
        <w:ind w:left="482" w:right="231" w:rightChars="110" w:hanging="482" w:hangingChars="200"/>
        <w:rPr>
          <w:rFonts w:ascii="宋体" w:hAnsi="宋体" w:cs="宋体"/>
          <w:bCs/>
          <w:color w:val="auto"/>
          <w:sz w:val="24"/>
        </w:rPr>
      </w:pPr>
      <w:r>
        <w:rPr>
          <w:rFonts w:hint="eastAsia" w:ascii="宋体" w:hAnsi="宋体" w:cs="宋体"/>
          <w:b/>
          <w:color w:val="auto"/>
          <w:sz w:val="24"/>
        </w:rPr>
        <w:t>八、所有权转移</w:t>
      </w:r>
      <w:r>
        <w:rPr>
          <w:rFonts w:hint="eastAsia" w:ascii="宋体" w:hAnsi="宋体" w:cs="宋体"/>
          <w:bCs/>
          <w:color w:val="auto"/>
          <w:sz w:val="24"/>
        </w:rPr>
        <w:t>：</w:t>
      </w:r>
    </w:p>
    <w:p>
      <w:pPr>
        <w:tabs>
          <w:tab w:val="left" w:pos="360"/>
          <w:tab w:val="left" w:pos="540"/>
        </w:tabs>
        <w:spacing w:line="276" w:lineRule="auto"/>
        <w:ind w:right="231" w:rightChars="110" w:firstLine="480" w:firstLineChars="200"/>
        <w:rPr>
          <w:rFonts w:ascii="宋体" w:hAnsi="宋体" w:cs="宋体"/>
          <w:bCs/>
          <w:color w:val="auto"/>
          <w:sz w:val="24"/>
        </w:rPr>
      </w:pPr>
      <w:r>
        <w:rPr>
          <w:rFonts w:hint="eastAsia" w:ascii="宋体" w:hAnsi="宋体" w:cs="宋体"/>
          <w:bCs/>
          <w:color w:val="auto"/>
          <w:sz w:val="24"/>
        </w:rPr>
        <w:t>标的物所有权自甲方</w:t>
      </w:r>
      <w:r>
        <w:rPr>
          <w:rFonts w:hint="eastAsia" w:ascii="宋体" w:hAnsi="宋体" w:cs="宋体"/>
          <w:bCs/>
          <w:color w:val="auto"/>
          <w:sz w:val="24"/>
          <w:lang w:eastAsia="zh-CN"/>
        </w:rPr>
        <w:t>收到合格车辆完成车辆上户</w:t>
      </w:r>
      <w:r>
        <w:rPr>
          <w:rFonts w:hint="eastAsia" w:ascii="宋体" w:hAnsi="宋体" w:cs="宋体"/>
          <w:bCs/>
          <w:color w:val="auto"/>
          <w:sz w:val="24"/>
        </w:rPr>
        <w:t>时起转移</w:t>
      </w:r>
      <w:r>
        <w:rPr>
          <w:rFonts w:hint="eastAsia" w:ascii="宋体" w:hAnsi="宋体" w:cs="宋体"/>
          <w:bCs/>
          <w:color w:val="auto"/>
          <w:sz w:val="24"/>
          <w:lang w:eastAsia="zh-CN"/>
        </w:rPr>
        <w:t>；</w:t>
      </w:r>
      <w:r>
        <w:rPr>
          <w:rFonts w:hint="eastAsia" w:ascii="宋体" w:hAnsi="宋体" w:cs="宋体"/>
          <w:bCs/>
          <w:color w:val="auto"/>
          <w:sz w:val="24"/>
        </w:rPr>
        <w:t>车辆使用、管理和经营的风险责任自车辆交付之日起转移至甲方。</w:t>
      </w:r>
      <w:r>
        <w:rPr>
          <w:rFonts w:hint="eastAsia"/>
          <w:color w:val="auto"/>
          <w:sz w:val="24"/>
        </w:rPr>
        <w:t>车辆运输、装卸及安装调试过程中发生费用及风险责任均由供方自行承担。车辆移交甲方前所发生费用由供方承担，车辆移交甲方前的毁损灭失风险由供方承担。</w:t>
      </w:r>
    </w:p>
    <w:p>
      <w:pPr>
        <w:spacing w:line="276" w:lineRule="auto"/>
        <w:ind w:left="482" w:right="231" w:rightChars="110" w:hanging="482" w:hangingChars="200"/>
        <w:rPr>
          <w:rFonts w:ascii="宋体" w:hAnsi="宋体" w:cs="宋体"/>
          <w:b/>
          <w:color w:val="auto"/>
          <w:sz w:val="24"/>
        </w:rPr>
      </w:pPr>
      <w:r>
        <w:rPr>
          <w:rFonts w:hint="eastAsia" w:ascii="宋体" w:hAnsi="宋体" w:cs="宋体"/>
          <w:b/>
          <w:color w:val="auto"/>
          <w:sz w:val="24"/>
        </w:rPr>
        <w:t>九、约定事项：</w:t>
      </w:r>
    </w:p>
    <w:p>
      <w:pPr>
        <w:widowControl/>
        <w:spacing w:line="276" w:lineRule="auto"/>
        <w:ind w:firstLine="509"/>
        <w:rPr>
          <w:rFonts w:hint="eastAsia" w:ascii="宋体" w:hAnsi="宋体" w:eastAsia="宋体" w:cs="宋体"/>
          <w:bCs/>
          <w:color w:val="auto"/>
          <w:sz w:val="24"/>
          <w:lang w:eastAsia="zh-CN"/>
        </w:rPr>
      </w:pPr>
      <w:r>
        <w:rPr>
          <w:rFonts w:hint="eastAsia" w:ascii="宋体" w:hAnsi="宋体" w:cs="宋体"/>
          <w:color w:val="auto"/>
          <w:sz w:val="24"/>
          <w:shd w:val="clear" w:color="auto" w:fill="FFFFFF"/>
        </w:rPr>
        <w:t>1.乙方负责对甲方操作、维修人员和有关的技术人员进行基本原理、操作培训、维修培训、设备保养培训等培训，使之完全掌握全部使用技术，以便使甲方人员正常地使用、维修保养车辆设备。</w:t>
      </w:r>
      <w:r>
        <w:rPr>
          <w:rFonts w:hint="eastAsia" w:ascii="宋体" w:hAnsi="宋体" w:cs="宋体"/>
          <w:bCs/>
          <w:color w:val="auto"/>
          <w:sz w:val="24"/>
        </w:rPr>
        <w:t>乙方免收培训费、资料费和差旅费</w:t>
      </w:r>
      <w:r>
        <w:rPr>
          <w:rFonts w:hint="eastAsia" w:ascii="宋体" w:hAnsi="宋体" w:cs="宋体"/>
          <w:bCs/>
          <w:color w:val="auto"/>
          <w:sz w:val="24"/>
          <w:lang w:eastAsia="zh-CN"/>
        </w:rPr>
        <w:t>。</w:t>
      </w:r>
    </w:p>
    <w:p>
      <w:pPr>
        <w:widowControl/>
        <w:spacing w:line="276" w:lineRule="auto"/>
        <w:ind w:firstLine="509"/>
        <w:rPr>
          <w:rFonts w:ascii="宋体" w:hAnsi="宋体" w:cs="宋体"/>
          <w:color w:val="auto"/>
          <w:sz w:val="24"/>
          <w:shd w:val="clear" w:color="auto" w:fill="FFFFFF"/>
        </w:rPr>
      </w:pPr>
      <w:r>
        <w:rPr>
          <w:rFonts w:hint="eastAsia" w:ascii="宋体" w:hAnsi="宋体" w:cs="宋体"/>
          <w:color w:val="auto"/>
          <w:sz w:val="24"/>
          <w:shd w:val="clear" w:color="auto" w:fill="FFFFFF"/>
        </w:rPr>
        <w:t>2.随车提供乙方所供车辆的相关</w:t>
      </w:r>
      <w:r>
        <w:rPr>
          <w:rFonts w:hint="eastAsia" w:ascii="宋体" w:hAnsi="宋体" w:cs="宋体"/>
          <w:color w:val="auto"/>
          <w:sz w:val="24"/>
        </w:rPr>
        <w:t>合格证、</w:t>
      </w:r>
      <w:r>
        <w:rPr>
          <w:rFonts w:hint="eastAsia" w:ascii="宋体" w:hAnsi="宋体" w:cs="宋体"/>
          <w:bCs/>
          <w:color w:val="auto"/>
          <w:sz w:val="24"/>
        </w:rPr>
        <w:t>《使用说明书及保养手册》</w:t>
      </w:r>
      <w:r>
        <w:rPr>
          <w:rFonts w:hint="eastAsia" w:ascii="宋体" w:hAnsi="宋体" w:cs="宋体"/>
          <w:color w:val="auto"/>
          <w:sz w:val="24"/>
        </w:rPr>
        <w:t>等全部资料</w:t>
      </w:r>
      <w:r>
        <w:rPr>
          <w:rFonts w:hint="eastAsia" w:ascii="宋体" w:hAnsi="宋体" w:cs="宋体"/>
          <w:bCs/>
          <w:color w:val="auto"/>
          <w:sz w:val="24"/>
        </w:rPr>
        <w:t>。</w:t>
      </w:r>
    </w:p>
    <w:p>
      <w:pPr>
        <w:widowControl/>
        <w:spacing w:line="276" w:lineRule="auto"/>
        <w:ind w:firstLine="509"/>
        <w:rPr>
          <w:rFonts w:ascii="宋体" w:hAnsi="宋体" w:cs="宋体"/>
          <w:color w:val="auto"/>
          <w:sz w:val="24"/>
          <w:shd w:val="clear" w:color="auto" w:fill="FFFFFF"/>
        </w:rPr>
      </w:pPr>
      <w:r>
        <w:rPr>
          <w:rFonts w:hint="eastAsia" w:ascii="宋体" w:hAnsi="宋体" w:cs="宋体"/>
          <w:bCs/>
          <w:color w:val="auto"/>
          <w:sz w:val="24"/>
        </w:rPr>
        <w:t>3.对于产品所用的二类底盘的故障，甲方自行到二类底盘生产厂家的当地服务站进行维修、保养，维修费用由甲方与二类底盘服务站协商承担。双方有异议时，甲方可寻求乙方协助处理。</w:t>
      </w:r>
    </w:p>
    <w:p>
      <w:pPr>
        <w:widowControl/>
        <w:spacing w:line="276" w:lineRule="auto"/>
        <w:ind w:firstLine="509"/>
        <w:rPr>
          <w:color w:val="auto"/>
        </w:rPr>
      </w:pPr>
      <w:r>
        <w:rPr>
          <w:rFonts w:hint="eastAsia" w:ascii="宋体" w:hAnsi="宋体"/>
          <w:bCs/>
          <w:color w:val="auto"/>
          <w:sz w:val="24"/>
        </w:rPr>
        <w:t>4.乙方所供</w:t>
      </w:r>
      <w:r>
        <w:rPr>
          <w:rFonts w:hint="eastAsia" w:ascii="宋体" w:hAnsi="宋体" w:cs="宋体"/>
          <w:bCs/>
          <w:color w:val="auto"/>
          <w:sz w:val="24"/>
        </w:rPr>
        <w:t>车辆正常投入使用后，乙方应定期对甲方车辆使用情况进行回访。</w:t>
      </w:r>
    </w:p>
    <w:p>
      <w:pPr>
        <w:widowControl/>
        <w:spacing w:line="276" w:lineRule="auto"/>
        <w:ind w:firstLine="509"/>
        <w:rPr>
          <w:rFonts w:hint="eastAsia" w:ascii="宋体" w:hAnsi="宋体"/>
          <w:color w:val="auto"/>
          <w:kern w:val="0"/>
          <w:sz w:val="24"/>
        </w:rPr>
      </w:pPr>
    </w:p>
    <w:p>
      <w:pPr>
        <w:widowControl/>
        <w:spacing w:line="276" w:lineRule="auto"/>
        <w:ind w:firstLine="509"/>
        <w:rPr>
          <w:rFonts w:ascii="宋体" w:hAnsi="宋体"/>
          <w:color w:val="auto"/>
          <w:kern w:val="0"/>
          <w:sz w:val="24"/>
        </w:rPr>
      </w:pPr>
      <w:r>
        <w:rPr>
          <w:rFonts w:hint="eastAsia" w:ascii="宋体" w:hAnsi="宋体"/>
          <w:color w:val="auto"/>
          <w:kern w:val="0"/>
          <w:sz w:val="24"/>
        </w:rPr>
        <w:t>5、售后服务基本要求</w:t>
      </w:r>
    </w:p>
    <w:p>
      <w:pPr>
        <w:widowControl/>
        <w:spacing w:line="276" w:lineRule="auto"/>
        <w:ind w:firstLine="509"/>
        <w:rPr>
          <w:rFonts w:ascii="宋体" w:hAnsi="宋体"/>
          <w:color w:val="auto"/>
          <w:kern w:val="0"/>
          <w:sz w:val="24"/>
        </w:rPr>
      </w:pPr>
      <w:r>
        <w:rPr>
          <w:rFonts w:hint="eastAsia" w:ascii="宋体" w:hAnsi="宋体"/>
          <w:color w:val="auto"/>
          <w:kern w:val="0"/>
          <w:sz w:val="24"/>
        </w:rPr>
        <w:t>5.1所有产品质量保证期为1年，质量保证期内，乙方负责免费保修，质量保证期自</w:t>
      </w:r>
      <w:r>
        <w:rPr>
          <w:rFonts w:hint="eastAsia" w:ascii="宋体" w:hAnsi="宋体" w:cs="宋体"/>
          <w:color w:val="auto"/>
          <w:sz w:val="24"/>
        </w:rPr>
        <w:t>车辆送达甲方指定地点并经甲方验收合格之日起</w:t>
      </w:r>
      <w:r>
        <w:rPr>
          <w:rFonts w:hint="eastAsia" w:ascii="宋体" w:hAnsi="宋体"/>
          <w:color w:val="auto"/>
          <w:kern w:val="0"/>
          <w:sz w:val="24"/>
        </w:rPr>
        <w:t>起计算。厂家售后服务标准和质保期高于该标准的，按厂家标准执行，否则按上述标准执行。</w:t>
      </w:r>
      <w:r>
        <w:rPr>
          <w:rFonts w:hint="eastAsia" w:ascii="宋体" w:hAnsi="宋体" w:cs="宋体"/>
          <w:color w:val="auto"/>
          <w:sz w:val="24"/>
        </w:rPr>
        <w:t>其它见出卖人《产品质量保修手册》（《产品质量保修手册》作为本合同的附件）。</w:t>
      </w:r>
      <w:r>
        <w:rPr>
          <w:rFonts w:hint="eastAsia" w:ascii="宋体" w:hAnsi="宋体" w:cs="宋体"/>
          <w:bCs/>
          <w:color w:val="auto"/>
          <w:sz w:val="24"/>
        </w:rPr>
        <w:t>产品超过保修期后，依据乙方售后服务承诺，乙方派人到甲方处进行维修，甲方承担维修工时费、及所更换的零配件等费用，</w:t>
      </w:r>
      <w:r>
        <w:rPr>
          <w:rFonts w:hint="eastAsia"/>
          <w:color w:val="auto"/>
          <w:sz w:val="24"/>
        </w:rPr>
        <w:t>但乙方承诺给予甲方最低市场优惠价。如因操作失误而出现故障，乙方仍然给予检修，费用由甲方承担，乙方承诺给予甲方最低市场优惠价。如机器正常运转时发生故障损坏车辆由乙方负责赔偿。</w:t>
      </w:r>
    </w:p>
    <w:p>
      <w:pPr>
        <w:widowControl/>
        <w:spacing w:line="276" w:lineRule="auto"/>
        <w:ind w:firstLine="509"/>
        <w:rPr>
          <w:rFonts w:ascii="宋体" w:hAnsi="宋体"/>
          <w:color w:val="auto"/>
          <w:kern w:val="0"/>
          <w:sz w:val="24"/>
        </w:rPr>
      </w:pPr>
      <w:r>
        <w:rPr>
          <w:rFonts w:hint="eastAsia" w:ascii="宋体" w:hAnsi="宋体"/>
          <w:color w:val="auto"/>
          <w:kern w:val="0"/>
          <w:sz w:val="24"/>
        </w:rPr>
        <w:t>5.2应急服务响应小于</w:t>
      </w:r>
      <w:r>
        <w:rPr>
          <w:rFonts w:hint="eastAsia" w:ascii="宋体" w:hAnsi="宋体"/>
          <w:color w:val="auto"/>
          <w:kern w:val="0"/>
          <w:sz w:val="24"/>
          <w:lang w:val="en-US" w:eastAsia="zh-CN"/>
        </w:rPr>
        <w:t>2</w:t>
      </w:r>
      <w:r>
        <w:rPr>
          <w:rFonts w:hint="eastAsia" w:ascii="宋体" w:hAnsi="宋体"/>
          <w:color w:val="auto"/>
          <w:kern w:val="0"/>
          <w:sz w:val="24"/>
        </w:rPr>
        <w:t>小时。</w:t>
      </w:r>
    </w:p>
    <w:p>
      <w:pPr>
        <w:widowControl/>
        <w:spacing w:line="276" w:lineRule="auto"/>
        <w:ind w:firstLine="509"/>
        <w:rPr>
          <w:rFonts w:hint="eastAsia" w:ascii="宋体" w:hAnsi="宋体"/>
          <w:color w:val="auto"/>
          <w:kern w:val="0"/>
          <w:sz w:val="24"/>
        </w:rPr>
      </w:pPr>
      <w:r>
        <w:rPr>
          <w:rFonts w:hint="eastAsia" w:ascii="宋体" w:hAnsi="宋体"/>
          <w:color w:val="auto"/>
          <w:kern w:val="0"/>
          <w:sz w:val="24"/>
        </w:rPr>
        <w:t>5.3售后服务接到通知后应在24小时内赶到现场。</w:t>
      </w:r>
    </w:p>
    <w:p>
      <w:pPr>
        <w:pStyle w:val="2"/>
        <w:rPr>
          <w:rFonts w:hint="default" w:eastAsia="宋体"/>
          <w:lang w:val="en-US" w:eastAsia="zh-CN"/>
        </w:rPr>
      </w:pPr>
      <w:r>
        <w:rPr>
          <w:rFonts w:hint="eastAsia" w:ascii="宋体" w:hAnsi="宋体"/>
          <w:color w:val="auto"/>
          <w:kern w:val="0"/>
          <w:sz w:val="24"/>
          <w:lang w:val="en-US" w:eastAsia="zh-CN"/>
        </w:rPr>
        <w:t xml:space="preserve">    5.4成套设备质保期三年，终身维护（只收成本费），质保期自设备经甲方验收合格之日起计。</w:t>
      </w:r>
    </w:p>
    <w:p>
      <w:pPr>
        <w:widowControl/>
        <w:spacing w:line="276" w:lineRule="auto"/>
        <w:ind w:firstLine="509"/>
        <w:rPr>
          <w:rFonts w:ascii="宋体" w:hAnsi="宋体"/>
          <w:color w:val="auto"/>
          <w:kern w:val="0"/>
          <w:sz w:val="24"/>
        </w:rPr>
      </w:pPr>
      <w:r>
        <w:rPr>
          <w:rFonts w:hint="eastAsia" w:ascii="宋体" w:hAnsi="宋体"/>
          <w:color w:val="auto"/>
          <w:kern w:val="0"/>
          <w:sz w:val="24"/>
        </w:rPr>
        <w:t>5.</w:t>
      </w:r>
      <w:r>
        <w:rPr>
          <w:rFonts w:hint="eastAsia" w:ascii="宋体" w:hAnsi="宋体"/>
          <w:color w:val="auto"/>
          <w:kern w:val="0"/>
          <w:sz w:val="24"/>
          <w:lang w:val="en-US" w:eastAsia="zh-CN"/>
        </w:rPr>
        <w:t>4</w:t>
      </w:r>
      <w:r>
        <w:rPr>
          <w:rFonts w:hint="eastAsia" w:ascii="宋体" w:hAnsi="宋体"/>
          <w:color w:val="auto"/>
          <w:kern w:val="0"/>
          <w:sz w:val="24"/>
        </w:rPr>
        <w:t>质量保证期内，若因</w:t>
      </w:r>
      <w:r>
        <w:rPr>
          <w:rFonts w:hint="eastAsia" w:ascii="宋体" w:hAnsi="宋体" w:cs="宋体"/>
          <w:color w:val="auto"/>
          <w:sz w:val="24"/>
          <w:shd w:val="clear" w:color="auto" w:fill="FFFFFF"/>
        </w:rPr>
        <w:t>火灾、水灾、地震、磁电串入等不可抗拒原因及甲方人为破坏因素造成的损坏，乙方负责免费维修，设备材料成本费用由甲方承担，</w:t>
      </w:r>
      <w:r>
        <w:rPr>
          <w:rFonts w:hint="eastAsia" w:ascii="宋体" w:hAnsi="宋体" w:cs="宋体"/>
          <w:color w:val="auto"/>
          <w:sz w:val="24"/>
        </w:rPr>
        <w:t>乙方承诺给予甲方最低市场优惠价。</w:t>
      </w:r>
      <w:r>
        <w:rPr>
          <w:rFonts w:hint="eastAsia" w:ascii="宋体" w:hAnsi="宋体"/>
          <w:color w:val="auto"/>
          <w:kern w:val="0"/>
          <w:sz w:val="24"/>
        </w:rPr>
        <w:t>非操作不当引起的故障，应无偿维修；维修不能解决的，无条件更换，相关费用由乙方承担；保修期内，卖方对买方提出的维修通知在10个工作日内不予响应的，买方有权委托其他维修单位维修，由此产生的全部费用由乙方承担。</w:t>
      </w:r>
    </w:p>
    <w:p>
      <w:pPr>
        <w:tabs>
          <w:tab w:val="left" w:pos="720"/>
        </w:tabs>
        <w:spacing w:line="276" w:lineRule="auto"/>
        <w:ind w:firstLine="480" w:firstLineChars="200"/>
        <w:rPr>
          <w:rFonts w:ascii="宋体" w:hAnsi="宋体"/>
          <w:color w:val="auto"/>
          <w:kern w:val="0"/>
          <w:sz w:val="24"/>
        </w:rPr>
      </w:pPr>
      <w:r>
        <w:rPr>
          <w:rFonts w:hint="eastAsia" w:ascii="宋体" w:hAnsi="宋体"/>
          <w:color w:val="auto"/>
          <w:kern w:val="0"/>
          <w:sz w:val="24"/>
        </w:rPr>
        <w:t>5.</w:t>
      </w:r>
      <w:r>
        <w:rPr>
          <w:rFonts w:hint="eastAsia" w:ascii="宋体" w:hAnsi="宋体"/>
          <w:color w:val="auto"/>
          <w:kern w:val="0"/>
          <w:sz w:val="24"/>
          <w:lang w:val="en-US" w:eastAsia="zh-CN"/>
        </w:rPr>
        <w:t>5</w:t>
      </w:r>
      <w:r>
        <w:rPr>
          <w:rFonts w:hint="eastAsia" w:ascii="宋体" w:hAnsi="宋体"/>
          <w:color w:val="auto"/>
          <w:kern w:val="0"/>
          <w:sz w:val="24"/>
        </w:rPr>
        <w:t>质量保证期结束后，投标人应继续为货物提供完善而优惠的售后服务，</w:t>
      </w:r>
      <w:r>
        <w:rPr>
          <w:rFonts w:hint="eastAsia" w:ascii="宋体" w:hAnsi="宋体" w:cs="宋体"/>
          <w:color w:val="auto"/>
          <w:sz w:val="24"/>
          <w:shd w:val="clear" w:color="auto" w:fill="FFFFFF"/>
        </w:rPr>
        <w:t>乙方必须在接到甲方维修通知后2 天内派人至甲方现场维修。设备的维修、更换，乙方酌情收取成本费和服务费，</w:t>
      </w:r>
      <w:r>
        <w:rPr>
          <w:rFonts w:hint="eastAsia" w:ascii="宋体" w:hAnsi="宋体" w:cs="宋体"/>
          <w:color w:val="auto"/>
          <w:sz w:val="24"/>
        </w:rPr>
        <w:t>乙方承诺给予甲方最低市场优惠价。</w:t>
      </w:r>
    </w:p>
    <w:p>
      <w:pPr>
        <w:widowControl/>
        <w:spacing w:line="276" w:lineRule="auto"/>
        <w:ind w:firstLine="509"/>
        <w:rPr>
          <w:rFonts w:ascii="宋体" w:hAnsi="宋体" w:cs="宋体"/>
          <w:color w:val="auto"/>
          <w:kern w:val="0"/>
          <w:sz w:val="24"/>
        </w:rPr>
      </w:pPr>
      <w:r>
        <w:rPr>
          <w:rFonts w:hint="eastAsia" w:ascii="宋体" w:hAnsi="宋体" w:cs="宋体"/>
          <w:color w:val="auto"/>
          <w:kern w:val="0"/>
          <w:sz w:val="24"/>
        </w:rPr>
        <w:t>5.</w:t>
      </w:r>
      <w:r>
        <w:rPr>
          <w:rFonts w:hint="eastAsia" w:ascii="宋体" w:hAnsi="宋体" w:cs="宋体"/>
          <w:color w:val="auto"/>
          <w:kern w:val="0"/>
          <w:sz w:val="24"/>
          <w:lang w:val="en-US" w:eastAsia="zh-CN"/>
        </w:rPr>
        <w:t>6</w:t>
      </w:r>
      <w:r>
        <w:rPr>
          <w:rFonts w:hint="eastAsia" w:ascii="宋体" w:hAnsi="宋体" w:cs="宋体"/>
          <w:color w:val="auto"/>
          <w:kern w:val="0"/>
          <w:sz w:val="24"/>
        </w:rPr>
        <w:t>厂商或投标商服务承诺优于以上要求的，以服务承诺方案为准执行。</w:t>
      </w:r>
    </w:p>
    <w:p>
      <w:pPr>
        <w:pStyle w:val="26"/>
        <w:shd w:val="clear" w:color="auto" w:fill="FFFFFF"/>
        <w:spacing w:before="0" w:beforeAutospacing="0" w:after="240" w:afterAutospacing="0"/>
        <w:ind w:firstLine="480" w:firstLineChars="200"/>
        <w:rPr>
          <w:rFonts w:hint="default" w:eastAsia="宋体" w:cs="宋体"/>
          <w:color w:val="auto"/>
          <w:spacing w:val="8"/>
          <w:sz w:val="24"/>
          <w:szCs w:val="24"/>
          <w:lang w:val="en-US" w:eastAsia="zh-CN"/>
        </w:rPr>
      </w:pPr>
      <w:r>
        <w:rPr>
          <w:rFonts w:hint="eastAsia" w:cs="宋体"/>
          <w:color w:val="auto"/>
          <w:sz w:val="24"/>
          <w:szCs w:val="24"/>
        </w:rPr>
        <w:t>6、</w:t>
      </w:r>
      <w:r>
        <w:rPr>
          <w:rFonts w:hint="eastAsia" w:cs="宋体"/>
          <w:color w:val="auto"/>
          <w:spacing w:val="8"/>
          <w:sz w:val="24"/>
          <w:szCs w:val="24"/>
          <w:shd w:val="clear" w:color="auto" w:fill="FFFFFF"/>
        </w:rPr>
        <w:t>车辆的主要部件和系统如发动机、电路系统、油路系统、制动系统、方向系统出现故障而1年内经2次修理后仍不能修复的，且系乙方隐瞒车辆真实状况的，乙方应承担相应的法律责任。情形严重的，甲方可以解除本合同</w:t>
      </w:r>
      <w:r>
        <w:rPr>
          <w:rFonts w:hint="eastAsia" w:cs="宋体"/>
          <w:color w:val="auto"/>
          <w:spacing w:val="8"/>
          <w:sz w:val="24"/>
          <w:szCs w:val="24"/>
          <w:shd w:val="clear" w:color="auto" w:fill="FFFFFF"/>
          <w:lang w:eastAsia="zh-CN"/>
        </w:rPr>
        <w:t>，</w:t>
      </w:r>
      <w:r>
        <w:rPr>
          <w:rFonts w:hint="eastAsia" w:cs="宋体"/>
          <w:color w:val="auto"/>
          <w:spacing w:val="8"/>
          <w:sz w:val="24"/>
          <w:szCs w:val="24"/>
          <w:shd w:val="clear" w:color="auto" w:fill="FFFFFF"/>
          <w:lang w:val="en-US" w:eastAsia="zh-CN"/>
        </w:rPr>
        <w:t>要求乙方赔偿所有损失并承担合同总价款百分之二十的违约责任。</w:t>
      </w:r>
    </w:p>
    <w:p>
      <w:pPr>
        <w:pStyle w:val="26"/>
        <w:shd w:val="clear" w:color="auto" w:fill="FFFFFF"/>
        <w:spacing w:before="0" w:beforeAutospacing="0" w:after="240" w:afterAutospacing="0"/>
        <w:ind w:firstLine="512" w:firstLineChars="200"/>
        <w:rPr>
          <w:rFonts w:hint="eastAsia" w:cs="宋体"/>
          <w:color w:val="auto"/>
          <w:spacing w:val="8"/>
          <w:sz w:val="24"/>
          <w:szCs w:val="24"/>
          <w:shd w:val="clear" w:color="auto" w:fill="FFFFFF"/>
          <w:lang w:val="en-US" w:eastAsia="zh-CN"/>
        </w:rPr>
      </w:pPr>
      <w:r>
        <w:rPr>
          <w:rFonts w:hint="eastAsia" w:cs="宋体"/>
          <w:color w:val="auto"/>
          <w:spacing w:val="8"/>
          <w:sz w:val="24"/>
          <w:szCs w:val="24"/>
          <w:shd w:val="clear" w:color="auto" w:fill="FFFFFF"/>
        </w:rPr>
        <w:t>7.乙方提供的汽车由于各种部件发生质量问题，造成车辆频繁维修，而影响到甲方正常使用的，甲方可以要求乙方赔偿损失;问题严重导致车辆无法正常行驶的，甲方可以要求解除合同</w:t>
      </w:r>
      <w:r>
        <w:rPr>
          <w:rFonts w:hint="eastAsia" w:cs="宋体"/>
          <w:color w:val="auto"/>
          <w:spacing w:val="8"/>
          <w:sz w:val="24"/>
          <w:szCs w:val="24"/>
          <w:shd w:val="clear" w:color="auto" w:fill="FFFFFF"/>
          <w:lang w:eastAsia="zh-CN"/>
        </w:rPr>
        <w:t>，</w:t>
      </w:r>
      <w:r>
        <w:rPr>
          <w:rFonts w:hint="eastAsia" w:cs="宋体"/>
          <w:color w:val="auto"/>
          <w:spacing w:val="8"/>
          <w:sz w:val="24"/>
          <w:szCs w:val="24"/>
          <w:shd w:val="clear" w:color="auto" w:fill="FFFFFF"/>
          <w:lang w:val="en-US" w:eastAsia="zh-CN"/>
        </w:rPr>
        <w:t>要求乙方赔偿所有损失并承担合同总价款百分之二十的违约责任。</w:t>
      </w:r>
    </w:p>
    <w:p>
      <w:pPr>
        <w:pStyle w:val="26"/>
        <w:shd w:val="clear" w:color="auto" w:fill="FFFFFF"/>
        <w:spacing w:before="0" w:beforeAutospacing="0" w:after="240" w:afterAutospacing="0"/>
        <w:ind w:firstLine="482" w:firstLineChars="200"/>
        <w:rPr>
          <w:rFonts w:ascii="宋体" w:hAnsi="宋体" w:cs="宋体"/>
          <w:bCs/>
          <w:color w:val="auto"/>
          <w:sz w:val="24"/>
        </w:rPr>
      </w:pPr>
      <w:r>
        <w:rPr>
          <w:rFonts w:hint="eastAsia" w:ascii="宋体" w:hAnsi="宋体" w:cs="宋体"/>
          <w:b/>
          <w:color w:val="auto"/>
          <w:sz w:val="24"/>
        </w:rPr>
        <w:t>十、不可抗力：</w:t>
      </w:r>
    </w:p>
    <w:p>
      <w:pPr>
        <w:spacing w:line="276" w:lineRule="auto"/>
        <w:ind w:firstLine="480" w:firstLineChars="200"/>
        <w:rPr>
          <w:rFonts w:ascii="宋体" w:hAnsi="宋体"/>
          <w:bCs/>
          <w:color w:val="auto"/>
          <w:sz w:val="24"/>
        </w:rPr>
      </w:pPr>
      <w:r>
        <w:rPr>
          <w:rFonts w:hint="eastAsia" w:ascii="宋体" w:hAnsi="宋体"/>
          <w:bCs/>
          <w:color w:val="auto"/>
          <w:sz w:val="24"/>
        </w:rPr>
        <w:t>不可抗力是指合同双方无法控制，不可预见的事件，包括但不限于：台风、洪水、地震、严重火灾、战争、</w:t>
      </w:r>
      <w:r>
        <w:rPr>
          <w:rFonts w:hint="eastAsia"/>
          <w:bCs/>
          <w:color w:val="auto"/>
          <w:sz w:val="24"/>
        </w:rPr>
        <w:t>政府行为</w:t>
      </w:r>
      <w:r>
        <w:rPr>
          <w:rFonts w:hint="eastAsia" w:ascii="宋体" w:hAnsi="宋体"/>
          <w:bCs/>
          <w:color w:val="auto"/>
          <w:sz w:val="24"/>
        </w:rPr>
        <w:t>以及其他双方商定的事件。</w:t>
      </w:r>
    </w:p>
    <w:p>
      <w:pPr>
        <w:spacing w:line="276" w:lineRule="auto"/>
        <w:ind w:firstLine="480" w:firstLineChars="200"/>
        <w:rPr>
          <w:rFonts w:ascii="宋体" w:hAnsi="宋体"/>
          <w:bCs/>
          <w:color w:val="auto"/>
          <w:sz w:val="24"/>
        </w:rPr>
      </w:pPr>
      <w:r>
        <w:rPr>
          <w:rFonts w:hint="eastAsia" w:ascii="宋体" w:hAnsi="宋体"/>
          <w:bCs/>
          <w:color w:val="auto"/>
          <w:sz w:val="24"/>
        </w:rPr>
        <w:t>受到不可抗力影响的一方应在不可抗力事故发生后，尽快将所发生的不可抗力事件的情况以传真或电报通知另一方，并在15日内将有关当局出具的证明文件提交给另一方审阅确认，受影响的一方同时应尽量</w:t>
      </w:r>
      <w:r>
        <w:rPr>
          <w:rFonts w:hint="eastAsia"/>
          <w:bCs/>
          <w:color w:val="auto"/>
          <w:sz w:val="24"/>
        </w:rPr>
        <w:t>采取措施</w:t>
      </w:r>
      <w:r>
        <w:rPr>
          <w:rFonts w:hint="eastAsia" w:ascii="宋体" w:hAnsi="宋体"/>
          <w:bCs/>
          <w:color w:val="auto"/>
          <w:sz w:val="24"/>
        </w:rPr>
        <w:t>设法缩小这种影响和由此而引起的延误，一旦不可抗力的影响消除后，应将此情况立即通知对方。如双方对不可抗力时间的影响估计将延续到30日以上时，双方应通过友好协商解决本合同的执行问题。</w:t>
      </w:r>
    </w:p>
    <w:p>
      <w:pPr>
        <w:spacing w:line="276" w:lineRule="auto"/>
        <w:ind w:firstLine="480" w:firstLineChars="200"/>
        <w:rPr>
          <w:rFonts w:ascii="宋体" w:hAnsi="宋体"/>
          <w:bCs/>
          <w:color w:val="auto"/>
          <w:sz w:val="24"/>
        </w:rPr>
      </w:pPr>
      <w:r>
        <w:rPr>
          <w:rFonts w:hint="eastAsia" w:ascii="宋体" w:hAnsi="宋体"/>
          <w:bCs/>
          <w:color w:val="auto"/>
          <w:sz w:val="24"/>
        </w:rPr>
        <w:t>不可抗力对合同双方均适用。在签订合同后，由于不可抗力影响不能履行合同时，双方对由此产生的损失，不得提出索赔要求，应各自承担各自损失。发生事件的一方应始终争取一切合理的措施以减少由于不可抗力事件所导致的影响。</w:t>
      </w:r>
    </w:p>
    <w:p>
      <w:pPr>
        <w:spacing w:line="276" w:lineRule="auto"/>
        <w:ind w:left="472" w:right="231" w:rightChars="110" w:hanging="472" w:hangingChars="196"/>
        <w:rPr>
          <w:rFonts w:ascii="宋体" w:hAnsi="宋体" w:cs="宋体"/>
          <w:bCs/>
          <w:color w:val="auto"/>
          <w:sz w:val="24"/>
        </w:rPr>
      </w:pPr>
      <w:r>
        <w:rPr>
          <w:rFonts w:hint="eastAsia" w:ascii="宋体" w:hAnsi="宋体" w:cs="宋体"/>
          <w:b/>
          <w:color w:val="auto"/>
          <w:sz w:val="24"/>
        </w:rPr>
        <w:t>十一、违约责任：</w:t>
      </w:r>
    </w:p>
    <w:p>
      <w:pPr>
        <w:tabs>
          <w:tab w:val="left" w:pos="720"/>
        </w:tabs>
        <w:spacing w:line="276" w:lineRule="auto"/>
        <w:ind w:firstLine="480" w:firstLineChars="200"/>
        <w:rPr>
          <w:rFonts w:ascii="宋体" w:hAnsi="宋体"/>
          <w:bCs/>
          <w:color w:val="auto"/>
          <w:sz w:val="24"/>
        </w:rPr>
      </w:pPr>
      <w:r>
        <w:rPr>
          <w:rFonts w:hint="eastAsia" w:ascii="宋体" w:hAnsi="宋体"/>
          <w:color w:val="auto"/>
          <w:kern w:val="0"/>
          <w:sz w:val="24"/>
        </w:rPr>
        <w:t>（1）乙方交付的货物质量不符合合同规定的，应在合同规定的交货时间内更换合格的货物给甲方，否则，视作乙方不能交付货物而违约，</w:t>
      </w:r>
      <w:r>
        <w:rPr>
          <w:rFonts w:hint="eastAsia"/>
          <w:color w:val="auto"/>
          <w:sz w:val="24"/>
        </w:rPr>
        <w:t>甲方有权解除本合同并要求退货，乙方应在甲方提出退货申请后</w:t>
      </w:r>
      <w:r>
        <w:rPr>
          <w:rFonts w:hint="eastAsia"/>
          <w:color w:val="auto"/>
          <w:sz w:val="24"/>
          <w:lang w:val="en-US" w:eastAsia="zh-CN"/>
        </w:rPr>
        <w:t>1</w:t>
      </w:r>
      <w:r>
        <w:rPr>
          <w:rFonts w:hint="eastAsia"/>
          <w:color w:val="auto"/>
          <w:sz w:val="24"/>
        </w:rPr>
        <w:t>5个工作日内全额退还甲方所交货款</w:t>
      </w:r>
      <w:r>
        <w:rPr>
          <w:rFonts w:hint="eastAsia" w:ascii="宋体" w:hAnsi="宋体"/>
          <w:bCs/>
          <w:color w:val="auto"/>
          <w:sz w:val="24"/>
        </w:rPr>
        <w:t>，</w:t>
      </w:r>
      <w:r>
        <w:rPr>
          <w:rFonts w:hint="eastAsia"/>
          <w:color w:val="auto"/>
          <w:sz w:val="24"/>
        </w:rPr>
        <w:t>乙方除赔付甲方合同总货款20%的违约金外，还应</w:t>
      </w:r>
      <w:r>
        <w:rPr>
          <w:rFonts w:hint="eastAsia" w:ascii="宋体" w:hAnsi="宋体"/>
          <w:bCs/>
          <w:color w:val="auto"/>
          <w:sz w:val="24"/>
        </w:rPr>
        <w:t>赔偿甲方因此受到的全部损失（包</w:t>
      </w:r>
      <w:r>
        <w:rPr>
          <w:rFonts w:hint="eastAsia"/>
          <w:bCs/>
          <w:color w:val="auto"/>
          <w:sz w:val="24"/>
        </w:rPr>
        <w:t>括</w:t>
      </w:r>
      <w:r>
        <w:rPr>
          <w:rFonts w:hint="eastAsia" w:ascii="宋体" w:hAnsi="宋体"/>
          <w:bCs/>
          <w:color w:val="auto"/>
          <w:sz w:val="24"/>
        </w:rPr>
        <w:t>但不限于债务本金、利息、赔偿金以及诉讼费、律师费等）。</w:t>
      </w:r>
    </w:p>
    <w:p>
      <w:pPr>
        <w:tabs>
          <w:tab w:val="left" w:pos="720"/>
        </w:tabs>
        <w:spacing w:line="276" w:lineRule="auto"/>
        <w:ind w:firstLine="480" w:firstLineChars="200"/>
        <w:rPr>
          <w:rFonts w:ascii="宋体" w:hAnsi="宋体"/>
          <w:bCs/>
          <w:color w:val="auto"/>
          <w:sz w:val="24"/>
        </w:rPr>
      </w:pPr>
      <w:r>
        <w:rPr>
          <w:rFonts w:hint="eastAsia" w:ascii="宋体" w:hAnsi="宋体"/>
          <w:color w:val="auto"/>
          <w:kern w:val="0"/>
          <w:sz w:val="24"/>
        </w:rPr>
        <w:t>（2）</w:t>
      </w:r>
      <w:r>
        <w:rPr>
          <w:rFonts w:hint="eastAsia"/>
          <w:color w:val="auto"/>
          <w:sz w:val="24"/>
        </w:rPr>
        <w:t>如乙方未按约定时间交付经安装调试完毕的</w:t>
      </w:r>
      <w:r>
        <w:rPr>
          <w:rFonts w:hint="eastAsia" w:ascii="宋体" w:hAnsi="宋体"/>
          <w:color w:val="auto"/>
          <w:kern w:val="0"/>
          <w:sz w:val="24"/>
        </w:rPr>
        <w:t>车辆</w:t>
      </w:r>
      <w:r>
        <w:rPr>
          <w:rFonts w:hint="eastAsia"/>
          <w:color w:val="auto"/>
          <w:sz w:val="24"/>
        </w:rPr>
        <w:t>或未按合同约定向</w:t>
      </w:r>
      <w:r>
        <w:rPr>
          <w:rFonts w:hint="eastAsia"/>
          <w:color w:val="auto"/>
          <w:sz w:val="24"/>
          <w:lang w:eastAsia="zh-CN"/>
        </w:rPr>
        <w:t>甲</w:t>
      </w:r>
      <w:r>
        <w:rPr>
          <w:rFonts w:hint="eastAsia"/>
          <w:color w:val="auto"/>
          <w:sz w:val="24"/>
        </w:rPr>
        <w:t>方提交全新原厂配置</w:t>
      </w:r>
      <w:r>
        <w:rPr>
          <w:rFonts w:hint="eastAsia" w:ascii="宋体" w:hAnsi="宋体"/>
          <w:color w:val="auto"/>
          <w:kern w:val="0"/>
          <w:sz w:val="24"/>
        </w:rPr>
        <w:t>车辆</w:t>
      </w:r>
      <w:r>
        <w:rPr>
          <w:rFonts w:hint="eastAsia"/>
          <w:color w:val="auto"/>
          <w:sz w:val="24"/>
        </w:rPr>
        <w:t>，每逾期一日，按照合同总价款千分之</w:t>
      </w:r>
      <w:r>
        <w:rPr>
          <w:rFonts w:hint="eastAsia"/>
          <w:color w:val="auto"/>
          <w:sz w:val="24"/>
          <w:lang w:eastAsia="zh-CN"/>
        </w:rPr>
        <w:t>八</w:t>
      </w:r>
      <w:r>
        <w:rPr>
          <w:rFonts w:hint="eastAsia"/>
          <w:color w:val="auto"/>
          <w:sz w:val="24"/>
        </w:rPr>
        <w:t>向甲方支付违约金。</w:t>
      </w:r>
      <w:r>
        <w:rPr>
          <w:rFonts w:hint="eastAsia" w:ascii="宋体" w:hAnsi="宋体"/>
          <w:bCs/>
          <w:color w:val="auto"/>
          <w:sz w:val="24"/>
        </w:rPr>
        <w:t>如逾期超过30日仍无法交付合同约定</w:t>
      </w:r>
      <w:r>
        <w:rPr>
          <w:rFonts w:hint="eastAsia"/>
          <w:bCs/>
          <w:color w:val="auto"/>
          <w:sz w:val="24"/>
        </w:rPr>
        <w:t>的</w:t>
      </w:r>
      <w:r>
        <w:rPr>
          <w:rFonts w:hint="eastAsia" w:ascii="宋体" w:hAnsi="宋体"/>
          <w:bCs/>
          <w:color w:val="auto"/>
          <w:sz w:val="24"/>
        </w:rPr>
        <w:t>车辆，</w:t>
      </w:r>
      <w:r>
        <w:rPr>
          <w:rFonts w:hint="eastAsia"/>
          <w:color w:val="auto"/>
          <w:sz w:val="24"/>
        </w:rPr>
        <w:t>甲方有权解除本合同，乙方应在甲方提出退货申请后5个工作日内全额退还甲方所交货款</w:t>
      </w:r>
      <w:r>
        <w:rPr>
          <w:rFonts w:hint="eastAsia" w:ascii="宋体" w:hAnsi="宋体"/>
          <w:bCs/>
          <w:color w:val="auto"/>
          <w:sz w:val="24"/>
        </w:rPr>
        <w:t>，</w:t>
      </w:r>
      <w:r>
        <w:rPr>
          <w:rFonts w:hint="eastAsia"/>
          <w:color w:val="auto"/>
          <w:sz w:val="24"/>
        </w:rPr>
        <w:t>还应</w:t>
      </w:r>
      <w:r>
        <w:rPr>
          <w:rFonts w:hint="eastAsia" w:ascii="宋体" w:hAnsi="宋体"/>
          <w:bCs/>
          <w:color w:val="auto"/>
          <w:sz w:val="24"/>
        </w:rPr>
        <w:t>赔偿甲方因此受到的全部损失（包</w:t>
      </w:r>
      <w:r>
        <w:rPr>
          <w:rFonts w:hint="eastAsia"/>
          <w:bCs/>
          <w:color w:val="auto"/>
          <w:sz w:val="24"/>
        </w:rPr>
        <w:t>括</w:t>
      </w:r>
      <w:r>
        <w:rPr>
          <w:rFonts w:hint="eastAsia" w:ascii="宋体" w:hAnsi="宋体"/>
          <w:bCs/>
          <w:color w:val="auto"/>
          <w:sz w:val="24"/>
        </w:rPr>
        <w:t>但不限于债务本金、利息、赔偿金以及诉讼费、律师费等）。</w:t>
      </w:r>
    </w:p>
    <w:p>
      <w:pPr>
        <w:tabs>
          <w:tab w:val="left" w:pos="720"/>
        </w:tabs>
        <w:spacing w:line="276" w:lineRule="auto"/>
        <w:ind w:firstLine="480" w:firstLineChars="200"/>
        <w:rPr>
          <w:rFonts w:ascii="宋体" w:hAnsi="宋体"/>
          <w:bCs/>
          <w:color w:val="auto"/>
          <w:sz w:val="24"/>
        </w:rPr>
      </w:pPr>
      <w:r>
        <w:rPr>
          <w:rFonts w:hint="eastAsia" w:ascii="宋体" w:hAnsi="宋体"/>
          <w:color w:val="auto"/>
          <w:kern w:val="0"/>
          <w:sz w:val="24"/>
        </w:rPr>
        <w:t>（3）乙方货物经甲方送交具有法定资格条件的质量技术监督机构检测后，如检测结果认定货物质量不符合本合同规定标准的，则视为乙方没有按时交货而违约，违约金金额按第十一条第二款约定计算，乙方须在30天内无条件更换合格的货物，如逾期不能更换合格的货物，甲方有权终止本合同，并</w:t>
      </w:r>
      <w:r>
        <w:rPr>
          <w:rFonts w:hint="eastAsia"/>
          <w:color w:val="auto"/>
          <w:sz w:val="24"/>
        </w:rPr>
        <w:t>应</w:t>
      </w:r>
      <w:r>
        <w:rPr>
          <w:rFonts w:hint="eastAsia" w:ascii="宋体" w:hAnsi="宋体"/>
          <w:bCs/>
          <w:color w:val="auto"/>
          <w:sz w:val="24"/>
        </w:rPr>
        <w:t>赔偿甲方因此受到的全部损失（包</w:t>
      </w:r>
      <w:r>
        <w:rPr>
          <w:rFonts w:hint="eastAsia"/>
          <w:bCs/>
          <w:color w:val="auto"/>
          <w:sz w:val="24"/>
        </w:rPr>
        <w:t>括</w:t>
      </w:r>
      <w:r>
        <w:rPr>
          <w:rFonts w:hint="eastAsia" w:ascii="宋体" w:hAnsi="宋体"/>
          <w:bCs/>
          <w:color w:val="auto"/>
          <w:sz w:val="24"/>
        </w:rPr>
        <w:t>但不限于债务本金、利息、赔偿金以及诉讼费、律师费等）。</w:t>
      </w:r>
    </w:p>
    <w:p>
      <w:pPr>
        <w:tabs>
          <w:tab w:val="left" w:pos="720"/>
        </w:tabs>
        <w:spacing w:line="276" w:lineRule="auto"/>
        <w:ind w:firstLine="480" w:firstLineChars="200"/>
        <w:rPr>
          <w:rFonts w:ascii="宋体" w:hAnsi="宋体"/>
          <w:bCs/>
          <w:color w:val="auto"/>
          <w:sz w:val="24"/>
        </w:rPr>
      </w:pPr>
      <w:r>
        <w:rPr>
          <w:rFonts w:hint="eastAsia" w:ascii="宋体" w:hAnsi="宋体"/>
          <w:bCs/>
          <w:color w:val="auto"/>
          <w:sz w:val="24"/>
        </w:rPr>
        <w:t>(4)</w:t>
      </w:r>
      <w:r>
        <w:rPr>
          <w:rFonts w:hint="eastAsia"/>
          <w:bCs/>
          <w:color w:val="auto"/>
          <w:sz w:val="24"/>
        </w:rPr>
        <w:t>如因乙方所供</w:t>
      </w:r>
      <w:r>
        <w:rPr>
          <w:rFonts w:hint="eastAsia" w:ascii="宋体" w:hAnsi="宋体"/>
          <w:color w:val="auto"/>
          <w:kern w:val="0"/>
          <w:sz w:val="24"/>
        </w:rPr>
        <w:t>车辆</w:t>
      </w:r>
      <w:r>
        <w:rPr>
          <w:rFonts w:hint="eastAsia" w:ascii="宋体" w:hAnsi="宋体" w:cs="宋体"/>
          <w:bCs/>
          <w:color w:val="auto"/>
          <w:sz w:val="24"/>
        </w:rPr>
        <w:t>的质量原因导致无法正常使用，</w:t>
      </w:r>
      <w:r>
        <w:rPr>
          <w:rFonts w:hint="eastAsia"/>
          <w:color w:val="auto"/>
          <w:sz w:val="24"/>
        </w:rPr>
        <w:t>甲方有权解除本合同并要求退货，乙方应在甲方提出退货后5个工作日内全额退还甲方所交定金及合同货款</w:t>
      </w:r>
      <w:r>
        <w:rPr>
          <w:rFonts w:hint="eastAsia" w:ascii="宋体" w:hAnsi="宋体"/>
          <w:bCs/>
          <w:color w:val="auto"/>
          <w:sz w:val="24"/>
        </w:rPr>
        <w:t>，</w:t>
      </w:r>
      <w:r>
        <w:rPr>
          <w:rFonts w:hint="eastAsia"/>
          <w:bCs/>
          <w:color w:val="auto"/>
          <w:sz w:val="24"/>
        </w:rPr>
        <w:t>乙方除</w:t>
      </w:r>
      <w:r>
        <w:rPr>
          <w:rFonts w:hint="eastAsia"/>
          <w:color w:val="auto"/>
          <w:sz w:val="24"/>
        </w:rPr>
        <w:t>赔付甲方合同总货款20%的违约金外，</w:t>
      </w:r>
      <w:r>
        <w:rPr>
          <w:rFonts w:hint="eastAsia"/>
          <w:bCs/>
          <w:color w:val="auto"/>
          <w:sz w:val="24"/>
        </w:rPr>
        <w:t>还应</w:t>
      </w:r>
      <w:r>
        <w:rPr>
          <w:rFonts w:hint="eastAsia" w:ascii="宋体" w:hAnsi="宋体"/>
          <w:bCs/>
          <w:color w:val="auto"/>
          <w:sz w:val="24"/>
        </w:rPr>
        <w:t>赔偿甲方因此受到的全部损失（包</w:t>
      </w:r>
      <w:r>
        <w:rPr>
          <w:rFonts w:hint="eastAsia"/>
          <w:bCs/>
          <w:color w:val="auto"/>
          <w:sz w:val="24"/>
        </w:rPr>
        <w:t>括</w:t>
      </w:r>
      <w:r>
        <w:rPr>
          <w:rFonts w:hint="eastAsia" w:ascii="宋体" w:hAnsi="宋体"/>
          <w:bCs/>
          <w:color w:val="auto"/>
          <w:sz w:val="24"/>
        </w:rPr>
        <w:t>但不限于债务本金、利息、赔偿金以及诉讼费、律师费等）。</w:t>
      </w:r>
    </w:p>
    <w:p>
      <w:pPr>
        <w:tabs>
          <w:tab w:val="left" w:pos="720"/>
        </w:tabs>
        <w:spacing w:line="276" w:lineRule="auto"/>
        <w:ind w:firstLine="480" w:firstLineChars="200"/>
        <w:rPr>
          <w:rFonts w:ascii="宋体" w:hAnsi="宋体"/>
          <w:bCs/>
          <w:color w:val="auto"/>
          <w:sz w:val="24"/>
        </w:rPr>
      </w:pPr>
      <w:r>
        <w:rPr>
          <w:rFonts w:hint="eastAsia" w:ascii="宋体" w:hAnsi="宋体"/>
          <w:bCs/>
          <w:color w:val="auto"/>
          <w:sz w:val="24"/>
        </w:rPr>
        <w:t>(5)</w:t>
      </w:r>
      <w:r>
        <w:rPr>
          <w:rFonts w:hint="eastAsia" w:ascii="宋体" w:hAnsi="宋体" w:cs="宋体"/>
          <w:color w:val="auto"/>
          <w:sz w:val="24"/>
          <w:shd w:val="clear" w:color="auto" w:fill="FFFFFF"/>
        </w:rPr>
        <w:t>保修期内，乙方未能在合同约定的期限内履行保修义务，每迟延一天，乙方向甲方支付合同金额</w:t>
      </w:r>
      <w:r>
        <w:rPr>
          <w:rFonts w:hint="eastAsia" w:ascii="宋体" w:hAnsi="宋体" w:cs="宋体"/>
          <w:color w:val="auto"/>
          <w:sz w:val="24"/>
          <w:shd w:val="clear" w:color="auto" w:fill="FFFFFF"/>
          <w:lang w:val="en-US" w:eastAsia="zh-CN"/>
        </w:rPr>
        <w:t>万分之五</w:t>
      </w:r>
      <w:r>
        <w:rPr>
          <w:rFonts w:hint="eastAsia" w:ascii="宋体" w:hAnsi="宋体" w:cs="宋体"/>
          <w:color w:val="auto"/>
          <w:sz w:val="24"/>
          <w:shd w:val="clear" w:color="auto" w:fill="FFFFFF"/>
        </w:rPr>
        <w:t>的违约金并赔偿因此给甲方造成的其他经济损失，乙方超过三十天仍未履行保修义务，甲方有权解除合同并要求赔偿经济损失;乙方未能在接到甲方通知三十天内将设备维修至正常使用的状态，甲方有权要求乙方换货或解除合同并要求乙方赔偿</w:t>
      </w:r>
      <w:r>
        <w:rPr>
          <w:rFonts w:hint="eastAsia" w:ascii="宋体" w:hAnsi="宋体" w:cs="宋体"/>
          <w:bCs/>
          <w:color w:val="auto"/>
          <w:sz w:val="24"/>
        </w:rPr>
        <w:t>因此受到的全部损失（包括但不限于债务本金、利息、赔偿金以及诉讼费、律师费等）</w:t>
      </w:r>
      <w:r>
        <w:rPr>
          <w:rFonts w:hint="eastAsia" w:ascii="宋体" w:hAnsi="宋体" w:cs="宋体"/>
          <w:color w:val="auto"/>
          <w:sz w:val="24"/>
          <w:shd w:val="clear" w:color="auto" w:fill="FFFFFF"/>
        </w:rPr>
        <w:t>。保修期后，乙方未能在合同约定的期限内履行维修义务，每迟延一天，乙方向甲方支付合同金额</w:t>
      </w:r>
      <w:r>
        <w:rPr>
          <w:rFonts w:hint="eastAsia" w:ascii="宋体" w:hAnsi="宋体" w:cs="宋体"/>
          <w:color w:val="auto"/>
          <w:sz w:val="24"/>
          <w:shd w:val="clear" w:color="auto" w:fill="FFFFFF"/>
          <w:lang w:val="en-US" w:eastAsia="zh-CN"/>
        </w:rPr>
        <w:t>万分之五</w:t>
      </w:r>
      <w:r>
        <w:rPr>
          <w:rFonts w:hint="eastAsia" w:ascii="宋体" w:hAnsi="宋体" w:cs="宋体"/>
          <w:color w:val="auto"/>
          <w:sz w:val="24"/>
          <w:shd w:val="clear" w:color="auto" w:fill="FFFFFF"/>
        </w:rPr>
        <w:t>的违约金并赔偿甲方</w:t>
      </w:r>
      <w:r>
        <w:rPr>
          <w:rFonts w:hint="eastAsia" w:ascii="宋体" w:hAnsi="宋体" w:cs="宋体"/>
          <w:bCs/>
          <w:color w:val="auto"/>
          <w:sz w:val="24"/>
        </w:rPr>
        <w:t>因此受到的全部损失（包括但不限于债务本金、利息、赔偿金以及诉讼费、律师费等）</w:t>
      </w:r>
      <w:r>
        <w:rPr>
          <w:rFonts w:hint="eastAsia" w:ascii="宋体" w:hAnsi="宋体" w:cs="宋体"/>
          <w:color w:val="auto"/>
          <w:sz w:val="24"/>
          <w:shd w:val="clear" w:color="auto" w:fill="FFFFFF"/>
        </w:rPr>
        <w:t>。</w:t>
      </w:r>
    </w:p>
    <w:p>
      <w:pPr>
        <w:tabs>
          <w:tab w:val="left" w:pos="720"/>
        </w:tabs>
        <w:spacing w:line="276" w:lineRule="auto"/>
        <w:ind w:firstLine="480" w:firstLineChars="200"/>
        <w:rPr>
          <w:rFonts w:ascii="宋体" w:hAnsi="宋体"/>
          <w:bCs/>
          <w:color w:val="auto"/>
          <w:sz w:val="24"/>
        </w:rPr>
      </w:pPr>
      <w:r>
        <w:rPr>
          <w:rFonts w:hint="eastAsia" w:ascii="宋体" w:hAnsi="宋体"/>
          <w:color w:val="auto"/>
          <w:kern w:val="0"/>
          <w:sz w:val="24"/>
        </w:rPr>
        <w:t>（</w:t>
      </w:r>
      <w:r>
        <w:rPr>
          <w:rFonts w:hint="eastAsia" w:ascii="宋体" w:hAnsi="宋体"/>
          <w:color w:val="auto"/>
          <w:kern w:val="0"/>
          <w:sz w:val="24"/>
          <w:lang w:val="en-US" w:eastAsia="zh-CN"/>
        </w:rPr>
        <w:t>6</w:t>
      </w:r>
      <w:r>
        <w:rPr>
          <w:rFonts w:hint="eastAsia" w:ascii="宋体" w:hAnsi="宋体"/>
          <w:color w:val="auto"/>
          <w:kern w:val="0"/>
          <w:sz w:val="24"/>
        </w:rPr>
        <w:t>）乙方保证本合同货物的权利无瑕疵，包括货物所有权及知识产权等权利无瑕疵。如任何第三方经法院（或仲裁机构）裁决有权对上述货物主张权利或国家机关依法对货物进行没收查处的，乙方除应向甲方返还已收款项外，</w:t>
      </w:r>
      <w:r>
        <w:rPr>
          <w:rFonts w:hint="eastAsia"/>
          <w:color w:val="auto"/>
          <w:sz w:val="24"/>
        </w:rPr>
        <w:t>还应</w:t>
      </w:r>
      <w:r>
        <w:rPr>
          <w:rFonts w:hint="eastAsia" w:ascii="宋体" w:hAnsi="宋体"/>
          <w:bCs/>
          <w:color w:val="auto"/>
          <w:sz w:val="24"/>
        </w:rPr>
        <w:t>赔偿甲方因此受到的全部损失（包</w:t>
      </w:r>
      <w:r>
        <w:rPr>
          <w:rFonts w:hint="eastAsia"/>
          <w:bCs/>
          <w:color w:val="auto"/>
          <w:sz w:val="24"/>
        </w:rPr>
        <w:t>括</w:t>
      </w:r>
      <w:r>
        <w:rPr>
          <w:rFonts w:hint="eastAsia" w:ascii="宋体" w:hAnsi="宋体"/>
          <w:bCs/>
          <w:color w:val="auto"/>
          <w:sz w:val="24"/>
        </w:rPr>
        <w:t>但不限于债务本金、利息、赔偿金以及诉讼费、律师费等）。</w:t>
      </w:r>
    </w:p>
    <w:p>
      <w:pPr>
        <w:widowControl/>
        <w:spacing w:line="276" w:lineRule="auto"/>
        <w:ind w:firstLine="509"/>
        <w:rPr>
          <w:rFonts w:ascii="宋体" w:hAnsi="宋体"/>
          <w:color w:val="auto"/>
          <w:kern w:val="0"/>
          <w:sz w:val="24"/>
        </w:rPr>
      </w:pPr>
      <w:r>
        <w:rPr>
          <w:rFonts w:hint="eastAsia" w:ascii="宋体" w:hAnsi="宋体"/>
          <w:color w:val="auto"/>
          <w:kern w:val="0"/>
          <w:sz w:val="24"/>
        </w:rPr>
        <w:t>（</w:t>
      </w:r>
      <w:r>
        <w:rPr>
          <w:rFonts w:hint="eastAsia" w:ascii="宋体" w:hAnsi="宋体"/>
          <w:color w:val="auto"/>
          <w:kern w:val="0"/>
          <w:sz w:val="24"/>
          <w:lang w:val="en-US" w:eastAsia="zh-CN"/>
        </w:rPr>
        <w:t>7</w:t>
      </w:r>
      <w:r>
        <w:rPr>
          <w:rFonts w:hint="eastAsia" w:ascii="宋体" w:hAnsi="宋体"/>
          <w:color w:val="auto"/>
          <w:kern w:val="0"/>
          <w:sz w:val="24"/>
        </w:rPr>
        <w:t>）乙方偿付的违约金不足以弥补甲方损失的，还应按甲方损失尚未弥补的部分，支付赔偿金给甲方。</w:t>
      </w:r>
    </w:p>
    <w:p>
      <w:pPr>
        <w:spacing w:line="276" w:lineRule="auto"/>
        <w:ind w:left="478" w:leftChars="-2" w:right="231" w:rightChars="110" w:hanging="482" w:hangingChars="200"/>
        <w:rPr>
          <w:rFonts w:ascii="宋体" w:hAnsi="宋体" w:cs="宋体"/>
          <w:bCs/>
          <w:color w:val="auto"/>
          <w:sz w:val="24"/>
        </w:rPr>
      </w:pPr>
      <w:r>
        <w:rPr>
          <w:rFonts w:hint="eastAsia" w:ascii="宋体" w:hAnsi="宋体" w:cs="宋体"/>
          <w:b/>
          <w:color w:val="auto"/>
          <w:sz w:val="24"/>
        </w:rPr>
        <w:t>十二、合同争议的解决方式：</w:t>
      </w:r>
    </w:p>
    <w:p>
      <w:pPr>
        <w:widowControl/>
        <w:spacing w:line="276" w:lineRule="auto"/>
        <w:ind w:firstLine="509"/>
        <w:rPr>
          <w:rFonts w:ascii="宋体" w:hAnsi="宋体"/>
          <w:color w:val="auto"/>
          <w:kern w:val="0"/>
          <w:sz w:val="24"/>
        </w:rPr>
      </w:pPr>
      <w:r>
        <w:rPr>
          <w:rFonts w:hint="eastAsia" w:ascii="宋体" w:hAnsi="宋体"/>
          <w:color w:val="auto"/>
          <w:kern w:val="0"/>
          <w:sz w:val="24"/>
        </w:rPr>
        <w:t>1、</w:t>
      </w:r>
      <w:r>
        <w:rPr>
          <w:rFonts w:hint="eastAsia" w:ascii="宋体" w:hAnsi="宋体" w:cs="宋体"/>
          <w:color w:val="auto"/>
          <w:sz w:val="24"/>
        </w:rPr>
        <w:t>双方就产品质量产生异议，协商不成时，应当申请国家质量技术监督局直接授权或国家认证认可监督管理委员会直接授权的、对争议产品有质量检验、鉴定资质的产品质量检验、鉴定机构进行产品质量检验、鉴定</w:t>
      </w:r>
      <w:r>
        <w:rPr>
          <w:rFonts w:hint="eastAsia" w:ascii="宋体" w:hAnsi="宋体"/>
          <w:color w:val="auto"/>
          <w:kern w:val="0"/>
          <w:sz w:val="24"/>
        </w:rPr>
        <w:t>。货物符合标准的，鉴定费由甲方承担；货物不符合质量标准的，鉴定费由乙方承担。</w:t>
      </w:r>
    </w:p>
    <w:p>
      <w:pPr>
        <w:widowControl/>
        <w:spacing w:line="276" w:lineRule="auto"/>
        <w:ind w:firstLine="509"/>
        <w:rPr>
          <w:color w:val="auto"/>
          <w:sz w:val="24"/>
        </w:rPr>
      </w:pPr>
      <w:r>
        <w:rPr>
          <w:rFonts w:hint="eastAsia" w:ascii="宋体" w:hAnsi="宋体"/>
          <w:color w:val="auto"/>
          <w:kern w:val="0"/>
          <w:sz w:val="24"/>
        </w:rPr>
        <w:t>2、合同履行期间,若双方发生争议</w:t>
      </w:r>
      <w:r>
        <w:rPr>
          <w:rFonts w:hint="eastAsia" w:hAnsi="宋体" w:cs="宋体"/>
          <w:color w:val="auto"/>
          <w:sz w:val="24"/>
        </w:rPr>
        <w:t>出现合同纠纷时，由双方协商解决，协商未果，</w:t>
      </w:r>
      <w:r>
        <w:rPr>
          <w:rFonts w:hint="eastAsia"/>
          <w:color w:val="auto"/>
          <w:sz w:val="24"/>
        </w:rPr>
        <w:t>可向甲方所在地人民法院提起诉讼。</w:t>
      </w:r>
    </w:p>
    <w:p>
      <w:pPr>
        <w:spacing w:line="276" w:lineRule="auto"/>
        <w:rPr>
          <w:b/>
          <w:bCs/>
          <w:color w:val="auto"/>
          <w:sz w:val="24"/>
        </w:rPr>
      </w:pPr>
      <w:r>
        <w:rPr>
          <w:rFonts w:hint="eastAsia"/>
          <w:b/>
          <w:bCs/>
          <w:color w:val="auto"/>
          <w:sz w:val="24"/>
        </w:rPr>
        <w:t>十三、法律文书送达地址</w:t>
      </w:r>
    </w:p>
    <w:p>
      <w:pPr>
        <w:spacing w:line="276" w:lineRule="auto"/>
        <w:ind w:firstLine="480" w:firstLineChars="200"/>
        <w:rPr>
          <w:color w:val="auto"/>
          <w:sz w:val="24"/>
        </w:rPr>
      </w:pPr>
      <w:r>
        <w:rPr>
          <w:rFonts w:hint="eastAsia"/>
          <w:color w:val="auto"/>
          <w:sz w:val="24"/>
        </w:rPr>
        <w:t xml:space="preserve">甲方：绵阳高新区普明北路西段25号。    </w:t>
      </w:r>
    </w:p>
    <w:p>
      <w:pPr>
        <w:spacing w:line="276" w:lineRule="auto"/>
        <w:ind w:firstLine="480" w:firstLineChars="200"/>
        <w:rPr>
          <w:color w:val="auto"/>
          <w:sz w:val="24"/>
        </w:rPr>
      </w:pPr>
      <w:r>
        <w:rPr>
          <w:rFonts w:hint="eastAsia"/>
          <w:color w:val="auto"/>
          <w:sz w:val="24"/>
        </w:rPr>
        <w:t>乙方：</w:t>
      </w:r>
      <w:r>
        <w:rPr>
          <w:rFonts w:hint="eastAsia" w:ascii="宋体" w:hAnsi="宋体" w:cs="宋体"/>
          <w:bCs/>
          <w:color w:val="auto"/>
          <w:sz w:val="24"/>
        </w:rPr>
        <w:t xml:space="preserve"> </w:t>
      </w:r>
    </w:p>
    <w:p>
      <w:pPr>
        <w:spacing w:line="276" w:lineRule="auto"/>
        <w:ind w:left="478" w:leftChars="-2" w:right="231" w:rightChars="110" w:hanging="482" w:hangingChars="200"/>
        <w:rPr>
          <w:rFonts w:ascii="宋体" w:hAnsi="宋体" w:cs="宋体"/>
          <w:b/>
          <w:color w:val="auto"/>
          <w:sz w:val="24"/>
        </w:rPr>
      </w:pPr>
      <w:r>
        <w:rPr>
          <w:rFonts w:hint="eastAsia" w:ascii="宋体" w:hAnsi="宋体" w:cs="宋体"/>
          <w:b/>
          <w:color w:val="auto"/>
          <w:sz w:val="24"/>
        </w:rPr>
        <w:t>十四、其他：</w:t>
      </w:r>
    </w:p>
    <w:p>
      <w:pPr>
        <w:spacing w:line="276" w:lineRule="auto"/>
        <w:ind w:left="476" w:leftChars="-2" w:right="231" w:rightChars="110" w:hanging="480" w:hangingChars="200"/>
        <w:rPr>
          <w:rFonts w:ascii="宋体" w:hAnsi="宋体" w:cs="宋体"/>
          <w:bCs/>
          <w:color w:val="auto"/>
          <w:sz w:val="24"/>
        </w:rPr>
      </w:pPr>
      <w:r>
        <w:rPr>
          <w:rFonts w:hint="eastAsia" w:ascii="宋体" w:hAnsi="宋体" w:cs="宋体"/>
          <w:bCs/>
          <w:color w:val="auto"/>
          <w:sz w:val="24"/>
        </w:rPr>
        <w:t xml:space="preserve">    1、本合同如有未尽事宜，双方共同协商，做出补充约定。</w:t>
      </w:r>
    </w:p>
    <w:p>
      <w:pPr>
        <w:spacing w:line="276" w:lineRule="auto"/>
        <w:ind w:left="1" w:right="231" w:rightChars="110"/>
        <w:rPr>
          <w:rFonts w:ascii="宋体" w:hAnsi="宋体" w:cs="宋体"/>
          <w:bCs/>
          <w:color w:val="auto"/>
          <w:sz w:val="24"/>
        </w:rPr>
      </w:pPr>
      <w:r>
        <w:rPr>
          <w:rFonts w:hint="eastAsia" w:ascii="宋体" w:hAnsi="宋体" w:cs="宋体"/>
          <w:bCs/>
          <w:color w:val="auto"/>
          <w:sz w:val="24"/>
        </w:rPr>
        <w:t xml:space="preserve">    2、本合同</w:t>
      </w:r>
      <w:r>
        <w:rPr>
          <w:rFonts w:hint="eastAsia" w:ascii="宋体" w:hAnsi="宋体" w:cs="宋体"/>
          <w:bCs/>
          <w:color w:val="auto"/>
          <w:sz w:val="24"/>
          <w:lang w:val="en-US" w:eastAsia="zh-CN"/>
        </w:rPr>
        <w:t>壹</w:t>
      </w:r>
      <w:r>
        <w:rPr>
          <w:rFonts w:hint="eastAsia" w:ascii="宋体" w:hAnsi="宋体" w:cs="宋体"/>
          <w:bCs/>
          <w:color w:val="auto"/>
          <w:sz w:val="24"/>
        </w:rPr>
        <w:t>式柒份，自双方签章后生效。审核后的合同甲方肆份，乙方贰份，采购代理机构壹份，具同等法律效力。</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0"/>
        <w:gridCol w:w="4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4860" w:type="dxa"/>
            <w:vAlign w:val="center"/>
          </w:tcPr>
          <w:p>
            <w:pPr>
              <w:spacing w:line="276" w:lineRule="auto"/>
              <w:ind w:firstLine="1675" w:firstLineChars="695"/>
              <w:rPr>
                <w:rFonts w:ascii="宋体" w:hAnsi="宋体" w:cs="宋体"/>
                <w:b/>
                <w:bCs/>
                <w:color w:val="auto"/>
                <w:sz w:val="24"/>
              </w:rPr>
            </w:pPr>
            <w:r>
              <w:rPr>
                <w:rFonts w:hint="eastAsia" w:ascii="宋体" w:hAnsi="宋体" w:cs="宋体"/>
                <w:b/>
                <w:bCs/>
                <w:color w:val="auto"/>
                <w:sz w:val="24"/>
              </w:rPr>
              <w:t>甲           方</w:t>
            </w:r>
          </w:p>
        </w:tc>
        <w:tc>
          <w:tcPr>
            <w:tcW w:w="4860" w:type="dxa"/>
            <w:vAlign w:val="center"/>
          </w:tcPr>
          <w:p>
            <w:pPr>
              <w:spacing w:line="276" w:lineRule="auto"/>
              <w:ind w:firstLine="1675" w:firstLineChars="695"/>
              <w:rPr>
                <w:rFonts w:ascii="宋体" w:hAnsi="宋体" w:cs="宋体"/>
                <w:b/>
                <w:bCs/>
                <w:color w:val="auto"/>
                <w:sz w:val="24"/>
              </w:rPr>
            </w:pPr>
            <w:r>
              <w:rPr>
                <w:rFonts w:hint="eastAsia" w:ascii="宋体" w:hAnsi="宋体" w:cs="宋体"/>
                <w:b/>
                <w:bCs/>
                <w:color w:val="auto"/>
                <w:sz w:val="24"/>
              </w:rPr>
              <w:t>乙           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3" w:hRule="atLeast"/>
          <w:jc w:val="center"/>
        </w:trPr>
        <w:tc>
          <w:tcPr>
            <w:tcW w:w="4860" w:type="dxa"/>
          </w:tcPr>
          <w:p>
            <w:pPr>
              <w:spacing w:line="276" w:lineRule="auto"/>
              <w:rPr>
                <w:rFonts w:ascii="宋体" w:hAnsi="宋体" w:cs="宋体"/>
                <w:bCs/>
                <w:color w:val="auto"/>
                <w:sz w:val="24"/>
              </w:rPr>
            </w:pPr>
            <w:r>
              <w:rPr>
                <w:rFonts w:hint="eastAsia" w:ascii="宋体" w:hAnsi="宋体" w:cs="宋体"/>
                <w:bCs/>
                <w:color w:val="auto"/>
                <w:sz w:val="24"/>
              </w:rPr>
              <w:t>单位名称（章）：</w:t>
            </w:r>
            <w:bookmarkStart w:id="323" w:name="_Hlk514754555"/>
            <w:r>
              <w:rPr>
                <w:rFonts w:hint="eastAsia" w:ascii="宋体" w:hAnsi="宋体" w:cs="宋体"/>
                <w:bCs/>
                <w:color w:val="auto"/>
                <w:sz w:val="24"/>
              </w:rPr>
              <w:t>绵阳高新市政建设有限责任公司</w:t>
            </w:r>
            <w:bookmarkEnd w:id="323"/>
          </w:p>
          <w:p>
            <w:pPr>
              <w:spacing w:line="276" w:lineRule="auto"/>
              <w:rPr>
                <w:rFonts w:ascii="宋体" w:hAnsi="宋体" w:cs="宋体"/>
                <w:bCs/>
                <w:color w:val="auto"/>
                <w:sz w:val="24"/>
              </w:rPr>
            </w:pPr>
            <w:r>
              <w:rPr>
                <w:rFonts w:hint="eastAsia" w:ascii="宋体" w:hAnsi="宋体" w:cs="宋体"/>
                <w:bCs/>
                <w:color w:val="auto"/>
                <w:sz w:val="24"/>
              </w:rPr>
              <w:t xml:space="preserve">单位地址：绵阳高新区普明北路西段25号                               </w:t>
            </w:r>
          </w:p>
          <w:p>
            <w:pPr>
              <w:spacing w:line="276" w:lineRule="auto"/>
              <w:rPr>
                <w:rFonts w:ascii="宋体" w:hAnsi="宋体" w:cs="宋体"/>
                <w:bCs/>
                <w:color w:val="auto"/>
                <w:sz w:val="24"/>
              </w:rPr>
            </w:pPr>
            <w:r>
              <w:rPr>
                <w:rFonts w:hint="eastAsia" w:ascii="宋体" w:hAnsi="宋体" w:cs="宋体"/>
                <w:bCs/>
                <w:color w:val="auto"/>
                <w:sz w:val="24"/>
              </w:rPr>
              <w:t xml:space="preserve">授权签字人：                    </w:t>
            </w:r>
          </w:p>
          <w:p>
            <w:pPr>
              <w:spacing w:line="276" w:lineRule="auto"/>
              <w:rPr>
                <w:rFonts w:ascii="宋体" w:hAnsi="宋体" w:cs="宋体"/>
                <w:bCs/>
                <w:color w:val="auto"/>
                <w:sz w:val="24"/>
              </w:rPr>
            </w:pPr>
            <w:r>
              <w:rPr>
                <w:rFonts w:hint="eastAsia" w:ascii="宋体" w:hAnsi="宋体" w:cs="宋体"/>
                <w:bCs/>
                <w:color w:val="auto"/>
                <w:sz w:val="24"/>
              </w:rPr>
              <w:t>统一社会信用代码：91510700560704647D</w:t>
            </w:r>
          </w:p>
          <w:p>
            <w:pPr>
              <w:spacing w:line="276" w:lineRule="auto"/>
              <w:rPr>
                <w:rFonts w:ascii="宋体" w:hAnsi="宋体" w:cs="宋体"/>
                <w:bCs/>
                <w:color w:val="auto"/>
                <w:sz w:val="24"/>
              </w:rPr>
            </w:pPr>
            <w:r>
              <w:rPr>
                <w:rFonts w:hint="eastAsia" w:ascii="宋体" w:hAnsi="宋体" w:cs="宋体"/>
                <w:bCs/>
                <w:color w:val="auto"/>
                <w:sz w:val="24"/>
              </w:rPr>
              <w:t>电话 / 传真：0816-2533046</w:t>
            </w:r>
          </w:p>
          <w:p>
            <w:pPr>
              <w:spacing w:line="276" w:lineRule="auto"/>
              <w:rPr>
                <w:rFonts w:ascii="宋体" w:hAnsi="宋体" w:cs="宋体"/>
                <w:bCs/>
                <w:color w:val="auto"/>
                <w:sz w:val="24"/>
                <w:u w:val="single"/>
              </w:rPr>
            </w:pPr>
            <w:r>
              <w:rPr>
                <w:rFonts w:hint="eastAsia" w:ascii="宋体" w:hAnsi="宋体" w:cs="宋体"/>
                <w:bCs/>
                <w:color w:val="auto"/>
                <w:sz w:val="24"/>
              </w:rPr>
              <w:t>开户银行：建行绵阳高新支行</w:t>
            </w:r>
          </w:p>
          <w:p>
            <w:pPr>
              <w:spacing w:line="276" w:lineRule="auto"/>
              <w:rPr>
                <w:rFonts w:ascii="宋体" w:hAnsi="宋体" w:cs="宋体"/>
                <w:bCs/>
                <w:color w:val="auto"/>
                <w:sz w:val="24"/>
              </w:rPr>
            </w:pPr>
            <w:r>
              <w:rPr>
                <w:rFonts w:hint="eastAsia" w:ascii="宋体" w:hAnsi="宋体" w:cs="宋体"/>
                <w:bCs/>
                <w:color w:val="auto"/>
                <w:sz w:val="24"/>
              </w:rPr>
              <w:t>账号：5100-1657-9370-5900-0261</w:t>
            </w:r>
          </w:p>
          <w:p>
            <w:pPr>
              <w:spacing w:line="276" w:lineRule="auto"/>
              <w:rPr>
                <w:rFonts w:ascii="宋体" w:hAnsi="宋体" w:cs="宋体"/>
                <w:bCs/>
                <w:color w:val="auto"/>
                <w:sz w:val="24"/>
              </w:rPr>
            </w:pPr>
            <w:r>
              <w:rPr>
                <w:rFonts w:hint="eastAsia" w:ascii="宋体" w:hAnsi="宋体" w:cs="宋体"/>
                <w:bCs/>
                <w:color w:val="auto"/>
                <w:sz w:val="24"/>
              </w:rPr>
              <w:t>邮政编码：621000</w:t>
            </w:r>
          </w:p>
          <w:p>
            <w:pPr>
              <w:spacing w:line="276" w:lineRule="auto"/>
              <w:rPr>
                <w:rFonts w:hint="default" w:ascii="宋体" w:hAnsi="宋体" w:eastAsia="宋体" w:cs="宋体"/>
                <w:bCs/>
                <w:color w:val="auto"/>
                <w:sz w:val="24"/>
                <w:u w:val="single"/>
                <w:lang w:val="en-US" w:eastAsia="zh-CN"/>
              </w:rPr>
            </w:pPr>
            <w:r>
              <w:rPr>
                <w:rFonts w:hint="eastAsia" w:ascii="宋体" w:hAnsi="宋体" w:cs="宋体"/>
                <w:bCs/>
                <w:color w:val="auto"/>
                <w:sz w:val="24"/>
              </w:rPr>
              <w:t>经办人及电话：</w:t>
            </w:r>
            <w:r>
              <w:rPr>
                <w:rFonts w:hint="eastAsia" w:ascii="宋体" w:hAnsi="宋体" w:cs="宋体"/>
                <w:bCs/>
                <w:color w:val="auto"/>
                <w:sz w:val="24"/>
                <w:lang w:eastAsia="zh-CN"/>
              </w:rPr>
              <w:t>周鹏</w:t>
            </w:r>
            <w:r>
              <w:rPr>
                <w:rFonts w:hint="eastAsia" w:ascii="宋体" w:hAnsi="宋体" w:cs="宋体"/>
                <w:bCs/>
                <w:color w:val="auto"/>
                <w:sz w:val="24"/>
              </w:rPr>
              <w:t xml:space="preserve"> </w:t>
            </w:r>
            <w:r>
              <w:rPr>
                <w:rFonts w:hint="eastAsia" w:ascii="宋体" w:hAnsi="宋体" w:cs="宋体"/>
                <w:bCs/>
                <w:color w:val="auto"/>
                <w:sz w:val="24"/>
                <w:lang w:val="en-US" w:eastAsia="zh-CN"/>
              </w:rPr>
              <w:t>0816-2543288</w:t>
            </w:r>
          </w:p>
        </w:tc>
        <w:tc>
          <w:tcPr>
            <w:tcW w:w="4860" w:type="dxa"/>
          </w:tcPr>
          <w:p>
            <w:pPr>
              <w:spacing w:line="276" w:lineRule="auto"/>
              <w:rPr>
                <w:rFonts w:ascii="宋体" w:hAnsi="宋体" w:cs="宋体"/>
                <w:bCs/>
                <w:color w:val="auto"/>
                <w:sz w:val="24"/>
              </w:rPr>
            </w:pPr>
            <w:r>
              <w:rPr>
                <w:rFonts w:hint="eastAsia" w:ascii="宋体" w:hAnsi="宋体" w:cs="宋体"/>
                <w:bCs/>
                <w:color w:val="auto"/>
                <w:sz w:val="24"/>
              </w:rPr>
              <w:t xml:space="preserve">单位名称（章）： </w:t>
            </w:r>
          </w:p>
          <w:p>
            <w:pPr>
              <w:spacing w:line="276" w:lineRule="auto"/>
              <w:rPr>
                <w:rFonts w:ascii="宋体" w:hAnsi="宋体" w:cs="宋体"/>
                <w:bCs/>
                <w:color w:val="auto"/>
                <w:sz w:val="24"/>
              </w:rPr>
            </w:pPr>
          </w:p>
          <w:p>
            <w:pPr>
              <w:spacing w:line="276" w:lineRule="auto"/>
              <w:rPr>
                <w:rFonts w:ascii="宋体" w:hAnsi="宋体" w:cs="宋体"/>
                <w:bCs/>
                <w:color w:val="auto"/>
                <w:sz w:val="24"/>
              </w:rPr>
            </w:pPr>
            <w:r>
              <w:rPr>
                <w:rFonts w:hint="eastAsia" w:ascii="宋体" w:hAnsi="宋体" w:cs="宋体"/>
                <w:bCs/>
                <w:color w:val="auto"/>
                <w:sz w:val="24"/>
              </w:rPr>
              <w:t xml:space="preserve">单位地址： </w:t>
            </w:r>
          </w:p>
          <w:p>
            <w:pPr>
              <w:pStyle w:val="17"/>
              <w:spacing w:line="276" w:lineRule="auto"/>
              <w:rPr>
                <w:rFonts w:ascii="宋体" w:hAnsi="宋体" w:cs="宋体"/>
                <w:bCs/>
                <w:color w:val="auto"/>
                <w:sz w:val="24"/>
                <w:szCs w:val="24"/>
              </w:rPr>
            </w:pPr>
            <w:r>
              <w:rPr>
                <w:rFonts w:hint="eastAsia" w:ascii="宋体" w:hAnsi="宋体" w:cs="宋体"/>
                <w:bCs/>
                <w:color w:val="auto"/>
                <w:sz w:val="24"/>
                <w:szCs w:val="24"/>
              </w:rPr>
              <w:t>授权签字人：</w:t>
            </w:r>
          </w:p>
          <w:p>
            <w:pPr>
              <w:spacing w:line="276" w:lineRule="auto"/>
              <w:rPr>
                <w:rFonts w:ascii="宋体" w:hAnsi="宋体" w:cs="宋体"/>
                <w:bCs/>
                <w:color w:val="auto"/>
                <w:sz w:val="24"/>
              </w:rPr>
            </w:pPr>
            <w:r>
              <w:rPr>
                <w:rFonts w:hint="eastAsia" w:ascii="宋体" w:hAnsi="宋体" w:cs="宋体"/>
                <w:bCs/>
                <w:color w:val="auto"/>
                <w:sz w:val="24"/>
              </w:rPr>
              <w:t xml:space="preserve">统一社会信用代码： </w:t>
            </w:r>
          </w:p>
          <w:p>
            <w:pPr>
              <w:spacing w:line="276" w:lineRule="auto"/>
              <w:rPr>
                <w:rFonts w:ascii="宋体" w:hAnsi="宋体" w:cs="宋体"/>
                <w:bCs/>
                <w:color w:val="auto"/>
                <w:sz w:val="24"/>
              </w:rPr>
            </w:pPr>
            <w:r>
              <w:rPr>
                <w:rFonts w:hint="eastAsia" w:ascii="宋体" w:hAnsi="宋体" w:cs="宋体"/>
                <w:bCs/>
                <w:color w:val="auto"/>
                <w:sz w:val="24"/>
              </w:rPr>
              <w:t>电话 / 传真：</w:t>
            </w:r>
            <w:r>
              <w:rPr>
                <w:rFonts w:ascii="宋体" w:hAnsi="宋体" w:cs="宋体"/>
                <w:bCs/>
                <w:color w:val="auto"/>
                <w:sz w:val="24"/>
              </w:rPr>
              <w:t xml:space="preserve"> </w:t>
            </w:r>
          </w:p>
          <w:p>
            <w:pPr>
              <w:spacing w:line="276" w:lineRule="auto"/>
              <w:rPr>
                <w:rFonts w:ascii="宋体" w:hAnsi="宋体" w:cs="宋体"/>
                <w:color w:val="auto"/>
                <w:kern w:val="0"/>
                <w:sz w:val="24"/>
              </w:rPr>
            </w:pPr>
            <w:r>
              <w:rPr>
                <w:rFonts w:hint="eastAsia" w:ascii="宋体" w:hAnsi="宋体" w:cs="宋体"/>
                <w:bCs/>
                <w:color w:val="auto"/>
                <w:sz w:val="24"/>
              </w:rPr>
              <w:t>开户银行：</w:t>
            </w:r>
            <w:r>
              <w:rPr>
                <w:rFonts w:hint="eastAsia" w:ascii="宋体" w:hAnsi="宋体" w:cs="宋体"/>
                <w:color w:val="auto"/>
                <w:kern w:val="0"/>
                <w:sz w:val="24"/>
              </w:rPr>
              <w:t xml:space="preserve"> </w:t>
            </w:r>
          </w:p>
          <w:p>
            <w:pPr>
              <w:spacing w:line="276" w:lineRule="auto"/>
              <w:rPr>
                <w:rFonts w:ascii="宋体" w:hAnsi="宋体" w:cs="宋体"/>
                <w:bCs/>
                <w:color w:val="auto"/>
                <w:sz w:val="24"/>
              </w:rPr>
            </w:pPr>
            <w:r>
              <w:rPr>
                <w:rFonts w:hint="eastAsia" w:ascii="宋体" w:hAnsi="宋体" w:cs="宋体"/>
                <w:bCs/>
                <w:color w:val="auto"/>
                <w:sz w:val="24"/>
              </w:rPr>
              <w:t xml:space="preserve">账号： </w:t>
            </w:r>
          </w:p>
          <w:p>
            <w:pPr>
              <w:spacing w:line="276" w:lineRule="auto"/>
              <w:rPr>
                <w:rFonts w:ascii="宋体" w:hAnsi="宋体" w:cs="宋体"/>
                <w:bCs/>
                <w:color w:val="auto"/>
                <w:sz w:val="24"/>
              </w:rPr>
            </w:pPr>
            <w:r>
              <w:rPr>
                <w:rFonts w:hint="eastAsia" w:ascii="宋体" w:hAnsi="宋体" w:cs="宋体"/>
                <w:bCs/>
                <w:color w:val="auto"/>
                <w:sz w:val="24"/>
              </w:rPr>
              <w:t xml:space="preserve">邮政编码： </w:t>
            </w:r>
          </w:p>
          <w:p>
            <w:pPr>
              <w:pStyle w:val="2"/>
              <w:rPr>
                <w:color w:val="auto"/>
              </w:rPr>
            </w:pPr>
            <w:r>
              <w:rPr>
                <w:rFonts w:hint="eastAsia" w:ascii="宋体" w:hAnsi="宋体" w:cs="宋体"/>
                <w:bCs/>
                <w:color w:val="auto"/>
                <w:sz w:val="24"/>
              </w:rPr>
              <w:t xml:space="preserve">经办人及电话： </w:t>
            </w:r>
          </w:p>
        </w:tc>
      </w:tr>
    </w:tbl>
    <w:p>
      <w:pPr>
        <w:pStyle w:val="11"/>
        <w:spacing w:line="360" w:lineRule="auto"/>
        <w:jc w:val="center"/>
        <w:rPr>
          <w:rFonts w:ascii="宋体" w:hAnsi="宋体" w:cs="方正小标宋简体"/>
          <w:b/>
          <w:color w:val="auto"/>
          <w:sz w:val="30"/>
          <w:szCs w:val="30"/>
        </w:rPr>
      </w:pPr>
    </w:p>
    <w:p>
      <w:pPr>
        <w:pStyle w:val="11"/>
        <w:spacing w:line="360" w:lineRule="auto"/>
        <w:ind w:firstLine="0"/>
        <w:jc w:val="center"/>
        <w:rPr>
          <w:rFonts w:ascii="宋体" w:hAnsi="宋体" w:cs="方正小标宋简体"/>
          <w:b/>
          <w:color w:val="auto"/>
          <w:sz w:val="30"/>
          <w:szCs w:val="30"/>
        </w:rPr>
      </w:pPr>
    </w:p>
    <w:p>
      <w:pPr>
        <w:pStyle w:val="11"/>
        <w:spacing w:line="360" w:lineRule="auto"/>
        <w:ind w:firstLine="0"/>
        <w:jc w:val="center"/>
        <w:rPr>
          <w:rFonts w:ascii="宋体" w:hAnsi="宋体" w:cs="方正小标宋简体"/>
          <w:b/>
          <w:color w:val="auto"/>
          <w:sz w:val="30"/>
          <w:szCs w:val="30"/>
        </w:rPr>
      </w:pPr>
    </w:p>
    <w:p>
      <w:pPr>
        <w:pStyle w:val="11"/>
        <w:spacing w:line="360" w:lineRule="auto"/>
        <w:ind w:firstLine="0"/>
        <w:jc w:val="center"/>
        <w:rPr>
          <w:rFonts w:ascii="宋体" w:hAnsi="宋体" w:cs="方正小标宋简体"/>
          <w:b/>
          <w:color w:val="auto"/>
          <w:sz w:val="30"/>
          <w:szCs w:val="30"/>
        </w:rPr>
      </w:pPr>
    </w:p>
    <w:p>
      <w:pPr>
        <w:pStyle w:val="11"/>
        <w:spacing w:line="360" w:lineRule="auto"/>
        <w:ind w:firstLine="0"/>
        <w:jc w:val="center"/>
        <w:rPr>
          <w:rFonts w:ascii="宋体" w:hAnsi="宋体" w:cs="方正小标宋简体"/>
          <w:b/>
          <w:color w:val="auto"/>
          <w:sz w:val="30"/>
          <w:szCs w:val="30"/>
        </w:rPr>
      </w:pPr>
    </w:p>
    <w:p>
      <w:pPr>
        <w:pStyle w:val="11"/>
        <w:spacing w:line="360" w:lineRule="auto"/>
        <w:ind w:firstLine="0"/>
        <w:jc w:val="center"/>
        <w:rPr>
          <w:rFonts w:ascii="宋体" w:hAnsi="宋体" w:cs="方正小标宋简体"/>
          <w:b/>
          <w:color w:val="auto"/>
          <w:sz w:val="30"/>
          <w:szCs w:val="30"/>
        </w:rPr>
      </w:pPr>
    </w:p>
    <w:p>
      <w:pPr>
        <w:pStyle w:val="11"/>
        <w:spacing w:line="360" w:lineRule="auto"/>
        <w:ind w:firstLine="0"/>
        <w:jc w:val="center"/>
        <w:rPr>
          <w:rFonts w:ascii="宋体" w:hAnsi="宋体" w:cs="方正小标宋简体"/>
          <w:b/>
          <w:color w:val="auto"/>
          <w:sz w:val="30"/>
          <w:szCs w:val="30"/>
        </w:rPr>
      </w:pPr>
    </w:p>
    <w:p>
      <w:pPr>
        <w:pStyle w:val="11"/>
        <w:spacing w:line="360" w:lineRule="auto"/>
        <w:ind w:firstLine="0"/>
        <w:jc w:val="center"/>
        <w:rPr>
          <w:rFonts w:ascii="宋体" w:hAnsi="宋体" w:cs="方正小标宋简体"/>
          <w:b/>
          <w:color w:val="auto"/>
          <w:sz w:val="30"/>
          <w:szCs w:val="30"/>
        </w:rPr>
      </w:pPr>
    </w:p>
    <w:p>
      <w:pPr>
        <w:pStyle w:val="11"/>
        <w:spacing w:line="360" w:lineRule="auto"/>
        <w:ind w:firstLine="0"/>
        <w:jc w:val="center"/>
        <w:rPr>
          <w:rFonts w:ascii="宋体" w:hAnsi="宋体" w:cs="方正小标宋简体"/>
          <w:b/>
          <w:color w:val="auto"/>
          <w:sz w:val="30"/>
          <w:szCs w:val="30"/>
        </w:rPr>
      </w:pPr>
    </w:p>
    <w:p>
      <w:pPr>
        <w:pStyle w:val="11"/>
        <w:spacing w:line="360" w:lineRule="auto"/>
        <w:ind w:firstLine="0"/>
        <w:jc w:val="left"/>
        <w:rPr>
          <w:rFonts w:hint="eastAsia" w:ascii="宋体" w:hAnsi="宋体" w:eastAsia="宋体" w:cs="方正小标宋简体"/>
          <w:b/>
          <w:color w:val="auto"/>
          <w:sz w:val="30"/>
          <w:szCs w:val="30"/>
          <w:lang w:val="en-US" w:eastAsia="zh-CN"/>
        </w:rPr>
      </w:pPr>
      <w:r>
        <w:rPr>
          <w:rFonts w:hint="eastAsia" w:ascii="宋体" w:hAnsi="宋体" w:cs="方正小标宋简体"/>
          <w:b/>
          <w:color w:val="auto"/>
          <w:sz w:val="30"/>
          <w:szCs w:val="30"/>
          <w:lang w:val="en-US" w:eastAsia="zh-CN"/>
        </w:rPr>
        <w:t>附：</w:t>
      </w:r>
    </w:p>
    <w:p>
      <w:pPr>
        <w:pStyle w:val="11"/>
        <w:spacing w:line="360" w:lineRule="auto"/>
        <w:ind w:firstLine="0"/>
        <w:jc w:val="center"/>
        <w:rPr>
          <w:rFonts w:ascii="宋体" w:hAnsi="宋体" w:cs="方正小标宋简体"/>
          <w:b/>
          <w:color w:val="auto"/>
          <w:sz w:val="30"/>
          <w:szCs w:val="30"/>
        </w:rPr>
      </w:pPr>
      <w:r>
        <w:rPr>
          <w:rFonts w:hint="eastAsia" w:ascii="宋体" w:hAnsi="宋体" w:cs="方正小标宋简体"/>
          <w:b/>
          <w:color w:val="auto"/>
          <w:sz w:val="30"/>
          <w:szCs w:val="30"/>
        </w:rPr>
        <w:t>廉</w:t>
      </w:r>
      <w:r>
        <w:rPr>
          <w:rFonts w:hint="eastAsia" w:ascii="宋体" w:hAnsi="宋体" w:cs="方正小标宋简体"/>
          <w:b/>
          <w:color w:val="auto"/>
          <w:sz w:val="30"/>
          <w:szCs w:val="30"/>
          <w:lang w:val="en-US" w:eastAsia="zh-CN"/>
        </w:rPr>
        <w:t>洁合作</w:t>
      </w:r>
      <w:r>
        <w:rPr>
          <w:rFonts w:hint="eastAsia" w:ascii="宋体" w:hAnsi="宋体" w:cs="方正小标宋简体"/>
          <w:b/>
          <w:color w:val="auto"/>
          <w:sz w:val="30"/>
          <w:szCs w:val="30"/>
        </w:rPr>
        <w:t>协议</w:t>
      </w:r>
    </w:p>
    <w:p>
      <w:pPr>
        <w:pStyle w:val="11"/>
        <w:spacing w:line="276" w:lineRule="auto"/>
        <w:ind w:left="-105" w:leftChars="-50" w:firstLine="0"/>
        <w:jc w:val="left"/>
        <w:rPr>
          <w:rFonts w:ascii="宋体" w:hAnsi="宋体"/>
          <w:bCs/>
          <w:color w:val="auto"/>
          <w:sz w:val="24"/>
          <w:szCs w:val="24"/>
        </w:rPr>
      </w:pPr>
      <w:r>
        <w:rPr>
          <w:rFonts w:hint="eastAsia" w:ascii="宋体" w:hAnsi="宋体"/>
          <w:bCs/>
          <w:color w:val="auto"/>
          <w:sz w:val="24"/>
          <w:szCs w:val="24"/>
        </w:rPr>
        <w:t xml:space="preserve">    甲方（采购方）：</w:t>
      </w:r>
      <w:r>
        <w:rPr>
          <w:rFonts w:hint="eastAsia" w:ascii="宋体" w:hAnsi="宋体" w:cs="宋体"/>
          <w:bCs/>
          <w:color w:val="auto"/>
          <w:sz w:val="24"/>
        </w:rPr>
        <w:t>绵阳高新市政建设有限责任公司</w:t>
      </w:r>
      <w:r>
        <w:rPr>
          <w:rFonts w:hint="eastAsia" w:ascii="宋体" w:hAnsi="宋体"/>
          <w:bCs/>
          <w:color w:val="auto"/>
          <w:sz w:val="24"/>
          <w:szCs w:val="24"/>
        </w:rPr>
        <w:t>　　　　　　　　　　　　　　　</w:t>
      </w:r>
    </w:p>
    <w:p>
      <w:pPr>
        <w:pStyle w:val="11"/>
        <w:spacing w:line="276" w:lineRule="auto"/>
        <w:ind w:left="-105" w:leftChars="-50" w:firstLine="0"/>
        <w:jc w:val="left"/>
        <w:rPr>
          <w:rFonts w:ascii="宋体" w:hAnsi="宋体"/>
          <w:bCs/>
          <w:color w:val="auto"/>
          <w:sz w:val="24"/>
          <w:szCs w:val="24"/>
        </w:rPr>
      </w:pPr>
      <w:r>
        <w:rPr>
          <w:rFonts w:hint="eastAsia" w:ascii="宋体" w:hAnsi="宋体"/>
          <w:bCs/>
          <w:color w:val="auto"/>
          <w:sz w:val="24"/>
          <w:szCs w:val="24"/>
        </w:rPr>
        <w:t xml:space="preserve">    乙方（供货方）：</w:t>
      </w:r>
      <w:r>
        <w:rPr>
          <w:rFonts w:hint="eastAsia" w:ascii="宋体" w:hAnsi="宋体" w:cs="宋体"/>
          <w:bCs/>
          <w:color w:val="auto"/>
          <w:sz w:val="24"/>
        </w:rPr>
        <w:t xml:space="preserve"> </w:t>
      </w:r>
      <w:r>
        <w:rPr>
          <w:rFonts w:hint="eastAsia" w:ascii="宋体" w:hAnsi="宋体"/>
          <w:bCs/>
          <w:color w:val="auto"/>
          <w:sz w:val="24"/>
          <w:szCs w:val="24"/>
        </w:rPr>
        <w:t>　　　　　　　　　　　　　　</w:t>
      </w:r>
    </w:p>
    <w:p>
      <w:pPr>
        <w:pStyle w:val="11"/>
        <w:spacing w:line="276" w:lineRule="auto"/>
        <w:ind w:left="-105" w:leftChars="-50" w:firstLine="0"/>
        <w:jc w:val="left"/>
        <w:rPr>
          <w:rFonts w:ascii="宋体" w:hAnsi="宋体"/>
          <w:bCs/>
          <w:color w:val="auto"/>
          <w:sz w:val="24"/>
          <w:szCs w:val="24"/>
        </w:rPr>
      </w:pPr>
      <w:r>
        <w:rPr>
          <w:rFonts w:hint="eastAsia" w:ascii="宋体" w:hAnsi="宋体"/>
          <w:bCs/>
          <w:color w:val="auto"/>
          <w:sz w:val="24"/>
          <w:szCs w:val="24"/>
        </w:rPr>
        <w:t xml:space="preserve">    物资设备采购项目：</w:t>
      </w:r>
    </w:p>
    <w:p>
      <w:pPr>
        <w:pStyle w:val="11"/>
        <w:spacing w:line="276" w:lineRule="auto"/>
        <w:ind w:left="-105" w:leftChars="-50" w:firstLine="0"/>
        <w:jc w:val="left"/>
        <w:rPr>
          <w:rFonts w:ascii="宋体" w:hAnsi="宋体"/>
          <w:bCs/>
          <w:color w:val="auto"/>
          <w:sz w:val="24"/>
          <w:szCs w:val="24"/>
        </w:rPr>
      </w:pPr>
      <w:r>
        <w:rPr>
          <w:rFonts w:hint="eastAsia" w:ascii="宋体" w:hAnsi="宋体"/>
          <w:bCs/>
          <w:color w:val="auto"/>
          <w:sz w:val="24"/>
          <w:szCs w:val="24"/>
        </w:rPr>
        <w:t xml:space="preserve">    为了规范采购行为，加强资金管理，提高资金使用效益，减少浪费，充分保证双方利益，杜绝采购之中的不正之风，促进企业的改革和发展，根据上级有关文件精神，切实加强我司设备（物资）采购、供货等方面的</w:t>
      </w:r>
      <w:r>
        <w:rPr>
          <w:rFonts w:hint="eastAsia" w:ascii="宋体" w:hAnsi="宋体"/>
          <w:bCs/>
          <w:color w:val="auto"/>
          <w:sz w:val="24"/>
          <w:szCs w:val="24"/>
          <w:lang w:val="en-US" w:eastAsia="zh-CN"/>
        </w:rPr>
        <w:t>廉洁</w:t>
      </w:r>
      <w:r>
        <w:rPr>
          <w:rFonts w:hint="eastAsia" w:ascii="宋体" w:hAnsi="宋体"/>
          <w:bCs/>
          <w:color w:val="auto"/>
          <w:sz w:val="24"/>
          <w:szCs w:val="24"/>
        </w:rPr>
        <w:t>建设，保证采购过程的公开、公平、公正、诚信、廉洁，经甲、乙双方协商一致特订立本</w:t>
      </w:r>
      <w:r>
        <w:rPr>
          <w:rFonts w:hint="eastAsia" w:ascii="宋体" w:hAnsi="宋体"/>
          <w:bCs/>
          <w:color w:val="auto"/>
          <w:sz w:val="24"/>
          <w:szCs w:val="24"/>
          <w:lang w:val="en-US" w:eastAsia="zh-CN"/>
        </w:rPr>
        <w:t>廉洁合作</w:t>
      </w:r>
      <w:r>
        <w:rPr>
          <w:rFonts w:hint="eastAsia" w:ascii="宋体" w:hAnsi="宋体"/>
          <w:bCs/>
          <w:color w:val="auto"/>
          <w:sz w:val="24"/>
          <w:szCs w:val="24"/>
        </w:rPr>
        <w:t>协议，作为共同遵守的廉洁合作行为准则。</w:t>
      </w:r>
    </w:p>
    <w:p>
      <w:pPr>
        <w:pStyle w:val="11"/>
        <w:spacing w:line="276" w:lineRule="auto"/>
        <w:ind w:left="-105" w:leftChars="-50" w:firstLine="0"/>
        <w:jc w:val="left"/>
        <w:rPr>
          <w:rFonts w:hint="eastAsia" w:ascii="宋体" w:hAnsi="宋体" w:eastAsia="宋体"/>
          <w:bCs/>
          <w:color w:val="auto"/>
          <w:sz w:val="24"/>
          <w:szCs w:val="24"/>
          <w:lang w:eastAsia="zh-CN"/>
        </w:rPr>
      </w:pPr>
      <w:r>
        <w:rPr>
          <w:rFonts w:hint="eastAsia" w:ascii="宋体" w:hAnsi="宋体"/>
          <w:bCs/>
          <w:color w:val="auto"/>
          <w:sz w:val="24"/>
          <w:szCs w:val="24"/>
        </w:rPr>
        <w:t xml:space="preserve">    一、甲乙双方的权利和义务</w:t>
      </w:r>
    </w:p>
    <w:p>
      <w:pPr>
        <w:pStyle w:val="11"/>
        <w:spacing w:line="276" w:lineRule="auto"/>
        <w:ind w:left="-105" w:leftChars="-50" w:firstLine="0"/>
        <w:jc w:val="left"/>
        <w:rPr>
          <w:rFonts w:hint="eastAsia" w:ascii="宋体" w:hAnsi="宋体" w:eastAsia="宋体"/>
          <w:bCs/>
          <w:color w:val="auto"/>
          <w:sz w:val="24"/>
          <w:szCs w:val="24"/>
          <w:lang w:eastAsia="zh-CN"/>
        </w:rPr>
      </w:pPr>
      <w:r>
        <w:rPr>
          <w:rFonts w:hint="eastAsia" w:ascii="宋体" w:hAnsi="宋体"/>
          <w:bCs/>
          <w:color w:val="auto"/>
          <w:sz w:val="24"/>
          <w:szCs w:val="24"/>
        </w:rPr>
        <w:t xml:space="preserve">    1、严格遵守党和国家有关法律法规及有关规定。</w:t>
      </w:r>
    </w:p>
    <w:p>
      <w:pPr>
        <w:pStyle w:val="11"/>
        <w:spacing w:line="276" w:lineRule="auto"/>
        <w:ind w:left="-105" w:leftChars="-50" w:firstLine="0"/>
        <w:jc w:val="left"/>
        <w:rPr>
          <w:rFonts w:hint="eastAsia" w:ascii="宋体" w:hAnsi="宋体" w:eastAsia="宋体"/>
          <w:bCs/>
          <w:color w:val="auto"/>
          <w:sz w:val="24"/>
          <w:szCs w:val="24"/>
          <w:lang w:eastAsia="zh-CN"/>
        </w:rPr>
      </w:pPr>
      <w:r>
        <w:rPr>
          <w:rFonts w:hint="eastAsia" w:ascii="宋体" w:hAnsi="宋体"/>
          <w:bCs/>
          <w:color w:val="auto"/>
          <w:sz w:val="24"/>
          <w:szCs w:val="24"/>
        </w:rPr>
        <w:t xml:space="preserve">    2、严格执行本项目合同文件，自觉按合同办事。</w:t>
      </w:r>
    </w:p>
    <w:p>
      <w:pPr>
        <w:pStyle w:val="11"/>
        <w:spacing w:line="276" w:lineRule="auto"/>
        <w:ind w:left="-105" w:leftChars="-50" w:firstLine="0"/>
        <w:jc w:val="left"/>
        <w:rPr>
          <w:rFonts w:hint="eastAsia" w:ascii="宋体" w:hAnsi="宋体" w:eastAsia="宋体"/>
          <w:bCs/>
          <w:color w:val="auto"/>
          <w:sz w:val="24"/>
          <w:szCs w:val="24"/>
          <w:lang w:eastAsia="zh-CN"/>
        </w:rPr>
      </w:pPr>
      <w:r>
        <w:rPr>
          <w:rFonts w:hint="eastAsia" w:ascii="宋体" w:hAnsi="宋体"/>
          <w:bCs/>
          <w:color w:val="auto"/>
          <w:sz w:val="24"/>
          <w:szCs w:val="24"/>
        </w:rPr>
        <w:t xml:space="preserve">    3、建立健全廉</w:t>
      </w:r>
      <w:r>
        <w:rPr>
          <w:rFonts w:hint="eastAsia" w:ascii="宋体" w:hAnsi="宋体"/>
          <w:bCs/>
          <w:color w:val="auto"/>
          <w:sz w:val="24"/>
          <w:szCs w:val="24"/>
          <w:lang w:val="en-US" w:eastAsia="zh-CN"/>
        </w:rPr>
        <w:t>洁</w:t>
      </w:r>
      <w:r>
        <w:rPr>
          <w:rFonts w:hint="eastAsia" w:ascii="宋体" w:hAnsi="宋体"/>
          <w:bCs/>
          <w:color w:val="auto"/>
          <w:sz w:val="24"/>
          <w:szCs w:val="24"/>
        </w:rPr>
        <w:t>制度，开展廉</w:t>
      </w:r>
      <w:r>
        <w:rPr>
          <w:rFonts w:hint="eastAsia" w:ascii="宋体" w:hAnsi="宋体"/>
          <w:bCs/>
          <w:color w:val="auto"/>
          <w:sz w:val="24"/>
          <w:szCs w:val="24"/>
          <w:lang w:val="en-US" w:eastAsia="zh-CN"/>
        </w:rPr>
        <w:t>洁</w:t>
      </w:r>
      <w:r>
        <w:rPr>
          <w:rFonts w:hint="eastAsia" w:ascii="宋体" w:hAnsi="宋体"/>
          <w:bCs/>
          <w:color w:val="auto"/>
          <w:sz w:val="24"/>
          <w:szCs w:val="24"/>
        </w:rPr>
        <w:t>教育，监督并认真查处违法违纪行为。</w:t>
      </w:r>
    </w:p>
    <w:p>
      <w:pPr>
        <w:pStyle w:val="11"/>
        <w:spacing w:line="276" w:lineRule="auto"/>
        <w:ind w:left="-105" w:leftChars="-50" w:firstLine="0"/>
        <w:jc w:val="left"/>
        <w:rPr>
          <w:rFonts w:hint="eastAsia" w:ascii="宋体" w:hAnsi="宋体" w:eastAsia="宋体"/>
          <w:bCs/>
          <w:color w:val="auto"/>
          <w:sz w:val="24"/>
          <w:szCs w:val="24"/>
          <w:lang w:eastAsia="zh-CN"/>
        </w:rPr>
      </w:pPr>
      <w:r>
        <w:rPr>
          <w:rFonts w:hint="eastAsia" w:ascii="宋体" w:hAnsi="宋体"/>
          <w:bCs/>
          <w:color w:val="auto"/>
          <w:sz w:val="24"/>
          <w:szCs w:val="24"/>
        </w:rPr>
        <w:t xml:space="preserve">    4、发现对方在业务活动中有违反廉政规定的行为，有及时提醒对方纠正的权利和义务。</w:t>
      </w:r>
    </w:p>
    <w:p>
      <w:pPr>
        <w:pStyle w:val="11"/>
        <w:spacing w:line="276" w:lineRule="auto"/>
        <w:ind w:left="-105" w:leftChars="-50" w:firstLine="0"/>
        <w:jc w:val="left"/>
        <w:rPr>
          <w:rFonts w:ascii="宋体" w:hAnsi="宋体"/>
          <w:bCs/>
          <w:color w:val="auto"/>
          <w:sz w:val="24"/>
          <w:szCs w:val="24"/>
        </w:rPr>
      </w:pPr>
      <w:r>
        <w:rPr>
          <w:rFonts w:hint="eastAsia" w:ascii="宋体" w:hAnsi="宋体"/>
          <w:bCs/>
          <w:color w:val="auto"/>
          <w:sz w:val="24"/>
          <w:szCs w:val="24"/>
        </w:rPr>
        <w:t xml:space="preserve">    5、发现对方严重违反本合同责任条款的行为，有向其纪检监察部门或上级有关部门举报、建议给予处理并要求告知处理结果的权利。</w:t>
      </w:r>
    </w:p>
    <w:p>
      <w:pPr>
        <w:pStyle w:val="11"/>
        <w:spacing w:line="276" w:lineRule="auto"/>
        <w:ind w:left="-105" w:leftChars="-50" w:firstLine="0"/>
        <w:jc w:val="left"/>
        <w:rPr>
          <w:rFonts w:ascii="宋体" w:hAnsi="宋体"/>
          <w:bCs/>
          <w:color w:val="auto"/>
          <w:sz w:val="24"/>
          <w:szCs w:val="24"/>
        </w:rPr>
      </w:pPr>
      <w:r>
        <w:rPr>
          <w:rFonts w:hint="eastAsia" w:ascii="宋体" w:hAnsi="宋体"/>
          <w:bCs/>
          <w:color w:val="auto"/>
          <w:sz w:val="24"/>
          <w:szCs w:val="24"/>
        </w:rPr>
        <w:t xml:space="preserve">    二、甲方及其工作人员在采购工作中必须严格遵守以下规定</w:t>
      </w:r>
    </w:p>
    <w:p>
      <w:pPr>
        <w:pStyle w:val="11"/>
        <w:spacing w:line="276" w:lineRule="auto"/>
        <w:ind w:left="-105" w:leftChars="-50" w:firstLine="0"/>
        <w:jc w:val="left"/>
        <w:rPr>
          <w:rFonts w:hint="eastAsia" w:ascii="宋体" w:hAnsi="宋体" w:eastAsia="宋体"/>
          <w:bCs/>
          <w:color w:val="auto"/>
          <w:sz w:val="24"/>
          <w:szCs w:val="24"/>
          <w:lang w:eastAsia="zh-CN"/>
        </w:rPr>
      </w:pPr>
      <w:r>
        <w:rPr>
          <w:rFonts w:hint="eastAsia" w:ascii="宋体" w:hAnsi="宋体"/>
          <w:bCs/>
          <w:color w:val="auto"/>
          <w:sz w:val="24"/>
          <w:szCs w:val="24"/>
        </w:rPr>
        <w:t xml:space="preserve">    1、不得以任何形式向乙方及其工作人员索要和收受回扣。</w:t>
      </w:r>
    </w:p>
    <w:p>
      <w:pPr>
        <w:pStyle w:val="11"/>
        <w:spacing w:line="276" w:lineRule="auto"/>
        <w:ind w:left="-105" w:leftChars="-50" w:firstLine="0"/>
        <w:jc w:val="left"/>
        <w:rPr>
          <w:rFonts w:hint="eastAsia" w:ascii="宋体" w:hAnsi="宋体" w:eastAsia="宋体"/>
          <w:bCs/>
          <w:color w:val="auto"/>
          <w:sz w:val="24"/>
          <w:szCs w:val="24"/>
          <w:lang w:eastAsia="zh-CN"/>
        </w:rPr>
      </w:pPr>
      <w:r>
        <w:rPr>
          <w:rFonts w:hint="eastAsia" w:ascii="宋体" w:hAnsi="宋体"/>
          <w:bCs/>
          <w:color w:val="auto"/>
          <w:sz w:val="24"/>
          <w:szCs w:val="24"/>
        </w:rPr>
        <w:t>   2、不得接受乙方及其工作人员以任何名义赠送的“红包”、礼品等。</w:t>
      </w:r>
    </w:p>
    <w:p>
      <w:pPr>
        <w:pStyle w:val="11"/>
        <w:spacing w:line="276" w:lineRule="auto"/>
        <w:ind w:left="-105" w:leftChars="-50" w:firstLine="0"/>
        <w:jc w:val="left"/>
        <w:rPr>
          <w:rFonts w:hint="eastAsia" w:ascii="宋体" w:hAnsi="宋体" w:eastAsia="宋体"/>
          <w:bCs/>
          <w:color w:val="auto"/>
          <w:sz w:val="24"/>
          <w:szCs w:val="24"/>
          <w:lang w:eastAsia="zh-CN"/>
        </w:rPr>
      </w:pPr>
      <w:r>
        <w:rPr>
          <w:rFonts w:hint="eastAsia" w:ascii="宋体" w:hAnsi="宋体"/>
          <w:bCs/>
          <w:color w:val="auto"/>
          <w:sz w:val="24"/>
          <w:szCs w:val="24"/>
        </w:rPr>
        <w:t>   3、甲方工作人员应当保持与乙方的正常工作交往，不得接受乙方的礼金、有价证券和贵重物品，难以拒收的，必须按有关规定登记上交；不得向乙方索要（或接收）通讯工具、交通工具、家电及高档办公用品等物品，不得在乙方报销应由单位或个人支付的费用。</w:t>
      </w:r>
    </w:p>
    <w:p>
      <w:pPr>
        <w:pStyle w:val="11"/>
        <w:spacing w:line="276" w:lineRule="auto"/>
        <w:ind w:left="-105" w:leftChars="-50" w:firstLine="0"/>
        <w:jc w:val="left"/>
        <w:rPr>
          <w:rFonts w:hint="eastAsia" w:ascii="宋体" w:hAnsi="宋体" w:eastAsia="宋体"/>
          <w:bCs/>
          <w:color w:val="auto"/>
          <w:sz w:val="24"/>
          <w:szCs w:val="24"/>
          <w:lang w:eastAsia="zh-CN"/>
        </w:rPr>
      </w:pPr>
      <w:r>
        <w:rPr>
          <w:rFonts w:hint="eastAsia" w:ascii="宋体" w:hAnsi="宋体"/>
          <w:bCs/>
          <w:color w:val="auto"/>
          <w:sz w:val="24"/>
          <w:szCs w:val="24"/>
        </w:rPr>
        <w:t>   4、不得参加乙方及其工作人员组织的可能对公正执行公务有影响的宴请、娱乐和旅游等一切活动。</w:t>
      </w:r>
    </w:p>
    <w:p>
      <w:pPr>
        <w:pStyle w:val="11"/>
        <w:spacing w:line="276" w:lineRule="auto"/>
        <w:ind w:left="-105" w:leftChars="-50" w:firstLine="0"/>
        <w:jc w:val="left"/>
        <w:rPr>
          <w:rFonts w:hint="eastAsia" w:ascii="宋体" w:hAnsi="宋体" w:eastAsia="宋体"/>
          <w:bCs/>
          <w:color w:val="auto"/>
          <w:sz w:val="24"/>
          <w:szCs w:val="24"/>
          <w:lang w:eastAsia="zh-CN"/>
        </w:rPr>
      </w:pPr>
      <w:r>
        <w:rPr>
          <w:rFonts w:hint="eastAsia" w:ascii="宋体" w:hAnsi="宋体"/>
          <w:bCs/>
          <w:color w:val="auto"/>
          <w:sz w:val="24"/>
          <w:szCs w:val="24"/>
        </w:rPr>
        <w:t>   5、不得要求或者接受乙方及其工作人员为其住房装修、婚丧嫁娶、家属子女的工作安排以及出国等提供方便。</w:t>
      </w:r>
    </w:p>
    <w:p>
      <w:pPr>
        <w:pStyle w:val="11"/>
        <w:spacing w:line="276" w:lineRule="auto"/>
        <w:ind w:left="-105" w:leftChars="-50" w:firstLine="0"/>
        <w:jc w:val="left"/>
        <w:rPr>
          <w:rFonts w:hint="eastAsia" w:ascii="宋体" w:hAnsi="宋体" w:eastAsia="宋体"/>
          <w:bCs/>
          <w:color w:val="auto"/>
          <w:sz w:val="24"/>
          <w:szCs w:val="24"/>
          <w:lang w:eastAsia="zh-CN"/>
        </w:rPr>
      </w:pPr>
      <w:r>
        <w:rPr>
          <w:rFonts w:hint="eastAsia" w:ascii="宋体" w:hAnsi="宋体"/>
          <w:bCs/>
          <w:color w:val="auto"/>
          <w:sz w:val="24"/>
          <w:szCs w:val="24"/>
        </w:rPr>
        <w:t>   6、不得向乙方及其工作人员介绍家属、亲友从事与公司采购有关的材料设备供应等经济活动。</w:t>
      </w:r>
    </w:p>
    <w:p>
      <w:pPr>
        <w:pStyle w:val="11"/>
        <w:spacing w:line="276" w:lineRule="auto"/>
        <w:ind w:left="-105" w:leftChars="-50" w:firstLine="0"/>
        <w:jc w:val="left"/>
        <w:rPr>
          <w:rFonts w:ascii="宋体" w:hAnsi="宋体"/>
          <w:bCs/>
          <w:color w:val="auto"/>
          <w:sz w:val="24"/>
          <w:szCs w:val="24"/>
        </w:rPr>
      </w:pPr>
      <w:r>
        <w:rPr>
          <w:rFonts w:hint="eastAsia" w:ascii="宋体" w:hAnsi="宋体"/>
          <w:bCs/>
          <w:color w:val="auto"/>
          <w:sz w:val="24"/>
          <w:szCs w:val="24"/>
        </w:rPr>
        <w:t>   7、不得要求乙方购买合同规定外的任何物品。</w:t>
      </w:r>
    </w:p>
    <w:p>
      <w:pPr>
        <w:pStyle w:val="11"/>
        <w:spacing w:line="276" w:lineRule="auto"/>
        <w:ind w:left="-105" w:leftChars="-50" w:firstLine="0"/>
        <w:jc w:val="left"/>
        <w:rPr>
          <w:rFonts w:ascii="宋体" w:hAnsi="宋体"/>
          <w:bCs/>
          <w:color w:val="auto"/>
          <w:sz w:val="24"/>
          <w:szCs w:val="24"/>
        </w:rPr>
      </w:pPr>
      <w:r>
        <w:rPr>
          <w:rFonts w:hint="eastAsia" w:ascii="宋体" w:hAnsi="宋体"/>
          <w:bCs/>
          <w:color w:val="auto"/>
          <w:sz w:val="24"/>
          <w:szCs w:val="24"/>
        </w:rPr>
        <w:t xml:space="preserve">    8、不得在家里接待乙方及其工作人员有关事项的询访。</w:t>
      </w:r>
    </w:p>
    <w:p>
      <w:pPr>
        <w:pStyle w:val="11"/>
        <w:spacing w:line="276" w:lineRule="auto"/>
        <w:ind w:left="-105" w:leftChars="-50" w:firstLine="0"/>
        <w:jc w:val="left"/>
        <w:rPr>
          <w:rFonts w:ascii="宋体" w:hAnsi="宋体"/>
          <w:bCs/>
          <w:color w:val="auto"/>
          <w:sz w:val="24"/>
          <w:szCs w:val="24"/>
        </w:rPr>
      </w:pPr>
      <w:r>
        <w:rPr>
          <w:rFonts w:hint="eastAsia" w:ascii="宋体" w:hAnsi="宋体"/>
          <w:bCs/>
          <w:color w:val="auto"/>
          <w:sz w:val="24"/>
          <w:szCs w:val="24"/>
        </w:rPr>
        <w:t xml:space="preserve">    9、甲方人员参加乙方组织的各种会议和活动，须经主管领导同意；发现乙方单位有不廉洁的行为，应及时采取措施，终止其不廉洁行为的继续发生，并报告主管领导。     </w:t>
      </w:r>
    </w:p>
    <w:p>
      <w:pPr>
        <w:pStyle w:val="11"/>
        <w:spacing w:line="276" w:lineRule="auto"/>
        <w:ind w:left="-105" w:leftChars="-50" w:firstLine="0"/>
        <w:jc w:val="left"/>
        <w:rPr>
          <w:rFonts w:ascii="宋体" w:hAnsi="宋体"/>
          <w:bCs/>
          <w:color w:val="auto"/>
          <w:sz w:val="24"/>
          <w:szCs w:val="24"/>
        </w:rPr>
      </w:pPr>
      <w:r>
        <w:rPr>
          <w:rFonts w:hint="eastAsia" w:ascii="宋体" w:hAnsi="宋体"/>
          <w:bCs/>
          <w:color w:val="auto"/>
          <w:sz w:val="24"/>
          <w:szCs w:val="24"/>
        </w:rPr>
        <w:t xml:space="preserve">    10、甲方工作人员（含家属、子女）不得以任何形式向乙方索要赞助或收受回扣等好处费。</w:t>
      </w:r>
    </w:p>
    <w:p>
      <w:pPr>
        <w:pStyle w:val="11"/>
        <w:spacing w:line="276" w:lineRule="auto"/>
        <w:ind w:firstLine="0"/>
        <w:jc w:val="left"/>
        <w:rPr>
          <w:rFonts w:ascii="宋体" w:hAnsi="宋体"/>
          <w:bCs/>
          <w:color w:val="auto"/>
          <w:sz w:val="24"/>
          <w:szCs w:val="24"/>
        </w:rPr>
      </w:pPr>
      <w:r>
        <w:rPr>
          <w:rFonts w:hint="eastAsia" w:ascii="宋体" w:hAnsi="宋体"/>
          <w:bCs/>
          <w:color w:val="auto"/>
          <w:sz w:val="24"/>
          <w:szCs w:val="24"/>
        </w:rPr>
        <w:t xml:space="preserve">   11、甲方工作人员不得以考察、参观等名义参加乙方安排的国内外旅游活动。</w:t>
      </w:r>
    </w:p>
    <w:p>
      <w:pPr>
        <w:pStyle w:val="11"/>
        <w:spacing w:line="276" w:lineRule="auto"/>
        <w:ind w:firstLine="0"/>
        <w:jc w:val="left"/>
        <w:rPr>
          <w:rFonts w:ascii="宋体" w:hAnsi="宋体"/>
          <w:bCs/>
          <w:color w:val="auto"/>
          <w:sz w:val="24"/>
          <w:szCs w:val="24"/>
        </w:rPr>
      </w:pPr>
      <w:r>
        <w:rPr>
          <w:rFonts w:hint="eastAsia" w:ascii="宋体" w:hAnsi="宋体"/>
          <w:bCs/>
          <w:color w:val="auto"/>
          <w:sz w:val="24"/>
          <w:szCs w:val="24"/>
        </w:rPr>
        <w:t xml:space="preserve">   12、甲方工作人员（含家属、子女）不得以任何形式向乙方索要赞助或收受回扣等好处费。</w:t>
      </w:r>
    </w:p>
    <w:p>
      <w:pPr>
        <w:pStyle w:val="11"/>
        <w:spacing w:line="276" w:lineRule="auto"/>
        <w:ind w:firstLine="0"/>
        <w:jc w:val="left"/>
        <w:rPr>
          <w:rFonts w:hint="eastAsia" w:ascii="宋体" w:hAnsi="宋体" w:eastAsia="宋体"/>
          <w:bCs/>
          <w:color w:val="auto"/>
          <w:sz w:val="24"/>
          <w:szCs w:val="24"/>
          <w:lang w:eastAsia="zh-CN"/>
        </w:rPr>
      </w:pPr>
      <w:r>
        <w:rPr>
          <w:rFonts w:hint="eastAsia" w:ascii="宋体" w:hAnsi="宋体"/>
          <w:bCs/>
          <w:color w:val="auto"/>
          <w:sz w:val="24"/>
          <w:szCs w:val="24"/>
        </w:rPr>
        <w:t xml:space="preserve">    三、乙方及其工作人员在采购工作中必须严格遵守以下规定</w:t>
      </w:r>
    </w:p>
    <w:p>
      <w:pPr>
        <w:pStyle w:val="11"/>
        <w:spacing w:line="276" w:lineRule="auto"/>
        <w:ind w:firstLine="0"/>
        <w:jc w:val="left"/>
        <w:rPr>
          <w:rFonts w:hint="eastAsia" w:ascii="宋体" w:hAnsi="宋体" w:eastAsia="宋体"/>
          <w:bCs/>
          <w:color w:val="auto"/>
          <w:sz w:val="24"/>
          <w:szCs w:val="24"/>
          <w:lang w:eastAsia="zh-CN"/>
        </w:rPr>
      </w:pPr>
      <w:r>
        <w:rPr>
          <w:rFonts w:hint="eastAsia" w:ascii="宋体" w:hAnsi="宋体"/>
          <w:bCs/>
          <w:color w:val="auto"/>
          <w:sz w:val="24"/>
          <w:szCs w:val="24"/>
        </w:rPr>
        <w:t xml:space="preserve">   1、不得以任何借口向甲方及其工作人员（含家属、子女）赠送“红包”、礼品、礼金等。</w:t>
      </w:r>
    </w:p>
    <w:p>
      <w:pPr>
        <w:pStyle w:val="11"/>
        <w:spacing w:line="276" w:lineRule="auto"/>
        <w:ind w:firstLine="0"/>
        <w:jc w:val="left"/>
        <w:rPr>
          <w:rFonts w:hint="eastAsia" w:ascii="宋体" w:hAnsi="宋体" w:eastAsia="宋体"/>
          <w:bCs/>
          <w:color w:val="auto"/>
          <w:sz w:val="24"/>
          <w:szCs w:val="24"/>
          <w:lang w:eastAsia="zh-CN"/>
        </w:rPr>
      </w:pPr>
      <w:r>
        <w:rPr>
          <w:rFonts w:hint="eastAsia" w:ascii="宋体" w:hAnsi="宋体"/>
          <w:bCs/>
          <w:color w:val="auto"/>
          <w:sz w:val="24"/>
          <w:szCs w:val="24"/>
        </w:rPr>
        <w:t>   2、不得为甲方及其工作人员（含家属、子女）报销和支付需由个人支付的任何费用。</w:t>
      </w:r>
    </w:p>
    <w:p>
      <w:pPr>
        <w:pStyle w:val="11"/>
        <w:spacing w:line="276" w:lineRule="auto"/>
        <w:ind w:firstLine="0"/>
        <w:jc w:val="left"/>
        <w:rPr>
          <w:rFonts w:hint="eastAsia" w:ascii="宋体" w:hAnsi="宋体" w:eastAsia="宋体"/>
          <w:bCs/>
          <w:color w:val="auto"/>
          <w:sz w:val="24"/>
          <w:szCs w:val="24"/>
          <w:lang w:eastAsia="zh-CN"/>
        </w:rPr>
      </w:pPr>
      <w:r>
        <w:rPr>
          <w:rFonts w:hint="eastAsia" w:ascii="宋体" w:hAnsi="宋体"/>
          <w:bCs/>
          <w:color w:val="auto"/>
          <w:sz w:val="24"/>
          <w:szCs w:val="24"/>
        </w:rPr>
        <w:t>   3、不得邀请甲方及其工作人员（含家属、子女）参加由乙方支付的宴请、娱乐以及旅游等一切活动。</w:t>
      </w:r>
    </w:p>
    <w:p>
      <w:pPr>
        <w:pStyle w:val="11"/>
        <w:spacing w:line="276" w:lineRule="auto"/>
        <w:ind w:firstLine="0"/>
        <w:jc w:val="left"/>
        <w:rPr>
          <w:rFonts w:hint="eastAsia" w:ascii="宋体" w:hAnsi="宋体" w:eastAsia="宋体"/>
          <w:bCs/>
          <w:color w:val="auto"/>
          <w:sz w:val="24"/>
          <w:szCs w:val="24"/>
          <w:lang w:eastAsia="zh-CN"/>
        </w:rPr>
      </w:pPr>
      <w:r>
        <w:rPr>
          <w:rFonts w:hint="eastAsia" w:ascii="宋体" w:hAnsi="宋体"/>
          <w:bCs/>
          <w:color w:val="auto"/>
          <w:sz w:val="24"/>
          <w:szCs w:val="24"/>
        </w:rPr>
        <w:t>   4、不得为甲方及其工作人员（含家属、子女）购置或长期无偿提供通讯工具、交通工具、家电和其他物品。</w:t>
      </w:r>
    </w:p>
    <w:p>
      <w:pPr>
        <w:pStyle w:val="11"/>
        <w:spacing w:line="276" w:lineRule="auto"/>
        <w:ind w:firstLine="0"/>
        <w:jc w:val="left"/>
        <w:rPr>
          <w:rFonts w:ascii="宋体" w:hAnsi="宋体"/>
          <w:bCs/>
          <w:color w:val="auto"/>
          <w:sz w:val="24"/>
          <w:szCs w:val="24"/>
        </w:rPr>
      </w:pPr>
      <w:r>
        <w:rPr>
          <w:rFonts w:hint="eastAsia" w:ascii="宋体" w:hAnsi="宋体"/>
          <w:bCs/>
          <w:color w:val="auto"/>
          <w:sz w:val="24"/>
          <w:szCs w:val="24"/>
        </w:rPr>
        <w:t>　  5、不得向甲方及其工作人员（含家属、子女）馈赠有价证券和贵重物品。</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6、不得到甲方及其工作人员家里询问有关事项。</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7、不得接受甲方及其工作人员介绍的家属或亲友从事与该项目有关的材料、设备供应或该项目分包等经济活动。</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8、不得以任何借口私下给予甲方工作人员回扣，无论以任何名义给予的回扣、折扣必须以明示的方式体现在合同或协议中。</w:t>
      </w:r>
    </w:p>
    <w:p>
      <w:pPr>
        <w:pStyle w:val="11"/>
        <w:spacing w:line="276" w:lineRule="auto"/>
        <w:ind w:firstLine="0"/>
        <w:jc w:val="left"/>
        <w:rPr>
          <w:rFonts w:ascii="宋体" w:hAnsi="宋体"/>
          <w:bCs/>
          <w:color w:val="auto"/>
          <w:sz w:val="24"/>
          <w:szCs w:val="24"/>
        </w:rPr>
      </w:pPr>
      <w:r>
        <w:rPr>
          <w:rFonts w:hint="eastAsia" w:ascii="宋体" w:hAnsi="宋体"/>
          <w:bCs/>
          <w:color w:val="auto"/>
          <w:sz w:val="24"/>
          <w:szCs w:val="24"/>
        </w:rPr>
        <w:t>   9、乙方不履行或不正确履行职责，在物资采购中贿赂甲方工作人员，提供的货物以次充好，或属假冒伪劣产品，一经查实，甲方有权终止物资采购合同，由此给甲方所造成的损失均由乙方承担，并负责由此发生的一切费用。</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10、乙方应保证乙方有关人员了解甲方单位有关廉洁合作管理的各项制度及本协议的规定，支持甲方执行有关规定和制度，并遵照执行。</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11、乙方有责任对本单位项目工程相关人员进行廉政教育（包括甲方单位制定的有关廉政建设方面的规定），按时出席甲方召集的有关会议。</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12、乙方应当通过正常途径开展相关业务工作，不得为获取某些不正当利益而向甲方工作人员（含家属、子女）赠送礼金、有价证券和贵重物品等。</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13、乙方不得为谋取私利擅自与甲方工作人员就材料设备供应、材料设备质量问题处理等进行私下商谈或者达成默契。</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14、乙方单位发现乙方人员向甲方人员有任何行贿行为，均应及时采取措施予以制止，并及时通报甲方单位领导。</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15、乙方不得以洽谈业务、签订合同等为借口，邀请甲方工作人员外出旅游或进入营业性高档娱乐场所。</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16、乙方有责任接受甲方对乙方在材料设备供货期间廉洁合作管理执行情况的监督。乙方单位人员有义务就甲方人员任何形式的索贿或受贿行为及时向甲方单位领导举报。</w:t>
      </w:r>
    </w:p>
    <w:p>
      <w:pPr>
        <w:pStyle w:val="11"/>
        <w:spacing w:line="276" w:lineRule="auto"/>
        <w:ind w:firstLine="240" w:firstLineChars="100"/>
        <w:jc w:val="left"/>
        <w:rPr>
          <w:rFonts w:hint="eastAsia" w:ascii="宋体" w:hAnsi="宋体" w:eastAsia="宋体"/>
          <w:bCs/>
          <w:color w:val="auto"/>
          <w:sz w:val="24"/>
          <w:szCs w:val="24"/>
          <w:lang w:eastAsia="zh-CN"/>
        </w:rPr>
      </w:pPr>
      <w:r>
        <w:rPr>
          <w:rFonts w:hint="eastAsia" w:ascii="宋体" w:hAnsi="宋体"/>
          <w:bCs/>
          <w:color w:val="auto"/>
          <w:sz w:val="24"/>
          <w:szCs w:val="24"/>
        </w:rPr>
        <w:t>　四、违规处理办法</w:t>
      </w:r>
    </w:p>
    <w:p>
      <w:pPr>
        <w:pStyle w:val="11"/>
        <w:spacing w:line="276" w:lineRule="auto"/>
        <w:ind w:firstLine="240" w:firstLineChars="100"/>
        <w:jc w:val="left"/>
        <w:rPr>
          <w:rFonts w:hint="eastAsia" w:ascii="宋体" w:hAnsi="宋体" w:eastAsia="宋体"/>
          <w:bCs/>
          <w:color w:val="auto"/>
          <w:sz w:val="24"/>
          <w:szCs w:val="24"/>
          <w:lang w:eastAsia="zh-CN"/>
        </w:rPr>
      </w:pPr>
      <w:r>
        <w:rPr>
          <w:rFonts w:hint="eastAsia" w:ascii="宋体" w:hAnsi="宋体"/>
          <w:bCs/>
          <w:color w:val="auto"/>
          <w:sz w:val="24"/>
          <w:szCs w:val="24"/>
        </w:rPr>
        <w:t> 1、甲方及其工作人员有违反本协议的，一经查实，甲方纪检监察部门及上级有关部门将依法依纪严肃处理，追究有关人员的责任，触犯法律的移交司法机关处理。</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2、乙方及其工作人员有违反本协议的，一经查实，乙方监督部门须依法依纪严肃处理，追究有关人员的责任，触犯法律的移交司法机关处理。由此造成甲方的损失由乙方承担，甲方有权永久取消其供货资格。</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3、甲方发现有乙方违反本协议或者采用不正当的手段行贿甲方工作人员，甲方根据具体情节和造成的后果追究乙方合同造价</w:t>
      </w:r>
      <w:r>
        <w:rPr>
          <w:rFonts w:hint="eastAsia" w:ascii="宋体" w:hAnsi="宋体"/>
          <w:bCs/>
          <w:color w:val="auto"/>
          <w:sz w:val="24"/>
          <w:szCs w:val="24"/>
          <w:lang w:val="en-US" w:eastAsia="zh-CN"/>
        </w:rPr>
        <w:t>2</w:t>
      </w:r>
      <w:r>
        <w:rPr>
          <w:rFonts w:hint="eastAsia" w:ascii="宋体" w:hAnsi="宋体"/>
          <w:bCs/>
          <w:color w:val="auto"/>
          <w:sz w:val="24"/>
          <w:szCs w:val="24"/>
        </w:rPr>
        <w:t>0%的违约金，由此给甲方单位造成的损失均由乙方承担，构成犯罪的，甲方将移交相关部门予以严肃处理。</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4、甲方工作人员如有索贿或变相索贿，经乙方检举查处核实后，甲方将依法依规严肃处理，且将视情况予以奖励。</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5、如乙方向甲方人员行贿，或甲方人员向乙方索贿，乙方满足其要求且并未向甲方举报的，一经查实，甲方除将案件移交公安机关外，此种情况还将被视为乙方的严重违约，乙方应当向甲方支付行贿金额的双倍违约金，如果给甲方造成经济损失，乙方应当就造成的损失承担全部赔偿责任。</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6、如因乙方单位及人员在本材料（设备）采购全过程期间贿赂甲方人员，被检查机关立案查处的，甲方有权取消或终止合同的履行，由此给甲方造成的损失由乙方负责赔偿。</w:t>
      </w:r>
    </w:p>
    <w:p>
      <w:pPr>
        <w:pStyle w:val="11"/>
        <w:spacing w:line="276" w:lineRule="auto"/>
        <w:ind w:firstLine="240" w:firstLineChars="100"/>
        <w:jc w:val="left"/>
        <w:rPr>
          <w:rFonts w:ascii="宋体" w:hAnsi="宋体"/>
          <w:bCs/>
          <w:color w:val="auto"/>
          <w:sz w:val="24"/>
          <w:szCs w:val="24"/>
        </w:rPr>
      </w:pPr>
      <w:r>
        <w:rPr>
          <w:rFonts w:hint="eastAsia" w:ascii="宋体" w:hAnsi="宋体"/>
          <w:bCs/>
          <w:color w:val="auto"/>
          <w:sz w:val="24"/>
          <w:szCs w:val="24"/>
        </w:rPr>
        <w:t xml:space="preserve">  7、乙方如发现甲方及其工作人员有违反上诉协议者，应及时采取措施，终止其不廉洁行为的继续发生，并及时向甲方领导或甲方上级单位举报，甲方不得找任何借口对乙方进行报复或刁难、延误工作。情节严重的可向有关部门投诉或举报。甲方对举报属实和严格遵守廉洁协议的乙方，在同等条件下给予承接后续工程的优先邀请投标权。</w:t>
      </w:r>
    </w:p>
    <w:p>
      <w:pPr>
        <w:pStyle w:val="11"/>
        <w:spacing w:line="276" w:lineRule="auto"/>
        <w:ind w:firstLine="240" w:firstLineChars="100"/>
        <w:jc w:val="left"/>
        <w:rPr>
          <w:rFonts w:hint="eastAsia" w:ascii="宋体" w:hAnsi="宋体"/>
          <w:bCs/>
          <w:color w:val="auto"/>
          <w:sz w:val="24"/>
          <w:szCs w:val="24"/>
        </w:rPr>
      </w:pPr>
      <w:r>
        <w:rPr>
          <w:rFonts w:hint="eastAsia" w:ascii="宋体" w:hAnsi="宋体"/>
          <w:bCs/>
          <w:color w:val="auto"/>
          <w:sz w:val="24"/>
          <w:szCs w:val="24"/>
        </w:rPr>
        <w:t xml:space="preserve">  8、本协议适用于甲、乙双方在本材料（设备）采购全过程及合同履行期间的行为。</w:t>
      </w:r>
    </w:p>
    <w:p>
      <w:pPr>
        <w:pStyle w:val="11"/>
        <w:spacing w:line="276" w:lineRule="auto"/>
        <w:ind w:left="0" w:leftChars="0" w:firstLine="480" w:firstLineChars="200"/>
        <w:jc w:val="left"/>
        <w:rPr>
          <w:rFonts w:hint="eastAsia" w:ascii="宋体" w:hAnsi="宋体" w:eastAsia="宋体"/>
          <w:bCs/>
          <w:color w:val="auto"/>
          <w:sz w:val="24"/>
          <w:szCs w:val="24"/>
          <w:lang w:eastAsia="zh-CN"/>
        </w:rPr>
      </w:pPr>
      <w:r>
        <w:rPr>
          <w:rFonts w:hint="eastAsia" w:ascii="宋体" w:hAnsi="宋体"/>
          <w:bCs/>
          <w:color w:val="auto"/>
          <w:sz w:val="24"/>
          <w:szCs w:val="24"/>
        </w:rPr>
        <w:t>五、其它未尽事宜，由双方协商解决。</w:t>
      </w:r>
    </w:p>
    <w:p>
      <w:pPr>
        <w:pStyle w:val="11"/>
        <w:spacing w:line="276" w:lineRule="auto"/>
        <w:ind w:left="0" w:leftChars="0" w:firstLine="480" w:firstLineChars="200"/>
        <w:jc w:val="left"/>
        <w:rPr>
          <w:rFonts w:ascii="宋体" w:hAnsi="宋体"/>
          <w:bCs/>
          <w:color w:val="auto"/>
          <w:sz w:val="24"/>
          <w:szCs w:val="24"/>
        </w:rPr>
      </w:pPr>
      <w:r>
        <w:rPr>
          <w:rFonts w:hint="eastAsia" w:ascii="宋体" w:hAnsi="宋体"/>
          <w:bCs/>
          <w:color w:val="auto"/>
          <w:sz w:val="24"/>
          <w:szCs w:val="24"/>
        </w:rPr>
        <w:t>六、本协议与物资采购合同一并签订，作为采购合同的附件，</w:t>
      </w:r>
      <w:r>
        <w:rPr>
          <w:rFonts w:hint="eastAsia" w:ascii="宋体" w:hAnsi="宋体"/>
          <w:bCs/>
          <w:color w:val="auto"/>
          <w:sz w:val="24"/>
          <w:szCs w:val="24"/>
          <w:lang w:val="en-US" w:eastAsia="zh-CN"/>
        </w:rPr>
        <w:t>壹</w:t>
      </w:r>
      <w:r>
        <w:rPr>
          <w:rFonts w:hint="eastAsia" w:ascii="宋体" w:hAnsi="宋体"/>
          <w:bCs/>
          <w:color w:val="auto"/>
          <w:sz w:val="24"/>
          <w:szCs w:val="24"/>
        </w:rPr>
        <w:t>式柒份，自双方签章盖章后生效。经审核后的合同</w:t>
      </w:r>
      <w:r>
        <w:rPr>
          <w:rFonts w:hint="eastAsia" w:ascii="宋体" w:hAnsi="宋体" w:cs="宋体"/>
          <w:bCs/>
          <w:color w:val="auto"/>
          <w:sz w:val="24"/>
        </w:rPr>
        <w:t>甲方</w:t>
      </w:r>
      <w:r>
        <w:rPr>
          <w:rFonts w:hint="eastAsia" w:ascii="宋体" w:hAnsi="宋体" w:cs="宋体"/>
          <w:bCs/>
          <w:color w:val="auto"/>
          <w:sz w:val="24"/>
          <w:lang w:val="en-US" w:eastAsia="zh-CN"/>
        </w:rPr>
        <w:t>肆</w:t>
      </w:r>
      <w:r>
        <w:rPr>
          <w:rFonts w:hint="eastAsia" w:ascii="宋体" w:hAnsi="宋体" w:cs="宋体"/>
          <w:bCs/>
          <w:color w:val="auto"/>
          <w:sz w:val="24"/>
        </w:rPr>
        <w:t>份，乙方</w:t>
      </w:r>
      <w:r>
        <w:rPr>
          <w:rFonts w:hint="eastAsia" w:ascii="宋体" w:hAnsi="宋体" w:cs="宋体"/>
          <w:bCs/>
          <w:color w:val="auto"/>
          <w:sz w:val="24"/>
          <w:lang w:val="en-US" w:eastAsia="zh-CN"/>
        </w:rPr>
        <w:t>贰</w:t>
      </w:r>
      <w:r>
        <w:rPr>
          <w:rFonts w:hint="eastAsia" w:ascii="宋体" w:hAnsi="宋体" w:cs="宋体"/>
          <w:bCs/>
          <w:color w:val="auto"/>
          <w:sz w:val="24"/>
        </w:rPr>
        <w:t>份，采购代理机构</w:t>
      </w:r>
      <w:r>
        <w:rPr>
          <w:rFonts w:hint="eastAsia" w:ascii="宋体" w:hAnsi="宋体" w:cs="宋体"/>
          <w:bCs/>
          <w:color w:val="auto"/>
          <w:sz w:val="24"/>
          <w:lang w:val="en-US" w:eastAsia="zh-CN"/>
        </w:rPr>
        <w:t>壹</w:t>
      </w:r>
      <w:r>
        <w:rPr>
          <w:rFonts w:hint="eastAsia" w:ascii="宋体" w:hAnsi="宋体" w:cs="宋体"/>
          <w:bCs/>
          <w:color w:val="auto"/>
          <w:sz w:val="24"/>
        </w:rPr>
        <w:t>份，具同等法律效力。</w:t>
      </w:r>
    </w:p>
    <w:p>
      <w:pPr>
        <w:pStyle w:val="11"/>
        <w:spacing w:line="276" w:lineRule="auto"/>
        <w:ind w:left="-105" w:leftChars="-50"/>
        <w:jc w:val="left"/>
        <w:rPr>
          <w:rFonts w:ascii="宋体" w:hAnsi="宋体"/>
          <w:bCs/>
          <w:color w:val="auto"/>
          <w:sz w:val="24"/>
          <w:szCs w:val="24"/>
        </w:rPr>
      </w:pPr>
      <w:r>
        <w:rPr>
          <w:rFonts w:hint="eastAsia" w:ascii="宋体" w:hAnsi="宋体"/>
          <w:bCs/>
          <w:color w:val="auto"/>
          <w:sz w:val="24"/>
          <w:szCs w:val="24"/>
        </w:rPr>
        <w:t>（以下无正文）</w:t>
      </w:r>
    </w:p>
    <w:p>
      <w:pPr>
        <w:pStyle w:val="11"/>
        <w:spacing w:line="276" w:lineRule="auto"/>
        <w:ind w:firstLine="0"/>
        <w:jc w:val="left"/>
        <w:rPr>
          <w:rFonts w:ascii="宋体" w:hAnsi="宋体"/>
          <w:bCs/>
          <w:color w:val="auto"/>
          <w:sz w:val="24"/>
          <w:szCs w:val="24"/>
        </w:rPr>
      </w:pPr>
    </w:p>
    <w:p>
      <w:pPr>
        <w:pStyle w:val="11"/>
        <w:spacing w:line="276" w:lineRule="auto"/>
        <w:ind w:left="-105" w:leftChars="-50"/>
        <w:jc w:val="left"/>
        <w:rPr>
          <w:rFonts w:ascii="宋体" w:hAnsi="宋体"/>
          <w:bCs/>
          <w:color w:val="auto"/>
          <w:sz w:val="24"/>
          <w:szCs w:val="24"/>
        </w:rPr>
      </w:pPr>
    </w:p>
    <w:p>
      <w:pPr>
        <w:pStyle w:val="11"/>
        <w:spacing w:line="276" w:lineRule="auto"/>
        <w:ind w:left="-105" w:leftChars="-50"/>
        <w:jc w:val="left"/>
        <w:rPr>
          <w:rFonts w:ascii="宋体" w:hAnsi="宋体"/>
          <w:bCs/>
          <w:color w:val="auto"/>
          <w:sz w:val="24"/>
          <w:szCs w:val="24"/>
        </w:rPr>
      </w:pPr>
      <w:r>
        <w:rPr>
          <w:rFonts w:hint="eastAsia" w:ascii="宋体" w:hAnsi="宋体"/>
          <w:bCs/>
          <w:color w:val="auto"/>
          <w:sz w:val="24"/>
          <w:szCs w:val="24"/>
        </w:rPr>
        <w:t>甲方（公章）：    　　　　      乙方（公章）： </w:t>
      </w:r>
    </w:p>
    <w:p>
      <w:pPr>
        <w:pStyle w:val="11"/>
        <w:spacing w:line="276" w:lineRule="auto"/>
        <w:ind w:left="-105" w:leftChars="-50"/>
        <w:jc w:val="left"/>
        <w:rPr>
          <w:rFonts w:ascii="宋体" w:hAnsi="宋体"/>
          <w:bCs/>
          <w:color w:val="auto"/>
          <w:sz w:val="24"/>
          <w:szCs w:val="24"/>
        </w:rPr>
      </w:pPr>
    </w:p>
    <w:p>
      <w:pPr>
        <w:pStyle w:val="11"/>
        <w:spacing w:line="276" w:lineRule="auto"/>
        <w:ind w:left="-105" w:leftChars="-50"/>
        <w:jc w:val="left"/>
        <w:rPr>
          <w:rFonts w:ascii="宋体" w:hAnsi="宋体"/>
          <w:bCs/>
          <w:color w:val="auto"/>
          <w:sz w:val="24"/>
          <w:szCs w:val="24"/>
        </w:rPr>
      </w:pPr>
      <w:r>
        <w:rPr>
          <w:rFonts w:hint="eastAsia" w:ascii="宋体" w:hAnsi="宋体"/>
          <w:bCs/>
          <w:color w:val="auto"/>
          <w:sz w:val="24"/>
          <w:szCs w:val="24"/>
        </w:rPr>
        <w:t>  </w:t>
      </w:r>
    </w:p>
    <w:p>
      <w:pPr>
        <w:spacing w:line="276" w:lineRule="auto"/>
        <w:rPr>
          <w:color w:val="auto"/>
        </w:rPr>
      </w:pPr>
      <w:r>
        <w:rPr>
          <w:rFonts w:hint="eastAsia" w:ascii="宋体" w:hAnsi="宋体"/>
          <w:bCs/>
          <w:color w:val="auto"/>
          <w:sz w:val="24"/>
        </w:rPr>
        <w:t xml:space="preserve">     代表人签字：                       代表人签字：</w:t>
      </w:r>
    </w:p>
    <w:p>
      <w:pPr>
        <w:rPr>
          <w:color w:val="auto"/>
        </w:rPr>
      </w:pPr>
    </w:p>
    <w:p>
      <w:pPr>
        <w:jc w:val="center"/>
        <w:rPr>
          <w:rFonts w:hint="eastAsia" w:eastAsia="宋体"/>
          <w:color w:val="auto"/>
          <w:sz w:val="24"/>
          <w:szCs w:val="24"/>
          <w:lang w:eastAsia="zh-CN"/>
        </w:rPr>
      </w:pPr>
    </w:p>
    <w:sectPr>
      <w:pgSz w:w="11907" w:h="16839"/>
      <w:pgMar w:top="1440" w:right="1474" w:bottom="1440" w:left="1474"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outside" w:y="1"/>
      <w:rPr>
        <w:rStyle w:val="33"/>
      </w:rPr>
    </w:pPr>
    <w:r>
      <w:fldChar w:fldCharType="begin"/>
    </w:r>
    <w:r>
      <w:rPr>
        <w:rStyle w:val="33"/>
      </w:rPr>
      <w:instrText xml:space="preserve">PAGE  </w:instrText>
    </w:r>
    <w:r>
      <w:fldChar w:fldCharType="end"/>
    </w:r>
  </w:p>
  <w:p>
    <w:pPr>
      <w:pStyle w:val="1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p>
  <w:p>
    <w:pPr>
      <w:pStyle w:val="18"/>
      <w:jc w:val="center"/>
      <w:rPr>
        <w:rFonts w:ascii="宋体" w:hAnsi="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1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1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pPr>
      <w:pStyle w:val="18"/>
      <w:jc w:val="center"/>
      <w:rPr>
        <w:rFonts w:ascii="宋体" w:hAnsi="宋体"/>
        <w:sz w:val="28"/>
        <w:szCs w:val="2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p>
  <w:p>
    <w:pPr>
      <w:pStyle w:val="18"/>
      <w:jc w:val="center"/>
      <w:rPr>
        <w:rFonts w:ascii="宋体" w:hAnsi="宋体"/>
        <w:sz w:val="28"/>
        <w:szCs w:val="2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pPr>
      <w:pStyle w:val="18"/>
      <w:jc w:val="center"/>
      <w:rPr>
        <w:rFonts w:ascii="宋体" w:hAnsi="宋体"/>
        <w:sz w:val="28"/>
        <w:szCs w:val="2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ascii="宋体" w:hAnsi="宋体"/>
        <w:sz w:val="32"/>
        <w:szCs w:val="32"/>
      </w:rPr>
    </w:pPr>
    <w:r>
      <w:rPr>
        <w:sz w:val="3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t xml:space="preserve">第 </w:t>
                          </w:r>
                          <w:r>
                            <w:fldChar w:fldCharType="begin"/>
                          </w:r>
                          <w:r>
                            <w:instrText xml:space="preserve"> PAGE  \* MERGEFORMAT </w:instrText>
                          </w:r>
                          <w:r>
                            <w:fldChar w:fldCharType="separate"/>
                          </w:r>
                          <w:r>
                            <w:t>28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18"/>
                    </w:pPr>
                    <w:r>
                      <w:t xml:space="preserve">第 </w:t>
                    </w:r>
                    <w:r>
                      <w:fldChar w:fldCharType="begin"/>
                    </w:r>
                    <w:r>
                      <w:instrText xml:space="preserve"> PAGE  \* MERGEFORMAT </w:instrText>
                    </w:r>
                    <w:r>
                      <w:fldChar w:fldCharType="separate"/>
                    </w:r>
                    <w:r>
                      <w:t>28</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ascii="宋体" w:hAnsi="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8"/>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rPr>
        <w:rFonts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8"/>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ind w:right="-2081" w:rightChars="-991"/>
      <w:jc w:val="both"/>
      <w:rPr>
        <w:rFonts w:ascii="华文新魏" w:eastAsia="华文新魏"/>
      </w:rPr>
    </w:pPr>
    <w:r>
      <w:rPr>
        <w:rFonts w:ascii="华文新魏" w:eastAsia="华文新魏"/>
        <w:sz w:val="21"/>
        <w:szCs w:val="22"/>
      </w:rPr>
      <w:drawing>
        <wp:inline distT="0" distB="0" distL="114300" distR="114300">
          <wp:extent cx="1990725" cy="228600"/>
          <wp:effectExtent l="0" t="0" r="9525" b="0"/>
          <wp:docPr id="2" name="图片 2" descr="QQ图片2018102313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QQ图片20181023134710"/>
                  <pic:cNvPicPr>
                    <a:picLocks noChangeAspect="1"/>
                  </pic:cNvPicPr>
                </pic:nvPicPr>
                <pic:blipFill>
                  <a:blip r:embed="rId1"/>
                  <a:stretch>
                    <a:fillRect/>
                  </a:stretch>
                </pic:blipFill>
                <pic:spPr>
                  <a:xfrm>
                    <a:off x="0" y="0"/>
                    <a:ext cx="1990725" cy="228600"/>
                  </a:xfrm>
                  <a:prstGeom prst="rect">
                    <a:avLst/>
                  </a:prstGeom>
                  <a:noFill/>
                  <a:ln>
                    <a:noFill/>
                  </a:ln>
                </pic:spPr>
              </pic:pic>
            </a:graphicData>
          </a:graphic>
        </wp:inline>
      </w:drawing>
    </w:r>
    <w:r>
      <w:rPr>
        <w:rFonts w:hint="eastAsia" w:ascii="华文新魏" w:eastAsia="华文新魏"/>
      </w:rPr>
      <w:t xml:space="preserve">                     </w:t>
    </w:r>
    <w:r>
      <w:rPr>
        <w:rFonts w:hint="eastAsia" w:ascii="华文新魏" w:eastAsia="华文新魏"/>
        <w:lang w:eastAsia="zh-CN"/>
      </w:rPr>
      <w:t>四川玖久公信绵高新市政磋（2022）1号</w:t>
    </w:r>
    <w:r>
      <w:rPr>
        <w:rFonts w:hint="eastAsia" w:ascii="华文新魏" w:eastAsia="华文新魏"/>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rPr>
        <w:rFonts w:hint="eastAsia" w:eastAsia="宋体"/>
        <w:lang w:eastAsia="zh-CN"/>
      </w:rPr>
    </w:pPr>
    <w:r>
      <w:rPr>
        <w:rFonts w:hint="eastAsia"/>
      </w:rPr>
      <w:t>四川省工商行政管理局数据中心建设项目政府采购—</w:t>
    </w:r>
    <w:r>
      <w:rPr>
        <w:rFonts w:hint="eastAsia"/>
        <w:lang w:eastAsia="zh-CN"/>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rPr>
        <w:rFonts w:hint="eastAsia" w:ascii="华文新魏" w:eastAsia="华文新魏"/>
        <w:sz w:val="21"/>
        <w:szCs w:val="21"/>
        <w:lang w:eastAsia="zh-CN"/>
      </w:rPr>
    </w:pPr>
    <w:r>
      <w:rPr>
        <w:rFonts w:ascii="华文新魏" w:eastAsia="华文新魏"/>
        <w:sz w:val="21"/>
        <w:szCs w:val="22"/>
      </w:rPr>
      <w:drawing>
        <wp:inline distT="0" distB="0" distL="114300" distR="114300">
          <wp:extent cx="1990725" cy="228600"/>
          <wp:effectExtent l="0" t="0" r="9525" b="0"/>
          <wp:docPr id="3" name="图片 2" descr="QQ图片2018102313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QQ图片20181023134710"/>
                  <pic:cNvPicPr>
                    <a:picLocks noChangeAspect="1"/>
                  </pic:cNvPicPr>
                </pic:nvPicPr>
                <pic:blipFill>
                  <a:blip r:embed="rId1"/>
                  <a:stretch>
                    <a:fillRect/>
                  </a:stretch>
                </pic:blipFill>
                <pic:spPr>
                  <a:xfrm>
                    <a:off x="0" y="0"/>
                    <a:ext cx="1990725" cy="228600"/>
                  </a:xfrm>
                  <a:prstGeom prst="rect">
                    <a:avLst/>
                  </a:prstGeom>
                  <a:noFill/>
                  <a:ln>
                    <a:noFill/>
                  </a:ln>
                </pic:spPr>
              </pic:pic>
            </a:graphicData>
          </a:graphic>
        </wp:inline>
      </w:drawing>
    </w:r>
    <w:r>
      <w:rPr>
        <w:rFonts w:hint="eastAsia" w:ascii="华文新魏" w:eastAsia="华文新魏"/>
        <w:szCs w:val="18"/>
      </w:rPr>
      <w:t xml:space="preserve">                        </w:t>
    </w:r>
    <w:r>
      <w:rPr>
        <w:rFonts w:hint="eastAsia" w:ascii="华文新魏" w:eastAsia="华文新魏"/>
        <w:szCs w:val="18"/>
        <w:lang w:eastAsia="zh-CN"/>
      </w:rPr>
      <w:t>四川玖久公信绵高新市政磋（2022）1号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7D01D9"/>
    <w:multiLevelType w:val="singleLevel"/>
    <w:tmpl w:val="BF7D01D9"/>
    <w:lvl w:ilvl="0" w:tentative="0">
      <w:start w:val="1"/>
      <w:numFmt w:val="chineseCounting"/>
      <w:suff w:val="nothing"/>
      <w:lvlText w:val="%1、"/>
      <w:lvlJc w:val="left"/>
      <w:rPr>
        <w:rFonts w:hint="eastAsia"/>
      </w:rPr>
    </w:lvl>
  </w:abstractNum>
  <w:abstractNum w:abstractNumId="1">
    <w:nsid w:val="C3FF2137"/>
    <w:multiLevelType w:val="singleLevel"/>
    <w:tmpl w:val="C3FF2137"/>
    <w:lvl w:ilvl="0" w:tentative="0">
      <w:start w:val="1"/>
      <w:numFmt w:val="decimal"/>
      <w:lvlText w:val="(%1)"/>
      <w:lvlJc w:val="left"/>
      <w:pPr>
        <w:ind w:left="425" w:hanging="425"/>
      </w:pPr>
      <w:rPr>
        <w:rFonts w:hint="default"/>
      </w:rPr>
    </w:lvl>
  </w:abstractNum>
  <w:abstractNum w:abstractNumId="2">
    <w:nsid w:val="CA6D5888"/>
    <w:multiLevelType w:val="singleLevel"/>
    <w:tmpl w:val="CA6D5888"/>
    <w:lvl w:ilvl="0" w:tentative="0">
      <w:start w:val="9"/>
      <w:numFmt w:val="chineseCounting"/>
      <w:suff w:val="space"/>
      <w:lvlText w:val="第%1章"/>
      <w:lvlJc w:val="left"/>
      <w:rPr>
        <w:rFonts w:hint="eastAsia"/>
      </w:rPr>
    </w:lvl>
  </w:abstractNum>
  <w:abstractNum w:abstractNumId="3">
    <w:nsid w:val="0000000D"/>
    <w:multiLevelType w:val="multilevel"/>
    <w:tmpl w:val="0000000D"/>
    <w:lvl w:ilvl="0" w:tentative="0">
      <w:start w:val="1"/>
      <w:numFmt w:val="japaneseCounting"/>
      <w:lvlText w:val="%1、"/>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53208E"/>
    <w:multiLevelType w:val="singleLevel"/>
    <w:tmpl w:val="0053208E"/>
    <w:lvl w:ilvl="0" w:tentative="0">
      <w:start w:val="2"/>
      <w:numFmt w:val="decimal"/>
      <w:suff w:val="nothing"/>
      <w:lvlText w:val="%1）"/>
      <w:lvlJc w:val="left"/>
    </w:lvl>
  </w:abstractNum>
  <w:abstractNum w:abstractNumId="5">
    <w:nsid w:val="2420A269"/>
    <w:multiLevelType w:val="multilevel"/>
    <w:tmpl w:val="2420A269"/>
    <w:lvl w:ilvl="0" w:tentative="0">
      <w:start w:val="1"/>
      <w:numFmt w:val="decimal"/>
      <w:pStyle w:val="69"/>
      <w:lvlText w:val="（%1）"/>
      <w:lvlJc w:val="left"/>
      <w:pPr>
        <w:tabs>
          <w:tab w:val="left" w:pos="0"/>
        </w:tabs>
        <w:ind w:left="987" w:hanging="420"/>
      </w:pPr>
      <w:rPr>
        <w:rFonts w:hint="eastAsia"/>
      </w:rPr>
    </w:lvl>
    <w:lvl w:ilvl="1" w:tentative="0">
      <w:start w:val="1"/>
      <w:numFmt w:val="lowerLetter"/>
      <w:lvlText w:val="%2)"/>
      <w:lvlJc w:val="left"/>
      <w:pPr>
        <w:tabs>
          <w:tab w:val="left" w:pos="0"/>
        </w:tabs>
        <w:ind w:left="1407" w:hanging="420"/>
      </w:pPr>
    </w:lvl>
    <w:lvl w:ilvl="2" w:tentative="0">
      <w:start w:val="1"/>
      <w:numFmt w:val="lowerRoman"/>
      <w:lvlText w:val="%3."/>
      <w:lvlJc w:val="right"/>
      <w:pPr>
        <w:tabs>
          <w:tab w:val="left" w:pos="0"/>
        </w:tabs>
        <w:ind w:left="1827" w:hanging="420"/>
      </w:pPr>
    </w:lvl>
    <w:lvl w:ilvl="3" w:tentative="0">
      <w:start w:val="1"/>
      <w:numFmt w:val="decimal"/>
      <w:lvlText w:val="%4."/>
      <w:lvlJc w:val="left"/>
      <w:pPr>
        <w:tabs>
          <w:tab w:val="left" w:pos="0"/>
        </w:tabs>
        <w:ind w:left="2247" w:hanging="420"/>
      </w:pPr>
    </w:lvl>
    <w:lvl w:ilvl="4" w:tentative="0">
      <w:start w:val="1"/>
      <w:numFmt w:val="lowerLetter"/>
      <w:lvlText w:val="%5)"/>
      <w:lvlJc w:val="left"/>
      <w:pPr>
        <w:tabs>
          <w:tab w:val="left" w:pos="0"/>
        </w:tabs>
        <w:ind w:left="2667" w:hanging="420"/>
      </w:pPr>
    </w:lvl>
    <w:lvl w:ilvl="5" w:tentative="0">
      <w:start w:val="1"/>
      <w:numFmt w:val="lowerRoman"/>
      <w:lvlText w:val="%6."/>
      <w:lvlJc w:val="right"/>
      <w:pPr>
        <w:tabs>
          <w:tab w:val="left" w:pos="0"/>
        </w:tabs>
        <w:ind w:left="3087" w:hanging="420"/>
      </w:pPr>
    </w:lvl>
    <w:lvl w:ilvl="6" w:tentative="0">
      <w:start w:val="1"/>
      <w:numFmt w:val="decimal"/>
      <w:lvlText w:val="%7."/>
      <w:lvlJc w:val="left"/>
      <w:pPr>
        <w:tabs>
          <w:tab w:val="left" w:pos="0"/>
        </w:tabs>
        <w:ind w:left="3507" w:hanging="420"/>
      </w:pPr>
    </w:lvl>
    <w:lvl w:ilvl="7" w:tentative="0">
      <w:start w:val="1"/>
      <w:numFmt w:val="lowerLetter"/>
      <w:lvlText w:val="%8)"/>
      <w:lvlJc w:val="left"/>
      <w:pPr>
        <w:tabs>
          <w:tab w:val="left" w:pos="0"/>
        </w:tabs>
        <w:ind w:left="3927" w:hanging="420"/>
      </w:pPr>
    </w:lvl>
    <w:lvl w:ilvl="8" w:tentative="0">
      <w:start w:val="1"/>
      <w:numFmt w:val="lowerRoman"/>
      <w:lvlText w:val="%9."/>
      <w:lvlJc w:val="right"/>
      <w:pPr>
        <w:tabs>
          <w:tab w:val="left" w:pos="0"/>
        </w:tabs>
        <w:ind w:left="4347" w:hanging="420"/>
      </w:pPr>
    </w:lvl>
  </w:abstractNum>
  <w:abstractNum w:abstractNumId="6">
    <w:nsid w:val="4EE68D60"/>
    <w:multiLevelType w:val="multilevel"/>
    <w:tmpl w:val="4EE68D60"/>
    <w:lvl w:ilvl="0" w:tentative="0">
      <w:start w:val="1"/>
      <w:numFmt w:val="decimal"/>
      <w:lvlText w:val="（%1）"/>
      <w:lvlJc w:val="left"/>
      <w:pPr>
        <w:tabs>
          <w:tab w:val="left" w:pos="0"/>
        </w:tabs>
        <w:ind w:left="987" w:hanging="420"/>
      </w:pPr>
      <w:rPr>
        <w:rFonts w:hint="eastAsia"/>
      </w:rPr>
    </w:lvl>
    <w:lvl w:ilvl="1" w:tentative="0">
      <w:start w:val="1"/>
      <w:numFmt w:val="lowerLetter"/>
      <w:pStyle w:val="72"/>
      <w:lvlText w:val="%2)"/>
      <w:lvlJc w:val="left"/>
      <w:pPr>
        <w:tabs>
          <w:tab w:val="left" w:pos="0"/>
        </w:tabs>
        <w:ind w:left="1554" w:hanging="420"/>
      </w:pPr>
    </w:lvl>
    <w:lvl w:ilvl="2" w:tentative="0">
      <w:start w:val="1"/>
      <w:numFmt w:val="lowerRoman"/>
      <w:lvlText w:val="%3."/>
      <w:lvlJc w:val="right"/>
      <w:pPr>
        <w:tabs>
          <w:tab w:val="left" w:pos="0"/>
        </w:tabs>
        <w:ind w:left="1827" w:hanging="420"/>
      </w:pPr>
    </w:lvl>
    <w:lvl w:ilvl="3" w:tentative="0">
      <w:start w:val="1"/>
      <w:numFmt w:val="decimal"/>
      <w:lvlText w:val="%4."/>
      <w:lvlJc w:val="left"/>
      <w:pPr>
        <w:tabs>
          <w:tab w:val="left" w:pos="0"/>
        </w:tabs>
        <w:ind w:left="2247" w:hanging="420"/>
      </w:pPr>
    </w:lvl>
    <w:lvl w:ilvl="4" w:tentative="0">
      <w:start w:val="1"/>
      <w:numFmt w:val="lowerLetter"/>
      <w:lvlText w:val="%5)"/>
      <w:lvlJc w:val="left"/>
      <w:pPr>
        <w:tabs>
          <w:tab w:val="left" w:pos="0"/>
        </w:tabs>
        <w:ind w:left="2667" w:hanging="420"/>
      </w:pPr>
    </w:lvl>
    <w:lvl w:ilvl="5" w:tentative="0">
      <w:start w:val="1"/>
      <w:numFmt w:val="lowerRoman"/>
      <w:lvlText w:val="%6."/>
      <w:lvlJc w:val="right"/>
      <w:pPr>
        <w:tabs>
          <w:tab w:val="left" w:pos="0"/>
        </w:tabs>
        <w:ind w:left="3087" w:hanging="420"/>
      </w:pPr>
    </w:lvl>
    <w:lvl w:ilvl="6" w:tentative="0">
      <w:start w:val="1"/>
      <w:numFmt w:val="decimal"/>
      <w:lvlText w:val="%7."/>
      <w:lvlJc w:val="left"/>
      <w:pPr>
        <w:tabs>
          <w:tab w:val="left" w:pos="0"/>
        </w:tabs>
        <w:ind w:left="3507" w:hanging="420"/>
      </w:pPr>
    </w:lvl>
    <w:lvl w:ilvl="7" w:tentative="0">
      <w:start w:val="1"/>
      <w:numFmt w:val="lowerLetter"/>
      <w:lvlText w:val="%8)"/>
      <w:lvlJc w:val="left"/>
      <w:pPr>
        <w:tabs>
          <w:tab w:val="left" w:pos="0"/>
        </w:tabs>
        <w:ind w:left="3927" w:hanging="420"/>
      </w:pPr>
    </w:lvl>
    <w:lvl w:ilvl="8" w:tentative="0">
      <w:start w:val="1"/>
      <w:numFmt w:val="lowerRoman"/>
      <w:lvlText w:val="%9."/>
      <w:lvlJc w:val="right"/>
      <w:pPr>
        <w:tabs>
          <w:tab w:val="left" w:pos="0"/>
        </w:tabs>
        <w:ind w:left="4347" w:hanging="420"/>
      </w:pPr>
    </w:lvl>
  </w:abstractNum>
  <w:abstractNum w:abstractNumId="7">
    <w:nsid w:val="5E6983DC"/>
    <w:multiLevelType w:val="singleLevel"/>
    <w:tmpl w:val="5E6983DC"/>
    <w:lvl w:ilvl="0" w:tentative="0">
      <w:start w:val="1"/>
      <w:numFmt w:val="chineseCounting"/>
      <w:suff w:val="nothing"/>
      <w:lvlText w:val="%1、"/>
      <w:lvlJc w:val="left"/>
      <w:rPr>
        <w:rFonts w:hint="eastAsia"/>
      </w:rPr>
    </w:lvl>
  </w:abstractNum>
  <w:abstractNum w:abstractNumId="8">
    <w:nsid w:val="604E6D11"/>
    <w:multiLevelType w:val="singleLevel"/>
    <w:tmpl w:val="604E6D11"/>
    <w:lvl w:ilvl="0" w:tentative="0">
      <w:start w:val="1"/>
      <w:numFmt w:val="decimal"/>
      <w:lvlText w:val="(%1)"/>
      <w:lvlJc w:val="left"/>
      <w:pPr>
        <w:ind w:left="425" w:hanging="425"/>
      </w:pPr>
      <w:rPr>
        <w:rFonts w:hint="default"/>
      </w:rPr>
    </w:lvl>
  </w:abstractNum>
  <w:abstractNum w:abstractNumId="9">
    <w:nsid w:val="611E30BE"/>
    <w:multiLevelType w:val="singleLevel"/>
    <w:tmpl w:val="611E30BE"/>
    <w:lvl w:ilvl="0" w:tentative="0">
      <w:start w:val="1"/>
      <w:numFmt w:val="decimal"/>
      <w:lvlText w:val="(%1)"/>
      <w:lvlJc w:val="left"/>
      <w:pPr>
        <w:ind w:left="425" w:hanging="425"/>
      </w:pPr>
      <w:rPr>
        <w:rFonts w:hint="default"/>
      </w:rPr>
    </w:lvl>
  </w:abstractNum>
  <w:abstractNum w:abstractNumId="10">
    <w:nsid w:val="7A1E4A2F"/>
    <w:multiLevelType w:val="singleLevel"/>
    <w:tmpl w:val="7A1E4A2F"/>
    <w:lvl w:ilvl="0" w:tentative="0">
      <w:start w:val="1"/>
      <w:numFmt w:val="decimal"/>
      <w:lvlText w:val="(%1)"/>
      <w:lvlJc w:val="left"/>
      <w:pPr>
        <w:ind w:left="425" w:hanging="425"/>
      </w:pPr>
      <w:rPr>
        <w:rFonts w:hint="default"/>
      </w:rPr>
    </w:lvl>
  </w:abstractNum>
  <w:num w:numId="1">
    <w:abstractNumId w:val="5"/>
  </w:num>
  <w:num w:numId="2">
    <w:abstractNumId w:val="6"/>
  </w:num>
  <w:num w:numId="3">
    <w:abstractNumId w:val="4"/>
  </w:num>
  <w:num w:numId="4">
    <w:abstractNumId w:val="0"/>
  </w:num>
  <w:num w:numId="5">
    <w:abstractNumId w:val="9"/>
  </w:num>
  <w:num w:numId="6">
    <w:abstractNumId w:val="1"/>
  </w:num>
  <w:num w:numId="7">
    <w:abstractNumId w:val="7"/>
  </w:num>
  <w:num w:numId="8">
    <w:abstractNumId w:val="8"/>
  </w:num>
  <w:num w:numId="9">
    <w:abstractNumId w:val="1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2CC"/>
    <w:rsid w:val="00001660"/>
    <w:rsid w:val="00004B89"/>
    <w:rsid w:val="0001058F"/>
    <w:rsid w:val="00010DE2"/>
    <w:rsid w:val="00013385"/>
    <w:rsid w:val="0001438F"/>
    <w:rsid w:val="00014483"/>
    <w:rsid w:val="00015AD4"/>
    <w:rsid w:val="000176E8"/>
    <w:rsid w:val="00020AF0"/>
    <w:rsid w:val="00021F2A"/>
    <w:rsid w:val="00022084"/>
    <w:rsid w:val="000222FA"/>
    <w:rsid w:val="0002293A"/>
    <w:rsid w:val="00022E50"/>
    <w:rsid w:val="0002307E"/>
    <w:rsid w:val="00023373"/>
    <w:rsid w:val="00023E17"/>
    <w:rsid w:val="000246A1"/>
    <w:rsid w:val="00024A16"/>
    <w:rsid w:val="00026227"/>
    <w:rsid w:val="00026E80"/>
    <w:rsid w:val="00030DE6"/>
    <w:rsid w:val="00031286"/>
    <w:rsid w:val="00031558"/>
    <w:rsid w:val="00032335"/>
    <w:rsid w:val="00032783"/>
    <w:rsid w:val="00035948"/>
    <w:rsid w:val="00037BEA"/>
    <w:rsid w:val="000408C4"/>
    <w:rsid w:val="00041FE4"/>
    <w:rsid w:val="00042BFD"/>
    <w:rsid w:val="000451F8"/>
    <w:rsid w:val="000462B4"/>
    <w:rsid w:val="00046697"/>
    <w:rsid w:val="0004677D"/>
    <w:rsid w:val="00046D6D"/>
    <w:rsid w:val="00047873"/>
    <w:rsid w:val="00050590"/>
    <w:rsid w:val="00051366"/>
    <w:rsid w:val="000523DF"/>
    <w:rsid w:val="000526C6"/>
    <w:rsid w:val="00052B12"/>
    <w:rsid w:val="00053337"/>
    <w:rsid w:val="00054BA4"/>
    <w:rsid w:val="00055034"/>
    <w:rsid w:val="00055C21"/>
    <w:rsid w:val="00055E5A"/>
    <w:rsid w:val="000567A9"/>
    <w:rsid w:val="00056979"/>
    <w:rsid w:val="00057397"/>
    <w:rsid w:val="00057900"/>
    <w:rsid w:val="000606CB"/>
    <w:rsid w:val="00061464"/>
    <w:rsid w:val="00061933"/>
    <w:rsid w:val="0006243C"/>
    <w:rsid w:val="0006264C"/>
    <w:rsid w:val="000638A6"/>
    <w:rsid w:val="000657E0"/>
    <w:rsid w:val="0006634F"/>
    <w:rsid w:val="0006738D"/>
    <w:rsid w:val="000705CB"/>
    <w:rsid w:val="00070B7A"/>
    <w:rsid w:val="000716E2"/>
    <w:rsid w:val="000727F2"/>
    <w:rsid w:val="000731F0"/>
    <w:rsid w:val="000739F4"/>
    <w:rsid w:val="00073B7E"/>
    <w:rsid w:val="00074138"/>
    <w:rsid w:val="000743DD"/>
    <w:rsid w:val="0007588A"/>
    <w:rsid w:val="000773F0"/>
    <w:rsid w:val="00081A37"/>
    <w:rsid w:val="00082161"/>
    <w:rsid w:val="00082B75"/>
    <w:rsid w:val="000834B0"/>
    <w:rsid w:val="000839BF"/>
    <w:rsid w:val="00084183"/>
    <w:rsid w:val="0008602F"/>
    <w:rsid w:val="000867B4"/>
    <w:rsid w:val="00086A4E"/>
    <w:rsid w:val="00090350"/>
    <w:rsid w:val="00090600"/>
    <w:rsid w:val="00090A00"/>
    <w:rsid w:val="000911D7"/>
    <w:rsid w:val="000913B9"/>
    <w:rsid w:val="0009272E"/>
    <w:rsid w:val="00092B4C"/>
    <w:rsid w:val="000932AA"/>
    <w:rsid w:val="00093ABA"/>
    <w:rsid w:val="000958DC"/>
    <w:rsid w:val="000962DA"/>
    <w:rsid w:val="000A0ACD"/>
    <w:rsid w:val="000A1518"/>
    <w:rsid w:val="000A1D01"/>
    <w:rsid w:val="000A2A84"/>
    <w:rsid w:val="000A32C6"/>
    <w:rsid w:val="000A3D02"/>
    <w:rsid w:val="000A3D83"/>
    <w:rsid w:val="000A4196"/>
    <w:rsid w:val="000A42C7"/>
    <w:rsid w:val="000A454F"/>
    <w:rsid w:val="000A4B2E"/>
    <w:rsid w:val="000A4EA5"/>
    <w:rsid w:val="000A5837"/>
    <w:rsid w:val="000A6C7A"/>
    <w:rsid w:val="000A7857"/>
    <w:rsid w:val="000B07DD"/>
    <w:rsid w:val="000B0E0C"/>
    <w:rsid w:val="000B0F4B"/>
    <w:rsid w:val="000B1C2C"/>
    <w:rsid w:val="000B58C4"/>
    <w:rsid w:val="000B65DC"/>
    <w:rsid w:val="000B752D"/>
    <w:rsid w:val="000B7FD8"/>
    <w:rsid w:val="000C00DD"/>
    <w:rsid w:val="000C0146"/>
    <w:rsid w:val="000C1CC6"/>
    <w:rsid w:val="000C22DB"/>
    <w:rsid w:val="000C2EFC"/>
    <w:rsid w:val="000C3B13"/>
    <w:rsid w:val="000C405E"/>
    <w:rsid w:val="000C4129"/>
    <w:rsid w:val="000C4762"/>
    <w:rsid w:val="000C562F"/>
    <w:rsid w:val="000C572C"/>
    <w:rsid w:val="000C5D2D"/>
    <w:rsid w:val="000C5FC0"/>
    <w:rsid w:val="000D03B4"/>
    <w:rsid w:val="000D0CA1"/>
    <w:rsid w:val="000D0F0A"/>
    <w:rsid w:val="000D1724"/>
    <w:rsid w:val="000D3138"/>
    <w:rsid w:val="000D319D"/>
    <w:rsid w:val="000D4EFB"/>
    <w:rsid w:val="000D690C"/>
    <w:rsid w:val="000D705A"/>
    <w:rsid w:val="000D710C"/>
    <w:rsid w:val="000E0A69"/>
    <w:rsid w:val="000E496C"/>
    <w:rsid w:val="000E583C"/>
    <w:rsid w:val="000E6476"/>
    <w:rsid w:val="000E6CD7"/>
    <w:rsid w:val="000F1B79"/>
    <w:rsid w:val="000F422B"/>
    <w:rsid w:val="000F45A9"/>
    <w:rsid w:val="000F6187"/>
    <w:rsid w:val="000F6854"/>
    <w:rsid w:val="00100B7D"/>
    <w:rsid w:val="00100C85"/>
    <w:rsid w:val="00100FCD"/>
    <w:rsid w:val="0010167E"/>
    <w:rsid w:val="00101CB5"/>
    <w:rsid w:val="001033D2"/>
    <w:rsid w:val="00105014"/>
    <w:rsid w:val="00105500"/>
    <w:rsid w:val="0010666F"/>
    <w:rsid w:val="001070E9"/>
    <w:rsid w:val="001114EB"/>
    <w:rsid w:val="001116C7"/>
    <w:rsid w:val="0011176D"/>
    <w:rsid w:val="00111F41"/>
    <w:rsid w:val="00114DE5"/>
    <w:rsid w:val="00114EBA"/>
    <w:rsid w:val="0011506E"/>
    <w:rsid w:val="001150A5"/>
    <w:rsid w:val="00117A4B"/>
    <w:rsid w:val="001212C2"/>
    <w:rsid w:val="0012216F"/>
    <w:rsid w:val="0012276E"/>
    <w:rsid w:val="00122D30"/>
    <w:rsid w:val="001239E7"/>
    <w:rsid w:val="00123E53"/>
    <w:rsid w:val="00123FC0"/>
    <w:rsid w:val="001259D0"/>
    <w:rsid w:val="00126265"/>
    <w:rsid w:val="00126D87"/>
    <w:rsid w:val="00131BC9"/>
    <w:rsid w:val="00131F14"/>
    <w:rsid w:val="00132741"/>
    <w:rsid w:val="001329EB"/>
    <w:rsid w:val="001345C8"/>
    <w:rsid w:val="0013590F"/>
    <w:rsid w:val="00136485"/>
    <w:rsid w:val="00136D53"/>
    <w:rsid w:val="00142470"/>
    <w:rsid w:val="0014425B"/>
    <w:rsid w:val="001451F2"/>
    <w:rsid w:val="001464DD"/>
    <w:rsid w:val="00146A6B"/>
    <w:rsid w:val="001500D3"/>
    <w:rsid w:val="00150BFF"/>
    <w:rsid w:val="00151441"/>
    <w:rsid w:val="00152074"/>
    <w:rsid w:val="001532CF"/>
    <w:rsid w:val="00153D4C"/>
    <w:rsid w:val="0015550E"/>
    <w:rsid w:val="00156466"/>
    <w:rsid w:val="00156D44"/>
    <w:rsid w:val="001575FD"/>
    <w:rsid w:val="00157F30"/>
    <w:rsid w:val="00161AEF"/>
    <w:rsid w:val="00162078"/>
    <w:rsid w:val="0016341A"/>
    <w:rsid w:val="001648CD"/>
    <w:rsid w:val="001652F8"/>
    <w:rsid w:val="00165833"/>
    <w:rsid w:val="00167ED2"/>
    <w:rsid w:val="00170C8C"/>
    <w:rsid w:val="001713B8"/>
    <w:rsid w:val="001746B3"/>
    <w:rsid w:val="00175AEB"/>
    <w:rsid w:val="001763A5"/>
    <w:rsid w:val="0018008D"/>
    <w:rsid w:val="001836F5"/>
    <w:rsid w:val="0018382C"/>
    <w:rsid w:val="0018390E"/>
    <w:rsid w:val="00183F9B"/>
    <w:rsid w:val="00184E2D"/>
    <w:rsid w:val="00185315"/>
    <w:rsid w:val="00185A39"/>
    <w:rsid w:val="00185F2C"/>
    <w:rsid w:val="00186A43"/>
    <w:rsid w:val="00186AEA"/>
    <w:rsid w:val="001876EA"/>
    <w:rsid w:val="00187C36"/>
    <w:rsid w:val="00187D88"/>
    <w:rsid w:val="0019037D"/>
    <w:rsid w:val="001912FB"/>
    <w:rsid w:val="001929F6"/>
    <w:rsid w:val="00193802"/>
    <w:rsid w:val="00193E56"/>
    <w:rsid w:val="001957B1"/>
    <w:rsid w:val="00196164"/>
    <w:rsid w:val="001961BF"/>
    <w:rsid w:val="00196A94"/>
    <w:rsid w:val="00196B7A"/>
    <w:rsid w:val="001974BF"/>
    <w:rsid w:val="0019756E"/>
    <w:rsid w:val="001A0BE4"/>
    <w:rsid w:val="001A4D34"/>
    <w:rsid w:val="001A67F1"/>
    <w:rsid w:val="001A761A"/>
    <w:rsid w:val="001B053F"/>
    <w:rsid w:val="001B1F0F"/>
    <w:rsid w:val="001B22E9"/>
    <w:rsid w:val="001B334A"/>
    <w:rsid w:val="001B3E78"/>
    <w:rsid w:val="001B4B2D"/>
    <w:rsid w:val="001B6054"/>
    <w:rsid w:val="001C2CAE"/>
    <w:rsid w:val="001C4A5B"/>
    <w:rsid w:val="001C57FB"/>
    <w:rsid w:val="001C5AF6"/>
    <w:rsid w:val="001D0F62"/>
    <w:rsid w:val="001D1ABA"/>
    <w:rsid w:val="001D2331"/>
    <w:rsid w:val="001D3913"/>
    <w:rsid w:val="001D42DC"/>
    <w:rsid w:val="001D74E9"/>
    <w:rsid w:val="001E0521"/>
    <w:rsid w:val="001E0CB9"/>
    <w:rsid w:val="001E148C"/>
    <w:rsid w:val="001E3B05"/>
    <w:rsid w:val="001E5BB0"/>
    <w:rsid w:val="001E5BC9"/>
    <w:rsid w:val="001E6EBF"/>
    <w:rsid w:val="001E6EC9"/>
    <w:rsid w:val="001E6EF9"/>
    <w:rsid w:val="001F035E"/>
    <w:rsid w:val="001F1E7D"/>
    <w:rsid w:val="001F2E29"/>
    <w:rsid w:val="001F40A3"/>
    <w:rsid w:val="001F492D"/>
    <w:rsid w:val="001F64F5"/>
    <w:rsid w:val="001F79FC"/>
    <w:rsid w:val="001F7DBD"/>
    <w:rsid w:val="002004C0"/>
    <w:rsid w:val="00203068"/>
    <w:rsid w:val="0020495A"/>
    <w:rsid w:val="00205336"/>
    <w:rsid w:val="00206308"/>
    <w:rsid w:val="00206BE0"/>
    <w:rsid w:val="00206D18"/>
    <w:rsid w:val="0021013C"/>
    <w:rsid w:val="002120D0"/>
    <w:rsid w:val="002125E6"/>
    <w:rsid w:val="00215638"/>
    <w:rsid w:val="0021668E"/>
    <w:rsid w:val="00217B16"/>
    <w:rsid w:val="00220283"/>
    <w:rsid w:val="0022374A"/>
    <w:rsid w:val="00224333"/>
    <w:rsid w:val="0022447A"/>
    <w:rsid w:val="00224CDC"/>
    <w:rsid w:val="00225681"/>
    <w:rsid w:val="002270B2"/>
    <w:rsid w:val="00230304"/>
    <w:rsid w:val="00230315"/>
    <w:rsid w:val="00230D10"/>
    <w:rsid w:val="002320BC"/>
    <w:rsid w:val="002332EA"/>
    <w:rsid w:val="00233DFF"/>
    <w:rsid w:val="002342C9"/>
    <w:rsid w:val="00241AF6"/>
    <w:rsid w:val="00242277"/>
    <w:rsid w:val="00243D7A"/>
    <w:rsid w:val="00244015"/>
    <w:rsid w:val="0024529B"/>
    <w:rsid w:val="00245E6C"/>
    <w:rsid w:val="00246547"/>
    <w:rsid w:val="002470DA"/>
    <w:rsid w:val="0025006F"/>
    <w:rsid w:val="00250692"/>
    <w:rsid w:val="002509D0"/>
    <w:rsid w:val="002510B3"/>
    <w:rsid w:val="00252DDB"/>
    <w:rsid w:val="0025359C"/>
    <w:rsid w:val="002554B2"/>
    <w:rsid w:val="002559D8"/>
    <w:rsid w:val="00255D4B"/>
    <w:rsid w:val="00261A11"/>
    <w:rsid w:val="00262607"/>
    <w:rsid w:val="00262A61"/>
    <w:rsid w:val="00263B9A"/>
    <w:rsid w:val="00264ECB"/>
    <w:rsid w:val="00265F18"/>
    <w:rsid w:val="002665C5"/>
    <w:rsid w:val="002703E3"/>
    <w:rsid w:val="00272326"/>
    <w:rsid w:val="0027252A"/>
    <w:rsid w:val="00272BF1"/>
    <w:rsid w:val="002748C7"/>
    <w:rsid w:val="00277B58"/>
    <w:rsid w:val="00277D79"/>
    <w:rsid w:val="00280D8F"/>
    <w:rsid w:val="00281347"/>
    <w:rsid w:val="002857AA"/>
    <w:rsid w:val="00286993"/>
    <w:rsid w:val="0029048E"/>
    <w:rsid w:val="00290AEB"/>
    <w:rsid w:val="00291539"/>
    <w:rsid w:val="00291966"/>
    <w:rsid w:val="00292632"/>
    <w:rsid w:val="00294EBC"/>
    <w:rsid w:val="00296071"/>
    <w:rsid w:val="0029626C"/>
    <w:rsid w:val="00297B8B"/>
    <w:rsid w:val="002A0B7A"/>
    <w:rsid w:val="002A0C3D"/>
    <w:rsid w:val="002A0C82"/>
    <w:rsid w:val="002A1E56"/>
    <w:rsid w:val="002A2E6F"/>
    <w:rsid w:val="002A4317"/>
    <w:rsid w:val="002A4487"/>
    <w:rsid w:val="002A7D03"/>
    <w:rsid w:val="002B067F"/>
    <w:rsid w:val="002B06DF"/>
    <w:rsid w:val="002B286A"/>
    <w:rsid w:val="002B3263"/>
    <w:rsid w:val="002B3FE9"/>
    <w:rsid w:val="002B4920"/>
    <w:rsid w:val="002B5EB0"/>
    <w:rsid w:val="002B6D25"/>
    <w:rsid w:val="002B7D1D"/>
    <w:rsid w:val="002C0169"/>
    <w:rsid w:val="002C0185"/>
    <w:rsid w:val="002C0964"/>
    <w:rsid w:val="002C2154"/>
    <w:rsid w:val="002C3905"/>
    <w:rsid w:val="002C67ED"/>
    <w:rsid w:val="002C7AF7"/>
    <w:rsid w:val="002C7C71"/>
    <w:rsid w:val="002C7DDE"/>
    <w:rsid w:val="002D0782"/>
    <w:rsid w:val="002D2A3C"/>
    <w:rsid w:val="002D44CE"/>
    <w:rsid w:val="002D5D7E"/>
    <w:rsid w:val="002D6435"/>
    <w:rsid w:val="002D73AE"/>
    <w:rsid w:val="002E1456"/>
    <w:rsid w:val="002E2016"/>
    <w:rsid w:val="002E2257"/>
    <w:rsid w:val="002E372F"/>
    <w:rsid w:val="002E38A1"/>
    <w:rsid w:val="002E446C"/>
    <w:rsid w:val="002E53EC"/>
    <w:rsid w:val="002E7B45"/>
    <w:rsid w:val="002F0D48"/>
    <w:rsid w:val="002F15DB"/>
    <w:rsid w:val="002F1FBF"/>
    <w:rsid w:val="002F3114"/>
    <w:rsid w:val="002F3919"/>
    <w:rsid w:val="002F596C"/>
    <w:rsid w:val="002F5A38"/>
    <w:rsid w:val="002F64A8"/>
    <w:rsid w:val="002F797B"/>
    <w:rsid w:val="002F7D38"/>
    <w:rsid w:val="00302602"/>
    <w:rsid w:val="0030262F"/>
    <w:rsid w:val="00303C8B"/>
    <w:rsid w:val="00306156"/>
    <w:rsid w:val="00306772"/>
    <w:rsid w:val="00306A59"/>
    <w:rsid w:val="00306EED"/>
    <w:rsid w:val="00306F89"/>
    <w:rsid w:val="003115D9"/>
    <w:rsid w:val="00311669"/>
    <w:rsid w:val="0031253B"/>
    <w:rsid w:val="00312D90"/>
    <w:rsid w:val="00314009"/>
    <w:rsid w:val="0031423C"/>
    <w:rsid w:val="003152C8"/>
    <w:rsid w:val="00315A72"/>
    <w:rsid w:val="00316775"/>
    <w:rsid w:val="0031795E"/>
    <w:rsid w:val="003206E1"/>
    <w:rsid w:val="00321BCE"/>
    <w:rsid w:val="003230A0"/>
    <w:rsid w:val="00323546"/>
    <w:rsid w:val="0032451F"/>
    <w:rsid w:val="003245A1"/>
    <w:rsid w:val="00325501"/>
    <w:rsid w:val="00327B03"/>
    <w:rsid w:val="00331FC6"/>
    <w:rsid w:val="0033261E"/>
    <w:rsid w:val="00332F54"/>
    <w:rsid w:val="003331D2"/>
    <w:rsid w:val="003345DE"/>
    <w:rsid w:val="00334A11"/>
    <w:rsid w:val="00335BD1"/>
    <w:rsid w:val="00335D07"/>
    <w:rsid w:val="003419CA"/>
    <w:rsid w:val="00342078"/>
    <w:rsid w:val="00343E79"/>
    <w:rsid w:val="00346A47"/>
    <w:rsid w:val="0035067D"/>
    <w:rsid w:val="00351E9C"/>
    <w:rsid w:val="003529BC"/>
    <w:rsid w:val="00352BE5"/>
    <w:rsid w:val="003534C0"/>
    <w:rsid w:val="00354233"/>
    <w:rsid w:val="00354318"/>
    <w:rsid w:val="00354A64"/>
    <w:rsid w:val="00354A79"/>
    <w:rsid w:val="00355FC0"/>
    <w:rsid w:val="00356142"/>
    <w:rsid w:val="00356AD1"/>
    <w:rsid w:val="00361262"/>
    <w:rsid w:val="00361AA9"/>
    <w:rsid w:val="00361C9E"/>
    <w:rsid w:val="00363C65"/>
    <w:rsid w:val="00364647"/>
    <w:rsid w:val="00365D00"/>
    <w:rsid w:val="0037029D"/>
    <w:rsid w:val="00370C8A"/>
    <w:rsid w:val="0037288F"/>
    <w:rsid w:val="00372E53"/>
    <w:rsid w:val="00373951"/>
    <w:rsid w:val="0037405F"/>
    <w:rsid w:val="00374714"/>
    <w:rsid w:val="00375F76"/>
    <w:rsid w:val="0037714C"/>
    <w:rsid w:val="00381E2B"/>
    <w:rsid w:val="00382A01"/>
    <w:rsid w:val="00383BFA"/>
    <w:rsid w:val="00383E3E"/>
    <w:rsid w:val="00384FE6"/>
    <w:rsid w:val="003851CE"/>
    <w:rsid w:val="00386948"/>
    <w:rsid w:val="003924E0"/>
    <w:rsid w:val="00394101"/>
    <w:rsid w:val="00395323"/>
    <w:rsid w:val="00395A66"/>
    <w:rsid w:val="0039654A"/>
    <w:rsid w:val="0039658A"/>
    <w:rsid w:val="00396685"/>
    <w:rsid w:val="00396AC5"/>
    <w:rsid w:val="003A3C84"/>
    <w:rsid w:val="003A4119"/>
    <w:rsid w:val="003A44B1"/>
    <w:rsid w:val="003B035C"/>
    <w:rsid w:val="003B07A2"/>
    <w:rsid w:val="003B0FE8"/>
    <w:rsid w:val="003B1AB5"/>
    <w:rsid w:val="003B1E98"/>
    <w:rsid w:val="003B22D9"/>
    <w:rsid w:val="003B2816"/>
    <w:rsid w:val="003B3290"/>
    <w:rsid w:val="003B3586"/>
    <w:rsid w:val="003B3755"/>
    <w:rsid w:val="003B4511"/>
    <w:rsid w:val="003B4C27"/>
    <w:rsid w:val="003B6F87"/>
    <w:rsid w:val="003C0054"/>
    <w:rsid w:val="003C0851"/>
    <w:rsid w:val="003C14AB"/>
    <w:rsid w:val="003C1E7C"/>
    <w:rsid w:val="003C668B"/>
    <w:rsid w:val="003C741F"/>
    <w:rsid w:val="003D08F5"/>
    <w:rsid w:val="003D1437"/>
    <w:rsid w:val="003D3B7C"/>
    <w:rsid w:val="003D629B"/>
    <w:rsid w:val="003D6FFA"/>
    <w:rsid w:val="003E35F5"/>
    <w:rsid w:val="003E44CB"/>
    <w:rsid w:val="003F2938"/>
    <w:rsid w:val="003F4247"/>
    <w:rsid w:val="003F4F88"/>
    <w:rsid w:val="003F6AD4"/>
    <w:rsid w:val="003F7462"/>
    <w:rsid w:val="00400273"/>
    <w:rsid w:val="00400415"/>
    <w:rsid w:val="00400F8F"/>
    <w:rsid w:val="00401075"/>
    <w:rsid w:val="004017BB"/>
    <w:rsid w:val="00403397"/>
    <w:rsid w:val="00403C54"/>
    <w:rsid w:val="00404202"/>
    <w:rsid w:val="00405597"/>
    <w:rsid w:val="004056A0"/>
    <w:rsid w:val="00406C2F"/>
    <w:rsid w:val="004071DA"/>
    <w:rsid w:val="0041210C"/>
    <w:rsid w:val="00413B16"/>
    <w:rsid w:val="00420862"/>
    <w:rsid w:val="00420880"/>
    <w:rsid w:val="00420F4B"/>
    <w:rsid w:val="00421009"/>
    <w:rsid w:val="004233F9"/>
    <w:rsid w:val="0042372A"/>
    <w:rsid w:val="00425833"/>
    <w:rsid w:val="004259A8"/>
    <w:rsid w:val="00425ACB"/>
    <w:rsid w:val="00425E38"/>
    <w:rsid w:val="00427330"/>
    <w:rsid w:val="00427793"/>
    <w:rsid w:val="004277FA"/>
    <w:rsid w:val="00430020"/>
    <w:rsid w:val="0043095E"/>
    <w:rsid w:val="00431C71"/>
    <w:rsid w:val="004347BF"/>
    <w:rsid w:val="00434EDB"/>
    <w:rsid w:val="00436108"/>
    <w:rsid w:val="004368E1"/>
    <w:rsid w:val="00436A1E"/>
    <w:rsid w:val="00436EB2"/>
    <w:rsid w:val="00437349"/>
    <w:rsid w:val="00437E4B"/>
    <w:rsid w:val="00437F68"/>
    <w:rsid w:val="00440010"/>
    <w:rsid w:val="0044122B"/>
    <w:rsid w:val="00441691"/>
    <w:rsid w:val="00442203"/>
    <w:rsid w:val="004440D6"/>
    <w:rsid w:val="0044451B"/>
    <w:rsid w:val="004460FB"/>
    <w:rsid w:val="00446271"/>
    <w:rsid w:val="00446C23"/>
    <w:rsid w:val="00447598"/>
    <w:rsid w:val="00447F5D"/>
    <w:rsid w:val="00450C91"/>
    <w:rsid w:val="0045167A"/>
    <w:rsid w:val="00451934"/>
    <w:rsid w:val="004522CD"/>
    <w:rsid w:val="00453DA2"/>
    <w:rsid w:val="00454103"/>
    <w:rsid w:val="004569C9"/>
    <w:rsid w:val="00457964"/>
    <w:rsid w:val="004643AF"/>
    <w:rsid w:val="00464C62"/>
    <w:rsid w:val="00465A54"/>
    <w:rsid w:val="00465E85"/>
    <w:rsid w:val="004677D8"/>
    <w:rsid w:val="00472927"/>
    <w:rsid w:val="00474121"/>
    <w:rsid w:val="004746B7"/>
    <w:rsid w:val="00474A2F"/>
    <w:rsid w:val="004753B1"/>
    <w:rsid w:val="00476556"/>
    <w:rsid w:val="0048258A"/>
    <w:rsid w:val="004837E8"/>
    <w:rsid w:val="00484A3D"/>
    <w:rsid w:val="0048581D"/>
    <w:rsid w:val="004859C3"/>
    <w:rsid w:val="00485C88"/>
    <w:rsid w:val="00485EDF"/>
    <w:rsid w:val="00490A1F"/>
    <w:rsid w:val="004921DD"/>
    <w:rsid w:val="004924E2"/>
    <w:rsid w:val="0049282E"/>
    <w:rsid w:val="0049425B"/>
    <w:rsid w:val="00494369"/>
    <w:rsid w:val="004967DA"/>
    <w:rsid w:val="004A0510"/>
    <w:rsid w:val="004A06BA"/>
    <w:rsid w:val="004A0778"/>
    <w:rsid w:val="004A11B8"/>
    <w:rsid w:val="004A2B4F"/>
    <w:rsid w:val="004A6596"/>
    <w:rsid w:val="004A6C0F"/>
    <w:rsid w:val="004A7ED0"/>
    <w:rsid w:val="004B0BEB"/>
    <w:rsid w:val="004B167C"/>
    <w:rsid w:val="004B1CB6"/>
    <w:rsid w:val="004B2E17"/>
    <w:rsid w:val="004B31F5"/>
    <w:rsid w:val="004B42C6"/>
    <w:rsid w:val="004B46E7"/>
    <w:rsid w:val="004B4E67"/>
    <w:rsid w:val="004B56B6"/>
    <w:rsid w:val="004B58B4"/>
    <w:rsid w:val="004B6DEE"/>
    <w:rsid w:val="004B7913"/>
    <w:rsid w:val="004B7CD4"/>
    <w:rsid w:val="004C1A76"/>
    <w:rsid w:val="004C26C7"/>
    <w:rsid w:val="004C2D18"/>
    <w:rsid w:val="004C3CC5"/>
    <w:rsid w:val="004C4B54"/>
    <w:rsid w:val="004D17B5"/>
    <w:rsid w:val="004D1CAF"/>
    <w:rsid w:val="004D1D4C"/>
    <w:rsid w:val="004D291D"/>
    <w:rsid w:val="004D2D2B"/>
    <w:rsid w:val="004D438D"/>
    <w:rsid w:val="004D6AA0"/>
    <w:rsid w:val="004D6EA3"/>
    <w:rsid w:val="004D7C5A"/>
    <w:rsid w:val="004E095F"/>
    <w:rsid w:val="004E0DC1"/>
    <w:rsid w:val="004E2BA2"/>
    <w:rsid w:val="004E3AD2"/>
    <w:rsid w:val="004E4ECE"/>
    <w:rsid w:val="004E77BC"/>
    <w:rsid w:val="004E7C5E"/>
    <w:rsid w:val="004F053A"/>
    <w:rsid w:val="004F2BA1"/>
    <w:rsid w:val="004F58B9"/>
    <w:rsid w:val="004F6640"/>
    <w:rsid w:val="004F6A18"/>
    <w:rsid w:val="004F6D0A"/>
    <w:rsid w:val="00500450"/>
    <w:rsid w:val="005023EE"/>
    <w:rsid w:val="00503CA8"/>
    <w:rsid w:val="005050E4"/>
    <w:rsid w:val="0051137A"/>
    <w:rsid w:val="00511759"/>
    <w:rsid w:val="00512F35"/>
    <w:rsid w:val="005154F7"/>
    <w:rsid w:val="00515F84"/>
    <w:rsid w:val="00516884"/>
    <w:rsid w:val="00516E92"/>
    <w:rsid w:val="0051796C"/>
    <w:rsid w:val="0052149F"/>
    <w:rsid w:val="00521C63"/>
    <w:rsid w:val="005220A5"/>
    <w:rsid w:val="005234C2"/>
    <w:rsid w:val="00523933"/>
    <w:rsid w:val="00524715"/>
    <w:rsid w:val="00526322"/>
    <w:rsid w:val="005275DB"/>
    <w:rsid w:val="00527C48"/>
    <w:rsid w:val="005317D1"/>
    <w:rsid w:val="00532695"/>
    <w:rsid w:val="005341F1"/>
    <w:rsid w:val="00534655"/>
    <w:rsid w:val="0053654A"/>
    <w:rsid w:val="005379D8"/>
    <w:rsid w:val="00537DFF"/>
    <w:rsid w:val="0054016B"/>
    <w:rsid w:val="0054174F"/>
    <w:rsid w:val="005437F7"/>
    <w:rsid w:val="0054439D"/>
    <w:rsid w:val="005455D7"/>
    <w:rsid w:val="00545908"/>
    <w:rsid w:val="0054613F"/>
    <w:rsid w:val="00546F02"/>
    <w:rsid w:val="0054726C"/>
    <w:rsid w:val="00547477"/>
    <w:rsid w:val="00550637"/>
    <w:rsid w:val="00550C15"/>
    <w:rsid w:val="00551E54"/>
    <w:rsid w:val="00552A5B"/>
    <w:rsid w:val="00553A9F"/>
    <w:rsid w:val="00555666"/>
    <w:rsid w:val="005557AE"/>
    <w:rsid w:val="0055769A"/>
    <w:rsid w:val="005603D7"/>
    <w:rsid w:val="00560776"/>
    <w:rsid w:val="005651F2"/>
    <w:rsid w:val="00566BF2"/>
    <w:rsid w:val="00566C37"/>
    <w:rsid w:val="00567FBF"/>
    <w:rsid w:val="0057020D"/>
    <w:rsid w:val="005710B2"/>
    <w:rsid w:val="00571391"/>
    <w:rsid w:val="005715A3"/>
    <w:rsid w:val="005721EA"/>
    <w:rsid w:val="005758DC"/>
    <w:rsid w:val="00575EC8"/>
    <w:rsid w:val="005770E1"/>
    <w:rsid w:val="00577D3B"/>
    <w:rsid w:val="00581B7A"/>
    <w:rsid w:val="00583ED8"/>
    <w:rsid w:val="00585A04"/>
    <w:rsid w:val="00585C10"/>
    <w:rsid w:val="00585D18"/>
    <w:rsid w:val="00586DE8"/>
    <w:rsid w:val="005873E6"/>
    <w:rsid w:val="005876D8"/>
    <w:rsid w:val="00590091"/>
    <w:rsid w:val="00591013"/>
    <w:rsid w:val="00591629"/>
    <w:rsid w:val="0059168E"/>
    <w:rsid w:val="00591E80"/>
    <w:rsid w:val="0059553F"/>
    <w:rsid w:val="00595A2A"/>
    <w:rsid w:val="00595B7E"/>
    <w:rsid w:val="005A0F25"/>
    <w:rsid w:val="005A6B6C"/>
    <w:rsid w:val="005B0EA2"/>
    <w:rsid w:val="005B3818"/>
    <w:rsid w:val="005B4B72"/>
    <w:rsid w:val="005B52B1"/>
    <w:rsid w:val="005B5AEB"/>
    <w:rsid w:val="005C08FA"/>
    <w:rsid w:val="005C10F2"/>
    <w:rsid w:val="005C3E17"/>
    <w:rsid w:val="005D10AA"/>
    <w:rsid w:val="005D1258"/>
    <w:rsid w:val="005D2E96"/>
    <w:rsid w:val="005D3DE5"/>
    <w:rsid w:val="005D3E38"/>
    <w:rsid w:val="005D691C"/>
    <w:rsid w:val="005D72BC"/>
    <w:rsid w:val="005D7BAC"/>
    <w:rsid w:val="005E0927"/>
    <w:rsid w:val="005E0EB8"/>
    <w:rsid w:val="005E1042"/>
    <w:rsid w:val="005E20D3"/>
    <w:rsid w:val="005E290B"/>
    <w:rsid w:val="005E2DDA"/>
    <w:rsid w:val="005E3C9B"/>
    <w:rsid w:val="005E61DB"/>
    <w:rsid w:val="005E695A"/>
    <w:rsid w:val="005F038E"/>
    <w:rsid w:val="005F28F4"/>
    <w:rsid w:val="005F39AC"/>
    <w:rsid w:val="005F5936"/>
    <w:rsid w:val="005F6B77"/>
    <w:rsid w:val="006003EE"/>
    <w:rsid w:val="00605136"/>
    <w:rsid w:val="0060560B"/>
    <w:rsid w:val="00606299"/>
    <w:rsid w:val="006063A3"/>
    <w:rsid w:val="00606464"/>
    <w:rsid w:val="00606759"/>
    <w:rsid w:val="00606E5C"/>
    <w:rsid w:val="0060753A"/>
    <w:rsid w:val="00610DCC"/>
    <w:rsid w:val="006120A9"/>
    <w:rsid w:val="00612C9E"/>
    <w:rsid w:val="00614B06"/>
    <w:rsid w:val="00614DE1"/>
    <w:rsid w:val="006169D0"/>
    <w:rsid w:val="00616C8F"/>
    <w:rsid w:val="00616EAA"/>
    <w:rsid w:val="0062060B"/>
    <w:rsid w:val="00621870"/>
    <w:rsid w:val="00624981"/>
    <w:rsid w:val="00626234"/>
    <w:rsid w:val="00627813"/>
    <w:rsid w:val="00630CE7"/>
    <w:rsid w:val="00633FA7"/>
    <w:rsid w:val="006345DE"/>
    <w:rsid w:val="00635F76"/>
    <w:rsid w:val="00643045"/>
    <w:rsid w:val="00643A7D"/>
    <w:rsid w:val="0064574D"/>
    <w:rsid w:val="00645C78"/>
    <w:rsid w:val="00646470"/>
    <w:rsid w:val="00646570"/>
    <w:rsid w:val="00650B87"/>
    <w:rsid w:val="00650EC4"/>
    <w:rsid w:val="006512F3"/>
    <w:rsid w:val="00652426"/>
    <w:rsid w:val="00654837"/>
    <w:rsid w:val="0065519A"/>
    <w:rsid w:val="0065793E"/>
    <w:rsid w:val="006622F0"/>
    <w:rsid w:val="00662776"/>
    <w:rsid w:val="00665609"/>
    <w:rsid w:val="006666FB"/>
    <w:rsid w:val="00666D76"/>
    <w:rsid w:val="0066748C"/>
    <w:rsid w:val="0066780A"/>
    <w:rsid w:val="00667F67"/>
    <w:rsid w:val="006708E4"/>
    <w:rsid w:val="00670BD0"/>
    <w:rsid w:val="006733AC"/>
    <w:rsid w:val="006738C0"/>
    <w:rsid w:val="006740AD"/>
    <w:rsid w:val="006747D0"/>
    <w:rsid w:val="00676BDE"/>
    <w:rsid w:val="00677EB4"/>
    <w:rsid w:val="00680E92"/>
    <w:rsid w:val="00680F34"/>
    <w:rsid w:val="0068138F"/>
    <w:rsid w:val="0068159C"/>
    <w:rsid w:val="006815B2"/>
    <w:rsid w:val="00682060"/>
    <w:rsid w:val="006820AD"/>
    <w:rsid w:val="006825D3"/>
    <w:rsid w:val="006826F0"/>
    <w:rsid w:val="00682A5F"/>
    <w:rsid w:val="00682AC8"/>
    <w:rsid w:val="00682BF1"/>
    <w:rsid w:val="00683B04"/>
    <w:rsid w:val="0068510B"/>
    <w:rsid w:val="00686AB0"/>
    <w:rsid w:val="00686DC2"/>
    <w:rsid w:val="00687E71"/>
    <w:rsid w:val="00690343"/>
    <w:rsid w:val="00690FAD"/>
    <w:rsid w:val="00691179"/>
    <w:rsid w:val="00693EA5"/>
    <w:rsid w:val="006957AF"/>
    <w:rsid w:val="006959B9"/>
    <w:rsid w:val="00695A3E"/>
    <w:rsid w:val="006A0565"/>
    <w:rsid w:val="006A0C8E"/>
    <w:rsid w:val="006A357E"/>
    <w:rsid w:val="006A45A1"/>
    <w:rsid w:val="006A4E33"/>
    <w:rsid w:val="006A6791"/>
    <w:rsid w:val="006A7DF7"/>
    <w:rsid w:val="006A7FB3"/>
    <w:rsid w:val="006A7FB6"/>
    <w:rsid w:val="006B3179"/>
    <w:rsid w:val="006B3693"/>
    <w:rsid w:val="006B43B6"/>
    <w:rsid w:val="006B4E14"/>
    <w:rsid w:val="006B5E97"/>
    <w:rsid w:val="006B6634"/>
    <w:rsid w:val="006B728F"/>
    <w:rsid w:val="006B7390"/>
    <w:rsid w:val="006B73C5"/>
    <w:rsid w:val="006B791C"/>
    <w:rsid w:val="006C2713"/>
    <w:rsid w:val="006C2865"/>
    <w:rsid w:val="006C28C6"/>
    <w:rsid w:val="006C34E1"/>
    <w:rsid w:val="006C434D"/>
    <w:rsid w:val="006C5CD3"/>
    <w:rsid w:val="006C5DBB"/>
    <w:rsid w:val="006C62E7"/>
    <w:rsid w:val="006D1852"/>
    <w:rsid w:val="006D2D0E"/>
    <w:rsid w:val="006D4E10"/>
    <w:rsid w:val="006D539E"/>
    <w:rsid w:val="006D67B6"/>
    <w:rsid w:val="006D73C5"/>
    <w:rsid w:val="006D7AEE"/>
    <w:rsid w:val="006E0F4A"/>
    <w:rsid w:val="006E1B6F"/>
    <w:rsid w:val="006E280B"/>
    <w:rsid w:val="006E3610"/>
    <w:rsid w:val="006E3819"/>
    <w:rsid w:val="006E3977"/>
    <w:rsid w:val="006E3EA3"/>
    <w:rsid w:val="006E57C3"/>
    <w:rsid w:val="006E5B7C"/>
    <w:rsid w:val="006E6C7E"/>
    <w:rsid w:val="006E7778"/>
    <w:rsid w:val="006E7F04"/>
    <w:rsid w:val="006F19FC"/>
    <w:rsid w:val="006F6F4D"/>
    <w:rsid w:val="006F72D9"/>
    <w:rsid w:val="006F74F3"/>
    <w:rsid w:val="006F7F53"/>
    <w:rsid w:val="0070107F"/>
    <w:rsid w:val="00701562"/>
    <w:rsid w:val="00703E8A"/>
    <w:rsid w:val="00706597"/>
    <w:rsid w:val="007068BA"/>
    <w:rsid w:val="00707B59"/>
    <w:rsid w:val="00710A76"/>
    <w:rsid w:val="0071161C"/>
    <w:rsid w:val="00716115"/>
    <w:rsid w:val="00716B69"/>
    <w:rsid w:val="00721582"/>
    <w:rsid w:val="00721914"/>
    <w:rsid w:val="007236E6"/>
    <w:rsid w:val="0072427A"/>
    <w:rsid w:val="0072427E"/>
    <w:rsid w:val="00726118"/>
    <w:rsid w:val="007269B5"/>
    <w:rsid w:val="0073057D"/>
    <w:rsid w:val="00730609"/>
    <w:rsid w:val="00731301"/>
    <w:rsid w:val="00731DA2"/>
    <w:rsid w:val="0073276D"/>
    <w:rsid w:val="007333D6"/>
    <w:rsid w:val="00734122"/>
    <w:rsid w:val="007352A4"/>
    <w:rsid w:val="00736FE3"/>
    <w:rsid w:val="00737F15"/>
    <w:rsid w:val="0074082A"/>
    <w:rsid w:val="007423F5"/>
    <w:rsid w:val="00742877"/>
    <w:rsid w:val="0074393D"/>
    <w:rsid w:val="00743991"/>
    <w:rsid w:val="007454F3"/>
    <w:rsid w:val="0074674D"/>
    <w:rsid w:val="00746AD4"/>
    <w:rsid w:val="00750B7E"/>
    <w:rsid w:val="007515C4"/>
    <w:rsid w:val="007522B7"/>
    <w:rsid w:val="0075277D"/>
    <w:rsid w:val="007540CC"/>
    <w:rsid w:val="007541EE"/>
    <w:rsid w:val="00755A08"/>
    <w:rsid w:val="00756231"/>
    <w:rsid w:val="00757287"/>
    <w:rsid w:val="007576D4"/>
    <w:rsid w:val="00757D3C"/>
    <w:rsid w:val="007604E9"/>
    <w:rsid w:val="00762466"/>
    <w:rsid w:val="00763F24"/>
    <w:rsid w:val="00764146"/>
    <w:rsid w:val="007646F7"/>
    <w:rsid w:val="00764BF3"/>
    <w:rsid w:val="00765BE3"/>
    <w:rsid w:val="0076635D"/>
    <w:rsid w:val="007663CC"/>
    <w:rsid w:val="00766C89"/>
    <w:rsid w:val="00766D98"/>
    <w:rsid w:val="007673B6"/>
    <w:rsid w:val="007707AA"/>
    <w:rsid w:val="00773BA0"/>
    <w:rsid w:val="007744B0"/>
    <w:rsid w:val="00774962"/>
    <w:rsid w:val="00775F64"/>
    <w:rsid w:val="00776970"/>
    <w:rsid w:val="00777FC5"/>
    <w:rsid w:val="00780DCA"/>
    <w:rsid w:val="0078141B"/>
    <w:rsid w:val="00781660"/>
    <w:rsid w:val="007818C9"/>
    <w:rsid w:val="00782920"/>
    <w:rsid w:val="007854B0"/>
    <w:rsid w:val="007865E1"/>
    <w:rsid w:val="007866F2"/>
    <w:rsid w:val="00790706"/>
    <w:rsid w:val="00792D4B"/>
    <w:rsid w:val="00792ED1"/>
    <w:rsid w:val="00796299"/>
    <w:rsid w:val="007A009E"/>
    <w:rsid w:val="007A01F7"/>
    <w:rsid w:val="007A0DA5"/>
    <w:rsid w:val="007A0F8C"/>
    <w:rsid w:val="007A13C0"/>
    <w:rsid w:val="007A2C49"/>
    <w:rsid w:val="007A4490"/>
    <w:rsid w:val="007A4508"/>
    <w:rsid w:val="007A4EE5"/>
    <w:rsid w:val="007A4F56"/>
    <w:rsid w:val="007A7069"/>
    <w:rsid w:val="007A70D1"/>
    <w:rsid w:val="007A7526"/>
    <w:rsid w:val="007A7C36"/>
    <w:rsid w:val="007B100D"/>
    <w:rsid w:val="007B1854"/>
    <w:rsid w:val="007B235B"/>
    <w:rsid w:val="007B283B"/>
    <w:rsid w:val="007B2F12"/>
    <w:rsid w:val="007B4E8A"/>
    <w:rsid w:val="007B5FA8"/>
    <w:rsid w:val="007B6900"/>
    <w:rsid w:val="007B7884"/>
    <w:rsid w:val="007B7DD2"/>
    <w:rsid w:val="007C0294"/>
    <w:rsid w:val="007C12CC"/>
    <w:rsid w:val="007C3B0F"/>
    <w:rsid w:val="007C563E"/>
    <w:rsid w:val="007C6221"/>
    <w:rsid w:val="007D0693"/>
    <w:rsid w:val="007D39E5"/>
    <w:rsid w:val="007D425A"/>
    <w:rsid w:val="007D5085"/>
    <w:rsid w:val="007D54E9"/>
    <w:rsid w:val="007D5A19"/>
    <w:rsid w:val="007D5B00"/>
    <w:rsid w:val="007D6D94"/>
    <w:rsid w:val="007E193D"/>
    <w:rsid w:val="007E1F3A"/>
    <w:rsid w:val="007E2F66"/>
    <w:rsid w:val="007E31A6"/>
    <w:rsid w:val="007E37B8"/>
    <w:rsid w:val="007E4F90"/>
    <w:rsid w:val="007E6CB6"/>
    <w:rsid w:val="007F00ED"/>
    <w:rsid w:val="007F2474"/>
    <w:rsid w:val="007F5FAD"/>
    <w:rsid w:val="007F620C"/>
    <w:rsid w:val="007F6346"/>
    <w:rsid w:val="008004E8"/>
    <w:rsid w:val="00801B05"/>
    <w:rsid w:val="008025D3"/>
    <w:rsid w:val="00803ACB"/>
    <w:rsid w:val="00807A32"/>
    <w:rsid w:val="00807BB1"/>
    <w:rsid w:val="008102C8"/>
    <w:rsid w:val="00810C97"/>
    <w:rsid w:val="008127C3"/>
    <w:rsid w:val="008134EF"/>
    <w:rsid w:val="008139F7"/>
    <w:rsid w:val="00813B77"/>
    <w:rsid w:val="008159D7"/>
    <w:rsid w:val="00816AC0"/>
    <w:rsid w:val="0081715B"/>
    <w:rsid w:val="00817C5D"/>
    <w:rsid w:val="00817D26"/>
    <w:rsid w:val="00817F70"/>
    <w:rsid w:val="00821A14"/>
    <w:rsid w:val="00821FBB"/>
    <w:rsid w:val="00825688"/>
    <w:rsid w:val="008265AD"/>
    <w:rsid w:val="008266FA"/>
    <w:rsid w:val="00830484"/>
    <w:rsid w:val="00830A98"/>
    <w:rsid w:val="008310EF"/>
    <w:rsid w:val="00831330"/>
    <w:rsid w:val="00831AF4"/>
    <w:rsid w:val="0083436E"/>
    <w:rsid w:val="00835383"/>
    <w:rsid w:val="00835E74"/>
    <w:rsid w:val="008373DB"/>
    <w:rsid w:val="00840B26"/>
    <w:rsid w:val="00840D1C"/>
    <w:rsid w:val="00841CA6"/>
    <w:rsid w:val="00843A50"/>
    <w:rsid w:val="00843C8D"/>
    <w:rsid w:val="00844361"/>
    <w:rsid w:val="00845524"/>
    <w:rsid w:val="00845FFA"/>
    <w:rsid w:val="00847236"/>
    <w:rsid w:val="0084724B"/>
    <w:rsid w:val="008510BC"/>
    <w:rsid w:val="00851335"/>
    <w:rsid w:val="00851D92"/>
    <w:rsid w:val="00852BC0"/>
    <w:rsid w:val="00852E08"/>
    <w:rsid w:val="0085541F"/>
    <w:rsid w:val="00855B24"/>
    <w:rsid w:val="00857EA5"/>
    <w:rsid w:val="00863AF3"/>
    <w:rsid w:val="00863B9D"/>
    <w:rsid w:val="0086412B"/>
    <w:rsid w:val="00864314"/>
    <w:rsid w:val="00865464"/>
    <w:rsid w:val="008705E4"/>
    <w:rsid w:val="0087069A"/>
    <w:rsid w:val="008708ED"/>
    <w:rsid w:val="0087135D"/>
    <w:rsid w:val="0087392E"/>
    <w:rsid w:val="00874451"/>
    <w:rsid w:val="00875714"/>
    <w:rsid w:val="00877038"/>
    <w:rsid w:val="00882E0C"/>
    <w:rsid w:val="008834FA"/>
    <w:rsid w:val="00885488"/>
    <w:rsid w:val="00887A37"/>
    <w:rsid w:val="008944AF"/>
    <w:rsid w:val="0089543F"/>
    <w:rsid w:val="0089587E"/>
    <w:rsid w:val="008970D5"/>
    <w:rsid w:val="00897B8F"/>
    <w:rsid w:val="008A0B92"/>
    <w:rsid w:val="008A1079"/>
    <w:rsid w:val="008A1875"/>
    <w:rsid w:val="008A3B23"/>
    <w:rsid w:val="008A3E63"/>
    <w:rsid w:val="008A4078"/>
    <w:rsid w:val="008A51A9"/>
    <w:rsid w:val="008B0085"/>
    <w:rsid w:val="008B2B51"/>
    <w:rsid w:val="008B346E"/>
    <w:rsid w:val="008B4E2A"/>
    <w:rsid w:val="008B5136"/>
    <w:rsid w:val="008B68FD"/>
    <w:rsid w:val="008C2E09"/>
    <w:rsid w:val="008C32D0"/>
    <w:rsid w:val="008C3677"/>
    <w:rsid w:val="008C3970"/>
    <w:rsid w:val="008C48F8"/>
    <w:rsid w:val="008C6C64"/>
    <w:rsid w:val="008C703B"/>
    <w:rsid w:val="008D0112"/>
    <w:rsid w:val="008D3C61"/>
    <w:rsid w:val="008D4DE9"/>
    <w:rsid w:val="008D6485"/>
    <w:rsid w:val="008D6D55"/>
    <w:rsid w:val="008D706D"/>
    <w:rsid w:val="008E05E2"/>
    <w:rsid w:val="008E1ADA"/>
    <w:rsid w:val="008E1C35"/>
    <w:rsid w:val="008E2427"/>
    <w:rsid w:val="008E28E5"/>
    <w:rsid w:val="008E3E2A"/>
    <w:rsid w:val="008E46ED"/>
    <w:rsid w:val="008E5106"/>
    <w:rsid w:val="008E5112"/>
    <w:rsid w:val="008E512D"/>
    <w:rsid w:val="008E5891"/>
    <w:rsid w:val="008E5F09"/>
    <w:rsid w:val="008E79A0"/>
    <w:rsid w:val="008F1A08"/>
    <w:rsid w:val="008F1DDA"/>
    <w:rsid w:val="008F2108"/>
    <w:rsid w:val="008F39B8"/>
    <w:rsid w:val="008F6B8B"/>
    <w:rsid w:val="00901748"/>
    <w:rsid w:val="009018E5"/>
    <w:rsid w:val="009019CF"/>
    <w:rsid w:val="00901C1E"/>
    <w:rsid w:val="00902CF4"/>
    <w:rsid w:val="0090478A"/>
    <w:rsid w:val="009056D3"/>
    <w:rsid w:val="00905841"/>
    <w:rsid w:val="0090649F"/>
    <w:rsid w:val="00907D77"/>
    <w:rsid w:val="00910F99"/>
    <w:rsid w:val="00912FCB"/>
    <w:rsid w:val="00914A3E"/>
    <w:rsid w:val="00914BDD"/>
    <w:rsid w:val="00916557"/>
    <w:rsid w:val="0091761E"/>
    <w:rsid w:val="009204EB"/>
    <w:rsid w:val="00920FF1"/>
    <w:rsid w:val="00921695"/>
    <w:rsid w:val="009221E3"/>
    <w:rsid w:val="0092358B"/>
    <w:rsid w:val="009235E0"/>
    <w:rsid w:val="00924A8B"/>
    <w:rsid w:val="0092521F"/>
    <w:rsid w:val="0092555F"/>
    <w:rsid w:val="0092655C"/>
    <w:rsid w:val="00926E97"/>
    <w:rsid w:val="0092700A"/>
    <w:rsid w:val="00927144"/>
    <w:rsid w:val="009306D2"/>
    <w:rsid w:val="00931F6A"/>
    <w:rsid w:val="00932A46"/>
    <w:rsid w:val="00933A04"/>
    <w:rsid w:val="00933D99"/>
    <w:rsid w:val="009346ED"/>
    <w:rsid w:val="00934B6C"/>
    <w:rsid w:val="00935053"/>
    <w:rsid w:val="0093520D"/>
    <w:rsid w:val="009362E2"/>
    <w:rsid w:val="0093790A"/>
    <w:rsid w:val="009408E2"/>
    <w:rsid w:val="0094112C"/>
    <w:rsid w:val="009417EE"/>
    <w:rsid w:val="0094273E"/>
    <w:rsid w:val="00945A9B"/>
    <w:rsid w:val="00951C0F"/>
    <w:rsid w:val="00951E10"/>
    <w:rsid w:val="009526FB"/>
    <w:rsid w:val="00954A78"/>
    <w:rsid w:val="00956530"/>
    <w:rsid w:val="009618EC"/>
    <w:rsid w:val="00961BBD"/>
    <w:rsid w:val="00962568"/>
    <w:rsid w:val="0096295D"/>
    <w:rsid w:val="009634B8"/>
    <w:rsid w:val="00964479"/>
    <w:rsid w:val="00966E0E"/>
    <w:rsid w:val="0097195D"/>
    <w:rsid w:val="00971CB7"/>
    <w:rsid w:val="009721A4"/>
    <w:rsid w:val="00972975"/>
    <w:rsid w:val="00973FEF"/>
    <w:rsid w:val="009745EE"/>
    <w:rsid w:val="009752EE"/>
    <w:rsid w:val="00977F1D"/>
    <w:rsid w:val="00980F49"/>
    <w:rsid w:val="0098255F"/>
    <w:rsid w:val="0098261E"/>
    <w:rsid w:val="00982994"/>
    <w:rsid w:val="009835BB"/>
    <w:rsid w:val="009844F8"/>
    <w:rsid w:val="0098675D"/>
    <w:rsid w:val="00987223"/>
    <w:rsid w:val="00987F3D"/>
    <w:rsid w:val="00990E2B"/>
    <w:rsid w:val="00991DFE"/>
    <w:rsid w:val="0099514C"/>
    <w:rsid w:val="00996CE3"/>
    <w:rsid w:val="00996F0B"/>
    <w:rsid w:val="009A07C7"/>
    <w:rsid w:val="009A0958"/>
    <w:rsid w:val="009A1C23"/>
    <w:rsid w:val="009A1FE1"/>
    <w:rsid w:val="009A4793"/>
    <w:rsid w:val="009A4BD5"/>
    <w:rsid w:val="009A4F79"/>
    <w:rsid w:val="009A5259"/>
    <w:rsid w:val="009A636B"/>
    <w:rsid w:val="009A6CC8"/>
    <w:rsid w:val="009A7416"/>
    <w:rsid w:val="009A7629"/>
    <w:rsid w:val="009B29AF"/>
    <w:rsid w:val="009B3986"/>
    <w:rsid w:val="009B520F"/>
    <w:rsid w:val="009B6998"/>
    <w:rsid w:val="009B6A57"/>
    <w:rsid w:val="009C17E0"/>
    <w:rsid w:val="009C1B04"/>
    <w:rsid w:val="009C21A8"/>
    <w:rsid w:val="009C58FC"/>
    <w:rsid w:val="009D004A"/>
    <w:rsid w:val="009D0197"/>
    <w:rsid w:val="009D19AE"/>
    <w:rsid w:val="009D1FA3"/>
    <w:rsid w:val="009D21D6"/>
    <w:rsid w:val="009D2805"/>
    <w:rsid w:val="009D3609"/>
    <w:rsid w:val="009D3ED7"/>
    <w:rsid w:val="009D7994"/>
    <w:rsid w:val="009E1712"/>
    <w:rsid w:val="009E3963"/>
    <w:rsid w:val="009E438D"/>
    <w:rsid w:val="009E445F"/>
    <w:rsid w:val="009E46B1"/>
    <w:rsid w:val="009E7AD9"/>
    <w:rsid w:val="009F06B0"/>
    <w:rsid w:val="009F1FFE"/>
    <w:rsid w:val="009F31B2"/>
    <w:rsid w:val="009F60DF"/>
    <w:rsid w:val="00A030EA"/>
    <w:rsid w:val="00A04C2D"/>
    <w:rsid w:val="00A04DCF"/>
    <w:rsid w:val="00A066BF"/>
    <w:rsid w:val="00A075EF"/>
    <w:rsid w:val="00A0776C"/>
    <w:rsid w:val="00A100BF"/>
    <w:rsid w:val="00A10331"/>
    <w:rsid w:val="00A11B0F"/>
    <w:rsid w:val="00A1253B"/>
    <w:rsid w:val="00A130E7"/>
    <w:rsid w:val="00A158B4"/>
    <w:rsid w:val="00A17860"/>
    <w:rsid w:val="00A21609"/>
    <w:rsid w:val="00A22389"/>
    <w:rsid w:val="00A24090"/>
    <w:rsid w:val="00A25B97"/>
    <w:rsid w:val="00A25BBF"/>
    <w:rsid w:val="00A3179E"/>
    <w:rsid w:val="00A33051"/>
    <w:rsid w:val="00A331CA"/>
    <w:rsid w:val="00A33805"/>
    <w:rsid w:val="00A34DB9"/>
    <w:rsid w:val="00A3546D"/>
    <w:rsid w:val="00A35B19"/>
    <w:rsid w:val="00A35DEB"/>
    <w:rsid w:val="00A365D7"/>
    <w:rsid w:val="00A36E24"/>
    <w:rsid w:val="00A3709F"/>
    <w:rsid w:val="00A3731C"/>
    <w:rsid w:val="00A3757E"/>
    <w:rsid w:val="00A40262"/>
    <w:rsid w:val="00A40333"/>
    <w:rsid w:val="00A40BCF"/>
    <w:rsid w:val="00A40FA5"/>
    <w:rsid w:val="00A42BBA"/>
    <w:rsid w:val="00A44833"/>
    <w:rsid w:val="00A450A0"/>
    <w:rsid w:val="00A4520A"/>
    <w:rsid w:val="00A46D08"/>
    <w:rsid w:val="00A47CB3"/>
    <w:rsid w:val="00A51A79"/>
    <w:rsid w:val="00A53021"/>
    <w:rsid w:val="00A53A2C"/>
    <w:rsid w:val="00A55909"/>
    <w:rsid w:val="00A56417"/>
    <w:rsid w:val="00A57448"/>
    <w:rsid w:val="00A63374"/>
    <w:rsid w:val="00A63604"/>
    <w:rsid w:val="00A65E47"/>
    <w:rsid w:val="00A66011"/>
    <w:rsid w:val="00A67908"/>
    <w:rsid w:val="00A708C8"/>
    <w:rsid w:val="00A70FA9"/>
    <w:rsid w:val="00A71F21"/>
    <w:rsid w:val="00A71F44"/>
    <w:rsid w:val="00A737B7"/>
    <w:rsid w:val="00A769FB"/>
    <w:rsid w:val="00A77414"/>
    <w:rsid w:val="00A77774"/>
    <w:rsid w:val="00A80B2E"/>
    <w:rsid w:val="00A83C98"/>
    <w:rsid w:val="00A83CD0"/>
    <w:rsid w:val="00A8489E"/>
    <w:rsid w:val="00A85309"/>
    <w:rsid w:val="00A858C3"/>
    <w:rsid w:val="00A85B90"/>
    <w:rsid w:val="00A86C7F"/>
    <w:rsid w:val="00A87F68"/>
    <w:rsid w:val="00A92878"/>
    <w:rsid w:val="00A93D75"/>
    <w:rsid w:val="00A93F81"/>
    <w:rsid w:val="00A94B75"/>
    <w:rsid w:val="00A94EC9"/>
    <w:rsid w:val="00A97321"/>
    <w:rsid w:val="00A978E5"/>
    <w:rsid w:val="00A97EBF"/>
    <w:rsid w:val="00AA04F9"/>
    <w:rsid w:val="00AA0889"/>
    <w:rsid w:val="00AA13B3"/>
    <w:rsid w:val="00AA23BA"/>
    <w:rsid w:val="00AA2E6B"/>
    <w:rsid w:val="00AA4870"/>
    <w:rsid w:val="00AA4A6D"/>
    <w:rsid w:val="00AA7784"/>
    <w:rsid w:val="00AB11E7"/>
    <w:rsid w:val="00AB138C"/>
    <w:rsid w:val="00AB35B7"/>
    <w:rsid w:val="00AB3EBA"/>
    <w:rsid w:val="00AB55D0"/>
    <w:rsid w:val="00AB56FB"/>
    <w:rsid w:val="00AB60F8"/>
    <w:rsid w:val="00AB6EB6"/>
    <w:rsid w:val="00AC0E99"/>
    <w:rsid w:val="00AC2D2E"/>
    <w:rsid w:val="00AC301A"/>
    <w:rsid w:val="00AC3246"/>
    <w:rsid w:val="00AC3317"/>
    <w:rsid w:val="00AC35D7"/>
    <w:rsid w:val="00AC611F"/>
    <w:rsid w:val="00AC6B73"/>
    <w:rsid w:val="00AC6F1A"/>
    <w:rsid w:val="00AC74AE"/>
    <w:rsid w:val="00AC75E8"/>
    <w:rsid w:val="00AD192B"/>
    <w:rsid w:val="00AD438F"/>
    <w:rsid w:val="00AD4766"/>
    <w:rsid w:val="00AD7006"/>
    <w:rsid w:val="00AD7780"/>
    <w:rsid w:val="00AE02D5"/>
    <w:rsid w:val="00AE05A5"/>
    <w:rsid w:val="00AE0937"/>
    <w:rsid w:val="00AE0A4F"/>
    <w:rsid w:val="00AE2347"/>
    <w:rsid w:val="00AE3109"/>
    <w:rsid w:val="00AE32A1"/>
    <w:rsid w:val="00AE4129"/>
    <w:rsid w:val="00AE529B"/>
    <w:rsid w:val="00AE5461"/>
    <w:rsid w:val="00AE649F"/>
    <w:rsid w:val="00AE6E76"/>
    <w:rsid w:val="00AE7DC4"/>
    <w:rsid w:val="00AF02AD"/>
    <w:rsid w:val="00AF2098"/>
    <w:rsid w:val="00AF291D"/>
    <w:rsid w:val="00AF30DD"/>
    <w:rsid w:val="00AF4701"/>
    <w:rsid w:val="00AF581C"/>
    <w:rsid w:val="00AF5C27"/>
    <w:rsid w:val="00AF613D"/>
    <w:rsid w:val="00AF6A7E"/>
    <w:rsid w:val="00AF7313"/>
    <w:rsid w:val="00B01D46"/>
    <w:rsid w:val="00B039CD"/>
    <w:rsid w:val="00B03F3C"/>
    <w:rsid w:val="00B04D8B"/>
    <w:rsid w:val="00B04E09"/>
    <w:rsid w:val="00B05431"/>
    <w:rsid w:val="00B06E7A"/>
    <w:rsid w:val="00B101A7"/>
    <w:rsid w:val="00B11E8E"/>
    <w:rsid w:val="00B1216D"/>
    <w:rsid w:val="00B154C8"/>
    <w:rsid w:val="00B15DA5"/>
    <w:rsid w:val="00B1738C"/>
    <w:rsid w:val="00B21AC2"/>
    <w:rsid w:val="00B21BC8"/>
    <w:rsid w:val="00B21BE0"/>
    <w:rsid w:val="00B21D57"/>
    <w:rsid w:val="00B21E78"/>
    <w:rsid w:val="00B22AF9"/>
    <w:rsid w:val="00B26138"/>
    <w:rsid w:val="00B26143"/>
    <w:rsid w:val="00B26B85"/>
    <w:rsid w:val="00B26C5E"/>
    <w:rsid w:val="00B3084C"/>
    <w:rsid w:val="00B3218A"/>
    <w:rsid w:val="00B329DF"/>
    <w:rsid w:val="00B34A5D"/>
    <w:rsid w:val="00B361A5"/>
    <w:rsid w:val="00B36583"/>
    <w:rsid w:val="00B372DE"/>
    <w:rsid w:val="00B37394"/>
    <w:rsid w:val="00B40631"/>
    <w:rsid w:val="00B4292D"/>
    <w:rsid w:val="00B42D14"/>
    <w:rsid w:val="00B448CF"/>
    <w:rsid w:val="00B46951"/>
    <w:rsid w:val="00B52E35"/>
    <w:rsid w:val="00B5320A"/>
    <w:rsid w:val="00B53B9C"/>
    <w:rsid w:val="00B53E3D"/>
    <w:rsid w:val="00B544FD"/>
    <w:rsid w:val="00B5583D"/>
    <w:rsid w:val="00B560A6"/>
    <w:rsid w:val="00B57119"/>
    <w:rsid w:val="00B60727"/>
    <w:rsid w:val="00B60C52"/>
    <w:rsid w:val="00B63B25"/>
    <w:rsid w:val="00B63F94"/>
    <w:rsid w:val="00B64289"/>
    <w:rsid w:val="00B64DE9"/>
    <w:rsid w:val="00B65206"/>
    <w:rsid w:val="00B66D3D"/>
    <w:rsid w:val="00B67759"/>
    <w:rsid w:val="00B67DA0"/>
    <w:rsid w:val="00B70F40"/>
    <w:rsid w:val="00B71560"/>
    <w:rsid w:val="00B7187C"/>
    <w:rsid w:val="00B71E95"/>
    <w:rsid w:val="00B73120"/>
    <w:rsid w:val="00B747B3"/>
    <w:rsid w:val="00B74E83"/>
    <w:rsid w:val="00B7599E"/>
    <w:rsid w:val="00B761BB"/>
    <w:rsid w:val="00B767FA"/>
    <w:rsid w:val="00B80DFC"/>
    <w:rsid w:val="00B80EDE"/>
    <w:rsid w:val="00B83125"/>
    <w:rsid w:val="00B84254"/>
    <w:rsid w:val="00B859B8"/>
    <w:rsid w:val="00B85B80"/>
    <w:rsid w:val="00B87988"/>
    <w:rsid w:val="00B87B37"/>
    <w:rsid w:val="00B90574"/>
    <w:rsid w:val="00B90ABB"/>
    <w:rsid w:val="00B90CBD"/>
    <w:rsid w:val="00B92E98"/>
    <w:rsid w:val="00B93196"/>
    <w:rsid w:val="00B9481A"/>
    <w:rsid w:val="00B9528F"/>
    <w:rsid w:val="00B9529C"/>
    <w:rsid w:val="00B9543F"/>
    <w:rsid w:val="00B9553B"/>
    <w:rsid w:val="00BA2E70"/>
    <w:rsid w:val="00BA31C2"/>
    <w:rsid w:val="00BA3397"/>
    <w:rsid w:val="00BA606B"/>
    <w:rsid w:val="00BA6857"/>
    <w:rsid w:val="00BA71E2"/>
    <w:rsid w:val="00BA78B0"/>
    <w:rsid w:val="00BA7DC3"/>
    <w:rsid w:val="00BB3DB0"/>
    <w:rsid w:val="00BB3ECA"/>
    <w:rsid w:val="00BB40B8"/>
    <w:rsid w:val="00BB471C"/>
    <w:rsid w:val="00BB5B9C"/>
    <w:rsid w:val="00BB5F5E"/>
    <w:rsid w:val="00BB61E6"/>
    <w:rsid w:val="00BB62E8"/>
    <w:rsid w:val="00BB6415"/>
    <w:rsid w:val="00BB767C"/>
    <w:rsid w:val="00BC045F"/>
    <w:rsid w:val="00BC12CD"/>
    <w:rsid w:val="00BC144C"/>
    <w:rsid w:val="00BC1890"/>
    <w:rsid w:val="00BC229A"/>
    <w:rsid w:val="00BC5C4C"/>
    <w:rsid w:val="00BC6B83"/>
    <w:rsid w:val="00BC6DAD"/>
    <w:rsid w:val="00BD0A5C"/>
    <w:rsid w:val="00BD1145"/>
    <w:rsid w:val="00BD2189"/>
    <w:rsid w:val="00BD2936"/>
    <w:rsid w:val="00BD40F4"/>
    <w:rsid w:val="00BD4243"/>
    <w:rsid w:val="00BD5772"/>
    <w:rsid w:val="00BD7565"/>
    <w:rsid w:val="00BE174B"/>
    <w:rsid w:val="00BE2A3D"/>
    <w:rsid w:val="00BE3611"/>
    <w:rsid w:val="00BE47B9"/>
    <w:rsid w:val="00BE5099"/>
    <w:rsid w:val="00BE53FC"/>
    <w:rsid w:val="00BE5452"/>
    <w:rsid w:val="00BE573A"/>
    <w:rsid w:val="00BE63C9"/>
    <w:rsid w:val="00BE79E6"/>
    <w:rsid w:val="00BF1148"/>
    <w:rsid w:val="00BF1161"/>
    <w:rsid w:val="00BF2A99"/>
    <w:rsid w:val="00BF2B76"/>
    <w:rsid w:val="00BF303D"/>
    <w:rsid w:val="00BF3D62"/>
    <w:rsid w:val="00BF3FF4"/>
    <w:rsid w:val="00BF5678"/>
    <w:rsid w:val="00BF6518"/>
    <w:rsid w:val="00BF7FC6"/>
    <w:rsid w:val="00C01DA2"/>
    <w:rsid w:val="00C020F9"/>
    <w:rsid w:val="00C02B6D"/>
    <w:rsid w:val="00C0383A"/>
    <w:rsid w:val="00C038F1"/>
    <w:rsid w:val="00C03FE1"/>
    <w:rsid w:val="00C048B1"/>
    <w:rsid w:val="00C0539B"/>
    <w:rsid w:val="00C056EE"/>
    <w:rsid w:val="00C05C8D"/>
    <w:rsid w:val="00C1063E"/>
    <w:rsid w:val="00C10713"/>
    <w:rsid w:val="00C117A2"/>
    <w:rsid w:val="00C131FB"/>
    <w:rsid w:val="00C1531D"/>
    <w:rsid w:val="00C15341"/>
    <w:rsid w:val="00C20E1F"/>
    <w:rsid w:val="00C21258"/>
    <w:rsid w:val="00C215E3"/>
    <w:rsid w:val="00C234E3"/>
    <w:rsid w:val="00C23C30"/>
    <w:rsid w:val="00C2545D"/>
    <w:rsid w:val="00C25A7E"/>
    <w:rsid w:val="00C3608D"/>
    <w:rsid w:val="00C37429"/>
    <w:rsid w:val="00C411E5"/>
    <w:rsid w:val="00C417AD"/>
    <w:rsid w:val="00C452B7"/>
    <w:rsid w:val="00C45A12"/>
    <w:rsid w:val="00C46DC8"/>
    <w:rsid w:val="00C500B1"/>
    <w:rsid w:val="00C500DE"/>
    <w:rsid w:val="00C505DE"/>
    <w:rsid w:val="00C51B02"/>
    <w:rsid w:val="00C51F56"/>
    <w:rsid w:val="00C53BA5"/>
    <w:rsid w:val="00C53E7F"/>
    <w:rsid w:val="00C53F5E"/>
    <w:rsid w:val="00C543EA"/>
    <w:rsid w:val="00C565E6"/>
    <w:rsid w:val="00C56C4B"/>
    <w:rsid w:val="00C577CE"/>
    <w:rsid w:val="00C60BB5"/>
    <w:rsid w:val="00C62FBC"/>
    <w:rsid w:val="00C630C0"/>
    <w:rsid w:val="00C63AA0"/>
    <w:rsid w:val="00C65FAA"/>
    <w:rsid w:val="00C66511"/>
    <w:rsid w:val="00C704C3"/>
    <w:rsid w:val="00C71774"/>
    <w:rsid w:val="00C7317A"/>
    <w:rsid w:val="00C740D2"/>
    <w:rsid w:val="00C74349"/>
    <w:rsid w:val="00C74A60"/>
    <w:rsid w:val="00C74D8B"/>
    <w:rsid w:val="00C76857"/>
    <w:rsid w:val="00C77B4B"/>
    <w:rsid w:val="00C77FD7"/>
    <w:rsid w:val="00C81ECD"/>
    <w:rsid w:val="00C84EF2"/>
    <w:rsid w:val="00C8530A"/>
    <w:rsid w:val="00C8561C"/>
    <w:rsid w:val="00C8595C"/>
    <w:rsid w:val="00C86C88"/>
    <w:rsid w:val="00C87CFF"/>
    <w:rsid w:val="00C91EEF"/>
    <w:rsid w:val="00C92B04"/>
    <w:rsid w:val="00C93302"/>
    <w:rsid w:val="00C952BC"/>
    <w:rsid w:val="00C96476"/>
    <w:rsid w:val="00C966E5"/>
    <w:rsid w:val="00C9746E"/>
    <w:rsid w:val="00C97D01"/>
    <w:rsid w:val="00CA07E5"/>
    <w:rsid w:val="00CA124D"/>
    <w:rsid w:val="00CA2F94"/>
    <w:rsid w:val="00CA5643"/>
    <w:rsid w:val="00CA5CD4"/>
    <w:rsid w:val="00CA5F15"/>
    <w:rsid w:val="00CB0561"/>
    <w:rsid w:val="00CB0602"/>
    <w:rsid w:val="00CB1F16"/>
    <w:rsid w:val="00CB2706"/>
    <w:rsid w:val="00CB32BB"/>
    <w:rsid w:val="00CB3AA8"/>
    <w:rsid w:val="00CB53CC"/>
    <w:rsid w:val="00CB77AC"/>
    <w:rsid w:val="00CC02B6"/>
    <w:rsid w:val="00CC0515"/>
    <w:rsid w:val="00CC0BA0"/>
    <w:rsid w:val="00CC1EDA"/>
    <w:rsid w:val="00CC218A"/>
    <w:rsid w:val="00CC3230"/>
    <w:rsid w:val="00CC4394"/>
    <w:rsid w:val="00CC44AE"/>
    <w:rsid w:val="00CC5671"/>
    <w:rsid w:val="00CC68F4"/>
    <w:rsid w:val="00CC770D"/>
    <w:rsid w:val="00CD0D5F"/>
    <w:rsid w:val="00CD1BEF"/>
    <w:rsid w:val="00CD1E58"/>
    <w:rsid w:val="00CD3365"/>
    <w:rsid w:val="00CD471E"/>
    <w:rsid w:val="00CD482D"/>
    <w:rsid w:val="00CD48A2"/>
    <w:rsid w:val="00CD4FD0"/>
    <w:rsid w:val="00CD6B00"/>
    <w:rsid w:val="00CD7A14"/>
    <w:rsid w:val="00CE0E5F"/>
    <w:rsid w:val="00CE28F7"/>
    <w:rsid w:val="00CE2FCF"/>
    <w:rsid w:val="00CE318F"/>
    <w:rsid w:val="00CE5461"/>
    <w:rsid w:val="00CE6B10"/>
    <w:rsid w:val="00CE6C4B"/>
    <w:rsid w:val="00CE6F92"/>
    <w:rsid w:val="00CF36D8"/>
    <w:rsid w:val="00CF43C8"/>
    <w:rsid w:val="00CF46D5"/>
    <w:rsid w:val="00CF4736"/>
    <w:rsid w:val="00CF6CD9"/>
    <w:rsid w:val="00CF7ADB"/>
    <w:rsid w:val="00D0033D"/>
    <w:rsid w:val="00D006B0"/>
    <w:rsid w:val="00D00884"/>
    <w:rsid w:val="00D00BE4"/>
    <w:rsid w:val="00D01113"/>
    <w:rsid w:val="00D02560"/>
    <w:rsid w:val="00D04121"/>
    <w:rsid w:val="00D051E7"/>
    <w:rsid w:val="00D0793C"/>
    <w:rsid w:val="00D07B26"/>
    <w:rsid w:val="00D101E1"/>
    <w:rsid w:val="00D111BB"/>
    <w:rsid w:val="00D1246C"/>
    <w:rsid w:val="00D12661"/>
    <w:rsid w:val="00D13E2C"/>
    <w:rsid w:val="00D14FF6"/>
    <w:rsid w:val="00D155CF"/>
    <w:rsid w:val="00D1702F"/>
    <w:rsid w:val="00D170E0"/>
    <w:rsid w:val="00D20089"/>
    <w:rsid w:val="00D201FE"/>
    <w:rsid w:val="00D20EEA"/>
    <w:rsid w:val="00D229F0"/>
    <w:rsid w:val="00D22FA1"/>
    <w:rsid w:val="00D23291"/>
    <w:rsid w:val="00D23533"/>
    <w:rsid w:val="00D242B8"/>
    <w:rsid w:val="00D24B67"/>
    <w:rsid w:val="00D25C54"/>
    <w:rsid w:val="00D324E0"/>
    <w:rsid w:val="00D338D3"/>
    <w:rsid w:val="00D33D3F"/>
    <w:rsid w:val="00D33F03"/>
    <w:rsid w:val="00D360C6"/>
    <w:rsid w:val="00D365C0"/>
    <w:rsid w:val="00D37656"/>
    <w:rsid w:val="00D37BFF"/>
    <w:rsid w:val="00D40B48"/>
    <w:rsid w:val="00D410D4"/>
    <w:rsid w:val="00D42D0E"/>
    <w:rsid w:val="00D445DC"/>
    <w:rsid w:val="00D45287"/>
    <w:rsid w:val="00D4573D"/>
    <w:rsid w:val="00D46EEB"/>
    <w:rsid w:val="00D475F2"/>
    <w:rsid w:val="00D4768A"/>
    <w:rsid w:val="00D50683"/>
    <w:rsid w:val="00D5094C"/>
    <w:rsid w:val="00D51200"/>
    <w:rsid w:val="00D519FF"/>
    <w:rsid w:val="00D5274E"/>
    <w:rsid w:val="00D53693"/>
    <w:rsid w:val="00D537A9"/>
    <w:rsid w:val="00D547AC"/>
    <w:rsid w:val="00D5490A"/>
    <w:rsid w:val="00D55357"/>
    <w:rsid w:val="00D557A0"/>
    <w:rsid w:val="00D55BA7"/>
    <w:rsid w:val="00D562FA"/>
    <w:rsid w:val="00D567DE"/>
    <w:rsid w:val="00D60A82"/>
    <w:rsid w:val="00D61169"/>
    <w:rsid w:val="00D6122C"/>
    <w:rsid w:val="00D61F43"/>
    <w:rsid w:val="00D622C5"/>
    <w:rsid w:val="00D63F07"/>
    <w:rsid w:val="00D654F0"/>
    <w:rsid w:val="00D65B3D"/>
    <w:rsid w:val="00D660D6"/>
    <w:rsid w:val="00D664D5"/>
    <w:rsid w:val="00D66C0A"/>
    <w:rsid w:val="00D719B5"/>
    <w:rsid w:val="00D71DFC"/>
    <w:rsid w:val="00D72E5B"/>
    <w:rsid w:val="00D745C3"/>
    <w:rsid w:val="00D75D8E"/>
    <w:rsid w:val="00D76FB8"/>
    <w:rsid w:val="00D8053D"/>
    <w:rsid w:val="00D80B1A"/>
    <w:rsid w:val="00D80FBA"/>
    <w:rsid w:val="00D828CE"/>
    <w:rsid w:val="00D83F62"/>
    <w:rsid w:val="00D85C6B"/>
    <w:rsid w:val="00D85FF8"/>
    <w:rsid w:val="00D86DAC"/>
    <w:rsid w:val="00D87142"/>
    <w:rsid w:val="00D87F8C"/>
    <w:rsid w:val="00D90A0D"/>
    <w:rsid w:val="00D90AE9"/>
    <w:rsid w:val="00D90CAD"/>
    <w:rsid w:val="00D90F63"/>
    <w:rsid w:val="00D92A5C"/>
    <w:rsid w:val="00D93747"/>
    <w:rsid w:val="00D93C60"/>
    <w:rsid w:val="00D93FCC"/>
    <w:rsid w:val="00D94365"/>
    <w:rsid w:val="00D94388"/>
    <w:rsid w:val="00D944F3"/>
    <w:rsid w:val="00D9534E"/>
    <w:rsid w:val="00D955F1"/>
    <w:rsid w:val="00DA2236"/>
    <w:rsid w:val="00DA2485"/>
    <w:rsid w:val="00DA3338"/>
    <w:rsid w:val="00DA4450"/>
    <w:rsid w:val="00DA4B47"/>
    <w:rsid w:val="00DA4D00"/>
    <w:rsid w:val="00DA5FB5"/>
    <w:rsid w:val="00DA76CE"/>
    <w:rsid w:val="00DB307A"/>
    <w:rsid w:val="00DB441E"/>
    <w:rsid w:val="00DB4DA3"/>
    <w:rsid w:val="00DB5D10"/>
    <w:rsid w:val="00DC1D5F"/>
    <w:rsid w:val="00DC1FAD"/>
    <w:rsid w:val="00DC20F9"/>
    <w:rsid w:val="00DC322D"/>
    <w:rsid w:val="00DC3C46"/>
    <w:rsid w:val="00DC46F4"/>
    <w:rsid w:val="00DC55FC"/>
    <w:rsid w:val="00DC56ED"/>
    <w:rsid w:val="00DC7F24"/>
    <w:rsid w:val="00DD014B"/>
    <w:rsid w:val="00DD01CA"/>
    <w:rsid w:val="00DD08E7"/>
    <w:rsid w:val="00DD52DE"/>
    <w:rsid w:val="00DD60A9"/>
    <w:rsid w:val="00DD7107"/>
    <w:rsid w:val="00DE0A96"/>
    <w:rsid w:val="00DE28C4"/>
    <w:rsid w:val="00DE29A8"/>
    <w:rsid w:val="00DE4225"/>
    <w:rsid w:val="00DE6006"/>
    <w:rsid w:val="00DE605B"/>
    <w:rsid w:val="00DE7A57"/>
    <w:rsid w:val="00DE7BDB"/>
    <w:rsid w:val="00DE7C1A"/>
    <w:rsid w:val="00DF1747"/>
    <w:rsid w:val="00DF43EA"/>
    <w:rsid w:val="00DF4CCC"/>
    <w:rsid w:val="00DF52BC"/>
    <w:rsid w:val="00DF5FB1"/>
    <w:rsid w:val="00DF7393"/>
    <w:rsid w:val="00DF781B"/>
    <w:rsid w:val="00E009F3"/>
    <w:rsid w:val="00E00DDC"/>
    <w:rsid w:val="00E01FA7"/>
    <w:rsid w:val="00E0274F"/>
    <w:rsid w:val="00E0432C"/>
    <w:rsid w:val="00E048E5"/>
    <w:rsid w:val="00E04A7B"/>
    <w:rsid w:val="00E061F3"/>
    <w:rsid w:val="00E07723"/>
    <w:rsid w:val="00E07B26"/>
    <w:rsid w:val="00E07F21"/>
    <w:rsid w:val="00E13FB6"/>
    <w:rsid w:val="00E1487A"/>
    <w:rsid w:val="00E14AB8"/>
    <w:rsid w:val="00E16DAB"/>
    <w:rsid w:val="00E172A7"/>
    <w:rsid w:val="00E17B4B"/>
    <w:rsid w:val="00E2006D"/>
    <w:rsid w:val="00E22756"/>
    <w:rsid w:val="00E25815"/>
    <w:rsid w:val="00E260F2"/>
    <w:rsid w:val="00E26F1D"/>
    <w:rsid w:val="00E3025E"/>
    <w:rsid w:val="00E3100D"/>
    <w:rsid w:val="00E312AA"/>
    <w:rsid w:val="00E3140F"/>
    <w:rsid w:val="00E31A51"/>
    <w:rsid w:val="00E31F6C"/>
    <w:rsid w:val="00E3275C"/>
    <w:rsid w:val="00E33021"/>
    <w:rsid w:val="00E33342"/>
    <w:rsid w:val="00E3344C"/>
    <w:rsid w:val="00E339BB"/>
    <w:rsid w:val="00E33E47"/>
    <w:rsid w:val="00E35CC1"/>
    <w:rsid w:val="00E40738"/>
    <w:rsid w:val="00E40EE3"/>
    <w:rsid w:val="00E42B06"/>
    <w:rsid w:val="00E42CF0"/>
    <w:rsid w:val="00E43AB2"/>
    <w:rsid w:val="00E43C88"/>
    <w:rsid w:val="00E45060"/>
    <w:rsid w:val="00E47625"/>
    <w:rsid w:val="00E51248"/>
    <w:rsid w:val="00E522F5"/>
    <w:rsid w:val="00E535E4"/>
    <w:rsid w:val="00E543F8"/>
    <w:rsid w:val="00E55C94"/>
    <w:rsid w:val="00E55DD8"/>
    <w:rsid w:val="00E56F4D"/>
    <w:rsid w:val="00E57F4D"/>
    <w:rsid w:val="00E57FDC"/>
    <w:rsid w:val="00E600D2"/>
    <w:rsid w:val="00E60ED6"/>
    <w:rsid w:val="00E611C6"/>
    <w:rsid w:val="00E62037"/>
    <w:rsid w:val="00E64DD1"/>
    <w:rsid w:val="00E65773"/>
    <w:rsid w:val="00E65A5A"/>
    <w:rsid w:val="00E65DE3"/>
    <w:rsid w:val="00E6719F"/>
    <w:rsid w:val="00E726D8"/>
    <w:rsid w:val="00E72946"/>
    <w:rsid w:val="00E757E9"/>
    <w:rsid w:val="00E7593F"/>
    <w:rsid w:val="00E768F9"/>
    <w:rsid w:val="00E76A0D"/>
    <w:rsid w:val="00E771B0"/>
    <w:rsid w:val="00E77F8A"/>
    <w:rsid w:val="00E80D5A"/>
    <w:rsid w:val="00E8219A"/>
    <w:rsid w:val="00E829CB"/>
    <w:rsid w:val="00E84592"/>
    <w:rsid w:val="00E84DAC"/>
    <w:rsid w:val="00E8554D"/>
    <w:rsid w:val="00E859F8"/>
    <w:rsid w:val="00E875DE"/>
    <w:rsid w:val="00E87C9B"/>
    <w:rsid w:val="00E9018A"/>
    <w:rsid w:val="00E90B71"/>
    <w:rsid w:val="00E91CAB"/>
    <w:rsid w:val="00E921EE"/>
    <w:rsid w:val="00E93090"/>
    <w:rsid w:val="00E93C34"/>
    <w:rsid w:val="00E93C7B"/>
    <w:rsid w:val="00E970F6"/>
    <w:rsid w:val="00EA2BCA"/>
    <w:rsid w:val="00EA2C71"/>
    <w:rsid w:val="00EA46BD"/>
    <w:rsid w:val="00EA4BE1"/>
    <w:rsid w:val="00EA7E56"/>
    <w:rsid w:val="00EB021E"/>
    <w:rsid w:val="00EB04D3"/>
    <w:rsid w:val="00EB05ED"/>
    <w:rsid w:val="00EB0C4B"/>
    <w:rsid w:val="00EB0DC4"/>
    <w:rsid w:val="00EB0E52"/>
    <w:rsid w:val="00EB10C7"/>
    <w:rsid w:val="00EB12EC"/>
    <w:rsid w:val="00EB162C"/>
    <w:rsid w:val="00EB1DBF"/>
    <w:rsid w:val="00EB1F77"/>
    <w:rsid w:val="00EB3AF1"/>
    <w:rsid w:val="00EB506E"/>
    <w:rsid w:val="00EB5C15"/>
    <w:rsid w:val="00EC5218"/>
    <w:rsid w:val="00EC63A7"/>
    <w:rsid w:val="00ED0D35"/>
    <w:rsid w:val="00ED1E20"/>
    <w:rsid w:val="00ED2FB9"/>
    <w:rsid w:val="00ED4C47"/>
    <w:rsid w:val="00ED4D48"/>
    <w:rsid w:val="00ED70B4"/>
    <w:rsid w:val="00EE2A0A"/>
    <w:rsid w:val="00EE2DA4"/>
    <w:rsid w:val="00EE4005"/>
    <w:rsid w:val="00EE4C19"/>
    <w:rsid w:val="00EE774B"/>
    <w:rsid w:val="00EF063F"/>
    <w:rsid w:val="00EF170D"/>
    <w:rsid w:val="00EF19BF"/>
    <w:rsid w:val="00EF23AC"/>
    <w:rsid w:val="00EF33E9"/>
    <w:rsid w:val="00EF36DF"/>
    <w:rsid w:val="00EF5A1E"/>
    <w:rsid w:val="00EF65C0"/>
    <w:rsid w:val="00EF7534"/>
    <w:rsid w:val="00EF7B68"/>
    <w:rsid w:val="00EF7BA0"/>
    <w:rsid w:val="00F00100"/>
    <w:rsid w:val="00F00972"/>
    <w:rsid w:val="00F013F9"/>
    <w:rsid w:val="00F01B20"/>
    <w:rsid w:val="00F02047"/>
    <w:rsid w:val="00F032DB"/>
    <w:rsid w:val="00F0346D"/>
    <w:rsid w:val="00F03CD9"/>
    <w:rsid w:val="00F03F58"/>
    <w:rsid w:val="00F03FBB"/>
    <w:rsid w:val="00F04623"/>
    <w:rsid w:val="00F04CCD"/>
    <w:rsid w:val="00F05511"/>
    <w:rsid w:val="00F06AF8"/>
    <w:rsid w:val="00F06C75"/>
    <w:rsid w:val="00F0711F"/>
    <w:rsid w:val="00F0715F"/>
    <w:rsid w:val="00F071CD"/>
    <w:rsid w:val="00F10C7F"/>
    <w:rsid w:val="00F11612"/>
    <w:rsid w:val="00F124CD"/>
    <w:rsid w:val="00F127FE"/>
    <w:rsid w:val="00F1285B"/>
    <w:rsid w:val="00F14DB7"/>
    <w:rsid w:val="00F14F6E"/>
    <w:rsid w:val="00F17F5C"/>
    <w:rsid w:val="00F20994"/>
    <w:rsid w:val="00F2125D"/>
    <w:rsid w:val="00F22C96"/>
    <w:rsid w:val="00F22ED1"/>
    <w:rsid w:val="00F24866"/>
    <w:rsid w:val="00F27225"/>
    <w:rsid w:val="00F30258"/>
    <w:rsid w:val="00F313E2"/>
    <w:rsid w:val="00F32B6C"/>
    <w:rsid w:val="00F361E3"/>
    <w:rsid w:val="00F401C9"/>
    <w:rsid w:val="00F407D9"/>
    <w:rsid w:val="00F41844"/>
    <w:rsid w:val="00F41E24"/>
    <w:rsid w:val="00F44898"/>
    <w:rsid w:val="00F4546C"/>
    <w:rsid w:val="00F45A66"/>
    <w:rsid w:val="00F47A5A"/>
    <w:rsid w:val="00F504AD"/>
    <w:rsid w:val="00F51460"/>
    <w:rsid w:val="00F522A3"/>
    <w:rsid w:val="00F54EDC"/>
    <w:rsid w:val="00F60526"/>
    <w:rsid w:val="00F6130E"/>
    <w:rsid w:val="00F61EE2"/>
    <w:rsid w:val="00F625E4"/>
    <w:rsid w:val="00F64E07"/>
    <w:rsid w:val="00F657C7"/>
    <w:rsid w:val="00F65C61"/>
    <w:rsid w:val="00F66421"/>
    <w:rsid w:val="00F66D21"/>
    <w:rsid w:val="00F67759"/>
    <w:rsid w:val="00F72551"/>
    <w:rsid w:val="00F73484"/>
    <w:rsid w:val="00F748B8"/>
    <w:rsid w:val="00F75069"/>
    <w:rsid w:val="00F75123"/>
    <w:rsid w:val="00F76090"/>
    <w:rsid w:val="00F77C8E"/>
    <w:rsid w:val="00F80464"/>
    <w:rsid w:val="00F8214A"/>
    <w:rsid w:val="00F8342E"/>
    <w:rsid w:val="00F83D75"/>
    <w:rsid w:val="00F8456D"/>
    <w:rsid w:val="00F847C6"/>
    <w:rsid w:val="00F87375"/>
    <w:rsid w:val="00F87CC2"/>
    <w:rsid w:val="00F9063F"/>
    <w:rsid w:val="00F90B81"/>
    <w:rsid w:val="00F912E2"/>
    <w:rsid w:val="00F91DD6"/>
    <w:rsid w:val="00F947BE"/>
    <w:rsid w:val="00F9528D"/>
    <w:rsid w:val="00F9529D"/>
    <w:rsid w:val="00F953FF"/>
    <w:rsid w:val="00F96F2A"/>
    <w:rsid w:val="00F97818"/>
    <w:rsid w:val="00FA00EC"/>
    <w:rsid w:val="00FA1933"/>
    <w:rsid w:val="00FA271F"/>
    <w:rsid w:val="00FA3B20"/>
    <w:rsid w:val="00FA62B7"/>
    <w:rsid w:val="00FA7E7A"/>
    <w:rsid w:val="00FB0E0E"/>
    <w:rsid w:val="00FB0EBD"/>
    <w:rsid w:val="00FB151D"/>
    <w:rsid w:val="00FB27E2"/>
    <w:rsid w:val="00FB2D03"/>
    <w:rsid w:val="00FB44B4"/>
    <w:rsid w:val="00FB44BC"/>
    <w:rsid w:val="00FB4F69"/>
    <w:rsid w:val="00FB73F4"/>
    <w:rsid w:val="00FB784C"/>
    <w:rsid w:val="00FC271A"/>
    <w:rsid w:val="00FC3252"/>
    <w:rsid w:val="00FC3F33"/>
    <w:rsid w:val="00FC4899"/>
    <w:rsid w:val="00FC4A60"/>
    <w:rsid w:val="00FC532D"/>
    <w:rsid w:val="00FC5ED4"/>
    <w:rsid w:val="00FC7074"/>
    <w:rsid w:val="00FD06E3"/>
    <w:rsid w:val="00FD0FA7"/>
    <w:rsid w:val="00FD3C9B"/>
    <w:rsid w:val="00FD3D7B"/>
    <w:rsid w:val="00FD4076"/>
    <w:rsid w:val="00FE0B80"/>
    <w:rsid w:val="00FE120D"/>
    <w:rsid w:val="00FE21DA"/>
    <w:rsid w:val="00FE2D09"/>
    <w:rsid w:val="00FE2E38"/>
    <w:rsid w:val="00FE37C0"/>
    <w:rsid w:val="00FE3E44"/>
    <w:rsid w:val="00FE4E97"/>
    <w:rsid w:val="00FE51E3"/>
    <w:rsid w:val="00FE5708"/>
    <w:rsid w:val="00FE5D7D"/>
    <w:rsid w:val="00FF1392"/>
    <w:rsid w:val="00FF1AE9"/>
    <w:rsid w:val="00FF1DE6"/>
    <w:rsid w:val="00FF44B7"/>
    <w:rsid w:val="00FF4EFD"/>
    <w:rsid w:val="00FF5582"/>
    <w:rsid w:val="00FF5CD6"/>
    <w:rsid w:val="00FF5E86"/>
    <w:rsid w:val="00FF6700"/>
    <w:rsid w:val="01194361"/>
    <w:rsid w:val="01FF1F55"/>
    <w:rsid w:val="020B53CC"/>
    <w:rsid w:val="023A0A59"/>
    <w:rsid w:val="03FF7872"/>
    <w:rsid w:val="046C5CAE"/>
    <w:rsid w:val="04D27680"/>
    <w:rsid w:val="053729D1"/>
    <w:rsid w:val="053B702F"/>
    <w:rsid w:val="06A74829"/>
    <w:rsid w:val="07172072"/>
    <w:rsid w:val="071B38C7"/>
    <w:rsid w:val="07203C70"/>
    <w:rsid w:val="07B62F76"/>
    <w:rsid w:val="07EB33C0"/>
    <w:rsid w:val="08607FE2"/>
    <w:rsid w:val="08675E94"/>
    <w:rsid w:val="08745032"/>
    <w:rsid w:val="094A7645"/>
    <w:rsid w:val="09F53952"/>
    <w:rsid w:val="0A4F4B4D"/>
    <w:rsid w:val="0B0D5965"/>
    <w:rsid w:val="0B181898"/>
    <w:rsid w:val="0C064592"/>
    <w:rsid w:val="0D4A3A5F"/>
    <w:rsid w:val="0D9964E3"/>
    <w:rsid w:val="0E52345A"/>
    <w:rsid w:val="0E9C3219"/>
    <w:rsid w:val="0F5B43BA"/>
    <w:rsid w:val="10375E32"/>
    <w:rsid w:val="10431168"/>
    <w:rsid w:val="1064474E"/>
    <w:rsid w:val="10803980"/>
    <w:rsid w:val="10A5729F"/>
    <w:rsid w:val="115135FC"/>
    <w:rsid w:val="11AA19FB"/>
    <w:rsid w:val="12DB5F87"/>
    <w:rsid w:val="13286A37"/>
    <w:rsid w:val="133833D9"/>
    <w:rsid w:val="149C62B6"/>
    <w:rsid w:val="14D84556"/>
    <w:rsid w:val="17160695"/>
    <w:rsid w:val="18037EA9"/>
    <w:rsid w:val="19334986"/>
    <w:rsid w:val="19707D0D"/>
    <w:rsid w:val="1A613785"/>
    <w:rsid w:val="1A85340B"/>
    <w:rsid w:val="1B125F8C"/>
    <w:rsid w:val="1B2B55D1"/>
    <w:rsid w:val="1B517EC2"/>
    <w:rsid w:val="1BB803B4"/>
    <w:rsid w:val="1BE31AE0"/>
    <w:rsid w:val="1C333F5B"/>
    <w:rsid w:val="1D4A3E04"/>
    <w:rsid w:val="1D957EB1"/>
    <w:rsid w:val="1DD127B9"/>
    <w:rsid w:val="1F074A3D"/>
    <w:rsid w:val="1F140942"/>
    <w:rsid w:val="1FBB4FE0"/>
    <w:rsid w:val="1FE65F6B"/>
    <w:rsid w:val="20CF7662"/>
    <w:rsid w:val="21182154"/>
    <w:rsid w:val="215869F4"/>
    <w:rsid w:val="216E308C"/>
    <w:rsid w:val="219E5D15"/>
    <w:rsid w:val="21A75104"/>
    <w:rsid w:val="21E13134"/>
    <w:rsid w:val="22B25BE1"/>
    <w:rsid w:val="22C57A98"/>
    <w:rsid w:val="23EA54D2"/>
    <w:rsid w:val="24DB7618"/>
    <w:rsid w:val="2522684C"/>
    <w:rsid w:val="255A5D6F"/>
    <w:rsid w:val="25845748"/>
    <w:rsid w:val="260F53F0"/>
    <w:rsid w:val="266E5ED6"/>
    <w:rsid w:val="26A155CD"/>
    <w:rsid w:val="26FF5F47"/>
    <w:rsid w:val="27694CD6"/>
    <w:rsid w:val="27C2166B"/>
    <w:rsid w:val="286A2D13"/>
    <w:rsid w:val="2A4C4444"/>
    <w:rsid w:val="2A802293"/>
    <w:rsid w:val="2AD70EE5"/>
    <w:rsid w:val="2BEC213C"/>
    <w:rsid w:val="2BFA6667"/>
    <w:rsid w:val="2CC4605C"/>
    <w:rsid w:val="2D706F80"/>
    <w:rsid w:val="2D976991"/>
    <w:rsid w:val="2DB75E99"/>
    <w:rsid w:val="2F7E3596"/>
    <w:rsid w:val="2FDB284F"/>
    <w:rsid w:val="302F4B0B"/>
    <w:rsid w:val="30901AA0"/>
    <w:rsid w:val="316E3D81"/>
    <w:rsid w:val="3289409A"/>
    <w:rsid w:val="33376AFF"/>
    <w:rsid w:val="335447B5"/>
    <w:rsid w:val="33845331"/>
    <w:rsid w:val="33BA52ED"/>
    <w:rsid w:val="33E3498C"/>
    <w:rsid w:val="342A6C3B"/>
    <w:rsid w:val="355F3470"/>
    <w:rsid w:val="358E0BC5"/>
    <w:rsid w:val="372E2887"/>
    <w:rsid w:val="382A004B"/>
    <w:rsid w:val="38D96C9A"/>
    <w:rsid w:val="3914725D"/>
    <w:rsid w:val="3939105E"/>
    <w:rsid w:val="3A8464FC"/>
    <w:rsid w:val="3B333041"/>
    <w:rsid w:val="3BE83C7D"/>
    <w:rsid w:val="3CAF3E4C"/>
    <w:rsid w:val="3CEF3480"/>
    <w:rsid w:val="3D265442"/>
    <w:rsid w:val="3DD2335A"/>
    <w:rsid w:val="3E246A7E"/>
    <w:rsid w:val="3E587BDC"/>
    <w:rsid w:val="3F065E90"/>
    <w:rsid w:val="3FBD20D0"/>
    <w:rsid w:val="3FD524BD"/>
    <w:rsid w:val="3FDE56F5"/>
    <w:rsid w:val="3FF8285F"/>
    <w:rsid w:val="40BD6BEA"/>
    <w:rsid w:val="41022E1E"/>
    <w:rsid w:val="41285F8B"/>
    <w:rsid w:val="43FD6B7C"/>
    <w:rsid w:val="441D0465"/>
    <w:rsid w:val="453C48E4"/>
    <w:rsid w:val="45477FDE"/>
    <w:rsid w:val="454B5A61"/>
    <w:rsid w:val="45965BB9"/>
    <w:rsid w:val="46485A18"/>
    <w:rsid w:val="46A66FDA"/>
    <w:rsid w:val="46DC68A7"/>
    <w:rsid w:val="47364549"/>
    <w:rsid w:val="479A1409"/>
    <w:rsid w:val="479D71C1"/>
    <w:rsid w:val="482545AC"/>
    <w:rsid w:val="48516E96"/>
    <w:rsid w:val="49046527"/>
    <w:rsid w:val="494C4D69"/>
    <w:rsid w:val="49963659"/>
    <w:rsid w:val="49B605D8"/>
    <w:rsid w:val="49BB5BEF"/>
    <w:rsid w:val="49BC1967"/>
    <w:rsid w:val="4A845519"/>
    <w:rsid w:val="4AC06285"/>
    <w:rsid w:val="4B704220"/>
    <w:rsid w:val="4BA44764"/>
    <w:rsid w:val="4BDC06A3"/>
    <w:rsid w:val="4BF4363A"/>
    <w:rsid w:val="4D721A3C"/>
    <w:rsid w:val="4E0F2B52"/>
    <w:rsid w:val="4E9B7320"/>
    <w:rsid w:val="4ECC4C40"/>
    <w:rsid w:val="4F137BEE"/>
    <w:rsid w:val="4FD97C6F"/>
    <w:rsid w:val="500D22C8"/>
    <w:rsid w:val="50FA6A55"/>
    <w:rsid w:val="51490F13"/>
    <w:rsid w:val="523D4297"/>
    <w:rsid w:val="532B1982"/>
    <w:rsid w:val="53500935"/>
    <w:rsid w:val="53890B0C"/>
    <w:rsid w:val="538A350F"/>
    <w:rsid w:val="53F1757E"/>
    <w:rsid w:val="54203D83"/>
    <w:rsid w:val="54B822C8"/>
    <w:rsid w:val="54F70E4B"/>
    <w:rsid w:val="55C22303"/>
    <w:rsid w:val="55DD5E64"/>
    <w:rsid w:val="564A159C"/>
    <w:rsid w:val="58EF29F6"/>
    <w:rsid w:val="5A2E1522"/>
    <w:rsid w:val="5ACE71D3"/>
    <w:rsid w:val="5AE70679"/>
    <w:rsid w:val="5B370E4D"/>
    <w:rsid w:val="5B512086"/>
    <w:rsid w:val="5B807079"/>
    <w:rsid w:val="5B8A3673"/>
    <w:rsid w:val="5B9021D0"/>
    <w:rsid w:val="5C05661A"/>
    <w:rsid w:val="5C2913CC"/>
    <w:rsid w:val="5C2E762B"/>
    <w:rsid w:val="5C4B5E7F"/>
    <w:rsid w:val="5CA13B87"/>
    <w:rsid w:val="5CCD6B21"/>
    <w:rsid w:val="5D557EC3"/>
    <w:rsid w:val="5D865AC2"/>
    <w:rsid w:val="5D8F1F7A"/>
    <w:rsid w:val="5DFF1E26"/>
    <w:rsid w:val="5E5E78CD"/>
    <w:rsid w:val="5EB53889"/>
    <w:rsid w:val="5F4B1505"/>
    <w:rsid w:val="5F7912C4"/>
    <w:rsid w:val="5F847E68"/>
    <w:rsid w:val="602B6776"/>
    <w:rsid w:val="606324A0"/>
    <w:rsid w:val="613230D6"/>
    <w:rsid w:val="624624EA"/>
    <w:rsid w:val="6388493C"/>
    <w:rsid w:val="63D210FA"/>
    <w:rsid w:val="64157DF0"/>
    <w:rsid w:val="644F4DAC"/>
    <w:rsid w:val="654E601B"/>
    <w:rsid w:val="657577E4"/>
    <w:rsid w:val="659030D3"/>
    <w:rsid w:val="659814A9"/>
    <w:rsid w:val="67A05968"/>
    <w:rsid w:val="693A6A03"/>
    <w:rsid w:val="696F3404"/>
    <w:rsid w:val="69855CE0"/>
    <w:rsid w:val="6A1C75C5"/>
    <w:rsid w:val="6A584A68"/>
    <w:rsid w:val="6ACF08C2"/>
    <w:rsid w:val="6AE8629F"/>
    <w:rsid w:val="6B1D44A8"/>
    <w:rsid w:val="6B2E1BBF"/>
    <w:rsid w:val="6BD56395"/>
    <w:rsid w:val="6C102135"/>
    <w:rsid w:val="6C2B64B5"/>
    <w:rsid w:val="6C79103B"/>
    <w:rsid w:val="6D0C3148"/>
    <w:rsid w:val="6D1819D4"/>
    <w:rsid w:val="6D787859"/>
    <w:rsid w:val="6DB34661"/>
    <w:rsid w:val="6E124B3F"/>
    <w:rsid w:val="6E4F0E09"/>
    <w:rsid w:val="6E7D7B63"/>
    <w:rsid w:val="6F002D12"/>
    <w:rsid w:val="6F452CAF"/>
    <w:rsid w:val="6F5D014B"/>
    <w:rsid w:val="6F8557FE"/>
    <w:rsid w:val="6FC87193"/>
    <w:rsid w:val="7025028F"/>
    <w:rsid w:val="70410C2C"/>
    <w:rsid w:val="70C44AD9"/>
    <w:rsid w:val="71072459"/>
    <w:rsid w:val="71F04617"/>
    <w:rsid w:val="722D4103"/>
    <w:rsid w:val="7330476F"/>
    <w:rsid w:val="733A387C"/>
    <w:rsid w:val="73540B62"/>
    <w:rsid w:val="73BC308C"/>
    <w:rsid w:val="74AA33E5"/>
    <w:rsid w:val="74B95D00"/>
    <w:rsid w:val="75946EB3"/>
    <w:rsid w:val="75CE2521"/>
    <w:rsid w:val="75FB1764"/>
    <w:rsid w:val="77530F73"/>
    <w:rsid w:val="78E5090B"/>
    <w:rsid w:val="79A82583"/>
    <w:rsid w:val="79BA30DD"/>
    <w:rsid w:val="79C379A9"/>
    <w:rsid w:val="7A1B54FE"/>
    <w:rsid w:val="7A4711AD"/>
    <w:rsid w:val="7A670B26"/>
    <w:rsid w:val="7AFC1889"/>
    <w:rsid w:val="7B4F1153"/>
    <w:rsid w:val="7B9F70D2"/>
    <w:rsid w:val="7BB30202"/>
    <w:rsid w:val="7C0F0982"/>
    <w:rsid w:val="7D745CB2"/>
    <w:rsid w:val="7E7A33DB"/>
    <w:rsid w:val="7ED22BC1"/>
    <w:rsid w:val="7F2E2BDA"/>
    <w:rsid w:val="7FB6580B"/>
    <w:rsid w:val="7FB95405"/>
    <w:rsid w:val="7FE63D9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22" w:semiHidden="0" w:name="Strong"/>
    <w:lsdException w:qFormat="1" w:unhideWhenUsed="0" w:uiPriority="0" w:semiHidden="0" w:name="Emphasis"/>
    <w:lsdException w:qFormat="1" w:uiPriority="99"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7"/>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38"/>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39"/>
    <w:qFormat/>
    <w:uiPriority w:val="0"/>
    <w:pPr>
      <w:keepNext/>
      <w:keepLines/>
      <w:spacing w:before="260" w:after="260" w:line="416" w:lineRule="auto"/>
      <w:outlineLvl w:val="2"/>
    </w:pPr>
    <w:rPr>
      <w:b/>
      <w:bCs/>
      <w:sz w:val="32"/>
      <w:szCs w:val="32"/>
    </w:rPr>
  </w:style>
  <w:style w:type="character" w:default="1" w:styleId="31">
    <w:name w:val="Default Paragraph Font"/>
    <w:unhideWhenUsed/>
    <w:qFormat/>
    <w:uiPriority w:val="1"/>
  </w:style>
  <w:style w:type="table" w:default="1" w:styleId="29">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36"/>
    <w:qFormat/>
    <w:uiPriority w:val="0"/>
    <w:pPr>
      <w:spacing w:after="120"/>
    </w:pPr>
  </w:style>
  <w:style w:type="paragraph" w:styleId="3">
    <w:name w:val="Subtitle"/>
    <w:basedOn w:val="1"/>
    <w:next w:val="1"/>
    <w:link w:val="48"/>
    <w:qFormat/>
    <w:uiPriority w:val="11"/>
    <w:pPr>
      <w:spacing w:before="240" w:after="60" w:line="312" w:lineRule="auto"/>
      <w:jc w:val="center"/>
      <w:outlineLvl w:val="1"/>
    </w:pPr>
    <w:rPr>
      <w:rFonts w:ascii="Cambria" w:hAnsi="Cambria" w:cs="Times New Roman"/>
      <w:b/>
      <w:bCs/>
      <w:kern w:val="28"/>
      <w:sz w:val="32"/>
      <w:szCs w:val="32"/>
    </w:rPr>
  </w:style>
  <w:style w:type="paragraph" w:styleId="7">
    <w:name w:val="toc 7"/>
    <w:basedOn w:val="1"/>
    <w:next w:val="1"/>
    <w:unhideWhenUsed/>
    <w:qFormat/>
    <w:uiPriority w:val="39"/>
    <w:pPr>
      <w:ind w:left="2520" w:leftChars="1200"/>
    </w:pPr>
    <w:rPr>
      <w:rFonts w:ascii="Calibri" w:hAnsi="Calibri"/>
      <w:szCs w:val="22"/>
    </w:rPr>
  </w:style>
  <w:style w:type="paragraph" w:styleId="8">
    <w:name w:val="Normal Indent"/>
    <w:basedOn w:val="1"/>
    <w:link w:val="40"/>
    <w:qFormat/>
    <w:uiPriority w:val="0"/>
    <w:pPr>
      <w:ind w:firstLine="420" w:firstLineChars="200"/>
    </w:pPr>
  </w:style>
  <w:style w:type="paragraph" w:styleId="9">
    <w:name w:val="Document Map"/>
    <w:basedOn w:val="1"/>
    <w:link w:val="41"/>
    <w:unhideWhenUsed/>
    <w:qFormat/>
    <w:uiPriority w:val="99"/>
    <w:rPr>
      <w:rFonts w:ascii="宋体"/>
      <w:sz w:val="18"/>
      <w:szCs w:val="18"/>
    </w:rPr>
  </w:style>
  <w:style w:type="paragraph" w:styleId="10">
    <w:name w:val="annotation text"/>
    <w:basedOn w:val="1"/>
    <w:link w:val="42"/>
    <w:qFormat/>
    <w:uiPriority w:val="0"/>
    <w:pPr>
      <w:jc w:val="left"/>
    </w:pPr>
    <w:rPr>
      <w:sz w:val="18"/>
      <w:szCs w:val="20"/>
    </w:rPr>
  </w:style>
  <w:style w:type="paragraph" w:styleId="11">
    <w:name w:val="Body Text Indent"/>
    <w:basedOn w:val="1"/>
    <w:link w:val="43"/>
    <w:qFormat/>
    <w:uiPriority w:val="99"/>
    <w:pPr>
      <w:ind w:firstLine="630"/>
    </w:pPr>
    <w:rPr>
      <w:sz w:val="32"/>
      <w:szCs w:val="20"/>
    </w:rPr>
  </w:style>
  <w:style w:type="paragraph" w:styleId="12">
    <w:name w:val="toc 5"/>
    <w:basedOn w:val="1"/>
    <w:next w:val="1"/>
    <w:unhideWhenUsed/>
    <w:qFormat/>
    <w:uiPriority w:val="39"/>
    <w:pPr>
      <w:ind w:left="1680" w:leftChars="800"/>
    </w:pPr>
    <w:rPr>
      <w:rFonts w:ascii="Calibri" w:hAnsi="Calibri"/>
      <w:szCs w:val="22"/>
    </w:rPr>
  </w:style>
  <w:style w:type="paragraph" w:styleId="13">
    <w:name w:val="toc 3"/>
    <w:basedOn w:val="1"/>
    <w:next w:val="1"/>
    <w:qFormat/>
    <w:uiPriority w:val="39"/>
    <w:pPr>
      <w:ind w:left="840" w:leftChars="400"/>
    </w:pPr>
  </w:style>
  <w:style w:type="paragraph" w:styleId="14">
    <w:name w:val="Plain Text"/>
    <w:basedOn w:val="1"/>
    <w:link w:val="44"/>
    <w:qFormat/>
    <w:uiPriority w:val="0"/>
    <w:pPr>
      <w:autoSpaceDE w:val="0"/>
      <w:autoSpaceDN w:val="0"/>
      <w:adjustRightInd w:val="0"/>
    </w:pPr>
    <w:rPr>
      <w:rFonts w:ascii="宋体" w:hAnsi="Tms Rmn"/>
      <w:kern w:val="0"/>
      <w:szCs w:val="20"/>
    </w:rPr>
  </w:style>
  <w:style w:type="paragraph" w:styleId="15">
    <w:name w:val="toc 8"/>
    <w:basedOn w:val="1"/>
    <w:next w:val="1"/>
    <w:unhideWhenUsed/>
    <w:qFormat/>
    <w:uiPriority w:val="39"/>
    <w:pPr>
      <w:ind w:left="2940" w:leftChars="1400"/>
    </w:pPr>
    <w:rPr>
      <w:rFonts w:ascii="Calibri" w:hAnsi="Calibri"/>
      <w:szCs w:val="22"/>
    </w:rPr>
  </w:style>
  <w:style w:type="paragraph" w:styleId="16">
    <w:name w:val="Body Text Indent 2"/>
    <w:basedOn w:val="1"/>
    <w:qFormat/>
    <w:uiPriority w:val="0"/>
    <w:pPr>
      <w:spacing w:after="120" w:line="480" w:lineRule="auto"/>
      <w:ind w:left="420" w:leftChars="200"/>
    </w:pPr>
  </w:style>
  <w:style w:type="paragraph" w:styleId="17">
    <w:name w:val="Balloon Text"/>
    <w:basedOn w:val="1"/>
    <w:link w:val="45"/>
    <w:semiHidden/>
    <w:qFormat/>
    <w:uiPriority w:val="99"/>
    <w:rPr>
      <w:sz w:val="18"/>
      <w:szCs w:val="18"/>
    </w:rPr>
  </w:style>
  <w:style w:type="paragraph" w:styleId="18">
    <w:name w:val="footer"/>
    <w:basedOn w:val="1"/>
    <w:link w:val="46"/>
    <w:qFormat/>
    <w:uiPriority w:val="99"/>
    <w:pPr>
      <w:tabs>
        <w:tab w:val="center" w:pos="4153"/>
        <w:tab w:val="right" w:pos="8306"/>
      </w:tabs>
      <w:snapToGrid w:val="0"/>
      <w:jc w:val="left"/>
    </w:pPr>
    <w:rPr>
      <w:sz w:val="18"/>
      <w:szCs w:val="20"/>
    </w:rPr>
  </w:style>
  <w:style w:type="paragraph" w:styleId="19">
    <w:name w:val="header"/>
    <w:basedOn w:val="1"/>
    <w:link w:val="47"/>
    <w:qFormat/>
    <w:uiPriority w:val="99"/>
    <w:pPr>
      <w:pBdr>
        <w:bottom w:val="single" w:color="auto" w:sz="6" w:space="1"/>
      </w:pBdr>
      <w:tabs>
        <w:tab w:val="center" w:pos="4153"/>
        <w:tab w:val="right" w:pos="8306"/>
      </w:tabs>
      <w:snapToGrid w:val="0"/>
      <w:jc w:val="center"/>
    </w:pPr>
    <w:rPr>
      <w:sz w:val="18"/>
      <w:szCs w:val="20"/>
    </w:rPr>
  </w:style>
  <w:style w:type="paragraph" w:styleId="20">
    <w:name w:val="toc 1"/>
    <w:basedOn w:val="1"/>
    <w:next w:val="1"/>
    <w:qFormat/>
    <w:uiPriority w:val="39"/>
  </w:style>
  <w:style w:type="paragraph" w:styleId="21">
    <w:name w:val="toc 4"/>
    <w:basedOn w:val="1"/>
    <w:next w:val="1"/>
    <w:unhideWhenUsed/>
    <w:qFormat/>
    <w:uiPriority w:val="39"/>
    <w:pPr>
      <w:ind w:left="1260" w:leftChars="600"/>
    </w:pPr>
    <w:rPr>
      <w:rFonts w:ascii="Calibri" w:hAnsi="Calibri"/>
      <w:szCs w:val="22"/>
    </w:rPr>
  </w:style>
  <w:style w:type="paragraph" w:styleId="22">
    <w:name w:val="toc 6"/>
    <w:basedOn w:val="1"/>
    <w:next w:val="1"/>
    <w:unhideWhenUsed/>
    <w:qFormat/>
    <w:uiPriority w:val="39"/>
    <w:pPr>
      <w:ind w:left="2100" w:leftChars="1000"/>
    </w:pPr>
    <w:rPr>
      <w:rFonts w:ascii="Calibri" w:hAnsi="Calibri"/>
      <w:szCs w:val="22"/>
    </w:rPr>
  </w:style>
  <w:style w:type="paragraph" w:styleId="23">
    <w:name w:val="Body Text Indent 3"/>
    <w:basedOn w:val="1"/>
    <w:link w:val="49"/>
    <w:qFormat/>
    <w:uiPriority w:val="0"/>
    <w:pPr>
      <w:spacing w:after="120"/>
      <w:ind w:left="420" w:leftChars="200"/>
    </w:pPr>
    <w:rPr>
      <w:sz w:val="16"/>
      <w:szCs w:val="16"/>
    </w:rPr>
  </w:style>
  <w:style w:type="paragraph" w:styleId="24">
    <w:name w:val="toc 2"/>
    <w:basedOn w:val="1"/>
    <w:next w:val="1"/>
    <w:qFormat/>
    <w:uiPriority w:val="39"/>
    <w:pPr>
      <w:ind w:left="420" w:leftChars="200"/>
    </w:pPr>
  </w:style>
  <w:style w:type="paragraph" w:styleId="25">
    <w:name w:val="toc 9"/>
    <w:basedOn w:val="1"/>
    <w:next w:val="1"/>
    <w:unhideWhenUsed/>
    <w:qFormat/>
    <w:uiPriority w:val="39"/>
    <w:pPr>
      <w:ind w:left="3360" w:leftChars="1600"/>
    </w:pPr>
    <w:rPr>
      <w:rFonts w:ascii="Calibri" w:hAnsi="Calibri"/>
      <w:szCs w:val="22"/>
    </w:rPr>
  </w:style>
  <w:style w:type="paragraph" w:styleId="26">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27">
    <w:name w:val="Title"/>
    <w:basedOn w:val="1"/>
    <w:next w:val="1"/>
    <w:link w:val="50"/>
    <w:qFormat/>
    <w:uiPriority w:val="10"/>
    <w:pPr>
      <w:spacing w:before="240" w:after="60"/>
      <w:jc w:val="center"/>
      <w:outlineLvl w:val="0"/>
    </w:pPr>
    <w:rPr>
      <w:rFonts w:ascii="Cambria" w:hAnsi="Cambria"/>
      <w:b/>
      <w:bCs/>
      <w:sz w:val="32"/>
      <w:szCs w:val="32"/>
    </w:rPr>
  </w:style>
  <w:style w:type="paragraph" w:styleId="28">
    <w:name w:val="annotation subject"/>
    <w:basedOn w:val="10"/>
    <w:next w:val="10"/>
    <w:link w:val="51"/>
    <w:qFormat/>
    <w:uiPriority w:val="0"/>
    <w:rPr>
      <w:b/>
      <w:bCs/>
      <w:sz w:val="21"/>
      <w:szCs w:val="24"/>
    </w:rPr>
  </w:style>
  <w:style w:type="table" w:styleId="30">
    <w:name w:val="Table Grid"/>
    <w:basedOn w:val="2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qFormat/>
    <w:uiPriority w:val="22"/>
    <w:rPr>
      <w:b/>
      <w:bCs/>
    </w:rPr>
  </w:style>
  <w:style w:type="character" w:styleId="33">
    <w:name w:val="page number"/>
    <w:basedOn w:val="31"/>
    <w:qFormat/>
    <w:uiPriority w:val="0"/>
  </w:style>
  <w:style w:type="character" w:styleId="34">
    <w:name w:val="Hyperlink"/>
    <w:qFormat/>
    <w:uiPriority w:val="99"/>
    <w:rPr>
      <w:color w:val="0000FF"/>
      <w:u w:val="single"/>
    </w:rPr>
  </w:style>
  <w:style w:type="character" w:styleId="35">
    <w:name w:val="annotation reference"/>
    <w:basedOn w:val="31"/>
    <w:qFormat/>
    <w:uiPriority w:val="99"/>
    <w:rPr>
      <w:sz w:val="21"/>
      <w:szCs w:val="21"/>
    </w:rPr>
  </w:style>
  <w:style w:type="character" w:customStyle="1" w:styleId="36">
    <w:name w:val="正文文本 Char"/>
    <w:link w:val="2"/>
    <w:qFormat/>
    <w:uiPriority w:val="0"/>
    <w:rPr>
      <w:kern w:val="2"/>
      <w:sz w:val="21"/>
      <w:szCs w:val="24"/>
    </w:rPr>
  </w:style>
  <w:style w:type="character" w:customStyle="1" w:styleId="37">
    <w:name w:val="标题 1 Char"/>
    <w:basedOn w:val="31"/>
    <w:link w:val="4"/>
    <w:qFormat/>
    <w:uiPriority w:val="0"/>
    <w:rPr>
      <w:b/>
      <w:bCs/>
      <w:kern w:val="44"/>
      <w:sz w:val="44"/>
      <w:szCs w:val="44"/>
    </w:rPr>
  </w:style>
  <w:style w:type="character" w:customStyle="1" w:styleId="38">
    <w:name w:val="标题 2 Char"/>
    <w:basedOn w:val="31"/>
    <w:link w:val="5"/>
    <w:qFormat/>
    <w:uiPriority w:val="0"/>
    <w:rPr>
      <w:rFonts w:ascii="Arial" w:hAnsi="Arial" w:eastAsia="黑体"/>
      <w:b/>
      <w:bCs/>
      <w:kern w:val="2"/>
      <w:sz w:val="32"/>
      <w:szCs w:val="32"/>
    </w:rPr>
  </w:style>
  <w:style w:type="character" w:customStyle="1" w:styleId="39">
    <w:name w:val="标题 3 Char"/>
    <w:link w:val="6"/>
    <w:qFormat/>
    <w:uiPriority w:val="0"/>
    <w:rPr>
      <w:b/>
      <w:bCs/>
      <w:kern w:val="2"/>
      <w:sz w:val="32"/>
      <w:szCs w:val="32"/>
    </w:rPr>
  </w:style>
  <w:style w:type="character" w:customStyle="1" w:styleId="40">
    <w:name w:val="正文缩进 Char"/>
    <w:link w:val="8"/>
    <w:qFormat/>
    <w:uiPriority w:val="0"/>
    <w:rPr>
      <w:rFonts w:eastAsia="宋体"/>
      <w:kern w:val="2"/>
      <w:sz w:val="21"/>
      <w:szCs w:val="24"/>
      <w:lang w:val="en-US" w:eastAsia="zh-CN" w:bidi="ar-SA"/>
    </w:rPr>
  </w:style>
  <w:style w:type="character" w:customStyle="1" w:styleId="41">
    <w:name w:val="文档结构图 Char"/>
    <w:basedOn w:val="31"/>
    <w:link w:val="9"/>
    <w:semiHidden/>
    <w:qFormat/>
    <w:uiPriority w:val="99"/>
    <w:rPr>
      <w:rFonts w:ascii="宋体"/>
      <w:kern w:val="2"/>
      <w:sz w:val="18"/>
      <w:szCs w:val="18"/>
    </w:rPr>
  </w:style>
  <w:style w:type="character" w:customStyle="1" w:styleId="42">
    <w:name w:val="批注文字 Char"/>
    <w:link w:val="10"/>
    <w:qFormat/>
    <w:uiPriority w:val="0"/>
    <w:rPr>
      <w:kern w:val="2"/>
      <w:sz w:val="18"/>
      <w:lang w:bidi="ar-SA"/>
    </w:rPr>
  </w:style>
  <w:style w:type="character" w:customStyle="1" w:styleId="43">
    <w:name w:val="正文文本缩进 Char"/>
    <w:link w:val="11"/>
    <w:qFormat/>
    <w:uiPriority w:val="99"/>
    <w:rPr>
      <w:rFonts w:eastAsia="宋体"/>
      <w:kern w:val="2"/>
      <w:sz w:val="32"/>
      <w:lang w:val="en-US" w:eastAsia="zh-CN" w:bidi="ar-SA"/>
    </w:rPr>
  </w:style>
  <w:style w:type="character" w:customStyle="1" w:styleId="44">
    <w:name w:val="纯文本 Char"/>
    <w:link w:val="14"/>
    <w:unhideWhenUsed/>
    <w:qFormat/>
    <w:uiPriority w:val="0"/>
    <w:rPr>
      <w:rFonts w:ascii="宋体" w:hAnsi="Tms Rmn" w:eastAsia="宋体"/>
      <w:sz w:val="21"/>
      <w:lang w:val="en-US" w:eastAsia="zh-CN" w:bidi="ar-SA"/>
    </w:rPr>
  </w:style>
  <w:style w:type="character" w:customStyle="1" w:styleId="45">
    <w:name w:val="批注框文本 Char"/>
    <w:basedOn w:val="31"/>
    <w:link w:val="17"/>
    <w:semiHidden/>
    <w:qFormat/>
    <w:uiPriority w:val="99"/>
    <w:rPr>
      <w:kern w:val="2"/>
      <w:sz w:val="18"/>
      <w:szCs w:val="18"/>
    </w:rPr>
  </w:style>
  <w:style w:type="character" w:customStyle="1" w:styleId="46">
    <w:name w:val="页脚 Char"/>
    <w:link w:val="18"/>
    <w:qFormat/>
    <w:uiPriority w:val="99"/>
    <w:rPr>
      <w:rFonts w:eastAsia="宋体"/>
      <w:kern w:val="2"/>
      <w:sz w:val="18"/>
      <w:lang w:val="en-US" w:eastAsia="zh-CN" w:bidi="ar-SA"/>
    </w:rPr>
  </w:style>
  <w:style w:type="character" w:customStyle="1" w:styleId="47">
    <w:name w:val="页眉 Char"/>
    <w:link w:val="19"/>
    <w:qFormat/>
    <w:uiPriority w:val="99"/>
    <w:rPr>
      <w:rFonts w:eastAsia="宋体"/>
      <w:kern w:val="2"/>
      <w:sz w:val="18"/>
      <w:lang w:val="en-US" w:eastAsia="zh-CN" w:bidi="ar-SA"/>
    </w:rPr>
  </w:style>
  <w:style w:type="character" w:customStyle="1" w:styleId="48">
    <w:name w:val="副标题 Char"/>
    <w:basedOn w:val="31"/>
    <w:link w:val="3"/>
    <w:qFormat/>
    <w:uiPriority w:val="11"/>
    <w:rPr>
      <w:rFonts w:ascii="Cambria" w:hAnsi="Cambria" w:cs="Times New Roman"/>
      <w:b/>
      <w:bCs/>
      <w:kern w:val="28"/>
      <w:sz w:val="32"/>
      <w:szCs w:val="32"/>
    </w:rPr>
  </w:style>
  <w:style w:type="character" w:customStyle="1" w:styleId="49">
    <w:name w:val="正文文本缩进 3 Char"/>
    <w:basedOn w:val="31"/>
    <w:link w:val="23"/>
    <w:qFormat/>
    <w:uiPriority w:val="0"/>
    <w:rPr>
      <w:kern w:val="2"/>
      <w:sz w:val="16"/>
      <w:szCs w:val="16"/>
    </w:rPr>
  </w:style>
  <w:style w:type="character" w:customStyle="1" w:styleId="50">
    <w:name w:val="标题 Char"/>
    <w:basedOn w:val="31"/>
    <w:link w:val="27"/>
    <w:qFormat/>
    <w:uiPriority w:val="10"/>
    <w:rPr>
      <w:rFonts w:ascii="Cambria" w:hAnsi="Cambria" w:cs="Times New Roman"/>
      <w:b/>
      <w:bCs/>
      <w:kern w:val="2"/>
      <w:sz w:val="32"/>
      <w:szCs w:val="32"/>
    </w:rPr>
  </w:style>
  <w:style w:type="character" w:customStyle="1" w:styleId="51">
    <w:name w:val="批注主题 Char"/>
    <w:basedOn w:val="42"/>
    <w:link w:val="28"/>
    <w:qFormat/>
    <w:uiPriority w:val="0"/>
    <w:rPr>
      <w:b/>
      <w:bCs/>
      <w:kern w:val="2"/>
      <w:sz w:val="21"/>
      <w:szCs w:val="24"/>
      <w:lang w:bidi="ar-SA"/>
    </w:rPr>
  </w:style>
  <w:style w:type="character" w:customStyle="1" w:styleId="52">
    <w:name w:val="批注文字 Char1"/>
    <w:qFormat/>
    <w:uiPriority w:val="0"/>
    <w:rPr>
      <w:kern w:val="2"/>
      <w:sz w:val="18"/>
      <w:lang w:bidi="ar-SA"/>
    </w:rPr>
  </w:style>
  <w:style w:type="character" w:customStyle="1" w:styleId="53">
    <w:name w:val="font111"/>
    <w:basedOn w:val="31"/>
    <w:qFormat/>
    <w:uiPriority w:val="0"/>
    <w:rPr>
      <w:rFonts w:hint="default" w:ascii="Times New Roman" w:hAnsi="Times New Roman" w:cs="Times New Roman"/>
      <w:color w:val="000000"/>
      <w:sz w:val="21"/>
      <w:szCs w:val="21"/>
      <w:u w:val="none"/>
    </w:rPr>
  </w:style>
  <w:style w:type="character" w:customStyle="1" w:styleId="54">
    <w:name w:val="font21"/>
    <w:basedOn w:val="31"/>
    <w:qFormat/>
    <w:uiPriority w:val="0"/>
    <w:rPr>
      <w:rFonts w:hint="eastAsia" w:ascii="宋体" w:hAnsi="宋体" w:eastAsia="宋体" w:cs="宋体"/>
      <w:color w:val="000000"/>
      <w:sz w:val="20"/>
      <w:szCs w:val="20"/>
      <w:u w:val="none"/>
    </w:rPr>
  </w:style>
  <w:style w:type="character" w:customStyle="1" w:styleId="55">
    <w:name w:val="GW-正文 Char"/>
    <w:link w:val="56"/>
    <w:qFormat/>
    <w:uiPriority w:val="0"/>
    <w:rPr>
      <w:rFonts w:eastAsia="仿宋_GB2312"/>
      <w:kern w:val="2"/>
      <w:sz w:val="24"/>
      <w:szCs w:val="24"/>
      <w:lang w:val="en-US" w:eastAsia="zh-CN" w:bidi="ar-SA"/>
    </w:rPr>
  </w:style>
  <w:style w:type="paragraph" w:customStyle="1" w:styleId="56">
    <w:name w:val="GW-正文"/>
    <w:basedOn w:val="1"/>
    <w:link w:val="55"/>
    <w:qFormat/>
    <w:uiPriority w:val="0"/>
    <w:pPr>
      <w:spacing w:line="360" w:lineRule="auto"/>
      <w:ind w:firstLine="200" w:firstLineChars="200"/>
    </w:pPr>
    <w:rPr>
      <w:rFonts w:eastAsia="仿宋_GB2312"/>
      <w:sz w:val="24"/>
    </w:rPr>
  </w:style>
  <w:style w:type="character" w:customStyle="1" w:styleId="57">
    <w:name w:val="（符号）三标题1.1 Char Char"/>
    <w:link w:val="58"/>
    <w:qFormat/>
    <w:uiPriority w:val="0"/>
    <w:rPr>
      <w:rFonts w:ascii="宋体" w:hAnsi="宋体"/>
      <w:kern w:val="2"/>
      <w:sz w:val="24"/>
      <w:szCs w:val="24"/>
    </w:rPr>
  </w:style>
  <w:style w:type="paragraph" w:customStyle="1" w:styleId="58">
    <w:name w:val="（符号）三标题1.1"/>
    <w:basedOn w:val="1"/>
    <w:link w:val="57"/>
    <w:qFormat/>
    <w:uiPriority w:val="0"/>
    <w:pPr>
      <w:tabs>
        <w:tab w:val="left" w:pos="700"/>
      </w:tabs>
      <w:spacing w:line="500" w:lineRule="exact"/>
      <w:ind w:left="700" w:hanging="700"/>
    </w:pPr>
    <w:rPr>
      <w:rFonts w:ascii="宋体" w:hAnsi="宋体"/>
      <w:sz w:val="24"/>
    </w:rPr>
  </w:style>
  <w:style w:type="character" w:customStyle="1" w:styleId="59">
    <w:name w:val="Char Char9"/>
    <w:qFormat/>
    <w:uiPriority w:val="0"/>
    <w:rPr>
      <w:kern w:val="2"/>
      <w:sz w:val="21"/>
    </w:rPr>
  </w:style>
  <w:style w:type="character" w:customStyle="1" w:styleId="60">
    <w:name w:val="列出段落 Char"/>
    <w:link w:val="61"/>
    <w:qFormat/>
    <w:uiPriority w:val="0"/>
    <w:rPr>
      <w:rFonts w:eastAsia="宋体"/>
      <w:kern w:val="2"/>
      <w:sz w:val="21"/>
      <w:szCs w:val="24"/>
      <w:lang w:val="en-US" w:eastAsia="zh-CN" w:bidi="ar-SA"/>
    </w:rPr>
  </w:style>
  <w:style w:type="paragraph" w:customStyle="1" w:styleId="61">
    <w:name w:val="列出段落1"/>
    <w:basedOn w:val="1"/>
    <w:link w:val="60"/>
    <w:qFormat/>
    <w:uiPriority w:val="0"/>
    <w:pPr>
      <w:ind w:firstLine="420" w:firstLineChars="200"/>
    </w:pPr>
  </w:style>
  <w:style w:type="character" w:customStyle="1" w:styleId="62">
    <w:name w:val="（符号）邀请函中一、"/>
    <w:basedOn w:val="31"/>
    <w:qFormat/>
    <w:uiPriority w:val="0"/>
    <w:rPr>
      <w:rFonts w:ascii="黑体" w:hAnsi="黑体" w:eastAsia="黑体"/>
      <w:b/>
      <w:bCs/>
      <w:sz w:val="24"/>
    </w:rPr>
  </w:style>
  <w:style w:type="character" w:customStyle="1" w:styleId="63">
    <w:name w:val="正文缩进 字符1"/>
    <w:qFormat/>
    <w:uiPriority w:val="0"/>
    <w:rPr>
      <w:rFonts w:eastAsia="宋体"/>
      <w:kern w:val="2"/>
      <w:sz w:val="21"/>
      <w:szCs w:val="24"/>
      <w:lang w:val="en-US" w:eastAsia="zh-CN" w:bidi="ar-SA"/>
    </w:rPr>
  </w:style>
  <w:style w:type="character" w:customStyle="1" w:styleId="64">
    <w:name w:val="页脚 Char1"/>
    <w:qFormat/>
    <w:uiPriority w:val="0"/>
    <w:rPr>
      <w:rFonts w:eastAsia="宋体"/>
      <w:kern w:val="2"/>
      <w:sz w:val="18"/>
      <w:lang w:val="en-US" w:eastAsia="zh-CN" w:bidi="ar-SA"/>
    </w:rPr>
  </w:style>
  <w:style w:type="character" w:customStyle="1" w:styleId="65">
    <w:name w:val="font12"/>
    <w:basedOn w:val="31"/>
    <w:qFormat/>
    <w:uiPriority w:val="0"/>
    <w:rPr>
      <w:rFonts w:hint="default" w:ascii="Times New Roman" w:hAnsi="Times New Roman" w:cs="Times New Roman"/>
      <w:color w:val="000000"/>
      <w:sz w:val="21"/>
      <w:szCs w:val="21"/>
      <w:u w:val="none"/>
      <w:vertAlign w:val="superscript"/>
    </w:rPr>
  </w:style>
  <w:style w:type="paragraph" w:customStyle="1" w:styleId="66">
    <w:name w:val="列表段落1"/>
    <w:basedOn w:val="1"/>
    <w:qFormat/>
    <w:uiPriority w:val="34"/>
    <w:pPr>
      <w:spacing w:beforeLines="50" w:afterLines="50" w:line="360" w:lineRule="auto"/>
      <w:ind w:firstLine="420" w:firstLineChars="200"/>
    </w:pPr>
    <w:rPr>
      <w:rFonts w:ascii="仿宋_GB2312" w:hAnsi="仿宋_GB2312" w:eastAsia="仿宋_GB2312" w:cs="仿宋_GB2312"/>
      <w:sz w:val="30"/>
      <w:szCs w:val="30"/>
    </w:rPr>
  </w:style>
  <w:style w:type="paragraph" w:customStyle="1" w:styleId="6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8">
    <w:name w:val="Table Paragraph"/>
    <w:basedOn w:val="1"/>
    <w:qFormat/>
    <w:uiPriority w:val="1"/>
  </w:style>
  <w:style w:type="paragraph" w:customStyle="1" w:styleId="69">
    <w:name w:val="引言一级条标题"/>
    <w:basedOn w:val="1"/>
    <w:next w:val="67"/>
    <w:qFormat/>
    <w:uiPriority w:val="0"/>
    <w:pPr>
      <w:widowControl/>
      <w:numPr>
        <w:ilvl w:val="0"/>
        <w:numId w:val="1"/>
      </w:numPr>
    </w:pPr>
    <w:rPr>
      <w:rFonts w:eastAsia="黑体"/>
      <w:b/>
    </w:rPr>
  </w:style>
  <w:style w:type="paragraph" w:customStyle="1" w:styleId="70">
    <w:name w:val="Char1"/>
    <w:basedOn w:val="1"/>
    <w:qFormat/>
    <w:uiPriority w:val="0"/>
    <w:rPr>
      <w:szCs w:val="21"/>
    </w:rPr>
  </w:style>
  <w:style w:type="paragraph" w:customStyle="1" w:styleId="71">
    <w:name w:val="msonormal"/>
    <w:basedOn w:val="1"/>
    <w:qFormat/>
    <w:uiPriority w:val="99"/>
    <w:pPr>
      <w:widowControl/>
      <w:spacing w:before="100" w:beforeAutospacing="1" w:after="100" w:afterAutospacing="1"/>
      <w:jc w:val="left"/>
    </w:pPr>
    <w:rPr>
      <w:rFonts w:ascii="宋体" w:cs="宋体"/>
      <w:kern w:val="0"/>
      <w:sz w:val="18"/>
      <w:szCs w:val="18"/>
    </w:rPr>
  </w:style>
  <w:style w:type="paragraph" w:customStyle="1" w:styleId="72">
    <w:name w:val="引言二级条标题"/>
    <w:basedOn w:val="69"/>
    <w:next w:val="67"/>
    <w:qFormat/>
    <w:uiPriority w:val="0"/>
    <w:pPr>
      <w:numPr>
        <w:ilvl w:val="1"/>
        <w:numId w:val="2"/>
      </w:numPr>
      <w:tabs>
        <w:tab w:val="left" w:pos="360"/>
        <w:tab w:val="left" w:pos="1200"/>
        <w:tab w:val="left" w:pos="1320"/>
      </w:tabs>
      <w:jc w:val="left"/>
    </w:pPr>
    <w:rPr>
      <w:kern w:val="0"/>
      <w:sz w:val="20"/>
      <w:szCs w:val="20"/>
    </w:rPr>
  </w:style>
  <w:style w:type="paragraph" w:customStyle="1" w:styleId="73">
    <w:name w:val="Heading 2"/>
    <w:basedOn w:val="1"/>
    <w:qFormat/>
    <w:uiPriority w:val="1"/>
    <w:pPr>
      <w:autoSpaceDE w:val="0"/>
      <w:autoSpaceDN w:val="0"/>
      <w:ind w:left="1068" w:hanging="451"/>
      <w:jc w:val="left"/>
      <w:outlineLvl w:val="2"/>
    </w:pPr>
    <w:rPr>
      <w:rFonts w:ascii="宋体" w:hAnsi="宋体" w:cs="宋体"/>
      <w:b/>
      <w:bCs/>
      <w:kern w:val="0"/>
      <w:sz w:val="32"/>
      <w:szCs w:val="32"/>
      <w:lang w:val="zh-CN" w:bidi="zh-CN"/>
    </w:rPr>
  </w:style>
  <w:style w:type="paragraph" w:customStyle="1" w:styleId="7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75">
    <w:name w:val="Char2 Char Char"/>
    <w:basedOn w:val="9"/>
    <w:qFormat/>
    <w:uiPriority w:val="0"/>
    <w:pPr>
      <w:shd w:val="clear" w:color="auto" w:fill="000080"/>
    </w:pPr>
    <w:rPr>
      <w:rFonts w:ascii="Tahoma" w:hAnsi="Tahoma"/>
      <w:sz w:val="24"/>
      <w:szCs w:val="24"/>
    </w:rPr>
  </w:style>
  <w:style w:type="paragraph" w:customStyle="1" w:styleId="76">
    <w:name w:val="+正文"/>
    <w:basedOn w:val="1"/>
    <w:qFormat/>
    <w:uiPriority w:val="0"/>
    <w:pPr>
      <w:spacing w:line="360" w:lineRule="auto"/>
      <w:ind w:firstLine="200" w:firstLineChars="200"/>
      <w:jc w:val="left"/>
    </w:pPr>
    <w:rPr>
      <w:sz w:val="24"/>
      <w:szCs w:val="28"/>
    </w:rPr>
  </w:style>
  <w:style w:type="paragraph" w:styleId="77">
    <w:name w:val="List Paragraph"/>
    <w:basedOn w:val="1"/>
    <w:qFormat/>
    <w:uiPriority w:val="34"/>
    <w:pPr>
      <w:ind w:firstLine="420" w:firstLineChars="200"/>
    </w:pPr>
    <w:rPr>
      <w:rFonts w:ascii="Calibri" w:hAnsi="Calibri" w:eastAsia="宋体" w:cs="Times New Roman"/>
      <w:szCs w:val="22"/>
    </w:rPr>
  </w:style>
  <w:style w:type="paragraph" w:customStyle="1" w:styleId="78">
    <w:name w:val="Blockquote"/>
    <w:basedOn w:val="1"/>
    <w:qFormat/>
    <w:uiPriority w:val="0"/>
    <w:pPr>
      <w:autoSpaceDE w:val="0"/>
      <w:autoSpaceDN w:val="0"/>
      <w:adjustRightInd w:val="0"/>
      <w:spacing w:before="100" w:after="100"/>
      <w:ind w:left="360" w:right="360"/>
      <w:jc w:val="left"/>
    </w:pPr>
    <w:rPr>
      <w:sz w:val="24"/>
    </w:rPr>
  </w:style>
  <w:style w:type="paragraph" w:customStyle="1" w:styleId="79">
    <w:name w:val="正文首行缩进两字符"/>
    <w:basedOn w:val="1"/>
    <w:qFormat/>
    <w:uiPriority w:val="0"/>
    <w:pPr>
      <w:spacing w:line="360" w:lineRule="auto"/>
      <w:ind w:firstLine="200" w:firstLineChars="200"/>
    </w:pPr>
  </w:style>
  <w:style w:type="paragraph" w:customStyle="1" w:styleId="80">
    <w:name w:val="List Paragraph1"/>
    <w:basedOn w:val="1"/>
    <w:qFormat/>
    <w:uiPriority w:val="34"/>
    <w:pPr>
      <w:spacing w:beforeLines="50" w:afterLines="50" w:line="360" w:lineRule="auto"/>
      <w:ind w:firstLine="420" w:firstLineChars="200"/>
    </w:pPr>
    <w:rPr>
      <w:rFonts w:ascii="仿宋_GB2312" w:hAnsi="仿宋_GB2312" w:eastAsia="仿宋_GB2312" w:cs="仿宋_GB2312"/>
      <w:sz w:val="30"/>
      <w:szCs w:val="30"/>
    </w:rPr>
  </w:style>
  <w:style w:type="paragraph" w:customStyle="1" w:styleId="81">
    <w:name w:val="TOC 标题1"/>
    <w:basedOn w:val="4"/>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82">
    <w:name w:val="样式 首行缩进:  2 字符"/>
    <w:basedOn w:val="1"/>
    <w:qFormat/>
    <w:uiPriority w:val="0"/>
    <w:pPr>
      <w:spacing w:line="400" w:lineRule="exact"/>
      <w:ind w:firstLine="200" w:firstLineChars="200"/>
    </w:pPr>
    <w:rPr>
      <w:rFonts w:cs="宋体"/>
      <w:sz w:val="24"/>
    </w:rPr>
  </w:style>
  <w:style w:type="paragraph" w:customStyle="1" w:styleId="83">
    <w:name w:val="Char Char Char Char Char Char Char Char Char Char Char Char Char Char1 Char Char Char Char"/>
    <w:basedOn w:val="1"/>
    <w:qFormat/>
    <w:uiPriority w:val="0"/>
    <w:rPr>
      <w:szCs w:val="21"/>
    </w:rPr>
  </w:style>
  <w:style w:type="paragraph" w:customStyle="1" w:styleId="8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5">
    <w:name w:val="表格"/>
    <w:basedOn w:val="1"/>
    <w:qFormat/>
    <w:uiPriority w:val="0"/>
    <w:pPr>
      <w:spacing w:line="400" w:lineRule="exact"/>
    </w:pPr>
    <w:rPr>
      <w:sz w:val="24"/>
    </w:rPr>
  </w:style>
  <w:style w:type="paragraph" w:customStyle="1" w:styleId="86">
    <w:name w:val="样式1"/>
    <w:basedOn w:val="4"/>
    <w:qFormat/>
    <w:uiPriority w:val="0"/>
    <w:pPr>
      <w:keepLines w:val="0"/>
      <w:spacing w:before="0" w:after="0" w:line="240" w:lineRule="auto"/>
      <w:jc w:val="center"/>
    </w:pPr>
    <w:rPr>
      <w:rFonts w:ascii="楷体_GB2312" w:eastAsia="楷体_GB2312"/>
      <w:bCs w:val="0"/>
      <w:kern w:val="2"/>
      <w:sz w:val="48"/>
      <w:szCs w:val="24"/>
    </w:rPr>
  </w:style>
  <w:style w:type="paragraph" w:customStyle="1" w:styleId="87">
    <w:name w:val="列出段落11"/>
    <w:basedOn w:val="1"/>
    <w:qFormat/>
    <w:uiPriority w:val="0"/>
    <w:pPr>
      <w:suppressAutoHyphens/>
      <w:spacing w:line="100" w:lineRule="atLeast"/>
      <w:ind w:firstLine="420"/>
    </w:pPr>
    <w:rPr>
      <w:kern w:val="1"/>
      <w:lang w:eastAsia="ar-SA"/>
    </w:rPr>
  </w:style>
  <w:style w:type="paragraph" w:customStyle="1" w:styleId="88">
    <w:name w:val="修订1"/>
    <w:semiHidden/>
    <w:qFormat/>
    <w:uiPriority w:val="99"/>
    <w:rPr>
      <w:rFonts w:ascii="Times New Roman" w:hAnsi="Times New Roman" w:eastAsia="宋体" w:cs="Times New Roman"/>
      <w:kern w:val="2"/>
      <w:sz w:val="21"/>
      <w:szCs w:val="24"/>
      <w:lang w:val="en-US" w:eastAsia="zh-CN" w:bidi="ar-SA"/>
    </w:rPr>
  </w:style>
  <w:style w:type="table" w:customStyle="1" w:styleId="89">
    <w:name w:val="Table Normal"/>
    <w:unhideWhenUsed/>
    <w:qFormat/>
    <w:uiPriority w:val="2"/>
    <w:pPr>
      <w:widowControl w:val="0"/>
      <w:autoSpaceDE w:val="0"/>
      <w:autoSpaceDN w:val="0"/>
    </w:pPr>
    <w:rPr>
      <w:sz w:val="22"/>
      <w:lang w:val="en-US" w:eastAsia="en-US" w:bidi="ar-SA"/>
    </w:rPr>
    <w:tblPr>
      <w:tblCellMar>
        <w:top w:w="0" w:type="dxa"/>
        <w:left w:w="0" w:type="dxa"/>
        <w:bottom w:w="0" w:type="dxa"/>
        <w:right w:w="0" w:type="dxa"/>
      </w:tblCellMar>
    </w:tblPr>
  </w:style>
  <w:style w:type="paragraph" w:customStyle="1" w:styleId="90">
    <w:name w:val="标题 5（有编号）（绿盟科技）"/>
    <w:basedOn w:val="1"/>
    <w:next w:val="1"/>
    <w:qFormat/>
    <w:uiPriority w:val="0"/>
    <w:pPr>
      <w:keepNext/>
      <w:keepLines/>
      <w:numPr>
        <w:ilvl w:val="4"/>
        <w:numId w:val="3"/>
      </w:numPr>
      <w:spacing w:before="280" w:after="156" w:line="377" w:lineRule="auto"/>
      <w:jc w:val="left"/>
      <w:outlineLvl w:val="4"/>
    </w:pPr>
    <w:rPr>
      <w:rFonts w:ascii="Arial" w:hAnsi="Arial" w:eastAsia="黑体"/>
      <w:b/>
      <w:kern w:val="0"/>
      <w:sz w:val="24"/>
      <w:szCs w:val="28"/>
    </w:rPr>
  </w:style>
  <w:style w:type="character" w:customStyle="1" w:styleId="91">
    <w:name w:val="页码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86</Pages>
  <Words>8886</Words>
  <Characters>50652</Characters>
  <Lines>422</Lines>
  <Paragraphs>118</Paragraphs>
  <TotalTime>5</TotalTime>
  <ScaleCrop>false</ScaleCrop>
  <LinksUpToDate>false</LinksUpToDate>
  <CharactersWithSpaces>59420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2021-04-20T04:59:00Z</dcterms:created>
  <dc:creator>吴正新</dc:creator>
  <cp:lastModifiedBy>star</cp:lastModifiedBy>
  <cp:lastPrinted>2022-01-10T10:09:00Z</cp:lastPrinted>
  <dcterms:modified xsi:type="dcterms:W3CDTF">2022-01-18T03:21:11Z</dcterms:modified>
  <dc:title>招标编号：xx政采招[xxxx] xxx号</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5A29B220A12F437B90025899B391A32B</vt:lpwstr>
  </property>
</Properties>
</file>